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55E447" w14:textId="77777777" w:rsidR="001E2F62" w:rsidRPr="009E2A0E" w:rsidRDefault="001E2F62" w:rsidP="00D961D9">
      <w:pPr>
        <w:jc w:val="center"/>
        <w:rPr>
          <w:rFonts w:asciiTheme="majorBidi" w:hAnsiTheme="majorBidi" w:cstheme="majorBidi"/>
          <w:b/>
          <w:bCs/>
          <w:color w:val="000000" w:themeColor="text1"/>
        </w:rPr>
      </w:pPr>
    </w:p>
    <w:p w14:paraId="0688F51D" w14:textId="7FCFF779" w:rsidR="00A15B60" w:rsidRPr="009E2A0E" w:rsidRDefault="00D961D9" w:rsidP="00D961D9">
      <w:pPr>
        <w:jc w:val="center"/>
        <w:rPr>
          <w:rFonts w:asciiTheme="majorBidi" w:hAnsiTheme="majorBidi" w:cstheme="majorBidi"/>
          <w:b/>
          <w:bCs/>
          <w:color w:val="000000" w:themeColor="text1"/>
        </w:rPr>
      </w:pPr>
      <w:r w:rsidRPr="009E2A0E">
        <w:rPr>
          <w:rFonts w:asciiTheme="majorBidi" w:hAnsiTheme="majorBidi" w:cstheme="majorBidi"/>
          <w:b/>
          <w:bCs/>
          <w:color w:val="000000" w:themeColor="text1"/>
        </w:rPr>
        <w:t>116° Período de Sesiones del Comité para la Eliminación de la Discriminación Racial</w:t>
      </w:r>
    </w:p>
    <w:p w14:paraId="17B42DFB" w14:textId="3B352BA2" w:rsidR="0087018B" w:rsidRPr="009E2A0E" w:rsidRDefault="008D37B6" w:rsidP="00D961D9">
      <w:pPr>
        <w:jc w:val="center"/>
        <w:rPr>
          <w:rFonts w:asciiTheme="majorBidi" w:hAnsiTheme="majorBidi" w:cstheme="majorBidi"/>
          <w:b/>
          <w:bCs/>
          <w:color w:val="000000" w:themeColor="text1"/>
          <w:lang w:val="es-MX"/>
        </w:rPr>
      </w:pPr>
      <w:r w:rsidRPr="009E2A0E">
        <w:rPr>
          <w:rFonts w:asciiTheme="majorBidi" w:hAnsiTheme="majorBidi" w:cstheme="majorBidi"/>
          <w:b/>
          <w:bCs/>
          <w:color w:val="000000" w:themeColor="text1"/>
          <w:lang w:val="es-MX"/>
        </w:rPr>
        <w:t xml:space="preserve">Evaluación Periódica de los informes consolidados </w:t>
      </w:r>
      <w:r w:rsidR="00C97B3C" w:rsidRPr="009E2A0E">
        <w:rPr>
          <w:rFonts w:asciiTheme="majorBidi" w:hAnsiTheme="majorBidi" w:cstheme="majorBidi"/>
          <w:b/>
          <w:bCs/>
          <w:color w:val="000000" w:themeColor="text1"/>
          <w:lang w:val="es-MX"/>
        </w:rPr>
        <w:t xml:space="preserve">del Estado de Guatemala </w:t>
      </w:r>
      <w:r w:rsidRPr="009E2A0E">
        <w:rPr>
          <w:rFonts w:asciiTheme="majorBidi" w:hAnsiTheme="majorBidi" w:cstheme="majorBidi"/>
          <w:b/>
          <w:bCs/>
          <w:color w:val="000000" w:themeColor="text1"/>
          <w:lang w:val="es-MX"/>
        </w:rPr>
        <w:t xml:space="preserve">18°, 19° y 20° </w:t>
      </w:r>
    </w:p>
    <w:p w14:paraId="0313AAE2" w14:textId="77777777" w:rsidR="00A15B60" w:rsidRPr="009E2A0E" w:rsidRDefault="00A15B60" w:rsidP="009C6A37">
      <w:pPr>
        <w:jc w:val="center"/>
        <w:rPr>
          <w:rFonts w:asciiTheme="majorBidi" w:hAnsiTheme="majorBidi" w:cstheme="majorBidi"/>
          <w:b/>
          <w:bCs/>
          <w:color w:val="000000" w:themeColor="text1"/>
          <w:lang w:val="es-MX"/>
        </w:rPr>
      </w:pPr>
    </w:p>
    <w:p w14:paraId="2B469244" w14:textId="77777777" w:rsidR="00A15B60" w:rsidRPr="009E2A0E" w:rsidRDefault="00A15B60" w:rsidP="009C6A37">
      <w:pPr>
        <w:jc w:val="center"/>
        <w:rPr>
          <w:rFonts w:asciiTheme="majorBidi" w:hAnsiTheme="majorBidi" w:cstheme="majorBidi"/>
          <w:b/>
          <w:bCs/>
          <w:color w:val="000000" w:themeColor="text1"/>
          <w:lang w:val="es-MX"/>
        </w:rPr>
      </w:pPr>
    </w:p>
    <w:p w14:paraId="22AC50D4" w14:textId="77777777" w:rsidR="00A15B60" w:rsidRPr="009E2A0E" w:rsidRDefault="00A15B60" w:rsidP="001E2F62">
      <w:pPr>
        <w:rPr>
          <w:rFonts w:asciiTheme="majorBidi" w:hAnsiTheme="majorBidi" w:cstheme="majorBidi"/>
          <w:b/>
          <w:bCs/>
          <w:color w:val="000000" w:themeColor="text1"/>
          <w:lang w:val="es-MX"/>
        </w:rPr>
      </w:pPr>
    </w:p>
    <w:p w14:paraId="797C4C05" w14:textId="77777777" w:rsidR="001E2F62" w:rsidRPr="009E2A0E" w:rsidRDefault="001E2F62" w:rsidP="001E2F62">
      <w:pPr>
        <w:rPr>
          <w:rFonts w:asciiTheme="majorBidi" w:hAnsiTheme="majorBidi" w:cstheme="majorBidi"/>
          <w:b/>
          <w:bCs/>
          <w:color w:val="000000" w:themeColor="text1"/>
          <w:lang w:val="es-MX"/>
        </w:rPr>
      </w:pPr>
    </w:p>
    <w:p w14:paraId="54F5157D" w14:textId="77777777" w:rsidR="001E2F62" w:rsidRPr="009E2A0E" w:rsidRDefault="001E2F62" w:rsidP="001E2F62">
      <w:pPr>
        <w:rPr>
          <w:rFonts w:asciiTheme="majorBidi" w:hAnsiTheme="majorBidi" w:cstheme="majorBidi"/>
          <w:b/>
          <w:bCs/>
          <w:color w:val="000000" w:themeColor="text1"/>
          <w:lang w:val="es-MX"/>
        </w:rPr>
      </w:pPr>
    </w:p>
    <w:p w14:paraId="39D30900" w14:textId="77777777" w:rsidR="00A15B60" w:rsidRPr="009E2A0E" w:rsidRDefault="00A15B60" w:rsidP="009C6A37">
      <w:pPr>
        <w:jc w:val="center"/>
        <w:rPr>
          <w:rFonts w:asciiTheme="majorBidi" w:hAnsiTheme="majorBidi" w:cstheme="majorBidi"/>
          <w:b/>
          <w:bCs/>
          <w:color w:val="000000" w:themeColor="text1"/>
          <w:sz w:val="28"/>
          <w:szCs w:val="28"/>
          <w:lang w:val="es-MX"/>
        </w:rPr>
      </w:pPr>
    </w:p>
    <w:p w14:paraId="78F78040" w14:textId="77777777" w:rsidR="001E2F62" w:rsidRPr="009E2A0E" w:rsidRDefault="001E2F62" w:rsidP="009C6A37">
      <w:pPr>
        <w:jc w:val="center"/>
        <w:rPr>
          <w:rFonts w:asciiTheme="majorBidi" w:hAnsiTheme="majorBidi" w:cstheme="majorBidi"/>
          <w:b/>
          <w:bCs/>
          <w:color w:val="000000" w:themeColor="text1"/>
          <w:sz w:val="28"/>
          <w:szCs w:val="28"/>
          <w:lang w:val="es-MX"/>
        </w:rPr>
      </w:pPr>
    </w:p>
    <w:p w14:paraId="7D1755B5" w14:textId="77777777" w:rsidR="000C004C" w:rsidRPr="009E2A0E" w:rsidRDefault="000C004C" w:rsidP="009C6A37">
      <w:pPr>
        <w:jc w:val="center"/>
        <w:rPr>
          <w:rFonts w:asciiTheme="majorBidi" w:hAnsiTheme="majorBidi" w:cstheme="majorBidi"/>
          <w:b/>
          <w:bCs/>
          <w:color w:val="000000" w:themeColor="text1"/>
          <w:sz w:val="28"/>
          <w:szCs w:val="28"/>
          <w:lang w:val="es-MX"/>
        </w:rPr>
      </w:pPr>
    </w:p>
    <w:p w14:paraId="47B3FCB9" w14:textId="77777777" w:rsidR="000C004C" w:rsidRPr="009E2A0E" w:rsidRDefault="000C004C" w:rsidP="009C6A37">
      <w:pPr>
        <w:jc w:val="center"/>
        <w:rPr>
          <w:rFonts w:asciiTheme="majorBidi" w:hAnsiTheme="majorBidi" w:cstheme="majorBidi"/>
          <w:b/>
          <w:bCs/>
          <w:color w:val="000000" w:themeColor="text1"/>
          <w:sz w:val="28"/>
          <w:szCs w:val="28"/>
          <w:lang w:val="es-MX"/>
        </w:rPr>
      </w:pPr>
    </w:p>
    <w:p w14:paraId="7BFA5BD4" w14:textId="77777777" w:rsidR="000C004C" w:rsidRPr="009E2A0E" w:rsidRDefault="00523567" w:rsidP="009C6A37">
      <w:pPr>
        <w:jc w:val="center"/>
        <w:rPr>
          <w:rFonts w:asciiTheme="majorBidi" w:hAnsiTheme="majorBidi" w:cstheme="majorBidi"/>
          <w:b/>
          <w:bCs/>
          <w:color w:val="000000" w:themeColor="text1"/>
          <w:sz w:val="48"/>
          <w:szCs w:val="48"/>
          <w:lang w:val="es-MX"/>
        </w:rPr>
      </w:pPr>
      <w:r w:rsidRPr="009E2A0E">
        <w:rPr>
          <w:rFonts w:asciiTheme="majorBidi" w:hAnsiTheme="majorBidi" w:cstheme="majorBidi"/>
          <w:b/>
          <w:bCs/>
          <w:color w:val="000000" w:themeColor="text1"/>
          <w:sz w:val="48"/>
          <w:szCs w:val="48"/>
          <w:lang w:val="es-MX"/>
        </w:rPr>
        <w:t>INFORME ALTERNATIVO</w:t>
      </w:r>
      <w:r w:rsidR="000C004C" w:rsidRPr="009E2A0E">
        <w:rPr>
          <w:rFonts w:asciiTheme="majorBidi" w:hAnsiTheme="majorBidi" w:cstheme="majorBidi"/>
          <w:b/>
          <w:bCs/>
          <w:color w:val="000000" w:themeColor="text1"/>
          <w:sz w:val="48"/>
          <w:szCs w:val="48"/>
          <w:lang w:val="es-MX"/>
        </w:rPr>
        <w:t>:</w:t>
      </w:r>
    </w:p>
    <w:p w14:paraId="3AB3626D" w14:textId="50CF4442" w:rsidR="00CF73BD" w:rsidRPr="009E2A0E" w:rsidRDefault="00523567" w:rsidP="009C6A37">
      <w:pPr>
        <w:jc w:val="center"/>
        <w:rPr>
          <w:rFonts w:asciiTheme="majorBidi" w:hAnsiTheme="majorBidi" w:cstheme="majorBidi"/>
          <w:b/>
          <w:bCs/>
          <w:color w:val="000000" w:themeColor="text1"/>
          <w:sz w:val="48"/>
          <w:szCs w:val="48"/>
          <w:lang w:val="es-MX"/>
        </w:rPr>
      </w:pPr>
      <w:r w:rsidRPr="009E2A0E">
        <w:rPr>
          <w:rFonts w:asciiTheme="majorBidi" w:hAnsiTheme="majorBidi" w:cstheme="majorBidi"/>
          <w:b/>
          <w:bCs/>
          <w:color w:val="000000" w:themeColor="text1"/>
          <w:sz w:val="48"/>
          <w:szCs w:val="48"/>
          <w:lang w:val="es-MX"/>
        </w:rPr>
        <w:t xml:space="preserve"> </w:t>
      </w:r>
      <w:r w:rsidR="001E2458" w:rsidRPr="009E2A0E">
        <w:rPr>
          <w:rFonts w:asciiTheme="majorBidi" w:hAnsiTheme="majorBidi" w:cstheme="majorBidi"/>
          <w:b/>
          <w:bCs/>
          <w:color w:val="000000" w:themeColor="text1"/>
          <w:sz w:val="48"/>
          <w:szCs w:val="48"/>
          <w:lang w:val="es-MX"/>
        </w:rPr>
        <w:t>PUEBLO</w:t>
      </w:r>
      <w:r w:rsidR="00E440EC">
        <w:rPr>
          <w:rFonts w:asciiTheme="majorBidi" w:hAnsiTheme="majorBidi" w:cstheme="majorBidi"/>
          <w:b/>
          <w:bCs/>
          <w:color w:val="000000" w:themeColor="text1"/>
          <w:sz w:val="48"/>
          <w:szCs w:val="48"/>
          <w:lang w:val="es-MX"/>
        </w:rPr>
        <w:t>S INDIGENAS Y AFRODESCENDIENTES</w:t>
      </w:r>
    </w:p>
    <w:p w14:paraId="29EF70F3" w14:textId="77777777" w:rsidR="008D37B6" w:rsidRPr="009E2A0E" w:rsidRDefault="008D37B6" w:rsidP="008D37B6">
      <w:pPr>
        <w:jc w:val="center"/>
        <w:rPr>
          <w:rFonts w:asciiTheme="majorBidi" w:hAnsiTheme="majorBidi" w:cstheme="majorBidi"/>
          <w:b/>
          <w:bCs/>
          <w:color w:val="000000" w:themeColor="text1"/>
          <w:lang w:val="es-MX"/>
        </w:rPr>
      </w:pPr>
    </w:p>
    <w:p w14:paraId="0EA6F59C" w14:textId="77777777" w:rsidR="008D37B6" w:rsidRPr="009E2A0E" w:rsidRDefault="008D37B6" w:rsidP="008D37B6">
      <w:pPr>
        <w:jc w:val="center"/>
        <w:rPr>
          <w:rFonts w:asciiTheme="majorBidi" w:hAnsiTheme="majorBidi" w:cstheme="majorBidi"/>
          <w:b/>
          <w:bCs/>
          <w:color w:val="000000" w:themeColor="text1"/>
          <w:lang w:val="es-MX"/>
        </w:rPr>
      </w:pPr>
    </w:p>
    <w:p w14:paraId="603CEE90" w14:textId="77777777" w:rsidR="008D37B6" w:rsidRPr="009E2A0E" w:rsidRDefault="008D37B6" w:rsidP="008D37B6">
      <w:pPr>
        <w:jc w:val="center"/>
        <w:rPr>
          <w:rFonts w:asciiTheme="majorBidi" w:hAnsiTheme="majorBidi" w:cstheme="majorBidi"/>
          <w:b/>
          <w:bCs/>
          <w:color w:val="000000" w:themeColor="text1"/>
          <w:lang w:val="es-MX"/>
        </w:rPr>
      </w:pPr>
    </w:p>
    <w:p w14:paraId="3291E587" w14:textId="77777777" w:rsidR="008D37B6" w:rsidRPr="009E2A0E" w:rsidRDefault="008D37B6" w:rsidP="008D37B6">
      <w:pPr>
        <w:jc w:val="center"/>
        <w:rPr>
          <w:rFonts w:asciiTheme="majorBidi" w:hAnsiTheme="majorBidi" w:cstheme="majorBidi"/>
          <w:b/>
          <w:bCs/>
          <w:color w:val="000000" w:themeColor="text1"/>
          <w:lang w:val="es-MX"/>
        </w:rPr>
      </w:pPr>
    </w:p>
    <w:p w14:paraId="23980E7C" w14:textId="77777777" w:rsidR="008D37B6" w:rsidRPr="009E2A0E" w:rsidRDefault="008D37B6" w:rsidP="008D37B6">
      <w:pPr>
        <w:jc w:val="center"/>
        <w:rPr>
          <w:rFonts w:asciiTheme="majorBidi" w:hAnsiTheme="majorBidi" w:cstheme="majorBidi"/>
          <w:b/>
          <w:bCs/>
          <w:color w:val="000000" w:themeColor="text1"/>
          <w:lang w:val="es-MX"/>
        </w:rPr>
      </w:pPr>
    </w:p>
    <w:p w14:paraId="4C14F9A2" w14:textId="77777777" w:rsidR="008D37B6" w:rsidRPr="009E2A0E" w:rsidRDefault="008D37B6" w:rsidP="00E440EC">
      <w:pPr>
        <w:rPr>
          <w:rFonts w:asciiTheme="majorBidi" w:hAnsiTheme="majorBidi" w:cstheme="majorBidi"/>
          <w:b/>
          <w:bCs/>
          <w:color w:val="000000" w:themeColor="text1"/>
          <w:lang w:val="es-MX"/>
        </w:rPr>
      </w:pPr>
    </w:p>
    <w:p w14:paraId="3DCFC8D6" w14:textId="77777777" w:rsidR="008D37B6" w:rsidRPr="009E2A0E" w:rsidRDefault="008D37B6" w:rsidP="001E2F62">
      <w:pPr>
        <w:rPr>
          <w:rFonts w:asciiTheme="majorBidi" w:hAnsiTheme="majorBidi" w:cstheme="majorBidi"/>
          <w:b/>
          <w:bCs/>
          <w:color w:val="000000" w:themeColor="text1"/>
          <w:lang w:val="es-MX"/>
        </w:rPr>
      </w:pPr>
    </w:p>
    <w:p w14:paraId="4CD1E4E9" w14:textId="77777777" w:rsidR="008D37B6" w:rsidRPr="009E2A0E" w:rsidRDefault="008D37B6" w:rsidP="008D37B6">
      <w:pPr>
        <w:jc w:val="center"/>
        <w:rPr>
          <w:rFonts w:asciiTheme="majorBidi" w:hAnsiTheme="majorBidi" w:cstheme="majorBidi"/>
          <w:b/>
          <w:bCs/>
          <w:color w:val="000000" w:themeColor="text1"/>
          <w:lang w:val="es-MX"/>
        </w:rPr>
      </w:pPr>
    </w:p>
    <w:p w14:paraId="7732A1E0" w14:textId="77777777" w:rsidR="008D37B6" w:rsidRPr="009E2A0E" w:rsidRDefault="008D37B6" w:rsidP="008D37B6">
      <w:pPr>
        <w:jc w:val="center"/>
        <w:rPr>
          <w:rFonts w:asciiTheme="majorBidi" w:hAnsiTheme="majorBidi" w:cstheme="majorBidi"/>
          <w:b/>
          <w:bCs/>
          <w:color w:val="000000" w:themeColor="text1"/>
          <w:lang w:val="es-MX"/>
        </w:rPr>
      </w:pPr>
    </w:p>
    <w:p w14:paraId="7B61F33C" w14:textId="77777777" w:rsidR="008D37B6" w:rsidRPr="009E2A0E" w:rsidRDefault="008D37B6" w:rsidP="008D37B6">
      <w:pPr>
        <w:jc w:val="center"/>
        <w:rPr>
          <w:rFonts w:asciiTheme="majorBidi" w:hAnsiTheme="majorBidi" w:cstheme="majorBidi"/>
          <w:b/>
          <w:bCs/>
          <w:color w:val="000000" w:themeColor="text1"/>
          <w:lang w:val="es-MX"/>
        </w:rPr>
      </w:pPr>
    </w:p>
    <w:p w14:paraId="3F9FA9ED" w14:textId="77777777" w:rsidR="000C004C" w:rsidRPr="009E2A0E" w:rsidRDefault="000C004C" w:rsidP="000C004C">
      <w:pPr>
        <w:jc w:val="center"/>
        <w:rPr>
          <w:rFonts w:asciiTheme="majorBidi" w:hAnsiTheme="majorBidi" w:cstheme="majorBidi"/>
          <w:b/>
          <w:bCs/>
          <w:color w:val="000000" w:themeColor="text1"/>
          <w:sz w:val="28"/>
          <w:szCs w:val="28"/>
          <w:lang w:val="es-MX"/>
        </w:rPr>
      </w:pPr>
      <w:r w:rsidRPr="009E2A0E">
        <w:rPr>
          <w:rFonts w:asciiTheme="majorBidi" w:hAnsiTheme="majorBidi" w:cstheme="majorBidi"/>
          <w:b/>
          <w:bCs/>
          <w:color w:val="000000" w:themeColor="text1"/>
          <w:sz w:val="28"/>
          <w:szCs w:val="28"/>
          <w:lang w:val="es-MX"/>
        </w:rPr>
        <w:t>Colectivo CERD de Guatemala</w:t>
      </w:r>
    </w:p>
    <w:p w14:paraId="79816E55" w14:textId="68A94D61" w:rsidR="008D37B6" w:rsidRPr="009E2A0E" w:rsidRDefault="008D37B6" w:rsidP="008D37B6">
      <w:pPr>
        <w:jc w:val="center"/>
        <w:rPr>
          <w:rFonts w:asciiTheme="majorBidi" w:hAnsiTheme="majorBidi" w:cstheme="majorBidi"/>
          <w:b/>
          <w:bCs/>
          <w:color w:val="000000" w:themeColor="text1"/>
          <w:sz w:val="28"/>
          <w:szCs w:val="28"/>
          <w:lang w:val="es-MX"/>
        </w:rPr>
        <w:sectPr w:rsidR="008D37B6" w:rsidRPr="009E2A0E">
          <w:headerReference w:type="default" r:id="rId11"/>
          <w:pgSz w:w="12240" w:h="15840"/>
          <w:pgMar w:top="1417" w:right="1701" w:bottom="1417" w:left="1701" w:header="708" w:footer="708" w:gutter="0"/>
          <w:cols w:space="708"/>
          <w:docGrid w:linePitch="360"/>
        </w:sectPr>
      </w:pPr>
      <w:r w:rsidRPr="009E2A0E">
        <w:rPr>
          <w:rFonts w:asciiTheme="majorBidi" w:hAnsiTheme="majorBidi" w:cstheme="majorBidi"/>
          <w:b/>
          <w:bCs/>
          <w:color w:val="000000" w:themeColor="text1"/>
          <w:sz w:val="28"/>
          <w:szCs w:val="28"/>
          <w:lang w:val="es-MX"/>
        </w:rPr>
        <w:t>Ju</w:t>
      </w:r>
      <w:r w:rsidR="00D551AC">
        <w:rPr>
          <w:rFonts w:asciiTheme="majorBidi" w:hAnsiTheme="majorBidi" w:cstheme="majorBidi"/>
          <w:b/>
          <w:bCs/>
          <w:color w:val="000000" w:themeColor="text1"/>
          <w:sz w:val="28"/>
          <w:szCs w:val="28"/>
          <w:lang w:val="es-MX"/>
        </w:rPr>
        <w:t>l</w:t>
      </w:r>
      <w:r w:rsidRPr="009E2A0E">
        <w:rPr>
          <w:rFonts w:asciiTheme="majorBidi" w:hAnsiTheme="majorBidi" w:cstheme="majorBidi"/>
          <w:b/>
          <w:bCs/>
          <w:color w:val="000000" w:themeColor="text1"/>
          <w:sz w:val="28"/>
          <w:szCs w:val="28"/>
          <w:lang w:val="es-MX"/>
        </w:rPr>
        <w:t>io</w:t>
      </w:r>
      <w:r w:rsidR="001E2F62" w:rsidRPr="009E2A0E">
        <w:rPr>
          <w:rFonts w:asciiTheme="majorBidi" w:hAnsiTheme="majorBidi" w:cstheme="majorBidi"/>
          <w:b/>
          <w:bCs/>
          <w:color w:val="000000" w:themeColor="text1"/>
          <w:sz w:val="28"/>
          <w:szCs w:val="28"/>
          <w:lang w:val="es-MX"/>
        </w:rPr>
        <w:t>, 2025</w:t>
      </w:r>
    </w:p>
    <w:p w14:paraId="25F3961E" w14:textId="77777777" w:rsidR="00827086" w:rsidRPr="009E2A0E" w:rsidRDefault="00827086" w:rsidP="00827086">
      <w:pPr>
        <w:pStyle w:val="Prrafodelista"/>
        <w:ind w:left="360"/>
        <w:rPr>
          <w:rFonts w:asciiTheme="majorBidi" w:hAnsiTheme="majorBidi" w:cstheme="majorBidi"/>
          <w:b/>
          <w:bCs/>
          <w:color w:val="000000" w:themeColor="text1"/>
          <w:lang w:val="es-MX"/>
        </w:rPr>
      </w:pPr>
    </w:p>
    <w:p w14:paraId="663164F2" w14:textId="72D2ED67" w:rsidR="0032389E" w:rsidRPr="009E2A0E" w:rsidRDefault="007F1C6B" w:rsidP="00197C3D">
      <w:pPr>
        <w:pStyle w:val="Prrafodelista"/>
        <w:numPr>
          <w:ilvl w:val="1"/>
          <w:numId w:val="5"/>
        </w:numPr>
        <w:jc w:val="center"/>
        <w:rPr>
          <w:rFonts w:asciiTheme="majorBidi" w:hAnsiTheme="majorBidi" w:cstheme="majorBidi"/>
          <w:b/>
          <w:bCs/>
          <w:color w:val="000000" w:themeColor="text1"/>
          <w:lang w:val="es-MX"/>
        </w:rPr>
      </w:pPr>
      <w:r w:rsidRPr="009E2A0E">
        <w:rPr>
          <w:rFonts w:asciiTheme="majorBidi" w:hAnsiTheme="majorBidi" w:cstheme="majorBidi"/>
          <w:b/>
          <w:bCs/>
          <w:color w:val="000000" w:themeColor="text1"/>
          <w:lang w:val="es-MX"/>
        </w:rPr>
        <w:t>Í</w:t>
      </w:r>
      <w:r w:rsidR="00AB2641" w:rsidRPr="009E2A0E">
        <w:rPr>
          <w:rFonts w:asciiTheme="majorBidi" w:hAnsiTheme="majorBidi" w:cstheme="majorBidi"/>
          <w:b/>
          <w:bCs/>
          <w:color w:val="000000" w:themeColor="text1"/>
          <w:lang w:val="es-MX"/>
        </w:rPr>
        <w:t>ndice</w:t>
      </w:r>
    </w:p>
    <w:sdt>
      <w:sdtPr>
        <w:rPr>
          <w:rFonts w:asciiTheme="majorBidi" w:eastAsiaTheme="minorEastAsia" w:hAnsiTheme="majorBidi" w:cstheme="minorBidi"/>
          <w:color w:val="auto"/>
          <w:kern w:val="2"/>
          <w:sz w:val="22"/>
          <w:szCs w:val="22"/>
          <w:lang w:val="es-ES"/>
          <w14:ligatures w14:val="standardContextual"/>
        </w:rPr>
        <w:id w:val="1822538888"/>
        <w:docPartObj>
          <w:docPartGallery w:val="Table of Contents"/>
          <w:docPartUnique/>
        </w:docPartObj>
      </w:sdtPr>
      <w:sdtEndPr>
        <w:rPr>
          <w:b/>
          <w:bCs/>
        </w:rPr>
      </w:sdtEndPr>
      <w:sdtContent>
        <w:p w14:paraId="4F64C4AD" w14:textId="69BA31B6" w:rsidR="00827086" w:rsidRPr="009E2A0E" w:rsidRDefault="00827086" w:rsidP="00731467">
          <w:pPr>
            <w:pStyle w:val="TtuloTDC"/>
            <w:rPr>
              <w:rFonts w:asciiTheme="majorBidi" w:hAnsiTheme="majorBidi"/>
            </w:rPr>
          </w:pPr>
        </w:p>
        <w:p w14:paraId="3776464A" w14:textId="663247E6" w:rsidR="008B44CB" w:rsidRDefault="00827086">
          <w:pPr>
            <w:pStyle w:val="TDC1"/>
            <w:tabs>
              <w:tab w:val="left" w:pos="720"/>
              <w:tab w:val="right" w:leader="dot" w:pos="8828"/>
            </w:tabs>
            <w:rPr>
              <w:noProof/>
              <w:sz w:val="24"/>
              <w:szCs w:val="24"/>
            </w:rPr>
          </w:pPr>
          <w:r w:rsidRPr="009E2A0E">
            <w:rPr>
              <w:rFonts w:asciiTheme="majorBidi" w:hAnsiTheme="majorBidi" w:cstheme="majorBidi"/>
            </w:rPr>
            <w:fldChar w:fldCharType="begin"/>
          </w:r>
          <w:r w:rsidRPr="009E2A0E">
            <w:rPr>
              <w:rFonts w:asciiTheme="majorBidi" w:hAnsiTheme="majorBidi" w:cstheme="majorBidi"/>
            </w:rPr>
            <w:instrText xml:space="preserve"> TOC \o "1-3" \h \z \u </w:instrText>
          </w:r>
          <w:r w:rsidRPr="009E2A0E">
            <w:rPr>
              <w:rFonts w:asciiTheme="majorBidi" w:hAnsiTheme="majorBidi" w:cstheme="majorBidi"/>
            </w:rPr>
            <w:fldChar w:fldCharType="separate"/>
          </w:r>
          <w:hyperlink w:anchor="_Toc204264024" w:history="1">
            <w:r w:rsidR="008B44CB" w:rsidRPr="00311BA4">
              <w:rPr>
                <w:rStyle w:val="Hipervnculo"/>
                <w:rFonts w:asciiTheme="majorBidi" w:hAnsiTheme="majorBidi" w:cstheme="majorBidi"/>
                <w:b/>
                <w:bCs/>
                <w:noProof/>
                <w:lang w:val="es-MX"/>
              </w:rPr>
              <w:t>II.</w:t>
            </w:r>
            <w:r w:rsidR="008B44CB">
              <w:rPr>
                <w:noProof/>
                <w:sz w:val="24"/>
                <w:szCs w:val="24"/>
              </w:rPr>
              <w:tab/>
            </w:r>
            <w:r w:rsidR="008B44CB" w:rsidRPr="00311BA4">
              <w:rPr>
                <w:rStyle w:val="Hipervnculo"/>
                <w:rFonts w:asciiTheme="majorBidi" w:hAnsiTheme="majorBidi" w:cstheme="majorBidi"/>
                <w:b/>
                <w:bCs/>
                <w:noProof/>
                <w:lang w:val="es-MX"/>
              </w:rPr>
              <w:t>Introducción</w:t>
            </w:r>
            <w:r w:rsidR="008B44CB">
              <w:rPr>
                <w:noProof/>
                <w:webHidden/>
              </w:rPr>
              <w:tab/>
            </w:r>
            <w:r w:rsidR="008B44CB">
              <w:rPr>
                <w:noProof/>
                <w:webHidden/>
              </w:rPr>
              <w:fldChar w:fldCharType="begin"/>
            </w:r>
            <w:r w:rsidR="008B44CB">
              <w:rPr>
                <w:noProof/>
                <w:webHidden/>
              </w:rPr>
              <w:instrText xml:space="preserve"> PAGEREF _Toc204264024 \h </w:instrText>
            </w:r>
            <w:r w:rsidR="008B44CB">
              <w:rPr>
                <w:noProof/>
                <w:webHidden/>
              </w:rPr>
            </w:r>
            <w:r w:rsidR="008B44CB">
              <w:rPr>
                <w:noProof/>
                <w:webHidden/>
              </w:rPr>
              <w:fldChar w:fldCharType="separate"/>
            </w:r>
            <w:r w:rsidR="00AA79A9">
              <w:rPr>
                <w:noProof/>
                <w:webHidden/>
              </w:rPr>
              <w:t>I</w:t>
            </w:r>
            <w:r w:rsidR="008B44CB">
              <w:rPr>
                <w:noProof/>
                <w:webHidden/>
              </w:rPr>
              <w:fldChar w:fldCharType="end"/>
            </w:r>
          </w:hyperlink>
        </w:p>
        <w:p w14:paraId="4F735D13" w14:textId="59B23845" w:rsidR="008B44CB" w:rsidRDefault="008B44CB">
          <w:pPr>
            <w:pStyle w:val="TDC1"/>
            <w:tabs>
              <w:tab w:val="left" w:pos="720"/>
              <w:tab w:val="right" w:leader="dot" w:pos="8828"/>
            </w:tabs>
            <w:rPr>
              <w:noProof/>
              <w:sz w:val="24"/>
              <w:szCs w:val="24"/>
            </w:rPr>
          </w:pPr>
          <w:hyperlink w:anchor="_Toc204264025" w:history="1">
            <w:r w:rsidRPr="00311BA4">
              <w:rPr>
                <w:rStyle w:val="Hipervnculo"/>
                <w:rFonts w:asciiTheme="majorBidi" w:hAnsiTheme="majorBidi" w:cstheme="majorBidi"/>
                <w:b/>
                <w:bCs/>
                <w:noProof/>
              </w:rPr>
              <w:t>III.</w:t>
            </w:r>
            <w:r>
              <w:rPr>
                <w:noProof/>
                <w:sz w:val="24"/>
                <w:szCs w:val="24"/>
              </w:rPr>
              <w:tab/>
            </w:r>
            <w:r w:rsidRPr="00311BA4">
              <w:rPr>
                <w:rStyle w:val="Hipervnculo"/>
                <w:rFonts w:asciiTheme="majorBidi" w:hAnsiTheme="majorBidi" w:cstheme="majorBidi"/>
                <w:b/>
                <w:bCs/>
                <w:noProof/>
              </w:rPr>
              <w:t>Integrantes del Colectivo CERD Guatemala</w:t>
            </w:r>
            <w:r>
              <w:rPr>
                <w:noProof/>
                <w:webHidden/>
              </w:rPr>
              <w:tab/>
            </w:r>
            <w:r>
              <w:rPr>
                <w:noProof/>
                <w:webHidden/>
              </w:rPr>
              <w:fldChar w:fldCharType="begin"/>
            </w:r>
            <w:r>
              <w:rPr>
                <w:noProof/>
                <w:webHidden/>
              </w:rPr>
              <w:instrText xml:space="preserve"> PAGEREF _Toc204264025 \h </w:instrText>
            </w:r>
            <w:r>
              <w:rPr>
                <w:noProof/>
                <w:webHidden/>
              </w:rPr>
            </w:r>
            <w:r>
              <w:rPr>
                <w:noProof/>
                <w:webHidden/>
              </w:rPr>
              <w:fldChar w:fldCharType="separate"/>
            </w:r>
            <w:r w:rsidR="00AA79A9">
              <w:rPr>
                <w:noProof/>
                <w:webHidden/>
              </w:rPr>
              <w:t>II</w:t>
            </w:r>
            <w:r>
              <w:rPr>
                <w:noProof/>
                <w:webHidden/>
              </w:rPr>
              <w:fldChar w:fldCharType="end"/>
            </w:r>
          </w:hyperlink>
        </w:p>
        <w:p w14:paraId="17C673BA" w14:textId="2FF5D06F" w:rsidR="008B44CB" w:rsidRDefault="008B44CB">
          <w:pPr>
            <w:pStyle w:val="TDC1"/>
            <w:tabs>
              <w:tab w:val="left" w:pos="440"/>
              <w:tab w:val="right" w:leader="dot" w:pos="8828"/>
            </w:tabs>
            <w:rPr>
              <w:noProof/>
              <w:sz w:val="24"/>
              <w:szCs w:val="24"/>
            </w:rPr>
          </w:pPr>
          <w:hyperlink w:anchor="_Toc204264026" w:history="1">
            <w:r w:rsidRPr="00311BA4">
              <w:rPr>
                <w:rStyle w:val="Hipervnculo"/>
                <w:rFonts w:asciiTheme="majorBidi" w:hAnsiTheme="majorBidi" w:cstheme="majorBidi"/>
                <w:b/>
                <w:bCs/>
                <w:noProof/>
                <w:lang w:val="es-MX"/>
              </w:rPr>
              <w:t>1.</w:t>
            </w:r>
            <w:r>
              <w:rPr>
                <w:noProof/>
                <w:sz w:val="24"/>
                <w:szCs w:val="24"/>
              </w:rPr>
              <w:tab/>
            </w:r>
            <w:r w:rsidRPr="00311BA4">
              <w:rPr>
                <w:rStyle w:val="Hipervnculo"/>
                <w:rFonts w:asciiTheme="majorBidi" w:hAnsiTheme="majorBidi" w:cstheme="majorBidi"/>
                <w:b/>
                <w:bCs/>
                <w:noProof/>
                <w:lang w:val="es-MX"/>
              </w:rPr>
              <w:t>Contexto de la situación de los Pueblos Indígenas y Afrodescendientes (Párr. 2, 8, 11, 15 y 23 del Listado de Temas)</w:t>
            </w:r>
            <w:r>
              <w:rPr>
                <w:noProof/>
                <w:webHidden/>
              </w:rPr>
              <w:tab/>
            </w:r>
            <w:r>
              <w:rPr>
                <w:noProof/>
                <w:webHidden/>
              </w:rPr>
              <w:fldChar w:fldCharType="begin"/>
            </w:r>
            <w:r>
              <w:rPr>
                <w:noProof/>
                <w:webHidden/>
              </w:rPr>
              <w:instrText xml:space="preserve"> PAGEREF _Toc204264026 \h </w:instrText>
            </w:r>
            <w:r>
              <w:rPr>
                <w:noProof/>
                <w:webHidden/>
              </w:rPr>
            </w:r>
            <w:r>
              <w:rPr>
                <w:noProof/>
                <w:webHidden/>
              </w:rPr>
              <w:fldChar w:fldCharType="separate"/>
            </w:r>
            <w:r w:rsidR="00AA79A9">
              <w:rPr>
                <w:noProof/>
                <w:webHidden/>
              </w:rPr>
              <w:t>1</w:t>
            </w:r>
            <w:r>
              <w:rPr>
                <w:noProof/>
                <w:webHidden/>
              </w:rPr>
              <w:fldChar w:fldCharType="end"/>
            </w:r>
          </w:hyperlink>
        </w:p>
        <w:p w14:paraId="33526789" w14:textId="23046F82" w:rsidR="008B44CB" w:rsidRPr="008B44CB" w:rsidRDefault="008B44CB">
          <w:pPr>
            <w:pStyle w:val="TDC2"/>
            <w:tabs>
              <w:tab w:val="left" w:pos="960"/>
              <w:tab w:val="right" w:leader="dot" w:pos="8828"/>
            </w:tabs>
            <w:rPr>
              <w:noProof/>
              <w:sz w:val="24"/>
              <w:szCs w:val="24"/>
            </w:rPr>
          </w:pPr>
          <w:hyperlink w:anchor="_Toc204264027" w:history="1">
            <w:r w:rsidRPr="008B44CB">
              <w:rPr>
                <w:rStyle w:val="Hipervnculo"/>
                <w:rFonts w:asciiTheme="majorBidi" w:eastAsia="Calibri Light" w:hAnsiTheme="majorBidi" w:cstheme="majorBidi"/>
                <w:noProof/>
                <w:lang w:val="es-ES"/>
              </w:rPr>
              <w:t>1.1.</w:t>
            </w:r>
            <w:r w:rsidRPr="008B44CB">
              <w:rPr>
                <w:noProof/>
                <w:sz w:val="24"/>
                <w:szCs w:val="24"/>
              </w:rPr>
              <w:tab/>
            </w:r>
            <w:r w:rsidRPr="008B44CB">
              <w:rPr>
                <w:rStyle w:val="Hipervnculo"/>
                <w:rFonts w:asciiTheme="majorBidi" w:eastAsia="Calibri Light" w:hAnsiTheme="majorBidi" w:cstheme="majorBidi"/>
                <w:noProof/>
                <w:lang w:val="es-ES"/>
              </w:rPr>
              <w:t>Situación de las mujeres indígenas y afrodescendientes</w:t>
            </w:r>
            <w:r w:rsidRPr="008B44CB">
              <w:rPr>
                <w:noProof/>
                <w:webHidden/>
              </w:rPr>
              <w:tab/>
            </w:r>
            <w:r w:rsidRPr="008B44CB">
              <w:rPr>
                <w:noProof/>
                <w:webHidden/>
              </w:rPr>
              <w:fldChar w:fldCharType="begin"/>
            </w:r>
            <w:r w:rsidRPr="008B44CB">
              <w:rPr>
                <w:noProof/>
                <w:webHidden/>
              </w:rPr>
              <w:instrText xml:space="preserve"> PAGEREF _Toc204264027 \h </w:instrText>
            </w:r>
            <w:r w:rsidRPr="008B44CB">
              <w:rPr>
                <w:noProof/>
                <w:webHidden/>
              </w:rPr>
            </w:r>
            <w:r w:rsidRPr="008B44CB">
              <w:rPr>
                <w:noProof/>
                <w:webHidden/>
              </w:rPr>
              <w:fldChar w:fldCharType="separate"/>
            </w:r>
            <w:r w:rsidR="00AA79A9">
              <w:rPr>
                <w:noProof/>
                <w:webHidden/>
              </w:rPr>
              <w:t>3</w:t>
            </w:r>
            <w:r w:rsidRPr="008B44CB">
              <w:rPr>
                <w:noProof/>
                <w:webHidden/>
              </w:rPr>
              <w:fldChar w:fldCharType="end"/>
            </w:r>
          </w:hyperlink>
        </w:p>
        <w:p w14:paraId="7B5AB8C0" w14:textId="53F212DA" w:rsidR="008B44CB" w:rsidRPr="008B44CB" w:rsidRDefault="008B44CB">
          <w:pPr>
            <w:pStyle w:val="TDC2"/>
            <w:tabs>
              <w:tab w:val="left" w:pos="960"/>
              <w:tab w:val="right" w:leader="dot" w:pos="8828"/>
            </w:tabs>
            <w:rPr>
              <w:noProof/>
              <w:sz w:val="24"/>
              <w:szCs w:val="24"/>
            </w:rPr>
          </w:pPr>
          <w:hyperlink w:anchor="_Toc204264028" w:history="1">
            <w:r w:rsidRPr="008B44CB">
              <w:rPr>
                <w:rStyle w:val="Hipervnculo"/>
                <w:rFonts w:asciiTheme="majorBidi" w:eastAsia="Calibri Light" w:hAnsiTheme="majorBidi" w:cstheme="majorBidi"/>
                <w:noProof/>
                <w:lang w:val="es-ES"/>
              </w:rPr>
              <w:t>1.2.</w:t>
            </w:r>
            <w:r w:rsidRPr="008B44CB">
              <w:rPr>
                <w:noProof/>
                <w:sz w:val="24"/>
                <w:szCs w:val="24"/>
              </w:rPr>
              <w:tab/>
            </w:r>
            <w:r w:rsidRPr="008B44CB">
              <w:rPr>
                <w:rStyle w:val="Hipervnculo"/>
                <w:rFonts w:asciiTheme="majorBidi" w:eastAsia="Calibri Light" w:hAnsiTheme="majorBidi" w:cstheme="majorBidi"/>
                <w:noProof/>
                <w:lang w:val="es-ES"/>
              </w:rPr>
              <w:t>Situación de derechos humanos de personas jóvenes indígenas</w:t>
            </w:r>
            <w:r w:rsidRPr="008B44CB">
              <w:rPr>
                <w:noProof/>
                <w:webHidden/>
              </w:rPr>
              <w:tab/>
            </w:r>
            <w:r w:rsidRPr="008B44CB">
              <w:rPr>
                <w:noProof/>
                <w:webHidden/>
              </w:rPr>
              <w:fldChar w:fldCharType="begin"/>
            </w:r>
            <w:r w:rsidRPr="008B44CB">
              <w:rPr>
                <w:noProof/>
                <w:webHidden/>
              </w:rPr>
              <w:instrText xml:space="preserve"> PAGEREF _Toc204264028 \h </w:instrText>
            </w:r>
            <w:r w:rsidRPr="008B44CB">
              <w:rPr>
                <w:noProof/>
                <w:webHidden/>
              </w:rPr>
            </w:r>
            <w:r w:rsidRPr="008B44CB">
              <w:rPr>
                <w:noProof/>
                <w:webHidden/>
              </w:rPr>
              <w:fldChar w:fldCharType="separate"/>
            </w:r>
            <w:r w:rsidR="00AA79A9">
              <w:rPr>
                <w:noProof/>
                <w:webHidden/>
              </w:rPr>
              <w:t>4</w:t>
            </w:r>
            <w:r w:rsidRPr="008B44CB">
              <w:rPr>
                <w:noProof/>
                <w:webHidden/>
              </w:rPr>
              <w:fldChar w:fldCharType="end"/>
            </w:r>
          </w:hyperlink>
        </w:p>
        <w:p w14:paraId="626E909D" w14:textId="4CD7851C" w:rsidR="008B44CB" w:rsidRPr="008B44CB" w:rsidRDefault="008B44CB">
          <w:pPr>
            <w:pStyle w:val="TDC2"/>
            <w:tabs>
              <w:tab w:val="left" w:pos="960"/>
              <w:tab w:val="right" w:leader="dot" w:pos="8828"/>
            </w:tabs>
            <w:rPr>
              <w:noProof/>
              <w:sz w:val="24"/>
              <w:szCs w:val="24"/>
            </w:rPr>
          </w:pPr>
          <w:hyperlink w:anchor="_Toc204264029" w:history="1">
            <w:r w:rsidRPr="008B44CB">
              <w:rPr>
                <w:rStyle w:val="Hipervnculo"/>
                <w:rFonts w:asciiTheme="majorBidi" w:hAnsiTheme="majorBidi" w:cstheme="majorBidi"/>
                <w:noProof/>
                <w:lang w:val="es-ES"/>
              </w:rPr>
              <w:t>1.3.</w:t>
            </w:r>
            <w:r w:rsidRPr="008B44CB">
              <w:rPr>
                <w:noProof/>
                <w:sz w:val="24"/>
                <w:szCs w:val="24"/>
              </w:rPr>
              <w:tab/>
            </w:r>
            <w:r w:rsidRPr="008B44CB">
              <w:rPr>
                <w:rStyle w:val="Hipervnculo"/>
                <w:rFonts w:asciiTheme="majorBidi" w:hAnsiTheme="majorBidi" w:cstheme="majorBidi"/>
                <w:noProof/>
                <w:lang w:val="es-ES"/>
              </w:rPr>
              <w:t>Recomendaciones Generales</w:t>
            </w:r>
            <w:r w:rsidRPr="008B44CB">
              <w:rPr>
                <w:noProof/>
                <w:webHidden/>
              </w:rPr>
              <w:tab/>
            </w:r>
            <w:r w:rsidRPr="008B44CB">
              <w:rPr>
                <w:noProof/>
                <w:webHidden/>
              </w:rPr>
              <w:fldChar w:fldCharType="begin"/>
            </w:r>
            <w:r w:rsidRPr="008B44CB">
              <w:rPr>
                <w:noProof/>
                <w:webHidden/>
              </w:rPr>
              <w:instrText xml:space="preserve"> PAGEREF _Toc204264029 \h </w:instrText>
            </w:r>
            <w:r w:rsidRPr="008B44CB">
              <w:rPr>
                <w:noProof/>
                <w:webHidden/>
              </w:rPr>
            </w:r>
            <w:r w:rsidRPr="008B44CB">
              <w:rPr>
                <w:noProof/>
                <w:webHidden/>
              </w:rPr>
              <w:fldChar w:fldCharType="separate"/>
            </w:r>
            <w:r w:rsidR="00AA79A9">
              <w:rPr>
                <w:noProof/>
                <w:webHidden/>
              </w:rPr>
              <w:t>5</w:t>
            </w:r>
            <w:r w:rsidRPr="008B44CB">
              <w:rPr>
                <w:noProof/>
                <w:webHidden/>
              </w:rPr>
              <w:fldChar w:fldCharType="end"/>
            </w:r>
          </w:hyperlink>
        </w:p>
        <w:p w14:paraId="46AEC268" w14:textId="2785B5B5" w:rsidR="008B44CB" w:rsidRDefault="008B44CB">
          <w:pPr>
            <w:pStyle w:val="TDC1"/>
            <w:tabs>
              <w:tab w:val="left" w:pos="440"/>
              <w:tab w:val="right" w:leader="dot" w:pos="8828"/>
            </w:tabs>
            <w:rPr>
              <w:noProof/>
              <w:sz w:val="24"/>
              <w:szCs w:val="24"/>
            </w:rPr>
          </w:pPr>
          <w:hyperlink w:anchor="_Toc204264030" w:history="1">
            <w:r w:rsidRPr="00311BA4">
              <w:rPr>
                <w:rStyle w:val="Hipervnculo"/>
                <w:rFonts w:asciiTheme="majorBidi" w:hAnsiTheme="majorBidi" w:cstheme="majorBidi"/>
                <w:b/>
                <w:bCs/>
                <w:noProof/>
                <w:lang w:val="es-MX"/>
              </w:rPr>
              <w:t>2.</w:t>
            </w:r>
            <w:r>
              <w:rPr>
                <w:noProof/>
                <w:sz w:val="24"/>
                <w:szCs w:val="24"/>
              </w:rPr>
              <w:tab/>
            </w:r>
            <w:r w:rsidRPr="00311BA4">
              <w:rPr>
                <w:rStyle w:val="Hipervnculo"/>
                <w:rFonts w:asciiTheme="majorBidi" w:hAnsiTheme="majorBidi" w:cstheme="majorBidi"/>
                <w:b/>
                <w:bCs/>
                <w:noProof/>
                <w:lang w:val="es-MX"/>
              </w:rPr>
              <w:t>Situación de derechos de los pueblos indígenas y afrodescendientes</w:t>
            </w:r>
            <w:r>
              <w:rPr>
                <w:noProof/>
                <w:webHidden/>
              </w:rPr>
              <w:tab/>
            </w:r>
            <w:r>
              <w:rPr>
                <w:noProof/>
                <w:webHidden/>
              </w:rPr>
              <w:fldChar w:fldCharType="begin"/>
            </w:r>
            <w:r>
              <w:rPr>
                <w:noProof/>
                <w:webHidden/>
              </w:rPr>
              <w:instrText xml:space="preserve"> PAGEREF _Toc204264030 \h </w:instrText>
            </w:r>
            <w:r>
              <w:rPr>
                <w:noProof/>
                <w:webHidden/>
              </w:rPr>
            </w:r>
            <w:r>
              <w:rPr>
                <w:noProof/>
                <w:webHidden/>
              </w:rPr>
              <w:fldChar w:fldCharType="separate"/>
            </w:r>
            <w:r w:rsidR="00AA79A9">
              <w:rPr>
                <w:noProof/>
                <w:webHidden/>
              </w:rPr>
              <w:t>6</w:t>
            </w:r>
            <w:r>
              <w:rPr>
                <w:noProof/>
                <w:webHidden/>
              </w:rPr>
              <w:fldChar w:fldCharType="end"/>
            </w:r>
          </w:hyperlink>
        </w:p>
        <w:p w14:paraId="3964F4C9" w14:textId="3146C161" w:rsidR="008B44CB" w:rsidRDefault="008B44CB">
          <w:pPr>
            <w:pStyle w:val="TDC2"/>
            <w:tabs>
              <w:tab w:val="left" w:pos="960"/>
              <w:tab w:val="right" w:leader="dot" w:pos="8828"/>
            </w:tabs>
            <w:rPr>
              <w:noProof/>
              <w:sz w:val="24"/>
              <w:szCs w:val="24"/>
            </w:rPr>
          </w:pPr>
          <w:hyperlink w:anchor="_Toc204264031" w:history="1">
            <w:r w:rsidRPr="00311BA4">
              <w:rPr>
                <w:rStyle w:val="Hipervnculo"/>
                <w:rFonts w:asciiTheme="majorBidi" w:hAnsiTheme="majorBidi" w:cstheme="majorBidi"/>
                <w:b/>
                <w:bCs/>
                <w:noProof/>
                <w:lang w:val="es-MX"/>
              </w:rPr>
              <w:t>2.1.</w:t>
            </w:r>
            <w:r>
              <w:rPr>
                <w:noProof/>
                <w:sz w:val="24"/>
                <w:szCs w:val="24"/>
              </w:rPr>
              <w:tab/>
            </w:r>
            <w:r w:rsidRPr="00311BA4">
              <w:rPr>
                <w:rStyle w:val="Hipervnculo"/>
                <w:rFonts w:asciiTheme="majorBidi" w:hAnsiTheme="majorBidi" w:cstheme="majorBidi"/>
                <w:b/>
                <w:bCs/>
                <w:noProof/>
                <w:lang w:val="es-MX"/>
              </w:rPr>
              <w:t>Libertad de asociación y reunión pacífica (Párr. 12 del Listado de Temas)</w:t>
            </w:r>
            <w:r>
              <w:rPr>
                <w:noProof/>
                <w:webHidden/>
              </w:rPr>
              <w:tab/>
            </w:r>
            <w:r>
              <w:rPr>
                <w:noProof/>
                <w:webHidden/>
              </w:rPr>
              <w:fldChar w:fldCharType="begin"/>
            </w:r>
            <w:r>
              <w:rPr>
                <w:noProof/>
                <w:webHidden/>
              </w:rPr>
              <w:instrText xml:space="preserve"> PAGEREF _Toc204264031 \h </w:instrText>
            </w:r>
            <w:r>
              <w:rPr>
                <w:noProof/>
                <w:webHidden/>
              </w:rPr>
            </w:r>
            <w:r>
              <w:rPr>
                <w:noProof/>
                <w:webHidden/>
              </w:rPr>
              <w:fldChar w:fldCharType="separate"/>
            </w:r>
            <w:r w:rsidR="00AA79A9">
              <w:rPr>
                <w:noProof/>
                <w:webHidden/>
              </w:rPr>
              <w:t>6</w:t>
            </w:r>
            <w:r>
              <w:rPr>
                <w:noProof/>
                <w:webHidden/>
              </w:rPr>
              <w:fldChar w:fldCharType="end"/>
            </w:r>
          </w:hyperlink>
        </w:p>
        <w:p w14:paraId="710F9729" w14:textId="6CD9DDD0" w:rsidR="008B44CB" w:rsidRPr="008B44CB" w:rsidRDefault="008B44CB">
          <w:pPr>
            <w:pStyle w:val="TDC3"/>
            <w:tabs>
              <w:tab w:val="left" w:pos="1200"/>
              <w:tab w:val="right" w:leader="dot" w:pos="8828"/>
            </w:tabs>
            <w:rPr>
              <w:noProof/>
              <w:sz w:val="24"/>
              <w:szCs w:val="24"/>
            </w:rPr>
          </w:pPr>
          <w:hyperlink w:anchor="_Toc204264032" w:history="1">
            <w:r w:rsidRPr="008B44CB">
              <w:rPr>
                <w:rStyle w:val="Hipervnculo"/>
                <w:rFonts w:asciiTheme="majorBidi" w:eastAsia="Times New Roman" w:hAnsiTheme="majorBidi" w:cstheme="majorBidi"/>
                <w:noProof/>
                <w:lang w:val="es-MX"/>
              </w:rPr>
              <w:t>2.1.1.</w:t>
            </w:r>
            <w:r w:rsidRPr="008B44CB">
              <w:rPr>
                <w:noProof/>
                <w:sz w:val="24"/>
                <w:szCs w:val="24"/>
              </w:rPr>
              <w:tab/>
            </w:r>
            <w:r w:rsidRPr="008B44CB">
              <w:rPr>
                <w:rStyle w:val="Hipervnculo"/>
                <w:rFonts w:asciiTheme="majorBidi" w:eastAsia="Times New Roman" w:hAnsiTheme="majorBidi" w:cstheme="majorBidi"/>
                <w:noProof/>
                <w:shd w:val="clear" w:color="auto" w:fill="FFFFFF"/>
                <w:lang w:val="es-MX"/>
              </w:rPr>
              <w:t>Ejercicio del derecho de libre determinación de los pueblos indígenas en lugares públicos</w:t>
            </w:r>
            <w:r w:rsidRPr="008B44CB">
              <w:rPr>
                <w:noProof/>
                <w:webHidden/>
              </w:rPr>
              <w:tab/>
            </w:r>
            <w:r w:rsidRPr="008B44CB">
              <w:rPr>
                <w:noProof/>
                <w:webHidden/>
              </w:rPr>
              <w:fldChar w:fldCharType="begin"/>
            </w:r>
            <w:r w:rsidRPr="008B44CB">
              <w:rPr>
                <w:noProof/>
                <w:webHidden/>
              </w:rPr>
              <w:instrText xml:space="preserve"> PAGEREF _Toc204264032 \h </w:instrText>
            </w:r>
            <w:r w:rsidRPr="008B44CB">
              <w:rPr>
                <w:noProof/>
                <w:webHidden/>
              </w:rPr>
            </w:r>
            <w:r w:rsidRPr="008B44CB">
              <w:rPr>
                <w:noProof/>
                <w:webHidden/>
              </w:rPr>
              <w:fldChar w:fldCharType="separate"/>
            </w:r>
            <w:r w:rsidR="00AA79A9">
              <w:rPr>
                <w:noProof/>
                <w:webHidden/>
              </w:rPr>
              <w:t>7</w:t>
            </w:r>
            <w:r w:rsidRPr="008B44CB">
              <w:rPr>
                <w:noProof/>
                <w:webHidden/>
              </w:rPr>
              <w:fldChar w:fldCharType="end"/>
            </w:r>
          </w:hyperlink>
        </w:p>
        <w:p w14:paraId="7E26FF6B" w14:textId="3693BCB6" w:rsidR="008B44CB" w:rsidRPr="008B44CB" w:rsidRDefault="008B44CB">
          <w:pPr>
            <w:pStyle w:val="TDC3"/>
            <w:tabs>
              <w:tab w:val="left" w:pos="1200"/>
              <w:tab w:val="right" w:leader="dot" w:pos="8828"/>
            </w:tabs>
            <w:rPr>
              <w:noProof/>
              <w:sz w:val="24"/>
              <w:szCs w:val="24"/>
            </w:rPr>
          </w:pPr>
          <w:hyperlink w:anchor="_Toc204264033" w:history="1">
            <w:r w:rsidRPr="008B44CB">
              <w:rPr>
                <w:rStyle w:val="Hipervnculo"/>
                <w:rFonts w:asciiTheme="majorBidi" w:eastAsia="Times New Roman" w:hAnsiTheme="majorBidi" w:cstheme="majorBidi"/>
                <w:noProof/>
              </w:rPr>
              <w:t>2.1.2.</w:t>
            </w:r>
            <w:r w:rsidRPr="008B44CB">
              <w:rPr>
                <w:noProof/>
                <w:sz w:val="24"/>
                <w:szCs w:val="24"/>
              </w:rPr>
              <w:tab/>
            </w:r>
            <w:r w:rsidRPr="008B44CB">
              <w:rPr>
                <w:rStyle w:val="Hipervnculo"/>
                <w:rFonts w:asciiTheme="majorBidi" w:eastAsia="Times New Roman" w:hAnsiTheme="majorBidi" w:cstheme="majorBidi"/>
                <w:noProof/>
              </w:rPr>
              <w:t>Estados de excepción y restricciones indebidas y excesivas</w:t>
            </w:r>
            <w:r w:rsidRPr="008B44CB">
              <w:rPr>
                <w:noProof/>
                <w:webHidden/>
              </w:rPr>
              <w:tab/>
            </w:r>
            <w:r w:rsidRPr="008B44CB">
              <w:rPr>
                <w:noProof/>
                <w:webHidden/>
              </w:rPr>
              <w:fldChar w:fldCharType="begin"/>
            </w:r>
            <w:r w:rsidRPr="008B44CB">
              <w:rPr>
                <w:noProof/>
                <w:webHidden/>
              </w:rPr>
              <w:instrText xml:space="preserve"> PAGEREF _Toc204264033 \h </w:instrText>
            </w:r>
            <w:r w:rsidRPr="008B44CB">
              <w:rPr>
                <w:noProof/>
                <w:webHidden/>
              </w:rPr>
            </w:r>
            <w:r w:rsidRPr="008B44CB">
              <w:rPr>
                <w:noProof/>
                <w:webHidden/>
              </w:rPr>
              <w:fldChar w:fldCharType="separate"/>
            </w:r>
            <w:r w:rsidR="00AA79A9">
              <w:rPr>
                <w:noProof/>
                <w:webHidden/>
              </w:rPr>
              <w:t>9</w:t>
            </w:r>
            <w:r w:rsidRPr="008B44CB">
              <w:rPr>
                <w:noProof/>
                <w:webHidden/>
              </w:rPr>
              <w:fldChar w:fldCharType="end"/>
            </w:r>
          </w:hyperlink>
        </w:p>
        <w:p w14:paraId="3921B212" w14:textId="19E7CD2F" w:rsidR="008B44CB" w:rsidRPr="008B44CB" w:rsidRDefault="008B44CB">
          <w:pPr>
            <w:pStyle w:val="TDC3"/>
            <w:tabs>
              <w:tab w:val="left" w:pos="1200"/>
              <w:tab w:val="right" w:leader="dot" w:pos="8828"/>
            </w:tabs>
            <w:rPr>
              <w:noProof/>
              <w:sz w:val="24"/>
              <w:szCs w:val="24"/>
            </w:rPr>
          </w:pPr>
          <w:hyperlink w:anchor="_Toc204264034" w:history="1">
            <w:r w:rsidRPr="008B44CB">
              <w:rPr>
                <w:rStyle w:val="Hipervnculo"/>
                <w:rFonts w:asciiTheme="majorBidi" w:eastAsia="Times New Roman" w:hAnsiTheme="majorBidi" w:cstheme="majorBidi"/>
                <w:noProof/>
              </w:rPr>
              <w:t>2.1.3.</w:t>
            </w:r>
            <w:r w:rsidRPr="008B44CB">
              <w:rPr>
                <w:noProof/>
                <w:sz w:val="24"/>
                <w:szCs w:val="24"/>
              </w:rPr>
              <w:tab/>
            </w:r>
            <w:r w:rsidRPr="008B44CB">
              <w:rPr>
                <w:rStyle w:val="Hipervnculo"/>
                <w:rFonts w:asciiTheme="majorBidi" w:eastAsia="Times New Roman" w:hAnsiTheme="majorBidi" w:cstheme="majorBidi"/>
                <w:noProof/>
              </w:rPr>
              <w:t>Preocupación por la criminalización de personas defensoras de derechos humanos en el marco de protestas lideradas por autoridades y lideresas indígenas</w:t>
            </w:r>
            <w:r w:rsidRPr="008B44CB">
              <w:rPr>
                <w:noProof/>
                <w:webHidden/>
              </w:rPr>
              <w:tab/>
            </w:r>
            <w:r w:rsidRPr="008B44CB">
              <w:rPr>
                <w:noProof/>
                <w:webHidden/>
              </w:rPr>
              <w:fldChar w:fldCharType="begin"/>
            </w:r>
            <w:r w:rsidRPr="008B44CB">
              <w:rPr>
                <w:noProof/>
                <w:webHidden/>
              </w:rPr>
              <w:instrText xml:space="preserve"> PAGEREF _Toc204264034 \h </w:instrText>
            </w:r>
            <w:r w:rsidRPr="008B44CB">
              <w:rPr>
                <w:noProof/>
                <w:webHidden/>
              </w:rPr>
            </w:r>
            <w:r w:rsidRPr="008B44CB">
              <w:rPr>
                <w:noProof/>
                <w:webHidden/>
              </w:rPr>
              <w:fldChar w:fldCharType="separate"/>
            </w:r>
            <w:r w:rsidR="00AA79A9">
              <w:rPr>
                <w:noProof/>
                <w:webHidden/>
              </w:rPr>
              <w:t>9</w:t>
            </w:r>
            <w:r w:rsidRPr="008B44CB">
              <w:rPr>
                <w:noProof/>
                <w:webHidden/>
              </w:rPr>
              <w:fldChar w:fldCharType="end"/>
            </w:r>
          </w:hyperlink>
        </w:p>
        <w:p w14:paraId="5CB91C4D" w14:textId="4CA9E495" w:rsidR="008B44CB" w:rsidRPr="008B44CB" w:rsidRDefault="008B44CB">
          <w:pPr>
            <w:pStyle w:val="TDC3"/>
            <w:tabs>
              <w:tab w:val="left" w:pos="1200"/>
              <w:tab w:val="right" w:leader="dot" w:pos="8828"/>
            </w:tabs>
            <w:rPr>
              <w:noProof/>
              <w:sz w:val="24"/>
              <w:szCs w:val="24"/>
            </w:rPr>
          </w:pPr>
          <w:hyperlink w:anchor="_Toc204264035" w:history="1">
            <w:r w:rsidRPr="008B44CB">
              <w:rPr>
                <w:rStyle w:val="Hipervnculo"/>
                <w:rFonts w:asciiTheme="majorBidi" w:eastAsia="Times New Roman" w:hAnsiTheme="majorBidi" w:cstheme="majorBidi"/>
                <w:noProof/>
              </w:rPr>
              <w:t>2.1.4.</w:t>
            </w:r>
            <w:r w:rsidRPr="008B44CB">
              <w:rPr>
                <w:noProof/>
                <w:sz w:val="24"/>
                <w:szCs w:val="24"/>
              </w:rPr>
              <w:tab/>
            </w:r>
            <w:r w:rsidRPr="008B44CB">
              <w:rPr>
                <w:rStyle w:val="Hipervnculo"/>
                <w:rFonts w:asciiTheme="majorBidi" w:eastAsia="Times New Roman" w:hAnsiTheme="majorBidi" w:cstheme="majorBidi"/>
                <w:noProof/>
              </w:rPr>
              <w:t xml:space="preserve">Recomendaciones relacionadas al derecho de Libertad de </w:t>
            </w:r>
            <w:r w:rsidRPr="008B44CB">
              <w:rPr>
                <w:rStyle w:val="Hipervnculo"/>
                <w:rFonts w:asciiTheme="majorBidi" w:hAnsiTheme="majorBidi" w:cstheme="majorBidi"/>
                <w:noProof/>
                <w:lang w:val="es-MX"/>
              </w:rPr>
              <w:t>de asociación y reunión pacífica</w:t>
            </w:r>
            <w:r w:rsidRPr="008B44CB">
              <w:rPr>
                <w:noProof/>
                <w:webHidden/>
              </w:rPr>
              <w:tab/>
            </w:r>
            <w:r w:rsidRPr="008B44CB">
              <w:rPr>
                <w:noProof/>
                <w:webHidden/>
              </w:rPr>
              <w:fldChar w:fldCharType="begin"/>
            </w:r>
            <w:r w:rsidRPr="008B44CB">
              <w:rPr>
                <w:noProof/>
                <w:webHidden/>
              </w:rPr>
              <w:instrText xml:space="preserve"> PAGEREF _Toc204264035 \h </w:instrText>
            </w:r>
            <w:r w:rsidRPr="008B44CB">
              <w:rPr>
                <w:noProof/>
                <w:webHidden/>
              </w:rPr>
            </w:r>
            <w:r w:rsidRPr="008B44CB">
              <w:rPr>
                <w:noProof/>
                <w:webHidden/>
              </w:rPr>
              <w:fldChar w:fldCharType="separate"/>
            </w:r>
            <w:r w:rsidR="00AA79A9">
              <w:rPr>
                <w:noProof/>
                <w:webHidden/>
              </w:rPr>
              <w:t>11</w:t>
            </w:r>
            <w:r w:rsidRPr="008B44CB">
              <w:rPr>
                <w:noProof/>
                <w:webHidden/>
              </w:rPr>
              <w:fldChar w:fldCharType="end"/>
            </w:r>
          </w:hyperlink>
        </w:p>
        <w:p w14:paraId="447FA5EA" w14:textId="6BDAC7B1" w:rsidR="008B44CB" w:rsidRDefault="008B44CB">
          <w:pPr>
            <w:pStyle w:val="TDC2"/>
            <w:tabs>
              <w:tab w:val="left" w:pos="960"/>
              <w:tab w:val="right" w:leader="dot" w:pos="8828"/>
            </w:tabs>
            <w:rPr>
              <w:noProof/>
              <w:sz w:val="24"/>
              <w:szCs w:val="24"/>
            </w:rPr>
          </w:pPr>
          <w:hyperlink w:anchor="_Toc204264036" w:history="1">
            <w:r w:rsidRPr="00311BA4">
              <w:rPr>
                <w:rStyle w:val="Hipervnculo"/>
                <w:rFonts w:asciiTheme="majorBidi" w:hAnsiTheme="majorBidi" w:cstheme="majorBidi"/>
                <w:b/>
                <w:bCs/>
                <w:noProof/>
                <w:lang w:val="es-MX"/>
              </w:rPr>
              <w:t>2.2.</w:t>
            </w:r>
            <w:r>
              <w:rPr>
                <w:noProof/>
                <w:sz w:val="24"/>
                <w:szCs w:val="24"/>
              </w:rPr>
              <w:tab/>
            </w:r>
            <w:r w:rsidRPr="00311BA4">
              <w:rPr>
                <w:rStyle w:val="Hipervnculo"/>
                <w:rFonts w:asciiTheme="majorBidi" w:hAnsiTheme="majorBidi" w:cstheme="majorBidi"/>
                <w:b/>
                <w:bCs/>
                <w:noProof/>
                <w:lang w:val="es-MX"/>
              </w:rPr>
              <w:t>Libertad de opinión y expresión (Párr.13 del Listado de Temas)</w:t>
            </w:r>
            <w:r>
              <w:rPr>
                <w:noProof/>
                <w:webHidden/>
              </w:rPr>
              <w:tab/>
            </w:r>
            <w:r>
              <w:rPr>
                <w:noProof/>
                <w:webHidden/>
              </w:rPr>
              <w:fldChar w:fldCharType="begin"/>
            </w:r>
            <w:r>
              <w:rPr>
                <w:noProof/>
                <w:webHidden/>
              </w:rPr>
              <w:instrText xml:space="preserve"> PAGEREF _Toc204264036 \h </w:instrText>
            </w:r>
            <w:r>
              <w:rPr>
                <w:noProof/>
                <w:webHidden/>
              </w:rPr>
            </w:r>
            <w:r>
              <w:rPr>
                <w:noProof/>
                <w:webHidden/>
              </w:rPr>
              <w:fldChar w:fldCharType="separate"/>
            </w:r>
            <w:r w:rsidR="00AA79A9">
              <w:rPr>
                <w:noProof/>
                <w:webHidden/>
              </w:rPr>
              <w:t>12</w:t>
            </w:r>
            <w:r>
              <w:rPr>
                <w:noProof/>
                <w:webHidden/>
              </w:rPr>
              <w:fldChar w:fldCharType="end"/>
            </w:r>
          </w:hyperlink>
        </w:p>
        <w:p w14:paraId="700CEA15" w14:textId="01F7604A" w:rsidR="008B44CB" w:rsidRPr="008B44CB" w:rsidRDefault="008B44CB">
          <w:pPr>
            <w:pStyle w:val="TDC3"/>
            <w:tabs>
              <w:tab w:val="left" w:pos="1200"/>
              <w:tab w:val="right" w:leader="dot" w:pos="8828"/>
            </w:tabs>
            <w:rPr>
              <w:noProof/>
              <w:sz w:val="24"/>
              <w:szCs w:val="24"/>
            </w:rPr>
          </w:pPr>
          <w:hyperlink w:anchor="_Toc204264037" w:history="1">
            <w:r w:rsidRPr="008B44CB">
              <w:rPr>
                <w:rStyle w:val="Hipervnculo"/>
                <w:rFonts w:asciiTheme="majorBidi" w:eastAsia="Times New Roman" w:hAnsiTheme="majorBidi" w:cstheme="majorBidi"/>
                <w:noProof/>
              </w:rPr>
              <w:t>2.2.1.</w:t>
            </w:r>
            <w:r w:rsidRPr="008B44CB">
              <w:rPr>
                <w:noProof/>
                <w:sz w:val="24"/>
                <w:szCs w:val="24"/>
              </w:rPr>
              <w:tab/>
            </w:r>
            <w:r w:rsidRPr="008B44CB">
              <w:rPr>
                <w:rStyle w:val="Hipervnculo"/>
                <w:rFonts w:asciiTheme="majorBidi" w:eastAsia="Times New Roman" w:hAnsiTheme="majorBidi" w:cstheme="majorBidi"/>
                <w:noProof/>
              </w:rPr>
              <w:t>Sentencia de la Corte Interamericana de Derechos Humanos, Maya Kaqchikel de Sumpango y otros vs. Guatemala</w:t>
            </w:r>
            <w:r w:rsidRPr="008B44CB">
              <w:rPr>
                <w:noProof/>
                <w:webHidden/>
              </w:rPr>
              <w:tab/>
            </w:r>
            <w:r w:rsidRPr="008B44CB">
              <w:rPr>
                <w:noProof/>
                <w:webHidden/>
              </w:rPr>
              <w:fldChar w:fldCharType="begin"/>
            </w:r>
            <w:r w:rsidRPr="008B44CB">
              <w:rPr>
                <w:noProof/>
                <w:webHidden/>
              </w:rPr>
              <w:instrText xml:space="preserve"> PAGEREF _Toc204264037 \h </w:instrText>
            </w:r>
            <w:r w:rsidRPr="008B44CB">
              <w:rPr>
                <w:noProof/>
                <w:webHidden/>
              </w:rPr>
            </w:r>
            <w:r w:rsidRPr="008B44CB">
              <w:rPr>
                <w:noProof/>
                <w:webHidden/>
              </w:rPr>
              <w:fldChar w:fldCharType="separate"/>
            </w:r>
            <w:r w:rsidR="00AA79A9">
              <w:rPr>
                <w:noProof/>
                <w:webHidden/>
              </w:rPr>
              <w:t>12</w:t>
            </w:r>
            <w:r w:rsidRPr="008B44CB">
              <w:rPr>
                <w:noProof/>
                <w:webHidden/>
              </w:rPr>
              <w:fldChar w:fldCharType="end"/>
            </w:r>
          </w:hyperlink>
        </w:p>
        <w:p w14:paraId="3A7D0CEF" w14:textId="4617D124" w:rsidR="008B44CB" w:rsidRPr="008B44CB" w:rsidRDefault="008B44CB">
          <w:pPr>
            <w:pStyle w:val="TDC3"/>
            <w:tabs>
              <w:tab w:val="left" w:pos="1200"/>
              <w:tab w:val="right" w:leader="dot" w:pos="8828"/>
            </w:tabs>
            <w:rPr>
              <w:noProof/>
              <w:sz w:val="24"/>
              <w:szCs w:val="24"/>
            </w:rPr>
          </w:pPr>
          <w:hyperlink w:anchor="_Toc204264038" w:history="1">
            <w:r w:rsidRPr="008B44CB">
              <w:rPr>
                <w:rStyle w:val="Hipervnculo"/>
                <w:rFonts w:asciiTheme="majorBidi" w:eastAsia="Times New Roman" w:hAnsiTheme="majorBidi" w:cstheme="majorBidi"/>
                <w:noProof/>
              </w:rPr>
              <w:t>2.2.2.</w:t>
            </w:r>
            <w:r w:rsidRPr="008B44CB">
              <w:rPr>
                <w:noProof/>
                <w:sz w:val="24"/>
                <w:szCs w:val="24"/>
              </w:rPr>
              <w:tab/>
            </w:r>
            <w:r w:rsidRPr="008B44CB">
              <w:rPr>
                <w:rStyle w:val="Hipervnculo"/>
                <w:rFonts w:asciiTheme="majorBidi" w:eastAsia="Times New Roman" w:hAnsiTheme="majorBidi" w:cstheme="majorBidi"/>
                <w:noProof/>
              </w:rPr>
              <w:t>Situación de protección y seguridad de los periodistas, comunicadores y personas defensoras de derechos humanos indígenas</w:t>
            </w:r>
            <w:r w:rsidRPr="008B44CB">
              <w:rPr>
                <w:noProof/>
                <w:webHidden/>
              </w:rPr>
              <w:tab/>
            </w:r>
            <w:r w:rsidRPr="008B44CB">
              <w:rPr>
                <w:noProof/>
                <w:webHidden/>
              </w:rPr>
              <w:fldChar w:fldCharType="begin"/>
            </w:r>
            <w:r w:rsidRPr="008B44CB">
              <w:rPr>
                <w:noProof/>
                <w:webHidden/>
              </w:rPr>
              <w:instrText xml:space="preserve"> PAGEREF _Toc204264038 \h </w:instrText>
            </w:r>
            <w:r w:rsidRPr="008B44CB">
              <w:rPr>
                <w:noProof/>
                <w:webHidden/>
              </w:rPr>
            </w:r>
            <w:r w:rsidRPr="008B44CB">
              <w:rPr>
                <w:noProof/>
                <w:webHidden/>
              </w:rPr>
              <w:fldChar w:fldCharType="separate"/>
            </w:r>
            <w:r w:rsidR="00AA79A9">
              <w:rPr>
                <w:noProof/>
                <w:webHidden/>
              </w:rPr>
              <w:t>13</w:t>
            </w:r>
            <w:r w:rsidRPr="008B44CB">
              <w:rPr>
                <w:noProof/>
                <w:webHidden/>
              </w:rPr>
              <w:fldChar w:fldCharType="end"/>
            </w:r>
          </w:hyperlink>
        </w:p>
        <w:p w14:paraId="6A65F67A" w14:textId="3462FC41" w:rsidR="008B44CB" w:rsidRPr="008B44CB" w:rsidRDefault="008B44CB">
          <w:pPr>
            <w:pStyle w:val="TDC3"/>
            <w:tabs>
              <w:tab w:val="left" w:pos="1200"/>
              <w:tab w:val="right" w:leader="dot" w:pos="8828"/>
            </w:tabs>
            <w:rPr>
              <w:noProof/>
              <w:sz w:val="24"/>
              <w:szCs w:val="24"/>
            </w:rPr>
          </w:pPr>
          <w:hyperlink w:anchor="_Toc204264039" w:history="1">
            <w:r w:rsidRPr="008B44CB">
              <w:rPr>
                <w:rStyle w:val="Hipervnculo"/>
                <w:rFonts w:asciiTheme="majorBidi" w:eastAsia="Times New Roman" w:hAnsiTheme="majorBidi" w:cstheme="majorBidi"/>
                <w:noProof/>
              </w:rPr>
              <w:t>2.2.3.</w:t>
            </w:r>
            <w:r w:rsidRPr="008B44CB">
              <w:rPr>
                <w:noProof/>
                <w:sz w:val="24"/>
                <w:szCs w:val="24"/>
              </w:rPr>
              <w:tab/>
            </w:r>
            <w:r w:rsidRPr="008B44CB">
              <w:rPr>
                <w:rStyle w:val="Hipervnculo"/>
                <w:rFonts w:asciiTheme="majorBidi" w:eastAsia="Times New Roman" w:hAnsiTheme="majorBidi" w:cstheme="majorBidi"/>
                <w:noProof/>
              </w:rPr>
              <w:t>Situación de mujeres comunicadoras indígenas</w:t>
            </w:r>
            <w:r w:rsidRPr="008B44CB">
              <w:rPr>
                <w:noProof/>
                <w:webHidden/>
              </w:rPr>
              <w:tab/>
            </w:r>
            <w:r w:rsidRPr="008B44CB">
              <w:rPr>
                <w:noProof/>
                <w:webHidden/>
              </w:rPr>
              <w:fldChar w:fldCharType="begin"/>
            </w:r>
            <w:r w:rsidRPr="008B44CB">
              <w:rPr>
                <w:noProof/>
                <w:webHidden/>
              </w:rPr>
              <w:instrText xml:space="preserve"> PAGEREF _Toc204264039 \h </w:instrText>
            </w:r>
            <w:r w:rsidRPr="008B44CB">
              <w:rPr>
                <w:noProof/>
                <w:webHidden/>
              </w:rPr>
            </w:r>
            <w:r w:rsidRPr="008B44CB">
              <w:rPr>
                <w:noProof/>
                <w:webHidden/>
              </w:rPr>
              <w:fldChar w:fldCharType="separate"/>
            </w:r>
            <w:r w:rsidR="00AA79A9">
              <w:rPr>
                <w:noProof/>
                <w:webHidden/>
              </w:rPr>
              <w:t>15</w:t>
            </w:r>
            <w:r w:rsidRPr="008B44CB">
              <w:rPr>
                <w:noProof/>
                <w:webHidden/>
              </w:rPr>
              <w:fldChar w:fldCharType="end"/>
            </w:r>
          </w:hyperlink>
        </w:p>
        <w:p w14:paraId="64AD955D" w14:textId="0583F632" w:rsidR="008B44CB" w:rsidRDefault="008B44CB">
          <w:pPr>
            <w:pStyle w:val="TDC3"/>
            <w:tabs>
              <w:tab w:val="left" w:pos="1200"/>
              <w:tab w:val="right" w:leader="dot" w:pos="8828"/>
            </w:tabs>
            <w:rPr>
              <w:noProof/>
              <w:sz w:val="24"/>
              <w:szCs w:val="24"/>
            </w:rPr>
          </w:pPr>
          <w:hyperlink w:anchor="_Toc204264040" w:history="1">
            <w:r w:rsidRPr="008B44CB">
              <w:rPr>
                <w:rStyle w:val="Hipervnculo"/>
                <w:rFonts w:asciiTheme="majorBidi" w:eastAsia="Times New Roman" w:hAnsiTheme="majorBidi" w:cstheme="majorBidi"/>
                <w:noProof/>
              </w:rPr>
              <w:t>2.2.4.</w:t>
            </w:r>
            <w:r w:rsidRPr="008B44CB">
              <w:rPr>
                <w:noProof/>
                <w:sz w:val="24"/>
                <w:szCs w:val="24"/>
              </w:rPr>
              <w:tab/>
            </w:r>
            <w:r w:rsidRPr="008B44CB">
              <w:rPr>
                <w:rStyle w:val="Hipervnculo"/>
                <w:rFonts w:asciiTheme="majorBidi" w:eastAsia="Times New Roman" w:hAnsiTheme="majorBidi" w:cstheme="majorBidi"/>
                <w:noProof/>
              </w:rPr>
              <w:t>Recomendaciones relacionadas al derecho de Libertad de Expresión</w:t>
            </w:r>
            <w:r w:rsidRPr="008B44CB">
              <w:rPr>
                <w:noProof/>
                <w:webHidden/>
              </w:rPr>
              <w:tab/>
            </w:r>
            <w:r w:rsidRPr="008B44CB">
              <w:rPr>
                <w:noProof/>
                <w:webHidden/>
              </w:rPr>
              <w:fldChar w:fldCharType="begin"/>
            </w:r>
            <w:r w:rsidRPr="008B44CB">
              <w:rPr>
                <w:noProof/>
                <w:webHidden/>
              </w:rPr>
              <w:instrText xml:space="preserve"> PAGEREF _Toc204264040 \h </w:instrText>
            </w:r>
            <w:r w:rsidRPr="008B44CB">
              <w:rPr>
                <w:noProof/>
                <w:webHidden/>
              </w:rPr>
            </w:r>
            <w:r w:rsidRPr="008B44CB">
              <w:rPr>
                <w:noProof/>
                <w:webHidden/>
              </w:rPr>
              <w:fldChar w:fldCharType="separate"/>
            </w:r>
            <w:r w:rsidR="00AA79A9">
              <w:rPr>
                <w:noProof/>
                <w:webHidden/>
              </w:rPr>
              <w:t>16</w:t>
            </w:r>
            <w:r w:rsidRPr="008B44CB">
              <w:rPr>
                <w:noProof/>
                <w:webHidden/>
              </w:rPr>
              <w:fldChar w:fldCharType="end"/>
            </w:r>
          </w:hyperlink>
        </w:p>
        <w:p w14:paraId="7247F1F7" w14:textId="3E84FB06" w:rsidR="008B44CB" w:rsidRDefault="008B44CB">
          <w:pPr>
            <w:pStyle w:val="TDC2"/>
            <w:tabs>
              <w:tab w:val="left" w:pos="960"/>
              <w:tab w:val="right" w:leader="dot" w:pos="8828"/>
            </w:tabs>
            <w:rPr>
              <w:noProof/>
              <w:sz w:val="24"/>
              <w:szCs w:val="24"/>
            </w:rPr>
          </w:pPr>
          <w:hyperlink w:anchor="_Toc204264041" w:history="1">
            <w:r w:rsidRPr="00311BA4">
              <w:rPr>
                <w:rStyle w:val="Hipervnculo"/>
                <w:rFonts w:asciiTheme="majorBidi" w:hAnsiTheme="majorBidi" w:cstheme="majorBidi"/>
                <w:b/>
                <w:bCs/>
                <w:noProof/>
                <w:lang w:val="es-MX"/>
              </w:rPr>
              <w:t>2.3.</w:t>
            </w:r>
            <w:r>
              <w:rPr>
                <w:noProof/>
                <w:sz w:val="24"/>
                <w:szCs w:val="24"/>
              </w:rPr>
              <w:tab/>
            </w:r>
            <w:r w:rsidRPr="00311BA4">
              <w:rPr>
                <w:rStyle w:val="Hipervnculo"/>
                <w:rFonts w:asciiTheme="majorBidi" w:hAnsiTheme="majorBidi" w:cstheme="majorBidi"/>
                <w:b/>
                <w:bCs/>
                <w:noProof/>
                <w:lang w:val="es-MX"/>
              </w:rPr>
              <w:t>Libertad de pensamiento, religión y creencia (Párr. 14 del Listado de Temas)</w:t>
            </w:r>
            <w:r>
              <w:rPr>
                <w:noProof/>
                <w:webHidden/>
              </w:rPr>
              <w:tab/>
            </w:r>
            <w:r>
              <w:rPr>
                <w:noProof/>
                <w:webHidden/>
              </w:rPr>
              <w:fldChar w:fldCharType="begin"/>
            </w:r>
            <w:r>
              <w:rPr>
                <w:noProof/>
                <w:webHidden/>
              </w:rPr>
              <w:instrText xml:space="preserve"> PAGEREF _Toc204264041 \h </w:instrText>
            </w:r>
            <w:r>
              <w:rPr>
                <w:noProof/>
                <w:webHidden/>
              </w:rPr>
            </w:r>
            <w:r>
              <w:rPr>
                <w:noProof/>
                <w:webHidden/>
              </w:rPr>
              <w:fldChar w:fldCharType="separate"/>
            </w:r>
            <w:r w:rsidR="00AA79A9">
              <w:rPr>
                <w:noProof/>
                <w:webHidden/>
              </w:rPr>
              <w:t>17</w:t>
            </w:r>
            <w:r>
              <w:rPr>
                <w:noProof/>
                <w:webHidden/>
              </w:rPr>
              <w:fldChar w:fldCharType="end"/>
            </w:r>
          </w:hyperlink>
        </w:p>
        <w:p w14:paraId="4D1A811F" w14:textId="009AF7A2" w:rsidR="008B44CB" w:rsidRPr="008B44CB" w:rsidRDefault="008B44CB">
          <w:pPr>
            <w:pStyle w:val="TDC3"/>
            <w:tabs>
              <w:tab w:val="left" w:pos="1200"/>
              <w:tab w:val="right" w:leader="dot" w:pos="8828"/>
            </w:tabs>
            <w:rPr>
              <w:noProof/>
              <w:sz w:val="24"/>
              <w:szCs w:val="24"/>
            </w:rPr>
          </w:pPr>
          <w:hyperlink w:anchor="_Toc204264042" w:history="1">
            <w:r w:rsidRPr="008B44CB">
              <w:rPr>
                <w:rStyle w:val="Hipervnculo"/>
                <w:rFonts w:asciiTheme="majorBidi" w:hAnsiTheme="majorBidi" w:cstheme="majorBidi"/>
                <w:noProof/>
              </w:rPr>
              <w:t>2.3.1.</w:t>
            </w:r>
            <w:r w:rsidRPr="008B44CB">
              <w:rPr>
                <w:noProof/>
                <w:sz w:val="24"/>
                <w:szCs w:val="24"/>
              </w:rPr>
              <w:tab/>
            </w:r>
            <w:r w:rsidRPr="008B44CB">
              <w:rPr>
                <w:rStyle w:val="Hipervnculo"/>
                <w:rFonts w:asciiTheme="majorBidi" w:hAnsiTheme="majorBidi" w:cstheme="majorBidi"/>
                <w:noProof/>
              </w:rPr>
              <w:t>Uso de lugares sagrados:</w:t>
            </w:r>
            <w:r w:rsidRPr="008B44CB">
              <w:rPr>
                <w:noProof/>
                <w:webHidden/>
              </w:rPr>
              <w:tab/>
            </w:r>
            <w:r w:rsidRPr="008B44CB">
              <w:rPr>
                <w:noProof/>
                <w:webHidden/>
              </w:rPr>
              <w:fldChar w:fldCharType="begin"/>
            </w:r>
            <w:r w:rsidRPr="008B44CB">
              <w:rPr>
                <w:noProof/>
                <w:webHidden/>
              </w:rPr>
              <w:instrText xml:space="preserve"> PAGEREF _Toc204264042 \h </w:instrText>
            </w:r>
            <w:r w:rsidRPr="008B44CB">
              <w:rPr>
                <w:noProof/>
                <w:webHidden/>
              </w:rPr>
            </w:r>
            <w:r w:rsidRPr="008B44CB">
              <w:rPr>
                <w:noProof/>
                <w:webHidden/>
              </w:rPr>
              <w:fldChar w:fldCharType="separate"/>
            </w:r>
            <w:r w:rsidR="00AA79A9">
              <w:rPr>
                <w:noProof/>
                <w:webHidden/>
              </w:rPr>
              <w:t>17</w:t>
            </w:r>
            <w:r w:rsidRPr="008B44CB">
              <w:rPr>
                <w:noProof/>
                <w:webHidden/>
              </w:rPr>
              <w:fldChar w:fldCharType="end"/>
            </w:r>
          </w:hyperlink>
        </w:p>
        <w:p w14:paraId="0CD86DCA" w14:textId="1F0470B1" w:rsidR="008B44CB" w:rsidRPr="008B44CB" w:rsidRDefault="008B44CB">
          <w:pPr>
            <w:pStyle w:val="TDC3"/>
            <w:tabs>
              <w:tab w:val="left" w:pos="1200"/>
              <w:tab w:val="right" w:leader="dot" w:pos="8828"/>
            </w:tabs>
            <w:rPr>
              <w:noProof/>
              <w:sz w:val="24"/>
              <w:szCs w:val="24"/>
            </w:rPr>
          </w:pPr>
          <w:hyperlink w:anchor="_Toc204264043" w:history="1">
            <w:r w:rsidRPr="008B44CB">
              <w:rPr>
                <w:rStyle w:val="Hipervnculo"/>
                <w:rFonts w:asciiTheme="majorBidi" w:hAnsiTheme="majorBidi" w:cstheme="majorBidi"/>
                <w:noProof/>
              </w:rPr>
              <w:t>2.3.2.</w:t>
            </w:r>
            <w:r w:rsidRPr="008B44CB">
              <w:rPr>
                <w:noProof/>
                <w:sz w:val="24"/>
                <w:szCs w:val="24"/>
              </w:rPr>
              <w:tab/>
            </w:r>
            <w:r w:rsidRPr="008B44CB">
              <w:rPr>
                <w:rStyle w:val="Hipervnculo"/>
                <w:rFonts w:asciiTheme="majorBidi" w:hAnsiTheme="majorBidi" w:cstheme="majorBidi"/>
                <w:noProof/>
              </w:rPr>
              <w:t>Afectación de lugares sagrados</w:t>
            </w:r>
            <w:r w:rsidRPr="008B44CB">
              <w:rPr>
                <w:noProof/>
                <w:webHidden/>
              </w:rPr>
              <w:tab/>
            </w:r>
            <w:r w:rsidRPr="008B44CB">
              <w:rPr>
                <w:noProof/>
                <w:webHidden/>
              </w:rPr>
              <w:fldChar w:fldCharType="begin"/>
            </w:r>
            <w:r w:rsidRPr="008B44CB">
              <w:rPr>
                <w:noProof/>
                <w:webHidden/>
              </w:rPr>
              <w:instrText xml:space="preserve"> PAGEREF _Toc204264043 \h </w:instrText>
            </w:r>
            <w:r w:rsidRPr="008B44CB">
              <w:rPr>
                <w:noProof/>
                <w:webHidden/>
              </w:rPr>
            </w:r>
            <w:r w:rsidRPr="008B44CB">
              <w:rPr>
                <w:noProof/>
                <w:webHidden/>
              </w:rPr>
              <w:fldChar w:fldCharType="separate"/>
            </w:r>
            <w:r w:rsidR="00AA79A9">
              <w:rPr>
                <w:noProof/>
                <w:webHidden/>
              </w:rPr>
              <w:t>18</w:t>
            </w:r>
            <w:r w:rsidRPr="008B44CB">
              <w:rPr>
                <w:noProof/>
                <w:webHidden/>
              </w:rPr>
              <w:fldChar w:fldCharType="end"/>
            </w:r>
          </w:hyperlink>
        </w:p>
        <w:p w14:paraId="65F88498" w14:textId="7F0606B1" w:rsidR="008B44CB" w:rsidRPr="008B44CB" w:rsidRDefault="008B44CB">
          <w:pPr>
            <w:pStyle w:val="TDC3"/>
            <w:tabs>
              <w:tab w:val="left" w:pos="1200"/>
              <w:tab w:val="right" w:leader="dot" w:pos="8828"/>
            </w:tabs>
            <w:rPr>
              <w:noProof/>
              <w:sz w:val="24"/>
              <w:szCs w:val="24"/>
            </w:rPr>
          </w:pPr>
          <w:hyperlink w:anchor="_Toc204264044" w:history="1">
            <w:r w:rsidRPr="008B44CB">
              <w:rPr>
                <w:rStyle w:val="Hipervnculo"/>
                <w:rFonts w:asciiTheme="majorBidi" w:hAnsiTheme="majorBidi" w:cstheme="majorBidi"/>
                <w:noProof/>
              </w:rPr>
              <w:t>2.3.3.</w:t>
            </w:r>
            <w:r w:rsidRPr="008B44CB">
              <w:rPr>
                <w:noProof/>
                <w:sz w:val="24"/>
                <w:szCs w:val="24"/>
              </w:rPr>
              <w:tab/>
            </w:r>
            <w:r w:rsidRPr="008B44CB">
              <w:rPr>
                <w:rStyle w:val="Hipervnculo"/>
                <w:rFonts w:asciiTheme="majorBidi" w:hAnsiTheme="majorBidi" w:cstheme="majorBidi"/>
                <w:noProof/>
              </w:rPr>
              <w:t>Acceso y transportar su material ceremonial sin restricciones indebidas.</w:t>
            </w:r>
            <w:r w:rsidRPr="008B44CB">
              <w:rPr>
                <w:noProof/>
                <w:webHidden/>
              </w:rPr>
              <w:tab/>
            </w:r>
            <w:r w:rsidRPr="008B44CB">
              <w:rPr>
                <w:noProof/>
                <w:webHidden/>
              </w:rPr>
              <w:fldChar w:fldCharType="begin"/>
            </w:r>
            <w:r w:rsidRPr="008B44CB">
              <w:rPr>
                <w:noProof/>
                <w:webHidden/>
              </w:rPr>
              <w:instrText xml:space="preserve"> PAGEREF _Toc204264044 \h </w:instrText>
            </w:r>
            <w:r w:rsidRPr="008B44CB">
              <w:rPr>
                <w:noProof/>
                <w:webHidden/>
              </w:rPr>
            </w:r>
            <w:r w:rsidRPr="008B44CB">
              <w:rPr>
                <w:noProof/>
                <w:webHidden/>
              </w:rPr>
              <w:fldChar w:fldCharType="separate"/>
            </w:r>
            <w:r w:rsidR="00AA79A9">
              <w:rPr>
                <w:noProof/>
                <w:webHidden/>
              </w:rPr>
              <w:t>19</w:t>
            </w:r>
            <w:r w:rsidRPr="008B44CB">
              <w:rPr>
                <w:noProof/>
                <w:webHidden/>
              </w:rPr>
              <w:fldChar w:fldCharType="end"/>
            </w:r>
          </w:hyperlink>
        </w:p>
        <w:p w14:paraId="0A03AD7D" w14:textId="7BC84A5E" w:rsidR="008B44CB" w:rsidRPr="008B44CB" w:rsidRDefault="008B44CB">
          <w:pPr>
            <w:pStyle w:val="TDC3"/>
            <w:tabs>
              <w:tab w:val="left" w:pos="1200"/>
              <w:tab w:val="right" w:leader="dot" w:pos="8828"/>
            </w:tabs>
            <w:rPr>
              <w:noProof/>
              <w:sz w:val="24"/>
              <w:szCs w:val="24"/>
            </w:rPr>
          </w:pPr>
          <w:hyperlink w:anchor="_Toc204264045" w:history="1">
            <w:r w:rsidRPr="008B44CB">
              <w:rPr>
                <w:rStyle w:val="Hipervnculo"/>
                <w:rFonts w:asciiTheme="majorBidi" w:hAnsiTheme="majorBidi" w:cstheme="majorBidi"/>
                <w:noProof/>
              </w:rPr>
              <w:t>2.3.4.</w:t>
            </w:r>
            <w:r w:rsidRPr="008B44CB">
              <w:rPr>
                <w:noProof/>
                <w:sz w:val="24"/>
                <w:szCs w:val="24"/>
              </w:rPr>
              <w:tab/>
            </w:r>
            <w:r w:rsidRPr="008B44CB">
              <w:rPr>
                <w:rStyle w:val="Hipervnculo"/>
                <w:rFonts w:asciiTheme="majorBidi" w:hAnsiTheme="majorBidi" w:cstheme="majorBidi"/>
                <w:noProof/>
              </w:rPr>
              <w:t>Ataques y asesinatos</w:t>
            </w:r>
            <w:r w:rsidRPr="008B44CB">
              <w:rPr>
                <w:noProof/>
                <w:webHidden/>
              </w:rPr>
              <w:tab/>
            </w:r>
            <w:r w:rsidRPr="008B44CB">
              <w:rPr>
                <w:noProof/>
                <w:webHidden/>
              </w:rPr>
              <w:fldChar w:fldCharType="begin"/>
            </w:r>
            <w:r w:rsidRPr="008B44CB">
              <w:rPr>
                <w:noProof/>
                <w:webHidden/>
              </w:rPr>
              <w:instrText xml:space="preserve"> PAGEREF _Toc204264045 \h </w:instrText>
            </w:r>
            <w:r w:rsidRPr="008B44CB">
              <w:rPr>
                <w:noProof/>
                <w:webHidden/>
              </w:rPr>
            </w:r>
            <w:r w:rsidRPr="008B44CB">
              <w:rPr>
                <w:noProof/>
                <w:webHidden/>
              </w:rPr>
              <w:fldChar w:fldCharType="separate"/>
            </w:r>
            <w:r w:rsidR="00AA79A9">
              <w:rPr>
                <w:noProof/>
                <w:webHidden/>
              </w:rPr>
              <w:t>19</w:t>
            </w:r>
            <w:r w:rsidRPr="008B44CB">
              <w:rPr>
                <w:noProof/>
                <w:webHidden/>
              </w:rPr>
              <w:fldChar w:fldCharType="end"/>
            </w:r>
          </w:hyperlink>
        </w:p>
        <w:p w14:paraId="4A2347F6" w14:textId="3C339C60" w:rsidR="008B44CB" w:rsidRPr="008B44CB" w:rsidRDefault="008B44CB">
          <w:pPr>
            <w:pStyle w:val="TDC3"/>
            <w:tabs>
              <w:tab w:val="left" w:pos="1200"/>
              <w:tab w:val="right" w:leader="dot" w:pos="8828"/>
            </w:tabs>
            <w:rPr>
              <w:noProof/>
              <w:sz w:val="24"/>
              <w:szCs w:val="24"/>
            </w:rPr>
          </w:pPr>
          <w:hyperlink w:anchor="_Toc204264046" w:history="1">
            <w:r w:rsidRPr="008B44CB">
              <w:rPr>
                <w:rStyle w:val="Hipervnculo"/>
                <w:rFonts w:asciiTheme="majorBidi" w:hAnsiTheme="majorBidi" w:cstheme="majorBidi"/>
                <w:noProof/>
              </w:rPr>
              <w:t>2.3.5.</w:t>
            </w:r>
            <w:r w:rsidRPr="008B44CB">
              <w:rPr>
                <w:noProof/>
                <w:sz w:val="24"/>
                <w:szCs w:val="24"/>
              </w:rPr>
              <w:tab/>
            </w:r>
            <w:r w:rsidRPr="008B44CB">
              <w:rPr>
                <w:rStyle w:val="Hipervnculo"/>
                <w:rFonts w:asciiTheme="majorBidi" w:hAnsiTheme="majorBidi" w:cstheme="majorBidi"/>
                <w:noProof/>
              </w:rPr>
              <w:t>Recomendaciones relacionadas al derecho de libertad de pensamiento, creencia y religión</w:t>
            </w:r>
            <w:r w:rsidRPr="008B44CB">
              <w:rPr>
                <w:noProof/>
                <w:webHidden/>
              </w:rPr>
              <w:tab/>
            </w:r>
            <w:r w:rsidRPr="008B44CB">
              <w:rPr>
                <w:noProof/>
                <w:webHidden/>
              </w:rPr>
              <w:fldChar w:fldCharType="begin"/>
            </w:r>
            <w:r w:rsidRPr="008B44CB">
              <w:rPr>
                <w:noProof/>
                <w:webHidden/>
              </w:rPr>
              <w:instrText xml:space="preserve"> PAGEREF _Toc204264046 \h </w:instrText>
            </w:r>
            <w:r w:rsidRPr="008B44CB">
              <w:rPr>
                <w:noProof/>
                <w:webHidden/>
              </w:rPr>
            </w:r>
            <w:r w:rsidRPr="008B44CB">
              <w:rPr>
                <w:noProof/>
                <w:webHidden/>
              </w:rPr>
              <w:fldChar w:fldCharType="separate"/>
            </w:r>
            <w:r w:rsidR="00AA79A9">
              <w:rPr>
                <w:noProof/>
                <w:webHidden/>
              </w:rPr>
              <w:t>21</w:t>
            </w:r>
            <w:r w:rsidRPr="008B44CB">
              <w:rPr>
                <w:noProof/>
                <w:webHidden/>
              </w:rPr>
              <w:fldChar w:fldCharType="end"/>
            </w:r>
          </w:hyperlink>
        </w:p>
        <w:p w14:paraId="468C8102" w14:textId="3ECF46DF" w:rsidR="008B44CB" w:rsidRDefault="008B44CB">
          <w:pPr>
            <w:pStyle w:val="TDC2"/>
            <w:tabs>
              <w:tab w:val="left" w:pos="960"/>
              <w:tab w:val="right" w:leader="dot" w:pos="8828"/>
            </w:tabs>
            <w:rPr>
              <w:noProof/>
              <w:sz w:val="24"/>
              <w:szCs w:val="24"/>
            </w:rPr>
          </w:pPr>
          <w:hyperlink w:anchor="_Toc204264047" w:history="1">
            <w:r w:rsidRPr="00311BA4">
              <w:rPr>
                <w:rStyle w:val="Hipervnculo"/>
                <w:rFonts w:asciiTheme="majorBidi" w:hAnsiTheme="majorBidi" w:cstheme="majorBidi"/>
                <w:b/>
                <w:bCs/>
                <w:noProof/>
                <w:lang w:val="es-MX"/>
              </w:rPr>
              <w:t>3.4.</w:t>
            </w:r>
            <w:r>
              <w:rPr>
                <w:noProof/>
                <w:sz w:val="24"/>
                <w:szCs w:val="24"/>
              </w:rPr>
              <w:tab/>
            </w:r>
            <w:r w:rsidRPr="00311BA4">
              <w:rPr>
                <w:rStyle w:val="Hipervnculo"/>
                <w:rFonts w:asciiTheme="majorBidi" w:hAnsiTheme="majorBidi" w:cstheme="majorBidi"/>
                <w:b/>
                <w:bCs/>
                <w:noProof/>
                <w:lang w:val="es-MX"/>
              </w:rPr>
              <w:t>Consulta libre, previa e informada (Párr. 16 del Listado de Temas)</w:t>
            </w:r>
            <w:r>
              <w:rPr>
                <w:noProof/>
                <w:webHidden/>
              </w:rPr>
              <w:tab/>
            </w:r>
            <w:r>
              <w:rPr>
                <w:noProof/>
                <w:webHidden/>
              </w:rPr>
              <w:fldChar w:fldCharType="begin"/>
            </w:r>
            <w:r>
              <w:rPr>
                <w:noProof/>
                <w:webHidden/>
              </w:rPr>
              <w:instrText xml:space="preserve"> PAGEREF _Toc204264047 \h </w:instrText>
            </w:r>
            <w:r>
              <w:rPr>
                <w:noProof/>
                <w:webHidden/>
              </w:rPr>
            </w:r>
            <w:r>
              <w:rPr>
                <w:noProof/>
                <w:webHidden/>
              </w:rPr>
              <w:fldChar w:fldCharType="separate"/>
            </w:r>
            <w:r w:rsidR="00AA79A9">
              <w:rPr>
                <w:noProof/>
                <w:webHidden/>
              </w:rPr>
              <w:t>23</w:t>
            </w:r>
            <w:r>
              <w:rPr>
                <w:noProof/>
                <w:webHidden/>
              </w:rPr>
              <w:fldChar w:fldCharType="end"/>
            </w:r>
          </w:hyperlink>
        </w:p>
        <w:p w14:paraId="173DFEFF" w14:textId="6B747BDF" w:rsidR="008B44CB" w:rsidRPr="008B44CB" w:rsidRDefault="008B44CB">
          <w:pPr>
            <w:pStyle w:val="TDC3"/>
            <w:tabs>
              <w:tab w:val="left" w:pos="1200"/>
              <w:tab w:val="right" w:leader="dot" w:pos="8828"/>
            </w:tabs>
            <w:rPr>
              <w:noProof/>
              <w:sz w:val="24"/>
              <w:szCs w:val="24"/>
            </w:rPr>
          </w:pPr>
          <w:hyperlink w:anchor="_Toc204264048" w:history="1">
            <w:r w:rsidRPr="008B44CB">
              <w:rPr>
                <w:rStyle w:val="Hipervnculo"/>
                <w:rFonts w:asciiTheme="majorBidi" w:hAnsiTheme="majorBidi" w:cstheme="majorBidi"/>
                <w:noProof/>
              </w:rPr>
              <w:t>3.4.1.</w:t>
            </w:r>
            <w:r w:rsidRPr="008B44CB">
              <w:rPr>
                <w:noProof/>
                <w:sz w:val="24"/>
                <w:szCs w:val="24"/>
              </w:rPr>
              <w:tab/>
            </w:r>
            <w:r w:rsidRPr="008B44CB">
              <w:rPr>
                <w:rStyle w:val="Hipervnculo"/>
                <w:rFonts w:asciiTheme="majorBidi" w:hAnsiTheme="majorBidi" w:cstheme="majorBidi"/>
                <w:noProof/>
              </w:rPr>
              <w:t>Falta de cumplimiento de sentencias nacionales e internacionales relacionadas a la consulta libre, previa e informada.</w:t>
            </w:r>
            <w:r w:rsidRPr="008B44CB">
              <w:rPr>
                <w:noProof/>
                <w:webHidden/>
              </w:rPr>
              <w:tab/>
            </w:r>
            <w:r w:rsidRPr="008B44CB">
              <w:rPr>
                <w:noProof/>
                <w:webHidden/>
              </w:rPr>
              <w:fldChar w:fldCharType="begin"/>
            </w:r>
            <w:r w:rsidRPr="008B44CB">
              <w:rPr>
                <w:noProof/>
                <w:webHidden/>
              </w:rPr>
              <w:instrText xml:space="preserve"> PAGEREF _Toc204264048 \h </w:instrText>
            </w:r>
            <w:r w:rsidRPr="008B44CB">
              <w:rPr>
                <w:noProof/>
                <w:webHidden/>
              </w:rPr>
            </w:r>
            <w:r w:rsidRPr="008B44CB">
              <w:rPr>
                <w:noProof/>
                <w:webHidden/>
              </w:rPr>
              <w:fldChar w:fldCharType="separate"/>
            </w:r>
            <w:r w:rsidR="00AA79A9">
              <w:rPr>
                <w:noProof/>
                <w:webHidden/>
              </w:rPr>
              <w:t>24</w:t>
            </w:r>
            <w:r w:rsidRPr="008B44CB">
              <w:rPr>
                <w:noProof/>
                <w:webHidden/>
              </w:rPr>
              <w:fldChar w:fldCharType="end"/>
            </w:r>
          </w:hyperlink>
        </w:p>
        <w:p w14:paraId="406C4B3D" w14:textId="0045AB3F" w:rsidR="008B44CB" w:rsidRPr="008B44CB" w:rsidRDefault="008B44CB">
          <w:pPr>
            <w:pStyle w:val="TDC3"/>
            <w:tabs>
              <w:tab w:val="left" w:pos="1200"/>
              <w:tab w:val="right" w:leader="dot" w:pos="8828"/>
            </w:tabs>
            <w:rPr>
              <w:noProof/>
              <w:sz w:val="24"/>
              <w:szCs w:val="24"/>
            </w:rPr>
          </w:pPr>
          <w:hyperlink w:anchor="_Toc204264049" w:history="1">
            <w:r w:rsidRPr="008B44CB">
              <w:rPr>
                <w:rStyle w:val="Hipervnculo"/>
                <w:rFonts w:asciiTheme="majorBidi" w:hAnsiTheme="majorBidi" w:cstheme="majorBidi"/>
                <w:noProof/>
              </w:rPr>
              <w:t>3.4.2.</w:t>
            </w:r>
            <w:r w:rsidRPr="008B44CB">
              <w:rPr>
                <w:noProof/>
                <w:sz w:val="24"/>
                <w:szCs w:val="24"/>
              </w:rPr>
              <w:tab/>
            </w:r>
            <w:r w:rsidRPr="008B44CB">
              <w:rPr>
                <w:rStyle w:val="Hipervnculo"/>
                <w:rFonts w:asciiTheme="majorBidi" w:hAnsiTheme="majorBidi" w:cstheme="majorBidi"/>
                <w:noProof/>
              </w:rPr>
              <w:t>Recomendaciones relacionadas al Derecho de Consulta libre previa e informada</w:t>
            </w:r>
            <w:r w:rsidRPr="008B44CB">
              <w:rPr>
                <w:noProof/>
                <w:webHidden/>
              </w:rPr>
              <w:tab/>
            </w:r>
            <w:r w:rsidRPr="008B44CB">
              <w:rPr>
                <w:noProof/>
                <w:webHidden/>
              </w:rPr>
              <w:fldChar w:fldCharType="begin"/>
            </w:r>
            <w:r w:rsidRPr="008B44CB">
              <w:rPr>
                <w:noProof/>
                <w:webHidden/>
              </w:rPr>
              <w:instrText xml:space="preserve"> PAGEREF _Toc204264049 \h </w:instrText>
            </w:r>
            <w:r w:rsidRPr="008B44CB">
              <w:rPr>
                <w:noProof/>
                <w:webHidden/>
              </w:rPr>
            </w:r>
            <w:r w:rsidRPr="008B44CB">
              <w:rPr>
                <w:noProof/>
                <w:webHidden/>
              </w:rPr>
              <w:fldChar w:fldCharType="separate"/>
            </w:r>
            <w:r w:rsidR="00AA79A9">
              <w:rPr>
                <w:noProof/>
                <w:webHidden/>
              </w:rPr>
              <w:t>26</w:t>
            </w:r>
            <w:r w:rsidRPr="008B44CB">
              <w:rPr>
                <w:noProof/>
                <w:webHidden/>
              </w:rPr>
              <w:fldChar w:fldCharType="end"/>
            </w:r>
          </w:hyperlink>
        </w:p>
        <w:p w14:paraId="158F2B65" w14:textId="778F8B86" w:rsidR="008B44CB" w:rsidRDefault="008B44CB">
          <w:pPr>
            <w:pStyle w:val="TDC2"/>
            <w:tabs>
              <w:tab w:val="left" w:pos="960"/>
              <w:tab w:val="right" w:leader="dot" w:pos="8828"/>
            </w:tabs>
            <w:rPr>
              <w:noProof/>
              <w:sz w:val="24"/>
              <w:szCs w:val="24"/>
            </w:rPr>
          </w:pPr>
          <w:hyperlink w:anchor="_Toc204264050" w:history="1">
            <w:r w:rsidRPr="00311BA4">
              <w:rPr>
                <w:rStyle w:val="Hipervnculo"/>
                <w:rFonts w:asciiTheme="majorBidi" w:hAnsiTheme="majorBidi" w:cstheme="majorBidi"/>
                <w:b/>
                <w:bCs/>
                <w:noProof/>
                <w:lang w:val="es-MX"/>
              </w:rPr>
              <w:t>2.5.</w:t>
            </w:r>
            <w:r>
              <w:rPr>
                <w:noProof/>
                <w:sz w:val="24"/>
                <w:szCs w:val="24"/>
              </w:rPr>
              <w:tab/>
            </w:r>
            <w:r w:rsidRPr="00311BA4">
              <w:rPr>
                <w:rStyle w:val="Hipervnculo"/>
                <w:rFonts w:asciiTheme="majorBidi" w:hAnsiTheme="majorBidi" w:cstheme="majorBidi"/>
                <w:b/>
                <w:bCs/>
                <w:noProof/>
                <w:lang w:val="es-MX"/>
              </w:rPr>
              <w:t>Tierras, territorios y recursos naturales (Párr. 17 y 18 del Listado de Temas)</w:t>
            </w:r>
            <w:r>
              <w:rPr>
                <w:noProof/>
                <w:webHidden/>
              </w:rPr>
              <w:tab/>
            </w:r>
            <w:r>
              <w:rPr>
                <w:noProof/>
                <w:webHidden/>
              </w:rPr>
              <w:fldChar w:fldCharType="begin"/>
            </w:r>
            <w:r>
              <w:rPr>
                <w:noProof/>
                <w:webHidden/>
              </w:rPr>
              <w:instrText xml:space="preserve"> PAGEREF _Toc204264050 \h </w:instrText>
            </w:r>
            <w:r>
              <w:rPr>
                <w:noProof/>
                <w:webHidden/>
              </w:rPr>
            </w:r>
            <w:r>
              <w:rPr>
                <w:noProof/>
                <w:webHidden/>
              </w:rPr>
              <w:fldChar w:fldCharType="separate"/>
            </w:r>
            <w:r w:rsidR="00AA79A9">
              <w:rPr>
                <w:noProof/>
                <w:webHidden/>
              </w:rPr>
              <w:t>27</w:t>
            </w:r>
            <w:r>
              <w:rPr>
                <w:noProof/>
                <w:webHidden/>
              </w:rPr>
              <w:fldChar w:fldCharType="end"/>
            </w:r>
          </w:hyperlink>
        </w:p>
        <w:p w14:paraId="30807911" w14:textId="6B5013EC" w:rsidR="008B44CB" w:rsidRPr="008B44CB" w:rsidRDefault="008B44CB">
          <w:pPr>
            <w:pStyle w:val="TDC3"/>
            <w:tabs>
              <w:tab w:val="left" w:pos="1200"/>
              <w:tab w:val="right" w:leader="dot" w:pos="8828"/>
            </w:tabs>
            <w:rPr>
              <w:noProof/>
              <w:sz w:val="24"/>
              <w:szCs w:val="24"/>
            </w:rPr>
          </w:pPr>
          <w:hyperlink w:anchor="_Toc204264051" w:history="1">
            <w:r w:rsidRPr="008B44CB">
              <w:rPr>
                <w:rStyle w:val="Hipervnculo"/>
                <w:rFonts w:asciiTheme="majorBidi" w:eastAsia="DengXian" w:hAnsiTheme="majorBidi" w:cstheme="majorBidi"/>
                <w:noProof/>
                <w:lang w:val="es-MX"/>
              </w:rPr>
              <w:t>2.5.2.</w:t>
            </w:r>
            <w:r w:rsidRPr="008B44CB">
              <w:rPr>
                <w:noProof/>
                <w:sz w:val="24"/>
                <w:szCs w:val="24"/>
              </w:rPr>
              <w:tab/>
            </w:r>
            <w:r w:rsidRPr="008B44CB">
              <w:rPr>
                <w:rStyle w:val="Hipervnculo"/>
                <w:rFonts w:asciiTheme="majorBidi" w:eastAsia="DengXian" w:hAnsiTheme="majorBidi" w:cstheme="majorBidi"/>
                <w:noProof/>
                <w:lang w:val="es-MX"/>
              </w:rPr>
              <w:t>Falta de cumplimiento de sentencia emitidas por la Corte de Constitucionalidad.</w:t>
            </w:r>
            <w:r w:rsidRPr="008B44CB">
              <w:rPr>
                <w:noProof/>
                <w:webHidden/>
              </w:rPr>
              <w:tab/>
            </w:r>
            <w:r w:rsidRPr="008B44CB">
              <w:rPr>
                <w:noProof/>
                <w:webHidden/>
              </w:rPr>
              <w:fldChar w:fldCharType="begin"/>
            </w:r>
            <w:r w:rsidRPr="008B44CB">
              <w:rPr>
                <w:noProof/>
                <w:webHidden/>
              </w:rPr>
              <w:instrText xml:space="preserve"> PAGEREF _Toc204264051 \h </w:instrText>
            </w:r>
            <w:r w:rsidRPr="008B44CB">
              <w:rPr>
                <w:noProof/>
                <w:webHidden/>
              </w:rPr>
            </w:r>
            <w:r w:rsidRPr="008B44CB">
              <w:rPr>
                <w:noProof/>
                <w:webHidden/>
              </w:rPr>
              <w:fldChar w:fldCharType="separate"/>
            </w:r>
            <w:r w:rsidR="00AA79A9">
              <w:rPr>
                <w:noProof/>
                <w:webHidden/>
              </w:rPr>
              <w:t>29</w:t>
            </w:r>
            <w:r w:rsidRPr="008B44CB">
              <w:rPr>
                <w:noProof/>
                <w:webHidden/>
              </w:rPr>
              <w:fldChar w:fldCharType="end"/>
            </w:r>
          </w:hyperlink>
        </w:p>
        <w:p w14:paraId="4BB13D91" w14:textId="36345FD6" w:rsidR="008B44CB" w:rsidRPr="008B44CB" w:rsidRDefault="008B44CB">
          <w:pPr>
            <w:pStyle w:val="TDC3"/>
            <w:tabs>
              <w:tab w:val="left" w:pos="1200"/>
              <w:tab w:val="right" w:leader="dot" w:pos="8828"/>
            </w:tabs>
            <w:rPr>
              <w:noProof/>
              <w:sz w:val="24"/>
              <w:szCs w:val="24"/>
            </w:rPr>
          </w:pPr>
          <w:hyperlink w:anchor="_Toc204264052" w:history="1">
            <w:r w:rsidRPr="008B44CB">
              <w:rPr>
                <w:rStyle w:val="Hipervnculo"/>
                <w:rFonts w:asciiTheme="majorBidi" w:hAnsiTheme="majorBidi" w:cstheme="majorBidi"/>
                <w:noProof/>
              </w:rPr>
              <w:t>2.5.4.</w:t>
            </w:r>
            <w:r w:rsidRPr="008B44CB">
              <w:rPr>
                <w:noProof/>
                <w:sz w:val="24"/>
                <w:szCs w:val="24"/>
              </w:rPr>
              <w:tab/>
            </w:r>
            <w:r w:rsidRPr="008B44CB">
              <w:rPr>
                <w:rStyle w:val="Hipervnculo"/>
                <w:rFonts w:asciiTheme="majorBidi" w:eastAsia="DengXian" w:hAnsiTheme="majorBidi" w:cstheme="majorBidi"/>
                <w:noProof/>
                <w:lang w:val="es-MX"/>
              </w:rPr>
              <w:t>Situación de desalojos</w:t>
            </w:r>
            <w:r w:rsidRPr="008B44CB">
              <w:rPr>
                <w:noProof/>
                <w:webHidden/>
              </w:rPr>
              <w:tab/>
            </w:r>
            <w:r w:rsidRPr="008B44CB">
              <w:rPr>
                <w:noProof/>
                <w:webHidden/>
              </w:rPr>
              <w:fldChar w:fldCharType="begin"/>
            </w:r>
            <w:r w:rsidRPr="008B44CB">
              <w:rPr>
                <w:noProof/>
                <w:webHidden/>
              </w:rPr>
              <w:instrText xml:space="preserve"> PAGEREF _Toc204264052 \h </w:instrText>
            </w:r>
            <w:r w:rsidRPr="008B44CB">
              <w:rPr>
                <w:noProof/>
                <w:webHidden/>
              </w:rPr>
            </w:r>
            <w:r w:rsidRPr="008B44CB">
              <w:rPr>
                <w:noProof/>
                <w:webHidden/>
              </w:rPr>
              <w:fldChar w:fldCharType="separate"/>
            </w:r>
            <w:r w:rsidR="00AA79A9">
              <w:rPr>
                <w:noProof/>
                <w:webHidden/>
              </w:rPr>
              <w:t>31</w:t>
            </w:r>
            <w:r w:rsidRPr="008B44CB">
              <w:rPr>
                <w:noProof/>
                <w:webHidden/>
              </w:rPr>
              <w:fldChar w:fldCharType="end"/>
            </w:r>
          </w:hyperlink>
        </w:p>
        <w:p w14:paraId="6993CCF3" w14:textId="3C7EBF7F" w:rsidR="008B44CB" w:rsidRPr="008B44CB" w:rsidRDefault="008B44CB">
          <w:pPr>
            <w:pStyle w:val="TDC3"/>
            <w:tabs>
              <w:tab w:val="left" w:pos="1200"/>
              <w:tab w:val="right" w:leader="dot" w:pos="8828"/>
            </w:tabs>
            <w:rPr>
              <w:noProof/>
              <w:sz w:val="24"/>
              <w:szCs w:val="24"/>
            </w:rPr>
          </w:pPr>
          <w:hyperlink w:anchor="_Toc204264053" w:history="1">
            <w:r w:rsidRPr="008B44CB">
              <w:rPr>
                <w:rStyle w:val="Hipervnculo"/>
                <w:rFonts w:asciiTheme="majorBidi" w:hAnsiTheme="majorBidi" w:cstheme="majorBidi"/>
                <w:noProof/>
              </w:rPr>
              <w:t>2.5.5.</w:t>
            </w:r>
            <w:r w:rsidRPr="008B44CB">
              <w:rPr>
                <w:noProof/>
                <w:sz w:val="24"/>
                <w:szCs w:val="24"/>
              </w:rPr>
              <w:tab/>
            </w:r>
            <w:r w:rsidRPr="008B44CB">
              <w:rPr>
                <w:rStyle w:val="Hipervnculo"/>
                <w:rFonts w:asciiTheme="majorBidi" w:hAnsiTheme="majorBidi" w:cstheme="majorBidi"/>
                <w:noProof/>
              </w:rPr>
              <w:t>Criminalización en la defensa del territorio</w:t>
            </w:r>
            <w:r w:rsidRPr="008B44CB">
              <w:rPr>
                <w:noProof/>
                <w:webHidden/>
              </w:rPr>
              <w:tab/>
            </w:r>
            <w:r w:rsidRPr="008B44CB">
              <w:rPr>
                <w:noProof/>
                <w:webHidden/>
              </w:rPr>
              <w:fldChar w:fldCharType="begin"/>
            </w:r>
            <w:r w:rsidRPr="008B44CB">
              <w:rPr>
                <w:noProof/>
                <w:webHidden/>
              </w:rPr>
              <w:instrText xml:space="preserve"> PAGEREF _Toc204264053 \h </w:instrText>
            </w:r>
            <w:r w:rsidRPr="008B44CB">
              <w:rPr>
                <w:noProof/>
                <w:webHidden/>
              </w:rPr>
            </w:r>
            <w:r w:rsidRPr="008B44CB">
              <w:rPr>
                <w:noProof/>
                <w:webHidden/>
              </w:rPr>
              <w:fldChar w:fldCharType="separate"/>
            </w:r>
            <w:r w:rsidR="00AA79A9">
              <w:rPr>
                <w:noProof/>
                <w:webHidden/>
              </w:rPr>
              <w:t>35</w:t>
            </w:r>
            <w:r w:rsidRPr="008B44CB">
              <w:rPr>
                <w:noProof/>
                <w:webHidden/>
              </w:rPr>
              <w:fldChar w:fldCharType="end"/>
            </w:r>
          </w:hyperlink>
        </w:p>
        <w:p w14:paraId="662A67FB" w14:textId="429D548C" w:rsidR="008B44CB" w:rsidRPr="008B44CB" w:rsidRDefault="008B44CB">
          <w:pPr>
            <w:pStyle w:val="TDC3"/>
            <w:tabs>
              <w:tab w:val="left" w:pos="1200"/>
              <w:tab w:val="right" w:leader="dot" w:pos="8828"/>
            </w:tabs>
            <w:rPr>
              <w:noProof/>
              <w:sz w:val="24"/>
              <w:szCs w:val="24"/>
            </w:rPr>
          </w:pPr>
          <w:hyperlink w:anchor="_Toc204264054" w:history="1">
            <w:r w:rsidRPr="008B44CB">
              <w:rPr>
                <w:rStyle w:val="Hipervnculo"/>
                <w:rFonts w:asciiTheme="majorBidi" w:eastAsia="DengXian" w:hAnsiTheme="majorBidi" w:cstheme="majorBidi"/>
                <w:noProof/>
                <w:lang w:val="es-MX"/>
              </w:rPr>
              <w:t>2.5.6.</w:t>
            </w:r>
            <w:r w:rsidRPr="008B44CB">
              <w:rPr>
                <w:noProof/>
                <w:sz w:val="24"/>
                <w:szCs w:val="24"/>
              </w:rPr>
              <w:tab/>
            </w:r>
            <w:r w:rsidRPr="008B44CB">
              <w:rPr>
                <w:rStyle w:val="Hipervnculo"/>
                <w:rFonts w:asciiTheme="majorBidi" w:eastAsia="DengXian" w:hAnsiTheme="majorBidi" w:cstheme="majorBidi"/>
                <w:noProof/>
                <w:lang w:val="es-MX"/>
              </w:rPr>
              <w:t>Recomendaciones</w:t>
            </w:r>
            <w:r w:rsidRPr="008B44CB">
              <w:rPr>
                <w:rStyle w:val="Hipervnculo"/>
                <w:rFonts w:asciiTheme="majorBidi" w:eastAsia="DengXian" w:hAnsiTheme="majorBidi" w:cstheme="majorBidi"/>
                <w:noProof/>
              </w:rPr>
              <w:t xml:space="preserve"> relacionadas al derecho de tierras, territorios y recursos naturales</w:t>
            </w:r>
            <w:r w:rsidRPr="008B44CB">
              <w:rPr>
                <w:noProof/>
                <w:webHidden/>
              </w:rPr>
              <w:tab/>
            </w:r>
            <w:r w:rsidRPr="008B44CB">
              <w:rPr>
                <w:noProof/>
                <w:webHidden/>
              </w:rPr>
              <w:fldChar w:fldCharType="begin"/>
            </w:r>
            <w:r w:rsidRPr="008B44CB">
              <w:rPr>
                <w:noProof/>
                <w:webHidden/>
              </w:rPr>
              <w:instrText xml:space="preserve"> PAGEREF _Toc204264054 \h </w:instrText>
            </w:r>
            <w:r w:rsidRPr="008B44CB">
              <w:rPr>
                <w:noProof/>
                <w:webHidden/>
              </w:rPr>
            </w:r>
            <w:r w:rsidRPr="008B44CB">
              <w:rPr>
                <w:noProof/>
                <w:webHidden/>
              </w:rPr>
              <w:fldChar w:fldCharType="separate"/>
            </w:r>
            <w:r w:rsidR="00AA79A9">
              <w:rPr>
                <w:noProof/>
                <w:webHidden/>
              </w:rPr>
              <w:t>36</w:t>
            </w:r>
            <w:r w:rsidRPr="008B44CB">
              <w:rPr>
                <w:noProof/>
                <w:webHidden/>
              </w:rPr>
              <w:fldChar w:fldCharType="end"/>
            </w:r>
          </w:hyperlink>
        </w:p>
        <w:p w14:paraId="03E402FF" w14:textId="1C469EC5" w:rsidR="008B44CB" w:rsidRDefault="008B44CB">
          <w:pPr>
            <w:pStyle w:val="TDC2"/>
            <w:tabs>
              <w:tab w:val="left" w:pos="960"/>
              <w:tab w:val="right" w:leader="dot" w:pos="8828"/>
            </w:tabs>
            <w:rPr>
              <w:noProof/>
              <w:sz w:val="24"/>
              <w:szCs w:val="24"/>
            </w:rPr>
          </w:pPr>
          <w:hyperlink w:anchor="_Toc204264055" w:history="1">
            <w:r w:rsidRPr="00311BA4">
              <w:rPr>
                <w:rStyle w:val="Hipervnculo"/>
                <w:rFonts w:asciiTheme="majorBidi" w:hAnsiTheme="majorBidi" w:cstheme="majorBidi"/>
                <w:b/>
                <w:bCs/>
                <w:noProof/>
                <w:lang w:val="es-MX"/>
              </w:rPr>
              <w:t>2.6.</w:t>
            </w:r>
            <w:r>
              <w:rPr>
                <w:noProof/>
                <w:sz w:val="24"/>
                <w:szCs w:val="24"/>
              </w:rPr>
              <w:tab/>
            </w:r>
            <w:r w:rsidRPr="00311BA4">
              <w:rPr>
                <w:rStyle w:val="Hipervnculo"/>
                <w:rFonts w:asciiTheme="majorBidi" w:hAnsiTheme="majorBidi" w:cstheme="majorBidi"/>
                <w:b/>
                <w:bCs/>
                <w:noProof/>
                <w:lang w:val="es-MX"/>
              </w:rPr>
              <w:t>Derechos económicos, sociales y culturales ((Párr. 19 al 22 del Listado de Temas)</w:t>
            </w:r>
            <w:r>
              <w:rPr>
                <w:noProof/>
                <w:webHidden/>
              </w:rPr>
              <w:tab/>
            </w:r>
            <w:r>
              <w:rPr>
                <w:noProof/>
                <w:webHidden/>
              </w:rPr>
              <w:fldChar w:fldCharType="begin"/>
            </w:r>
            <w:r>
              <w:rPr>
                <w:noProof/>
                <w:webHidden/>
              </w:rPr>
              <w:instrText xml:space="preserve"> PAGEREF _Toc204264055 \h </w:instrText>
            </w:r>
            <w:r>
              <w:rPr>
                <w:noProof/>
                <w:webHidden/>
              </w:rPr>
            </w:r>
            <w:r>
              <w:rPr>
                <w:noProof/>
                <w:webHidden/>
              </w:rPr>
              <w:fldChar w:fldCharType="separate"/>
            </w:r>
            <w:r w:rsidR="00AA79A9">
              <w:rPr>
                <w:noProof/>
                <w:webHidden/>
              </w:rPr>
              <w:t>38</w:t>
            </w:r>
            <w:r>
              <w:rPr>
                <w:noProof/>
                <w:webHidden/>
              </w:rPr>
              <w:fldChar w:fldCharType="end"/>
            </w:r>
          </w:hyperlink>
        </w:p>
        <w:p w14:paraId="5D5398F2" w14:textId="7A03CBD9" w:rsidR="008B44CB" w:rsidRPr="008B44CB" w:rsidRDefault="008B44CB">
          <w:pPr>
            <w:pStyle w:val="TDC3"/>
            <w:tabs>
              <w:tab w:val="left" w:pos="1200"/>
              <w:tab w:val="right" w:leader="dot" w:pos="8828"/>
            </w:tabs>
            <w:rPr>
              <w:noProof/>
              <w:sz w:val="24"/>
              <w:szCs w:val="24"/>
            </w:rPr>
          </w:pPr>
          <w:hyperlink w:anchor="_Toc204264056" w:history="1">
            <w:r w:rsidRPr="008B44CB">
              <w:rPr>
                <w:rStyle w:val="Hipervnculo"/>
                <w:rFonts w:asciiTheme="majorBidi" w:hAnsiTheme="majorBidi" w:cstheme="majorBidi"/>
                <w:noProof/>
                <w:lang w:val="es-MX"/>
              </w:rPr>
              <w:t>2.6.1.</w:t>
            </w:r>
            <w:r w:rsidRPr="008B44CB">
              <w:rPr>
                <w:noProof/>
                <w:sz w:val="24"/>
                <w:szCs w:val="24"/>
              </w:rPr>
              <w:tab/>
            </w:r>
            <w:r w:rsidRPr="008B44CB">
              <w:rPr>
                <w:rStyle w:val="Hipervnculo"/>
                <w:rFonts w:asciiTheme="majorBidi" w:hAnsiTheme="majorBidi" w:cstheme="majorBidi"/>
                <w:noProof/>
                <w:lang w:val="es-MX"/>
              </w:rPr>
              <w:t>Derecho a la Alimentación:</w:t>
            </w:r>
            <w:r w:rsidRPr="008B44CB">
              <w:rPr>
                <w:noProof/>
                <w:webHidden/>
              </w:rPr>
              <w:tab/>
            </w:r>
            <w:r w:rsidRPr="008B44CB">
              <w:rPr>
                <w:noProof/>
                <w:webHidden/>
              </w:rPr>
              <w:fldChar w:fldCharType="begin"/>
            </w:r>
            <w:r w:rsidRPr="008B44CB">
              <w:rPr>
                <w:noProof/>
                <w:webHidden/>
              </w:rPr>
              <w:instrText xml:space="preserve"> PAGEREF _Toc204264056 \h </w:instrText>
            </w:r>
            <w:r w:rsidRPr="008B44CB">
              <w:rPr>
                <w:noProof/>
                <w:webHidden/>
              </w:rPr>
            </w:r>
            <w:r w:rsidRPr="008B44CB">
              <w:rPr>
                <w:noProof/>
                <w:webHidden/>
              </w:rPr>
              <w:fldChar w:fldCharType="separate"/>
            </w:r>
            <w:r w:rsidR="00AA79A9">
              <w:rPr>
                <w:noProof/>
                <w:webHidden/>
              </w:rPr>
              <w:t>38</w:t>
            </w:r>
            <w:r w:rsidRPr="008B44CB">
              <w:rPr>
                <w:noProof/>
                <w:webHidden/>
              </w:rPr>
              <w:fldChar w:fldCharType="end"/>
            </w:r>
          </w:hyperlink>
        </w:p>
        <w:p w14:paraId="6B1F7179" w14:textId="4BC4584A" w:rsidR="008B44CB" w:rsidRPr="008B44CB" w:rsidRDefault="008B44CB">
          <w:pPr>
            <w:pStyle w:val="TDC3"/>
            <w:tabs>
              <w:tab w:val="left" w:pos="1200"/>
              <w:tab w:val="right" w:leader="dot" w:pos="8828"/>
            </w:tabs>
            <w:rPr>
              <w:noProof/>
              <w:sz w:val="24"/>
              <w:szCs w:val="24"/>
            </w:rPr>
          </w:pPr>
          <w:hyperlink w:anchor="_Toc204264057" w:history="1">
            <w:r w:rsidRPr="008B44CB">
              <w:rPr>
                <w:rStyle w:val="Hipervnculo"/>
                <w:rFonts w:asciiTheme="majorBidi" w:hAnsiTheme="majorBidi" w:cstheme="majorBidi"/>
                <w:noProof/>
                <w:lang w:val="es-MX"/>
              </w:rPr>
              <w:t>2.6.2.</w:t>
            </w:r>
            <w:r w:rsidRPr="008B44CB">
              <w:rPr>
                <w:noProof/>
                <w:sz w:val="24"/>
                <w:szCs w:val="24"/>
              </w:rPr>
              <w:tab/>
            </w:r>
            <w:r w:rsidRPr="008B44CB">
              <w:rPr>
                <w:rStyle w:val="Hipervnculo"/>
                <w:rFonts w:asciiTheme="majorBidi" w:hAnsiTheme="majorBidi" w:cstheme="majorBidi"/>
                <w:noProof/>
                <w:lang w:val="es-MX"/>
              </w:rPr>
              <w:t>Educación</w:t>
            </w:r>
            <w:r w:rsidRPr="008B44CB">
              <w:rPr>
                <w:noProof/>
                <w:webHidden/>
              </w:rPr>
              <w:tab/>
            </w:r>
            <w:r w:rsidRPr="008B44CB">
              <w:rPr>
                <w:noProof/>
                <w:webHidden/>
              </w:rPr>
              <w:fldChar w:fldCharType="begin"/>
            </w:r>
            <w:r w:rsidRPr="008B44CB">
              <w:rPr>
                <w:noProof/>
                <w:webHidden/>
              </w:rPr>
              <w:instrText xml:space="preserve"> PAGEREF _Toc204264057 \h </w:instrText>
            </w:r>
            <w:r w:rsidRPr="008B44CB">
              <w:rPr>
                <w:noProof/>
                <w:webHidden/>
              </w:rPr>
            </w:r>
            <w:r w:rsidRPr="008B44CB">
              <w:rPr>
                <w:noProof/>
                <w:webHidden/>
              </w:rPr>
              <w:fldChar w:fldCharType="separate"/>
            </w:r>
            <w:r w:rsidR="00AA79A9">
              <w:rPr>
                <w:noProof/>
                <w:webHidden/>
              </w:rPr>
              <w:t>38</w:t>
            </w:r>
            <w:r w:rsidRPr="008B44CB">
              <w:rPr>
                <w:noProof/>
                <w:webHidden/>
              </w:rPr>
              <w:fldChar w:fldCharType="end"/>
            </w:r>
          </w:hyperlink>
        </w:p>
        <w:p w14:paraId="30512EF0" w14:textId="1DFA2C15" w:rsidR="008B44CB" w:rsidRPr="008B44CB" w:rsidRDefault="008B44CB">
          <w:pPr>
            <w:pStyle w:val="TDC3"/>
            <w:tabs>
              <w:tab w:val="left" w:pos="1200"/>
              <w:tab w:val="right" w:leader="dot" w:pos="8828"/>
            </w:tabs>
            <w:rPr>
              <w:noProof/>
              <w:sz w:val="24"/>
              <w:szCs w:val="24"/>
            </w:rPr>
          </w:pPr>
          <w:hyperlink w:anchor="_Toc204264058" w:history="1">
            <w:r w:rsidRPr="008B44CB">
              <w:rPr>
                <w:rStyle w:val="Hipervnculo"/>
                <w:rFonts w:asciiTheme="majorBidi" w:hAnsiTheme="majorBidi" w:cstheme="majorBidi"/>
                <w:noProof/>
                <w:lang w:val="es-MX"/>
              </w:rPr>
              <w:t>2.6.3.</w:t>
            </w:r>
            <w:r w:rsidRPr="008B44CB">
              <w:rPr>
                <w:noProof/>
                <w:sz w:val="24"/>
                <w:szCs w:val="24"/>
              </w:rPr>
              <w:tab/>
            </w:r>
            <w:r w:rsidRPr="008B44CB">
              <w:rPr>
                <w:rStyle w:val="Hipervnculo"/>
                <w:rFonts w:asciiTheme="majorBidi" w:hAnsiTheme="majorBidi" w:cstheme="majorBidi"/>
                <w:noProof/>
                <w:lang w:val="es-MX"/>
              </w:rPr>
              <w:t>Vivienda:</w:t>
            </w:r>
            <w:r w:rsidRPr="008B44CB">
              <w:rPr>
                <w:noProof/>
                <w:webHidden/>
              </w:rPr>
              <w:tab/>
            </w:r>
            <w:r w:rsidRPr="008B44CB">
              <w:rPr>
                <w:noProof/>
                <w:webHidden/>
              </w:rPr>
              <w:fldChar w:fldCharType="begin"/>
            </w:r>
            <w:r w:rsidRPr="008B44CB">
              <w:rPr>
                <w:noProof/>
                <w:webHidden/>
              </w:rPr>
              <w:instrText xml:space="preserve"> PAGEREF _Toc204264058 \h </w:instrText>
            </w:r>
            <w:r w:rsidRPr="008B44CB">
              <w:rPr>
                <w:noProof/>
                <w:webHidden/>
              </w:rPr>
            </w:r>
            <w:r w:rsidRPr="008B44CB">
              <w:rPr>
                <w:noProof/>
                <w:webHidden/>
              </w:rPr>
              <w:fldChar w:fldCharType="separate"/>
            </w:r>
            <w:r w:rsidR="00AA79A9">
              <w:rPr>
                <w:noProof/>
                <w:webHidden/>
              </w:rPr>
              <w:t>39</w:t>
            </w:r>
            <w:r w:rsidRPr="008B44CB">
              <w:rPr>
                <w:noProof/>
                <w:webHidden/>
              </w:rPr>
              <w:fldChar w:fldCharType="end"/>
            </w:r>
          </w:hyperlink>
        </w:p>
        <w:p w14:paraId="358269F5" w14:textId="5E524C0B" w:rsidR="008B44CB" w:rsidRPr="008B44CB" w:rsidRDefault="008B44CB">
          <w:pPr>
            <w:pStyle w:val="TDC3"/>
            <w:tabs>
              <w:tab w:val="left" w:pos="1200"/>
              <w:tab w:val="right" w:leader="dot" w:pos="8828"/>
            </w:tabs>
            <w:rPr>
              <w:noProof/>
              <w:sz w:val="24"/>
              <w:szCs w:val="24"/>
            </w:rPr>
          </w:pPr>
          <w:hyperlink w:anchor="_Toc204264059" w:history="1">
            <w:r w:rsidRPr="008B44CB">
              <w:rPr>
                <w:rStyle w:val="Hipervnculo"/>
                <w:rFonts w:asciiTheme="majorBidi" w:hAnsiTheme="majorBidi" w:cstheme="majorBidi"/>
                <w:noProof/>
                <w:lang w:val="es-MX"/>
              </w:rPr>
              <w:t>2.6.4.</w:t>
            </w:r>
            <w:r w:rsidRPr="008B44CB">
              <w:rPr>
                <w:noProof/>
                <w:sz w:val="24"/>
                <w:szCs w:val="24"/>
              </w:rPr>
              <w:tab/>
            </w:r>
            <w:r w:rsidRPr="008B44CB">
              <w:rPr>
                <w:rStyle w:val="Hipervnculo"/>
                <w:rFonts w:asciiTheme="majorBidi" w:hAnsiTheme="majorBidi" w:cstheme="majorBidi"/>
                <w:noProof/>
                <w:lang w:val="es-MX"/>
              </w:rPr>
              <w:t>Laboral:</w:t>
            </w:r>
            <w:r w:rsidRPr="008B44CB">
              <w:rPr>
                <w:noProof/>
                <w:webHidden/>
              </w:rPr>
              <w:tab/>
            </w:r>
            <w:r w:rsidRPr="008B44CB">
              <w:rPr>
                <w:noProof/>
                <w:webHidden/>
              </w:rPr>
              <w:fldChar w:fldCharType="begin"/>
            </w:r>
            <w:r w:rsidRPr="008B44CB">
              <w:rPr>
                <w:noProof/>
                <w:webHidden/>
              </w:rPr>
              <w:instrText xml:space="preserve"> PAGEREF _Toc204264059 \h </w:instrText>
            </w:r>
            <w:r w:rsidRPr="008B44CB">
              <w:rPr>
                <w:noProof/>
                <w:webHidden/>
              </w:rPr>
            </w:r>
            <w:r w:rsidRPr="008B44CB">
              <w:rPr>
                <w:noProof/>
                <w:webHidden/>
              </w:rPr>
              <w:fldChar w:fldCharType="separate"/>
            </w:r>
            <w:r w:rsidR="00AA79A9">
              <w:rPr>
                <w:noProof/>
                <w:webHidden/>
              </w:rPr>
              <w:t>40</w:t>
            </w:r>
            <w:r w:rsidRPr="008B44CB">
              <w:rPr>
                <w:noProof/>
                <w:webHidden/>
              </w:rPr>
              <w:fldChar w:fldCharType="end"/>
            </w:r>
          </w:hyperlink>
        </w:p>
        <w:p w14:paraId="67279B64" w14:textId="1B8EAC35" w:rsidR="008B44CB" w:rsidRPr="008B44CB" w:rsidRDefault="008B44CB">
          <w:pPr>
            <w:pStyle w:val="TDC3"/>
            <w:tabs>
              <w:tab w:val="left" w:pos="1200"/>
              <w:tab w:val="right" w:leader="dot" w:pos="8828"/>
            </w:tabs>
            <w:rPr>
              <w:noProof/>
              <w:sz w:val="24"/>
              <w:szCs w:val="24"/>
            </w:rPr>
          </w:pPr>
          <w:hyperlink w:anchor="_Toc204264060" w:history="1">
            <w:r w:rsidRPr="008B44CB">
              <w:rPr>
                <w:rStyle w:val="Hipervnculo"/>
                <w:rFonts w:asciiTheme="majorBidi" w:hAnsiTheme="majorBidi" w:cstheme="majorBidi"/>
                <w:noProof/>
                <w:lang w:val="es-MX"/>
              </w:rPr>
              <w:t>2.6.5.</w:t>
            </w:r>
            <w:r w:rsidRPr="008B44CB">
              <w:rPr>
                <w:noProof/>
                <w:sz w:val="24"/>
                <w:szCs w:val="24"/>
              </w:rPr>
              <w:tab/>
            </w:r>
            <w:r w:rsidRPr="008B44CB">
              <w:rPr>
                <w:rStyle w:val="Hipervnculo"/>
                <w:rFonts w:asciiTheme="majorBidi" w:hAnsiTheme="majorBidi" w:cstheme="majorBidi"/>
                <w:noProof/>
                <w:lang w:val="es-MX"/>
              </w:rPr>
              <w:t>Medio ambiente sano y derecho humano al agua</w:t>
            </w:r>
            <w:r w:rsidRPr="008B44CB">
              <w:rPr>
                <w:noProof/>
                <w:webHidden/>
              </w:rPr>
              <w:tab/>
            </w:r>
            <w:r w:rsidRPr="008B44CB">
              <w:rPr>
                <w:noProof/>
                <w:webHidden/>
              </w:rPr>
              <w:fldChar w:fldCharType="begin"/>
            </w:r>
            <w:r w:rsidRPr="008B44CB">
              <w:rPr>
                <w:noProof/>
                <w:webHidden/>
              </w:rPr>
              <w:instrText xml:space="preserve"> PAGEREF _Toc204264060 \h </w:instrText>
            </w:r>
            <w:r w:rsidRPr="008B44CB">
              <w:rPr>
                <w:noProof/>
                <w:webHidden/>
              </w:rPr>
            </w:r>
            <w:r w:rsidRPr="008B44CB">
              <w:rPr>
                <w:noProof/>
                <w:webHidden/>
              </w:rPr>
              <w:fldChar w:fldCharType="separate"/>
            </w:r>
            <w:r w:rsidR="00AA79A9">
              <w:rPr>
                <w:noProof/>
                <w:webHidden/>
              </w:rPr>
              <w:t>40</w:t>
            </w:r>
            <w:r w:rsidRPr="008B44CB">
              <w:rPr>
                <w:noProof/>
                <w:webHidden/>
              </w:rPr>
              <w:fldChar w:fldCharType="end"/>
            </w:r>
          </w:hyperlink>
        </w:p>
        <w:p w14:paraId="75813ECA" w14:textId="52CA0083" w:rsidR="008B44CB" w:rsidRPr="008B44CB" w:rsidRDefault="008B44CB">
          <w:pPr>
            <w:pStyle w:val="TDC3"/>
            <w:tabs>
              <w:tab w:val="left" w:pos="1200"/>
              <w:tab w:val="right" w:leader="dot" w:pos="8828"/>
            </w:tabs>
            <w:rPr>
              <w:noProof/>
              <w:sz w:val="24"/>
              <w:szCs w:val="24"/>
            </w:rPr>
          </w:pPr>
          <w:hyperlink w:anchor="_Toc204264061" w:history="1">
            <w:r w:rsidRPr="008B44CB">
              <w:rPr>
                <w:rStyle w:val="Hipervnculo"/>
                <w:rFonts w:asciiTheme="majorBidi" w:hAnsiTheme="majorBidi" w:cstheme="majorBidi"/>
                <w:noProof/>
                <w:lang w:val="es-MX"/>
              </w:rPr>
              <w:t>2.6.6.</w:t>
            </w:r>
            <w:r w:rsidRPr="008B44CB">
              <w:rPr>
                <w:noProof/>
                <w:sz w:val="24"/>
                <w:szCs w:val="24"/>
              </w:rPr>
              <w:tab/>
            </w:r>
            <w:r w:rsidRPr="008B44CB">
              <w:rPr>
                <w:rStyle w:val="Hipervnculo"/>
                <w:rFonts w:asciiTheme="majorBidi" w:hAnsiTheme="majorBidi" w:cstheme="majorBidi"/>
                <w:noProof/>
                <w:lang w:val="es-MX"/>
              </w:rPr>
              <w:t>Recomendaciones relacionadas a los derechos económicos, sociales, culturales y ambientales</w:t>
            </w:r>
            <w:r w:rsidRPr="008B44CB">
              <w:rPr>
                <w:noProof/>
                <w:webHidden/>
              </w:rPr>
              <w:tab/>
            </w:r>
            <w:r w:rsidRPr="008B44CB">
              <w:rPr>
                <w:noProof/>
                <w:webHidden/>
              </w:rPr>
              <w:fldChar w:fldCharType="begin"/>
            </w:r>
            <w:r w:rsidRPr="008B44CB">
              <w:rPr>
                <w:noProof/>
                <w:webHidden/>
              </w:rPr>
              <w:instrText xml:space="preserve"> PAGEREF _Toc204264061 \h </w:instrText>
            </w:r>
            <w:r w:rsidRPr="008B44CB">
              <w:rPr>
                <w:noProof/>
                <w:webHidden/>
              </w:rPr>
            </w:r>
            <w:r w:rsidRPr="008B44CB">
              <w:rPr>
                <w:noProof/>
                <w:webHidden/>
              </w:rPr>
              <w:fldChar w:fldCharType="separate"/>
            </w:r>
            <w:r w:rsidR="00AA79A9">
              <w:rPr>
                <w:noProof/>
                <w:webHidden/>
              </w:rPr>
              <w:t>42</w:t>
            </w:r>
            <w:r w:rsidRPr="008B44CB">
              <w:rPr>
                <w:noProof/>
                <w:webHidden/>
              </w:rPr>
              <w:fldChar w:fldCharType="end"/>
            </w:r>
          </w:hyperlink>
        </w:p>
        <w:p w14:paraId="7A52C80F" w14:textId="6C136DA1" w:rsidR="008B44CB" w:rsidRDefault="008B44CB">
          <w:pPr>
            <w:pStyle w:val="TDC1"/>
            <w:tabs>
              <w:tab w:val="left" w:pos="440"/>
              <w:tab w:val="right" w:leader="dot" w:pos="8828"/>
            </w:tabs>
            <w:rPr>
              <w:noProof/>
              <w:sz w:val="24"/>
              <w:szCs w:val="24"/>
            </w:rPr>
          </w:pPr>
          <w:hyperlink w:anchor="_Toc204264062" w:history="1">
            <w:r w:rsidRPr="00311BA4">
              <w:rPr>
                <w:rStyle w:val="Hipervnculo"/>
                <w:rFonts w:asciiTheme="majorBidi" w:hAnsiTheme="majorBidi" w:cstheme="majorBidi"/>
                <w:b/>
                <w:bCs/>
                <w:noProof/>
                <w:lang w:val="es-MX"/>
              </w:rPr>
              <w:t>3.</w:t>
            </w:r>
            <w:r>
              <w:rPr>
                <w:noProof/>
                <w:sz w:val="24"/>
                <w:szCs w:val="24"/>
              </w:rPr>
              <w:tab/>
            </w:r>
            <w:r w:rsidRPr="00311BA4">
              <w:rPr>
                <w:rStyle w:val="Hipervnculo"/>
                <w:rFonts w:asciiTheme="majorBidi" w:hAnsiTheme="majorBidi" w:cstheme="majorBidi"/>
                <w:b/>
                <w:bCs/>
                <w:noProof/>
                <w:lang w:val="es-MX"/>
              </w:rPr>
              <w:t>Acceso a la Justicia (Párr. 26 del Listado de Temas)</w:t>
            </w:r>
            <w:r>
              <w:rPr>
                <w:noProof/>
                <w:webHidden/>
              </w:rPr>
              <w:tab/>
            </w:r>
            <w:r>
              <w:rPr>
                <w:noProof/>
                <w:webHidden/>
              </w:rPr>
              <w:fldChar w:fldCharType="begin"/>
            </w:r>
            <w:r>
              <w:rPr>
                <w:noProof/>
                <w:webHidden/>
              </w:rPr>
              <w:instrText xml:space="preserve"> PAGEREF _Toc204264062 \h </w:instrText>
            </w:r>
            <w:r>
              <w:rPr>
                <w:noProof/>
                <w:webHidden/>
              </w:rPr>
            </w:r>
            <w:r>
              <w:rPr>
                <w:noProof/>
                <w:webHidden/>
              </w:rPr>
              <w:fldChar w:fldCharType="separate"/>
            </w:r>
            <w:r w:rsidR="00AA79A9">
              <w:rPr>
                <w:noProof/>
                <w:webHidden/>
              </w:rPr>
              <w:t>44</w:t>
            </w:r>
            <w:r>
              <w:rPr>
                <w:noProof/>
                <w:webHidden/>
              </w:rPr>
              <w:fldChar w:fldCharType="end"/>
            </w:r>
          </w:hyperlink>
        </w:p>
        <w:p w14:paraId="54D1F13E" w14:textId="7D65EC57" w:rsidR="008B44CB" w:rsidRPr="008B44CB" w:rsidRDefault="008B44CB">
          <w:pPr>
            <w:pStyle w:val="TDC3"/>
            <w:tabs>
              <w:tab w:val="left" w:pos="1200"/>
              <w:tab w:val="right" w:leader="dot" w:pos="8828"/>
            </w:tabs>
            <w:rPr>
              <w:noProof/>
              <w:sz w:val="24"/>
              <w:szCs w:val="24"/>
            </w:rPr>
          </w:pPr>
          <w:hyperlink w:anchor="_Toc204264063" w:history="1">
            <w:r w:rsidRPr="008B44CB">
              <w:rPr>
                <w:rStyle w:val="Hipervnculo"/>
                <w:rFonts w:asciiTheme="majorBidi" w:eastAsia="Times New Roman" w:hAnsiTheme="majorBidi" w:cstheme="majorBidi"/>
                <w:noProof/>
              </w:rPr>
              <w:t>3.1.</w:t>
            </w:r>
            <w:r w:rsidRPr="008B44CB">
              <w:rPr>
                <w:noProof/>
                <w:sz w:val="24"/>
                <w:szCs w:val="24"/>
              </w:rPr>
              <w:tab/>
            </w:r>
            <w:r w:rsidRPr="008B44CB">
              <w:rPr>
                <w:rStyle w:val="Hipervnculo"/>
                <w:rFonts w:asciiTheme="majorBidi" w:eastAsia="Times New Roman" w:hAnsiTheme="majorBidi" w:cstheme="majorBidi"/>
                <w:noProof/>
              </w:rPr>
              <w:t>Sobre el Caso Cumbre de Alaska</w:t>
            </w:r>
            <w:r w:rsidRPr="008B44CB">
              <w:rPr>
                <w:noProof/>
                <w:webHidden/>
              </w:rPr>
              <w:tab/>
            </w:r>
            <w:r w:rsidRPr="008B44CB">
              <w:rPr>
                <w:noProof/>
                <w:webHidden/>
              </w:rPr>
              <w:fldChar w:fldCharType="begin"/>
            </w:r>
            <w:r w:rsidRPr="008B44CB">
              <w:rPr>
                <w:noProof/>
                <w:webHidden/>
              </w:rPr>
              <w:instrText xml:space="preserve"> PAGEREF _Toc204264063 \h </w:instrText>
            </w:r>
            <w:r w:rsidRPr="008B44CB">
              <w:rPr>
                <w:noProof/>
                <w:webHidden/>
              </w:rPr>
            </w:r>
            <w:r w:rsidRPr="008B44CB">
              <w:rPr>
                <w:noProof/>
                <w:webHidden/>
              </w:rPr>
              <w:fldChar w:fldCharType="separate"/>
            </w:r>
            <w:r w:rsidR="00AA79A9">
              <w:rPr>
                <w:noProof/>
                <w:webHidden/>
              </w:rPr>
              <w:t>46</w:t>
            </w:r>
            <w:r w:rsidRPr="008B44CB">
              <w:rPr>
                <w:noProof/>
                <w:webHidden/>
              </w:rPr>
              <w:fldChar w:fldCharType="end"/>
            </w:r>
          </w:hyperlink>
        </w:p>
        <w:p w14:paraId="1520B2DD" w14:textId="1A2DBCE2" w:rsidR="008B44CB" w:rsidRPr="008B44CB" w:rsidRDefault="008B44CB">
          <w:pPr>
            <w:pStyle w:val="TDC3"/>
            <w:tabs>
              <w:tab w:val="left" w:pos="1200"/>
              <w:tab w:val="right" w:leader="dot" w:pos="8828"/>
            </w:tabs>
            <w:rPr>
              <w:noProof/>
              <w:sz w:val="24"/>
              <w:szCs w:val="24"/>
            </w:rPr>
          </w:pPr>
          <w:hyperlink w:anchor="_Toc204264064" w:history="1">
            <w:r w:rsidRPr="008B44CB">
              <w:rPr>
                <w:rStyle w:val="Hipervnculo"/>
                <w:rFonts w:asciiTheme="majorBidi" w:hAnsiTheme="majorBidi" w:cstheme="majorBidi"/>
                <w:noProof/>
              </w:rPr>
              <w:t>3.2.</w:t>
            </w:r>
            <w:r w:rsidRPr="008B44CB">
              <w:rPr>
                <w:noProof/>
                <w:sz w:val="24"/>
                <w:szCs w:val="24"/>
              </w:rPr>
              <w:tab/>
            </w:r>
            <w:r w:rsidRPr="008B44CB">
              <w:rPr>
                <w:rStyle w:val="Hipervnculo"/>
                <w:rFonts w:asciiTheme="majorBidi" w:hAnsiTheme="majorBidi" w:cstheme="majorBidi"/>
                <w:noProof/>
              </w:rPr>
              <w:t>Recomendaciones relacionadas al derecho Derecho de Acceso a la Justicia:</w:t>
            </w:r>
            <w:r w:rsidRPr="008B44CB">
              <w:rPr>
                <w:noProof/>
                <w:webHidden/>
              </w:rPr>
              <w:tab/>
            </w:r>
            <w:r w:rsidRPr="008B44CB">
              <w:rPr>
                <w:noProof/>
                <w:webHidden/>
              </w:rPr>
              <w:fldChar w:fldCharType="begin"/>
            </w:r>
            <w:r w:rsidRPr="008B44CB">
              <w:rPr>
                <w:noProof/>
                <w:webHidden/>
              </w:rPr>
              <w:instrText xml:space="preserve"> PAGEREF _Toc204264064 \h </w:instrText>
            </w:r>
            <w:r w:rsidRPr="008B44CB">
              <w:rPr>
                <w:noProof/>
                <w:webHidden/>
              </w:rPr>
            </w:r>
            <w:r w:rsidRPr="008B44CB">
              <w:rPr>
                <w:noProof/>
                <w:webHidden/>
              </w:rPr>
              <w:fldChar w:fldCharType="separate"/>
            </w:r>
            <w:r w:rsidR="00AA79A9">
              <w:rPr>
                <w:noProof/>
                <w:webHidden/>
              </w:rPr>
              <w:t>46</w:t>
            </w:r>
            <w:r w:rsidRPr="008B44CB">
              <w:rPr>
                <w:noProof/>
                <w:webHidden/>
              </w:rPr>
              <w:fldChar w:fldCharType="end"/>
            </w:r>
          </w:hyperlink>
        </w:p>
        <w:p w14:paraId="227A8BDF" w14:textId="797671E0" w:rsidR="008B44CB" w:rsidRDefault="008B44CB">
          <w:pPr>
            <w:pStyle w:val="TDC1"/>
            <w:tabs>
              <w:tab w:val="right" w:leader="dot" w:pos="8828"/>
            </w:tabs>
            <w:rPr>
              <w:noProof/>
              <w:sz w:val="24"/>
              <w:szCs w:val="24"/>
            </w:rPr>
          </w:pPr>
          <w:hyperlink w:anchor="_Toc204264065" w:history="1">
            <w:r w:rsidRPr="00311BA4">
              <w:rPr>
                <w:rStyle w:val="Hipervnculo"/>
                <w:rFonts w:asciiTheme="majorBidi" w:hAnsiTheme="majorBidi"/>
                <w:b/>
                <w:bCs/>
                <w:noProof/>
                <w:lang w:val="es-MX"/>
              </w:rPr>
              <w:t>ANEXOS</w:t>
            </w:r>
            <w:r>
              <w:rPr>
                <w:noProof/>
                <w:webHidden/>
              </w:rPr>
              <w:tab/>
            </w:r>
            <w:r>
              <w:rPr>
                <w:noProof/>
                <w:webHidden/>
              </w:rPr>
              <w:fldChar w:fldCharType="begin"/>
            </w:r>
            <w:r>
              <w:rPr>
                <w:noProof/>
                <w:webHidden/>
              </w:rPr>
              <w:instrText xml:space="preserve"> PAGEREF _Toc204264065 \h </w:instrText>
            </w:r>
            <w:r>
              <w:rPr>
                <w:noProof/>
                <w:webHidden/>
              </w:rPr>
            </w:r>
            <w:r>
              <w:rPr>
                <w:noProof/>
                <w:webHidden/>
              </w:rPr>
              <w:fldChar w:fldCharType="separate"/>
            </w:r>
            <w:r w:rsidR="00AA79A9">
              <w:rPr>
                <w:noProof/>
                <w:webHidden/>
              </w:rPr>
              <w:t>I</w:t>
            </w:r>
            <w:r>
              <w:rPr>
                <w:noProof/>
                <w:webHidden/>
              </w:rPr>
              <w:fldChar w:fldCharType="end"/>
            </w:r>
          </w:hyperlink>
        </w:p>
        <w:p w14:paraId="67D9FA9C" w14:textId="5254BDB5" w:rsidR="00827086" w:rsidRPr="009E2A0E" w:rsidRDefault="00827086">
          <w:pPr>
            <w:rPr>
              <w:rFonts w:asciiTheme="majorBidi" w:hAnsiTheme="majorBidi" w:cstheme="majorBidi"/>
            </w:rPr>
          </w:pPr>
          <w:r w:rsidRPr="009E2A0E">
            <w:rPr>
              <w:rFonts w:asciiTheme="majorBidi" w:hAnsiTheme="majorBidi" w:cstheme="majorBidi"/>
              <w:b/>
              <w:bCs/>
              <w:lang w:val="es-ES"/>
            </w:rPr>
            <w:fldChar w:fldCharType="end"/>
          </w:r>
        </w:p>
      </w:sdtContent>
    </w:sdt>
    <w:p w14:paraId="6982B9FF" w14:textId="77777777" w:rsidR="0032389E" w:rsidRPr="009E2A0E" w:rsidRDefault="0032389E" w:rsidP="00827086">
      <w:pPr>
        <w:rPr>
          <w:rFonts w:asciiTheme="majorBidi" w:hAnsiTheme="majorBidi" w:cstheme="majorBidi"/>
          <w:b/>
          <w:bCs/>
          <w:color w:val="000000" w:themeColor="text1"/>
        </w:rPr>
        <w:sectPr w:rsidR="0032389E" w:rsidRPr="009E2A0E">
          <w:pgSz w:w="12240" w:h="15840"/>
          <w:pgMar w:top="1417" w:right="1701" w:bottom="1417" w:left="1701" w:header="708" w:footer="708" w:gutter="0"/>
          <w:cols w:space="708"/>
          <w:docGrid w:linePitch="360"/>
        </w:sectPr>
      </w:pPr>
    </w:p>
    <w:p w14:paraId="0A913B5E" w14:textId="77777777" w:rsidR="00827086" w:rsidRPr="009E2A0E" w:rsidRDefault="00827086" w:rsidP="00827086">
      <w:pPr>
        <w:rPr>
          <w:rFonts w:asciiTheme="majorBidi" w:hAnsiTheme="majorBidi" w:cstheme="majorBidi"/>
          <w:b/>
          <w:bCs/>
          <w:color w:val="000000" w:themeColor="text1"/>
          <w:lang w:val="es-MX"/>
        </w:rPr>
      </w:pPr>
    </w:p>
    <w:p w14:paraId="0ADF93F0" w14:textId="77777777" w:rsidR="007C194E" w:rsidRPr="009E2A0E" w:rsidRDefault="00AB2641" w:rsidP="00197C3D">
      <w:pPr>
        <w:pStyle w:val="Prrafodelista"/>
        <w:numPr>
          <w:ilvl w:val="1"/>
          <w:numId w:val="5"/>
        </w:numPr>
        <w:jc w:val="center"/>
        <w:outlineLvl w:val="0"/>
        <w:rPr>
          <w:rFonts w:asciiTheme="majorBidi" w:hAnsiTheme="majorBidi" w:cstheme="majorBidi"/>
          <w:b/>
          <w:bCs/>
          <w:color w:val="000000" w:themeColor="text1"/>
          <w:sz w:val="28"/>
          <w:szCs w:val="28"/>
          <w:lang w:val="es-MX"/>
        </w:rPr>
      </w:pPr>
      <w:bookmarkStart w:id="0" w:name="_Toc204264024"/>
      <w:r w:rsidRPr="009E2A0E">
        <w:rPr>
          <w:rFonts w:asciiTheme="majorBidi" w:hAnsiTheme="majorBidi" w:cstheme="majorBidi"/>
          <w:b/>
          <w:bCs/>
          <w:color w:val="000000" w:themeColor="text1"/>
          <w:sz w:val="28"/>
          <w:szCs w:val="28"/>
          <w:lang w:val="es-MX"/>
        </w:rPr>
        <w:t>Introducción</w:t>
      </w:r>
      <w:bookmarkEnd w:id="0"/>
      <w:r w:rsidR="007F1C6B" w:rsidRPr="009E2A0E">
        <w:rPr>
          <w:rFonts w:asciiTheme="majorBidi" w:hAnsiTheme="majorBidi" w:cstheme="majorBidi"/>
          <w:b/>
          <w:bCs/>
          <w:color w:val="000000" w:themeColor="text1"/>
          <w:sz w:val="28"/>
          <w:szCs w:val="28"/>
          <w:lang w:val="es-MX"/>
        </w:rPr>
        <w:t xml:space="preserve"> </w:t>
      </w:r>
    </w:p>
    <w:p w14:paraId="2AB7878B" w14:textId="4DC0A238" w:rsidR="00352A3E" w:rsidRPr="00303FFA" w:rsidRDefault="00352A3E" w:rsidP="00385424">
      <w:pPr>
        <w:spacing w:before="120" w:after="120" w:line="276" w:lineRule="auto"/>
        <w:ind w:right="-20"/>
        <w:jc w:val="both"/>
        <w:rPr>
          <w:rFonts w:asciiTheme="majorBidi" w:eastAsia="Calibri Light" w:hAnsiTheme="majorBidi" w:cstheme="majorBidi"/>
          <w:color w:val="000000" w:themeColor="text1"/>
          <w:lang w:val="es-ES"/>
        </w:rPr>
      </w:pPr>
      <w:r w:rsidRPr="00303FFA">
        <w:rPr>
          <w:rFonts w:asciiTheme="majorBidi" w:eastAsia="Calibri Light" w:hAnsiTheme="majorBidi" w:cstheme="majorBidi"/>
          <w:color w:val="000000" w:themeColor="text1"/>
          <w:lang w:val="es-ES"/>
        </w:rPr>
        <w:t xml:space="preserve">El presente informe alternativo ha sido elaborado a través de un proceso colectivo de articulación que reúne a más de </w:t>
      </w:r>
      <w:r w:rsidR="001D6DFA" w:rsidRPr="00303FFA">
        <w:rPr>
          <w:rFonts w:asciiTheme="majorBidi" w:eastAsia="Calibri Light" w:hAnsiTheme="majorBidi" w:cstheme="majorBidi"/>
          <w:color w:val="000000" w:themeColor="text1"/>
          <w:lang w:val="es-ES"/>
        </w:rPr>
        <w:t>50</w:t>
      </w:r>
      <w:r w:rsidRPr="00303FFA">
        <w:rPr>
          <w:rFonts w:asciiTheme="majorBidi" w:eastAsia="Calibri Light" w:hAnsiTheme="majorBidi" w:cstheme="majorBidi"/>
          <w:color w:val="000000" w:themeColor="text1"/>
          <w:lang w:val="es-ES"/>
        </w:rPr>
        <w:t xml:space="preserve"> autoridades indígenas</w:t>
      </w:r>
      <w:r w:rsidR="00385424" w:rsidRPr="00303FFA">
        <w:rPr>
          <w:rFonts w:asciiTheme="majorBidi" w:eastAsia="Calibri Light" w:hAnsiTheme="majorBidi" w:cstheme="majorBidi"/>
          <w:color w:val="000000" w:themeColor="text1"/>
          <w:lang w:val="es-ES"/>
        </w:rPr>
        <w:t>, lideresas</w:t>
      </w:r>
      <w:r w:rsidRPr="00303FFA">
        <w:rPr>
          <w:rFonts w:asciiTheme="majorBidi" w:eastAsia="Calibri Light" w:hAnsiTheme="majorBidi" w:cstheme="majorBidi"/>
          <w:color w:val="000000" w:themeColor="text1"/>
          <w:lang w:val="es-ES"/>
        </w:rPr>
        <w:t xml:space="preserve"> y organizaciones de sociedad civil </w:t>
      </w:r>
      <w:r w:rsidR="00385424" w:rsidRPr="00303FFA">
        <w:rPr>
          <w:rFonts w:asciiTheme="majorBidi" w:eastAsia="Calibri Light" w:hAnsiTheme="majorBidi" w:cstheme="majorBidi"/>
          <w:color w:val="000000" w:themeColor="text1"/>
          <w:lang w:val="es-ES"/>
        </w:rPr>
        <w:t xml:space="preserve">de los Pueblos Indígenas y Afrodescendientes </w:t>
      </w:r>
      <w:r w:rsidRPr="00303FFA">
        <w:rPr>
          <w:rFonts w:asciiTheme="majorBidi" w:eastAsia="Calibri Light" w:hAnsiTheme="majorBidi" w:cstheme="majorBidi"/>
          <w:color w:val="000000" w:themeColor="text1"/>
          <w:lang w:val="es-ES"/>
        </w:rPr>
        <w:t>de Guatemala, comprometid</w:t>
      </w:r>
      <w:r w:rsidR="00385424" w:rsidRPr="00303FFA">
        <w:rPr>
          <w:rFonts w:asciiTheme="majorBidi" w:eastAsia="Calibri Light" w:hAnsiTheme="majorBidi" w:cstheme="majorBidi"/>
          <w:color w:val="000000" w:themeColor="text1"/>
          <w:lang w:val="es-ES"/>
        </w:rPr>
        <w:t>os</w:t>
      </w:r>
      <w:r w:rsidRPr="00303FFA">
        <w:rPr>
          <w:rFonts w:asciiTheme="majorBidi" w:eastAsia="Calibri Light" w:hAnsiTheme="majorBidi" w:cstheme="majorBidi"/>
          <w:color w:val="000000" w:themeColor="text1"/>
          <w:lang w:val="es-ES"/>
        </w:rPr>
        <w:t xml:space="preserve"> con la defensa y promoción de los derechos de los </w:t>
      </w:r>
      <w:r w:rsidR="00385424" w:rsidRPr="00303FFA">
        <w:rPr>
          <w:rFonts w:asciiTheme="majorBidi" w:eastAsia="Calibri Light" w:hAnsiTheme="majorBidi" w:cstheme="majorBidi"/>
          <w:color w:val="000000" w:themeColor="text1"/>
          <w:lang w:val="es-ES"/>
        </w:rPr>
        <w:t xml:space="preserve">Pueblos Indígenas y Afrodescendientes </w:t>
      </w:r>
      <w:r w:rsidRPr="00303FFA">
        <w:rPr>
          <w:rFonts w:asciiTheme="majorBidi" w:eastAsia="Calibri Light" w:hAnsiTheme="majorBidi" w:cstheme="majorBidi"/>
          <w:color w:val="000000" w:themeColor="text1"/>
          <w:lang w:val="es-ES"/>
        </w:rPr>
        <w:t xml:space="preserve">ante los mecanismos internacionales de protección. Este esfuerzo da continuidad al trabajo iniciado en el marco de la presentación del informe alternativo al Comité para la Eliminación de la Discriminación Racial (CERD) en el año 2019, cuando los </w:t>
      </w:r>
      <w:r w:rsidR="00385424" w:rsidRPr="00303FFA">
        <w:rPr>
          <w:rFonts w:asciiTheme="majorBidi" w:eastAsia="Calibri Light" w:hAnsiTheme="majorBidi" w:cstheme="majorBidi"/>
          <w:color w:val="000000" w:themeColor="text1"/>
          <w:lang w:val="es-ES"/>
        </w:rPr>
        <w:t xml:space="preserve">Pueblos Indígenas y Afrodescendientes </w:t>
      </w:r>
      <w:r w:rsidRPr="00303FFA">
        <w:rPr>
          <w:rFonts w:asciiTheme="majorBidi" w:eastAsia="Calibri Light" w:hAnsiTheme="majorBidi" w:cstheme="majorBidi"/>
          <w:color w:val="000000" w:themeColor="text1"/>
          <w:lang w:val="es-ES"/>
        </w:rPr>
        <w:t>decidimos organizarnos de manera sostenida para incidir ante el sistema internacional de derechos humanos.</w:t>
      </w:r>
    </w:p>
    <w:p w14:paraId="7C9D74AF" w14:textId="09C4B1B8" w:rsidR="00352A3E" w:rsidRPr="00303FFA" w:rsidRDefault="00352A3E" w:rsidP="00080AD9">
      <w:pPr>
        <w:spacing w:before="120" w:after="120" w:line="276" w:lineRule="auto"/>
        <w:ind w:right="-20"/>
        <w:jc w:val="both"/>
        <w:rPr>
          <w:rFonts w:asciiTheme="majorBidi" w:eastAsia="Calibri Light" w:hAnsiTheme="majorBidi" w:cstheme="majorBidi"/>
          <w:color w:val="000000" w:themeColor="text1"/>
          <w:lang w:val="es-ES"/>
        </w:rPr>
      </w:pPr>
      <w:r w:rsidRPr="00303FFA">
        <w:rPr>
          <w:rFonts w:asciiTheme="majorBidi" w:eastAsia="Calibri Light" w:hAnsiTheme="majorBidi" w:cstheme="majorBidi"/>
          <w:color w:val="000000" w:themeColor="text1"/>
          <w:lang w:val="es-ES"/>
        </w:rPr>
        <w:t xml:space="preserve">A finales de 2024, retomamos los espacios de coordinación y articulación, conformando un </w:t>
      </w:r>
      <w:r w:rsidR="00385424" w:rsidRPr="00303FFA">
        <w:rPr>
          <w:rFonts w:asciiTheme="majorBidi" w:eastAsia="Calibri Light" w:hAnsiTheme="majorBidi" w:cstheme="majorBidi"/>
          <w:color w:val="000000" w:themeColor="text1"/>
          <w:lang w:val="es-ES"/>
        </w:rPr>
        <w:t>E</w:t>
      </w:r>
      <w:r w:rsidRPr="00303FFA">
        <w:rPr>
          <w:rFonts w:asciiTheme="majorBidi" w:eastAsia="Calibri Light" w:hAnsiTheme="majorBidi" w:cstheme="majorBidi"/>
          <w:color w:val="000000" w:themeColor="text1"/>
          <w:lang w:val="es-ES"/>
        </w:rPr>
        <w:t xml:space="preserve">quipo </w:t>
      </w:r>
      <w:r w:rsidR="00385424" w:rsidRPr="00303FFA">
        <w:rPr>
          <w:rFonts w:asciiTheme="majorBidi" w:eastAsia="Calibri Light" w:hAnsiTheme="majorBidi" w:cstheme="majorBidi"/>
          <w:color w:val="000000" w:themeColor="text1"/>
          <w:lang w:val="es-ES"/>
        </w:rPr>
        <w:t>T</w:t>
      </w:r>
      <w:r w:rsidRPr="00303FFA">
        <w:rPr>
          <w:rFonts w:asciiTheme="majorBidi" w:eastAsia="Calibri Light" w:hAnsiTheme="majorBidi" w:cstheme="majorBidi"/>
          <w:color w:val="000000" w:themeColor="text1"/>
          <w:lang w:val="es-ES"/>
        </w:rPr>
        <w:t xml:space="preserve">écnico que acompañó la recopilación, sistematización, construcción y validación del presente informe. En este proceso, se tomó la decisión estratégica de priorizar </w:t>
      </w:r>
      <w:r w:rsidR="00385424" w:rsidRPr="00303FFA">
        <w:rPr>
          <w:rFonts w:asciiTheme="majorBidi" w:eastAsia="Calibri Light" w:hAnsiTheme="majorBidi" w:cstheme="majorBidi"/>
          <w:color w:val="000000" w:themeColor="text1"/>
          <w:lang w:val="es-ES"/>
        </w:rPr>
        <w:t>derecho</w:t>
      </w:r>
      <w:r w:rsidRPr="00303FFA">
        <w:rPr>
          <w:rFonts w:asciiTheme="majorBidi" w:eastAsia="Calibri Light" w:hAnsiTheme="majorBidi" w:cstheme="majorBidi"/>
          <w:color w:val="000000" w:themeColor="text1"/>
          <w:lang w:val="es-ES"/>
        </w:rPr>
        <w:t>s</w:t>
      </w:r>
      <w:r w:rsidR="00385424" w:rsidRPr="00303FFA">
        <w:rPr>
          <w:rFonts w:asciiTheme="majorBidi" w:eastAsia="Calibri Light" w:hAnsiTheme="majorBidi" w:cstheme="majorBidi"/>
          <w:color w:val="000000" w:themeColor="text1"/>
          <w:lang w:val="es-ES"/>
        </w:rPr>
        <w:t xml:space="preserve"> colectivos</w:t>
      </w:r>
      <w:r w:rsidRPr="00303FFA">
        <w:rPr>
          <w:rFonts w:asciiTheme="majorBidi" w:eastAsia="Calibri Light" w:hAnsiTheme="majorBidi" w:cstheme="majorBidi"/>
          <w:color w:val="000000" w:themeColor="text1"/>
          <w:lang w:val="es-ES"/>
        </w:rPr>
        <w:t xml:space="preserve"> clave</w:t>
      </w:r>
      <w:r w:rsidR="00385424" w:rsidRPr="00303FFA">
        <w:rPr>
          <w:rFonts w:asciiTheme="majorBidi" w:eastAsia="Calibri Light" w:hAnsiTheme="majorBidi" w:cstheme="majorBidi"/>
          <w:color w:val="000000" w:themeColor="text1"/>
          <w:lang w:val="es-ES"/>
        </w:rPr>
        <w:t xml:space="preserve"> reconocidos y protegidos a la luz de la </w:t>
      </w:r>
      <w:r w:rsidR="006E55FC" w:rsidRPr="00303FFA">
        <w:rPr>
          <w:rFonts w:asciiTheme="majorBidi" w:eastAsia="Calibri Light" w:hAnsiTheme="majorBidi" w:cstheme="majorBidi"/>
          <w:color w:val="000000" w:themeColor="text1"/>
          <w:lang w:val="es-ES"/>
        </w:rPr>
        <w:t>Convención Internacional sobre la Eliminación de todas las Formas de Discriminación Racial</w:t>
      </w:r>
      <w:r w:rsidR="00385424" w:rsidRPr="00303FFA">
        <w:rPr>
          <w:rFonts w:asciiTheme="majorBidi" w:eastAsia="Calibri Light" w:hAnsiTheme="majorBidi" w:cstheme="majorBidi"/>
          <w:color w:val="000000" w:themeColor="text1"/>
          <w:lang w:val="es-ES"/>
        </w:rPr>
        <w:t xml:space="preserve"> y</w:t>
      </w:r>
      <w:r w:rsidR="000E2231" w:rsidRPr="00303FFA">
        <w:rPr>
          <w:rFonts w:asciiTheme="majorBidi" w:eastAsia="Calibri Light" w:hAnsiTheme="majorBidi" w:cstheme="majorBidi"/>
          <w:color w:val="000000" w:themeColor="text1"/>
          <w:lang w:val="es-ES"/>
        </w:rPr>
        <w:t xml:space="preserve"> tratados internacionales en materia de derechos de los Pueblos Indígenas</w:t>
      </w:r>
      <w:r w:rsidR="00C803E5" w:rsidRPr="00303FFA">
        <w:rPr>
          <w:rFonts w:asciiTheme="majorBidi" w:eastAsia="Calibri Light" w:hAnsiTheme="majorBidi" w:cstheme="majorBidi"/>
          <w:color w:val="000000" w:themeColor="text1"/>
          <w:lang w:val="es-ES"/>
        </w:rPr>
        <w:t xml:space="preserve"> y Afrodescendientes</w:t>
      </w:r>
      <w:r w:rsidRPr="00303FFA">
        <w:rPr>
          <w:rFonts w:asciiTheme="majorBidi" w:eastAsia="Calibri Light" w:hAnsiTheme="majorBidi" w:cstheme="majorBidi"/>
          <w:color w:val="000000" w:themeColor="text1"/>
          <w:lang w:val="es-ES"/>
        </w:rPr>
        <w:t>. Por ello, este informe centra su análisis en los siguientes</w:t>
      </w:r>
      <w:r w:rsidR="0075797F" w:rsidRPr="00303FFA">
        <w:rPr>
          <w:rFonts w:asciiTheme="majorBidi" w:eastAsia="Calibri Light" w:hAnsiTheme="majorBidi" w:cstheme="majorBidi"/>
          <w:color w:val="000000" w:themeColor="text1"/>
          <w:lang w:val="es-ES"/>
        </w:rPr>
        <w:t xml:space="preserve">, </w:t>
      </w:r>
      <w:r w:rsidR="00B704C1" w:rsidRPr="00303FFA">
        <w:rPr>
          <w:rFonts w:asciiTheme="majorBidi" w:eastAsia="Calibri Light" w:hAnsiTheme="majorBidi" w:cstheme="majorBidi"/>
          <w:color w:val="000000" w:themeColor="text1"/>
          <w:lang w:val="es-ES"/>
        </w:rPr>
        <w:t xml:space="preserve">en </w:t>
      </w:r>
      <w:r w:rsidR="00ED3F6C" w:rsidRPr="00303FFA">
        <w:rPr>
          <w:rFonts w:asciiTheme="majorBidi" w:eastAsia="Calibri Light" w:hAnsiTheme="majorBidi" w:cstheme="majorBidi"/>
          <w:color w:val="000000" w:themeColor="text1"/>
          <w:lang w:val="es-ES"/>
        </w:rPr>
        <w:t>el apartado de</w:t>
      </w:r>
      <w:r w:rsidR="00B704C1" w:rsidRPr="00303FFA">
        <w:rPr>
          <w:rFonts w:asciiTheme="majorBidi" w:eastAsia="Calibri Light" w:hAnsiTheme="majorBidi" w:cstheme="majorBidi"/>
          <w:color w:val="000000" w:themeColor="text1"/>
          <w:lang w:val="es-ES"/>
        </w:rPr>
        <w:t xml:space="preserve"> contexto</w:t>
      </w:r>
      <w:r w:rsidR="00DA1912" w:rsidRPr="00303FFA">
        <w:rPr>
          <w:rFonts w:asciiTheme="majorBidi" w:eastAsia="Calibri Light" w:hAnsiTheme="majorBidi" w:cstheme="majorBidi"/>
          <w:color w:val="000000" w:themeColor="text1"/>
          <w:lang w:val="es-ES"/>
        </w:rPr>
        <w:t xml:space="preserve"> </w:t>
      </w:r>
      <w:r w:rsidR="00E94D94" w:rsidRPr="00303FFA">
        <w:rPr>
          <w:rFonts w:asciiTheme="majorBidi" w:eastAsia="Calibri Light" w:hAnsiTheme="majorBidi" w:cstheme="majorBidi"/>
          <w:color w:val="000000" w:themeColor="text1"/>
          <w:lang w:val="es-ES"/>
        </w:rPr>
        <w:t>se desarrolla información general</w:t>
      </w:r>
      <w:r w:rsidR="0075797F" w:rsidRPr="00303FFA">
        <w:rPr>
          <w:rFonts w:asciiTheme="majorBidi" w:eastAsia="Calibri Light" w:hAnsiTheme="majorBidi" w:cstheme="majorBidi"/>
          <w:color w:val="000000" w:themeColor="text1"/>
          <w:lang w:val="es-ES"/>
        </w:rPr>
        <w:t xml:space="preserve">, incluyendo derechos de mujeres indígenas y juventud. Seguidamente se desarrollan </w:t>
      </w:r>
      <w:r w:rsidR="001D6DFA" w:rsidRPr="00303FFA">
        <w:rPr>
          <w:rFonts w:asciiTheme="majorBidi" w:eastAsia="Calibri Light" w:hAnsiTheme="majorBidi" w:cstheme="majorBidi"/>
          <w:color w:val="000000" w:themeColor="text1"/>
          <w:lang w:val="es-ES"/>
        </w:rPr>
        <w:t>los</w:t>
      </w:r>
      <w:r w:rsidR="0075797F" w:rsidRPr="00303FFA">
        <w:rPr>
          <w:rFonts w:asciiTheme="majorBidi" w:eastAsia="Calibri Light" w:hAnsiTheme="majorBidi" w:cstheme="majorBidi"/>
          <w:color w:val="000000" w:themeColor="text1"/>
          <w:lang w:val="es-ES"/>
        </w:rPr>
        <w:t xml:space="preserve"> derechos de: liberta</w:t>
      </w:r>
      <w:r w:rsidR="001D6DFA" w:rsidRPr="00303FFA">
        <w:rPr>
          <w:rFonts w:asciiTheme="majorBidi" w:eastAsia="Calibri Light" w:hAnsiTheme="majorBidi" w:cstheme="majorBidi"/>
          <w:color w:val="000000" w:themeColor="text1"/>
          <w:lang w:val="es-ES"/>
        </w:rPr>
        <w:t>d</w:t>
      </w:r>
      <w:r w:rsidR="0075797F" w:rsidRPr="00303FFA">
        <w:rPr>
          <w:rFonts w:asciiTheme="majorBidi" w:eastAsia="Calibri Light" w:hAnsiTheme="majorBidi" w:cstheme="majorBidi"/>
          <w:color w:val="000000" w:themeColor="text1"/>
          <w:lang w:val="es-ES"/>
        </w:rPr>
        <w:t xml:space="preserve"> de</w:t>
      </w:r>
      <w:r w:rsidR="000E2231" w:rsidRPr="00303FFA">
        <w:rPr>
          <w:rFonts w:asciiTheme="majorBidi" w:eastAsia="Calibri Light" w:hAnsiTheme="majorBidi" w:cstheme="majorBidi"/>
          <w:color w:val="000000" w:themeColor="text1"/>
          <w:lang w:val="es-ES"/>
        </w:rPr>
        <w:t xml:space="preserve"> de </w:t>
      </w:r>
      <w:r w:rsidR="007435A8" w:rsidRPr="00303FFA">
        <w:rPr>
          <w:rFonts w:asciiTheme="majorBidi" w:hAnsiTheme="majorBidi" w:cstheme="majorBidi"/>
          <w:color w:val="000000" w:themeColor="text1"/>
          <w:lang w:val="es-MX"/>
        </w:rPr>
        <w:t>asociación y reunión pacífica</w:t>
      </w:r>
      <w:r w:rsidR="000E2231" w:rsidRPr="00303FFA">
        <w:rPr>
          <w:rFonts w:asciiTheme="majorBidi" w:eastAsia="Calibri Light" w:hAnsiTheme="majorBidi" w:cstheme="majorBidi"/>
          <w:color w:val="000000" w:themeColor="text1"/>
          <w:lang w:val="es-ES"/>
        </w:rPr>
        <w:t xml:space="preserve">; </w:t>
      </w:r>
      <w:r w:rsidR="0075797F" w:rsidRPr="00303FFA">
        <w:rPr>
          <w:rFonts w:asciiTheme="majorBidi" w:eastAsia="Calibri Light" w:hAnsiTheme="majorBidi" w:cstheme="majorBidi"/>
          <w:color w:val="000000" w:themeColor="text1"/>
          <w:lang w:val="es-ES"/>
        </w:rPr>
        <w:t>l</w:t>
      </w:r>
      <w:r w:rsidR="000E2231" w:rsidRPr="00303FFA">
        <w:rPr>
          <w:rFonts w:asciiTheme="majorBidi" w:eastAsia="Calibri Light" w:hAnsiTheme="majorBidi" w:cstheme="majorBidi"/>
          <w:color w:val="000000" w:themeColor="text1"/>
          <w:lang w:val="es-ES"/>
        </w:rPr>
        <w:t xml:space="preserve">ibertad de opinión </w:t>
      </w:r>
      <w:r w:rsidR="00BC1FF3" w:rsidRPr="00303FFA">
        <w:rPr>
          <w:rFonts w:asciiTheme="majorBidi" w:eastAsia="Calibri Light" w:hAnsiTheme="majorBidi" w:cstheme="majorBidi"/>
          <w:color w:val="000000" w:themeColor="text1"/>
          <w:lang w:val="es-ES"/>
        </w:rPr>
        <w:t xml:space="preserve">y expresión; </w:t>
      </w:r>
      <w:r w:rsidR="0075797F" w:rsidRPr="00303FFA">
        <w:rPr>
          <w:rFonts w:asciiTheme="majorBidi" w:eastAsia="Calibri Light" w:hAnsiTheme="majorBidi" w:cstheme="majorBidi"/>
          <w:color w:val="000000" w:themeColor="text1"/>
          <w:lang w:val="es-ES"/>
        </w:rPr>
        <w:t>l</w:t>
      </w:r>
      <w:r w:rsidR="00BC1FF3" w:rsidRPr="00303FFA">
        <w:rPr>
          <w:rFonts w:asciiTheme="majorBidi" w:eastAsia="Calibri Light" w:hAnsiTheme="majorBidi" w:cstheme="majorBidi"/>
          <w:color w:val="000000" w:themeColor="text1"/>
          <w:lang w:val="es-ES"/>
        </w:rPr>
        <w:t xml:space="preserve">ibertad de pensamiento, religión y creencia; </w:t>
      </w:r>
      <w:r w:rsidR="0075797F" w:rsidRPr="00303FFA">
        <w:rPr>
          <w:rFonts w:asciiTheme="majorBidi" w:eastAsia="Calibri Light" w:hAnsiTheme="majorBidi" w:cstheme="majorBidi"/>
          <w:color w:val="000000" w:themeColor="text1"/>
          <w:lang w:val="es-ES"/>
        </w:rPr>
        <w:t>c</w:t>
      </w:r>
      <w:r w:rsidR="00BC1FF3" w:rsidRPr="00303FFA">
        <w:rPr>
          <w:rFonts w:asciiTheme="majorBidi" w:eastAsia="Calibri Light" w:hAnsiTheme="majorBidi" w:cstheme="majorBidi"/>
          <w:color w:val="000000" w:themeColor="text1"/>
          <w:lang w:val="es-ES"/>
        </w:rPr>
        <w:t>onsulta libre, previa e informada; Tierras</w:t>
      </w:r>
      <w:r w:rsidR="0075797F" w:rsidRPr="00303FFA">
        <w:rPr>
          <w:rFonts w:asciiTheme="majorBidi" w:eastAsia="Calibri Light" w:hAnsiTheme="majorBidi" w:cstheme="majorBidi"/>
          <w:color w:val="000000" w:themeColor="text1"/>
          <w:lang w:val="es-ES"/>
        </w:rPr>
        <w:t xml:space="preserve">, </w:t>
      </w:r>
      <w:r w:rsidR="00BC1FF3" w:rsidRPr="00303FFA">
        <w:rPr>
          <w:rFonts w:asciiTheme="majorBidi" w:eastAsia="Calibri Light" w:hAnsiTheme="majorBidi" w:cstheme="majorBidi"/>
          <w:color w:val="000000" w:themeColor="text1"/>
          <w:lang w:val="es-ES"/>
        </w:rPr>
        <w:t xml:space="preserve">Territorios y Recursos Naturales; </w:t>
      </w:r>
      <w:r w:rsidR="00080AD9" w:rsidRPr="00303FFA">
        <w:rPr>
          <w:rFonts w:asciiTheme="majorBidi" w:eastAsia="Calibri Light" w:hAnsiTheme="majorBidi" w:cstheme="majorBidi"/>
          <w:color w:val="000000" w:themeColor="text1"/>
          <w:lang w:val="es-ES"/>
        </w:rPr>
        <w:t xml:space="preserve">Derechos económicos, sociales, culturales y ambientales; y Acceso a la Justicia. </w:t>
      </w:r>
    </w:p>
    <w:p w14:paraId="786641B0" w14:textId="4ADEE636" w:rsidR="00352A3E" w:rsidRPr="00303FFA" w:rsidRDefault="00352A3E" w:rsidP="00352A3E">
      <w:pPr>
        <w:spacing w:before="120" w:after="120" w:line="276" w:lineRule="auto"/>
        <w:ind w:right="-20"/>
        <w:jc w:val="both"/>
        <w:rPr>
          <w:rFonts w:asciiTheme="majorBidi" w:eastAsia="Calibri Light" w:hAnsiTheme="majorBidi" w:cstheme="majorBidi"/>
          <w:color w:val="000000" w:themeColor="text1"/>
          <w:lang w:val="es-ES"/>
        </w:rPr>
      </w:pPr>
      <w:r w:rsidRPr="00303FFA">
        <w:rPr>
          <w:rFonts w:asciiTheme="majorBidi" w:eastAsia="Calibri Light" w:hAnsiTheme="majorBidi" w:cstheme="majorBidi"/>
          <w:color w:val="000000" w:themeColor="text1"/>
          <w:lang w:val="es-ES"/>
        </w:rPr>
        <w:t xml:space="preserve">De manera especial, se decidió incorporar preocupaciones que, si bien afectan de manera directa al </w:t>
      </w:r>
      <w:r w:rsidR="00080AD9" w:rsidRPr="00303FFA">
        <w:rPr>
          <w:rFonts w:asciiTheme="majorBidi" w:eastAsia="Calibri Light" w:hAnsiTheme="majorBidi" w:cstheme="majorBidi"/>
          <w:color w:val="000000" w:themeColor="text1"/>
          <w:lang w:val="es-ES"/>
        </w:rPr>
        <w:t>P</w:t>
      </w:r>
      <w:r w:rsidRPr="00303FFA">
        <w:rPr>
          <w:rFonts w:asciiTheme="majorBidi" w:eastAsia="Calibri Light" w:hAnsiTheme="majorBidi" w:cstheme="majorBidi"/>
          <w:color w:val="000000" w:themeColor="text1"/>
          <w:lang w:val="es-ES"/>
        </w:rPr>
        <w:t xml:space="preserve">ueblo </w:t>
      </w:r>
      <w:r w:rsidR="00080AD9" w:rsidRPr="00303FFA">
        <w:rPr>
          <w:rFonts w:asciiTheme="majorBidi" w:eastAsia="Calibri Light" w:hAnsiTheme="majorBidi" w:cstheme="majorBidi"/>
          <w:color w:val="000000" w:themeColor="text1"/>
          <w:lang w:val="es-ES"/>
        </w:rPr>
        <w:t>M</w:t>
      </w:r>
      <w:r w:rsidRPr="00303FFA">
        <w:rPr>
          <w:rFonts w:asciiTheme="majorBidi" w:eastAsia="Calibri Light" w:hAnsiTheme="majorBidi" w:cstheme="majorBidi"/>
          <w:color w:val="000000" w:themeColor="text1"/>
          <w:lang w:val="es-ES"/>
        </w:rPr>
        <w:t xml:space="preserve">aya, también impactan profundamente al </w:t>
      </w:r>
      <w:r w:rsidR="00080AD9" w:rsidRPr="00303FFA">
        <w:rPr>
          <w:rFonts w:asciiTheme="majorBidi" w:eastAsia="Calibri Light" w:hAnsiTheme="majorBidi" w:cstheme="majorBidi"/>
          <w:color w:val="000000" w:themeColor="text1"/>
          <w:lang w:val="es-ES"/>
        </w:rPr>
        <w:t>P</w:t>
      </w:r>
      <w:r w:rsidRPr="00303FFA">
        <w:rPr>
          <w:rFonts w:asciiTheme="majorBidi" w:eastAsia="Calibri Light" w:hAnsiTheme="majorBidi" w:cstheme="majorBidi"/>
          <w:color w:val="000000" w:themeColor="text1"/>
          <w:lang w:val="es-ES"/>
        </w:rPr>
        <w:t xml:space="preserve">ueblo Xinka, Garífuna y </w:t>
      </w:r>
      <w:r w:rsidR="00FE374D" w:rsidRPr="00303FFA">
        <w:rPr>
          <w:rFonts w:asciiTheme="majorBidi" w:eastAsia="Calibri Light" w:hAnsiTheme="majorBidi" w:cstheme="majorBidi"/>
          <w:color w:val="000000" w:themeColor="text1"/>
          <w:lang w:val="es-ES"/>
        </w:rPr>
        <w:t>A</w:t>
      </w:r>
      <w:r w:rsidRPr="00303FFA">
        <w:rPr>
          <w:rFonts w:asciiTheme="majorBidi" w:eastAsia="Calibri Light" w:hAnsiTheme="majorBidi" w:cstheme="majorBidi"/>
          <w:color w:val="000000" w:themeColor="text1"/>
          <w:lang w:val="es-ES"/>
        </w:rPr>
        <w:t xml:space="preserve">frodescendiente. </w:t>
      </w:r>
      <w:r w:rsidR="00FE374D" w:rsidRPr="00303FFA">
        <w:rPr>
          <w:rFonts w:asciiTheme="majorBidi" w:eastAsia="Calibri Light" w:hAnsiTheme="majorBidi" w:cstheme="majorBidi"/>
          <w:color w:val="000000" w:themeColor="text1"/>
          <w:lang w:val="es-ES"/>
        </w:rPr>
        <w:t>No obstante</w:t>
      </w:r>
      <w:r w:rsidRPr="00303FFA">
        <w:rPr>
          <w:rFonts w:asciiTheme="majorBidi" w:eastAsia="Calibri Light" w:hAnsiTheme="majorBidi" w:cstheme="majorBidi"/>
          <w:color w:val="000000" w:themeColor="text1"/>
          <w:lang w:val="es-ES"/>
        </w:rPr>
        <w:t xml:space="preserve">, se definió que, además de integrar elementos compartidos en este documento, cada uno de estos pueblos presentará un informe alternativo complementario, con el objetivo de reflejar de forma más detallada sus propias realidades, demandas y necesidades particulares, reafirmando así el </w:t>
      </w:r>
      <w:r w:rsidR="00E321B2" w:rsidRPr="00303FFA">
        <w:rPr>
          <w:rFonts w:asciiTheme="majorBidi" w:eastAsia="Calibri Light" w:hAnsiTheme="majorBidi" w:cstheme="majorBidi"/>
          <w:color w:val="000000" w:themeColor="text1"/>
          <w:lang w:val="es-ES"/>
        </w:rPr>
        <w:t>derecho</w:t>
      </w:r>
      <w:r w:rsidRPr="00303FFA">
        <w:rPr>
          <w:rFonts w:asciiTheme="majorBidi" w:eastAsia="Calibri Light" w:hAnsiTheme="majorBidi" w:cstheme="majorBidi"/>
          <w:color w:val="000000" w:themeColor="text1"/>
          <w:lang w:val="es-ES"/>
        </w:rPr>
        <w:t xml:space="preserve"> de libre determinación y la riqueza de la diversidad étnica y cultural de Guatemala.</w:t>
      </w:r>
    </w:p>
    <w:p w14:paraId="726E1D41" w14:textId="2841F046" w:rsidR="00271A49" w:rsidRPr="009E2A0E" w:rsidRDefault="00271A49" w:rsidP="00471497">
      <w:pPr>
        <w:outlineLvl w:val="0"/>
        <w:rPr>
          <w:rFonts w:asciiTheme="majorBidi" w:hAnsiTheme="majorBidi" w:cstheme="majorBidi"/>
          <w:b/>
          <w:bCs/>
          <w:color w:val="000000" w:themeColor="text1"/>
          <w:lang w:val="es-ES"/>
        </w:rPr>
        <w:sectPr w:rsidR="00271A49" w:rsidRPr="009E2A0E" w:rsidSect="00A9542F">
          <w:footerReference w:type="default" r:id="rId12"/>
          <w:pgSz w:w="12240" w:h="15840"/>
          <w:pgMar w:top="1417" w:right="1701" w:bottom="1417" w:left="1701" w:header="708" w:footer="708" w:gutter="0"/>
          <w:pgNumType w:fmt="upperRoman" w:start="1"/>
          <w:cols w:space="708"/>
          <w:docGrid w:linePitch="360"/>
        </w:sectPr>
      </w:pPr>
    </w:p>
    <w:p w14:paraId="042E8587" w14:textId="4DB656EA" w:rsidR="00EE6486" w:rsidRPr="009E2A0E" w:rsidRDefault="00AB2641" w:rsidP="00197C3D">
      <w:pPr>
        <w:pStyle w:val="Prrafodelista"/>
        <w:numPr>
          <w:ilvl w:val="1"/>
          <w:numId w:val="5"/>
        </w:numPr>
        <w:jc w:val="center"/>
        <w:outlineLvl w:val="0"/>
        <w:rPr>
          <w:rFonts w:asciiTheme="majorBidi" w:hAnsiTheme="majorBidi" w:cstheme="majorBidi"/>
          <w:b/>
          <w:bCs/>
          <w:sz w:val="28"/>
          <w:szCs w:val="28"/>
        </w:rPr>
      </w:pPr>
      <w:bookmarkStart w:id="1" w:name="_Toc204264025"/>
      <w:r w:rsidRPr="009E2A0E">
        <w:rPr>
          <w:rFonts w:asciiTheme="majorBidi" w:hAnsiTheme="majorBidi" w:cstheme="majorBidi"/>
          <w:b/>
          <w:bCs/>
          <w:sz w:val="28"/>
          <w:szCs w:val="28"/>
        </w:rPr>
        <w:lastRenderedPageBreak/>
        <w:t>Integrantes del Colectivo CERD Guatemala</w:t>
      </w:r>
      <w:bookmarkEnd w:id="1"/>
    </w:p>
    <w:p w14:paraId="638626FD" w14:textId="0A25FC04" w:rsidR="00375C3A" w:rsidRPr="009E2A0E" w:rsidRDefault="00A36903" w:rsidP="00AE76D3">
      <w:pPr>
        <w:rPr>
          <w:rFonts w:asciiTheme="majorBidi" w:hAnsiTheme="majorBidi" w:cstheme="majorBidi"/>
          <w:color w:val="000000" w:themeColor="text1"/>
          <w:lang w:val="es-MX"/>
        </w:rPr>
      </w:pPr>
      <w:r w:rsidRPr="009E2A0E">
        <w:rPr>
          <w:rFonts w:asciiTheme="majorBidi" w:hAnsiTheme="majorBidi" w:cstheme="majorBidi"/>
          <w:color w:val="000000" w:themeColor="text1"/>
          <w:lang w:val="es-MX"/>
        </w:rPr>
        <w:t>Listado de comunidades indígenas</w:t>
      </w:r>
      <w:r w:rsidR="00942341">
        <w:rPr>
          <w:rFonts w:asciiTheme="majorBidi" w:hAnsiTheme="majorBidi" w:cstheme="majorBidi"/>
          <w:color w:val="000000" w:themeColor="text1"/>
          <w:lang w:val="es-MX"/>
        </w:rPr>
        <w:t xml:space="preserve"> de los Pueblos Indígenas Maya, Xinka, G</w:t>
      </w:r>
      <w:r w:rsidRPr="009E2A0E">
        <w:rPr>
          <w:rFonts w:asciiTheme="majorBidi" w:hAnsiTheme="majorBidi" w:cstheme="majorBidi"/>
          <w:color w:val="000000" w:themeColor="text1"/>
          <w:lang w:val="es-MX"/>
        </w:rPr>
        <w:t>arífunas y</w:t>
      </w:r>
      <w:r w:rsidR="00942341">
        <w:rPr>
          <w:rFonts w:asciiTheme="majorBidi" w:hAnsiTheme="majorBidi" w:cstheme="majorBidi"/>
          <w:color w:val="000000" w:themeColor="text1"/>
          <w:lang w:val="es-MX"/>
        </w:rPr>
        <w:t xml:space="preserve"> A</w:t>
      </w:r>
      <w:r w:rsidRPr="009E2A0E">
        <w:rPr>
          <w:rFonts w:asciiTheme="majorBidi" w:hAnsiTheme="majorBidi" w:cstheme="majorBidi"/>
          <w:color w:val="000000" w:themeColor="text1"/>
          <w:lang w:val="es-MX"/>
        </w:rPr>
        <w:t>frodescendiente; y organizaciones de sociedad civil</w:t>
      </w:r>
      <w:r w:rsidR="00375C3A" w:rsidRPr="009E2A0E">
        <w:rPr>
          <w:rFonts w:asciiTheme="majorBidi" w:hAnsiTheme="majorBidi" w:cstheme="majorBidi"/>
          <w:color w:val="000000" w:themeColor="text1"/>
          <w:lang w:val="es-MX"/>
        </w:rPr>
        <w:t xml:space="preserve"> que integran el Colectivo CERD Guatemala</w:t>
      </w:r>
      <w:r w:rsidR="00321753">
        <w:rPr>
          <w:rFonts w:asciiTheme="majorBidi" w:hAnsiTheme="majorBidi" w:cstheme="majorBidi"/>
          <w:color w:val="000000" w:themeColor="text1"/>
          <w:lang w:val="es-MX"/>
        </w:rPr>
        <w:t>:</w:t>
      </w:r>
      <w:r w:rsidR="00375C3A" w:rsidRPr="009E2A0E">
        <w:rPr>
          <w:rFonts w:asciiTheme="majorBidi" w:hAnsiTheme="majorBidi" w:cstheme="majorBidi"/>
          <w:color w:val="000000" w:themeColor="text1"/>
          <w:lang w:val="es-MX"/>
        </w:rPr>
        <w:t xml:space="preserve"> </w:t>
      </w:r>
    </w:p>
    <w:p w14:paraId="77DB23D0" w14:textId="77777777" w:rsidR="00942341" w:rsidRDefault="00942341" w:rsidP="00197C3D">
      <w:pPr>
        <w:pStyle w:val="Prrafodelista"/>
        <w:numPr>
          <w:ilvl w:val="0"/>
          <w:numId w:val="6"/>
        </w:numPr>
        <w:rPr>
          <w:rFonts w:asciiTheme="majorBidi" w:hAnsiTheme="majorBidi" w:cstheme="majorBidi"/>
        </w:rPr>
        <w:sectPr w:rsidR="00942341" w:rsidSect="006821E2">
          <w:pgSz w:w="12240" w:h="15840"/>
          <w:pgMar w:top="1417" w:right="1701" w:bottom="1417" w:left="1701" w:header="708" w:footer="708" w:gutter="0"/>
          <w:pgNumType w:fmt="upperRoman"/>
          <w:cols w:space="708"/>
          <w:docGrid w:linePitch="360"/>
        </w:sectPr>
      </w:pPr>
    </w:p>
    <w:p w14:paraId="2D6373E8" w14:textId="77777777" w:rsidR="001D6DFA" w:rsidRPr="00607273" w:rsidRDefault="001D6DFA" w:rsidP="00607273">
      <w:pPr>
        <w:pStyle w:val="Prrafodelista"/>
        <w:numPr>
          <w:ilvl w:val="0"/>
          <w:numId w:val="6"/>
        </w:numPr>
        <w:rPr>
          <w:rFonts w:asciiTheme="majorBidi" w:hAnsiTheme="majorBidi" w:cstheme="majorBidi"/>
        </w:rPr>
      </w:pPr>
      <w:r w:rsidRPr="00607273">
        <w:rPr>
          <w:rFonts w:asciiTheme="majorBidi" w:hAnsiTheme="majorBidi" w:cstheme="majorBidi"/>
        </w:rPr>
        <w:t>Afroamérica XXI</w:t>
      </w:r>
    </w:p>
    <w:p w14:paraId="5B625FA6" w14:textId="77777777" w:rsidR="001D6DFA" w:rsidRPr="006342BF" w:rsidRDefault="001D6DFA" w:rsidP="006342BF">
      <w:pPr>
        <w:pStyle w:val="Prrafodelista"/>
        <w:numPr>
          <w:ilvl w:val="0"/>
          <w:numId w:val="6"/>
        </w:numPr>
        <w:rPr>
          <w:rFonts w:asciiTheme="majorBidi" w:hAnsiTheme="majorBidi" w:cstheme="majorBidi"/>
        </w:rPr>
      </w:pPr>
      <w:r w:rsidRPr="006342BF">
        <w:rPr>
          <w:rFonts w:asciiTheme="majorBidi" w:hAnsiTheme="majorBidi" w:cstheme="majorBidi"/>
        </w:rPr>
        <w:t>AFROCREATIVIDAD</w:t>
      </w:r>
    </w:p>
    <w:p w14:paraId="67FC515F" w14:textId="77777777" w:rsidR="001D6DFA" w:rsidRPr="009E2A0E" w:rsidRDefault="001D6DFA" w:rsidP="00197C3D">
      <w:pPr>
        <w:pStyle w:val="Prrafodelista"/>
        <w:numPr>
          <w:ilvl w:val="0"/>
          <w:numId w:val="6"/>
        </w:numPr>
        <w:rPr>
          <w:rFonts w:asciiTheme="majorBidi" w:hAnsiTheme="majorBidi" w:cstheme="majorBidi"/>
        </w:rPr>
      </w:pPr>
      <w:r w:rsidRPr="009E2A0E">
        <w:rPr>
          <w:rFonts w:asciiTheme="majorBidi" w:hAnsiTheme="majorBidi" w:cstheme="majorBidi"/>
        </w:rPr>
        <w:t>Alcaldía Indígena de Nebaj, Quiché</w:t>
      </w:r>
    </w:p>
    <w:p w14:paraId="55CAA332" w14:textId="77777777" w:rsidR="001D6DFA" w:rsidRPr="009E2A0E" w:rsidRDefault="001D6DFA" w:rsidP="00197C3D">
      <w:pPr>
        <w:pStyle w:val="Prrafodelista"/>
        <w:numPr>
          <w:ilvl w:val="0"/>
          <w:numId w:val="6"/>
        </w:numPr>
        <w:rPr>
          <w:rFonts w:asciiTheme="majorBidi" w:hAnsiTheme="majorBidi" w:cstheme="majorBidi"/>
        </w:rPr>
      </w:pPr>
      <w:r w:rsidRPr="009E2A0E">
        <w:rPr>
          <w:rFonts w:asciiTheme="majorBidi" w:hAnsiTheme="majorBidi" w:cstheme="majorBidi"/>
        </w:rPr>
        <w:t>Alcaldía Indígena de San Miguel Chicaj, Baja Verapaz</w:t>
      </w:r>
    </w:p>
    <w:p w14:paraId="59E38E67" w14:textId="77777777" w:rsidR="001D6DFA" w:rsidRPr="009E2A0E" w:rsidRDefault="001D6DFA" w:rsidP="00197C3D">
      <w:pPr>
        <w:pStyle w:val="Prrafodelista"/>
        <w:numPr>
          <w:ilvl w:val="0"/>
          <w:numId w:val="6"/>
        </w:numPr>
        <w:rPr>
          <w:rFonts w:asciiTheme="majorBidi" w:hAnsiTheme="majorBidi" w:cstheme="majorBidi"/>
        </w:rPr>
      </w:pPr>
      <w:r w:rsidRPr="009E2A0E">
        <w:rPr>
          <w:rFonts w:asciiTheme="majorBidi" w:hAnsiTheme="majorBidi" w:cstheme="majorBidi"/>
        </w:rPr>
        <w:t>Alcaldía Indígena de Santa Cruz, Quiché</w:t>
      </w:r>
    </w:p>
    <w:p w14:paraId="09DAEC13" w14:textId="77777777" w:rsidR="001D6DFA" w:rsidRPr="009E2A0E" w:rsidRDefault="001D6DFA" w:rsidP="00197C3D">
      <w:pPr>
        <w:pStyle w:val="Prrafodelista"/>
        <w:numPr>
          <w:ilvl w:val="0"/>
          <w:numId w:val="6"/>
        </w:numPr>
        <w:rPr>
          <w:rFonts w:asciiTheme="majorBidi" w:hAnsiTheme="majorBidi" w:cstheme="majorBidi"/>
        </w:rPr>
      </w:pPr>
      <w:r w:rsidRPr="009E2A0E">
        <w:rPr>
          <w:rFonts w:asciiTheme="majorBidi" w:hAnsiTheme="majorBidi" w:cstheme="majorBidi"/>
        </w:rPr>
        <w:t>Alcaldía Indígena Poqomam de Chinautla, Guatemala</w:t>
      </w:r>
    </w:p>
    <w:p w14:paraId="2E9F4289" w14:textId="77777777" w:rsidR="001D6DFA" w:rsidRPr="009E2A0E" w:rsidRDefault="001D6DFA" w:rsidP="00197C3D">
      <w:pPr>
        <w:pStyle w:val="Prrafodelista"/>
        <w:numPr>
          <w:ilvl w:val="0"/>
          <w:numId w:val="6"/>
        </w:numPr>
        <w:rPr>
          <w:rFonts w:asciiTheme="majorBidi" w:hAnsiTheme="majorBidi" w:cstheme="majorBidi"/>
        </w:rPr>
      </w:pPr>
      <w:r w:rsidRPr="009E2A0E">
        <w:rPr>
          <w:rFonts w:asciiTheme="majorBidi" w:hAnsiTheme="majorBidi" w:cstheme="majorBidi"/>
        </w:rPr>
        <w:t>Alianza Copones/Puente de paz</w:t>
      </w:r>
    </w:p>
    <w:p w14:paraId="2EC84D00" w14:textId="77777777" w:rsidR="001D6DFA" w:rsidRPr="00117BD0" w:rsidRDefault="001D6DFA" w:rsidP="00197C3D">
      <w:pPr>
        <w:pStyle w:val="Prrafodelista"/>
        <w:numPr>
          <w:ilvl w:val="0"/>
          <w:numId w:val="6"/>
        </w:numPr>
        <w:rPr>
          <w:rFonts w:asciiTheme="majorBidi" w:hAnsiTheme="majorBidi" w:cstheme="majorBidi"/>
        </w:rPr>
      </w:pPr>
      <w:r w:rsidRPr="00117BD0">
        <w:rPr>
          <w:rFonts w:asciiTheme="majorBidi" w:hAnsiTheme="majorBidi" w:cstheme="majorBidi"/>
        </w:rPr>
        <w:t>Asesora jurídica del caso radios comunitarias de los Pueblos Indígenas</w:t>
      </w:r>
    </w:p>
    <w:p w14:paraId="553EBA90" w14:textId="77777777" w:rsidR="001D6DFA" w:rsidRPr="00117BD0" w:rsidRDefault="001D6DFA" w:rsidP="00197C3D">
      <w:pPr>
        <w:pStyle w:val="Prrafodelista"/>
        <w:numPr>
          <w:ilvl w:val="0"/>
          <w:numId w:val="6"/>
        </w:numPr>
        <w:rPr>
          <w:rFonts w:asciiTheme="majorBidi" w:hAnsiTheme="majorBidi" w:cstheme="majorBidi"/>
        </w:rPr>
      </w:pPr>
      <w:r w:rsidRPr="00117BD0">
        <w:rPr>
          <w:rFonts w:asciiTheme="majorBidi" w:hAnsiTheme="majorBidi" w:cstheme="majorBidi"/>
        </w:rPr>
        <w:t>Asociación Afrodescendientes Y Sus Amigos- AFROSA</w:t>
      </w:r>
    </w:p>
    <w:p w14:paraId="6287FDAD" w14:textId="77777777" w:rsidR="001D6DFA" w:rsidRPr="00117BD0" w:rsidRDefault="001D6DFA" w:rsidP="006C6C41">
      <w:pPr>
        <w:pStyle w:val="Prrafodelista"/>
        <w:numPr>
          <w:ilvl w:val="0"/>
          <w:numId w:val="6"/>
        </w:numPr>
        <w:rPr>
          <w:rFonts w:asciiTheme="majorBidi" w:hAnsiTheme="majorBidi" w:cstheme="majorBidi"/>
        </w:rPr>
      </w:pPr>
      <w:r w:rsidRPr="00117BD0">
        <w:rPr>
          <w:rFonts w:asciiTheme="majorBidi" w:hAnsiTheme="majorBidi" w:cstheme="majorBidi"/>
        </w:rPr>
        <w:t xml:space="preserve">Asociación de Mujeres Garífunas Guatemaltecas -ASOMUGAGUA- </w:t>
      </w:r>
    </w:p>
    <w:p w14:paraId="161BCE1C" w14:textId="77777777" w:rsidR="001D6DFA" w:rsidRPr="00117BD0" w:rsidRDefault="001D6DFA" w:rsidP="00197C3D">
      <w:pPr>
        <w:pStyle w:val="Prrafodelista"/>
        <w:numPr>
          <w:ilvl w:val="0"/>
          <w:numId w:val="6"/>
        </w:numPr>
        <w:rPr>
          <w:rFonts w:asciiTheme="majorBidi" w:hAnsiTheme="majorBidi" w:cstheme="majorBidi"/>
        </w:rPr>
      </w:pPr>
      <w:r w:rsidRPr="00117BD0">
        <w:rPr>
          <w:rFonts w:asciiTheme="majorBidi" w:hAnsiTheme="majorBidi" w:cstheme="majorBidi"/>
        </w:rPr>
        <w:t>Asociación Estoreña para el Desarrollo Integral - AEPDI -, Izabal</w:t>
      </w:r>
    </w:p>
    <w:p w14:paraId="43BED01A" w14:textId="77777777" w:rsidR="001D6DFA" w:rsidRPr="00117BD0" w:rsidRDefault="001D6DFA" w:rsidP="00197C3D">
      <w:pPr>
        <w:pStyle w:val="Prrafodelista"/>
        <w:numPr>
          <w:ilvl w:val="0"/>
          <w:numId w:val="6"/>
        </w:numPr>
        <w:rPr>
          <w:rFonts w:asciiTheme="majorBidi" w:hAnsiTheme="majorBidi" w:cstheme="majorBidi"/>
        </w:rPr>
      </w:pPr>
      <w:r w:rsidRPr="00117BD0">
        <w:rPr>
          <w:rFonts w:asciiTheme="majorBidi" w:hAnsiTheme="majorBidi" w:cstheme="majorBidi"/>
        </w:rPr>
        <w:t>Asociación Sobrevivencia Cultural</w:t>
      </w:r>
    </w:p>
    <w:p w14:paraId="0A425DAD" w14:textId="77777777" w:rsidR="001D6DFA" w:rsidRPr="00117BD0" w:rsidRDefault="001D6DFA" w:rsidP="00197C3D">
      <w:pPr>
        <w:pStyle w:val="Prrafodelista"/>
        <w:numPr>
          <w:ilvl w:val="0"/>
          <w:numId w:val="6"/>
        </w:numPr>
        <w:rPr>
          <w:rFonts w:asciiTheme="majorBidi" w:hAnsiTheme="majorBidi" w:cstheme="majorBidi"/>
        </w:rPr>
      </w:pPr>
      <w:r w:rsidRPr="00117BD0">
        <w:rPr>
          <w:rFonts w:asciiTheme="majorBidi" w:hAnsiTheme="majorBidi" w:cstheme="majorBidi"/>
        </w:rPr>
        <w:t>Autoridades Ancestrales Poqomam de Chinautla, Guatemala</w:t>
      </w:r>
    </w:p>
    <w:p w14:paraId="2F105C5D" w14:textId="77777777" w:rsidR="001D6DFA" w:rsidRPr="00770370" w:rsidRDefault="001D6DFA" w:rsidP="00197C3D">
      <w:pPr>
        <w:pStyle w:val="Prrafodelista"/>
        <w:numPr>
          <w:ilvl w:val="0"/>
          <w:numId w:val="6"/>
        </w:numPr>
        <w:rPr>
          <w:rFonts w:asciiTheme="majorBidi" w:hAnsiTheme="majorBidi" w:cstheme="majorBidi"/>
        </w:rPr>
      </w:pPr>
      <w:r w:rsidRPr="00770370">
        <w:rPr>
          <w:rFonts w:asciiTheme="majorBidi" w:hAnsiTheme="majorBidi" w:cstheme="majorBidi"/>
        </w:rPr>
        <w:t>Autoridades Ancestrales Q’eqchi’ de El Estor, Izabal</w:t>
      </w:r>
    </w:p>
    <w:p w14:paraId="21B41D33" w14:textId="77777777" w:rsidR="001D6DFA" w:rsidRPr="00117BD0" w:rsidRDefault="001D6DFA" w:rsidP="00197C3D">
      <w:pPr>
        <w:pStyle w:val="Prrafodelista"/>
        <w:numPr>
          <w:ilvl w:val="0"/>
          <w:numId w:val="6"/>
        </w:numPr>
        <w:rPr>
          <w:rFonts w:asciiTheme="majorBidi" w:hAnsiTheme="majorBidi" w:cstheme="majorBidi"/>
        </w:rPr>
      </w:pPr>
      <w:r w:rsidRPr="00117BD0">
        <w:rPr>
          <w:rFonts w:asciiTheme="majorBidi" w:hAnsiTheme="majorBidi" w:cstheme="majorBidi"/>
        </w:rPr>
        <w:t>Autoridades de la Comunidad Indígena de S</w:t>
      </w:r>
      <w:r>
        <w:rPr>
          <w:rFonts w:asciiTheme="majorBidi" w:hAnsiTheme="majorBidi" w:cstheme="majorBidi"/>
        </w:rPr>
        <w:t>amazana</w:t>
      </w:r>
      <w:r w:rsidRPr="00117BD0">
        <w:rPr>
          <w:rFonts w:asciiTheme="majorBidi" w:hAnsiTheme="majorBidi" w:cstheme="majorBidi"/>
        </w:rPr>
        <w:t xml:space="preserve"> II, Alta Verapaz</w:t>
      </w:r>
    </w:p>
    <w:p w14:paraId="15D0F6F6" w14:textId="77777777" w:rsidR="001D6DFA" w:rsidRPr="00117BD0" w:rsidRDefault="001D6DFA" w:rsidP="00197C3D">
      <w:pPr>
        <w:pStyle w:val="Prrafodelista"/>
        <w:numPr>
          <w:ilvl w:val="0"/>
          <w:numId w:val="6"/>
        </w:numPr>
        <w:rPr>
          <w:rFonts w:asciiTheme="majorBidi" w:hAnsiTheme="majorBidi" w:cstheme="majorBidi"/>
        </w:rPr>
      </w:pPr>
      <w:r w:rsidRPr="00117BD0">
        <w:rPr>
          <w:rFonts w:asciiTheme="majorBidi" w:hAnsiTheme="majorBidi" w:cstheme="majorBidi"/>
        </w:rPr>
        <w:t>Autoridades de la Comunidad Indígena de Sierra Santa Cruz, Izabal</w:t>
      </w:r>
    </w:p>
    <w:p w14:paraId="0C9EEF25" w14:textId="77777777" w:rsidR="001D6DFA" w:rsidRDefault="001D6DFA" w:rsidP="00EC768F">
      <w:pPr>
        <w:pStyle w:val="Prrafodelista"/>
        <w:numPr>
          <w:ilvl w:val="0"/>
          <w:numId w:val="6"/>
        </w:numPr>
        <w:rPr>
          <w:rFonts w:asciiTheme="majorBidi" w:hAnsiTheme="majorBidi" w:cstheme="majorBidi"/>
        </w:rPr>
      </w:pPr>
      <w:r w:rsidRPr="00117BD0">
        <w:rPr>
          <w:rFonts w:asciiTheme="majorBidi" w:hAnsiTheme="majorBidi" w:cstheme="majorBidi"/>
        </w:rPr>
        <w:t>Autoridades de la Comunidad Indígena de Xaal Quiché, Petén</w:t>
      </w:r>
    </w:p>
    <w:p w14:paraId="484925A0" w14:textId="77777777" w:rsidR="001D6DFA" w:rsidRPr="00EC768F" w:rsidRDefault="001D6DFA" w:rsidP="00EC768F">
      <w:pPr>
        <w:pStyle w:val="Prrafodelista"/>
        <w:numPr>
          <w:ilvl w:val="0"/>
          <w:numId w:val="6"/>
        </w:numPr>
        <w:rPr>
          <w:rFonts w:asciiTheme="majorBidi" w:hAnsiTheme="majorBidi" w:cstheme="majorBidi"/>
        </w:rPr>
      </w:pPr>
      <w:r w:rsidRPr="00EC768F">
        <w:rPr>
          <w:rFonts w:asciiTheme="majorBidi" w:hAnsiTheme="majorBidi" w:cstheme="majorBidi"/>
        </w:rPr>
        <w:t>Autoridades de la Comunidad Indígena San Pablo Chinaha’, Petén</w:t>
      </w:r>
    </w:p>
    <w:p w14:paraId="39353408" w14:textId="77777777" w:rsidR="001D6DFA" w:rsidRPr="00117BD0" w:rsidRDefault="001D6DFA" w:rsidP="00197C3D">
      <w:pPr>
        <w:pStyle w:val="Prrafodelista"/>
        <w:numPr>
          <w:ilvl w:val="0"/>
          <w:numId w:val="6"/>
        </w:numPr>
        <w:rPr>
          <w:rFonts w:asciiTheme="majorBidi" w:hAnsiTheme="majorBidi" w:cstheme="majorBidi"/>
        </w:rPr>
      </w:pPr>
      <w:r w:rsidRPr="00117BD0">
        <w:rPr>
          <w:rFonts w:asciiTheme="majorBidi" w:hAnsiTheme="majorBidi" w:cstheme="majorBidi"/>
        </w:rPr>
        <w:t>Autoridades indígenas Chortí de Camotán, Jocotán y Quezaltepeque, Chiquimula</w:t>
      </w:r>
    </w:p>
    <w:p w14:paraId="4919E6A1" w14:textId="77777777" w:rsidR="001D6DFA" w:rsidRPr="00117BD0" w:rsidRDefault="001D6DFA" w:rsidP="00197C3D">
      <w:pPr>
        <w:pStyle w:val="Prrafodelista"/>
        <w:numPr>
          <w:ilvl w:val="0"/>
          <w:numId w:val="6"/>
        </w:numPr>
        <w:rPr>
          <w:rFonts w:asciiTheme="majorBidi" w:hAnsiTheme="majorBidi" w:cstheme="majorBidi"/>
        </w:rPr>
      </w:pPr>
      <w:r w:rsidRPr="00117BD0">
        <w:rPr>
          <w:rFonts w:asciiTheme="majorBidi" w:hAnsiTheme="majorBidi" w:cstheme="majorBidi"/>
        </w:rPr>
        <w:t>Autoridades Indígenas de San José Nacahuil, Guatemala</w:t>
      </w:r>
    </w:p>
    <w:p w14:paraId="01B19286" w14:textId="77777777" w:rsidR="001D6DFA" w:rsidRPr="00117BD0" w:rsidRDefault="001D6DFA" w:rsidP="00197C3D">
      <w:pPr>
        <w:pStyle w:val="Prrafodelista"/>
        <w:numPr>
          <w:ilvl w:val="0"/>
          <w:numId w:val="6"/>
        </w:numPr>
        <w:rPr>
          <w:rFonts w:asciiTheme="majorBidi" w:hAnsiTheme="majorBidi" w:cstheme="majorBidi"/>
        </w:rPr>
      </w:pPr>
      <w:r w:rsidRPr="00117BD0">
        <w:rPr>
          <w:rFonts w:asciiTheme="majorBidi" w:hAnsiTheme="majorBidi" w:cstheme="majorBidi"/>
        </w:rPr>
        <w:t>Autoridades indígenas de San Juan Comalapa, Chimaltenango</w:t>
      </w:r>
    </w:p>
    <w:p w14:paraId="144EBE9A" w14:textId="77777777" w:rsidR="001D6DFA" w:rsidRPr="00117BD0" w:rsidRDefault="001D6DFA" w:rsidP="00197C3D">
      <w:pPr>
        <w:pStyle w:val="Prrafodelista"/>
        <w:numPr>
          <w:ilvl w:val="0"/>
          <w:numId w:val="6"/>
        </w:numPr>
        <w:rPr>
          <w:rFonts w:asciiTheme="majorBidi" w:hAnsiTheme="majorBidi" w:cstheme="majorBidi"/>
        </w:rPr>
      </w:pPr>
      <w:r w:rsidRPr="00117BD0">
        <w:rPr>
          <w:rFonts w:asciiTheme="majorBidi" w:hAnsiTheme="majorBidi" w:cstheme="majorBidi"/>
        </w:rPr>
        <w:t>Bufete de Derechos Humanos</w:t>
      </w:r>
    </w:p>
    <w:p w14:paraId="2BF2DBF6" w14:textId="77777777" w:rsidR="001D6DFA" w:rsidRPr="00117BD0" w:rsidRDefault="001D6DFA" w:rsidP="00197C3D">
      <w:pPr>
        <w:pStyle w:val="Prrafodelista"/>
        <w:numPr>
          <w:ilvl w:val="0"/>
          <w:numId w:val="6"/>
        </w:numPr>
        <w:rPr>
          <w:rFonts w:asciiTheme="majorBidi" w:hAnsiTheme="majorBidi" w:cstheme="majorBidi"/>
        </w:rPr>
      </w:pPr>
      <w:r w:rsidRPr="00117BD0">
        <w:rPr>
          <w:rFonts w:asciiTheme="majorBidi" w:hAnsiTheme="majorBidi" w:cstheme="majorBidi"/>
        </w:rPr>
        <w:t xml:space="preserve">Bufete </w:t>
      </w:r>
      <w:r>
        <w:rPr>
          <w:rFonts w:asciiTheme="majorBidi" w:hAnsiTheme="majorBidi" w:cstheme="majorBidi"/>
        </w:rPr>
        <w:t>para</w:t>
      </w:r>
      <w:r w:rsidRPr="00117BD0">
        <w:rPr>
          <w:rFonts w:asciiTheme="majorBidi" w:hAnsiTheme="majorBidi" w:cstheme="majorBidi"/>
        </w:rPr>
        <w:t xml:space="preserve"> Pueblos Indígenas</w:t>
      </w:r>
    </w:p>
    <w:p w14:paraId="1EED37D3" w14:textId="77777777" w:rsidR="001D6DFA" w:rsidRPr="00117BD0" w:rsidRDefault="001D6DFA" w:rsidP="00197C3D">
      <w:pPr>
        <w:pStyle w:val="Prrafodelista"/>
        <w:numPr>
          <w:ilvl w:val="0"/>
          <w:numId w:val="6"/>
        </w:numPr>
        <w:rPr>
          <w:rFonts w:asciiTheme="majorBidi" w:hAnsiTheme="majorBidi" w:cstheme="majorBidi"/>
        </w:rPr>
      </w:pPr>
      <w:r w:rsidRPr="00117BD0">
        <w:rPr>
          <w:rFonts w:asciiTheme="majorBidi" w:hAnsiTheme="majorBidi" w:cstheme="majorBidi"/>
        </w:rPr>
        <w:t>Cofrades y Texeles de San José Poaquil, Chimaltenango</w:t>
      </w:r>
    </w:p>
    <w:p w14:paraId="0D8349C2" w14:textId="77777777" w:rsidR="001D6DFA" w:rsidRPr="00117BD0" w:rsidRDefault="001D6DFA" w:rsidP="00197C3D">
      <w:pPr>
        <w:pStyle w:val="Prrafodelista"/>
        <w:numPr>
          <w:ilvl w:val="0"/>
          <w:numId w:val="6"/>
        </w:numPr>
        <w:rPr>
          <w:rFonts w:asciiTheme="majorBidi" w:hAnsiTheme="majorBidi" w:cstheme="majorBidi"/>
        </w:rPr>
      </w:pPr>
      <w:r w:rsidRPr="00117BD0">
        <w:rPr>
          <w:rFonts w:asciiTheme="majorBidi" w:hAnsiTheme="majorBidi" w:cstheme="majorBidi"/>
        </w:rPr>
        <w:t xml:space="preserve">Colectivo </w:t>
      </w:r>
      <w:r w:rsidRPr="00F24B3C">
        <w:rPr>
          <w:rFonts w:asciiTheme="majorBidi" w:hAnsiTheme="majorBidi" w:cstheme="majorBidi"/>
        </w:rPr>
        <w:t>Tz´unun Ya´</w:t>
      </w:r>
    </w:p>
    <w:p w14:paraId="00B1627C" w14:textId="77777777" w:rsidR="001D6DFA" w:rsidRPr="00117BD0" w:rsidRDefault="001D6DFA" w:rsidP="00197C3D">
      <w:pPr>
        <w:pStyle w:val="Prrafodelista"/>
        <w:numPr>
          <w:ilvl w:val="0"/>
          <w:numId w:val="6"/>
        </w:numPr>
        <w:rPr>
          <w:rFonts w:asciiTheme="majorBidi" w:hAnsiTheme="majorBidi" w:cstheme="majorBidi"/>
        </w:rPr>
      </w:pPr>
      <w:r w:rsidRPr="00117BD0">
        <w:rPr>
          <w:rFonts w:asciiTheme="majorBidi" w:hAnsiTheme="majorBidi" w:cstheme="majorBidi"/>
        </w:rPr>
        <w:t>Comunicadoras del Noticiero Ix</w:t>
      </w:r>
    </w:p>
    <w:p w14:paraId="2FF67A88" w14:textId="2883F85B" w:rsidR="00560F8A" w:rsidRDefault="00910F58" w:rsidP="00197C3D">
      <w:pPr>
        <w:pStyle w:val="Prrafodelista"/>
        <w:numPr>
          <w:ilvl w:val="0"/>
          <w:numId w:val="6"/>
        </w:numPr>
        <w:rPr>
          <w:rFonts w:asciiTheme="majorBidi" w:hAnsiTheme="majorBidi" w:cstheme="majorBidi"/>
        </w:rPr>
      </w:pPr>
      <w:r>
        <w:rPr>
          <w:rFonts w:asciiTheme="majorBidi" w:hAnsiTheme="majorBidi" w:cstheme="majorBidi"/>
        </w:rPr>
        <w:t>Coordinadora</w:t>
      </w:r>
      <w:r w:rsidR="00560F8A">
        <w:rPr>
          <w:rFonts w:asciiTheme="majorBidi" w:hAnsiTheme="majorBidi" w:cstheme="majorBidi"/>
        </w:rPr>
        <w:t xml:space="preserve"> Departamental de la Juventud Huehueteca – CODEJUVEH-, Huehuetenango</w:t>
      </w:r>
    </w:p>
    <w:p w14:paraId="301BDBB5" w14:textId="70CAD266" w:rsidR="001D6DFA" w:rsidRPr="00117BD0" w:rsidRDefault="001D6DFA" w:rsidP="00197C3D">
      <w:pPr>
        <w:pStyle w:val="Prrafodelista"/>
        <w:numPr>
          <w:ilvl w:val="0"/>
          <w:numId w:val="6"/>
        </w:numPr>
        <w:rPr>
          <w:rFonts w:asciiTheme="majorBidi" w:hAnsiTheme="majorBidi" w:cstheme="majorBidi"/>
        </w:rPr>
      </w:pPr>
      <w:r w:rsidRPr="00117BD0">
        <w:rPr>
          <w:rFonts w:asciiTheme="majorBidi" w:hAnsiTheme="majorBidi" w:cstheme="majorBidi"/>
        </w:rPr>
        <w:t>Cultural Survival</w:t>
      </w:r>
    </w:p>
    <w:p w14:paraId="37C86C1F" w14:textId="77777777" w:rsidR="001D6DFA" w:rsidRPr="00117BD0" w:rsidRDefault="001D6DFA" w:rsidP="00197C3D">
      <w:pPr>
        <w:pStyle w:val="Prrafodelista"/>
        <w:numPr>
          <w:ilvl w:val="0"/>
          <w:numId w:val="6"/>
        </w:numPr>
        <w:rPr>
          <w:rFonts w:asciiTheme="majorBidi" w:hAnsiTheme="majorBidi" w:cstheme="majorBidi"/>
        </w:rPr>
      </w:pPr>
      <w:r w:rsidRPr="00117BD0">
        <w:rPr>
          <w:rFonts w:asciiTheme="majorBidi" w:hAnsiTheme="majorBidi" w:cstheme="majorBidi"/>
        </w:rPr>
        <w:t>Equipo jurídico de las víctimas “Caso Cumbre de Alaska”</w:t>
      </w:r>
    </w:p>
    <w:p w14:paraId="1EE8BD8A" w14:textId="2A7F4FDC" w:rsidR="001D6DFA" w:rsidRDefault="001D6DFA" w:rsidP="00197C3D">
      <w:pPr>
        <w:pStyle w:val="Prrafodelista"/>
        <w:numPr>
          <w:ilvl w:val="0"/>
          <w:numId w:val="6"/>
        </w:numPr>
        <w:rPr>
          <w:rFonts w:asciiTheme="majorBidi" w:hAnsiTheme="majorBidi" w:cstheme="majorBidi"/>
        </w:rPr>
      </w:pPr>
      <w:r>
        <w:rPr>
          <w:rFonts w:asciiTheme="majorBidi" w:hAnsiTheme="majorBidi" w:cstheme="majorBidi"/>
        </w:rPr>
        <w:t>Fundación Guillermo Toriello</w:t>
      </w:r>
      <w:r w:rsidR="00FF0918">
        <w:rPr>
          <w:rFonts w:asciiTheme="majorBidi" w:hAnsiTheme="majorBidi" w:cstheme="majorBidi"/>
        </w:rPr>
        <w:t xml:space="preserve"> -FGT-</w:t>
      </w:r>
    </w:p>
    <w:p w14:paraId="61BC11E0" w14:textId="77777777" w:rsidR="001D6DFA" w:rsidRPr="00117BD0" w:rsidRDefault="001D6DFA" w:rsidP="00197C3D">
      <w:pPr>
        <w:pStyle w:val="Prrafodelista"/>
        <w:numPr>
          <w:ilvl w:val="0"/>
          <w:numId w:val="6"/>
        </w:numPr>
        <w:rPr>
          <w:rFonts w:asciiTheme="majorBidi" w:hAnsiTheme="majorBidi" w:cstheme="majorBidi"/>
        </w:rPr>
      </w:pPr>
      <w:r w:rsidRPr="00117BD0">
        <w:rPr>
          <w:rFonts w:asciiTheme="majorBidi" w:hAnsiTheme="majorBidi" w:cstheme="majorBidi"/>
        </w:rPr>
        <w:t>Gobierno Plurinacional de Huehuetenango</w:t>
      </w:r>
    </w:p>
    <w:p w14:paraId="0706A7CE" w14:textId="77777777" w:rsidR="001D6DFA" w:rsidRPr="00117BD0" w:rsidRDefault="001D6DFA" w:rsidP="00197C3D">
      <w:pPr>
        <w:pStyle w:val="Prrafodelista"/>
        <w:numPr>
          <w:ilvl w:val="0"/>
          <w:numId w:val="6"/>
        </w:numPr>
        <w:rPr>
          <w:rFonts w:asciiTheme="majorBidi" w:hAnsiTheme="majorBidi" w:cstheme="majorBidi"/>
        </w:rPr>
      </w:pPr>
      <w:r w:rsidRPr="00117BD0">
        <w:rPr>
          <w:rFonts w:asciiTheme="majorBidi" w:hAnsiTheme="majorBidi" w:cstheme="majorBidi"/>
        </w:rPr>
        <w:t>Instituto sobre Raza, Igualdad y Derechos Humanos</w:t>
      </w:r>
    </w:p>
    <w:p w14:paraId="25602CC1" w14:textId="77777777" w:rsidR="001D6DFA" w:rsidRPr="00342243" w:rsidRDefault="001D6DFA" w:rsidP="00342243">
      <w:pPr>
        <w:pStyle w:val="Prrafodelista"/>
        <w:numPr>
          <w:ilvl w:val="0"/>
          <w:numId w:val="6"/>
        </w:numPr>
        <w:rPr>
          <w:rFonts w:asciiTheme="majorBidi" w:hAnsiTheme="majorBidi" w:cstheme="majorBidi"/>
        </w:rPr>
      </w:pPr>
      <w:r>
        <w:rPr>
          <w:rFonts w:asciiTheme="majorBidi" w:hAnsiTheme="majorBidi" w:cstheme="majorBidi"/>
        </w:rPr>
        <w:t>Iseri Ibagari</w:t>
      </w:r>
    </w:p>
    <w:p w14:paraId="75A1B450" w14:textId="453DDFE7" w:rsidR="001D6DFA" w:rsidRDefault="001D6DFA" w:rsidP="00197C3D">
      <w:pPr>
        <w:pStyle w:val="Prrafodelista"/>
        <w:numPr>
          <w:ilvl w:val="0"/>
          <w:numId w:val="6"/>
        </w:numPr>
        <w:rPr>
          <w:rFonts w:asciiTheme="majorBidi" w:hAnsiTheme="majorBidi" w:cstheme="majorBidi"/>
        </w:rPr>
      </w:pPr>
      <w:r>
        <w:rPr>
          <w:rFonts w:asciiTheme="majorBidi" w:hAnsiTheme="majorBidi" w:cstheme="majorBidi"/>
        </w:rPr>
        <w:t>Jóvenes por Jacaltenango Swol Konhob’</w:t>
      </w:r>
      <w:r w:rsidR="00D5098F">
        <w:rPr>
          <w:rFonts w:asciiTheme="majorBidi" w:hAnsiTheme="majorBidi" w:cstheme="majorBidi"/>
        </w:rPr>
        <w:t>, Huehuetenango</w:t>
      </w:r>
    </w:p>
    <w:p w14:paraId="578F56D9" w14:textId="77777777" w:rsidR="001D6DFA" w:rsidRPr="00C97823" w:rsidRDefault="001D6DFA" w:rsidP="00C97823">
      <w:pPr>
        <w:pStyle w:val="Prrafodelista"/>
        <w:numPr>
          <w:ilvl w:val="0"/>
          <w:numId w:val="6"/>
        </w:numPr>
        <w:rPr>
          <w:rFonts w:asciiTheme="majorBidi" w:hAnsiTheme="majorBidi" w:cstheme="majorBidi"/>
        </w:rPr>
      </w:pPr>
      <w:r w:rsidRPr="00C97823">
        <w:rPr>
          <w:rFonts w:asciiTheme="majorBidi" w:hAnsiTheme="majorBidi" w:cstheme="majorBidi"/>
        </w:rPr>
        <w:t>Juventud Garífuna y Afrodescendiente Guatemalteca – JUGAGUA-</w:t>
      </w:r>
    </w:p>
    <w:p w14:paraId="3103B15A" w14:textId="77777777" w:rsidR="001D6DFA" w:rsidRPr="00C97823" w:rsidRDefault="001D6DFA" w:rsidP="00C97823">
      <w:pPr>
        <w:pStyle w:val="Prrafodelista"/>
        <w:numPr>
          <w:ilvl w:val="0"/>
          <w:numId w:val="6"/>
        </w:numPr>
        <w:rPr>
          <w:rFonts w:asciiTheme="majorBidi" w:hAnsiTheme="majorBidi" w:cstheme="majorBidi"/>
        </w:rPr>
      </w:pPr>
      <w:r w:rsidRPr="00C97823">
        <w:rPr>
          <w:rFonts w:asciiTheme="majorBidi" w:hAnsiTheme="majorBidi" w:cstheme="majorBidi"/>
        </w:rPr>
        <w:t>La Red de Mujeres Afrolatinoamericanas, Afrocaribeñas y de la Diáspora – RMAAD - Guatemala</w:t>
      </w:r>
    </w:p>
    <w:p w14:paraId="75B7A076" w14:textId="77777777" w:rsidR="001D6DFA" w:rsidRPr="00117BD0" w:rsidRDefault="001D6DFA" w:rsidP="00197C3D">
      <w:pPr>
        <w:pStyle w:val="Prrafodelista"/>
        <w:numPr>
          <w:ilvl w:val="0"/>
          <w:numId w:val="6"/>
        </w:numPr>
        <w:rPr>
          <w:rFonts w:asciiTheme="majorBidi" w:hAnsiTheme="majorBidi" w:cstheme="majorBidi"/>
        </w:rPr>
      </w:pPr>
      <w:r w:rsidRPr="00117BD0">
        <w:rPr>
          <w:rFonts w:asciiTheme="majorBidi" w:hAnsiTheme="majorBidi" w:cstheme="majorBidi"/>
        </w:rPr>
        <w:t>Los Junta Directiva de los 48 Cantones de Totonicapán</w:t>
      </w:r>
    </w:p>
    <w:p w14:paraId="2093B5BF" w14:textId="77777777" w:rsidR="001D6DFA" w:rsidRPr="00117BD0" w:rsidRDefault="001D6DFA" w:rsidP="00197C3D">
      <w:pPr>
        <w:pStyle w:val="Prrafodelista"/>
        <w:numPr>
          <w:ilvl w:val="0"/>
          <w:numId w:val="6"/>
        </w:numPr>
        <w:rPr>
          <w:rFonts w:asciiTheme="majorBidi" w:hAnsiTheme="majorBidi" w:cstheme="majorBidi"/>
        </w:rPr>
      </w:pPr>
      <w:r w:rsidRPr="00117BD0">
        <w:rPr>
          <w:rFonts w:asciiTheme="majorBidi" w:hAnsiTheme="majorBidi" w:cstheme="majorBidi"/>
        </w:rPr>
        <w:t>Movimiento de Mujeres indígenas Tz'ununija’</w:t>
      </w:r>
    </w:p>
    <w:p w14:paraId="5DB022FF" w14:textId="77777777" w:rsidR="001D6DFA" w:rsidRDefault="001D6DFA" w:rsidP="00197C3D">
      <w:pPr>
        <w:pStyle w:val="Prrafodelista"/>
        <w:numPr>
          <w:ilvl w:val="0"/>
          <w:numId w:val="6"/>
        </w:numPr>
        <w:rPr>
          <w:rFonts w:asciiTheme="majorBidi" w:hAnsiTheme="majorBidi" w:cstheme="majorBidi"/>
        </w:rPr>
      </w:pPr>
      <w:r w:rsidRPr="00117BD0">
        <w:rPr>
          <w:rFonts w:asciiTheme="majorBidi" w:hAnsiTheme="majorBidi" w:cstheme="majorBidi"/>
        </w:rPr>
        <w:t>Movimiento de Radios Comunitarias</w:t>
      </w:r>
      <w:r>
        <w:rPr>
          <w:rFonts w:asciiTheme="majorBidi" w:hAnsiTheme="majorBidi" w:cstheme="majorBidi"/>
        </w:rPr>
        <w:t xml:space="preserve"> de Guatemala</w:t>
      </w:r>
    </w:p>
    <w:p w14:paraId="493B7CD5" w14:textId="77777777" w:rsidR="001D6DFA" w:rsidRPr="009B2EAB" w:rsidRDefault="001D6DFA" w:rsidP="009B2EAB">
      <w:pPr>
        <w:pStyle w:val="Prrafodelista"/>
        <w:numPr>
          <w:ilvl w:val="0"/>
          <w:numId w:val="6"/>
        </w:numPr>
        <w:rPr>
          <w:rFonts w:asciiTheme="majorBidi" w:hAnsiTheme="majorBidi" w:cstheme="majorBidi"/>
        </w:rPr>
      </w:pPr>
      <w:r w:rsidRPr="007E7BD5">
        <w:rPr>
          <w:rFonts w:asciiTheme="majorBidi" w:hAnsiTheme="majorBidi" w:cstheme="majorBidi"/>
        </w:rPr>
        <w:t>Movimiento Federalista Panafricano</w:t>
      </w:r>
    </w:p>
    <w:p w14:paraId="0A30DC50" w14:textId="77777777" w:rsidR="001D6DFA" w:rsidRPr="00117BD0" w:rsidRDefault="001D6DFA" w:rsidP="00197C3D">
      <w:pPr>
        <w:pStyle w:val="Prrafodelista"/>
        <w:numPr>
          <w:ilvl w:val="0"/>
          <w:numId w:val="6"/>
        </w:numPr>
        <w:rPr>
          <w:rFonts w:asciiTheme="majorBidi" w:hAnsiTheme="majorBidi" w:cstheme="majorBidi"/>
        </w:rPr>
      </w:pPr>
      <w:r w:rsidRPr="00117BD0">
        <w:rPr>
          <w:rFonts w:asciiTheme="majorBidi" w:hAnsiTheme="majorBidi" w:cstheme="majorBidi"/>
        </w:rPr>
        <w:t>Municipalidad Indigena de Santa Catarina Ixtahuacán, Sololá</w:t>
      </w:r>
    </w:p>
    <w:p w14:paraId="0F808FE1" w14:textId="77777777" w:rsidR="001D6DFA" w:rsidRPr="00117BD0" w:rsidRDefault="001D6DFA" w:rsidP="00197C3D">
      <w:pPr>
        <w:pStyle w:val="Prrafodelista"/>
        <w:numPr>
          <w:ilvl w:val="0"/>
          <w:numId w:val="6"/>
        </w:numPr>
        <w:rPr>
          <w:rFonts w:asciiTheme="majorBidi" w:hAnsiTheme="majorBidi" w:cstheme="majorBidi"/>
        </w:rPr>
      </w:pPr>
      <w:r w:rsidRPr="00117BD0">
        <w:rPr>
          <w:rFonts w:asciiTheme="majorBidi" w:hAnsiTheme="majorBidi" w:cstheme="majorBidi"/>
        </w:rPr>
        <w:t>Oxfam International</w:t>
      </w:r>
      <w:r>
        <w:rPr>
          <w:rFonts w:asciiTheme="majorBidi" w:hAnsiTheme="majorBidi" w:cstheme="majorBidi"/>
        </w:rPr>
        <w:t xml:space="preserve"> – OXFAM-</w:t>
      </w:r>
    </w:p>
    <w:p w14:paraId="521C61A9" w14:textId="77777777" w:rsidR="001D6DFA" w:rsidRPr="00117BD0" w:rsidRDefault="001D6DFA" w:rsidP="00197C3D">
      <w:pPr>
        <w:pStyle w:val="Prrafodelista"/>
        <w:numPr>
          <w:ilvl w:val="0"/>
          <w:numId w:val="6"/>
        </w:numPr>
        <w:rPr>
          <w:rFonts w:asciiTheme="majorBidi" w:hAnsiTheme="majorBidi" w:cstheme="majorBidi"/>
        </w:rPr>
      </w:pPr>
      <w:r w:rsidRPr="00117BD0">
        <w:rPr>
          <w:rFonts w:asciiTheme="majorBidi" w:hAnsiTheme="majorBidi" w:cstheme="majorBidi"/>
        </w:rPr>
        <w:t>Parlamento del Pueblo Xinka de Guatemala, Jutiapa, Jalapa y Santa Rosa</w:t>
      </w:r>
    </w:p>
    <w:p w14:paraId="25DB6FB5" w14:textId="77777777" w:rsidR="001D6DFA" w:rsidRDefault="001D6DFA" w:rsidP="00197C3D">
      <w:pPr>
        <w:pStyle w:val="Prrafodelista"/>
        <w:numPr>
          <w:ilvl w:val="0"/>
          <w:numId w:val="6"/>
        </w:numPr>
        <w:rPr>
          <w:rFonts w:asciiTheme="majorBidi" w:hAnsiTheme="majorBidi" w:cstheme="majorBidi"/>
        </w:rPr>
      </w:pPr>
      <w:r w:rsidRPr="00842C29">
        <w:rPr>
          <w:rFonts w:asciiTheme="majorBidi" w:hAnsiTheme="majorBidi" w:cstheme="majorBidi"/>
        </w:rPr>
        <w:t>Periodista Maya Q'eqchi', con enfoque ambiental y derechos humanos.</w:t>
      </w:r>
    </w:p>
    <w:p w14:paraId="6E592807" w14:textId="77777777" w:rsidR="001D6DFA" w:rsidRPr="00117BD0" w:rsidRDefault="001D6DFA" w:rsidP="00197C3D">
      <w:pPr>
        <w:pStyle w:val="Prrafodelista"/>
        <w:numPr>
          <w:ilvl w:val="0"/>
          <w:numId w:val="6"/>
        </w:numPr>
        <w:rPr>
          <w:rFonts w:asciiTheme="majorBidi" w:hAnsiTheme="majorBidi" w:cstheme="majorBidi"/>
        </w:rPr>
      </w:pPr>
      <w:r w:rsidRPr="00117BD0">
        <w:rPr>
          <w:rFonts w:asciiTheme="majorBidi" w:hAnsiTheme="majorBidi" w:cstheme="majorBidi"/>
        </w:rPr>
        <w:t>Protección Internacional</w:t>
      </w:r>
    </w:p>
    <w:p w14:paraId="6D617400" w14:textId="77777777" w:rsidR="001D6DFA" w:rsidRPr="00117BD0" w:rsidRDefault="001D6DFA" w:rsidP="00197C3D">
      <w:pPr>
        <w:pStyle w:val="Prrafodelista"/>
        <w:numPr>
          <w:ilvl w:val="0"/>
          <w:numId w:val="6"/>
        </w:numPr>
        <w:rPr>
          <w:rFonts w:asciiTheme="majorBidi" w:hAnsiTheme="majorBidi" w:cstheme="majorBidi"/>
        </w:rPr>
      </w:pPr>
      <w:r w:rsidRPr="00117BD0">
        <w:rPr>
          <w:rFonts w:asciiTheme="majorBidi" w:hAnsiTheme="majorBidi" w:cstheme="majorBidi"/>
        </w:rPr>
        <w:t>Red de comunicadoras indígenas</w:t>
      </w:r>
    </w:p>
    <w:p w14:paraId="4EAC0DB9" w14:textId="77777777" w:rsidR="001D6DFA" w:rsidRPr="009E2A0E" w:rsidRDefault="001D6DFA" w:rsidP="00197C3D">
      <w:pPr>
        <w:pStyle w:val="Prrafodelista"/>
        <w:numPr>
          <w:ilvl w:val="0"/>
          <w:numId w:val="6"/>
        </w:numPr>
        <w:rPr>
          <w:rFonts w:asciiTheme="majorBidi" w:hAnsiTheme="majorBidi" w:cstheme="majorBidi"/>
        </w:rPr>
      </w:pPr>
      <w:r w:rsidRPr="009E2A0E">
        <w:rPr>
          <w:rFonts w:asciiTheme="majorBidi" w:hAnsiTheme="majorBidi" w:cstheme="majorBidi"/>
        </w:rPr>
        <w:t>Red de mujeres Ixiles, Quiché</w:t>
      </w:r>
    </w:p>
    <w:p w14:paraId="39975770" w14:textId="77777777" w:rsidR="001D6DFA" w:rsidRPr="009E2A0E" w:rsidRDefault="001D6DFA" w:rsidP="00197C3D">
      <w:pPr>
        <w:pStyle w:val="Prrafodelista"/>
        <w:numPr>
          <w:ilvl w:val="0"/>
          <w:numId w:val="6"/>
        </w:numPr>
        <w:rPr>
          <w:rFonts w:asciiTheme="majorBidi" w:hAnsiTheme="majorBidi" w:cstheme="majorBidi"/>
        </w:rPr>
      </w:pPr>
      <w:r w:rsidRPr="009E2A0E">
        <w:rPr>
          <w:rFonts w:asciiTheme="majorBidi" w:hAnsiTheme="majorBidi" w:cstheme="majorBidi"/>
        </w:rPr>
        <w:t>Red Educativa</w:t>
      </w:r>
    </w:p>
    <w:p w14:paraId="7E02265F" w14:textId="77777777" w:rsidR="001D6DFA" w:rsidRDefault="001D6DFA" w:rsidP="004C20A4">
      <w:pPr>
        <w:pStyle w:val="Prrafodelista"/>
        <w:numPr>
          <w:ilvl w:val="0"/>
          <w:numId w:val="6"/>
        </w:numPr>
        <w:rPr>
          <w:rFonts w:asciiTheme="majorBidi" w:hAnsiTheme="majorBidi" w:cstheme="majorBidi"/>
        </w:rPr>
      </w:pPr>
      <w:r w:rsidRPr="009E2A0E">
        <w:rPr>
          <w:rFonts w:asciiTheme="majorBidi" w:hAnsiTheme="majorBidi" w:cstheme="majorBidi"/>
        </w:rPr>
        <w:t>Resistencia Cahab</w:t>
      </w:r>
      <w:r>
        <w:rPr>
          <w:rFonts w:asciiTheme="majorBidi" w:hAnsiTheme="majorBidi" w:cstheme="majorBidi"/>
        </w:rPr>
        <w:t>ó</w:t>
      </w:r>
      <w:r w:rsidRPr="009E2A0E">
        <w:rPr>
          <w:rFonts w:asciiTheme="majorBidi" w:hAnsiTheme="majorBidi" w:cstheme="majorBidi"/>
        </w:rPr>
        <w:t>n, Alta Verapaz</w:t>
      </w:r>
    </w:p>
    <w:p w14:paraId="3386FDAD" w14:textId="77777777" w:rsidR="001D6DFA" w:rsidRPr="00942341" w:rsidRDefault="001D6DFA" w:rsidP="004C20A4">
      <w:pPr>
        <w:pStyle w:val="Prrafodelista"/>
        <w:numPr>
          <w:ilvl w:val="0"/>
          <w:numId w:val="6"/>
        </w:numPr>
        <w:rPr>
          <w:rFonts w:asciiTheme="majorBidi" w:hAnsiTheme="majorBidi" w:cstheme="majorBidi"/>
          <w:lang w:val="en-GB"/>
        </w:rPr>
      </w:pPr>
      <w:r w:rsidRPr="004C20A4">
        <w:rPr>
          <w:rFonts w:asciiTheme="majorBidi" w:hAnsiTheme="majorBidi" w:cstheme="majorBidi"/>
          <w:color w:val="000000" w:themeColor="text1"/>
          <w:lang w:val="en-GB"/>
        </w:rPr>
        <w:t>The International Institute on Race, Equality and Human Rights</w:t>
      </w:r>
    </w:p>
    <w:p w14:paraId="5CBEB6BA" w14:textId="77777777" w:rsidR="001D6DFA" w:rsidRPr="00942341" w:rsidRDefault="001D6DFA" w:rsidP="004C20A4">
      <w:pPr>
        <w:pStyle w:val="Prrafodelista"/>
        <w:numPr>
          <w:ilvl w:val="0"/>
          <w:numId w:val="6"/>
        </w:numPr>
        <w:rPr>
          <w:rFonts w:asciiTheme="majorBidi" w:hAnsiTheme="majorBidi" w:cstheme="majorBidi"/>
        </w:rPr>
        <w:sectPr w:rsidR="001D6DFA" w:rsidRPr="00942341" w:rsidSect="001D6DFA">
          <w:type w:val="continuous"/>
          <w:pgSz w:w="12240" w:h="15840"/>
          <w:pgMar w:top="1417" w:right="1701" w:bottom="1417" w:left="1701" w:header="708" w:footer="708" w:gutter="0"/>
          <w:pgNumType w:fmt="upperRoman"/>
          <w:cols w:num="2" w:space="708"/>
          <w:docGrid w:linePitch="360"/>
        </w:sectPr>
      </w:pPr>
      <w:r w:rsidRPr="00117BD0">
        <w:rPr>
          <w:rFonts w:asciiTheme="majorBidi" w:hAnsiTheme="majorBidi" w:cstheme="majorBidi"/>
        </w:rPr>
        <w:t>Unidad de Protección a Defensoras y Defensores de Derechos Humanos de Guatemala- UDEFEGUA</w:t>
      </w:r>
      <w:r>
        <w:rPr>
          <w:rFonts w:asciiTheme="majorBidi" w:hAnsiTheme="majorBidi" w:cstheme="majorBidi"/>
        </w:rPr>
        <w:t>-</w:t>
      </w:r>
    </w:p>
    <w:p w14:paraId="2E9993C8" w14:textId="76E3A11B" w:rsidR="006821E2" w:rsidRPr="00942341" w:rsidRDefault="006821E2" w:rsidP="00942341">
      <w:pPr>
        <w:rPr>
          <w:rFonts w:asciiTheme="majorBidi" w:hAnsiTheme="majorBidi" w:cstheme="majorBidi"/>
        </w:rPr>
      </w:pPr>
    </w:p>
    <w:p w14:paraId="2CF9DE92" w14:textId="77777777" w:rsidR="00942341" w:rsidRDefault="00942341" w:rsidP="00197C3D">
      <w:pPr>
        <w:pStyle w:val="Prrafodelista"/>
        <w:numPr>
          <w:ilvl w:val="0"/>
          <w:numId w:val="7"/>
        </w:numPr>
        <w:outlineLvl w:val="0"/>
        <w:rPr>
          <w:rFonts w:asciiTheme="majorBidi" w:hAnsiTheme="majorBidi" w:cstheme="majorBidi"/>
          <w:b/>
          <w:bCs/>
          <w:color w:val="000000" w:themeColor="text1"/>
          <w:sz w:val="28"/>
          <w:szCs w:val="28"/>
          <w:lang w:val="es-MX"/>
        </w:rPr>
        <w:sectPr w:rsidR="00942341" w:rsidSect="00942341">
          <w:footerReference w:type="default" r:id="rId13"/>
          <w:pgSz w:w="12240" w:h="15840"/>
          <w:pgMar w:top="1417" w:right="1701" w:bottom="1417" w:left="1701" w:header="708" w:footer="708" w:gutter="0"/>
          <w:pgNumType w:start="1"/>
          <w:cols w:num="2" w:space="708"/>
          <w:docGrid w:linePitch="360"/>
        </w:sectPr>
      </w:pPr>
    </w:p>
    <w:p w14:paraId="6FA88B0A" w14:textId="5F8411B1" w:rsidR="009042E6" w:rsidRPr="009E2A0E" w:rsidRDefault="008C5E5D" w:rsidP="00197C3D">
      <w:pPr>
        <w:pStyle w:val="Prrafodelista"/>
        <w:numPr>
          <w:ilvl w:val="0"/>
          <w:numId w:val="7"/>
        </w:numPr>
        <w:outlineLvl w:val="0"/>
        <w:rPr>
          <w:rFonts w:asciiTheme="majorBidi" w:hAnsiTheme="majorBidi" w:cstheme="majorBidi"/>
          <w:b/>
          <w:bCs/>
          <w:color w:val="000000" w:themeColor="text1"/>
          <w:sz w:val="28"/>
          <w:szCs w:val="28"/>
          <w:lang w:val="es-MX"/>
        </w:rPr>
      </w:pPr>
      <w:bookmarkStart w:id="2" w:name="_Toc204264026"/>
      <w:r w:rsidRPr="009E2A0E">
        <w:rPr>
          <w:rFonts w:asciiTheme="majorBidi" w:hAnsiTheme="majorBidi" w:cstheme="majorBidi"/>
          <w:b/>
          <w:bCs/>
          <w:color w:val="000000" w:themeColor="text1"/>
          <w:sz w:val="28"/>
          <w:szCs w:val="28"/>
          <w:lang w:val="es-MX"/>
        </w:rPr>
        <w:t>Contexto de la situación de</w:t>
      </w:r>
      <w:r w:rsidR="008D316A">
        <w:rPr>
          <w:rFonts w:asciiTheme="majorBidi" w:hAnsiTheme="majorBidi" w:cstheme="majorBidi"/>
          <w:b/>
          <w:bCs/>
          <w:color w:val="000000" w:themeColor="text1"/>
          <w:sz w:val="28"/>
          <w:szCs w:val="28"/>
          <w:lang w:val="es-MX"/>
        </w:rPr>
        <w:t xml:space="preserve"> los Pueblos Indígenas y Afrodescendientes </w:t>
      </w:r>
      <w:r w:rsidR="00387D41">
        <w:rPr>
          <w:rFonts w:asciiTheme="majorBidi" w:hAnsiTheme="majorBidi" w:cstheme="majorBidi"/>
          <w:b/>
          <w:bCs/>
          <w:color w:val="000000" w:themeColor="text1"/>
          <w:sz w:val="28"/>
          <w:szCs w:val="28"/>
          <w:lang w:val="es-MX"/>
        </w:rPr>
        <w:t>(</w:t>
      </w:r>
      <w:r w:rsidR="00C65C44">
        <w:rPr>
          <w:rFonts w:asciiTheme="majorBidi" w:hAnsiTheme="majorBidi" w:cstheme="majorBidi"/>
          <w:b/>
          <w:bCs/>
          <w:color w:val="000000" w:themeColor="text1"/>
          <w:sz w:val="28"/>
          <w:szCs w:val="28"/>
          <w:lang w:val="es-MX"/>
        </w:rPr>
        <w:t>Párr.</w:t>
      </w:r>
      <w:r w:rsidR="002765EE">
        <w:rPr>
          <w:rFonts w:asciiTheme="majorBidi" w:hAnsiTheme="majorBidi" w:cstheme="majorBidi"/>
          <w:b/>
          <w:bCs/>
          <w:color w:val="000000" w:themeColor="text1"/>
          <w:sz w:val="28"/>
          <w:szCs w:val="28"/>
          <w:lang w:val="es-MX"/>
        </w:rPr>
        <w:t xml:space="preserve"> 2, 8, 11, 15 y 23</w:t>
      </w:r>
      <w:r w:rsidR="00C65C44">
        <w:rPr>
          <w:rFonts w:asciiTheme="majorBidi" w:hAnsiTheme="majorBidi" w:cstheme="majorBidi"/>
          <w:b/>
          <w:bCs/>
          <w:color w:val="000000" w:themeColor="text1"/>
          <w:sz w:val="28"/>
          <w:szCs w:val="28"/>
          <w:lang w:val="es-MX"/>
        </w:rPr>
        <w:t xml:space="preserve"> del Listado de Temas</w:t>
      </w:r>
      <w:r w:rsidR="00387D41">
        <w:rPr>
          <w:rFonts w:asciiTheme="majorBidi" w:hAnsiTheme="majorBidi" w:cstheme="majorBidi"/>
          <w:b/>
          <w:bCs/>
          <w:color w:val="000000" w:themeColor="text1"/>
          <w:sz w:val="28"/>
          <w:szCs w:val="28"/>
          <w:lang w:val="es-MX"/>
        </w:rPr>
        <w:t>)</w:t>
      </w:r>
      <w:bookmarkEnd w:id="2"/>
    </w:p>
    <w:p w14:paraId="0638CB59" w14:textId="25F14B6F" w:rsidR="005F4AB4" w:rsidRPr="009E2A0E" w:rsidRDefault="00544DD4" w:rsidP="00FE47EA">
      <w:pPr>
        <w:jc w:val="both"/>
        <w:rPr>
          <w:rFonts w:asciiTheme="majorBidi" w:eastAsia="Calibri Light" w:hAnsiTheme="majorBidi" w:cstheme="majorBidi"/>
          <w:color w:val="000000" w:themeColor="text1"/>
          <w:lang w:val="es-ES"/>
        </w:rPr>
      </w:pPr>
      <w:r w:rsidRPr="009E2A0E">
        <w:rPr>
          <w:rFonts w:asciiTheme="majorBidi" w:eastAsia="Calibri Light" w:hAnsiTheme="majorBidi" w:cstheme="majorBidi"/>
          <w:color w:val="000000" w:themeColor="text1"/>
          <w:lang w:val="es-ES"/>
        </w:rPr>
        <w:t xml:space="preserve">Guatemala es un país </w:t>
      </w:r>
      <w:r w:rsidR="00643864" w:rsidRPr="00643864">
        <w:rPr>
          <w:rFonts w:asciiTheme="majorBidi" w:eastAsia="Calibri Light" w:hAnsiTheme="majorBidi" w:cstheme="majorBidi"/>
        </w:rPr>
        <w:t>multiétnico,</w:t>
      </w:r>
      <w:r w:rsidR="00643864" w:rsidRPr="00643864">
        <w:rPr>
          <w:rFonts w:asciiTheme="majorBidi" w:eastAsia="Calibri Light" w:hAnsiTheme="majorBidi" w:cstheme="majorBidi"/>
          <w:lang w:val="es-ES"/>
        </w:rPr>
        <w:t xml:space="preserve"> pluri</w:t>
      </w:r>
      <w:r w:rsidR="00643864" w:rsidRPr="00643864">
        <w:rPr>
          <w:rFonts w:asciiTheme="majorBidi" w:eastAsia="Calibri Light" w:hAnsiTheme="majorBidi" w:cstheme="majorBidi"/>
        </w:rPr>
        <w:t>cultural y multi</w:t>
      </w:r>
      <w:r w:rsidR="00643864" w:rsidRPr="00643864">
        <w:rPr>
          <w:rFonts w:asciiTheme="majorBidi" w:eastAsia="Calibri Light" w:hAnsiTheme="majorBidi" w:cstheme="majorBidi"/>
          <w:lang w:val="es-ES"/>
        </w:rPr>
        <w:t xml:space="preserve">lingüe </w:t>
      </w:r>
      <w:r w:rsidRPr="00643864">
        <w:rPr>
          <w:rFonts w:asciiTheme="majorBidi" w:eastAsia="Calibri Light" w:hAnsiTheme="majorBidi" w:cstheme="majorBidi"/>
          <w:lang w:val="es-ES"/>
        </w:rPr>
        <w:t xml:space="preserve">en </w:t>
      </w:r>
      <w:r w:rsidR="00210879">
        <w:rPr>
          <w:rFonts w:asciiTheme="majorBidi" w:eastAsia="Calibri Light" w:hAnsiTheme="majorBidi" w:cstheme="majorBidi"/>
          <w:lang w:val="es-ES"/>
        </w:rPr>
        <w:t xml:space="preserve">el </w:t>
      </w:r>
      <w:r w:rsidRPr="00643864">
        <w:rPr>
          <w:rFonts w:asciiTheme="majorBidi" w:eastAsia="Calibri Light" w:hAnsiTheme="majorBidi" w:cstheme="majorBidi"/>
          <w:lang w:val="es-ES"/>
        </w:rPr>
        <w:t xml:space="preserve">que </w:t>
      </w:r>
      <w:r w:rsidRPr="009E2A0E">
        <w:rPr>
          <w:rFonts w:asciiTheme="majorBidi" w:eastAsia="Calibri Light" w:hAnsiTheme="majorBidi" w:cstheme="majorBidi"/>
          <w:color w:val="000000" w:themeColor="text1"/>
          <w:lang w:val="es-ES"/>
        </w:rPr>
        <w:t xml:space="preserve">habitan alrededor de </w:t>
      </w:r>
      <w:r w:rsidR="00F06B8A" w:rsidRPr="009E2A0E">
        <w:rPr>
          <w:rFonts w:asciiTheme="majorBidi" w:eastAsia="Calibri Light" w:hAnsiTheme="majorBidi" w:cstheme="majorBidi"/>
          <w:color w:val="000000" w:themeColor="text1"/>
          <w:lang w:val="es-ES"/>
        </w:rPr>
        <w:t>14</w:t>
      </w:r>
      <w:r w:rsidRPr="009E2A0E">
        <w:rPr>
          <w:rFonts w:asciiTheme="majorBidi" w:eastAsia="Calibri Light" w:hAnsiTheme="majorBidi" w:cstheme="majorBidi"/>
          <w:color w:val="000000" w:themeColor="text1"/>
          <w:lang w:val="es-ES"/>
        </w:rPr>
        <w:t xml:space="preserve"> millones de habitantes, de los cuales el 29% son menores de 12 años, y el 35.6% son menores de 30 años</w:t>
      </w:r>
      <w:r w:rsidRPr="009E2A0E">
        <w:rPr>
          <w:rStyle w:val="Refdenotaalpie"/>
          <w:rFonts w:asciiTheme="majorBidi" w:eastAsia="Calibri Light" w:hAnsiTheme="majorBidi" w:cstheme="majorBidi"/>
          <w:color w:val="000000" w:themeColor="text1"/>
          <w:sz w:val="22"/>
          <w:lang w:val="es-ES"/>
        </w:rPr>
        <w:footnoteReference w:id="2"/>
      </w:r>
      <w:r w:rsidRPr="009E2A0E">
        <w:rPr>
          <w:rFonts w:asciiTheme="majorBidi" w:eastAsia="Calibri Light" w:hAnsiTheme="majorBidi" w:cstheme="majorBidi"/>
          <w:color w:val="000000" w:themeColor="text1"/>
          <w:lang w:val="es-ES"/>
        </w:rPr>
        <w:t>. En él conviven diversos pueblos, de los cuales el 43.6% se autoidentifica como perteneciente a pueblos indígenas (de ellos el 95.6% es maya, 0.3% Garífuna y 4.1%, Xinka)</w:t>
      </w:r>
      <w:r w:rsidRPr="009E2A0E">
        <w:rPr>
          <w:rStyle w:val="Refdenotaalpie"/>
          <w:rFonts w:asciiTheme="majorBidi" w:eastAsia="Calibri Light" w:hAnsiTheme="majorBidi" w:cstheme="majorBidi"/>
          <w:color w:val="000000" w:themeColor="text1"/>
          <w:sz w:val="22"/>
          <w:lang w:val="es-ES"/>
        </w:rPr>
        <w:footnoteReference w:id="3"/>
      </w:r>
      <w:r w:rsidRPr="009E2A0E">
        <w:rPr>
          <w:rFonts w:asciiTheme="majorBidi" w:eastAsia="Calibri Light" w:hAnsiTheme="majorBidi" w:cstheme="majorBidi"/>
          <w:color w:val="000000" w:themeColor="text1"/>
          <w:lang w:val="es-ES"/>
        </w:rPr>
        <w:t xml:space="preserve">. En la actualidad en 9 de los 22 departamentos del país, la presencia de población indígenas está por encima del promedio nacional y al desagregarlo por municipio dicho dato se refleja en 162 de los 340 que conforman el país. Solamente un municipio muestra que no tiene población indígena que se autoidentifique como tal, lo que significa que los pueblos indígenas están presentes </w:t>
      </w:r>
      <w:r w:rsidR="00210879">
        <w:rPr>
          <w:rFonts w:asciiTheme="majorBidi" w:eastAsia="Calibri Light" w:hAnsiTheme="majorBidi" w:cstheme="majorBidi"/>
          <w:color w:val="000000" w:themeColor="text1"/>
          <w:lang w:val="es-ES"/>
        </w:rPr>
        <w:t>casi la totalidad</w:t>
      </w:r>
      <w:r w:rsidRPr="009E2A0E">
        <w:rPr>
          <w:rFonts w:asciiTheme="majorBidi" w:eastAsia="Calibri Light" w:hAnsiTheme="majorBidi" w:cstheme="majorBidi"/>
          <w:color w:val="000000" w:themeColor="text1"/>
          <w:lang w:val="es-ES"/>
        </w:rPr>
        <w:t xml:space="preserve"> </w:t>
      </w:r>
      <w:r w:rsidR="00210879">
        <w:rPr>
          <w:rFonts w:asciiTheme="majorBidi" w:eastAsia="Calibri Light" w:hAnsiTheme="majorBidi" w:cstheme="majorBidi"/>
          <w:color w:val="000000" w:themeColor="text1"/>
          <w:lang w:val="es-ES"/>
        </w:rPr>
        <w:t>d</w:t>
      </w:r>
      <w:r w:rsidRPr="009E2A0E">
        <w:rPr>
          <w:rFonts w:asciiTheme="majorBidi" w:eastAsia="Calibri Light" w:hAnsiTheme="majorBidi" w:cstheme="majorBidi"/>
          <w:color w:val="000000" w:themeColor="text1"/>
          <w:lang w:val="es-ES"/>
        </w:rPr>
        <w:t>el territorio nacional.</w:t>
      </w:r>
      <w:r w:rsidR="00FE47EA">
        <w:rPr>
          <w:rFonts w:asciiTheme="majorBidi" w:eastAsia="Calibri Light" w:hAnsiTheme="majorBidi" w:cstheme="majorBidi"/>
          <w:color w:val="000000" w:themeColor="text1"/>
          <w:lang w:val="es-ES"/>
        </w:rPr>
        <w:t xml:space="preserve"> </w:t>
      </w:r>
      <w:r w:rsidR="00FE47EA" w:rsidRPr="00FE47EA">
        <w:rPr>
          <w:rFonts w:asciiTheme="majorBidi" w:eastAsia="Calibri Light" w:hAnsiTheme="majorBidi" w:cstheme="majorBidi"/>
          <w:color w:val="000000" w:themeColor="text1"/>
          <w:lang w:val="es-ES"/>
        </w:rPr>
        <w:t>Los datos anteriores podrían ser mostrar un subregistro que contrasta con indicadores de fecundidad y otros factores que podrían mostrar una mayoría de población indígena.</w:t>
      </w:r>
      <w:r w:rsidRPr="009E2A0E">
        <w:rPr>
          <w:rFonts w:asciiTheme="majorBidi" w:eastAsia="Calibri Light" w:hAnsiTheme="majorBidi" w:cstheme="majorBidi"/>
          <w:color w:val="000000" w:themeColor="text1"/>
          <w:lang w:val="es-ES"/>
        </w:rPr>
        <w:t xml:space="preserve">  </w:t>
      </w:r>
    </w:p>
    <w:p w14:paraId="308208EC" w14:textId="77777777" w:rsidR="00696B93" w:rsidRPr="009E2A0E" w:rsidRDefault="00696B93" w:rsidP="00696B93">
      <w:pPr>
        <w:spacing w:before="120" w:after="120" w:line="276" w:lineRule="auto"/>
        <w:ind w:right="-20"/>
        <w:jc w:val="both"/>
        <w:rPr>
          <w:rFonts w:asciiTheme="majorBidi" w:eastAsia="Calibri Light" w:hAnsiTheme="majorBidi" w:cstheme="majorBidi"/>
          <w:color w:val="000000" w:themeColor="text1"/>
          <w:lang w:val="es-ES"/>
        </w:rPr>
      </w:pPr>
      <w:r w:rsidRPr="009E2A0E">
        <w:rPr>
          <w:rFonts w:asciiTheme="majorBidi" w:eastAsia="Calibri Light" w:hAnsiTheme="majorBidi" w:cstheme="majorBidi"/>
          <w:color w:val="000000" w:themeColor="text1"/>
          <w:lang w:val="es-ES"/>
        </w:rPr>
        <w:t>La pobreza y la desigualdad afectan mayoritariamente a los pueblos indígenas. Para 2023, el 56.0% de la población se encontraba en pobreza, es decir, más de la mitad de la población tenía un consumo anual por debajo de las líneas de pobreza</w:t>
      </w:r>
      <w:r w:rsidRPr="009E2A0E">
        <w:rPr>
          <w:rStyle w:val="Refdenotaalpie"/>
          <w:rFonts w:asciiTheme="majorBidi" w:eastAsia="Calibri Light" w:hAnsiTheme="majorBidi" w:cstheme="majorBidi"/>
          <w:color w:val="000000" w:themeColor="text1"/>
          <w:sz w:val="22"/>
          <w:lang w:val="es-ES"/>
        </w:rPr>
        <w:footnoteReference w:id="4"/>
      </w:r>
      <w:r w:rsidRPr="009E2A0E">
        <w:rPr>
          <w:rFonts w:asciiTheme="majorBidi" w:eastAsia="Calibri Light" w:hAnsiTheme="majorBidi" w:cstheme="majorBidi"/>
          <w:color w:val="000000" w:themeColor="text1"/>
          <w:lang w:val="es-ES"/>
        </w:rPr>
        <w:t>. Al comparar los datos se observa que en el área urbana (46.7%) ésta se incrementó en un 4.6%, en tanto que en el área rural (66.4%) disminuyó un 9.7%.  La pobreza extrema nacional durante el período se situó en un 16.2%, en un 24.4% en las áreas rurales y de 8.8% en las áreas urbanas. Al desagregar esta tendencia en función del lugar en el que se vive, se observa que las carencias y privaciones son más profundas en el área rural. La mayoría de los hogares pobres extremos no tiene acceso a servicios de internet (98%), telefonía, requieren del uso de leña para cocinar (97%), tiene baja conexión a redes de distribución de agua (55%), de energía eléctrica (61%) y de drenajes (14%)</w:t>
      </w:r>
      <w:r w:rsidRPr="009E2A0E">
        <w:rPr>
          <w:rStyle w:val="Refdenotaalpie"/>
          <w:rFonts w:asciiTheme="majorBidi" w:eastAsia="Calibri Light" w:hAnsiTheme="majorBidi" w:cstheme="majorBidi"/>
          <w:color w:val="000000" w:themeColor="text1"/>
          <w:sz w:val="22"/>
          <w:lang w:val="es-ES"/>
        </w:rPr>
        <w:footnoteReference w:id="5"/>
      </w:r>
      <w:r w:rsidRPr="009E2A0E">
        <w:rPr>
          <w:rFonts w:asciiTheme="majorBidi" w:eastAsia="Calibri Light" w:hAnsiTheme="majorBidi" w:cstheme="majorBidi"/>
          <w:color w:val="000000" w:themeColor="text1"/>
          <w:lang w:val="es-ES"/>
        </w:rPr>
        <w:t>. Los departamentos de Alta Verapaz, Quiché, Huehuetenango y Baja Verapaz muestran porcentajes de pobreza total por encima del 80.0% y por lo menos en diez de ellos, la pobreza está por encima del promedio nacional. Desde los indicadores de pobreza extrema, los datos muestran que ocho departamentos tienen niveles pobreza extrema por encima del promedio nacional, de ellos los casos más graves son Alta Verapaz con más de la mitad de su población en esta condición, seguido por Baja Verapaz y Jalapa con 35.8% y 34.5% respectivamente</w:t>
      </w:r>
      <w:r w:rsidRPr="009E2A0E">
        <w:rPr>
          <w:rStyle w:val="Refdenotaalpie"/>
          <w:rFonts w:asciiTheme="majorBidi" w:eastAsia="Calibri Light" w:hAnsiTheme="majorBidi" w:cstheme="majorBidi"/>
          <w:color w:val="000000" w:themeColor="text1"/>
          <w:sz w:val="22"/>
          <w:lang w:val="es-ES"/>
        </w:rPr>
        <w:footnoteReference w:id="6"/>
      </w:r>
      <w:r w:rsidRPr="009E2A0E">
        <w:rPr>
          <w:rFonts w:asciiTheme="majorBidi" w:eastAsia="Calibri Light" w:hAnsiTheme="majorBidi" w:cstheme="majorBidi"/>
          <w:color w:val="000000" w:themeColor="text1"/>
          <w:lang w:val="es-ES"/>
        </w:rPr>
        <w:t>.</w:t>
      </w:r>
    </w:p>
    <w:p w14:paraId="527A1DA3" w14:textId="191B9E4D" w:rsidR="007F28B1" w:rsidRPr="009E2A0E" w:rsidRDefault="007F28B1" w:rsidP="007F28B1">
      <w:pPr>
        <w:spacing w:before="120" w:after="120" w:line="276" w:lineRule="auto"/>
        <w:ind w:right="-20"/>
        <w:jc w:val="both"/>
        <w:rPr>
          <w:rFonts w:asciiTheme="majorBidi" w:eastAsia="Calibri Light" w:hAnsiTheme="majorBidi" w:cstheme="majorBidi"/>
          <w:color w:val="000000" w:themeColor="text1"/>
          <w:lang w:val="es-ES"/>
        </w:rPr>
      </w:pPr>
      <w:r w:rsidRPr="009E2A0E">
        <w:rPr>
          <w:rFonts w:asciiTheme="majorBidi" w:eastAsia="Calibri Light" w:hAnsiTheme="majorBidi" w:cstheme="majorBidi"/>
          <w:color w:val="000000" w:themeColor="text1"/>
          <w:lang w:val="es-ES"/>
        </w:rPr>
        <w:t>El 2023 fue un año de elecciones generales en las que Guatemala eligió a diputados distritales, nacionales y al Parlamento centroamericano; corporaciones municipales y binomio presidencial (el 25 de junio se realizó la primera vuelta electoral y el 20 de agosto la segunda). A raíz de la oficialización de los resultados del binomio presidencial encabezado por Bernardo Arévalo,</w:t>
      </w:r>
      <w:r w:rsidR="00210879">
        <w:rPr>
          <w:rFonts w:asciiTheme="majorBidi" w:eastAsia="Calibri Light" w:hAnsiTheme="majorBidi" w:cstheme="majorBidi"/>
          <w:color w:val="000000" w:themeColor="text1"/>
          <w:lang w:val="es-ES"/>
        </w:rPr>
        <w:t xml:space="preserve"> grupos </w:t>
      </w:r>
      <w:r w:rsidR="00210879">
        <w:rPr>
          <w:rFonts w:asciiTheme="majorBidi" w:eastAsia="Calibri Light" w:hAnsiTheme="majorBidi" w:cstheme="majorBidi"/>
          <w:color w:val="000000" w:themeColor="text1"/>
          <w:lang w:val="es-ES"/>
        </w:rPr>
        <w:lastRenderedPageBreak/>
        <w:t xml:space="preserve">antidemocráticos provocaron una </w:t>
      </w:r>
      <w:r w:rsidRPr="009E2A0E">
        <w:rPr>
          <w:rFonts w:asciiTheme="majorBidi" w:eastAsia="Calibri Light" w:hAnsiTheme="majorBidi" w:cstheme="majorBidi"/>
          <w:color w:val="000000" w:themeColor="text1"/>
          <w:lang w:val="es-ES"/>
        </w:rPr>
        <w:t xml:space="preserve">crisis política, </w:t>
      </w:r>
      <w:r w:rsidR="00210879">
        <w:rPr>
          <w:rFonts w:asciiTheme="majorBidi" w:eastAsia="Calibri Light" w:hAnsiTheme="majorBidi" w:cstheme="majorBidi"/>
          <w:color w:val="000000" w:themeColor="text1"/>
          <w:lang w:val="es-ES"/>
        </w:rPr>
        <w:t xml:space="preserve">calificado </w:t>
      </w:r>
      <w:r w:rsidRPr="009E2A0E">
        <w:rPr>
          <w:rFonts w:asciiTheme="majorBidi" w:eastAsia="Calibri Light" w:hAnsiTheme="majorBidi" w:cstheme="majorBidi"/>
          <w:color w:val="000000" w:themeColor="text1"/>
          <w:lang w:val="es-ES"/>
        </w:rPr>
        <w:t>por analistas como un “golpe de Estado en curso” que irrespetó los resultados de los comicios e intentaron impedir por la vía legal y jurídica que el binomio electo tomara posesión el 14 de enero de 2024</w:t>
      </w:r>
      <w:r w:rsidRPr="009E2A0E">
        <w:rPr>
          <w:rStyle w:val="Refdenotaalpie"/>
          <w:rFonts w:asciiTheme="majorBidi" w:eastAsia="Calibri Light" w:hAnsiTheme="majorBidi" w:cstheme="majorBidi"/>
          <w:color w:val="000000" w:themeColor="text1"/>
          <w:sz w:val="22"/>
          <w:lang w:val="es-ES"/>
        </w:rPr>
        <w:footnoteReference w:id="7"/>
      </w:r>
      <w:r w:rsidRPr="009E2A0E">
        <w:rPr>
          <w:rFonts w:asciiTheme="majorBidi" w:eastAsia="Calibri Light" w:hAnsiTheme="majorBidi" w:cstheme="majorBidi"/>
          <w:color w:val="000000" w:themeColor="text1"/>
          <w:lang w:val="es-ES"/>
        </w:rPr>
        <w:t>.</w:t>
      </w:r>
    </w:p>
    <w:p w14:paraId="796A4EC1" w14:textId="5A5422C4" w:rsidR="00EF3DAA" w:rsidRPr="009E2A0E" w:rsidRDefault="00C02B0B" w:rsidP="00EF3DAA">
      <w:pPr>
        <w:spacing w:line="276" w:lineRule="auto"/>
        <w:jc w:val="both"/>
        <w:rPr>
          <w:rFonts w:asciiTheme="majorBidi" w:eastAsia="Times New Roman" w:hAnsiTheme="majorBidi" w:cstheme="majorBidi"/>
          <w:color w:val="000000" w:themeColor="text1"/>
        </w:rPr>
      </w:pPr>
      <w:r w:rsidRPr="009E2A0E">
        <w:rPr>
          <w:rFonts w:asciiTheme="majorBidi" w:eastAsia="Times New Roman" w:hAnsiTheme="majorBidi" w:cstheme="majorBidi"/>
          <w:color w:val="000000" w:themeColor="text1"/>
          <w:lang w:val="es-ES"/>
        </w:rPr>
        <w:t xml:space="preserve">De esa manera, en defensa de la democracia, </w:t>
      </w:r>
      <w:r w:rsidR="00EF3DAA" w:rsidRPr="009E2A0E">
        <w:rPr>
          <w:rFonts w:asciiTheme="majorBidi" w:eastAsia="Times New Roman" w:hAnsiTheme="majorBidi" w:cstheme="majorBidi"/>
          <w:color w:val="000000" w:themeColor="text1"/>
        </w:rPr>
        <w:t>en octubre de 2023</w:t>
      </w:r>
      <w:r w:rsidR="00EF3DAA" w:rsidRPr="009E2A0E">
        <w:rPr>
          <w:rStyle w:val="Refdenotaalpie"/>
          <w:rFonts w:asciiTheme="majorBidi" w:eastAsia="Times New Roman" w:hAnsiTheme="majorBidi" w:cstheme="majorBidi"/>
          <w:color w:val="000000" w:themeColor="text1"/>
          <w:sz w:val="22"/>
        </w:rPr>
        <w:footnoteReference w:id="8"/>
      </w:r>
      <w:r w:rsidR="00EF3DAA" w:rsidRPr="009E2A0E">
        <w:rPr>
          <w:rFonts w:asciiTheme="majorBidi" w:eastAsia="Times New Roman" w:hAnsiTheme="majorBidi" w:cstheme="majorBidi"/>
          <w:color w:val="000000" w:themeColor="text1"/>
        </w:rPr>
        <w:t>, los pueblos indígenas organizaron protestas pacíficas</w:t>
      </w:r>
      <w:r w:rsidR="00EF3DAA" w:rsidRPr="00707EF4">
        <w:rPr>
          <w:rFonts w:asciiTheme="majorBidi" w:eastAsia="Times New Roman" w:hAnsiTheme="majorBidi" w:cstheme="majorBidi"/>
        </w:rPr>
        <w:t xml:space="preserve"> </w:t>
      </w:r>
      <w:r w:rsidR="00FC728E" w:rsidRPr="00707EF4">
        <w:rPr>
          <w:rFonts w:asciiTheme="majorBidi" w:eastAsia="Times New Roman" w:hAnsiTheme="majorBidi" w:cstheme="majorBidi"/>
        </w:rPr>
        <w:t xml:space="preserve">durante 106 </w:t>
      </w:r>
      <w:r w:rsidR="00FC728E">
        <w:rPr>
          <w:rFonts w:asciiTheme="majorBidi" w:eastAsia="Times New Roman" w:hAnsiTheme="majorBidi" w:cstheme="majorBidi"/>
          <w:color w:val="000000" w:themeColor="text1"/>
        </w:rPr>
        <w:t xml:space="preserve">días </w:t>
      </w:r>
      <w:r w:rsidR="00EF3DAA" w:rsidRPr="009E2A0E">
        <w:rPr>
          <w:rFonts w:asciiTheme="majorBidi" w:eastAsia="Times New Roman" w:hAnsiTheme="majorBidi" w:cstheme="majorBidi"/>
          <w:color w:val="000000" w:themeColor="text1"/>
        </w:rPr>
        <w:t xml:space="preserve">en defensa del orden constitucional y la voluntad popular expresada en las urnas. Estas manifestaciones </w:t>
      </w:r>
      <w:r w:rsidR="00EF3DAA" w:rsidRPr="007340CB">
        <w:rPr>
          <w:rFonts w:asciiTheme="majorBidi" w:eastAsia="Times New Roman" w:hAnsiTheme="majorBidi" w:cstheme="majorBidi"/>
        </w:rPr>
        <w:t>fueron objeto de restricciones y represiones por parte del Estado</w:t>
      </w:r>
      <w:r w:rsidR="00EF3DAA" w:rsidRPr="007340CB">
        <w:rPr>
          <w:rStyle w:val="Refdenotaalpie"/>
          <w:rFonts w:asciiTheme="majorBidi" w:eastAsia="Times New Roman" w:hAnsiTheme="majorBidi" w:cstheme="majorBidi"/>
          <w:sz w:val="22"/>
        </w:rPr>
        <w:footnoteReference w:id="9"/>
      </w:r>
      <w:r w:rsidR="00EF3DAA" w:rsidRPr="007340CB">
        <w:rPr>
          <w:rFonts w:asciiTheme="majorBidi" w:eastAsia="Times New Roman" w:hAnsiTheme="majorBidi" w:cstheme="majorBidi"/>
        </w:rPr>
        <w:t>, calificándolas como "no pacíficas"</w:t>
      </w:r>
      <w:r w:rsidR="007340CB" w:rsidRPr="007340CB">
        <w:rPr>
          <w:rFonts w:asciiTheme="majorBidi" w:eastAsia="Times New Roman" w:hAnsiTheme="majorBidi" w:cstheme="majorBidi"/>
        </w:rPr>
        <w:t xml:space="preserve"> y “terroristas”</w:t>
      </w:r>
      <w:r w:rsidR="00EF3DAA" w:rsidRPr="007340CB">
        <w:rPr>
          <w:rFonts w:asciiTheme="majorBidi" w:eastAsia="Times New Roman" w:hAnsiTheme="majorBidi" w:cstheme="majorBidi"/>
        </w:rPr>
        <w:t xml:space="preserve">, justificando </w:t>
      </w:r>
      <w:r w:rsidR="00EF3DAA" w:rsidRPr="009E2A0E">
        <w:rPr>
          <w:rFonts w:asciiTheme="majorBidi" w:eastAsia="Times New Roman" w:hAnsiTheme="majorBidi" w:cstheme="majorBidi"/>
          <w:color w:val="000000" w:themeColor="text1"/>
        </w:rPr>
        <w:t>así el uso de la fuerza y la amenaza de órdenes de captura contra los líderes de las protestas. ​</w:t>
      </w:r>
    </w:p>
    <w:p w14:paraId="1DD9919F" w14:textId="39CDB6D9" w:rsidR="007F28B1" w:rsidRPr="009E2A0E" w:rsidRDefault="007F28B1" w:rsidP="007F28B1">
      <w:pPr>
        <w:spacing w:before="120" w:after="120" w:line="276" w:lineRule="auto"/>
        <w:ind w:right="-20"/>
        <w:jc w:val="both"/>
        <w:rPr>
          <w:rFonts w:asciiTheme="majorBidi" w:eastAsia="Calibri Light" w:hAnsiTheme="majorBidi" w:cstheme="majorBidi"/>
          <w:color w:val="000000" w:themeColor="text1"/>
          <w:lang w:val="es-ES"/>
        </w:rPr>
      </w:pPr>
      <w:r w:rsidRPr="009E2A0E">
        <w:rPr>
          <w:rFonts w:asciiTheme="majorBidi" w:eastAsia="Calibri Light" w:hAnsiTheme="majorBidi" w:cstheme="majorBidi"/>
          <w:color w:val="000000" w:themeColor="text1"/>
          <w:lang w:val="es-ES"/>
        </w:rPr>
        <w:t>En relación con la participación política de los Pueblos Indígenas</w:t>
      </w:r>
      <w:r w:rsidR="00303FFA">
        <w:rPr>
          <w:rFonts w:asciiTheme="majorBidi" w:eastAsia="Calibri Light" w:hAnsiTheme="majorBidi" w:cstheme="majorBidi"/>
          <w:color w:val="000000" w:themeColor="text1"/>
          <w:lang w:val="es-ES"/>
        </w:rPr>
        <w:t xml:space="preserve"> y Afrodescendientes</w:t>
      </w:r>
      <w:r w:rsidRPr="009E2A0E">
        <w:rPr>
          <w:rFonts w:asciiTheme="majorBidi" w:eastAsia="Calibri Light" w:hAnsiTheme="majorBidi" w:cstheme="majorBidi"/>
          <w:color w:val="000000" w:themeColor="text1"/>
          <w:lang w:val="es-ES"/>
        </w:rPr>
        <w:t xml:space="preserve">, continúa siendo una preocupación que el Estado no cuente con información desagregada a nivel local, departamental y nacional, así como los cargos de participación en el Estado, tanto por elección por nombramiento. </w:t>
      </w:r>
    </w:p>
    <w:p w14:paraId="79B201F6" w14:textId="60A17EF9" w:rsidR="000B2EDD" w:rsidRPr="009E2A0E" w:rsidRDefault="000B2EDD" w:rsidP="000B2EDD">
      <w:pPr>
        <w:jc w:val="both"/>
        <w:rPr>
          <w:rFonts w:asciiTheme="majorBidi" w:eastAsia="Calibri Light" w:hAnsiTheme="majorBidi" w:cstheme="majorBidi"/>
          <w:color w:val="000000" w:themeColor="text1"/>
          <w:lang w:val="es-ES"/>
        </w:rPr>
      </w:pPr>
      <w:r w:rsidRPr="009E2A0E">
        <w:rPr>
          <w:rFonts w:asciiTheme="majorBidi" w:eastAsia="Calibri Light" w:hAnsiTheme="majorBidi" w:cstheme="majorBidi"/>
          <w:color w:val="000000" w:themeColor="text1"/>
          <w:lang w:val="es-ES"/>
        </w:rPr>
        <w:t xml:space="preserve">Durante el gobierno actual, se ha reforzado el compromiso de fortalecer el ejercicio de los derechos de los pueblos </w:t>
      </w:r>
      <w:r w:rsidR="000D6BED" w:rsidRPr="009E2A0E">
        <w:rPr>
          <w:rFonts w:asciiTheme="majorBidi" w:eastAsia="Calibri Light" w:hAnsiTheme="majorBidi" w:cstheme="majorBidi"/>
          <w:color w:val="000000" w:themeColor="text1"/>
          <w:lang w:val="es-ES"/>
        </w:rPr>
        <w:t xml:space="preserve">indígenas </w:t>
      </w:r>
      <w:r w:rsidRPr="009E2A0E">
        <w:rPr>
          <w:rFonts w:asciiTheme="majorBidi" w:eastAsia="Calibri Light" w:hAnsiTheme="majorBidi" w:cstheme="majorBidi"/>
          <w:color w:val="000000" w:themeColor="text1"/>
          <w:lang w:val="es-ES"/>
        </w:rPr>
        <w:t xml:space="preserve">a través de las instituciones responsables de velar por el cumplimiento de políticas públicas. En este sentido, ha considerado entre sus prioridades la atención a la cobertura en salud, la atención de sentencias constitucionales en educación bilingüe, turismo, cultura, la atención a la desnutrición, entre otros. La firma de algunos convenios sobre desarrollo sostenible con comunidades indígenas, son algunos ejemplos. Es la primera vez que en varios años los pueblos participaron en procesos de reforma a instituciones como </w:t>
      </w:r>
      <w:r w:rsidR="009271A7" w:rsidRPr="009271A7">
        <w:rPr>
          <w:rFonts w:asciiTheme="majorBidi" w:eastAsia="Calibri Light" w:hAnsiTheme="majorBidi" w:cstheme="majorBidi"/>
          <w:color w:val="000000" w:themeColor="text1"/>
          <w:lang w:val="es-ES"/>
        </w:rPr>
        <w:t>Comisión Presidencial Contra la Discriminación y el Racismo</w:t>
      </w:r>
      <w:r w:rsidR="009271A7">
        <w:rPr>
          <w:rFonts w:asciiTheme="majorBidi" w:eastAsia="Calibri Light" w:hAnsiTheme="majorBidi" w:cstheme="majorBidi"/>
          <w:color w:val="000000" w:themeColor="text1"/>
          <w:lang w:val="es-ES"/>
        </w:rPr>
        <w:t xml:space="preserve"> (</w:t>
      </w:r>
      <w:r w:rsidR="00BD3682" w:rsidRPr="009271A7">
        <w:rPr>
          <w:rFonts w:asciiTheme="majorBidi" w:eastAsia="Calibri Light" w:hAnsiTheme="majorBidi" w:cstheme="majorBidi"/>
          <w:color w:val="000000" w:themeColor="text1"/>
          <w:lang w:val="es-ES"/>
        </w:rPr>
        <w:t>CODISRA</w:t>
      </w:r>
      <w:r w:rsidR="009271A7" w:rsidRPr="009271A7">
        <w:rPr>
          <w:rFonts w:asciiTheme="majorBidi" w:eastAsia="Calibri Light" w:hAnsiTheme="majorBidi" w:cstheme="majorBidi"/>
          <w:color w:val="000000" w:themeColor="text1"/>
          <w:lang w:val="es-ES"/>
        </w:rPr>
        <w:t>)</w:t>
      </w:r>
      <w:r w:rsidR="00BD3682" w:rsidRPr="009271A7">
        <w:rPr>
          <w:rFonts w:asciiTheme="majorBidi" w:eastAsia="Calibri Light" w:hAnsiTheme="majorBidi" w:cstheme="majorBidi"/>
          <w:color w:val="000000" w:themeColor="text1"/>
          <w:lang w:val="es-ES"/>
        </w:rPr>
        <w:t xml:space="preserve">, </w:t>
      </w:r>
      <w:r w:rsidR="009271A7" w:rsidRPr="009271A7">
        <w:rPr>
          <w:rFonts w:asciiTheme="majorBidi" w:eastAsia="Calibri Light" w:hAnsiTheme="majorBidi" w:cstheme="majorBidi"/>
          <w:color w:val="000000" w:themeColor="text1"/>
          <w:lang w:val="es-ES"/>
        </w:rPr>
        <w:t>Defensoría de la Mujer (</w:t>
      </w:r>
      <w:r w:rsidR="00BD3682" w:rsidRPr="009271A7">
        <w:rPr>
          <w:rFonts w:asciiTheme="majorBidi" w:eastAsia="Calibri Light" w:hAnsiTheme="majorBidi" w:cstheme="majorBidi"/>
          <w:color w:val="000000" w:themeColor="text1"/>
          <w:lang w:val="es-ES"/>
        </w:rPr>
        <w:t>DEMI</w:t>
      </w:r>
      <w:r w:rsidR="009271A7" w:rsidRPr="009271A7">
        <w:rPr>
          <w:rFonts w:asciiTheme="majorBidi" w:eastAsia="Calibri Light" w:hAnsiTheme="majorBidi" w:cstheme="majorBidi"/>
          <w:color w:val="000000" w:themeColor="text1"/>
          <w:lang w:val="es-ES"/>
        </w:rPr>
        <w:t>)</w:t>
      </w:r>
      <w:r w:rsidRPr="009271A7">
        <w:rPr>
          <w:rFonts w:asciiTheme="majorBidi" w:eastAsia="Calibri Light" w:hAnsiTheme="majorBidi" w:cstheme="majorBidi"/>
          <w:color w:val="000000" w:themeColor="text1"/>
          <w:lang w:val="es-ES"/>
        </w:rPr>
        <w:t xml:space="preserve"> y pa</w:t>
      </w:r>
      <w:r w:rsidRPr="009E2A0E">
        <w:rPr>
          <w:rFonts w:asciiTheme="majorBidi" w:eastAsia="Calibri Light" w:hAnsiTheme="majorBidi" w:cstheme="majorBidi"/>
          <w:color w:val="000000" w:themeColor="text1"/>
          <w:lang w:val="es-ES"/>
        </w:rPr>
        <w:t xml:space="preserve">rticiparon en el proceso de convocatoria y selección de candidatos/as para ocupar los más altos cargos de </w:t>
      </w:r>
      <w:proofErr w:type="gramStart"/>
      <w:r w:rsidRPr="009E2A0E">
        <w:rPr>
          <w:rFonts w:asciiTheme="majorBidi" w:eastAsia="Calibri Light" w:hAnsiTheme="majorBidi" w:cstheme="majorBidi"/>
          <w:color w:val="000000" w:themeColor="text1"/>
          <w:lang w:val="es-ES"/>
        </w:rPr>
        <w:t>las mismas</w:t>
      </w:r>
      <w:proofErr w:type="gramEnd"/>
      <w:r w:rsidRPr="009E2A0E">
        <w:rPr>
          <w:rFonts w:asciiTheme="majorBidi" w:eastAsia="Calibri Light" w:hAnsiTheme="majorBidi" w:cstheme="majorBidi"/>
          <w:color w:val="000000" w:themeColor="text1"/>
          <w:lang w:val="es-ES"/>
        </w:rPr>
        <w:t xml:space="preserve">. Asimismo, algunas instituciones como el Ministerio de Trabajo y Previsión Social, Viceministerios como Interculturalidad </w:t>
      </w:r>
      <w:r w:rsidR="009271A7">
        <w:rPr>
          <w:rFonts w:asciiTheme="majorBidi" w:eastAsia="Calibri Light" w:hAnsiTheme="majorBidi" w:cstheme="majorBidi"/>
          <w:color w:val="000000" w:themeColor="text1"/>
          <w:lang w:val="es-ES"/>
        </w:rPr>
        <w:t xml:space="preserve">de Ministerio de Cultura y Deportes </w:t>
      </w:r>
      <w:r w:rsidR="009271A7" w:rsidRPr="009E2A0E">
        <w:rPr>
          <w:rFonts w:asciiTheme="majorBidi" w:eastAsia="Calibri Light" w:hAnsiTheme="majorBidi" w:cstheme="majorBidi"/>
          <w:color w:val="000000" w:themeColor="text1"/>
          <w:lang w:val="es-ES"/>
        </w:rPr>
        <w:t>(MICUDE)</w:t>
      </w:r>
      <w:r w:rsidRPr="009E2A0E">
        <w:rPr>
          <w:rFonts w:asciiTheme="majorBidi" w:eastAsia="Calibri Light" w:hAnsiTheme="majorBidi" w:cstheme="majorBidi"/>
          <w:color w:val="000000" w:themeColor="text1"/>
          <w:lang w:val="es-ES"/>
        </w:rPr>
        <w:t>, Desarrollo sostenible</w:t>
      </w:r>
      <w:r w:rsidR="009271A7">
        <w:rPr>
          <w:rFonts w:asciiTheme="majorBidi" w:eastAsia="Calibri Light" w:hAnsiTheme="majorBidi" w:cstheme="majorBidi"/>
          <w:color w:val="000000" w:themeColor="text1"/>
          <w:lang w:val="es-ES"/>
        </w:rPr>
        <w:t xml:space="preserve"> del Ministerio de Energía y Minas</w:t>
      </w:r>
      <w:r w:rsidRPr="009E2A0E">
        <w:rPr>
          <w:rFonts w:asciiTheme="majorBidi" w:eastAsia="Calibri Light" w:hAnsiTheme="majorBidi" w:cstheme="majorBidi"/>
          <w:color w:val="000000" w:themeColor="text1"/>
          <w:lang w:val="es-ES"/>
        </w:rPr>
        <w:t xml:space="preserve"> (MEM), Educación bilingüe</w:t>
      </w:r>
      <w:r w:rsidR="009271A7">
        <w:rPr>
          <w:rFonts w:asciiTheme="majorBidi" w:eastAsia="Calibri Light" w:hAnsiTheme="majorBidi" w:cstheme="majorBidi"/>
          <w:color w:val="000000" w:themeColor="text1"/>
          <w:lang w:val="es-ES"/>
        </w:rPr>
        <w:t xml:space="preserve"> del Ministerio de </w:t>
      </w:r>
      <w:r w:rsidR="00D11F04">
        <w:rPr>
          <w:rFonts w:asciiTheme="majorBidi" w:eastAsia="Calibri Light" w:hAnsiTheme="majorBidi" w:cstheme="majorBidi"/>
          <w:color w:val="000000" w:themeColor="text1"/>
          <w:lang w:val="es-ES"/>
        </w:rPr>
        <w:t xml:space="preserve">Educación </w:t>
      </w:r>
      <w:r w:rsidR="00D11F04" w:rsidRPr="009E2A0E">
        <w:rPr>
          <w:rFonts w:asciiTheme="majorBidi" w:eastAsia="Calibri Light" w:hAnsiTheme="majorBidi" w:cstheme="majorBidi"/>
          <w:color w:val="000000" w:themeColor="text1"/>
          <w:lang w:val="es-ES"/>
        </w:rPr>
        <w:t>(</w:t>
      </w:r>
      <w:r w:rsidR="00D11F04">
        <w:rPr>
          <w:rFonts w:asciiTheme="majorBidi" w:eastAsia="Calibri Light" w:hAnsiTheme="majorBidi" w:cstheme="majorBidi"/>
          <w:color w:val="000000" w:themeColor="text1"/>
          <w:lang w:val="es-ES"/>
        </w:rPr>
        <w:t>MINEDUC</w:t>
      </w:r>
      <w:r w:rsidRPr="009E2A0E">
        <w:rPr>
          <w:rFonts w:asciiTheme="majorBidi" w:eastAsia="Calibri Light" w:hAnsiTheme="majorBidi" w:cstheme="majorBidi"/>
          <w:color w:val="000000" w:themeColor="text1"/>
          <w:lang w:val="es-ES"/>
        </w:rPr>
        <w:t>) están en manos de personas indígenas</w:t>
      </w:r>
      <w:r w:rsidRPr="009E2A0E">
        <w:rPr>
          <w:rStyle w:val="Refdenotaalpie"/>
          <w:rFonts w:asciiTheme="majorBidi" w:eastAsia="Calibri Light" w:hAnsiTheme="majorBidi" w:cstheme="majorBidi"/>
          <w:color w:val="000000" w:themeColor="text1"/>
          <w:sz w:val="22"/>
          <w:lang w:val="es-ES"/>
        </w:rPr>
        <w:footnoteReference w:id="10"/>
      </w:r>
      <w:r w:rsidRPr="009E2A0E">
        <w:rPr>
          <w:rFonts w:asciiTheme="majorBidi" w:eastAsia="Calibri Light" w:hAnsiTheme="majorBidi" w:cstheme="majorBidi"/>
          <w:color w:val="000000" w:themeColor="text1"/>
          <w:lang w:val="es-ES"/>
        </w:rPr>
        <w:t xml:space="preserve">. </w:t>
      </w:r>
      <w:r w:rsidR="00B05C77">
        <w:rPr>
          <w:rFonts w:asciiTheme="majorBidi" w:eastAsia="Calibri Light" w:hAnsiTheme="majorBidi" w:cstheme="majorBidi"/>
          <w:color w:val="000000" w:themeColor="text1"/>
          <w:lang w:val="es-ES"/>
        </w:rPr>
        <w:t xml:space="preserve">Sin embargo, esta participación </w:t>
      </w:r>
      <w:r w:rsidR="00FE47EA">
        <w:rPr>
          <w:rFonts w:asciiTheme="majorBidi" w:eastAsia="Calibri Light" w:hAnsiTheme="majorBidi" w:cstheme="majorBidi"/>
          <w:color w:val="000000" w:themeColor="text1"/>
          <w:lang w:val="es-ES"/>
        </w:rPr>
        <w:t>es evidente que</w:t>
      </w:r>
      <w:r w:rsidR="00270E86">
        <w:rPr>
          <w:rFonts w:asciiTheme="majorBidi" w:eastAsia="Calibri Light" w:hAnsiTheme="majorBidi" w:cstheme="majorBidi"/>
          <w:color w:val="000000" w:themeColor="text1"/>
          <w:lang w:val="es-ES"/>
        </w:rPr>
        <w:t xml:space="preserve"> en otros Ministerios o instituciones con mayor presupuesto y competencias sectoriales sustantivas. </w:t>
      </w:r>
    </w:p>
    <w:p w14:paraId="142E5D52" w14:textId="7B4CBA9D" w:rsidR="006C6C41" w:rsidRDefault="009271A7" w:rsidP="002663EE">
      <w:pPr>
        <w:spacing w:before="120" w:after="120" w:line="276" w:lineRule="auto"/>
        <w:ind w:right="-20"/>
        <w:jc w:val="both"/>
        <w:rPr>
          <w:rFonts w:asciiTheme="majorBidi" w:eastAsia="Calibri Light" w:hAnsiTheme="majorBidi" w:cstheme="majorBidi"/>
          <w:color w:val="000000" w:themeColor="text1"/>
          <w:lang w:val="es-ES"/>
        </w:rPr>
      </w:pPr>
      <w:r w:rsidRPr="009271A7">
        <w:rPr>
          <w:rFonts w:asciiTheme="majorBidi" w:eastAsia="Calibri Light" w:hAnsiTheme="majorBidi" w:cstheme="majorBidi"/>
          <w:color w:val="000000" w:themeColor="text1"/>
          <w:lang w:val="es-ES"/>
        </w:rPr>
        <w:t xml:space="preserve">Adicionalmente, en el 2023 el Gobierno Actual instauró una mesa de diálogo con autoridades indígenas de distintos pueblos, para construir una agenda de trabajo sobre temas comunes que impactan a los pueblos indígenas. Esa mesa de diálogo se mantiene, con una reunión al mes entre el </w:t>
      </w:r>
      <w:proofErr w:type="gramStart"/>
      <w:r w:rsidRPr="009271A7">
        <w:rPr>
          <w:rFonts w:asciiTheme="majorBidi" w:eastAsia="Calibri Light" w:hAnsiTheme="majorBidi" w:cstheme="majorBidi"/>
          <w:color w:val="000000" w:themeColor="text1"/>
          <w:lang w:val="es-ES"/>
        </w:rPr>
        <w:t>Presidente</w:t>
      </w:r>
      <w:proofErr w:type="gramEnd"/>
      <w:r w:rsidRPr="009271A7">
        <w:rPr>
          <w:rFonts w:asciiTheme="majorBidi" w:eastAsia="Calibri Light" w:hAnsiTheme="majorBidi" w:cstheme="majorBidi"/>
          <w:color w:val="000000" w:themeColor="text1"/>
          <w:lang w:val="es-ES"/>
        </w:rPr>
        <w:t xml:space="preserve"> y autoridades indígenas. Sin embargo, es importante señalar que, aunque hay voluntad de </w:t>
      </w:r>
      <w:r w:rsidR="00F102C0">
        <w:rPr>
          <w:rFonts w:asciiTheme="majorBidi" w:eastAsia="Calibri Light" w:hAnsiTheme="majorBidi" w:cstheme="majorBidi"/>
          <w:color w:val="000000" w:themeColor="text1"/>
          <w:lang w:val="es-ES"/>
        </w:rPr>
        <w:t>del mismo</w:t>
      </w:r>
      <w:r w:rsidRPr="009271A7">
        <w:rPr>
          <w:rFonts w:asciiTheme="majorBidi" w:eastAsia="Calibri Light" w:hAnsiTheme="majorBidi" w:cstheme="majorBidi"/>
          <w:color w:val="000000" w:themeColor="text1"/>
          <w:lang w:val="es-ES"/>
        </w:rPr>
        <w:t xml:space="preserve"> por avanzar en el reconocimiento y respeto de los derechos de los pueblos indígenas, el racismo y la discriminación persiste en un gran número </w:t>
      </w:r>
      <w:r w:rsidR="002663EE">
        <w:rPr>
          <w:rFonts w:asciiTheme="majorBidi" w:eastAsia="Calibri Light" w:hAnsiTheme="majorBidi" w:cstheme="majorBidi"/>
          <w:color w:val="000000" w:themeColor="text1"/>
          <w:lang w:val="es-ES"/>
        </w:rPr>
        <w:t xml:space="preserve">de </w:t>
      </w:r>
      <w:r w:rsidR="002663EE" w:rsidRPr="002663EE">
        <w:rPr>
          <w:rFonts w:asciiTheme="majorBidi" w:eastAsia="Calibri Light" w:hAnsiTheme="majorBidi" w:cstheme="majorBidi"/>
          <w:color w:val="000000" w:themeColor="text1"/>
          <w:lang w:val="es-ES"/>
        </w:rPr>
        <w:t>funcionarios y servidores del Ejecutivo, a la fecha luego de</w:t>
      </w:r>
      <w:r w:rsidR="003E21BE">
        <w:rPr>
          <w:rFonts w:asciiTheme="majorBidi" w:eastAsia="Calibri Light" w:hAnsiTheme="majorBidi" w:cstheme="majorBidi"/>
          <w:color w:val="000000" w:themeColor="text1"/>
          <w:lang w:val="es-ES"/>
        </w:rPr>
        <w:t>,</w:t>
      </w:r>
      <w:r w:rsidR="002663EE" w:rsidRPr="002663EE">
        <w:rPr>
          <w:rFonts w:asciiTheme="majorBidi" w:eastAsia="Calibri Light" w:hAnsiTheme="majorBidi" w:cstheme="majorBidi"/>
          <w:color w:val="000000" w:themeColor="text1"/>
          <w:lang w:val="es-ES"/>
        </w:rPr>
        <w:t xml:space="preserve"> </w:t>
      </w:r>
      <w:r w:rsidR="003E21BE">
        <w:rPr>
          <w:rFonts w:asciiTheme="majorBidi" w:eastAsia="Calibri Light" w:hAnsiTheme="majorBidi" w:cstheme="majorBidi"/>
          <w:color w:val="000000" w:themeColor="text1"/>
          <w:lang w:val="es-ES"/>
        </w:rPr>
        <w:t xml:space="preserve">al menos </w:t>
      </w:r>
      <w:r w:rsidR="002663EE" w:rsidRPr="002663EE">
        <w:rPr>
          <w:rFonts w:asciiTheme="majorBidi" w:eastAsia="Calibri Light" w:hAnsiTheme="majorBidi" w:cstheme="majorBidi"/>
          <w:color w:val="000000" w:themeColor="text1"/>
          <w:lang w:val="es-ES"/>
        </w:rPr>
        <w:t xml:space="preserve">14 reuniones, los avances son limitados, las comunidades no logran acceder a los </w:t>
      </w:r>
      <w:r w:rsidR="003E21BE" w:rsidRPr="002663EE">
        <w:rPr>
          <w:rFonts w:asciiTheme="majorBidi" w:eastAsia="Calibri Light" w:hAnsiTheme="majorBidi" w:cstheme="majorBidi"/>
          <w:color w:val="000000" w:themeColor="text1"/>
          <w:lang w:val="es-ES"/>
        </w:rPr>
        <w:t>programas sociales</w:t>
      </w:r>
      <w:r w:rsidR="002663EE" w:rsidRPr="002663EE">
        <w:rPr>
          <w:rFonts w:asciiTheme="majorBidi" w:eastAsia="Calibri Light" w:hAnsiTheme="majorBidi" w:cstheme="majorBidi"/>
          <w:color w:val="000000" w:themeColor="text1"/>
          <w:lang w:val="es-ES"/>
        </w:rPr>
        <w:t xml:space="preserve"> y persisten los desalojos</w:t>
      </w:r>
      <w:r w:rsidRPr="009271A7">
        <w:rPr>
          <w:rFonts w:asciiTheme="majorBidi" w:eastAsia="Calibri Light" w:hAnsiTheme="majorBidi" w:cstheme="majorBidi"/>
          <w:color w:val="000000" w:themeColor="text1"/>
          <w:lang w:val="es-ES"/>
        </w:rPr>
        <w:t xml:space="preserve">. </w:t>
      </w:r>
      <w:r w:rsidR="006C6C41" w:rsidRPr="009E2A0E">
        <w:rPr>
          <w:rFonts w:asciiTheme="majorBidi" w:eastAsia="Calibri Light" w:hAnsiTheme="majorBidi" w:cstheme="majorBidi"/>
          <w:color w:val="000000" w:themeColor="text1"/>
          <w:lang w:val="es-ES"/>
        </w:rPr>
        <w:t xml:space="preserve">La discriminación racial estructural e histórica que afecta a los pueblos indígenas y afrodescendientes tiene un estrecho vínculos con la exclusión social y por consiguiente con los obstáculos para el efectivo goce de estos derechos. A lo </w:t>
      </w:r>
      <w:r w:rsidR="006C6C41" w:rsidRPr="009E2A0E">
        <w:rPr>
          <w:rFonts w:asciiTheme="majorBidi" w:eastAsia="Calibri Light" w:hAnsiTheme="majorBidi" w:cstheme="majorBidi"/>
          <w:color w:val="000000" w:themeColor="text1"/>
          <w:lang w:val="es-ES"/>
        </w:rPr>
        <w:lastRenderedPageBreak/>
        <w:t>anterior, se agregan los retos del ejercicio de su derecho a la libre determinación expresado entre otros, sus modos de vida, cosmovisiones, instituciones propias, así como el goce de sus derechos</w:t>
      </w:r>
      <w:r w:rsidR="006C6C41" w:rsidRPr="009E2A0E">
        <w:rPr>
          <w:rStyle w:val="Refdenotaalpie"/>
          <w:rFonts w:asciiTheme="majorBidi" w:eastAsia="Calibri Light" w:hAnsiTheme="majorBidi" w:cstheme="majorBidi"/>
          <w:color w:val="000000" w:themeColor="text1"/>
          <w:sz w:val="22"/>
          <w:lang w:val="es-ES"/>
        </w:rPr>
        <w:footnoteReference w:id="11"/>
      </w:r>
      <w:r w:rsidR="006C6C41" w:rsidRPr="009E2A0E">
        <w:rPr>
          <w:rFonts w:asciiTheme="majorBidi" w:eastAsia="Calibri Light" w:hAnsiTheme="majorBidi" w:cstheme="majorBidi"/>
          <w:color w:val="000000" w:themeColor="text1"/>
          <w:lang w:val="es-ES"/>
        </w:rPr>
        <w:t>.</w:t>
      </w:r>
    </w:p>
    <w:p w14:paraId="73F579B9" w14:textId="3423DDFD" w:rsidR="003F57EF" w:rsidRPr="009E2A0E" w:rsidRDefault="003F57EF" w:rsidP="003F57EF">
      <w:pPr>
        <w:spacing w:before="120" w:after="120" w:line="276" w:lineRule="auto"/>
        <w:ind w:right="-20"/>
        <w:jc w:val="both"/>
        <w:rPr>
          <w:rFonts w:asciiTheme="majorBidi" w:eastAsia="Calibri Light" w:hAnsiTheme="majorBidi" w:cstheme="majorBidi"/>
          <w:color w:val="000000" w:themeColor="text1"/>
          <w:lang w:val="es-ES"/>
        </w:rPr>
      </w:pPr>
      <w:r>
        <w:rPr>
          <w:rFonts w:asciiTheme="majorBidi" w:eastAsia="Calibri Light" w:hAnsiTheme="majorBidi" w:cstheme="majorBidi"/>
          <w:color w:val="000000" w:themeColor="text1"/>
          <w:lang w:val="es-ES"/>
        </w:rPr>
        <w:t>Por otro lado, e</w:t>
      </w:r>
      <w:r w:rsidRPr="003F57EF">
        <w:rPr>
          <w:rFonts w:asciiTheme="majorBidi" w:eastAsia="Calibri Light" w:hAnsiTheme="majorBidi" w:cstheme="majorBidi"/>
          <w:color w:val="000000" w:themeColor="text1"/>
        </w:rPr>
        <w:t>n Guatemala, persisten serias dificultades estructurales para la implementación de sentencias nacionales e internacionales relacionadas con los derechos colectivos de los pueblos indígenas, particularmente aquellas que reconocen el derecho al territorio, a la consulta previa y a la libre determinación. A pesar de los avances jurisprudenciales, la falta de voluntad política, la ausencia de marcos normativos adecuados y la debilidad institucional han impedido el cumplimiento efectivo de estas resoluciones. A ello se suma un contexto hostil para las personas defensoras de derechos humanos, especialmente aquellas que ejercen liderazgo en la defensa del territorio y los derechos de los pueblos indígenas, quienes enfrentan criminalización, amenazas y ataques que, en muchos casos, las obligan a recurrir al exilio para salvaguardar su vida y la de sus familias. Este panorama evidencia la necesidad urgente de establecer mecanismos legales, presupuestarios y programáticos que no solo garanticen el cumplimiento de las sentencias, sino que también integren sistemas de seguimiento con participación directa de las comunidades afectadas, asegurando la rendición de cuentas del Estado y la protección integral de quienes defienden los derechos colectivos</w:t>
      </w:r>
      <w:r w:rsidR="00303FFA">
        <w:rPr>
          <w:rFonts w:asciiTheme="majorBidi" w:eastAsia="Calibri Light" w:hAnsiTheme="majorBidi" w:cstheme="majorBidi"/>
          <w:color w:val="000000" w:themeColor="text1"/>
        </w:rPr>
        <w:t xml:space="preserve"> de los Pueblos Indígenas </w:t>
      </w:r>
      <w:r w:rsidR="00303FFA">
        <w:rPr>
          <w:rFonts w:asciiTheme="majorBidi" w:eastAsia="Calibri Light" w:hAnsiTheme="majorBidi" w:cstheme="majorBidi"/>
          <w:color w:val="000000" w:themeColor="text1"/>
          <w:lang w:val="es-ES"/>
        </w:rPr>
        <w:t>y Afrodescendientes</w:t>
      </w:r>
      <w:r w:rsidRPr="003F57EF">
        <w:rPr>
          <w:rFonts w:asciiTheme="majorBidi" w:eastAsia="Calibri Light" w:hAnsiTheme="majorBidi" w:cstheme="majorBidi"/>
          <w:color w:val="000000" w:themeColor="text1"/>
        </w:rPr>
        <w:t>.</w:t>
      </w:r>
    </w:p>
    <w:p w14:paraId="148C8482" w14:textId="1B4156E5" w:rsidR="007D63D0" w:rsidRPr="009E2A0E" w:rsidRDefault="007D63D0" w:rsidP="00197C3D">
      <w:pPr>
        <w:pStyle w:val="Prrafodelista"/>
        <w:numPr>
          <w:ilvl w:val="1"/>
          <w:numId w:val="7"/>
        </w:numPr>
        <w:jc w:val="both"/>
        <w:outlineLvl w:val="1"/>
        <w:rPr>
          <w:rFonts w:asciiTheme="majorBidi" w:eastAsia="Calibri Light" w:hAnsiTheme="majorBidi" w:cstheme="majorBidi"/>
          <w:b/>
          <w:bCs/>
          <w:color w:val="000000" w:themeColor="text1"/>
          <w:lang w:val="es-ES"/>
        </w:rPr>
      </w:pPr>
      <w:bookmarkStart w:id="3" w:name="_Toc204264027"/>
      <w:r w:rsidRPr="009E2A0E">
        <w:rPr>
          <w:rFonts w:asciiTheme="majorBidi" w:eastAsia="Calibri Light" w:hAnsiTheme="majorBidi" w:cstheme="majorBidi"/>
          <w:b/>
          <w:bCs/>
          <w:color w:val="000000" w:themeColor="text1"/>
          <w:lang w:val="es-ES"/>
        </w:rPr>
        <w:t>Situación de las mujeres indígenas</w:t>
      </w:r>
      <w:r w:rsidR="0080713B">
        <w:rPr>
          <w:rFonts w:asciiTheme="majorBidi" w:eastAsia="Calibri Light" w:hAnsiTheme="majorBidi" w:cstheme="majorBidi"/>
          <w:b/>
          <w:bCs/>
          <w:color w:val="000000" w:themeColor="text1"/>
          <w:lang w:val="es-ES"/>
        </w:rPr>
        <w:t xml:space="preserve"> </w:t>
      </w:r>
      <w:r w:rsidR="0080713B" w:rsidRPr="0080713B">
        <w:rPr>
          <w:rFonts w:asciiTheme="majorBidi" w:eastAsia="Calibri Light" w:hAnsiTheme="majorBidi" w:cstheme="majorBidi"/>
          <w:b/>
          <w:bCs/>
          <w:color w:val="000000" w:themeColor="text1"/>
          <w:lang w:val="es-ES"/>
        </w:rPr>
        <w:t>y afrodescendientes</w:t>
      </w:r>
      <w:bookmarkEnd w:id="3"/>
    </w:p>
    <w:p w14:paraId="47596B1F" w14:textId="57636165" w:rsidR="009A72DB" w:rsidRDefault="009A72DB" w:rsidP="00652F9A">
      <w:pPr>
        <w:jc w:val="both"/>
        <w:rPr>
          <w:rFonts w:asciiTheme="majorBidi" w:eastAsia="Calibri Light" w:hAnsiTheme="majorBidi" w:cstheme="majorBidi"/>
          <w:color w:val="000000" w:themeColor="text1"/>
          <w:lang w:val="es-ES"/>
        </w:rPr>
      </w:pPr>
      <w:r>
        <w:rPr>
          <w:rFonts w:asciiTheme="majorBidi" w:eastAsia="Calibri Light" w:hAnsiTheme="majorBidi" w:cstheme="majorBidi"/>
          <w:color w:val="000000" w:themeColor="text1"/>
          <w:lang w:val="es-ES"/>
        </w:rPr>
        <w:t>En materia de derechos de las mujeres indígenas</w:t>
      </w:r>
      <w:r w:rsidR="00303FFA">
        <w:rPr>
          <w:rFonts w:asciiTheme="majorBidi" w:eastAsia="Calibri Light" w:hAnsiTheme="majorBidi" w:cstheme="majorBidi"/>
          <w:color w:val="000000" w:themeColor="text1"/>
          <w:lang w:val="es-ES"/>
        </w:rPr>
        <w:t xml:space="preserve"> y afrodescendientes</w:t>
      </w:r>
      <w:r>
        <w:rPr>
          <w:rFonts w:asciiTheme="majorBidi" w:eastAsia="Calibri Light" w:hAnsiTheme="majorBidi" w:cstheme="majorBidi"/>
          <w:color w:val="000000" w:themeColor="text1"/>
          <w:lang w:val="es-ES"/>
        </w:rPr>
        <w:t xml:space="preserve"> importante resaltar que son ellas quienes están en el extremo de la exclusión y desigualdad más profunda por razones de género, identidad, geografía e idioma. En la actualidad se estima que un 38.6% de las personas son monolingües, de los cuales el 59.1%% son mujeres, quienes en su mayoría </w:t>
      </w:r>
      <w:r w:rsidRPr="009A72DB">
        <w:rPr>
          <w:rFonts w:asciiTheme="majorBidi" w:eastAsia="Calibri Light" w:hAnsiTheme="majorBidi" w:cstheme="majorBidi"/>
          <w:color w:val="000000" w:themeColor="text1"/>
          <w:lang w:val="es-ES"/>
        </w:rPr>
        <w:t>pertenecen a la comunidad lingüística q’eqchi’</w:t>
      </w:r>
      <w:r>
        <w:rPr>
          <w:rFonts w:asciiTheme="majorBidi" w:eastAsia="Calibri Light" w:hAnsiTheme="majorBidi" w:cstheme="majorBidi"/>
          <w:color w:val="000000" w:themeColor="text1"/>
          <w:lang w:val="es-ES"/>
        </w:rPr>
        <w:t xml:space="preserve"> </w:t>
      </w:r>
      <w:r w:rsidRPr="009A72DB">
        <w:rPr>
          <w:rFonts w:asciiTheme="majorBidi" w:eastAsia="Calibri Light" w:hAnsiTheme="majorBidi" w:cstheme="majorBidi"/>
          <w:color w:val="000000" w:themeColor="text1"/>
          <w:lang w:val="es-ES"/>
        </w:rPr>
        <w:t>(33.7%), k’iche’ (27.7%), mam (11.0%) o kaqchikel</w:t>
      </w:r>
      <w:r>
        <w:rPr>
          <w:rFonts w:asciiTheme="majorBidi" w:eastAsia="Calibri Light" w:hAnsiTheme="majorBidi" w:cstheme="majorBidi"/>
          <w:color w:val="000000" w:themeColor="text1"/>
          <w:lang w:val="es-ES"/>
        </w:rPr>
        <w:t xml:space="preserve"> </w:t>
      </w:r>
      <w:r w:rsidRPr="009A72DB">
        <w:rPr>
          <w:rFonts w:asciiTheme="majorBidi" w:eastAsia="Calibri Light" w:hAnsiTheme="majorBidi" w:cstheme="majorBidi"/>
          <w:color w:val="000000" w:themeColor="text1"/>
          <w:lang w:val="es-ES"/>
        </w:rPr>
        <w:t>(8.4%)</w:t>
      </w:r>
      <w:r>
        <w:rPr>
          <w:rStyle w:val="Refdenotaalpie"/>
          <w:rFonts w:asciiTheme="majorBidi" w:eastAsia="Calibri Light" w:hAnsiTheme="majorBidi"/>
          <w:color w:val="000000" w:themeColor="text1"/>
          <w:lang w:val="es-ES"/>
        </w:rPr>
        <w:footnoteReference w:id="12"/>
      </w:r>
      <w:r w:rsidRPr="009A72DB">
        <w:rPr>
          <w:rFonts w:asciiTheme="majorBidi" w:eastAsia="Calibri Light" w:hAnsiTheme="majorBidi" w:cstheme="majorBidi"/>
          <w:color w:val="000000" w:themeColor="text1"/>
          <w:lang w:val="es-ES"/>
        </w:rPr>
        <w:t>.</w:t>
      </w:r>
      <w:r w:rsidR="00B056B0">
        <w:rPr>
          <w:rFonts w:asciiTheme="majorBidi" w:eastAsia="Calibri Light" w:hAnsiTheme="majorBidi" w:cstheme="majorBidi"/>
          <w:color w:val="000000" w:themeColor="text1"/>
          <w:lang w:val="es-ES"/>
        </w:rPr>
        <w:t xml:space="preserve"> Las mujeres indígenas son quienes por razones de género se les delega el papel de guardiana y transmisora de la cultura y el idioma entre otros. Pese a la discriminación persistente, los datos muestran que son ellas quienes más usan su indumentaria</w:t>
      </w:r>
      <w:r w:rsidR="00FD7DD6">
        <w:rPr>
          <w:rFonts w:asciiTheme="majorBidi" w:eastAsia="Calibri Light" w:hAnsiTheme="majorBidi" w:cstheme="majorBidi"/>
          <w:color w:val="000000" w:themeColor="text1"/>
          <w:lang w:val="es-ES"/>
        </w:rPr>
        <w:t xml:space="preserve"> (67.6%), en tanto que los hombres lo hacen menos (8%)</w:t>
      </w:r>
      <w:r w:rsidR="00652F9A">
        <w:rPr>
          <w:rFonts w:asciiTheme="majorBidi" w:eastAsia="Calibri Light" w:hAnsiTheme="majorBidi" w:cstheme="majorBidi"/>
          <w:color w:val="000000" w:themeColor="text1"/>
          <w:lang w:val="es-ES"/>
        </w:rPr>
        <w:t xml:space="preserve">. </w:t>
      </w:r>
      <w:r w:rsidR="00652F9A" w:rsidRPr="00652F9A">
        <w:rPr>
          <w:rFonts w:asciiTheme="majorBidi" w:eastAsia="Calibri Light" w:hAnsiTheme="majorBidi" w:cstheme="majorBidi"/>
          <w:color w:val="000000" w:themeColor="text1"/>
          <w:lang w:val="es-ES"/>
        </w:rPr>
        <w:t>Entre los pueblos garífuna y xinka, también</w:t>
      </w:r>
      <w:r w:rsidR="00652F9A">
        <w:rPr>
          <w:rFonts w:asciiTheme="majorBidi" w:eastAsia="Calibri Light" w:hAnsiTheme="majorBidi" w:cstheme="majorBidi"/>
          <w:color w:val="000000" w:themeColor="text1"/>
          <w:lang w:val="es-ES"/>
        </w:rPr>
        <w:t xml:space="preserve"> </w:t>
      </w:r>
      <w:r w:rsidR="00652F9A" w:rsidRPr="00652F9A">
        <w:rPr>
          <w:rFonts w:asciiTheme="majorBidi" w:eastAsia="Calibri Light" w:hAnsiTheme="majorBidi" w:cstheme="majorBidi"/>
          <w:color w:val="000000" w:themeColor="text1"/>
          <w:lang w:val="es-ES"/>
        </w:rPr>
        <w:t>se trata de una práctica feminizada, pero no en</w:t>
      </w:r>
      <w:r w:rsidR="00652F9A">
        <w:rPr>
          <w:rFonts w:asciiTheme="majorBidi" w:eastAsia="Calibri Light" w:hAnsiTheme="majorBidi" w:cstheme="majorBidi"/>
          <w:color w:val="000000" w:themeColor="text1"/>
          <w:lang w:val="es-ES"/>
        </w:rPr>
        <w:t xml:space="preserve"> </w:t>
      </w:r>
      <w:r w:rsidR="00652F9A" w:rsidRPr="00652F9A">
        <w:rPr>
          <w:rFonts w:asciiTheme="majorBidi" w:eastAsia="Calibri Light" w:hAnsiTheme="majorBidi" w:cstheme="majorBidi"/>
          <w:color w:val="000000" w:themeColor="text1"/>
          <w:lang w:val="es-ES"/>
        </w:rPr>
        <w:t>proporciones tan altas como entre el pueblo</w:t>
      </w:r>
      <w:r w:rsidR="00652F9A">
        <w:rPr>
          <w:rFonts w:asciiTheme="majorBidi" w:eastAsia="Calibri Light" w:hAnsiTheme="majorBidi" w:cstheme="majorBidi"/>
          <w:color w:val="000000" w:themeColor="text1"/>
          <w:lang w:val="es-ES"/>
        </w:rPr>
        <w:t xml:space="preserve"> </w:t>
      </w:r>
      <w:r w:rsidR="00652F9A" w:rsidRPr="00652F9A">
        <w:rPr>
          <w:rFonts w:asciiTheme="majorBidi" w:eastAsia="Calibri Light" w:hAnsiTheme="majorBidi" w:cstheme="majorBidi"/>
          <w:color w:val="000000" w:themeColor="text1"/>
          <w:lang w:val="es-ES"/>
        </w:rPr>
        <w:t>maya. Del total de personas garífunas únicamente</w:t>
      </w:r>
      <w:r w:rsidR="00652F9A">
        <w:rPr>
          <w:rFonts w:asciiTheme="majorBidi" w:eastAsia="Calibri Light" w:hAnsiTheme="majorBidi" w:cstheme="majorBidi"/>
          <w:color w:val="000000" w:themeColor="text1"/>
          <w:lang w:val="es-ES"/>
        </w:rPr>
        <w:t xml:space="preserve"> </w:t>
      </w:r>
      <w:r w:rsidR="00652F9A" w:rsidRPr="00652F9A">
        <w:rPr>
          <w:rFonts w:asciiTheme="majorBidi" w:eastAsia="Calibri Light" w:hAnsiTheme="majorBidi" w:cstheme="majorBidi"/>
          <w:color w:val="000000" w:themeColor="text1"/>
          <w:lang w:val="es-ES"/>
        </w:rPr>
        <w:t>el 18.7% reportó portar de manera regular la</w:t>
      </w:r>
      <w:r w:rsidR="00652F9A">
        <w:rPr>
          <w:rFonts w:asciiTheme="majorBidi" w:eastAsia="Calibri Light" w:hAnsiTheme="majorBidi" w:cstheme="majorBidi"/>
          <w:color w:val="000000" w:themeColor="text1"/>
          <w:lang w:val="es-ES"/>
        </w:rPr>
        <w:t xml:space="preserve"> </w:t>
      </w:r>
      <w:r w:rsidR="00652F9A" w:rsidRPr="00652F9A">
        <w:rPr>
          <w:rFonts w:asciiTheme="majorBidi" w:eastAsia="Calibri Light" w:hAnsiTheme="majorBidi" w:cstheme="majorBidi"/>
          <w:color w:val="000000" w:themeColor="text1"/>
          <w:lang w:val="es-ES"/>
        </w:rPr>
        <w:t>indumentaria de su cultura, de este porcentaje</w:t>
      </w:r>
      <w:r w:rsidR="00652F9A">
        <w:rPr>
          <w:rFonts w:asciiTheme="majorBidi" w:eastAsia="Calibri Light" w:hAnsiTheme="majorBidi" w:cstheme="majorBidi"/>
          <w:color w:val="000000" w:themeColor="text1"/>
          <w:lang w:val="es-ES"/>
        </w:rPr>
        <w:t xml:space="preserve"> </w:t>
      </w:r>
      <w:r w:rsidR="00652F9A" w:rsidRPr="00652F9A">
        <w:rPr>
          <w:rFonts w:asciiTheme="majorBidi" w:eastAsia="Calibri Light" w:hAnsiTheme="majorBidi" w:cstheme="majorBidi"/>
          <w:color w:val="000000" w:themeColor="text1"/>
          <w:lang w:val="es-ES"/>
        </w:rPr>
        <w:t>casi siete de cada 10 son mujeres</w:t>
      </w:r>
      <w:r w:rsidR="00B056B0">
        <w:rPr>
          <w:rStyle w:val="Refdenotaalpie"/>
          <w:rFonts w:asciiTheme="majorBidi" w:eastAsia="Calibri Light" w:hAnsiTheme="majorBidi"/>
          <w:color w:val="000000" w:themeColor="text1"/>
          <w:lang w:val="es-ES"/>
        </w:rPr>
        <w:footnoteReference w:id="13"/>
      </w:r>
      <w:r w:rsidR="00B056B0">
        <w:rPr>
          <w:rFonts w:asciiTheme="majorBidi" w:eastAsia="Calibri Light" w:hAnsiTheme="majorBidi" w:cstheme="majorBidi"/>
          <w:color w:val="000000" w:themeColor="text1"/>
          <w:lang w:val="es-ES"/>
        </w:rPr>
        <w:t xml:space="preserve">. </w:t>
      </w:r>
    </w:p>
    <w:p w14:paraId="5FCC36D5" w14:textId="52691850" w:rsidR="00661F53" w:rsidRDefault="000903DD" w:rsidP="00873265">
      <w:pPr>
        <w:jc w:val="both"/>
        <w:rPr>
          <w:rFonts w:asciiTheme="majorBidi" w:eastAsia="Calibri Light" w:hAnsiTheme="majorBidi" w:cstheme="majorBidi"/>
          <w:color w:val="000000" w:themeColor="text1"/>
          <w:lang w:val="es-ES"/>
        </w:rPr>
      </w:pPr>
      <w:r>
        <w:rPr>
          <w:rFonts w:asciiTheme="majorBidi" w:eastAsia="Calibri Light" w:hAnsiTheme="majorBidi" w:cstheme="majorBidi"/>
          <w:color w:val="000000" w:themeColor="text1"/>
          <w:lang w:val="es-ES"/>
        </w:rPr>
        <w:t xml:space="preserve">En cuanto a educación </w:t>
      </w:r>
      <w:r w:rsidRPr="000903DD">
        <w:rPr>
          <w:rFonts w:asciiTheme="majorBidi" w:eastAsia="Calibri Light" w:hAnsiTheme="majorBidi" w:cstheme="majorBidi"/>
          <w:color w:val="000000" w:themeColor="text1"/>
          <w:lang w:val="es-ES"/>
        </w:rPr>
        <w:t>los más bajos niveles de alfabetismo</w:t>
      </w:r>
      <w:r>
        <w:rPr>
          <w:rFonts w:asciiTheme="majorBidi" w:eastAsia="Calibri Light" w:hAnsiTheme="majorBidi" w:cstheme="majorBidi"/>
          <w:color w:val="000000" w:themeColor="text1"/>
          <w:lang w:val="es-ES"/>
        </w:rPr>
        <w:t xml:space="preserve"> </w:t>
      </w:r>
      <w:r w:rsidRPr="000903DD">
        <w:rPr>
          <w:rFonts w:asciiTheme="majorBidi" w:eastAsia="Calibri Light" w:hAnsiTheme="majorBidi" w:cstheme="majorBidi"/>
          <w:color w:val="000000" w:themeColor="text1"/>
          <w:lang w:val="es-ES"/>
        </w:rPr>
        <w:t>se aprecian entre las mujeres mayas rurales,</w:t>
      </w:r>
      <w:r>
        <w:rPr>
          <w:rFonts w:asciiTheme="majorBidi" w:eastAsia="Calibri Light" w:hAnsiTheme="majorBidi" w:cstheme="majorBidi"/>
          <w:color w:val="000000" w:themeColor="text1"/>
          <w:lang w:val="es-ES"/>
        </w:rPr>
        <w:t xml:space="preserve"> donde</w:t>
      </w:r>
      <w:r w:rsidRPr="000903DD">
        <w:rPr>
          <w:rFonts w:asciiTheme="majorBidi" w:eastAsia="Calibri Light" w:hAnsiTheme="majorBidi" w:cstheme="majorBidi"/>
          <w:color w:val="000000" w:themeColor="text1"/>
          <w:lang w:val="es-ES"/>
        </w:rPr>
        <w:t xml:space="preserve"> solo seis de cada 10 personas</w:t>
      </w:r>
      <w:r>
        <w:rPr>
          <w:rFonts w:asciiTheme="majorBidi" w:eastAsia="Calibri Light" w:hAnsiTheme="majorBidi" w:cstheme="majorBidi"/>
          <w:color w:val="000000" w:themeColor="text1"/>
          <w:lang w:val="es-ES"/>
        </w:rPr>
        <w:t xml:space="preserve"> </w:t>
      </w:r>
      <w:r w:rsidRPr="000903DD">
        <w:rPr>
          <w:rFonts w:asciiTheme="majorBidi" w:eastAsia="Calibri Light" w:hAnsiTheme="majorBidi" w:cstheme="majorBidi"/>
          <w:color w:val="000000" w:themeColor="text1"/>
          <w:lang w:val="es-ES"/>
        </w:rPr>
        <w:t>dijeron saber leer y escribir, lo cual constata la</w:t>
      </w:r>
      <w:r>
        <w:rPr>
          <w:rFonts w:asciiTheme="majorBidi" w:eastAsia="Calibri Light" w:hAnsiTheme="majorBidi" w:cstheme="majorBidi"/>
          <w:color w:val="000000" w:themeColor="text1"/>
          <w:lang w:val="es-ES"/>
        </w:rPr>
        <w:t xml:space="preserve"> </w:t>
      </w:r>
      <w:r w:rsidRPr="000903DD">
        <w:rPr>
          <w:rFonts w:asciiTheme="majorBidi" w:eastAsia="Calibri Light" w:hAnsiTheme="majorBidi" w:cstheme="majorBidi"/>
          <w:color w:val="000000" w:themeColor="text1"/>
          <w:lang w:val="es-ES"/>
        </w:rPr>
        <w:t>discriminación de que son objeto por su condición</w:t>
      </w:r>
      <w:r>
        <w:rPr>
          <w:rFonts w:asciiTheme="majorBidi" w:eastAsia="Calibri Light" w:hAnsiTheme="majorBidi" w:cstheme="majorBidi"/>
          <w:color w:val="000000" w:themeColor="text1"/>
          <w:lang w:val="es-ES"/>
        </w:rPr>
        <w:t xml:space="preserve"> </w:t>
      </w:r>
      <w:r w:rsidRPr="000903DD">
        <w:rPr>
          <w:rFonts w:asciiTheme="majorBidi" w:eastAsia="Calibri Light" w:hAnsiTheme="majorBidi" w:cstheme="majorBidi"/>
          <w:color w:val="000000" w:themeColor="text1"/>
          <w:lang w:val="es-ES"/>
        </w:rPr>
        <w:t>de mujeres, indígenas y rurales</w:t>
      </w:r>
      <w:r>
        <w:rPr>
          <w:rStyle w:val="Refdenotaalpie"/>
          <w:rFonts w:asciiTheme="majorBidi" w:eastAsia="Calibri Light" w:hAnsiTheme="majorBidi"/>
          <w:color w:val="000000" w:themeColor="text1"/>
          <w:lang w:val="es-ES"/>
        </w:rPr>
        <w:footnoteReference w:id="14"/>
      </w:r>
      <w:r w:rsidRPr="000903DD">
        <w:rPr>
          <w:rFonts w:asciiTheme="majorBidi" w:eastAsia="Calibri Light" w:hAnsiTheme="majorBidi" w:cstheme="majorBidi"/>
          <w:color w:val="000000" w:themeColor="text1"/>
          <w:lang w:val="es-ES"/>
        </w:rPr>
        <w:t>.</w:t>
      </w:r>
      <w:r w:rsidR="00540DD7">
        <w:rPr>
          <w:rFonts w:asciiTheme="majorBidi" w:eastAsia="Calibri Light" w:hAnsiTheme="majorBidi" w:cstheme="majorBidi"/>
          <w:color w:val="000000" w:themeColor="text1"/>
          <w:lang w:val="es-ES"/>
        </w:rPr>
        <w:t xml:space="preserve"> Por otro lado, d</w:t>
      </w:r>
      <w:r w:rsidR="00540DD7" w:rsidRPr="00540DD7">
        <w:rPr>
          <w:rFonts w:asciiTheme="majorBidi" w:eastAsia="Calibri Light" w:hAnsiTheme="majorBidi" w:cstheme="majorBidi"/>
          <w:color w:val="000000" w:themeColor="text1"/>
          <w:lang w:val="es-ES"/>
        </w:rPr>
        <w:t>el total de personas que no</w:t>
      </w:r>
      <w:r w:rsidR="00540DD7">
        <w:rPr>
          <w:rFonts w:asciiTheme="majorBidi" w:eastAsia="Calibri Light" w:hAnsiTheme="majorBidi" w:cstheme="majorBidi"/>
          <w:color w:val="000000" w:themeColor="text1"/>
          <w:lang w:val="es-ES"/>
        </w:rPr>
        <w:t xml:space="preserve"> </w:t>
      </w:r>
      <w:r w:rsidR="00540DD7" w:rsidRPr="00540DD7">
        <w:rPr>
          <w:rFonts w:asciiTheme="majorBidi" w:eastAsia="Calibri Light" w:hAnsiTheme="majorBidi" w:cstheme="majorBidi"/>
          <w:color w:val="000000" w:themeColor="text1"/>
          <w:lang w:val="es-ES"/>
        </w:rPr>
        <w:t>alcanzaron ningún nivel educativo del pueblo</w:t>
      </w:r>
      <w:r w:rsidR="00540DD7">
        <w:rPr>
          <w:rFonts w:asciiTheme="majorBidi" w:eastAsia="Calibri Light" w:hAnsiTheme="majorBidi" w:cstheme="majorBidi"/>
          <w:color w:val="000000" w:themeColor="text1"/>
          <w:lang w:val="es-ES"/>
        </w:rPr>
        <w:t xml:space="preserve"> </w:t>
      </w:r>
      <w:r w:rsidR="00540DD7" w:rsidRPr="00540DD7">
        <w:rPr>
          <w:rFonts w:asciiTheme="majorBidi" w:eastAsia="Calibri Light" w:hAnsiTheme="majorBidi" w:cstheme="majorBidi"/>
          <w:color w:val="000000" w:themeColor="text1"/>
          <w:lang w:val="es-ES"/>
        </w:rPr>
        <w:t>maya, el 63.5% son mujeres y 36.5% son hombres;</w:t>
      </w:r>
      <w:r w:rsidR="00540DD7">
        <w:rPr>
          <w:rFonts w:asciiTheme="majorBidi" w:eastAsia="Calibri Light" w:hAnsiTheme="majorBidi" w:cstheme="majorBidi"/>
          <w:color w:val="000000" w:themeColor="text1"/>
          <w:lang w:val="es-ES"/>
        </w:rPr>
        <w:t xml:space="preserve"> brecha que se profundiza en el nivel de doctorado universitario 7 de cada 10 son hombres.</w:t>
      </w:r>
      <w:r w:rsidR="00D57C89">
        <w:rPr>
          <w:rFonts w:asciiTheme="majorBidi" w:eastAsia="Calibri Light" w:hAnsiTheme="majorBidi" w:cstheme="majorBidi"/>
          <w:color w:val="000000" w:themeColor="text1"/>
          <w:lang w:val="es-ES"/>
        </w:rPr>
        <w:t xml:space="preserve"> En el caso de mujeres garífunas son ellas</w:t>
      </w:r>
      <w:r w:rsidR="00D57C89" w:rsidRPr="00D57C89">
        <w:rPr>
          <w:rFonts w:asciiTheme="majorBidi" w:eastAsia="Calibri Light" w:hAnsiTheme="majorBidi" w:cstheme="majorBidi"/>
          <w:color w:val="000000" w:themeColor="text1"/>
          <w:lang w:val="es-ES"/>
        </w:rPr>
        <w:t xml:space="preserve"> quienes tienen el mayor porcentaje sin</w:t>
      </w:r>
      <w:r w:rsidR="00D57C89">
        <w:rPr>
          <w:rFonts w:asciiTheme="majorBidi" w:eastAsia="Calibri Light" w:hAnsiTheme="majorBidi" w:cstheme="majorBidi"/>
          <w:color w:val="000000" w:themeColor="text1"/>
          <w:lang w:val="es-ES"/>
        </w:rPr>
        <w:t xml:space="preserve"> </w:t>
      </w:r>
      <w:r w:rsidR="00D57C89" w:rsidRPr="00D57C89">
        <w:rPr>
          <w:rFonts w:asciiTheme="majorBidi" w:eastAsia="Calibri Light" w:hAnsiTheme="majorBidi" w:cstheme="majorBidi"/>
          <w:color w:val="000000" w:themeColor="text1"/>
          <w:lang w:val="es-ES"/>
        </w:rPr>
        <w:t>ningún tipo de instrucción educativa (62%) en</w:t>
      </w:r>
      <w:r w:rsidR="00D57C89">
        <w:rPr>
          <w:rFonts w:asciiTheme="majorBidi" w:eastAsia="Calibri Light" w:hAnsiTheme="majorBidi" w:cstheme="majorBidi"/>
          <w:color w:val="000000" w:themeColor="text1"/>
          <w:lang w:val="es-ES"/>
        </w:rPr>
        <w:t xml:space="preserve"> </w:t>
      </w:r>
      <w:r w:rsidR="00D57C89" w:rsidRPr="00D57C89">
        <w:rPr>
          <w:rFonts w:asciiTheme="majorBidi" w:eastAsia="Calibri Light" w:hAnsiTheme="majorBidi" w:cstheme="majorBidi"/>
          <w:color w:val="000000" w:themeColor="text1"/>
          <w:lang w:val="es-ES"/>
        </w:rPr>
        <w:t>comparación a los hombres garífunas (38%).</w:t>
      </w:r>
      <w:r w:rsidR="00EE0BFD">
        <w:rPr>
          <w:rFonts w:asciiTheme="majorBidi" w:eastAsia="Calibri Light" w:hAnsiTheme="majorBidi" w:cstheme="majorBidi"/>
          <w:color w:val="000000" w:themeColor="text1"/>
          <w:lang w:val="es-ES"/>
        </w:rPr>
        <w:t xml:space="preserve"> En similar situación se encuentran las mujeres Xinka quienes </w:t>
      </w:r>
      <w:r w:rsidR="00EE0BFD" w:rsidRPr="00EE0BFD">
        <w:rPr>
          <w:rFonts w:asciiTheme="majorBidi" w:eastAsia="Calibri Light" w:hAnsiTheme="majorBidi" w:cstheme="majorBidi"/>
          <w:color w:val="000000" w:themeColor="text1"/>
          <w:lang w:val="es-ES"/>
        </w:rPr>
        <w:t>mujeres</w:t>
      </w:r>
      <w:r w:rsidR="00EE0BFD">
        <w:rPr>
          <w:rFonts w:asciiTheme="majorBidi" w:eastAsia="Calibri Light" w:hAnsiTheme="majorBidi" w:cstheme="majorBidi"/>
          <w:color w:val="000000" w:themeColor="text1"/>
          <w:lang w:val="es-ES"/>
        </w:rPr>
        <w:t xml:space="preserve"> </w:t>
      </w:r>
      <w:r w:rsidR="00EE0BFD" w:rsidRPr="00EE0BFD">
        <w:rPr>
          <w:rFonts w:asciiTheme="majorBidi" w:eastAsia="Calibri Light" w:hAnsiTheme="majorBidi" w:cstheme="majorBidi"/>
          <w:color w:val="000000" w:themeColor="text1"/>
          <w:lang w:val="es-ES"/>
        </w:rPr>
        <w:t>registran un número más alto</w:t>
      </w:r>
      <w:r w:rsidR="00EE0BFD">
        <w:rPr>
          <w:rFonts w:asciiTheme="majorBidi" w:eastAsia="Calibri Light" w:hAnsiTheme="majorBidi" w:cstheme="majorBidi"/>
          <w:color w:val="000000" w:themeColor="text1"/>
          <w:lang w:val="es-ES"/>
        </w:rPr>
        <w:t xml:space="preserve"> </w:t>
      </w:r>
      <w:r w:rsidR="00EE0BFD" w:rsidRPr="00EE0BFD">
        <w:rPr>
          <w:rFonts w:asciiTheme="majorBidi" w:eastAsia="Calibri Light" w:hAnsiTheme="majorBidi" w:cstheme="majorBidi"/>
          <w:color w:val="000000" w:themeColor="text1"/>
          <w:lang w:val="es-ES"/>
        </w:rPr>
        <w:t xml:space="preserve">de personas </w:t>
      </w:r>
      <w:r w:rsidR="00EE0BFD" w:rsidRPr="00EE0BFD">
        <w:rPr>
          <w:rFonts w:asciiTheme="majorBidi" w:eastAsia="Calibri Light" w:hAnsiTheme="majorBidi" w:cstheme="majorBidi"/>
          <w:color w:val="000000" w:themeColor="text1"/>
          <w:lang w:val="es-ES"/>
        </w:rPr>
        <w:lastRenderedPageBreak/>
        <w:t>sin ningún nivel educativo (58.8%)</w:t>
      </w:r>
      <w:r w:rsidR="00EE0BFD">
        <w:rPr>
          <w:rFonts w:asciiTheme="majorBidi" w:eastAsia="Calibri Light" w:hAnsiTheme="majorBidi" w:cstheme="majorBidi"/>
          <w:color w:val="000000" w:themeColor="text1"/>
          <w:lang w:val="es-ES"/>
        </w:rPr>
        <w:t xml:space="preserve"> </w:t>
      </w:r>
      <w:r w:rsidR="00EE0BFD" w:rsidRPr="00EE0BFD">
        <w:rPr>
          <w:rFonts w:asciiTheme="majorBidi" w:eastAsia="Calibri Light" w:hAnsiTheme="majorBidi" w:cstheme="majorBidi"/>
          <w:color w:val="000000" w:themeColor="text1"/>
          <w:lang w:val="es-ES"/>
        </w:rPr>
        <w:t>en comparación con los hombres (41.2%)</w:t>
      </w:r>
      <w:r w:rsidR="00EE0BFD">
        <w:rPr>
          <w:rStyle w:val="Refdenotaalpie"/>
          <w:rFonts w:asciiTheme="majorBidi" w:eastAsia="Calibri Light" w:hAnsiTheme="majorBidi"/>
          <w:color w:val="000000" w:themeColor="text1"/>
          <w:lang w:val="es-ES"/>
        </w:rPr>
        <w:footnoteReference w:id="15"/>
      </w:r>
      <w:r w:rsidR="00EE0BFD" w:rsidRPr="00EE0BFD">
        <w:rPr>
          <w:rFonts w:asciiTheme="majorBidi" w:eastAsia="Calibri Light" w:hAnsiTheme="majorBidi" w:cstheme="majorBidi"/>
          <w:color w:val="000000" w:themeColor="text1"/>
          <w:lang w:val="es-ES"/>
        </w:rPr>
        <w:t>.</w:t>
      </w:r>
      <w:r w:rsidR="00ED1B13">
        <w:rPr>
          <w:rFonts w:asciiTheme="majorBidi" w:eastAsia="Calibri Light" w:hAnsiTheme="majorBidi" w:cstheme="majorBidi"/>
          <w:color w:val="000000" w:themeColor="text1"/>
          <w:lang w:val="es-ES"/>
        </w:rPr>
        <w:t>En cuanto a fecundidad, e</w:t>
      </w:r>
      <w:r w:rsidR="00ED1B13" w:rsidRPr="00ED1B13">
        <w:rPr>
          <w:rFonts w:asciiTheme="majorBidi" w:eastAsia="Calibri Light" w:hAnsiTheme="majorBidi" w:cstheme="majorBidi"/>
          <w:color w:val="000000" w:themeColor="text1"/>
          <w:lang w:val="es-ES"/>
        </w:rPr>
        <w:t>ntre las mujeres</w:t>
      </w:r>
      <w:r w:rsidR="00ED1B13">
        <w:rPr>
          <w:rFonts w:asciiTheme="majorBidi" w:eastAsia="Calibri Light" w:hAnsiTheme="majorBidi" w:cstheme="majorBidi"/>
          <w:color w:val="000000" w:themeColor="text1"/>
          <w:lang w:val="es-ES"/>
        </w:rPr>
        <w:t xml:space="preserve"> </w:t>
      </w:r>
      <w:r w:rsidR="00ED1B13" w:rsidRPr="00ED1B13">
        <w:rPr>
          <w:rFonts w:asciiTheme="majorBidi" w:eastAsia="Calibri Light" w:hAnsiTheme="majorBidi" w:cstheme="majorBidi"/>
          <w:color w:val="000000" w:themeColor="text1"/>
          <w:lang w:val="es-ES"/>
        </w:rPr>
        <w:t>mayores de 12 años que han sido madres, ha pasado</w:t>
      </w:r>
      <w:r w:rsidR="00ED1B13">
        <w:rPr>
          <w:rFonts w:asciiTheme="majorBidi" w:eastAsia="Calibri Light" w:hAnsiTheme="majorBidi" w:cstheme="majorBidi"/>
          <w:color w:val="000000" w:themeColor="text1"/>
          <w:lang w:val="es-ES"/>
        </w:rPr>
        <w:t xml:space="preserve"> </w:t>
      </w:r>
      <w:r w:rsidR="00ED1B13" w:rsidRPr="00ED1B13">
        <w:rPr>
          <w:rFonts w:asciiTheme="majorBidi" w:eastAsia="Calibri Light" w:hAnsiTheme="majorBidi" w:cstheme="majorBidi"/>
          <w:color w:val="000000" w:themeColor="text1"/>
          <w:lang w:val="es-ES"/>
        </w:rPr>
        <w:t>de 4.6 hijos nacidos vivos por mujer en 1994</w:t>
      </w:r>
      <w:r w:rsidR="00ED1B13">
        <w:rPr>
          <w:rFonts w:asciiTheme="majorBidi" w:eastAsia="Calibri Light" w:hAnsiTheme="majorBidi" w:cstheme="majorBidi"/>
          <w:color w:val="000000" w:themeColor="text1"/>
          <w:lang w:val="es-ES"/>
        </w:rPr>
        <w:t xml:space="preserve"> </w:t>
      </w:r>
      <w:r w:rsidR="00ED1B13" w:rsidRPr="00ED1B13">
        <w:rPr>
          <w:rFonts w:asciiTheme="majorBidi" w:eastAsia="Calibri Light" w:hAnsiTheme="majorBidi" w:cstheme="majorBidi"/>
          <w:color w:val="000000" w:themeColor="text1"/>
          <w:lang w:val="es-ES"/>
        </w:rPr>
        <w:t>a los 3.8 que registra el Censo 2018.</w:t>
      </w:r>
      <w:r w:rsidR="00ED1B13">
        <w:rPr>
          <w:rFonts w:asciiTheme="majorBidi" w:eastAsia="Calibri Light" w:hAnsiTheme="majorBidi" w:cstheme="majorBidi"/>
          <w:color w:val="000000" w:themeColor="text1"/>
          <w:lang w:val="es-ES"/>
        </w:rPr>
        <w:t xml:space="preserve"> Las </w:t>
      </w:r>
      <w:r w:rsidR="00ED1B13" w:rsidRPr="00ED1B13">
        <w:rPr>
          <w:rFonts w:asciiTheme="majorBidi" w:eastAsia="Calibri Light" w:hAnsiTheme="majorBidi" w:cstheme="majorBidi"/>
          <w:color w:val="000000" w:themeColor="text1"/>
          <w:lang w:val="es-ES"/>
        </w:rPr>
        <w:t>mujeres</w:t>
      </w:r>
      <w:r w:rsidR="00ED1B13">
        <w:rPr>
          <w:rFonts w:asciiTheme="majorBidi" w:eastAsia="Calibri Light" w:hAnsiTheme="majorBidi" w:cstheme="majorBidi"/>
          <w:color w:val="000000" w:themeColor="text1"/>
          <w:lang w:val="es-ES"/>
        </w:rPr>
        <w:t xml:space="preserve"> </w:t>
      </w:r>
      <w:r w:rsidR="00ED1B13" w:rsidRPr="00ED1B13">
        <w:rPr>
          <w:rFonts w:asciiTheme="majorBidi" w:eastAsia="Calibri Light" w:hAnsiTheme="majorBidi" w:cstheme="majorBidi"/>
          <w:color w:val="000000" w:themeColor="text1"/>
          <w:lang w:val="es-ES"/>
        </w:rPr>
        <w:t>de 15 a 49 años (edad fértil) del pueblo xinka son</w:t>
      </w:r>
      <w:r w:rsidR="00ED1B13">
        <w:rPr>
          <w:rFonts w:asciiTheme="majorBidi" w:eastAsia="Calibri Light" w:hAnsiTheme="majorBidi" w:cstheme="majorBidi"/>
          <w:color w:val="000000" w:themeColor="text1"/>
          <w:lang w:val="es-ES"/>
        </w:rPr>
        <w:t xml:space="preserve"> </w:t>
      </w:r>
      <w:r w:rsidR="00ED1B13" w:rsidRPr="00ED1B13">
        <w:rPr>
          <w:rFonts w:asciiTheme="majorBidi" w:eastAsia="Calibri Light" w:hAnsiTheme="majorBidi" w:cstheme="majorBidi"/>
          <w:color w:val="000000" w:themeColor="text1"/>
          <w:lang w:val="es-ES"/>
        </w:rPr>
        <w:t>quienes registran el promedio mayor de fecundidad</w:t>
      </w:r>
      <w:r w:rsidR="00ED1B13">
        <w:rPr>
          <w:rFonts w:asciiTheme="majorBidi" w:eastAsia="Calibri Light" w:hAnsiTheme="majorBidi" w:cstheme="majorBidi"/>
          <w:color w:val="000000" w:themeColor="text1"/>
          <w:lang w:val="es-ES"/>
        </w:rPr>
        <w:t xml:space="preserve"> </w:t>
      </w:r>
      <w:r w:rsidR="00ED1B13" w:rsidRPr="00ED1B13">
        <w:rPr>
          <w:rFonts w:asciiTheme="majorBidi" w:eastAsia="Calibri Light" w:hAnsiTheme="majorBidi" w:cstheme="majorBidi"/>
          <w:color w:val="000000" w:themeColor="text1"/>
          <w:lang w:val="es-ES"/>
        </w:rPr>
        <w:t>(3.5), seguidas muy de cerca por las mujeres</w:t>
      </w:r>
      <w:r w:rsidR="00ED1B13">
        <w:rPr>
          <w:rFonts w:asciiTheme="majorBidi" w:eastAsia="Calibri Light" w:hAnsiTheme="majorBidi" w:cstheme="majorBidi"/>
          <w:color w:val="000000" w:themeColor="text1"/>
          <w:lang w:val="es-ES"/>
        </w:rPr>
        <w:t xml:space="preserve"> </w:t>
      </w:r>
      <w:r w:rsidR="00ED1B13" w:rsidRPr="00ED1B13">
        <w:rPr>
          <w:rFonts w:asciiTheme="majorBidi" w:eastAsia="Calibri Light" w:hAnsiTheme="majorBidi" w:cstheme="majorBidi"/>
          <w:color w:val="000000" w:themeColor="text1"/>
          <w:lang w:val="es-ES"/>
        </w:rPr>
        <w:t>mayas (3.4). Entre los pueblos indígenas, son las</w:t>
      </w:r>
      <w:r w:rsidR="00ED1B13">
        <w:rPr>
          <w:rFonts w:asciiTheme="majorBidi" w:eastAsia="Calibri Light" w:hAnsiTheme="majorBidi" w:cstheme="majorBidi"/>
          <w:color w:val="000000" w:themeColor="text1"/>
          <w:lang w:val="es-ES"/>
        </w:rPr>
        <w:t xml:space="preserve"> </w:t>
      </w:r>
      <w:r w:rsidR="00ED1B13" w:rsidRPr="00ED1B13">
        <w:rPr>
          <w:rFonts w:asciiTheme="majorBidi" w:eastAsia="Calibri Light" w:hAnsiTheme="majorBidi" w:cstheme="majorBidi"/>
          <w:color w:val="000000" w:themeColor="text1"/>
          <w:lang w:val="es-ES"/>
        </w:rPr>
        <w:t>mujeres garífunas las que tienen, en promedio,</w:t>
      </w:r>
      <w:r w:rsidR="00ED1B13">
        <w:rPr>
          <w:rFonts w:asciiTheme="majorBidi" w:eastAsia="Calibri Light" w:hAnsiTheme="majorBidi" w:cstheme="majorBidi"/>
          <w:color w:val="000000" w:themeColor="text1"/>
          <w:lang w:val="es-ES"/>
        </w:rPr>
        <w:t xml:space="preserve"> </w:t>
      </w:r>
      <w:r w:rsidR="00ED1B13" w:rsidRPr="00ED1B13">
        <w:rPr>
          <w:rFonts w:asciiTheme="majorBidi" w:eastAsia="Calibri Light" w:hAnsiTheme="majorBidi" w:cstheme="majorBidi"/>
          <w:color w:val="000000" w:themeColor="text1"/>
          <w:lang w:val="es-ES"/>
        </w:rPr>
        <w:t>un menor número de hijos e hijas (3.0)</w:t>
      </w:r>
      <w:r w:rsidR="00ED1B13">
        <w:rPr>
          <w:rStyle w:val="Refdenotaalpie"/>
          <w:rFonts w:asciiTheme="majorBidi" w:eastAsia="Calibri Light" w:hAnsiTheme="majorBidi"/>
          <w:color w:val="000000" w:themeColor="text1"/>
          <w:lang w:val="es-ES"/>
        </w:rPr>
        <w:footnoteReference w:id="16"/>
      </w:r>
      <w:r w:rsidR="00ED1B13" w:rsidRPr="00ED1B13">
        <w:rPr>
          <w:rFonts w:asciiTheme="majorBidi" w:eastAsia="Calibri Light" w:hAnsiTheme="majorBidi" w:cstheme="majorBidi"/>
          <w:color w:val="000000" w:themeColor="text1"/>
          <w:lang w:val="es-ES"/>
        </w:rPr>
        <w:t>.</w:t>
      </w:r>
      <w:r w:rsidR="00873265">
        <w:rPr>
          <w:rFonts w:asciiTheme="majorBidi" w:eastAsia="Calibri Light" w:hAnsiTheme="majorBidi" w:cstheme="majorBidi"/>
          <w:color w:val="000000" w:themeColor="text1"/>
          <w:lang w:val="es-ES"/>
        </w:rPr>
        <w:t xml:space="preserve"> Estos datos disminuyen a medida que las mujeres accede</w:t>
      </w:r>
      <w:r w:rsidR="00363B90">
        <w:rPr>
          <w:rFonts w:asciiTheme="majorBidi" w:eastAsia="Calibri Light" w:hAnsiTheme="majorBidi" w:cstheme="majorBidi"/>
          <w:color w:val="000000" w:themeColor="text1"/>
          <w:lang w:val="es-ES"/>
        </w:rPr>
        <w:t>n</w:t>
      </w:r>
      <w:r w:rsidR="00873265">
        <w:rPr>
          <w:rFonts w:asciiTheme="majorBidi" w:eastAsia="Calibri Light" w:hAnsiTheme="majorBidi" w:cstheme="majorBidi"/>
          <w:color w:val="000000" w:themeColor="text1"/>
          <w:lang w:val="es-ES"/>
        </w:rPr>
        <w:t xml:space="preserve"> a mayores oportunidades de educación. </w:t>
      </w:r>
      <w:r w:rsidR="00873265" w:rsidRPr="00873265">
        <w:rPr>
          <w:rFonts w:asciiTheme="majorBidi" w:eastAsia="Calibri Light" w:hAnsiTheme="majorBidi" w:cstheme="majorBidi"/>
          <w:color w:val="000000" w:themeColor="text1"/>
          <w:lang w:val="es-ES"/>
        </w:rPr>
        <w:t>El porcentaje de partos en</w:t>
      </w:r>
      <w:r w:rsidR="00873265">
        <w:rPr>
          <w:rFonts w:asciiTheme="majorBidi" w:eastAsia="Calibri Light" w:hAnsiTheme="majorBidi" w:cstheme="majorBidi"/>
          <w:color w:val="000000" w:themeColor="text1"/>
          <w:lang w:val="es-ES"/>
        </w:rPr>
        <w:t xml:space="preserve"> </w:t>
      </w:r>
      <w:r w:rsidR="00873265" w:rsidRPr="00873265">
        <w:rPr>
          <w:rFonts w:asciiTheme="majorBidi" w:eastAsia="Calibri Light" w:hAnsiTheme="majorBidi" w:cstheme="majorBidi"/>
          <w:color w:val="000000" w:themeColor="text1"/>
          <w:lang w:val="es-ES"/>
        </w:rPr>
        <w:t>casa en el área rural (44.6%) supera en más de</w:t>
      </w:r>
      <w:r w:rsidR="00873265">
        <w:rPr>
          <w:rFonts w:asciiTheme="majorBidi" w:eastAsia="Calibri Light" w:hAnsiTheme="majorBidi" w:cstheme="majorBidi"/>
          <w:color w:val="000000" w:themeColor="text1"/>
          <w:lang w:val="es-ES"/>
        </w:rPr>
        <w:t xml:space="preserve"> </w:t>
      </w:r>
      <w:r w:rsidR="00873265" w:rsidRPr="00873265">
        <w:rPr>
          <w:rFonts w:asciiTheme="majorBidi" w:eastAsia="Calibri Light" w:hAnsiTheme="majorBidi" w:cstheme="majorBidi"/>
          <w:color w:val="000000" w:themeColor="text1"/>
          <w:lang w:val="es-ES"/>
        </w:rPr>
        <w:t>10 puntos porcentuales al porcentaje a nivel nacional</w:t>
      </w:r>
      <w:r w:rsidR="00873265">
        <w:rPr>
          <w:rFonts w:asciiTheme="majorBidi" w:eastAsia="Calibri Light" w:hAnsiTheme="majorBidi" w:cstheme="majorBidi"/>
          <w:color w:val="000000" w:themeColor="text1"/>
          <w:lang w:val="es-ES"/>
        </w:rPr>
        <w:t xml:space="preserve"> </w:t>
      </w:r>
      <w:r w:rsidR="00873265" w:rsidRPr="00873265">
        <w:rPr>
          <w:rFonts w:asciiTheme="majorBidi" w:eastAsia="Calibri Light" w:hAnsiTheme="majorBidi" w:cstheme="majorBidi"/>
          <w:color w:val="000000" w:themeColor="text1"/>
          <w:lang w:val="es-ES"/>
        </w:rPr>
        <w:t>(34.4%)</w:t>
      </w:r>
      <w:r w:rsidR="00873265">
        <w:rPr>
          <w:rStyle w:val="Refdenotaalpie"/>
          <w:rFonts w:asciiTheme="majorBidi" w:eastAsia="Calibri Light" w:hAnsiTheme="majorBidi"/>
          <w:color w:val="000000" w:themeColor="text1"/>
          <w:lang w:val="es-ES"/>
        </w:rPr>
        <w:footnoteReference w:id="17"/>
      </w:r>
      <w:r w:rsidR="005E0664">
        <w:rPr>
          <w:rFonts w:asciiTheme="majorBidi" w:eastAsia="Calibri Light" w:hAnsiTheme="majorBidi" w:cstheme="majorBidi"/>
          <w:color w:val="000000" w:themeColor="text1"/>
          <w:lang w:val="es-ES"/>
        </w:rPr>
        <w:t>.</w:t>
      </w:r>
    </w:p>
    <w:p w14:paraId="76B65C68" w14:textId="2491F9FE" w:rsidR="005E0664" w:rsidRDefault="005E0664" w:rsidP="005E0664">
      <w:pPr>
        <w:jc w:val="both"/>
        <w:rPr>
          <w:rFonts w:asciiTheme="majorBidi" w:eastAsia="Calibri Light" w:hAnsiTheme="majorBidi" w:cstheme="majorBidi"/>
          <w:color w:val="000000" w:themeColor="text1"/>
          <w:lang w:val="es-ES"/>
        </w:rPr>
      </w:pPr>
      <w:r>
        <w:rPr>
          <w:rFonts w:asciiTheme="majorBidi" w:eastAsia="Calibri Light" w:hAnsiTheme="majorBidi" w:cstheme="majorBidi"/>
          <w:color w:val="000000" w:themeColor="text1"/>
          <w:lang w:val="es-ES"/>
        </w:rPr>
        <w:t>En el ámbito laboral, e</w:t>
      </w:r>
      <w:r w:rsidRPr="005E0664">
        <w:rPr>
          <w:rFonts w:asciiTheme="majorBidi" w:eastAsia="Calibri Light" w:hAnsiTheme="majorBidi" w:cstheme="majorBidi"/>
          <w:color w:val="000000" w:themeColor="text1"/>
          <w:lang w:val="es-ES"/>
        </w:rPr>
        <w:t>n el caso</w:t>
      </w:r>
      <w:r>
        <w:rPr>
          <w:rFonts w:asciiTheme="majorBidi" w:eastAsia="Calibri Light" w:hAnsiTheme="majorBidi" w:cstheme="majorBidi"/>
          <w:color w:val="000000" w:themeColor="text1"/>
          <w:lang w:val="es-ES"/>
        </w:rPr>
        <w:t xml:space="preserve"> </w:t>
      </w:r>
      <w:r w:rsidRPr="005E0664">
        <w:rPr>
          <w:rFonts w:asciiTheme="majorBidi" w:eastAsia="Calibri Light" w:hAnsiTheme="majorBidi" w:cstheme="majorBidi"/>
          <w:color w:val="000000" w:themeColor="text1"/>
          <w:lang w:val="es-ES"/>
        </w:rPr>
        <w:t>del pueblo maya, tres de cada cuatro</w:t>
      </w:r>
      <w:r>
        <w:rPr>
          <w:rFonts w:asciiTheme="majorBidi" w:eastAsia="Calibri Light" w:hAnsiTheme="majorBidi" w:cstheme="majorBidi"/>
          <w:color w:val="000000" w:themeColor="text1"/>
          <w:lang w:val="es-ES"/>
        </w:rPr>
        <w:t xml:space="preserve"> </w:t>
      </w:r>
      <w:r w:rsidRPr="005E0664">
        <w:rPr>
          <w:rFonts w:asciiTheme="majorBidi" w:eastAsia="Calibri Light" w:hAnsiTheme="majorBidi" w:cstheme="majorBidi"/>
          <w:color w:val="000000" w:themeColor="text1"/>
          <w:lang w:val="es-ES"/>
        </w:rPr>
        <w:t>son hombres y solamente una</w:t>
      </w:r>
      <w:r>
        <w:rPr>
          <w:rFonts w:asciiTheme="majorBidi" w:eastAsia="Calibri Light" w:hAnsiTheme="majorBidi" w:cstheme="majorBidi"/>
          <w:color w:val="000000" w:themeColor="text1"/>
          <w:lang w:val="es-ES"/>
        </w:rPr>
        <w:t xml:space="preserve"> </w:t>
      </w:r>
      <w:r w:rsidRPr="005E0664">
        <w:rPr>
          <w:rFonts w:asciiTheme="majorBidi" w:eastAsia="Calibri Light" w:hAnsiTheme="majorBidi" w:cstheme="majorBidi"/>
          <w:color w:val="000000" w:themeColor="text1"/>
          <w:lang w:val="es-ES"/>
        </w:rPr>
        <w:t>mujer se incluye</w:t>
      </w:r>
      <w:r>
        <w:rPr>
          <w:rFonts w:asciiTheme="majorBidi" w:eastAsia="Calibri Light" w:hAnsiTheme="majorBidi" w:cstheme="majorBidi"/>
          <w:color w:val="000000" w:themeColor="text1"/>
          <w:lang w:val="es-ES"/>
        </w:rPr>
        <w:t xml:space="preserve"> </w:t>
      </w:r>
      <w:r w:rsidRPr="005E0664">
        <w:rPr>
          <w:rFonts w:asciiTheme="majorBidi" w:eastAsia="Calibri Light" w:hAnsiTheme="majorBidi" w:cstheme="majorBidi"/>
          <w:color w:val="000000" w:themeColor="text1"/>
          <w:lang w:val="es-ES"/>
        </w:rPr>
        <w:t xml:space="preserve">en la </w:t>
      </w:r>
      <w:r w:rsidR="00A20CD7">
        <w:rPr>
          <w:rFonts w:asciiTheme="majorBidi" w:eastAsia="Calibri Light" w:hAnsiTheme="majorBidi" w:cstheme="majorBidi"/>
          <w:color w:val="000000" w:themeColor="text1"/>
          <w:lang w:val="es-ES"/>
        </w:rPr>
        <w:t>Población Económicamente Activa- PE</w:t>
      </w:r>
      <w:r w:rsidRPr="00A20CD7">
        <w:rPr>
          <w:rFonts w:asciiTheme="majorBidi" w:eastAsia="Calibri Light" w:hAnsiTheme="majorBidi" w:cstheme="majorBidi"/>
          <w:color w:val="000000" w:themeColor="text1"/>
          <w:lang w:val="es-ES"/>
        </w:rPr>
        <w:t>A (74</w:t>
      </w:r>
      <w:r w:rsidRPr="005E0664">
        <w:rPr>
          <w:rFonts w:asciiTheme="majorBidi" w:eastAsia="Calibri Light" w:hAnsiTheme="majorBidi" w:cstheme="majorBidi"/>
          <w:color w:val="000000" w:themeColor="text1"/>
          <w:lang w:val="es-ES"/>
        </w:rPr>
        <w:t>.4% hombres y 25.6% mujeres);</w:t>
      </w:r>
      <w:r>
        <w:rPr>
          <w:rFonts w:asciiTheme="majorBidi" w:eastAsia="Calibri Light" w:hAnsiTheme="majorBidi" w:cstheme="majorBidi"/>
          <w:color w:val="000000" w:themeColor="text1"/>
          <w:lang w:val="es-ES"/>
        </w:rPr>
        <w:t xml:space="preserve"> </w:t>
      </w:r>
      <w:r w:rsidRPr="005E0664">
        <w:rPr>
          <w:rFonts w:asciiTheme="majorBidi" w:eastAsia="Calibri Light" w:hAnsiTheme="majorBidi" w:cstheme="majorBidi"/>
          <w:color w:val="000000" w:themeColor="text1"/>
          <w:lang w:val="es-ES"/>
        </w:rPr>
        <w:t>en el pueblo xinka esta diferencia se ahonda aún</w:t>
      </w:r>
      <w:r>
        <w:rPr>
          <w:rFonts w:asciiTheme="majorBidi" w:eastAsia="Calibri Light" w:hAnsiTheme="majorBidi" w:cstheme="majorBidi"/>
          <w:color w:val="000000" w:themeColor="text1"/>
          <w:lang w:val="es-ES"/>
        </w:rPr>
        <w:t xml:space="preserve"> </w:t>
      </w:r>
      <w:r w:rsidRPr="005E0664">
        <w:rPr>
          <w:rFonts w:asciiTheme="majorBidi" w:eastAsia="Calibri Light" w:hAnsiTheme="majorBidi" w:cstheme="majorBidi"/>
          <w:color w:val="000000" w:themeColor="text1"/>
          <w:lang w:val="es-ES"/>
        </w:rPr>
        <w:t>más, ya que los hombres representan el 80.6% de</w:t>
      </w:r>
      <w:r>
        <w:rPr>
          <w:rFonts w:asciiTheme="majorBidi" w:eastAsia="Calibri Light" w:hAnsiTheme="majorBidi" w:cstheme="majorBidi"/>
          <w:color w:val="000000" w:themeColor="text1"/>
          <w:lang w:val="es-ES"/>
        </w:rPr>
        <w:t xml:space="preserve"> </w:t>
      </w:r>
      <w:r w:rsidRPr="005E0664">
        <w:rPr>
          <w:rFonts w:asciiTheme="majorBidi" w:eastAsia="Calibri Light" w:hAnsiTheme="majorBidi" w:cstheme="majorBidi"/>
          <w:color w:val="000000" w:themeColor="text1"/>
          <w:lang w:val="es-ES"/>
        </w:rPr>
        <w:t>la PEA, mientras las mujeres solamente el 19.4%</w:t>
      </w:r>
      <w:r>
        <w:rPr>
          <w:rStyle w:val="Refdenotaalpie"/>
          <w:rFonts w:asciiTheme="majorBidi" w:eastAsia="Calibri Light" w:hAnsiTheme="majorBidi"/>
          <w:color w:val="000000" w:themeColor="text1"/>
          <w:lang w:val="es-ES"/>
        </w:rPr>
        <w:footnoteReference w:id="18"/>
      </w:r>
      <w:r w:rsidRPr="005E0664">
        <w:rPr>
          <w:rFonts w:asciiTheme="majorBidi" w:eastAsia="Calibri Light" w:hAnsiTheme="majorBidi" w:cstheme="majorBidi"/>
          <w:color w:val="000000" w:themeColor="text1"/>
          <w:lang w:val="es-ES"/>
        </w:rPr>
        <w:t>.</w:t>
      </w:r>
      <w:r>
        <w:rPr>
          <w:rFonts w:asciiTheme="majorBidi" w:eastAsia="Calibri Light" w:hAnsiTheme="majorBidi" w:cstheme="majorBidi"/>
          <w:color w:val="000000" w:themeColor="text1"/>
          <w:lang w:val="es-ES"/>
        </w:rPr>
        <w:t xml:space="preserve"> </w:t>
      </w:r>
    </w:p>
    <w:p w14:paraId="0B535929" w14:textId="44652016" w:rsidR="00FD3A57" w:rsidRDefault="00FD3A57" w:rsidP="00FD3A57">
      <w:pPr>
        <w:jc w:val="both"/>
        <w:rPr>
          <w:rFonts w:asciiTheme="majorBidi" w:eastAsia="Calibri Light" w:hAnsiTheme="majorBidi" w:cstheme="majorBidi"/>
          <w:color w:val="000000" w:themeColor="text1"/>
          <w:lang w:val="es-ES"/>
        </w:rPr>
      </w:pPr>
      <w:r>
        <w:rPr>
          <w:rFonts w:asciiTheme="majorBidi" w:eastAsia="Calibri Light" w:hAnsiTheme="majorBidi" w:cstheme="majorBidi"/>
          <w:color w:val="000000" w:themeColor="text1"/>
          <w:lang w:val="es-ES"/>
        </w:rPr>
        <w:t xml:space="preserve">La situación de las mujeres indígenas en pleno 2025 está matizada por los efectos de los roles y estereotipos de género que las colocan en las mayores desventajas y brechas de desigualdad, experimentan los efectos de las dinámicas de la migración al constituir hogares monoparentales con jefatura femenina tal como lo muestran datos de recepción de remesas en casos de </w:t>
      </w:r>
      <w:r w:rsidRPr="00FD3A57">
        <w:rPr>
          <w:rFonts w:asciiTheme="majorBidi" w:eastAsia="Calibri Light" w:hAnsiTheme="majorBidi" w:cstheme="majorBidi"/>
          <w:color w:val="000000" w:themeColor="text1"/>
          <w:lang w:val="es-ES"/>
        </w:rPr>
        <w:t>pueblos maya y</w:t>
      </w:r>
      <w:r>
        <w:rPr>
          <w:rFonts w:asciiTheme="majorBidi" w:eastAsia="Calibri Light" w:hAnsiTheme="majorBidi" w:cstheme="majorBidi"/>
          <w:color w:val="000000" w:themeColor="text1"/>
          <w:lang w:val="es-ES"/>
        </w:rPr>
        <w:t xml:space="preserve"> </w:t>
      </w:r>
      <w:r w:rsidRPr="00FD3A57">
        <w:rPr>
          <w:rFonts w:asciiTheme="majorBidi" w:eastAsia="Calibri Light" w:hAnsiTheme="majorBidi" w:cstheme="majorBidi"/>
          <w:color w:val="000000" w:themeColor="text1"/>
          <w:lang w:val="es-ES"/>
        </w:rPr>
        <w:t>xinka (18.6% y 15.6%, respectivamente)</w:t>
      </w:r>
      <w:r>
        <w:rPr>
          <w:rStyle w:val="Refdenotaalpie"/>
          <w:rFonts w:asciiTheme="majorBidi" w:eastAsia="Calibri Light" w:hAnsiTheme="majorBidi"/>
          <w:color w:val="000000" w:themeColor="text1"/>
          <w:lang w:val="es-ES"/>
        </w:rPr>
        <w:footnoteReference w:id="19"/>
      </w:r>
      <w:r w:rsidRPr="00FD3A57">
        <w:rPr>
          <w:rFonts w:asciiTheme="majorBidi" w:eastAsia="Calibri Light" w:hAnsiTheme="majorBidi" w:cstheme="majorBidi"/>
          <w:color w:val="000000" w:themeColor="text1"/>
          <w:lang w:val="es-ES"/>
        </w:rPr>
        <w:t>.</w:t>
      </w:r>
      <w:r>
        <w:rPr>
          <w:rFonts w:asciiTheme="majorBidi" w:eastAsia="Calibri Light" w:hAnsiTheme="majorBidi" w:cstheme="majorBidi"/>
          <w:color w:val="000000" w:themeColor="text1"/>
          <w:lang w:val="es-ES"/>
        </w:rPr>
        <w:t xml:space="preserve"> </w:t>
      </w:r>
    </w:p>
    <w:p w14:paraId="0708D76C" w14:textId="5DFE7926" w:rsidR="007D63D0" w:rsidRDefault="00B537F6" w:rsidP="0020507A">
      <w:pPr>
        <w:jc w:val="both"/>
        <w:rPr>
          <w:rFonts w:asciiTheme="majorBidi" w:eastAsia="Calibri Light" w:hAnsiTheme="majorBidi" w:cstheme="majorBidi"/>
          <w:color w:val="000000" w:themeColor="text1"/>
          <w:lang w:val="es-ES"/>
        </w:rPr>
      </w:pPr>
      <w:r>
        <w:rPr>
          <w:rFonts w:asciiTheme="majorBidi" w:eastAsia="Calibri Light" w:hAnsiTheme="majorBidi" w:cstheme="majorBidi"/>
          <w:color w:val="000000" w:themeColor="text1"/>
          <w:lang w:val="es-ES"/>
        </w:rPr>
        <w:t>En materia de vivienda, e</w:t>
      </w:r>
      <w:r w:rsidRPr="00B537F6">
        <w:rPr>
          <w:rFonts w:asciiTheme="majorBidi" w:eastAsia="Calibri Light" w:hAnsiTheme="majorBidi" w:cstheme="majorBidi"/>
          <w:color w:val="000000" w:themeColor="text1"/>
          <w:lang w:val="es-ES"/>
        </w:rPr>
        <w:t>ntre los pueblos indígenas</w:t>
      </w:r>
      <w:r>
        <w:rPr>
          <w:rFonts w:asciiTheme="majorBidi" w:eastAsia="Calibri Light" w:hAnsiTheme="majorBidi" w:cstheme="majorBidi"/>
          <w:color w:val="000000" w:themeColor="text1"/>
          <w:lang w:val="es-ES"/>
        </w:rPr>
        <w:t xml:space="preserve"> </w:t>
      </w:r>
      <w:r w:rsidRPr="00B537F6">
        <w:rPr>
          <w:rFonts w:asciiTheme="majorBidi" w:eastAsia="Calibri Light" w:hAnsiTheme="majorBidi" w:cstheme="majorBidi"/>
          <w:color w:val="000000" w:themeColor="text1"/>
          <w:lang w:val="es-ES"/>
        </w:rPr>
        <w:t>los</w:t>
      </w:r>
      <w:r>
        <w:rPr>
          <w:rFonts w:asciiTheme="majorBidi" w:eastAsia="Calibri Light" w:hAnsiTheme="majorBidi" w:cstheme="majorBidi"/>
          <w:color w:val="000000" w:themeColor="text1"/>
          <w:lang w:val="es-ES"/>
        </w:rPr>
        <w:t xml:space="preserve"> </w:t>
      </w:r>
      <w:r w:rsidRPr="00B537F6">
        <w:rPr>
          <w:rFonts w:asciiTheme="majorBidi" w:eastAsia="Calibri Light" w:hAnsiTheme="majorBidi" w:cstheme="majorBidi"/>
          <w:color w:val="000000" w:themeColor="text1"/>
          <w:lang w:val="es-ES"/>
        </w:rPr>
        <w:t>hombres mayas (62.7%) ostentan la condición de</w:t>
      </w:r>
      <w:r>
        <w:rPr>
          <w:rFonts w:asciiTheme="majorBidi" w:eastAsia="Calibri Light" w:hAnsiTheme="majorBidi" w:cstheme="majorBidi"/>
          <w:color w:val="000000" w:themeColor="text1"/>
          <w:lang w:val="es-ES"/>
        </w:rPr>
        <w:t xml:space="preserve"> </w:t>
      </w:r>
      <w:r w:rsidRPr="00B537F6">
        <w:rPr>
          <w:rFonts w:asciiTheme="majorBidi" w:eastAsia="Calibri Light" w:hAnsiTheme="majorBidi" w:cstheme="majorBidi"/>
          <w:color w:val="000000" w:themeColor="text1"/>
          <w:lang w:val="es-ES"/>
        </w:rPr>
        <w:t>propietarios tres veces más de lo que lo hacen las</w:t>
      </w:r>
      <w:r>
        <w:rPr>
          <w:rFonts w:asciiTheme="majorBidi" w:eastAsia="Calibri Light" w:hAnsiTheme="majorBidi" w:cstheme="majorBidi"/>
          <w:color w:val="000000" w:themeColor="text1"/>
          <w:lang w:val="es-ES"/>
        </w:rPr>
        <w:t xml:space="preserve"> </w:t>
      </w:r>
      <w:r w:rsidRPr="00B537F6">
        <w:rPr>
          <w:rFonts w:asciiTheme="majorBidi" w:eastAsia="Calibri Light" w:hAnsiTheme="majorBidi" w:cstheme="majorBidi"/>
          <w:color w:val="000000" w:themeColor="text1"/>
          <w:lang w:val="es-ES"/>
        </w:rPr>
        <w:t>mujeres (18.8%), mientras la posesión conjunta</w:t>
      </w:r>
      <w:r>
        <w:rPr>
          <w:rFonts w:asciiTheme="majorBidi" w:eastAsia="Calibri Light" w:hAnsiTheme="majorBidi" w:cstheme="majorBidi"/>
          <w:color w:val="000000" w:themeColor="text1"/>
          <w:lang w:val="es-ES"/>
        </w:rPr>
        <w:t xml:space="preserve"> </w:t>
      </w:r>
      <w:r w:rsidRPr="00B537F6">
        <w:rPr>
          <w:rFonts w:asciiTheme="majorBidi" w:eastAsia="Calibri Light" w:hAnsiTheme="majorBidi" w:cstheme="majorBidi"/>
          <w:color w:val="000000" w:themeColor="text1"/>
          <w:lang w:val="es-ES"/>
        </w:rPr>
        <w:t>de una vivienda se produce en el 16.9% de los</w:t>
      </w:r>
      <w:r>
        <w:rPr>
          <w:rFonts w:asciiTheme="majorBidi" w:eastAsia="Calibri Light" w:hAnsiTheme="majorBidi" w:cstheme="majorBidi"/>
          <w:color w:val="000000" w:themeColor="text1"/>
          <w:lang w:val="es-ES"/>
        </w:rPr>
        <w:t xml:space="preserve"> </w:t>
      </w:r>
      <w:r w:rsidRPr="00B537F6">
        <w:rPr>
          <w:rFonts w:asciiTheme="majorBidi" w:eastAsia="Calibri Light" w:hAnsiTheme="majorBidi" w:cstheme="majorBidi"/>
          <w:color w:val="000000" w:themeColor="text1"/>
          <w:lang w:val="es-ES"/>
        </w:rPr>
        <w:t>casos</w:t>
      </w:r>
      <w:r w:rsidR="00422CCF">
        <w:rPr>
          <w:rFonts w:asciiTheme="majorBidi" w:eastAsia="Calibri Light" w:hAnsiTheme="majorBidi" w:cstheme="majorBidi"/>
          <w:color w:val="000000" w:themeColor="text1"/>
          <w:lang w:val="es-ES"/>
        </w:rPr>
        <w:t xml:space="preserve">. </w:t>
      </w:r>
      <w:r w:rsidR="00422CCF" w:rsidRPr="00422CCF">
        <w:rPr>
          <w:rFonts w:asciiTheme="majorBidi" w:eastAsia="Calibri Light" w:hAnsiTheme="majorBidi" w:cstheme="majorBidi"/>
          <w:color w:val="000000" w:themeColor="text1"/>
          <w:lang w:val="es-ES"/>
        </w:rPr>
        <w:t>En el pueblo xinka la proporción de viviendas</w:t>
      </w:r>
      <w:r w:rsidR="00422CCF">
        <w:rPr>
          <w:rFonts w:asciiTheme="majorBidi" w:eastAsia="Calibri Light" w:hAnsiTheme="majorBidi" w:cstheme="majorBidi"/>
          <w:color w:val="000000" w:themeColor="text1"/>
          <w:lang w:val="es-ES"/>
        </w:rPr>
        <w:t xml:space="preserve"> </w:t>
      </w:r>
      <w:r w:rsidR="00422CCF" w:rsidRPr="00422CCF">
        <w:rPr>
          <w:rFonts w:asciiTheme="majorBidi" w:eastAsia="Calibri Light" w:hAnsiTheme="majorBidi" w:cstheme="majorBidi"/>
          <w:color w:val="000000" w:themeColor="text1"/>
          <w:lang w:val="es-ES"/>
        </w:rPr>
        <w:t>en posesión conjunta (21.1%) supera a la de</w:t>
      </w:r>
      <w:r w:rsidR="00422CCF">
        <w:rPr>
          <w:rFonts w:asciiTheme="majorBidi" w:eastAsia="Calibri Light" w:hAnsiTheme="majorBidi" w:cstheme="majorBidi"/>
          <w:color w:val="000000" w:themeColor="text1"/>
          <w:lang w:val="es-ES"/>
        </w:rPr>
        <w:t xml:space="preserve"> </w:t>
      </w:r>
      <w:r w:rsidR="00422CCF" w:rsidRPr="00422CCF">
        <w:rPr>
          <w:rFonts w:asciiTheme="majorBidi" w:eastAsia="Calibri Light" w:hAnsiTheme="majorBidi" w:cstheme="majorBidi"/>
          <w:color w:val="000000" w:themeColor="text1"/>
          <w:lang w:val="es-ES"/>
        </w:rPr>
        <w:t>la propiedad femenina (20.9%) y ambas se ubican</w:t>
      </w:r>
      <w:r w:rsidR="00422CCF">
        <w:rPr>
          <w:rFonts w:asciiTheme="majorBidi" w:eastAsia="Calibri Light" w:hAnsiTheme="majorBidi" w:cstheme="majorBidi"/>
          <w:color w:val="000000" w:themeColor="text1"/>
          <w:lang w:val="es-ES"/>
        </w:rPr>
        <w:t xml:space="preserve"> </w:t>
      </w:r>
      <w:r w:rsidR="00422CCF" w:rsidRPr="00422CCF">
        <w:rPr>
          <w:rFonts w:asciiTheme="majorBidi" w:eastAsia="Calibri Light" w:hAnsiTheme="majorBidi" w:cstheme="majorBidi"/>
          <w:color w:val="000000" w:themeColor="text1"/>
          <w:lang w:val="es-ES"/>
        </w:rPr>
        <w:t>por lo menos 35 puntos porcentuales abajo</w:t>
      </w:r>
      <w:r w:rsidR="00422CCF">
        <w:rPr>
          <w:rFonts w:asciiTheme="majorBidi" w:eastAsia="Calibri Light" w:hAnsiTheme="majorBidi" w:cstheme="majorBidi"/>
          <w:color w:val="000000" w:themeColor="text1"/>
          <w:lang w:val="es-ES"/>
        </w:rPr>
        <w:t xml:space="preserve"> </w:t>
      </w:r>
      <w:r w:rsidR="00422CCF" w:rsidRPr="00422CCF">
        <w:rPr>
          <w:rFonts w:asciiTheme="majorBidi" w:eastAsia="Calibri Light" w:hAnsiTheme="majorBidi" w:cstheme="majorBidi"/>
          <w:color w:val="000000" w:themeColor="text1"/>
          <w:lang w:val="es-ES"/>
        </w:rPr>
        <w:t>del porcentaje de hombres (57.3%)</w:t>
      </w:r>
      <w:r>
        <w:rPr>
          <w:rStyle w:val="Refdenotaalpie"/>
          <w:rFonts w:asciiTheme="majorBidi" w:eastAsia="Calibri Light" w:hAnsiTheme="majorBidi"/>
          <w:color w:val="000000" w:themeColor="text1"/>
          <w:lang w:val="es-ES"/>
        </w:rPr>
        <w:footnoteReference w:id="20"/>
      </w:r>
      <w:r w:rsidRPr="00B537F6">
        <w:rPr>
          <w:rFonts w:asciiTheme="majorBidi" w:eastAsia="Calibri Light" w:hAnsiTheme="majorBidi" w:cstheme="majorBidi"/>
          <w:color w:val="000000" w:themeColor="text1"/>
          <w:lang w:val="es-ES"/>
        </w:rPr>
        <w:t>.</w:t>
      </w:r>
    </w:p>
    <w:p w14:paraId="45A8D584" w14:textId="60EE46D2" w:rsidR="00F314B2" w:rsidRPr="00ED0382" w:rsidRDefault="00F314B2" w:rsidP="00ED0382">
      <w:pPr>
        <w:pStyle w:val="Prrafodelista"/>
        <w:numPr>
          <w:ilvl w:val="1"/>
          <w:numId w:val="7"/>
        </w:numPr>
        <w:jc w:val="both"/>
        <w:outlineLvl w:val="1"/>
        <w:rPr>
          <w:rFonts w:asciiTheme="majorBidi" w:eastAsia="Calibri Light" w:hAnsiTheme="majorBidi" w:cstheme="majorBidi"/>
          <w:b/>
          <w:bCs/>
          <w:color w:val="000000" w:themeColor="text1"/>
          <w:lang w:val="es-ES"/>
        </w:rPr>
      </w:pPr>
      <w:bookmarkStart w:id="4" w:name="_Toc204264028"/>
      <w:r w:rsidRPr="00ED0382">
        <w:rPr>
          <w:rFonts w:asciiTheme="majorBidi" w:eastAsia="Calibri Light" w:hAnsiTheme="majorBidi" w:cstheme="majorBidi"/>
          <w:b/>
          <w:bCs/>
          <w:color w:val="000000" w:themeColor="text1"/>
          <w:lang w:val="es-ES"/>
        </w:rPr>
        <w:t>Situación de</w:t>
      </w:r>
      <w:r w:rsidR="00625133" w:rsidRPr="00ED0382">
        <w:rPr>
          <w:rFonts w:asciiTheme="majorBidi" w:eastAsia="Calibri Light" w:hAnsiTheme="majorBidi" w:cstheme="majorBidi"/>
          <w:b/>
          <w:bCs/>
          <w:color w:val="000000" w:themeColor="text1"/>
          <w:lang w:val="es-ES"/>
        </w:rPr>
        <w:t xml:space="preserve"> derechos humanos</w:t>
      </w:r>
      <w:r w:rsidRPr="00ED0382">
        <w:rPr>
          <w:rFonts w:asciiTheme="majorBidi" w:eastAsia="Calibri Light" w:hAnsiTheme="majorBidi" w:cstheme="majorBidi"/>
          <w:b/>
          <w:bCs/>
          <w:color w:val="000000" w:themeColor="text1"/>
          <w:lang w:val="es-ES"/>
        </w:rPr>
        <w:t xml:space="preserve"> de personas jóvenes</w:t>
      </w:r>
      <w:r w:rsidR="00625133" w:rsidRPr="00ED0382">
        <w:rPr>
          <w:rFonts w:asciiTheme="majorBidi" w:eastAsia="Calibri Light" w:hAnsiTheme="majorBidi" w:cstheme="majorBidi"/>
          <w:b/>
          <w:bCs/>
          <w:color w:val="000000" w:themeColor="text1"/>
          <w:lang w:val="es-ES"/>
        </w:rPr>
        <w:t xml:space="preserve"> indígenas</w:t>
      </w:r>
      <w:bookmarkEnd w:id="4"/>
    </w:p>
    <w:p w14:paraId="06FA26A2" w14:textId="2D321768" w:rsidR="00F314B2" w:rsidRDefault="00EC0332" w:rsidP="000D2D59">
      <w:pPr>
        <w:jc w:val="both"/>
        <w:rPr>
          <w:rFonts w:asciiTheme="majorBidi" w:eastAsia="Calibri Light" w:hAnsiTheme="majorBidi" w:cstheme="majorBidi"/>
          <w:color w:val="000000" w:themeColor="text1"/>
          <w:lang w:val="es-ES"/>
        </w:rPr>
      </w:pPr>
      <w:r w:rsidRPr="000D2D59">
        <w:rPr>
          <w:rFonts w:asciiTheme="majorBidi" w:eastAsia="Calibri Light" w:hAnsiTheme="majorBidi" w:cstheme="majorBidi"/>
          <w:color w:val="000000" w:themeColor="text1"/>
          <w:lang w:val="es-ES"/>
        </w:rPr>
        <w:t>Persiste una preocupante falta de reconocimiento por parte del Estado a la participación legítima de las y los jóvenes indígenas</w:t>
      </w:r>
      <w:r w:rsidR="009C6507">
        <w:rPr>
          <w:rFonts w:asciiTheme="majorBidi" w:eastAsia="Calibri Light" w:hAnsiTheme="majorBidi" w:cstheme="majorBidi"/>
          <w:color w:val="000000" w:themeColor="text1"/>
          <w:lang w:val="es-ES"/>
        </w:rPr>
        <w:t xml:space="preserve"> y Afrodescendientes</w:t>
      </w:r>
      <w:r w:rsidRPr="000D2D59">
        <w:rPr>
          <w:rFonts w:asciiTheme="majorBidi" w:eastAsia="Calibri Light" w:hAnsiTheme="majorBidi" w:cstheme="majorBidi"/>
          <w:color w:val="000000" w:themeColor="text1"/>
          <w:lang w:val="es-ES"/>
        </w:rPr>
        <w:t>, en los espacios de toma de decisiones colectivas, como procesos de consulta, asambleas comunitarias y firmas de actas. Las mujeres jóvenes mayas enfrentan barreras estructurales aún más profundas, que limitan severamente su presencia en dichos espacios. En el caso de los hombres jóvenes, su participación suele restringirse a momentos específicos y subordinados dentro de los procesos comunitarios. Esta exclusión se ve agravada por la ausencia de formación política con pertinencia cultural y generacional, lo cual ha facilitado que algunos sectores instrumentalicen a la juventud indígena con fines ajenos a sus propios intereses y derechos. Esta situación evidencia el incumplimiento de las obligaciones del Estado en cuanto a garantizar el derecho a la participación política en condiciones de igualdad, de conformidad con los estándares internacionales de derechos humanos, en especial el derecho a la libre determinación de los pueblos indígenas.</w:t>
      </w:r>
    </w:p>
    <w:p w14:paraId="3233E3FE" w14:textId="77777777" w:rsidR="00F75CEB" w:rsidRDefault="00F75CEB" w:rsidP="000D2D59">
      <w:pPr>
        <w:jc w:val="both"/>
        <w:rPr>
          <w:rFonts w:asciiTheme="majorBidi" w:eastAsia="Calibri Light" w:hAnsiTheme="majorBidi" w:cstheme="majorBidi"/>
          <w:color w:val="000000" w:themeColor="text1"/>
          <w:lang w:val="es-ES"/>
        </w:rPr>
      </w:pPr>
    </w:p>
    <w:p w14:paraId="2E011023" w14:textId="77777777" w:rsidR="00F75CEB" w:rsidRPr="000D2D59" w:rsidRDefault="00F75CEB" w:rsidP="000D2D59">
      <w:pPr>
        <w:jc w:val="both"/>
        <w:rPr>
          <w:rFonts w:asciiTheme="majorBidi" w:eastAsia="Calibri Light" w:hAnsiTheme="majorBidi" w:cstheme="majorBidi"/>
          <w:color w:val="000000" w:themeColor="text1"/>
          <w:lang w:val="es-ES"/>
        </w:rPr>
      </w:pPr>
    </w:p>
    <w:p w14:paraId="68A9E443" w14:textId="77777777" w:rsidR="00F27322" w:rsidRPr="00144CA5" w:rsidRDefault="00F27322" w:rsidP="00197C3D">
      <w:pPr>
        <w:pStyle w:val="Prrafodelista"/>
        <w:numPr>
          <w:ilvl w:val="1"/>
          <w:numId w:val="7"/>
        </w:numPr>
        <w:jc w:val="both"/>
        <w:outlineLvl w:val="1"/>
        <w:rPr>
          <w:rFonts w:asciiTheme="majorBidi" w:hAnsiTheme="majorBidi" w:cstheme="majorBidi"/>
          <w:b/>
          <w:bCs/>
          <w:color w:val="000000" w:themeColor="text1"/>
          <w:lang w:val="es-ES"/>
        </w:rPr>
      </w:pPr>
      <w:bookmarkStart w:id="5" w:name="_Toc204264029"/>
      <w:r w:rsidRPr="00144CA5">
        <w:rPr>
          <w:rFonts w:asciiTheme="majorBidi" w:hAnsiTheme="majorBidi" w:cstheme="majorBidi"/>
          <w:b/>
          <w:bCs/>
          <w:color w:val="000000" w:themeColor="text1"/>
          <w:lang w:val="es-ES"/>
        </w:rPr>
        <w:t>Recomendaciones Generales</w:t>
      </w:r>
      <w:bookmarkEnd w:id="5"/>
    </w:p>
    <w:tbl>
      <w:tblPr>
        <w:tblStyle w:val="Tablaconcuadrcula"/>
        <w:tblW w:w="10632" w:type="dxa"/>
        <w:tblInd w:w="-998" w:type="dxa"/>
        <w:shd w:val="clear" w:color="auto" w:fill="FFF2CC" w:themeFill="accent4" w:themeFillTint="33"/>
        <w:tblLook w:val="04A0" w:firstRow="1" w:lastRow="0" w:firstColumn="1" w:lastColumn="0" w:noHBand="0" w:noVBand="1"/>
      </w:tblPr>
      <w:tblGrid>
        <w:gridCol w:w="10632"/>
      </w:tblGrid>
      <w:tr w:rsidR="0074162A" w:rsidRPr="009E2A0E" w14:paraId="13C808D1" w14:textId="77777777" w:rsidTr="00C65C44">
        <w:tc>
          <w:tcPr>
            <w:tcW w:w="10632" w:type="dxa"/>
            <w:shd w:val="clear" w:color="auto" w:fill="FFF2CC" w:themeFill="accent4" w:themeFillTint="33"/>
          </w:tcPr>
          <w:p w14:paraId="3E4FBB0F" w14:textId="5EF6CFF5" w:rsidR="0074162A" w:rsidRPr="009E2A0E" w:rsidRDefault="0074162A" w:rsidP="00197C3D">
            <w:pPr>
              <w:pStyle w:val="Prrafodelista"/>
              <w:numPr>
                <w:ilvl w:val="0"/>
                <w:numId w:val="12"/>
              </w:numPr>
              <w:spacing w:line="276" w:lineRule="auto"/>
              <w:rPr>
                <w:rFonts w:asciiTheme="majorBidi" w:eastAsia="Times New Roman" w:hAnsiTheme="majorBidi" w:cstheme="majorBidi"/>
                <w:i/>
                <w:iCs/>
                <w:color w:val="000000" w:themeColor="text1"/>
              </w:rPr>
            </w:pPr>
            <w:bookmarkStart w:id="6" w:name="_Hlk201066273"/>
            <w:r w:rsidRPr="0074162A">
              <w:rPr>
                <w:rFonts w:asciiTheme="majorBidi" w:eastAsia="Times New Roman" w:hAnsiTheme="majorBidi" w:cstheme="majorBidi"/>
                <w:i/>
                <w:iCs/>
                <w:color w:val="000000" w:themeColor="text1"/>
              </w:rPr>
              <w:t xml:space="preserve">Estado asegure la información desagregada en los procesos de elección y nombramiento en cargos públicos, resaltando las variables de sexo, étnico-racial, de ascendencia, por comunidad lingüística, discapacidad, LGTBIQ+, y los cargos en los diferentes órganos del Estado.  </w:t>
            </w:r>
          </w:p>
        </w:tc>
      </w:tr>
      <w:tr w:rsidR="0074162A" w:rsidRPr="009E2A0E" w14:paraId="6DD0FBF1" w14:textId="77777777" w:rsidTr="00C65C44">
        <w:tc>
          <w:tcPr>
            <w:tcW w:w="10632" w:type="dxa"/>
            <w:shd w:val="clear" w:color="auto" w:fill="FFF2CC" w:themeFill="accent4" w:themeFillTint="33"/>
          </w:tcPr>
          <w:p w14:paraId="384C9A87" w14:textId="13C289E2" w:rsidR="0074162A" w:rsidRPr="00F02288" w:rsidRDefault="00F02288" w:rsidP="00F02288">
            <w:pPr>
              <w:pStyle w:val="Prrafodelista"/>
              <w:numPr>
                <w:ilvl w:val="0"/>
                <w:numId w:val="12"/>
              </w:numPr>
              <w:spacing w:line="276" w:lineRule="auto"/>
              <w:rPr>
                <w:rFonts w:asciiTheme="majorBidi" w:eastAsia="Times New Roman" w:hAnsiTheme="majorBidi" w:cstheme="majorBidi"/>
                <w:i/>
                <w:iCs/>
                <w:color w:val="000000" w:themeColor="text1"/>
              </w:rPr>
            </w:pPr>
            <w:r w:rsidRPr="00F02288">
              <w:rPr>
                <w:rFonts w:asciiTheme="majorBidi" w:eastAsia="Times New Roman" w:hAnsiTheme="majorBidi" w:cstheme="majorBidi"/>
                <w:i/>
                <w:iCs/>
                <w:color w:val="000000" w:themeColor="text1"/>
              </w:rPr>
              <w:t xml:space="preserve">Institucionalizar los espacios de diálogo directo entre el </w:t>
            </w:r>
            <w:proofErr w:type="gramStart"/>
            <w:r w:rsidRPr="00F02288">
              <w:rPr>
                <w:rFonts w:asciiTheme="majorBidi" w:eastAsia="Times New Roman" w:hAnsiTheme="majorBidi" w:cstheme="majorBidi"/>
                <w:i/>
                <w:iCs/>
                <w:color w:val="000000" w:themeColor="text1"/>
              </w:rPr>
              <w:t>Presidente</w:t>
            </w:r>
            <w:proofErr w:type="gramEnd"/>
            <w:r w:rsidRPr="00F02288">
              <w:rPr>
                <w:rFonts w:asciiTheme="majorBidi" w:eastAsia="Times New Roman" w:hAnsiTheme="majorBidi" w:cstheme="majorBidi"/>
                <w:i/>
                <w:iCs/>
                <w:color w:val="000000" w:themeColor="text1"/>
              </w:rPr>
              <w:t xml:space="preserve"> de la República de Guatemala y las autoridades indígenas, a fin de asegurar la participación efectiva en la toma de decisiones relacionadas con disposiciones normativas, políticas públicas o reformas legislativas que impacten los derechos e intereses de los pueblos indígenas, en cumplimiento con el principio de consulta previa, libre e informada.</w:t>
            </w:r>
          </w:p>
        </w:tc>
      </w:tr>
      <w:tr w:rsidR="0074162A" w:rsidRPr="009E2A0E" w14:paraId="3E41648C" w14:textId="77777777" w:rsidTr="00C65C44">
        <w:tc>
          <w:tcPr>
            <w:tcW w:w="10632" w:type="dxa"/>
            <w:shd w:val="clear" w:color="auto" w:fill="FFF2CC" w:themeFill="accent4" w:themeFillTint="33"/>
          </w:tcPr>
          <w:p w14:paraId="62C1C221" w14:textId="709F39D5" w:rsidR="0074162A" w:rsidRPr="003F78CD" w:rsidRDefault="00C65C44" w:rsidP="00F02288">
            <w:pPr>
              <w:pStyle w:val="Prrafodelista"/>
              <w:numPr>
                <w:ilvl w:val="0"/>
                <w:numId w:val="12"/>
              </w:numPr>
              <w:spacing w:line="276" w:lineRule="auto"/>
              <w:rPr>
                <w:rFonts w:asciiTheme="majorBidi" w:eastAsia="Times New Roman" w:hAnsiTheme="majorBidi" w:cstheme="majorBidi"/>
                <w:i/>
                <w:iCs/>
                <w:color w:val="000000" w:themeColor="text1"/>
              </w:rPr>
            </w:pPr>
            <w:r w:rsidRPr="003F78CD">
              <w:rPr>
                <w:rFonts w:asciiTheme="majorBidi" w:eastAsia="Times New Roman" w:hAnsiTheme="majorBidi" w:cstheme="majorBidi"/>
                <w:i/>
                <w:iCs/>
                <w:color w:val="000000" w:themeColor="text1"/>
              </w:rPr>
              <w:t xml:space="preserve">Dado los desafíos en la implementación de sentencias relacionadas a los derechos de los Pueblos Indígenas, </w:t>
            </w:r>
            <w:r w:rsidR="00F02288" w:rsidRPr="003F78CD">
              <w:rPr>
                <w:rFonts w:asciiTheme="majorBidi" w:eastAsia="Times New Roman" w:hAnsiTheme="majorBidi" w:cstheme="majorBidi"/>
                <w:i/>
                <w:iCs/>
                <w:color w:val="000000" w:themeColor="text1"/>
              </w:rPr>
              <w:t xml:space="preserve">Exigir al Estado de Guatemala, en coordinación con los pueblos indígenas, la creación e implementación de marcos legales, presupuestarios y programáticos específicos que </w:t>
            </w:r>
            <w:r w:rsidR="00F02288" w:rsidRPr="00297131">
              <w:rPr>
                <w:rFonts w:asciiTheme="majorBidi" w:eastAsia="Times New Roman" w:hAnsiTheme="majorBidi" w:cstheme="majorBidi"/>
                <w:i/>
                <w:iCs/>
                <w:color w:val="000000" w:themeColor="text1"/>
              </w:rPr>
              <w:t>aseguren el cumplimiento efectivo de las sentencias nacionales e internacionales relacionadas con los derechos colectivos de los pueblos indígenas, incluyendo mecanismos de seguimiento y rendición de cuentas con particip</w:t>
            </w:r>
            <w:r w:rsidR="00F02288" w:rsidRPr="003F78CD">
              <w:rPr>
                <w:rFonts w:asciiTheme="majorBidi" w:eastAsia="Times New Roman" w:hAnsiTheme="majorBidi" w:cstheme="majorBidi"/>
                <w:i/>
                <w:iCs/>
                <w:color w:val="000000" w:themeColor="text1"/>
              </w:rPr>
              <w:t>ación directa de las comunidades afectadas.</w:t>
            </w:r>
          </w:p>
        </w:tc>
      </w:tr>
      <w:tr w:rsidR="003F78CD" w:rsidRPr="009E2A0E" w14:paraId="7AD8B2EA" w14:textId="77777777" w:rsidTr="00C65C44">
        <w:tc>
          <w:tcPr>
            <w:tcW w:w="10632" w:type="dxa"/>
            <w:shd w:val="clear" w:color="auto" w:fill="FFF2CC" w:themeFill="accent4" w:themeFillTint="33"/>
          </w:tcPr>
          <w:p w14:paraId="1ABA5EEF" w14:textId="0905E400" w:rsidR="003F78CD" w:rsidRPr="003F78CD" w:rsidRDefault="003F78CD" w:rsidP="00C65C44">
            <w:pPr>
              <w:pStyle w:val="Prrafodelista"/>
              <w:numPr>
                <w:ilvl w:val="0"/>
                <w:numId w:val="12"/>
              </w:numPr>
              <w:spacing w:line="276" w:lineRule="auto"/>
              <w:rPr>
                <w:rFonts w:asciiTheme="majorBidi" w:eastAsia="Times New Roman" w:hAnsiTheme="majorBidi" w:cstheme="majorBidi"/>
                <w:i/>
                <w:iCs/>
                <w:color w:val="000000" w:themeColor="text1"/>
              </w:rPr>
            </w:pPr>
            <w:r w:rsidRPr="003F78CD">
              <w:rPr>
                <w:rFonts w:asciiTheme="majorBidi" w:eastAsia="Times New Roman" w:hAnsiTheme="majorBidi" w:cstheme="majorBidi"/>
                <w:i/>
                <w:iCs/>
                <w:color w:val="000000" w:themeColor="text1"/>
              </w:rPr>
              <w:t>Adoptar medidas integrales, sostenidas y con enfoque interseccional para reducir las profundas brechas de desigualdad que enfrentan las mujeres indígenas, afrodescendientes y xinka. En particular, se urge al Estado a garantizar el acceso equitativo a la educación</w:t>
            </w:r>
            <w:r w:rsidR="00100355">
              <w:rPr>
                <w:rFonts w:asciiTheme="majorBidi" w:eastAsia="Times New Roman" w:hAnsiTheme="majorBidi" w:cstheme="majorBidi"/>
                <w:i/>
                <w:iCs/>
                <w:color w:val="000000" w:themeColor="text1"/>
              </w:rPr>
              <w:t xml:space="preserve"> y </w:t>
            </w:r>
            <w:r w:rsidRPr="003F78CD">
              <w:rPr>
                <w:rFonts w:asciiTheme="majorBidi" w:eastAsia="Times New Roman" w:hAnsiTheme="majorBidi" w:cstheme="majorBidi"/>
                <w:i/>
                <w:iCs/>
                <w:color w:val="000000" w:themeColor="text1"/>
              </w:rPr>
              <w:t>salud</w:t>
            </w:r>
            <w:r w:rsidR="00100355">
              <w:rPr>
                <w:rFonts w:asciiTheme="majorBidi" w:eastAsia="Times New Roman" w:hAnsiTheme="majorBidi" w:cstheme="majorBidi"/>
                <w:i/>
                <w:iCs/>
                <w:color w:val="000000" w:themeColor="text1"/>
              </w:rPr>
              <w:t xml:space="preserve"> </w:t>
            </w:r>
            <w:r w:rsidR="00E113E2">
              <w:rPr>
                <w:rFonts w:asciiTheme="majorBidi" w:eastAsia="Times New Roman" w:hAnsiTheme="majorBidi" w:cstheme="majorBidi"/>
                <w:i/>
                <w:iCs/>
                <w:color w:val="000000" w:themeColor="text1"/>
              </w:rPr>
              <w:t>de acuerdo con sus propias formas</w:t>
            </w:r>
            <w:r w:rsidR="004E3374">
              <w:rPr>
                <w:rFonts w:asciiTheme="majorBidi" w:eastAsia="Times New Roman" w:hAnsiTheme="majorBidi" w:cstheme="majorBidi"/>
                <w:i/>
                <w:iCs/>
                <w:color w:val="000000" w:themeColor="text1"/>
              </w:rPr>
              <w:t xml:space="preserve"> de vida</w:t>
            </w:r>
            <w:r w:rsidRPr="003F78CD">
              <w:rPr>
                <w:rFonts w:asciiTheme="majorBidi" w:eastAsia="Times New Roman" w:hAnsiTheme="majorBidi" w:cstheme="majorBidi"/>
                <w:i/>
                <w:iCs/>
                <w:color w:val="000000" w:themeColor="text1"/>
              </w:rPr>
              <w:t>, trabajo digno, propiedad de la tierra y participación política, eliminando barreras estructurales asociadas al género, etnicidad, idioma y territorio. Asimismo, el Estado debe desarrollar políticas públicas diferenciadas, con asignación presupuestaria específica, que reconozcan el rol esencial de las mujeres indígenas como transmisoras culturales y garantes de identidad, y que promuevan su liderazgo, autonomía económica y acceso a servicios con pertinencia cultural y lingüística. Se exhorta además a fortalecer la recolección de datos desagregados por sexo, identidad étnica y territorio, a fin de sustentar acciones afirmativas y mecanismos de rendición de cuentas.</w:t>
            </w:r>
          </w:p>
        </w:tc>
      </w:tr>
      <w:tr w:rsidR="00944EED" w:rsidRPr="009E2A0E" w14:paraId="4E686D8C" w14:textId="77777777" w:rsidTr="00C65C44">
        <w:tc>
          <w:tcPr>
            <w:tcW w:w="10632" w:type="dxa"/>
            <w:shd w:val="clear" w:color="auto" w:fill="FFF2CC" w:themeFill="accent4" w:themeFillTint="33"/>
          </w:tcPr>
          <w:p w14:paraId="5D8EE808" w14:textId="017A459D" w:rsidR="00944EED" w:rsidRPr="003F78CD" w:rsidRDefault="00944EED" w:rsidP="00944EED">
            <w:pPr>
              <w:pStyle w:val="Prrafodelista"/>
              <w:numPr>
                <w:ilvl w:val="0"/>
                <w:numId w:val="12"/>
              </w:numPr>
              <w:spacing w:line="276" w:lineRule="auto"/>
              <w:rPr>
                <w:rFonts w:asciiTheme="majorBidi" w:eastAsia="Times New Roman" w:hAnsiTheme="majorBidi" w:cstheme="majorBidi"/>
                <w:i/>
                <w:iCs/>
                <w:color w:val="000000" w:themeColor="text1"/>
              </w:rPr>
            </w:pPr>
            <w:r>
              <w:rPr>
                <w:rFonts w:asciiTheme="majorBidi" w:eastAsia="Times New Roman" w:hAnsiTheme="majorBidi" w:cstheme="majorBidi"/>
                <w:i/>
                <w:iCs/>
                <w:color w:val="000000" w:themeColor="text1"/>
              </w:rPr>
              <w:t>A</w:t>
            </w:r>
            <w:r w:rsidRPr="00944EED">
              <w:rPr>
                <w:rFonts w:asciiTheme="majorBidi" w:eastAsia="Times New Roman" w:hAnsiTheme="majorBidi" w:cstheme="majorBidi"/>
                <w:i/>
                <w:iCs/>
                <w:color w:val="000000" w:themeColor="text1"/>
              </w:rPr>
              <w:t>doptar medidas específicas para garantizar el reconocimiento y la promoción de la participación plena, informada y efectiva de las y los jóvenes indígenas</w:t>
            </w:r>
            <w:r w:rsidR="009C6507">
              <w:rPr>
                <w:rFonts w:asciiTheme="majorBidi" w:eastAsia="Calibri Light" w:hAnsiTheme="majorBidi" w:cstheme="majorBidi"/>
                <w:color w:val="000000" w:themeColor="text1"/>
                <w:lang w:val="es-ES"/>
              </w:rPr>
              <w:t xml:space="preserve"> </w:t>
            </w:r>
            <w:r w:rsidR="009C6507" w:rsidRPr="009C6507">
              <w:rPr>
                <w:rFonts w:asciiTheme="majorBidi" w:eastAsia="Times New Roman" w:hAnsiTheme="majorBidi" w:cstheme="majorBidi"/>
                <w:i/>
                <w:iCs/>
                <w:color w:val="000000" w:themeColor="text1"/>
              </w:rPr>
              <w:t>y Afrodescendientes</w:t>
            </w:r>
            <w:r w:rsidRPr="00944EED">
              <w:rPr>
                <w:rFonts w:asciiTheme="majorBidi" w:eastAsia="Times New Roman" w:hAnsiTheme="majorBidi" w:cstheme="majorBidi"/>
                <w:i/>
                <w:iCs/>
                <w:color w:val="000000" w:themeColor="text1"/>
              </w:rPr>
              <w:t>, en los espacios de toma de decisiones comunitarias, tales como consultas, asambleas y procesos de representación. Estas medidas deben incluir la creación de programas de formación política con enfoque intercultural, generacional y de género, así como el fomento de liderazgos juveniles en condiciones de igualdad.</w:t>
            </w:r>
          </w:p>
        </w:tc>
      </w:tr>
      <w:bookmarkEnd w:id="6"/>
    </w:tbl>
    <w:p w14:paraId="04A80EE3" w14:textId="77777777" w:rsidR="0074162A" w:rsidRPr="0074162A" w:rsidRDefault="0074162A" w:rsidP="002A6AD2">
      <w:pPr>
        <w:spacing w:before="120" w:after="120" w:line="276" w:lineRule="auto"/>
        <w:ind w:right="-20"/>
        <w:jc w:val="both"/>
        <w:rPr>
          <w:rFonts w:asciiTheme="majorBidi" w:eastAsia="Calibri Light" w:hAnsiTheme="majorBidi" w:cstheme="majorBidi"/>
          <w:color w:val="000000" w:themeColor="text1"/>
        </w:rPr>
      </w:pPr>
    </w:p>
    <w:p w14:paraId="4E6683C8" w14:textId="1B5B08DF" w:rsidR="00D77785" w:rsidRDefault="00D77785" w:rsidP="00D77785">
      <w:pPr>
        <w:jc w:val="both"/>
        <w:rPr>
          <w:rFonts w:asciiTheme="majorBidi" w:hAnsiTheme="majorBidi" w:cstheme="majorBidi"/>
          <w:color w:val="000000" w:themeColor="text1"/>
        </w:rPr>
      </w:pPr>
    </w:p>
    <w:p w14:paraId="665318BF" w14:textId="0E7019F9" w:rsidR="00FF0EEB" w:rsidRPr="00D77785" w:rsidRDefault="00FF0EEB" w:rsidP="00D77785">
      <w:pPr>
        <w:jc w:val="both"/>
        <w:rPr>
          <w:rFonts w:asciiTheme="majorBidi" w:hAnsiTheme="majorBidi" w:cstheme="majorBidi"/>
          <w:color w:val="000000" w:themeColor="text1"/>
        </w:rPr>
        <w:sectPr w:rsidR="00FF0EEB" w:rsidRPr="00D77785" w:rsidSect="00942341">
          <w:type w:val="continuous"/>
          <w:pgSz w:w="12240" w:h="15840"/>
          <w:pgMar w:top="1417" w:right="1701" w:bottom="1417" w:left="1701" w:header="708" w:footer="708" w:gutter="0"/>
          <w:pgNumType w:start="1"/>
          <w:cols w:space="708"/>
          <w:docGrid w:linePitch="360"/>
        </w:sectPr>
      </w:pPr>
    </w:p>
    <w:p w14:paraId="6FE92505" w14:textId="6A98BC19" w:rsidR="00296E20" w:rsidRPr="009E2A0E" w:rsidRDefault="00AB2641" w:rsidP="00197C3D">
      <w:pPr>
        <w:pStyle w:val="Prrafodelista"/>
        <w:numPr>
          <w:ilvl w:val="0"/>
          <w:numId w:val="7"/>
        </w:numPr>
        <w:outlineLvl w:val="0"/>
        <w:rPr>
          <w:rFonts w:asciiTheme="majorBidi" w:hAnsiTheme="majorBidi" w:cstheme="majorBidi"/>
          <w:b/>
          <w:bCs/>
          <w:color w:val="000000" w:themeColor="text1"/>
          <w:sz w:val="28"/>
          <w:szCs w:val="28"/>
          <w:lang w:val="es-MX"/>
        </w:rPr>
      </w:pPr>
      <w:bookmarkStart w:id="7" w:name="_Toc204264030"/>
      <w:r w:rsidRPr="009E2A0E">
        <w:rPr>
          <w:rFonts w:asciiTheme="majorBidi" w:hAnsiTheme="majorBidi" w:cstheme="majorBidi"/>
          <w:b/>
          <w:bCs/>
          <w:color w:val="000000" w:themeColor="text1"/>
          <w:sz w:val="28"/>
          <w:szCs w:val="28"/>
          <w:lang w:val="es-MX"/>
        </w:rPr>
        <w:lastRenderedPageBreak/>
        <w:t>Situación de derechos</w:t>
      </w:r>
      <w:r w:rsidR="0080713B">
        <w:rPr>
          <w:rFonts w:asciiTheme="majorBidi" w:hAnsiTheme="majorBidi" w:cstheme="majorBidi"/>
          <w:b/>
          <w:bCs/>
          <w:color w:val="000000" w:themeColor="text1"/>
          <w:sz w:val="28"/>
          <w:szCs w:val="28"/>
          <w:lang w:val="es-MX"/>
        </w:rPr>
        <w:t xml:space="preserve"> de los</w:t>
      </w:r>
      <w:r w:rsidRPr="009E2A0E">
        <w:rPr>
          <w:rFonts w:asciiTheme="majorBidi" w:hAnsiTheme="majorBidi" w:cstheme="majorBidi"/>
          <w:b/>
          <w:bCs/>
          <w:color w:val="000000" w:themeColor="text1"/>
          <w:sz w:val="28"/>
          <w:szCs w:val="28"/>
          <w:lang w:val="es-MX"/>
        </w:rPr>
        <w:t xml:space="preserve"> pueblos indígenas</w:t>
      </w:r>
      <w:r w:rsidR="0080713B">
        <w:rPr>
          <w:rFonts w:asciiTheme="majorBidi" w:hAnsiTheme="majorBidi" w:cstheme="majorBidi"/>
          <w:b/>
          <w:bCs/>
          <w:color w:val="000000" w:themeColor="text1"/>
          <w:sz w:val="28"/>
          <w:szCs w:val="28"/>
          <w:lang w:val="es-MX"/>
        </w:rPr>
        <w:t xml:space="preserve"> y afrodescendientes</w:t>
      </w:r>
      <w:bookmarkEnd w:id="7"/>
      <w:r w:rsidRPr="009E2A0E">
        <w:rPr>
          <w:rFonts w:asciiTheme="majorBidi" w:hAnsiTheme="majorBidi" w:cstheme="majorBidi"/>
          <w:b/>
          <w:bCs/>
          <w:color w:val="000000" w:themeColor="text1"/>
          <w:sz w:val="28"/>
          <w:szCs w:val="28"/>
          <w:lang w:val="es-MX"/>
        </w:rPr>
        <w:t xml:space="preserve"> </w:t>
      </w:r>
    </w:p>
    <w:p w14:paraId="3E5D4B90" w14:textId="24D8086E" w:rsidR="00296E20" w:rsidRPr="009E2A0E" w:rsidRDefault="00AB2641" w:rsidP="00197C3D">
      <w:pPr>
        <w:pStyle w:val="Prrafodelista"/>
        <w:numPr>
          <w:ilvl w:val="1"/>
          <w:numId w:val="7"/>
        </w:numPr>
        <w:outlineLvl w:val="1"/>
        <w:rPr>
          <w:rFonts w:asciiTheme="majorBidi" w:hAnsiTheme="majorBidi" w:cstheme="majorBidi"/>
          <w:b/>
          <w:bCs/>
          <w:color w:val="000000" w:themeColor="text1"/>
          <w:sz w:val="24"/>
          <w:szCs w:val="24"/>
          <w:lang w:val="es-MX"/>
        </w:rPr>
      </w:pPr>
      <w:bookmarkStart w:id="8" w:name="_Toc204264031"/>
      <w:r w:rsidRPr="009E2A0E">
        <w:rPr>
          <w:rFonts w:asciiTheme="majorBidi" w:hAnsiTheme="majorBidi" w:cstheme="majorBidi"/>
          <w:b/>
          <w:bCs/>
          <w:color w:val="000000" w:themeColor="text1"/>
          <w:sz w:val="24"/>
          <w:szCs w:val="24"/>
          <w:lang w:val="es-MX"/>
        </w:rPr>
        <w:t xml:space="preserve">Libertad de </w:t>
      </w:r>
      <w:r w:rsidR="007435A8">
        <w:rPr>
          <w:rFonts w:asciiTheme="majorBidi" w:hAnsiTheme="majorBidi" w:cstheme="majorBidi"/>
          <w:b/>
          <w:bCs/>
          <w:color w:val="000000" w:themeColor="text1"/>
          <w:sz w:val="24"/>
          <w:szCs w:val="24"/>
          <w:lang w:val="es-MX"/>
        </w:rPr>
        <w:t>asociación y reunión pacífica</w:t>
      </w:r>
      <w:r w:rsidRPr="009E2A0E">
        <w:rPr>
          <w:rFonts w:asciiTheme="majorBidi" w:hAnsiTheme="majorBidi" w:cstheme="majorBidi"/>
          <w:b/>
          <w:bCs/>
          <w:color w:val="000000" w:themeColor="text1"/>
          <w:sz w:val="24"/>
          <w:szCs w:val="24"/>
          <w:lang w:val="es-MX"/>
        </w:rPr>
        <w:t xml:space="preserve"> (</w:t>
      </w:r>
      <w:r w:rsidR="0080713B">
        <w:rPr>
          <w:rFonts w:asciiTheme="majorBidi" w:hAnsiTheme="majorBidi" w:cstheme="majorBidi"/>
          <w:b/>
          <w:bCs/>
          <w:color w:val="000000" w:themeColor="text1"/>
          <w:sz w:val="24"/>
          <w:szCs w:val="24"/>
          <w:lang w:val="es-MX"/>
        </w:rPr>
        <w:t>P</w:t>
      </w:r>
      <w:r w:rsidR="00566CE3" w:rsidRPr="009E2A0E">
        <w:rPr>
          <w:rFonts w:asciiTheme="majorBidi" w:hAnsiTheme="majorBidi" w:cstheme="majorBidi"/>
          <w:b/>
          <w:bCs/>
          <w:color w:val="000000" w:themeColor="text1"/>
          <w:sz w:val="24"/>
          <w:szCs w:val="24"/>
          <w:lang w:val="es-MX"/>
        </w:rPr>
        <w:t>á</w:t>
      </w:r>
      <w:r w:rsidRPr="009E2A0E">
        <w:rPr>
          <w:rFonts w:asciiTheme="majorBidi" w:hAnsiTheme="majorBidi" w:cstheme="majorBidi"/>
          <w:b/>
          <w:bCs/>
          <w:color w:val="000000" w:themeColor="text1"/>
          <w:sz w:val="24"/>
          <w:szCs w:val="24"/>
          <w:lang w:val="es-MX"/>
        </w:rPr>
        <w:t>rr. 12</w:t>
      </w:r>
      <w:r w:rsidR="000724F0" w:rsidRPr="009E2A0E">
        <w:rPr>
          <w:rFonts w:asciiTheme="majorBidi" w:hAnsiTheme="majorBidi" w:cstheme="majorBidi"/>
          <w:b/>
          <w:bCs/>
          <w:color w:val="000000" w:themeColor="text1"/>
          <w:sz w:val="24"/>
          <w:szCs w:val="24"/>
          <w:lang w:val="es-MX"/>
        </w:rPr>
        <w:t xml:space="preserve"> del Listado de Temas</w:t>
      </w:r>
      <w:r w:rsidRPr="009E2A0E">
        <w:rPr>
          <w:rFonts w:asciiTheme="majorBidi" w:hAnsiTheme="majorBidi" w:cstheme="majorBidi"/>
          <w:b/>
          <w:bCs/>
          <w:color w:val="000000" w:themeColor="text1"/>
          <w:sz w:val="24"/>
          <w:szCs w:val="24"/>
          <w:lang w:val="es-MX"/>
        </w:rPr>
        <w:t>)</w:t>
      </w:r>
      <w:bookmarkEnd w:id="8"/>
    </w:p>
    <w:p w14:paraId="7D49F44E" w14:textId="76865F6C" w:rsidR="002167B8" w:rsidRPr="009E2A0E" w:rsidRDefault="002167B8" w:rsidP="002167B8">
      <w:pPr>
        <w:spacing w:line="276" w:lineRule="auto"/>
        <w:jc w:val="both"/>
        <w:rPr>
          <w:rFonts w:asciiTheme="majorBidi" w:eastAsia="Times New Roman" w:hAnsiTheme="majorBidi" w:cstheme="majorBidi"/>
          <w:color w:val="000000" w:themeColor="text1"/>
        </w:rPr>
      </w:pPr>
      <w:r w:rsidRPr="009E2A0E">
        <w:rPr>
          <w:rFonts w:asciiTheme="majorBidi" w:eastAsia="Times New Roman" w:hAnsiTheme="majorBidi" w:cstheme="majorBidi"/>
          <w:color w:val="000000" w:themeColor="text1"/>
        </w:rPr>
        <w:t xml:space="preserve">En el periodo del 2019 al 2023, los </w:t>
      </w:r>
      <w:r w:rsidR="00C13B86">
        <w:rPr>
          <w:rFonts w:asciiTheme="majorBidi" w:eastAsia="Times New Roman" w:hAnsiTheme="majorBidi" w:cstheme="majorBidi"/>
          <w:color w:val="000000" w:themeColor="text1"/>
        </w:rPr>
        <w:t>P</w:t>
      </w:r>
      <w:r w:rsidRPr="009E2A0E">
        <w:rPr>
          <w:rFonts w:asciiTheme="majorBidi" w:eastAsia="Times New Roman" w:hAnsiTheme="majorBidi" w:cstheme="majorBidi"/>
          <w:color w:val="000000" w:themeColor="text1"/>
        </w:rPr>
        <w:t xml:space="preserve">ueblos </w:t>
      </w:r>
      <w:r w:rsidR="00C13B86">
        <w:rPr>
          <w:rFonts w:asciiTheme="majorBidi" w:eastAsia="Times New Roman" w:hAnsiTheme="majorBidi" w:cstheme="majorBidi"/>
          <w:color w:val="000000" w:themeColor="text1"/>
        </w:rPr>
        <w:t>I</w:t>
      </w:r>
      <w:r w:rsidRPr="009E2A0E">
        <w:rPr>
          <w:rFonts w:asciiTheme="majorBidi" w:eastAsia="Times New Roman" w:hAnsiTheme="majorBidi" w:cstheme="majorBidi"/>
          <w:color w:val="000000" w:themeColor="text1"/>
        </w:rPr>
        <w:t xml:space="preserve">ndígenas </w:t>
      </w:r>
      <w:r w:rsidR="00924CCA">
        <w:rPr>
          <w:rFonts w:asciiTheme="majorBidi" w:eastAsia="Times New Roman" w:hAnsiTheme="majorBidi" w:cstheme="majorBidi"/>
          <w:color w:val="000000" w:themeColor="text1"/>
        </w:rPr>
        <w:t xml:space="preserve">continúan </w:t>
      </w:r>
      <w:r w:rsidRPr="009E2A0E">
        <w:rPr>
          <w:rFonts w:asciiTheme="majorBidi" w:eastAsia="Times New Roman" w:hAnsiTheme="majorBidi" w:cstheme="majorBidi"/>
          <w:color w:val="000000" w:themeColor="text1"/>
        </w:rPr>
        <w:t xml:space="preserve">recurriendo a la protesta social para la exigencia del respeto y protección de </w:t>
      </w:r>
      <w:r w:rsidR="0014469A">
        <w:rPr>
          <w:rFonts w:asciiTheme="majorBidi" w:eastAsia="Times New Roman" w:hAnsiTheme="majorBidi" w:cstheme="majorBidi"/>
          <w:color w:val="000000" w:themeColor="text1"/>
        </w:rPr>
        <w:t>sus</w:t>
      </w:r>
      <w:r w:rsidRPr="009E2A0E">
        <w:rPr>
          <w:rFonts w:asciiTheme="majorBidi" w:eastAsia="Times New Roman" w:hAnsiTheme="majorBidi" w:cstheme="majorBidi"/>
          <w:color w:val="000000" w:themeColor="text1"/>
        </w:rPr>
        <w:t xml:space="preserve"> derechos colectivos, lastimosamente, en la mayoría de los casos, ha habido una fuerte presencia policial y militar, uso recurrente de estados de excepción, criminalización y discursos de altas autoridades en las que cuestionan </w:t>
      </w:r>
      <w:r w:rsidR="00662236">
        <w:rPr>
          <w:rFonts w:asciiTheme="majorBidi" w:eastAsia="Times New Roman" w:hAnsiTheme="majorBidi" w:cstheme="majorBidi"/>
          <w:color w:val="000000" w:themeColor="text1"/>
        </w:rPr>
        <w:t>sus</w:t>
      </w:r>
      <w:r w:rsidRPr="009E2A0E">
        <w:rPr>
          <w:rFonts w:asciiTheme="majorBidi" w:eastAsia="Times New Roman" w:hAnsiTheme="majorBidi" w:cstheme="majorBidi"/>
          <w:color w:val="000000" w:themeColor="text1"/>
        </w:rPr>
        <w:t xml:space="preserve"> formas de organización, tildándolas de grupos “criminales”, “terroristas” y/o “no pacíficas”</w:t>
      </w:r>
      <w:r w:rsidRPr="009E2A0E">
        <w:rPr>
          <w:rStyle w:val="Refdenotaalpie"/>
          <w:rFonts w:asciiTheme="majorBidi" w:eastAsia="Times New Roman" w:hAnsiTheme="majorBidi" w:cstheme="majorBidi"/>
          <w:color w:val="000000" w:themeColor="text1"/>
          <w:sz w:val="22"/>
        </w:rPr>
        <w:footnoteReference w:id="21"/>
      </w:r>
      <w:r w:rsidRPr="009E2A0E">
        <w:rPr>
          <w:rFonts w:asciiTheme="majorBidi" w:eastAsia="Times New Roman" w:hAnsiTheme="majorBidi" w:cstheme="majorBidi"/>
          <w:color w:val="000000" w:themeColor="text1"/>
        </w:rPr>
        <w:t xml:space="preserve">. Al respecto, los mandatos de la Relatora Especial sobre la promoción y protección del derecho a la libertad de opinión y de expresión; del Relator Especial sobre los derechos a la libertad de reunión pacífica y de asociación; de la Relatora Especial sobre la independencia de los magistrados y abogados; del Relator Especial sobre los derechos de los Pueblos Indígenas y de la Relatora Especial sobre la violencia contra las mujeres y las niñas, sus causas y consecuencias expresaron su preocupación sobre la </w:t>
      </w:r>
      <w:r w:rsidRPr="009E2A0E">
        <w:rPr>
          <w:rFonts w:asciiTheme="majorBidi" w:eastAsia="Times New Roman" w:hAnsiTheme="majorBidi" w:cstheme="majorBidi"/>
          <w:i/>
          <w:iCs/>
          <w:color w:val="000000" w:themeColor="text1"/>
        </w:rPr>
        <w:t>“presunción de que las protestas sean un delito y de que sus organizadores o participantes puedan ser criminales”</w:t>
      </w:r>
      <w:r w:rsidRPr="009E2A0E">
        <w:rPr>
          <w:rStyle w:val="Refdenotaalpie"/>
          <w:rFonts w:asciiTheme="majorBidi" w:eastAsia="Times New Roman" w:hAnsiTheme="majorBidi" w:cstheme="majorBidi"/>
          <w:color w:val="000000" w:themeColor="text1"/>
          <w:sz w:val="22"/>
        </w:rPr>
        <w:footnoteReference w:id="22"/>
      </w:r>
      <w:r w:rsidRPr="009E2A0E">
        <w:rPr>
          <w:rFonts w:asciiTheme="majorBidi" w:eastAsia="Times New Roman" w:hAnsiTheme="majorBidi" w:cstheme="majorBidi"/>
          <w:color w:val="000000" w:themeColor="text1"/>
        </w:rPr>
        <w:t xml:space="preserve">. Pese a que hubo un cambio en las dinámicas del Estado con el cambio de Gobierno a partir del 2024, persistieron acciones de estigmatización y persecución desde las instituciones de justicia, tales como el Ministerio Público y el Organismo Judicial. Asimismo, continuaron discursos de odio y desacreditación contras las autoridades indígenas en redes sociales y medios de comunicación. </w:t>
      </w:r>
    </w:p>
    <w:p w14:paraId="192E6267" w14:textId="7147D2F4" w:rsidR="002167B8" w:rsidRPr="009E2A0E" w:rsidRDefault="002167B8" w:rsidP="002167B8">
      <w:pPr>
        <w:spacing w:line="276" w:lineRule="auto"/>
        <w:jc w:val="both"/>
        <w:rPr>
          <w:rFonts w:asciiTheme="majorBidi" w:eastAsia="Times New Roman" w:hAnsiTheme="majorBidi" w:cstheme="majorBidi"/>
          <w:color w:val="000000" w:themeColor="text1"/>
        </w:rPr>
      </w:pPr>
      <w:r w:rsidRPr="009E2A0E">
        <w:rPr>
          <w:rFonts w:asciiTheme="majorBidi" w:eastAsia="Times New Roman" w:hAnsiTheme="majorBidi" w:cstheme="majorBidi"/>
          <w:color w:val="000000" w:themeColor="text1"/>
        </w:rPr>
        <w:t>Según datos recogidos por la OACNUDH Guatemala en sus informes anuales entre 2019 y 2024</w:t>
      </w:r>
      <w:r w:rsidR="00742586">
        <w:rPr>
          <w:rStyle w:val="Refdenotaalpie"/>
          <w:rFonts w:asciiTheme="majorBidi" w:eastAsia="Times New Roman" w:hAnsiTheme="majorBidi"/>
          <w:color w:val="000000" w:themeColor="text1"/>
        </w:rPr>
        <w:footnoteReference w:id="23"/>
      </w:r>
      <w:r w:rsidRPr="009E2A0E">
        <w:rPr>
          <w:rFonts w:asciiTheme="majorBidi" w:eastAsia="Times New Roman" w:hAnsiTheme="majorBidi" w:cstheme="majorBidi"/>
          <w:color w:val="000000" w:themeColor="text1"/>
        </w:rPr>
        <w:t>, se han decretado múltiples estados de excepción en regiones de Pueblos Indígenas, restringiendo derechos constitucionales, entre ellos el derecho de libertad de asociación, lo que indica un patrón de utilizar estas medidas como instrumentos para disolver, perseguir y criminalizar la protesta social lideradas por los Pueblos Indígenas</w:t>
      </w:r>
      <w:r w:rsidR="004056A7">
        <w:rPr>
          <w:rFonts w:asciiTheme="majorBidi" w:eastAsia="Times New Roman" w:hAnsiTheme="majorBidi" w:cstheme="majorBidi"/>
          <w:color w:val="000000" w:themeColor="text1"/>
        </w:rPr>
        <w:t>, varios de dichos decretos declarados en contextos de preservación de la seguridad, vinculados con territorios relacionados con criminalidad organizada</w:t>
      </w:r>
      <w:r w:rsidRPr="009E2A0E">
        <w:rPr>
          <w:rFonts w:asciiTheme="majorBidi" w:eastAsia="Times New Roman" w:hAnsiTheme="majorBidi" w:cstheme="majorBidi"/>
          <w:color w:val="000000" w:themeColor="text1"/>
        </w:rPr>
        <w:t>. En cada una de estas situaciones se desplegaron las fuerzas armadas, tales como la Policía Nacional Civil y Militares, quienes en el marco del conflicto armado perpetraron violaciones de derechos humanos. De manera que su presencia generó incertidumbre y miedo.</w:t>
      </w:r>
    </w:p>
    <w:p w14:paraId="2381CBE2" w14:textId="41313DD9" w:rsidR="002167B8" w:rsidRPr="009E2A0E" w:rsidRDefault="00C029C2" w:rsidP="002167B8">
      <w:pPr>
        <w:jc w:val="both"/>
        <w:rPr>
          <w:rFonts w:asciiTheme="majorBidi" w:eastAsia="Times New Roman" w:hAnsiTheme="majorBidi" w:cstheme="majorBidi"/>
          <w:color w:val="000000" w:themeColor="text1"/>
        </w:rPr>
      </w:pPr>
      <w:r>
        <w:rPr>
          <w:rFonts w:asciiTheme="majorBidi" w:eastAsia="Times New Roman" w:hAnsiTheme="majorBidi" w:cstheme="majorBidi"/>
          <w:color w:val="000000" w:themeColor="text1"/>
        </w:rPr>
        <w:t>Preocupa</w:t>
      </w:r>
      <w:r w:rsidR="002167B8" w:rsidRPr="009E2A0E">
        <w:rPr>
          <w:rFonts w:asciiTheme="majorBidi" w:eastAsia="Times New Roman" w:hAnsiTheme="majorBidi" w:cstheme="majorBidi"/>
          <w:color w:val="000000" w:themeColor="text1"/>
        </w:rPr>
        <w:t xml:space="preserve"> que exista una respuesta estatal desigual ante las diferentes protestas sociales lider</w:t>
      </w:r>
      <w:r w:rsidR="006074AD">
        <w:rPr>
          <w:rFonts w:asciiTheme="majorBidi" w:eastAsia="Times New Roman" w:hAnsiTheme="majorBidi" w:cstheme="majorBidi"/>
          <w:color w:val="000000" w:themeColor="text1"/>
        </w:rPr>
        <w:t>ad</w:t>
      </w:r>
      <w:r w:rsidR="002167B8" w:rsidRPr="009E2A0E">
        <w:rPr>
          <w:rFonts w:asciiTheme="majorBidi" w:eastAsia="Times New Roman" w:hAnsiTheme="majorBidi" w:cstheme="majorBidi"/>
          <w:color w:val="000000" w:themeColor="text1"/>
        </w:rPr>
        <w:t>as por los Pueblos Indígenas</w:t>
      </w:r>
      <w:r w:rsidR="002167B8" w:rsidRPr="009E2A0E">
        <w:rPr>
          <w:rStyle w:val="Refdenotaalpie"/>
          <w:rFonts w:asciiTheme="majorBidi" w:eastAsia="Times New Roman" w:hAnsiTheme="majorBidi" w:cstheme="majorBidi"/>
          <w:color w:val="000000" w:themeColor="text1"/>
          <w:sz w:val="22"/>
        </w:rPr>
        <w:footnoteReference w:id="24"/>
      </w:r>
      <w:r w:rsidR="002167B8" w:rsidRPr="009E2A0E">
        <w:rPr>
          <w:rFonts w:asciiTheme="majorBidi" w:eastAsia="Times New Roman" w:hAnsiTheme="majorBidi" w:cstheme="majorBidi"/>
          <w:color w:val="000000" w:themeColor="text1"/>
        </w:rPr>
        <w:t xml:space="preserve">. Por ejemplo, el 19 de octubre 2021, durante una manifestación en la que se reclamaba la aprobación de la iniciativa de ley 5664 que dispone aprobar la Ley de Compensación Económica por la Prestación de Servicio Militar durante el Enfrentamiento Armado Interno, los militares veteranos retirados ingresaron por la fuerza a las instalaciones del Congreso de la República, </w:t>
      </w:r>
      <w:r w:rsidR="002167B8" w:rsidRPr="009E2A0E">
        <w:rPr>
          <w:rFonts w:asciiTheme="majorBidi" w:eastAsia="Times New Roman" w:hAnsiTheme="majorBidi" w:cstheme="majorBidi"/>
          <w:color w:val="000000" w:themeColor="text1"/>
        </w:rPr>
        <w:lastRenderedPageBreak/>
        <w:t>causando daños a instalaciones y vehículos, e hiriendo a periodistas y oficiales de policía</w:t>
      </w:r>
      <w:r w:rsidR="002167B8" w:rsidRPr="009E2A0E">
        <w:rPr>
          <w:rStyle w:val="Refdenotaalpie"/>
          <w:rFonts w:asciiTheme="majorBidi" w:eastAsia="Times New Roman" w:hAnsiTheme="majorBidi" w:cstheme="majorBidi"/>
          <w:color w:val="000000" w:themeColor="text1"/>
          <w:sz w:val="22"/>
        </w:rPr>
        <w:footnoteReference w:id="25"/>
      </w:r>
      <w:r w:rsidR="002167B8" w:rsidRPr="009E2A0E">
        <w:rPr>
          <w:rFonts w:asciiTheme="majorBidi" w:eastAsia="Times New Roman" w:hAnsiTheme="majorBidi" w:cstheme="majorBidi"/>
          <w:color w:val="000000" w:themeColor="text1"/>
        </w:rPr>
        <w:t xml:space="preserve">. En esta manifestación no hubo un despliegue de fuerza policial superior a las ocurridas en otras manifestaciones pacíficas convocadas por pueblos indígenas. Sin embargo, en los casos del municipio de Cuyotenango, </w:t>
      </w:r>
      <w:r w:rsidR="00A05576" w:rsidRPr="009E2A0E">
        <w:rPr>
          <w:rFonts w:asciiTheme="majorBidi" w:eastAsia="Times New Roman" w:hAnsiTheme="majorBidi" w:cstheme="majorBidi"/>
          <w:color w:val="000000" w:themeColor="text1"/>
        </w:rPr>
        <w:t>Suchitepéquez</w:t>
      </w:r>
      <w:r w:rsidR="002167B8" w:rsidRPr="009E2A0E">
        <w:rPr>
          <w:rStyle w:val="Refdenotaalpie"/>
          <w:rFonts w:asciiTheme="majorBidi" w:eastAsia="Times New Roman" w:hAnsiTheme="majorBidi" w:cstheme="majorBidi"/>
          <w:color w:val="000000" w:themeColor="text1"/>
          <w:sz w:val="22"/>
        </w:rPr>
        <w:footnoteReference w:id="26"/>
      </w:r>
      <w:r w:rsidR="002167B8" w:rsidRPr="009E2A0E">
        <w:rPr>
          <w:rFonts w:asciiTheme="majorBidi" w:eastAsia="Times New Roman" w:hAnsiTheme="majorBidi" w:cstheme="majorBidi"/>
          <w:color w:val="000000" w:themeColor="text1"/>
        </w:rPr>
        <w:t xml:space="preserve">, donde el 27 de septiembre, Pueblos Indígenas manifestaron en la vía principal, expresando su descontento por la falta de energía eléctrica por varios días y exigiendo respuesta del Estado, hubo uso excesivo de la fuerza por parte de agentes de la PNC, resultando heridas al menos 20 personas. </w:t>
      </w:r>
    </w:p>
    <w:p w14:paraId="45775500" w14:textId="0D2C6763" w:rsidR="002167B8" w:rsidRPr="009E2A0E" w:rsidRDefault="002167B8" w:rsidP="002167B8">
      <w:pPr>
        <w:jc w:val="both"/>
        <w:rPr>
          <w:rFonts w:asciiTheme="majorBidi" w:eastAsia="Times New Roman" w:hAnsiTheme="majorBidi" w:cstheme="majorBidi"/>
          <w:color w:val="000000" w:themeColor="text1"/>
        </w:rPr>
      </w:pPr>
      <w:r w:rsidRPr="009E2A0E">
        <w:rPr>
          <w:rFonts w:asciiTheme="majorBidi" w:eastAsia="Times New Roman" w:hAnsiTheme="majorBidi" w:cstheme="majorBidi"/>
          <w:color w:val="000000" w:themeColor="text1"/>
        </w:rPr>
        <w:t xml:space="preserve">Asimismo, en el caso del municipio de El Estor, Izabal, donde los Pueblos Indígenas manifestaron por </w:t>
      </w:r>
      <w:r w:rsidR="00B50EEE">
        <w:rPr>
          <w:rFonts w:asciiTheme="majorBidi" w:eastAsia="Times New Roman" w:hAnsiTheme="majorBidi" w:cstheme="majorBidi"/>
          <w:color w:val="000000" w:themeColor="text1"/>
        </w:rPr>
        <w:t>20</w:t>
      </w:r>
      <w:r w:rsidRPr="009E2A0E">
        <w:rPr>
          <w:rFonts w:asciiTheme="majorBidi" w:eastAsia="Times New Roman" w:hAnsiTheme="majorBidi" w:cstheme="majorBidi"/>
          <w:color w:val="000000" w:themeColor="text1"/>
        </w:rPr>
        <w:t xml:space="preserve"> días consecutivos en vías públicas por las irregularidades en el proceso de consulta dictado por la sentencia de la Corte de Constitucionalidad, 697-2019, el Estado a través del uso de estado de excepción, disolvió las manifestaciones por medio del uso excesivo de la fuerza por agentes de PNC usando equipo militar</w:t>
      </w:r>
      <w:r w:rsidRPr="009E2A0E">
        <w:rPr>
          <w:rStyle w:val="Refdenotaalpie"/>
          <w:rFonts w:asciiTheme="majorBidi" w:eastAsia="Times New Roman" w:hAnsiTheme="majorBidi" w:cstheme="majorBidi"/>
          <w:color w:val="000000" w:themeColor="text1"/>
          <w:sz w:val="22"/>
        </w:rPr>
        <w:footnoteReference w:id="27"/>
      </w:r>
      <w:r w:rsidR="00C029C2">
        <w:rPr>
          <w:rFonts w:asciiTheme="majorBidi" w:eastAsia="Times New Roman" w:hAnsiTheme="majorBidi" w:cstheme="majorBidi"/>
          <w:color w:val="000000" w:themeColor="text1"/>
        </w:rPr>
        <w:t xml:space="preserve"> </w:t>
      </w:r>
      <w:r w:rsidR="00C029C2" w:rsidRPr="00B50EEE">
        <w:rPr>
          <w:rFonts w:asciiTheme="majorBidi" w:eastAsia="Times New Roman" w:hAnsiTheme="majorBidi" w:cstheme="majorBidi"/>
          <w:color w:val="000000" w:themeColor="text1"/>
        </w:rPr>
        <w:t xml:space="preserve">(ver detalle del caso en Anexo </w:t>
      </w:r>
      <w:r w:rsidR="00B50EEE" w:rsidRPr="00B50EEE">
        <w:rPr>
          <w:rFonts w:asciiTheme="majorBidi" w:eastAsia="Times New Roman" w:hAnsiTheme="majorBidi" w:cstheme="majorBidi"/>
          <w:color w:val="000000" w:themeColor="text1"/>
        </w:rPr>
        <w:t>3.2</w:t>
      </w:r>
      <w:r w:rsidR="00C029C2" w:rsidRPr="00B50EEE">
        <w:rPr>
          <w:rFonts w:asciiTheme="majorBidi" w:eastAsia="Times New Roman" w:hAnsiTheme="majorBidi" w:cstheme="majorBidi"/>
          <w:color w:val="000000" w:themeColor="text1"/>
        </w:rPr>
        <w:t>)</w:t>
      </w:r>
      <w:r w:rsidRPr="00B50EEE">
        <w:rPr>
          <w:rFonts w:asciiTheme="majorBidi" w:eastAsia="Times New Roman" w:hAnsiTheme="majorBidi" w:cstheme="majorBidi"/>
          <w:color w:val="000000" w:themeColor="text1"/>
        </w:rPr>
        <w:t>.</w:t>
      </w:r>
      <w:r w:rsidRPr="009E2A0E">
        <w:rPr>
          <w:rFonts w:asciiTheme="majorBidi" w:eastAsia="Times New Roman" w:hAnsiTheme="majorBidi" w:cstheme="majorBidi"/>
          <w:color w:val="000000" w:themeColor="text1"/>
        </w:rPr>
        <w:t xml:space="preserve"> </w:t>
      </w:r>
    </w:p>
    <w:p w14:paraId="0E04A7D0" w14:textId="77777777" w:rsidR="002167B8" w:rsidRPr="00297131" w:rsidRDefault="002167B8" w:rsidP="002167B8">
      <w:pPr>
        <w:jc w:val="both"/>
        <w:rPr>
          <w:rFonts w:asciiTheme="majorBidi" w:eastAsia="Times New Roman" w:hAnsiTheme="majorBidi" w:cstheme="majorBidi"/>
          <w:color w:val="000000" w:themeColor="text1"/>
        </w:rPr>
      </w:pPr>
      <w:r w:rsidRPr="009E2A0E">
        <w:rPr>
          <w:rFonts w:asciiTheme="majorBidi" w:eastAsia="Times New Roman" w:hAnsiTheme="majorBidi" w:cstheme="majorBidi"/>
          <w:color w:val="000000" w:themeColor="text1"/>
        </w:rPr>
        <w:t xml:space="preserve">En estos casos, la OACNUDH Guatemala confirmó que hubo uso excesivo de la fuerza en las </w:t>
      </w:r>
      <w:r w:rsidRPr="00297131">
        <w:rPr>
          <w:rFonts w:asciiTheme="majorBidi" w:eastAsia="Times New Roman" w:hAnsiTheme="majorBidi" w:cstheme="majorBidi"/>
          <w:color w:val="000000" w:themeColor="text1"/>
        </w:rPr>
        <w:t>manifestaciones por parte de fuerzas de la seguridad, registrando algunos heridos y casos de intoxicación por gases lacrimógenos.</w:t>
      </w:r>
      <w:r w:rsidRPr="00297131">
        <w:rPr>
          <w:rStyle w:val="Refdenotaalpie"/>
          <w:rFonts w:asciiTheme="majorBidi" w:eastAsia="Times New Roman" w:hAnsiTheme="majorBidi" w:cstheme="majorBidi"/>
          <w:color w:val="000000" w:themeColor="text1"/>
          <w:sz w:val="22"/>
        </w:rPr>
        <w:footnoteReference w:id="28"/>
      </w:r>
    </w:p>
    <w:p w14:paraId="63A67CA0" w14:textId="77777777" w:rsidR="002167B8" w:rsidRPr="00297131" w:rsidRDefault="002167B8" w:rsidP="00197C3D">
      <w:pPr>
        <w:pStyle w:val="Prrafodelista"/>
        <w:numPr>
          <w:ilvl w:val="2"/>
          <w:numId w:val="7"/>
        </w:numPr>
        <w:spacing w:before="240" w:after="0" w:line="276" w:lineRule="auto"/>
        <w:jc w:val="both"/>
        <w:outlineLvl w:val="2"/>
        <w:rPr>
          <w:rStyle w:val="normaltextrun"/>
          <w:rFonts w:asciiTheme="majorBidi" w:eastAsia="Times New Roman" w:hAnsiTheme="majorBidi" w:cstheme="majorBidi"/>
          <w:b/>
          <w:bCs/>
          <w:color w:val="000000" w:themeColor="text1"/>
          <w:shd w:val="clear" w:color="auto" w:fill="FFFFFF"/>
          <w:lang w:val="es-MX"/>
        </w:rPr>
      </w:pPr>
      <w:bookmarkStart w:id="9" w:name="_Toc204264032"/>
      <w:r w:rsidRPr="00297131">
        <w:rPr>
          <w:rStyle w:val="normaltextrun"/>
          <w:rFonts w:asciiTheme="majorBidi" w:eastAsia="Times New Roman" w:hAnsiTheme="majorBidi" w:cstheme="majorBidi"/>
          <w:b/>
          <w:bCs/>
          <w:color w:val="000000" w:themeColor="text1"/>
          <w:shd w:val="clear" w:color="auto" w:fill="FFFFFF"/>
          <w:lang w:val="es-MX"/>
        </w:rPr>
        <w:t>Ejercicio del derecho de libre determinación de los pueblos indígenas en lugares públicos</w:t>
      </w:r>
      <w:bookmarkEnd w:id="9"/>
    </w:p>
    <w:p w14:paraId="0507EA75" w14:textId="3A36A175" w:rsidR="002167B8" w:rsidRPr="009E2A0E" w:rsidRDefault="00466FB5" w:rsidP="002167B8">
      <w:pPr>
        <w:spacing w:before="240" w:after="0" w:line="276" w:lineRule="auto"/>
        <w:jc w:val="both"/>
        <w:rPr>
          <w:rStyle w:val="normaltextrun"/>
          <w:rFonts w:asciiTheme="majorBidi" w:eastAsia="Times New Roman" w:hAnsiTheme="majorBidi" w:cstheme="majorBidi"/>
          <w:color w:val="000000" w:themeColor="text1"/>
          <w:lang w:val="es-MX"/>
        </w:rPr>
      </w:pPr>
      <w:r w:rsidRPr="00297131">
        <w:rPr>
          <w:rStyle w:val="normaltextrun"/>
          <w:rFonts w:asciiTheme="majorBidi" w:eastAsia="Times New Roman" w:hAnsiTheme="majorBidi" w:cstheme="majorBidi"/>
          <w:color w:val="000000" w:themeColor="text1"/>
          <w:shd w:val="clear" w:color="auto" w:fill="FFFFFF"/>
          <w:lang w:val="es-MX"/>
        </w:rPr>
        <w:t xml:space="preserve">Para los </w:t>
      </w:r>
      <w:r w:rsidR="00C029C2" w:rsidRPr="00297131">
        <w:rPr>
          <w:rFonts w:asciiTheme="majorBidi" w:eastAsia="Times New Roman" w:hAnsiTheme="majorBidi" w:cstheme="majorBidi"/>
          <w:color w:val="000000" w:themeColor="text1"/>
        </w:rPr>
        <w:t>Pueblos Indígenas</w:t>
      </w:r>
      <w:r w:rsidR="002167B8" w:rsidRPr="00297131">
        <w:rPr>
          <w:rStyle w:val="normaltextrun"/>
          <w:rFonts w:asciiTheme="majorBidi" w:eastAsia="Times New Roman" w:hAnsiTheme="majorBidi" w:cstheme="majorBidi"/>
          <w:color w:val="000000" w:themeColor="text1"/>
          <w:shd w:val="clear" w:color="auto" w:fill="FFFFFF"/>
          <w:lang w:val="es-MX"/>
        </w:rPr>
        <w:t xml:space="preserve"> el derecho de reunión pacífica, por definición, no se puede ejercer mediante la violencia. Según el artículo 21 del Pacto Internacional de los Derechos Civiles y Políticos, </w:t>
      </w:r>
      <w:r w:rsidR="002167B8" w:rsidRPr="00297131">
        <w:rPr>
          <w:rStyle w:val="normaltextrun"/>
          <w:rFonts w:asciiTheme="majorBidi" w:eastAsia="Times New Roman" w:hAnsiTheme="majorBidi" w:cstheme="majorBidi"/>
          <w:i/>
          <w:iCs/>
          <w:color w:val="000000" w:themeColor="text1"/>
          <w:shd w:val="clear" w:color="auto" w:fill="FFFFFF"/>
          <w:lang w:val="es-MX"/>
        </w:rPr>
        <w:t>la “violencia” en manifestaciones suele implicar el uso por los participantes de una fuerza física contra otros que pueda provocar lesiones, la muerte o daños graves a los bienes; sin embargo, l</w:t>
      </w:r>
      <w:r w:rsidR="002167B8" w:rsidRPr="00297131">
        <w:rPr>
          <w:rStyle w:val="normaltextrun"/>
          <w:rFonts w:asciiTheme="majorBidi" w:eastAsia="Times New Roman" w:hAnsiTheme="majorBidi" w:cstheme="majorBidi"/>
          <w:i/>
          <w:iCs/>
          <w:color w:val="000000" w:themeColor="text1"/>
          <w:lang w:val="es-MX"/>
        </w:rPr>
        <w:t>os empujones o la interrupción del tráfico</w:t>
      </w:r>
      <w:r w:rsidR="002167B8" w:rsidRPr="00BF1ABE">
        <w:rPr>
          <w:rStyle w:val="normaltextrun"/>
          <w:rFonts w:asciiTheme="majorBidi" w:eastAsia="Times New Roman" w:hAnsiTheme="majorBidi" w:cstheme="majorBidi"/>
          <w:i/>
          <w:iCs/>
          <w:color w:val="000000" w:themeColor="text1"/>
          <w:lang w:val="es-MX"/>
        </w:rPr>
        <w:t xml:space="preserve"> de vehículos o peatones o de las actividades diarias no constituye “violencia”</w:t>
      </w:r>
      <w:r w:rsidR="002167B8" w:rsidRPr="009E2A0E">
        <w:rPr>
          <w:rStyle w:val="normaltextrun"/>
          <w:rFonts w:asciiTheme="majorBidi" w:eastAsia="Times New Roman" w:hAnsiTheme="majorBidi" w:cstheme="majorBidi"/>
          <w:color w:val="000000" w:themeColor="text1"/>
          <w:lang w:val="es-MX"/>
        </w:rPr>
        <w:t>.</w:t>
      </w:r>
      <w:r w:rsidR="002167B8" w:rsidRPr="009E2A0E">
        <w:rPr>
          <w:rStyle w:val="Refdenotaalpie"/>
          <w:rFonts w:asciiTheme="majorBidi" w:eastAsia="Times New Roman" w:hAnsiTheme="majorBidi" w:cstheme="majorBidi"/>
          <w:color w:val="000000" w:themeColor="text1"/>
          <w:sz w:val="22"/>
          <w:lang w:val="es-MX"/>
        </w:rPr>
        <w:footnoteReference w:id="29"/>
      </w:r>
    </w:p>
    <w:p w14:paraId="1BBA464D" w14:textId="45F01906" w:rsidR="002167B8" w:rsidRPr="009E2A0E" w:rsidRDefault="002167B8" w:rsidP="002167B8">
      <w:pPr>
        <w:spacing w:before="240" w:after="0" w:line="276" w:lineRule="auto"/>
        <w:jc w:val="both"/>
        <w:rPr>
          <w:rFonts w:asciiTheme="majorBidi" w:eastAsia="Times New Roman" w:hAnsiTheme="majorBidi" w:cstheme="majorBidi"/>
          <w:color w:val="000000" w:themeColor="text1"/>
        </w:rPr>
      </w:pPr>
      <w:r w:rsidRPr="009E2A0E">
        <w:rPr>
          <w:rFonts w:asciiTheme="majorBidi" w:eastAsia="Times New Roman" w:hAnsiTheme="majorBidi" w:cstheme="majorBidi"/>
          <w:color w:val="000000" w:themeColor="text1"/>
        </w:rPr>
        <w:t xml:space="preserve">Cuando los </w:t>
      </w:r>
      <w:r w:rsidR="008B4401">
        <w:rPr>
          <w:rFonts w:asciiTheme="majorBidi" w:eastAsia="Times New Roman" w:hAnsiTheme="majorBidi" w:cstheme="majorBidi"/>
          <w:color w:val="000000" w:themeColor="text1"/>
        </w:rPr>
        <w:t>P</w:t>
      </w:r>
      <w:r w:rsidR="008B4401" w:rsidRPr="009E2A0E">
        <w:rPr>
          <w:rFonts w:asciiTheme="majorBidi" w:eastAsia="Times New Roman" w:hAnsiTheme="majorBidi" w:cstheme="majorBidi"/>
          <w:color w:val="000000" w:themeColor="text1"/>
        </w:rPr>
        <w:t xml:space="preserve">ueblos </w:t>
      </w:r>
      <w:r w:rsidR="008B4401">
        <w:rPr>
          <w:rFonts w:asciiTheme="majorBidi" w:eastAsia="Times New Roman" w:hAnsiTheme="majorBidi" w:cstheme="majorBidi"/>
          <w:color w:val="000000" w:themeColor="text1"/>
        </w:rPr>
        <w:t>I</w:t>
      </w:r>
      <w:r w:rsidR="008B4401" w:rsidRPr="009E2A0E">
        <w:rPr>
          <w:rFonts w:asciiTheme="majorBidi" w:eastAsia="Times New Roman" w:hAnsiTheme="majorBidi" w:cstheme="majorBidi"/>
          <w:color w:val="000000" w:themeColor="text1"/>
        </w:rPr>
        <w:t>ndígenas</w:t>
      </w:r>
      <w:r w:rsidR="008B4401" w:rsidRPr="009E2A0E">
        <w:rPr>
          <w:rStyle w:val="normaltextrun"/>
          <w:rFonts w:asciiTheme="majorBidi" w:eastAsia="Times New Roman" w:hAnsiTheme="majorBidi" w:cstheme="majorBidi"/>
          <w:color w:val="000000" w:themeColor="text1"/>
          <w:shd w:val="clear" w:color="auto" w:fill="FFFFFF"/>
          <w:lang w:val="es-MX"/>
        </w:rPr>
        <w:t xml:space="preserve"> </w:t>
      </w:r>
      <w:r w:rsidR="002C1381">
        <w:rPr>
          <w:rFonts w:asciiTheme="majorBidi" w:eastAsia="Times New Roman" w:hAnsiTheme="majorBidi" w:cstheme="majorBidi"/>
          <w:color w:val="000000" w:themeColor="text1"/>
          <w:lang w:val="es-MX"/>
        </w:rPr>
        <w:t>salen</w:t>
      </w:r>
      <w:r w:rsidRPr="009E2A0E">
        <w:rPr>
          <w:rFonts w:asciiTheme="majorBidi" w:eastAsia="Times New Roman" w:hAnsiTheme="majorBidi" w:cstheme="majorBidi"/>
          <w:color w:val="000000" w:themeColor="text1"/>
        </w:rPr>
        <w:t xml:space="preserve"> </w:t>
      </w:r>
      <w:r w:rsidR="004D3C70">
        <w:rPr>
          <w:rFonts w:asciiTheme="majorBidi" w:eastAsia="Times New Roman" w:hAnsiTheme="majorBidi" w:cstheme="majorBidi"/>
          <w:color w:val="000000" w:themeColor="text1"/>
        </w:rPr>
        <w:t xml:space="preserve">a manifestar </w:t>
      </w:r>
      <w:r w:rsidR="009C2E45">
        <w:rPr>
          <w:rFonts w:asciiTheme="majorBidi" w:eastAsia="Times New Roman" w:hAnsiTheme="majorBidi" w:cstheme="majorBidi"/>
          <w:color w:val="000000" w:themeColor="text1"/>
        </w:rPr>
        <w:t>pacíficamente para defender sus</w:t>
      </w:r>
      <w:r w:rsidRPr="009E2A0E">
        <w:rPr>
          <w:rFonts w:asciiTheme="majorBidi" w:eastAsia="Times New Roman" w:hAnsiTheme="majorBidi" w:cstheme="majorBidi"/>
          <w:color w:val="000000" w:themeColor="text1"/>
        </w:rPr>
        <w:t xml:space="preserve"> derechos</w:t>
      </w:r>
      <w:r w:rsidR="009C2E45">
        <w:rPr>
          <w:rFonts w:asciiTheme="majorBidi" w:eastAsia="Times New Roman" w:hAnsiTheme="majorBidi" w:cstheme="majorBidi"/>
          <w:color w:val="000000" w:themeColor="text1"/>
        </w:rPr>
        <w:t xml:space="preserve">, lo </w:t>
      </w:r>
      <w:proofErr w:type="gramStart"/>
      <w:r w:rsidR="009C2E45">
        <w:rPr>
          <w:rFonts w:asciiTheme="majorBidi" w:eastAsia="Times New Roman" w:hAnsiTheme="majorBidi" w:cstheme="majorBidi"/>
          <w:color w:val="000000" w:themeColor="text1"/>
        </w:rPr>
        <w:t xml:space="preserve">hacen </w:t>
      </w:r>
      <w:r w:rsidR="00BB3061">
        <w:rPr>
          <w:rFonts w:asciiTheme="majorBidi" w:eastAsia="Times New Roman" w:hAnsiTheme="majorBidi" w:cstheme="majorBidi"/>
          <w:color w:val="000000" w:themeColor="text1"/>
        </w:rPr>
        <w:t xml:space="preserve"> a</w:t>
      </w:r>
      <w:proofErr w:type="gramEnd"/>
      <w:r w:rsidR="00BB3061">
        <w:rPr>
          <w:rFonts w:asciiTheme="majorBidi" w:eastAsia="Times New Roman" w:hAnsiTheme="majorBidi" w:cstheme="majorBidi"/>
          <w:color w:val="000000" w:themeColor="text1"/>
        </w:rPr>
        <w:t xml:space="preserve"> partir de decisiones que se toman a nivel de asambleas comunitarias y </w:t>
      </w:r>
      <w:r w:rsidR="009C2E45">
        <w:rPr>
          <w:rFonts w:asciiTheme="majorBidi" w:eastAsia="Times New Roman" w:hAnsiTheme="majorBidi" w:cstheme="majorBidi"/>
          <w:color w:val="000000" w:themeColor="text1"/>
        </w:rPr>
        <w:t xml:space="preserve">como </w:t>
      </w:r>
      <w:r w:rsidRPr="009E2A0E">
        <w:rPr>
          <w:rFonts w:asciiTheme="majorBidi" w:eastAsia="Times New Roman" w:hAnsiTheme="majorBidi" w:cstheme="majorBidi"/>
          <w:color w:val="000000" w:themeColor="text1"/>
        </w:rPr>
        <w:t xml:space="preserve">única forma que </w:t>
      </w:r>
      <w:r w:rsidR="00BF11BB">
        <w:rPr>
          <w:rFonts w:asciiTheme="majorBidi" w:eastAsia="Times New Roman" w:hAnsiTheme="majorBidi" w:cstheme="majorBidi"/>
          <w:color w:val="000000" w:themeColor="text1"/>
        </w:rPr>
        <w:t>encuentran</w:t>
      </w:r>
      <w:r w:rsidRPr="009E2A0E">
        <w:rPr>
          <w:rFonts w:asciiTheme="majorBidi" w:eastAsia="Times New Roman" w:hAnsiTheme="majorBidi" w:cstheme="majorBidi"/>
          <w:color w:val="000000" w:themeColor="text1"/>
        </w:rPr>
        <w:t xml:space="preserve"> para manifestar </w:t>
      </w:r>
      <w:r w:rsidR="00BF11BB">
        <w:rPr>
          <w:rFonts w:asciiTheme="majorBidi" w:eastAsia="Times New Roman" w:hAnsiTheme="majorBidi" w:cstheme="majorBidi"/>
          <w:color w:val="000000" w:themeColor="text1"/>
        </w:rPr>
        <w:t>su</w:t>
      </w:r>
      <w:r w:rsidRPr="009E2A0E">
        <w:rPr>
          <w:rFonts w:asciiTheme="majorBidi" w:eastAsia="Times New Roman" w:hAnsiTheme="majorBidi" w:cstheme="majorBidi"/>
          <w:color w:val="000000" w:themeColor="text1"/>
        </w:rPr>
        <w:t xml:space="preserve"> sentir </w:t>
      </w:r>
      <w:r w:rsidR="00BB3061">
        <w:rPr>
          <w:rFonts w:asciiTheme="majorBidi" w:eastAsia="Times New Roman" w:hAnsiTheme="majorBidi" w:cstheme="majorBidi"/>
          <w:color w:val="000000" w:themeColor="text1"/>
        </w:rPr>
        <w:t>ante la exclusión</w:t>
      </w:r>
      <w:r w:rsidRPr="009E2A0E">
        <w:rPr>
          <w:rFonts w:asciiTheme="majorBidi" w:eastAsia="Times New Roman" w:hAnsiTheme="majorBidi" w:cstheme="majorBidi"/>
          <w:color w:val="000000" w:themeColor="text1"/>
        </w:rPr>
        <w:t xml:space="preserve"> de los espacios </w:t>
      </w:r>
      <w:r w:rsidR="00BB3061">
        <w:rPr>
          <w:rFonts w:asciiTheme="majorBidi" w:eastAsia="Times New Roman" w:hAnsiTheme="majorBidi" w:cstheme="majorBidi"/>
          <w:color w:val="000000" w:themeColor="text1"/>
        </w:rPr>
        <w:t>en</w:t>
      </w:r>
      <w:r w:rsidRPr="009E2A0E">
        <w:rPr>
          <w:rFonts w:asciiTheme="majorBidi" w:eastAsia="Times New Roman" w:hAnsiTheme="majorBidi" w:cstheme="majorBidi"/>
          <w:color w:val="000000" w:themeColor="text1"/>
        </w:rPr>
        <w:t xml:space="preserve"> la toma de decisiones del Estado</w:t>
      </w:r>
      <w:r w:rsidR="00887BAC">
        <w:rPr>
          <w:rFonts w:asciiTheme="majorBidi" w:eastAsia="Times New Roman" w:hAnsiTheme="majorBidi" w:cstheme="majorBidi"/>
          <w:color w:val="000000" w:themeColor="text1"/>
        </w:rPr>
        <w:t xml:space="preserve"> en medidas que les afectan</w:t>
      </w:r>
      <w:r w:rsidRPr="009E2A0E">
        <w:rPr>
          <w:rFonts w:asciiTheme="majorBidi" w:eastAsia="Times New Roman" w:hAnsiTheme="majorBidi" w:cstheme="majorBidi"/>
          <w:color w:val="000000" w:themeColor="text1"/>
        </w:rPr>
        <w:t xml:space="preserve">. </w:t>
      </w:r>
      <w:r w:rsidR="00887BAC">
        <w:rPr>
          <w:rFonts w:asciiTheme="majorBidi" w:eastAsia="Times New Roman" w:hAnsiTheme="majorBidi" w:cstheme="majorBidi"/>
          <w:color w:val="000000" w:themeColor="text1"/>
        </w:rPr>
        <w:t>La</w:t>
      </w:r>
      <w:r w:rsidRPr="009E2A0E">
        <w:rPr>
          <w:rFonts w:asciiTheme="majorBidi" w:eastAsia="Times New Roman" w:hAnsiTheme="majorBidi" w:cstheme="majorBidi"/>
          <w:color w:val="000000" w:themeColor="text1"/>
        </w:rPr>
        <w:t xml:space="preserve"> Comisión Interamericana de Derechos Humanos</w:t>
      </w:r>
      <w:r w:rsidR="00887BAC">
        <w:rPr>
          <w:rFonts w:asciiTheme="majorBidi" w:eastAsia="Times New Roman" w:hAnsiTheme="majorBidi" w:cstheme="majorBidi"/>
          <w:color w:val="000000" w:themeColor="text1"/>
        </w:rPr>
        <w:t xml:space="preserve"> (CIDH)</w:t>
      </w:r>
      <w:r w:rsidRPr="009E2A0E">
        <w:rPr>
          <w:rFonts w:asciiTheme="majorBidi" w:eastAsia="Times New Roman" w:hAnsiTheme="majorBidi" w:cstheme="majorBidi"/>
          <w:color w:val="000000" w:themeColor="text1"/>
        </w:rPr>
        <w:t xml:space="preserve"> </w:t>
      </w:r>
      <w:r w:rsidR="00887BAC">
        <w:rPr>
          <w:rFonts w:asciiTheme="majorBidi" w:eastAsia="Times New Roman" w:hAnsiTheme="majorBidi" w:cstheme="majorBidi"/>
          <w:color w:val="000000" w:themeColor="text1"/>
        </w:rPr>
        <w:t xml:space="preserve">ha </w:t>
      </w:r>
      <w:r w:rsidR="00887BAC">
        <w:rPr>
          <w:rFonts w:asciiTheme="majorBidi" w:eastAsia="Times New Roman" w:hAnsiTheme="majorBidi" w:cstheme="majorBidi"/>
          <w:color w:val="000000" w:themeColor="text1"/>
        </w:rPr>
        <w:lastRenderedPageBreak/>
        <w:t xml:space="preserve">expresado que </w:t>
      </w:r>
      <w:r w:rsidR="00607F16">
        <w:rPr>
          <w:rFonts w:asciiTheme="majorBidi" w:eastAsia="Times New Roman" w:hAnsiTheme="majorBidi" w:cstheme="majorBidi"/>
          <w:color w:val="000000" w:themeColor="text1"/>
        </w:rPr>
        <w:t>existen grupos</w:t>
      </w:r>
      <w:r w:rsidR="005D0EE6">
        <w:rPr>
          <w:rFonts w:asciiTheme="majorBidi" w:eastAsia="Times New Roman" w:hAnsiTheme="majorBidi" w:cstheme="majorBidi"/>
          <w:color w:val="000000" w:themeColor="text1"/>
        </w:rPr>
        <w:t xml:space="preserve"> </w:t>
      </w:r>
      <w:r w:rsidR="003A5EAF">
        <w:rPr>
          <w:rFonts w:asciiTheme="majorBidi" w:eastAsia="Times New Roman" w:hAnsiTheme="majorBidi" w:cstheme="majorBidi"/>
          <w:color w:val="000000" w:themeColor="text1"/>
        </w:rPr>
        <w:t xml:space="preserve">que </w:t>
      </w:r>
      <w:r w:rsidR="005D0EE6">
        <w:rPr>
          <w:rStyle w:val="normaltextrun"/>
          <w:rFonts w:asciiTheme="majorBidi" w:eastAsia="Times New Roman" w:hAnsiTheme="majorBidi" w:cstheme="majorBidi"/>
          <w:color w:val="000000" w:themeColor="text1"/>
          <w:shd w:val="clear" w:color="auto" w:fill="FFFFFF"/>
          <w:lang w:val="es-MX"/>
        </w:rPr>
        <w:t>tienen</w:t>
      </w:r>
      <w:r w:rsidR="005D0EE6" w:rsidRPr="009E2A0E">
        <w:rPr>
          <w:rFonts w:asciiTheme="majorBidi" w:eastAsia="Times New Roman" w:hAnsiTheme="majorBidi" w:cstheme="majorBidi"/>
          <w:color w:val="000000" w:themeColor="text1"/>
        </w:rPr>
        <w:t xml:space="preserve"> formas específicas de protesta</w:t>
      </w:r>
      <w:r w:rsidR="005D0EE6">
        <w:rPr>
          <w:rFonts w:asciiTheme="majorBidi" w:eastAsia="Times New Roman" w:hAnsiTheme="majorBidi" w:cstheme="majorBidi"/>
          <w:color w:val="000000" w:themeColor="text1"/>
        </w:rPr>
        <w:t xml:space="preserve">, entre ellos, los </w:t>
      </w:r>
      <w:r w:rsidR="00887BAC">
        <w:rPr>
          <w:rFonts w:asciiTheme="majorBidi" w:eastAsia="Times New Roman" w:hAnsiTheme="majorBidi" w:cstheme="majorBidi"/>
          <w:color w:val="000000" w:themeColor="text1"/>
        </w:rPr>
        <w:t>P</w:t>
      </w:r>
      <w:r w:rsidR="00887BAC" w:rsidRPr="009E2A0E">
        <w:rPr>
          <w:rFonts w:asciiTheme="majorBidi" w:eastAsia="Times New Roman" w:hAnsiTheme="majorBidi" w:cstheme="majorBidi"/>
          <w:color w:val="000000" w:themeColor="text1"/>
        </w:rPr>
        <w:t xml:space="preserve">ueblos </w:t>
      </w:r>
      <w:r w:rsidR="00887BAC">
        <w:rPr>
          <w:rFonts w:asciiTheme="majorBidi" w:eastAsia="Times New Roman" w:hAnsiTheme="majorBidi" w:cstheme="majorBidi"/>
          <w:color w:val="000000" w:themeColor="text1"/>
        </w:rPr>
        <w:t>I</w:t>
      </w:r>
      <w:r w:rsidR="00887BAC" w:rsidRPr="009E2A0E">
        <w:rPr>
          <w:rFonts w:asciiTheme="majorBidi" w:eastAsia="Times New Roman" w:hAnsiTheme="majorBidi" w:cstheme="majorBidi"/>
          <w:color w:val="000000" w:themeColor="text1"/>
        </w:rPr>
        <w:t>ndígenas</w:t>
      </w:r>
      <w:r w:rsidRPr="009E2A0E">
        <w:rPr>
          <w:rFonts w:asciiTheme="majorBidi" w:eastAsia="Times New Roman" w:hAnsiTheme="majorBidi" w:cstheme="majorBidi"/>
          <w:color w:val="000000" w:themeColor="text1"/>
        </w:rPr>
        <w:t xml:space="preserve">. Esta protección también está en </w:t>
      </w:r>
      <w:r w:rsidRPr="009E2A0E">
        <w:rPr>
          <w:rFonts w:asciiTheme="majorBidi" w:eastAsia="Times New Roman" w:hAnsiTheme="majorBidi" w:cstheme="majorBidi"/>
          <w:i/>
          <w:iCs/>
          <w:color w:val="000000" w:themeColor="text1"/>
        </w:rPr>
        <w:t>la Declaración de las Naciones Unidas sobre los derechos de los pueblos indígenas, sobre todo las formas de manifestación y protesta cuando ellas están relacionadas con derechos especialmente protegidos</w:t>
      </w:r>
      <w:r w:rsidRPr="009E2A0E">
        <w:rPr>
          <w:rStyle w:val="Refdenotaalpie"/>
          <w:rFonts w:asciiTheme="majorBidi" w:eastAsia="Times New Roman" w:hAnsiTheme="majorBidi" w:cstheme="majorBidi"/>
          <w:color w:val="000000" w:themeColor="text1"/>
          <w:sz w:val="22"/>
        </w:rPr>
        <w:footnoteReference w:id="30"/>
      </w:r>
      <w:r w:rsidRPr="009E2A0E">
        <w:rPr>
          <w:rStyle w:val="Refdenotaalpie"/>
          <w:rFonts w:asciiTheme="majorBidi" w:eastAsia="Times New Roman" w:hAnsiTheme="majorBidi" w:cstheme="majorBidi"/>
          <w:color w:val="000000" w:themeColor="text1"/>
          <w:sz w:val="22"/>
        </w:rPr>
        <w:t>.</w:t>
      </w:r>
    </w:p>
    <w:p w14:paraId="7AB794D6" w14:textId="77777777" w:rsidR="00603868" w:rsidRPr="009E2A0E" w:rsidRDefault="00603868" w:rsidP="00603868">
      <w:pPr>
        <w:spacing w:before="240" w:after="0" w:line="276" w:lineRule="auto"/>
        <w:jc w:val="both"/>
        <w:rPr>
          <w:rStyle w:val="normaltextrun"/>
          <w:rFonts w:asciiTheme="majorBidi" w:eastAsia="Times New Roman" w:hAnsiTheme="majorBidi" w:cstheme="majorBidi"/>
          <w:color w:val="000000" w:themeColor="text1"/>
          <w:lang w:val="es-MX"/>
        </w:rPr>
      </w:pPr>
      <w:r w:rsidRPr="009E2A0E">
        <w:rPr>
          <w:rFonts w:asciiTheme="majorBidi" w:eastAsia="Times New Roman" w:hAnsiTheme="majorBidi" w:cstheme="majorBidi"/>
          <w:color w:val="000000" w:themeColor="text1"/>
        </w:rPr>
        <w:t xml:space="preserve">El Comité Coordinador de Asociaciones Agrícolas, Comerciales, Industriales y Financieras (CACIF) ha cuestionado reiteradamente dichas formas de manifestar calificando que </w:t>
      </w:r>
      <w:r w:rsidRPr="009E2A0E">
        <w:rPr>
          <w:rFonts w:asciiTheme="majorBidi" w:eastAsia="Times New Roman" w:hAnsiTheme="majorBidi" w:cstheme="majorBidi"/>
          <w:i/>
          <w:iCs/>
          <w:color w:val="000000" w:themeColor="text1"/>
        </w:rPr>
        <w:t>“los bloqueos son ilegales y vulneran derechos fundamentales, afectan el abastecimiento de bienes básicos y dañan la economía de todos, especialmente de las micro, pequeñas y medianas empresas.”</w:t>
      </w:r>
      <w:r w:rsidRPr="009E2A0E">
        <w:rPr>
          <w:rStyle w:val="Refdenotaalpie"/>
          <w:rFonts w:asciiTheme="majorBidi" w:eastAsia="Times New Roman" w:hAnsiTheme="majorBidi" w:cstheme="majorBidi"/>
          <w:i/>
          <w:iCs/>
          <w:color w:val="000000" w:themeColor="text1"/>
          <w:sz w:val="22"/>
        </w:rPr>
        <w:footnoteReference w:id="31"/>
      </w:r>
      <w:r w:rsidRPr="009E2A0E">
        <w:rPr>
          <w:rFonts w:asciiTheme="majorBidi" w:eastAsia="Times New Roman" w:hAnsiTheme="majorBidi" w:cstheme="majorBidi"/>
          <w:i/>
          <w:iCs/>
          <w:color w:val="000000" w:themeColor="text1"/>
        </w:rPr>
        <w:t xml:space="preserve">, </w:t>
      </w:r>
      <w:r w:rsidRPr="009E2A0E">
        <w:rPr>
          <w:rFonts w:asciiTheme="majorBidi" w:eastAsia="Times New Roman" w:hAnsiTheme="majorBidi" w:cstheme="majorBidi"/>
          <w:color w:val="000000" w:themeColor="text1"/>
        </w:rPr>
        <w:t>asegurando que</w:t>
      </w:r>
      <w:r w:rsidRPr="009E2A0E">
        <w:rPr>
          <w:rFonts w:asciiTheme="majorBidi" w:eastAsia="Times New Roman" w:hAnsiTheme="majorBidi" w:cstheme="majorBidi"/>
          <w:i/>
          <w:iCs/>
          <w:color w:val="000000" w:themeColor="text1"/>
        </w:rPr>
        <w:t xml:space="preserve"> “Ninguna protesta puede justificar la obstrucción de vías públicas”</w:t>
      </w:r>
      <w:r w:rsidRPr="009E2A0E">
        <w:rPr>
          <w:rStyle w:val="Refdenotaalpie"/>
          <w:rFonts w:asciiTheme="majorBidi" w:eastAsia="Times New Roman" w:hAnsiTheme="majorBidi" w:cstheme="majorBidi"/>
          <w:i/>
          <w:iCs/>
          <w:color w:val="000000" w:themeColor="text1"/>
          <w:sz w:val="22"/>
        </w:rPr>
        <w:footnoteReference w:id="32"/>
      </w:r>
      <w:r w:rsidRPr="009E2A0E">
        <w:rPr>
          <w:rFonts w:asciiTheme="majorBidi" w:eastAsia="Times New Roman" w:hAnsiTheme="majorBidi" w:cstheme="majorBidi"/>
          <w:i/>
          <w:iCs/>
          <w:color w:val="000000" w:themeColor="text1"/>
        </w:rPr>
        <w:t>.</w:t>
      </w:r>
      <w:r w:rsidRPr="009E2A0E">
        <w:rPr>
          <w:rFonts w:asciiTheme="majorBidi" w:eastAsia="Times New Roman" w:hAnsiTheme="majorBidi" w:cstheme="majorBidi"/>
          <w:color w:val="000000" w:themeColor="text1"/>
        </w:rPr>
        <w:t xml:space="preserve"> Sin embargo, la CIDH </w:t>
      </w:r>
      <w:r w:rsidRPr="009E2A0E">
        <w:rPr>
          <w:rStyle w:val="normaltextrun"/>
          <w:rFonts w:asciiTheme="majorBidi" w:eastAsia="Times New Roman" w:hAnsiTheme="majorBidi" w:cstheme="majorBidi"/>
          <w:color w:val="000000" w:themeColor="text1"/>
          <w:lang w:val="es-MX"/>
        </w:rPr>
        <w:t>ha sostenido que este tipo de alteraciones son parte de la mecánica de una sociedad plural, donde conviven intereses diversos, muchas veces contradictorios y que deben encontrar los espacios y canales mediante los cuales expresarse</w:t>
      </w:r>
      <w:r w:rsidRPr="009E2A0E">
        <w:rPr>
          <w:rStyle w:val="Refdenotaalpie"/>
          <w:rFonts w:asciiTheme="majorBidi" w:eastAsia="Times New Roman" w:hAnsiTheme="majorBidi" w:cstheme="majorBidi"/>
          <w:color w:val="000000" w:themeColor="text1"/>
          <w:sz w:val="22"/>
          <w:lang w:val="es-MX"/>
        </w:rPr>
        <w:footnoteReference w:id="33"/>
      </w:r>
      <w:r w:rsidRPr="009E2A0E">
        <w:rPr>
          <w:rStyle w:val="normaltextrun"/>
          <w:rFonts w:asciiTheme="majorBidi" w:eastAsia="Times New Roman" w:hAnsiTheme="majorBidi" w:cstheme="majorBidi"/>
          <w:color w:val="000000" w:themeColor="text1"/>
          <w:lang w:val="es-MX"/>
        </w:rPr>
        <w:t>.</w:t>
      </w:r>
      <w:r>
        <w:rPr>
          <w:rStyle w:val="normaltextrun"/>
          <w:rFonts w:asciiTheme="majorBidi" w:eastAsia="Times New Roman" w:hAnsiTheme="majorBidi" w:cstheme="majorBidi"/>
          <w:color w:val="000000" w:themeColor="text1"/>
          <w:lang w:val="es-MX"/>
        </w:rPr>
        <w:t xml:space="preserve"> </w:t>
      </w:r>
      <w:r>
        <w:rPr>
          <w:rFonts w:asciiTheme="majorBidi" w:eastAsia="Times New Roman" w:hAnsiTheme="majorBidi" w:cstheme="majorBidi"/>
          <w:color w:val="000000" w:themeColor="text1"/>
        </w:rPr>
        <w:t>Los Pueblos Indígenas han privilegiado el diálogo y acciones pacificas para exigir derechos ante el Estado, pero ante la negativa constante para atender sus demandas, acuden a expresarse en lugares públicos.</w:t>
      </w:r>
    </w:p>
    <w:p w14:paraId="109E6FD1" w14:textId="530AF320" w:rsidR="002167B8" w:rsidRPr="000E7DFE" w:rsidRDefault="002167B8" w:rsidP="002167B8">
      <w:pPr>
        <w:spacing w:before="240" w:after="0" w:line="276" w:lineRule="auto"/>
        <w:jc w:val="both"/>
        <w:rPr>
          <w:rFonts w:asciiTheme="majorBidi" w:eastAsia="Times New Roman" w:hAnsiTheme="majorBidi" w:cstheme="majorBidi"/>
          <w:b/>
          <w:bCs/>
          <w:color w:val="000000" w:themeColor="text1"/>
        </w:rPr>
      </w:pPr>
      <w:r w:rsidRPr="009E2A0E">
        <w:rPr>
          <w:rFonts w:asciiTheme="majorBidi" w:eastAsia="Times New Roman" w:hAnsiTheme="majorBidi" w:cstheme="majorBidi"/>
          <w:color w:val="000000" w:themeColor="text1"/>
        </w:rPr>
        <w:t xml:space="preserve">El ejercicio del derecho a la libertad de asociación en espacios públicos no solo representa una forma legítima de participación democrática, sino que constituye una manifestación directa </w:t>
      </w:r>
      <w:r w:rsidR="004E1297">
        <w:rPr>
          <w:rFonts w:asciiTheme="majorBidi" w:eastAsia="Times New Roman" w:hAnsiTheme="majorBidi" w:cstheme="majorBidi"/>
          <w:color w:val="000000" w:themeColor="text1"/>
        </w:rPr>
        <w:t xml:space="preserve">y expresa </w:t>
      </w:r>
      <w:r w:rsidRPr="009E2A0E">
        <w:rPr>
          <w:rFonts w:asciiTheme="majorBidi" w:eastAsia="Times New Roman" w:hAnsiTheme="majorBidi" w:cstheme="majorBidi"/>
          <w:color w:val="000000" w:themeColor="text1"/>
        </w:rPr>
        <w:t xml:space="preserve">de </w:t>
      </w:r>
      <w:r w:rsidR="00E1620E">
        <w:rPr>
          <w:rFonts w:asciiTheme="majorBidi" w:eastAsia="Times New Roman" w:hAnsiTheme="majorBidi" w:cstheme="majorBidi"/>
          <w:color w:val="000000" w:themeColor="text1"/>
        </w:rPr>
        <w:t>sus</w:t>
      </w:r>
      <w:r w:rsidR="004E1297">
        <w:rPr>
          <w:rFonts w:asciiTheme="majorBidi" w:eastAsia="Times New Roman" w:hAnsiTheme="majorBidi" w:cstheme="majorBidi"/>
          <w:color w:val="000000" w:themeColor="text1"/>
        </w:rPr>
        <w:t xml:space="preserve"> comunidades </w:t>
      </w:r>
      <w:r w:rsidR="00E1620E">
        <w:rPr>
          <w:rFonts w:asciiTheme="majorBidi" w:eastAsia="Times New Roman" w:hAnsiTheme="majorBidi" w:cstheme="majorBidi"/>
          <w:color w:val="000000" w:themeColor="text1"/>
        </w:rPr>
        <w:t xml:space="preserve">a través de </w:t>
      </w:r>
      <w:r w:rsidR="00050518">
        <w:rPr>
          <w:rFonts w:asciiTheme="majorBidi" w:eastAsia="Times New Roman" w:hAnsiTheme="majorBidi" w:cstheme="majorBidi"/>
          <w:color w:val="000000" w:themeColor="text1"/>
        </w:rPr>
        <w:t>sus</w:t>
      </w:r>
      <w:r w:rsidR="00E1620E">
        <w:rPr>
          <w:rFonts w:asciiTheme="majorBidi" w:eastAsia="Times New Roman" w:hAnsiTheme="majorBidi" w:cstheme="majorBidi"/>
          <w:color w:val="000000" w:themeColor="text1"/>
        </w:rPr>
        <w:t xml:space="preserve"> Asambleas</w:t>
      </w:r>
      <w:r w:rsidR="00050518">
        <w:rPr>
          <w:rFonts w:asciiTheme="majorBidi" w:eastAsia="Times New Roman" w:hAnsiTheme="majorBidi" w:cstheme="majorBidi"/>
          <w:color w:val="000000" w:themeColor="text1"/>
        </w:rPr>
        <w:t xml:space="preserve"> comunitarias</w:t>
      </w:r>
      <w:r w:rsidR="00E1620E">
        <w:rPr>
          <w:rFonts w:asciiTheme="majorBidi" w:eastAsia="Times New Roman" w:hAnsiTheme="majorBidi" w:cstheme="majorBidi"/>
          <w:color w:val="000000" w:themeColor="text1"/>
        </w:rPr>
        <w:t xml:space="preserve"> </w:t>
      </w:r>
      <w:r w:rsidR="00050518">
        <w:rPr>
          <w:rFonts w:asciiTheme="majorBidi" w:eastAsia="Times New Roman" w:hAnsiTheme="majorBidi" w:cstheme="majorBidi"/>
          <w:color w:val="000000" w:themeColor="text1"/>
        </w:rPr>
        <w:t>y propias formas de organización,</w:t>
      </w:r>
      <w:r w:rsidR="00E1620E">
        <w:rPr>
          <w:rFonts w:asciiTheme="majorBidi" w:eastAsia="Times New Roman" w:hAnsiTheme="majorBidi" w:cstheme="majorBidi"/>
          <w:color w:val="000000" w:themeColor="text1"/>
        </w:rPr>
        <w:t xml:space="preserve"> </w:t>
      </w:r>
      <w:r w:rsidR="004E1297">
        <w:rPr>
          <w:rFonts w:asciiTheme="majorBidi" w:eastAsia="Times New Roman" w:hAnsiTheme="majorBidi" w:cstheme="majorBidi"/>
          <w:color w:val="000000" w:themeColor="text1"/>
        </w:rPr>
        <w:t>en el ejercicio del</w:t>
      </w:r>
      <w:r w:rsidRPr="009E2A0E">
        <w:rPr>
          <w:rFonts w:asciiTheme="majorBidi" w:eastAsia="Times New Roman" w:hAnsiTheme="majorBidi" w:cstheme="majorBidi"/>
          <w:color w:val="000000" w:themeColor="text1"/>
        </w:rPr>
        <w:t xml:space="preserve"> derecho a la libre determinación. En contextos donde históricamente </w:t>
      </w:r>
      <w:r w:rsidR="00050518">
        <w:rPr>
          <w:rFonts w:asciiTheme="majorBidi" w:eastAsia="Times New Roman" w:hAnsiTheme="majorBidi" w:cstheme="majorBidi"/>
          <w:color w:val="000000" w:themeColor="text1"/>
        </w:rPr>
        <w:t>han</w:t>
      </w:r>
      <w:r w:rsidRPr="009E2A0E">
        <w:rPr>
          <w:rFonts w:asciiTheme="majorBidi" w:eastAsia="Times New Roman" w:hAnsiTheme="majorBidi" w:cstheme="majorBidi"/>
          <w:color w:val="000000" w:themeColor="text1"/>
        </w:rPr>
        <w:t xml:space="preserve"> sido excluidos de los mecanismos formales de decisión, la ocupación y uso simbólico de los espacios públicos se convierte en un acto político fundamental para exigir el respeto de sus derechos colectivos, visibilizar sus demandas y fortalecer sus propias formas de organización. </w:t>
      </w:r>
      <w:r w:rsidRPr="000E7DFE">
        <w:rPr>
          <w:rFonts w:asciiTheme="majorBidi" w:eastAsia="Times New Roman" w:hAnsiTheme="majorBidi" w:cstheme="majorBidi"/>
          <w:b/>
          <w:bCs/>
          <w:color w:val="000000" w:themeColor="text1"/>
        </w:rPr>
        <w:t>Restringir o criminalizar este tipo de ejercicio es, en efecto, limitar el corazón mismo del derecho a la libre determinación, piedra angular para el pleno goce de todos los demás derechos individuales y colectivos reconocidos por el derecho internacional de los derechos humanos.</w:t>
      </w:r>
    </w:p>
    <w:p w14:paraId="0E3CACFE" w14:textId="77777777" w:rsidR="002167B8" w:rsidRPr="009E2A0E" w:rsidRDefault="002167B8" w:rsidP="002167B8">
      <w:pPr>
        <w:spacing w:before="240" w:line="276" w:lineRule="auto"/>
        <w:jc w:val="both"/>
        <w:rPr>
          <w:rStyle w:val="normaltextrun"/>
          <w:rFonts w:asciiTheme="majorBidi" w:eastAsia="Times New Roman" w:hAnsiTheme="majorBidi" w:cstheme="majorBidi"/>
          <w:color w:val="000000" w:themeColor="text1"/>
          <w:lang w:val="es-MX"/>
        </w:rPr>
      </w:pPr>
      <w:r w:rsidRPr="009E2A0E">
        <w:rPr>
          <w:rFonts w:asciiTheme="majorBidi" w:eastAsia="Times New Roman" w:hAnsiTheme="majorBidi" w:cstheme="majorBidi"/>
          <w:color w:val="000000" w:themeColor="text1"/>
        </w:rPr>
        <w:t xml:space="preserve">A su vez, el Relator Especial de Naciones Unidas sobre el derecho a la libertad de reunión pacífica y asociación ha hecho referencia a las Directivas sobre la Libertad de Reunirse Pacíficamente de la Oficina para Instituciones Democráticas y Derechos Humanos (ODHIR) de la Organización para la Seguridad y Cooperación en Europa (OSCE) que señalan que </w:t>
      </w:r>
      <w:r w:rsidRPr="009E2A0E">
        <w:rPr>
          <w:rFonts w:asciiTheme="majorBidi" w:eastAsia="Times New Roman" w:hAnsiTheme="majorBidi" w:cstheme="majorBidi"/>
          <w:i/>
          <w:iCs/>
          <w:color w:val="000000" w:themeColor="text1"/>
        </w:rPr>
        <w:t>“el libre flujo del tránsito no debería tener prioridad automáticamente sobre la libertad de reunión pacífica”</w:t>
      </w:r>
      <w:r w:rsidRPr="009E2A0E">
        <w:rPr>
          <w:rStyle w:val="Refdenotaalpie"/>
          <w:rFonts w:asciiTheme="majorBidi" w:eastAsia="Times New Roman" w:hAnsiTheme="majorBidi" w:cstheme="majorBidi"/>
          <w:color w:val="000000" w:themeColor="text1"/>
          <w:sz w:val="22"/>
        </w:rPr>
        <w:footnoteReference w:id="34"/>
      </w:r>
    </w:p>
    <w:p w14:paraId="29DA6F34" w14:textId="67EFE738" w:rsidR="00906398" w:rsidRPr="009E2A0E" w:rsidRDefault="002167B8" w:rsidP="0046376D">
      <w:pPr>
        <w:spacing w:before="240" w:after="0" w:line="276" w:lineRule="auto"/>
        <w:jc w:val="both"/>
        <w:rPr>
          <w:rFonts w:asciiTheme="majorBidi" w:eastAsia="Times New Roman" w:hAnsiTheme="majorBidi" w:cstheme="majorBidi"/>
          <w:color w:val="000000" w:themeColor="text1"/>
        </w:rPr>
      </w:pPr>
      <w:r w:rsidRPr="003E32E3">
        <w:rPr>
          <w:rStyle w:val="normaltextrun"/>
          <w:rFonts w:asciiTheme="majorBidi" w:eastAsia="Times New Roman" w:hAnsiTheme="majorBidi" w:cstheme="majorBidi"/>
          <w:color w:val="000000" w:themeColor="text1"/>
          <w:shd w:val="clear" w:color="auto" w:fill="FFFFFF"/>
        </w:rPr>
        <w:t>En se sentido, el Estado que tiene la</w:t>
      </w:r>
      <w:r w:rsidRPr="003E32E3">
        <w:rPr>
          <w:rFonts w:asciiTheme="majorBidi" w:eastAsia="Times New Roman" w:hAnsiTheme="majorBidi" w:cstheme="majorBidi"/>
          <w:color w:val="000000" w:themeColor="text1"/>
        </w:rPr>
        <w:t xml:space="preserve"> obligación de adoptar todas las medidas para que la celebración de las manifestaciones sea realicen de manera ininterrumpida. El hecho de que una reunión provoque o pueda provocar una reacción hostil de otros ciudadanos contra las y los manifestantes no justifica la restricción, se debe permitir que la reunión siga adelante y se debe proteger a las y los manifestantes. El Estado antes de recurrir a la prohibición se deben considerar restricciones menos intrusivas.</w:t>
      </w:r>
      <w:r w:rsidRPr="003E32E3">
        <w:rPr>
          <w:rStyle w:val="Refdenotaalpie"/>
          <w:rFonts w:asciiTheme="majorBidi" w:eastAsia="Times New Roman" w:hAnsiTheme="majorBidi" w:cstheme="majorBidi"/>
          <w:color w:val="000000" w:themeColor="text1"/>
          <w:sz w:val="22"/>
        </w:rPr>
        <w:footnoteReference w:id="35"/>
      </w:r>
    </w:p>
    <w:p w14:paraId="04022AD8" w14:textId="1D2B47BC" w:rsidR="002167B8" w:rsidRPr="009E2A0E" w:rsidRDefault="006A1D87" w:rsidP="00197C3D">
      <w:pPr>
        <w:pStyle w:val="Prrafodelista"/>
        <w:numPr>
          <w:ilvl w:val="2"/>
          <w:numId w:val="7"/>
        </w:numPr>
        <w:spacing w:before="240" w:line="276" w:lineRule="auto"/>
        <w:jc w:val="both"/>
        <w:outlineLvl w:val="2"/>
        <w:rPr>
          <w:rFonts w:asciiTheme="majorBidi" w:eastAsia="Times New Roman" w:hAnsiTheme="majorBidi" w:cstheme="majorBidi"/>
          <w:b/>
          <w:bCs/>
          <w:color w:val="000000" w:themeColor="text1"/>
        </w:rPr>
      </w:pPr>
      <w:bookmarkStart w:id="10" w:name="_Toc204264033"/>
      <w:r w:rsidRPr="009E2A0E">
        <w:rPr>
          <w:rFonts w:asciiTheme="majorBidi" w:eastAsia="Times New Roman" w:hAnsiTheme="majorBidi" w:cstheme="majorBidi"/>
          <w:b/>
          <w:bCs/>
          <w:color w:val="000000" w:themeColor="text1"/>
        </w:rPr>
        <w:lastRenderedPageBreak/>
        <w:t>E</w:t>
      </w:r>
      <w:r w:rsidR="002167B8" w:rsidRPr="009E2A0E">
        <w:rPr>
          <w:rFonts w:asciiTheme="majorBidi" w:eastAsia="Times New Roman" w:hAnsiTheme="majorBidi" w:cstheme="majorBidi"/>
          <w:b/>
          <w:bCs/>
          <w:color w:val="000000" w:themeColor="text1"/>
        </w:rPr>
        <w:t>stados de excepción y restricciones indebidas y excesivas</w:t>
      </w:r>
      <w:bookmarkEnd w:id="10"/>
    </w:p>
    <w:p w14:paraId="0EB7BBD9" w14:textId="58E002FD" w:rsidR="002167B8" w:rsidRPr="009E2A0E" w:rsidRDefault="002167B8" w:rsidP="002610C2">
      <w:pPr>
        <w:jc w:val="both"/>
        <w:rPr>
          <w:rFonts w:asciiTheme="majorBidi" w:eastAsia="Times New Roman" w:hAnsiTheme="majorBidi" w:cstheme="majorBidi"/>
          <w:color w:val="000000" w:themeColor="text1"/>
        </w:rPr>
      </w:pPr>
      <w:r w:rsidRPr="009E2A0E">
        <w:rPr>
          <w:rFonts w:asciiTheme="majorBidi" w:eastAsia="Times New Roman" w:hAnsiTheme="majorBidi" w:cstheme="majorBidi"/>
          <w:color w:val="000000" w:themeColor="text1"/>
          <w:lang w:val="es-MX"/>
        </w:rPr>
        <w:t xml:space="preserve">En el periodo del 2019 al 2023, el Estado de Guatemala </w:t>
      </w:r>
      <w:r w:rsidRPr="009E2A0E">
        <w:rPr>
          <w:rFonts w:asciiTheme="majorBidi" w:eastAsia="Times New Roman" w:hAnsiTheme="majorBidi" w:cstheme="majorBidi"/>
          <w:color w:val="000000" w:themeColor="text1"/>
        </w:rPr>
        <w:t>continúo el uso de estados de excepción como respuesta a problemas de carácter estructural y social, que requerirían la adopción de medidas de otra naturaleza, tanto administrativas como legislativas y jurisdiccionales. Por ejemplo:</w:t>
      </w:r>
    </w:p>
    <w:tbl>
      <w:tblPr>
        <w:tblStyle w:val="Tablaconcuadrcula"/>
        <w:tblW w:w="0" w:type="auto"/>
        <w:shd w:val="clear" w:color="auto" w:fill="E7E6E6" w:themeFill="background2"/>
        <w:tblLook w:val="04A0" w:firstRow="1" w:lastRow="0" w:firstColumn="1" w:lastColumn="0" w:noHBand="0" w:noVBand="1"/>
      </w:tblPr>
      <w:tblGrid>
        <w:gridCol w:w="8828"/>
      </w:tblGrid>
      <w:tr w:rsidR="002610C2" w:rsidRPr="009E2A0E" w14:paraId="10065505" w14:textId="77777777" w:rsidTr="002610C2">
        <w:tc>
          <w:tcPr>
            <w:tcW w:w="8828" w:type="dxa"/>
            <w:shd w:val="clear" w:color="auto" w:fill="E7E6E6" w:themeFill="background2"/>
          </w:tcPr>
          <w:p w14:paraId="6458127F" w14:textId="2AD2F4C9" w:rsidR="002610C2" w:rsidRPr="009E2A0E" w:rsidRDefault="002610C2" w:rsidP="002610C2">
            <w:pPr>
              <w:spacing w:line="276" w:lineRule="auto"/>
              <w:jc w:val="both"/>
              <w:rPr>
                <w:rFonts w:asciiTheme="majorBidi" w:eastAsia="Times New Roman" w:hAnsiTheme="majorBidi" w:cstheme="majorBidi"/>
                <w:color w:val="000000" w:themeColor="text1"/>
              </w:rPr>
            </w:pPr>
            <w:r w:rsidRPr="009E2A0E">
              <w:rPr>
                <w:rFonts w:asciiTheme="majorBidi" w:eastAsia="Times New Roman" w:hAnsiTheme="majorBidi" w:cstheme="majorBidi"/>
                <w:color w:val="000000" w:themeColor="text1"/>
              </w:rPr>
              <w:t>El 4 de septiembre 2019, el Gobierno declaró un estado de sitio en el Estor, Izabal. El decreto fue</w:t>
            </w:r>
            <w:r w:rsidR="001A5EEB">
              <w:rPr>
                <w:rFonts w:asciiTheme="majorBidi" w:eastAsia="Times New Roman" w:hAnsiTheme="majorBidi" w:cstheme="majorBidi"/>
                <w:color w:val="000000" w:themeColor="text1"/>
              </w:rPr>
              <w:t xml:space="preserve"> </w:t>
            </w:r>
            <w:r w:rsidRPr="009E2A0E">
              <w:rPr>
                <w:rFonts w:asciiTheme="majorBidi" w:eastAsia="Times New Roman" w:hAnsiTheme="majorBidi" w:cstheme="majorBidi"/>
                <w:color w:val="000000" w:themeColor="text1"/>
              </w:rPr>
              <w:t xml:space="preserve">después de un incidente ocurrido el 3 de septiembre, en el que tres soldados fueron asesinados y cinco personas resultaron heridas. El estado de sitio incluyó a 22 municipios, principalmente territorios de los pueblos indígenas y en zonas rurales donde los conflictos sobre la tierra son comunes y donde operan proyectos extractivos y agroindustriales (monocultivos). Duró 60 días y suspendió derechos constitucionales como la libertad de locomoción, reunión y manifestación, lo que dio lugar a que las organizaciones de derechos humanos interrumpieran sus actividades por temor a la detención de su personal. En este caso en particular, la OACNUDH expresó su preocupación de que estas medidas fueran necesarias o proporcionales para lograr una justificación legítima y conforme con las normas y los estándares internacionales de derechos humanos. </w:t>
            </w:r>
          </w:p>
          <w:p w14:paraId="0B1A6E4E" w14:textId="10726A40" w:rsidR="002610C2" w:rsidRPr="009E2A0E" w:rsidRDefault="002610C2" w:rsidP="00605E73">
            <w:pPr>
              <w:spacing w:before="240" w:line="276" w:lineRule="auto"/>
              <w:jc w:val="both"/>
              <w:rPr>
                <w:rFonts w:asciiTheme="majorBidi" w:eastAsia="Times New Roman" w:hAnsiTheme="majorBidi" w:cstheme="majorBidi"/>
                <w:color w:val="000000" w:themeColor="text1"/>
              </w:rPr>
            </w:pPr>
            <w:r w:rsidRPr="009E2A0E">
              <w:rPr>
                <w:rFonts w:asciiTheme="majorBidi" w:eastAsia="Times New Roman" w:hAnsiTheme="majorBidi" w:cstheme="majorBidi"/>
                <w:color w:val="000000" w:themeColor="text1"/>
              </w:rPr>
              <w:t>En octubre de 2021 en El Estor, Izabal, se impuso un estado de sitio tras 20 días de resistencia pacífica del pueblo Q’eqchi’ contra la operación ilegal del proyecto minero Fénix, de la Compañía Guatemalteca de Níquel (CGN). Durante este período, se realizaron allanamientos, detenciones arbitrarias y hostigamiento a periodistas comunitarios. El estado de sitio fue utilizado para proteger las operaciones de la minera, mientras se reprimía a las comunidades indígenas que exigían su derecho a ser consultadas</w:t>
            </w:r>
            <w:r w:rsidRPr="00B50EEE">
              <w:rPr>
                <w:rFonts w:asciiTheme="majorBidi" w:eastAsia="Times New Roman" w:hAnsiTheme="majorBidi" w:cstheme="majorBidi"/>
                <w:color w:val="000000" w:themeColor="text1"/>
              </w:rPr>
              <w:t>. [Ver Detall</w:t>
            </w:r>
            <w:r w:rsidR="008071BB" w:rsidRPr="00B50EEE">
              <w:rPr>
                <w:rFonts w:asciiTheme="majorBidi" w:eastAsia="Times New Roman" w:hAnsiTheme="majorBidi" w:cstheme="majorBidi"/>
                <w:color w:val="000000" w:themeColor="text1"/>
              </w:rPr>
              <w:t>e</w:t>
            </w:r>
            <w:r w:rsidRPr="00B50EEE">
              <w:rPr>
                <w:rFonts w:asciiTheme="majorBidi" w:eastAsia="Times New Roman" w:hAnsiTheme="majorBidi" w:cstheme="majorBidi"/>
                <w:color w:val="000000" w:themeColor="text1"/>
              </w:rPr>
              <w:t xml:space="preserve"> del caso en Anexo </w:t>
            </w:r>
            <w:r w:rsidR="00B50EEE" w:rsidRPr="00B50EEE">
              <w:rPr>
                <w:rFonts w:asciiTheme="majorBidi" w:eastAsia="Times New Roman" w:hAnsiTheme="majorBidi" w:cstheme="majorBidi"/>
                <w:color w:val="000000" w:themeColor="text1"/>
              </w:rPr>
              <w:t>3.2</w:t>
            </w:r>
            <w:r w:rsidRPr="00B50EEE">
              <w:rPr>
                <w:rFonts w:asciiTheme="majorBidi" w:eastAsia="Times New Roman" w:hAnsiTheme="majorBidi" w:cstheme="majorBidi"/>
                <w:color w:val="000000" w:themeColor="text1"/>
              </w:rPr>
              <w:t>]</w:t>
            </w:r>
          </w:p>
        </w:tc>
      </w:tr>
    </w:tbl>
    <w:p w14:paraId="0FF6010D" w14:textId="77777777" w:rsidR="002610C2" w:rsidRPr="009E2A0E" w:rsidRDefault="002610C2" w:rsidP="00B3065D">
      <w:pPr>
        <w:spacing w:line="276" w:lineRule="auto"/>
        <w:jc w:val="both"/>
        <w:rPr>
          <w:rFonts w:asciiTheme="majorBidi" w:eastAsia="Times New Roman" w:hAnsiTheme="majorBidi" w:cstheme="majorBidi"/>
          <w:color w:val="000000" w:themeColor="text1"/>
        </w:rPr>
      </w:pPr>
    </w:p>
    <w:p w14:paraId="39AE31B9" w14:textId="374D9990" w:rsidR="002167B8" w:rsidRPr="009E2A0E" w:rsidRDefault="002167B8" w:rsidP="00197C3D">
      <w:pPr>
        <w:pStyle w:val="Prrafodelista"/>
        <w:numPr>
          <w:ilvl w:val="2"/>
          <w:numId w:val="7"/>
        </w:numPr>
        <w:spacing w:line="276" w:lineRule="auto"/>
        <w:jc w:val="both"/>
        <w:outlineLvl w:val="2"/>
        <w:rPr>
          <w:rFonts w:asciiTheme="majorBidi" w:eastAsia="Times New Roman" w:hAnsiTheme="majorBidi" w:cstheme="majorBidi"/>
          <w:b/>
          <w:bCs/>
          <w:color w:val="000000" w:themeColor="text1"/>
        </w:rPr>
      </w:pPr>
      <w:bookmarkStart w:id="11" w:name="_Toc204264034"/>
      <w:r w:rsidRPr="009E2A0E">
        <w:rPr>
          <w:rFonts w:asciiTheme="majorBidi" w:eastAsia="Times New Roman" w:hAnsiTheme="majorBidi" w:cstheme="majorBidi"/>
          <w:b/>
          <w:bCs/>
          <w:color w:val="000000" w:themeColor="text1"/>
        </w:rPr>
        <w:t>Preocupación por la criminalización de personas defensoras de derechos humanos en el marco de protestas lidera</w:t>
      </w:r>
      <w:r w:rsidR="004D4C00">
        <w:rPr>
          <w:rFonts w:asciiTheme="majorBidi" w:eastAsia="Times New Roman" w:hAnsiTheme="majorBidi" w:cstheme="majorBidi"/>
          <w:b/>
          <w:bCs/>
          <w:color w:val="000000" w:themeColor="text1"/>
        </w:rPr>
        <w:t>da</w:t>
      </w:r>
      <w:r w:rsidRPr="009E2A0E">
        <w:rPr>
          <w:rFonts w:asciiTheme="majorBidi" w:eastAsia="Times New Roman" w:hAnsiTheme="majorBidi" w:cstheme="majorBidi"/>
          <w:b/>
          <w:bCs/>
          <w:color w:val="000000" w:themeColor="text1"/>
        </w:rPr>
        <w:t>s por autoridades y lideresas indígenas</w:t>
      </w:r>
      <w:bookmarkEnd w:id="11"/>
      <w:r w:rsidRPr="009E2A0E">
        <w:rPr>
          <w:rFonts w:asciiTheme="majorBidi" w:eastAsia="Times New Roman" w:hAnsiTheme="majorBidi" w:cstheme="majorBidi"/>
          <w:b/>
          <w:bCs/>
          <w:color w:val="000000" w:themeColor="text1"/>
        </w:rPr>
        <w:t xml:space="preserve"> </w:t>
      </w:r>
    </w:p>
    <w:p w14:paraId="6AB66164" w14:textId="4273C4A6" w:rsidR="002167B8" w:rsidRPr="009E2A0E" w:rsidRDefault="002167B8" w:rsidP="00B333CF">
      <w:pPr>
        <w:spacing w:line="276" w:lineRule="auto"/>
        <w:jc w:val="both"/>
        <w:rPr>
          <w:rFonts w:asciiTheme="majorBidi" w:eastAsia="Times New Roman" w:hAnsiTheme="majorBidi" w:cstheme="majorBidi"/>
          <w:color w:val="000000" w:themeColor="text1"/>
        </w:rPr>
      </w:pPr>
      <w:r w:rsidRPr="009E2A0E">
        <w:rPr>
          <w:rFonts w:asciiTheme="majorBidi" w:eastAsia="Times New Roman" w:hAnsiTheme="majorBidi" w:cstheme="majorBidi"/>
          <w:color w:val="000000" w:themeColor="text1"/>
        </w:rPr>
        <w:t xml:space="preserve">En 2021, cinco defensores del pueblo Maya Ch’orti’ fueron arrestados y procesados penalmente por su participación en una resistencia pacífica contra la empresa minera Cantera Los Manantiales en Olopa, Chiquimula, por la falta de consulta previa a las comunidades </w:t>
      </w:r>
      <w:r w:rsidRPr="00891A90">
        <w:rPr>
          <w:rFonts w:asciiTheme="majorBidi" w:eastAsia="Times New Roman" w:hAnsiTheme="majorBidi" w:cstheme="majorBidi"/>
        </w:rPr>
        <w:t>indígenas</w:t>
      </w:r>
      <w:r w:rsidR="00891A90" w:rsidRPr="00891A90">
        <w:rPr>
          <w:rFonts w:asciiTheme="majorBidi" w:eastAsia="Times New Roman" w:hAnsiTheme="majorBidi" w:cstheme="majorBidi"/>
        </w:rPr>
        <w:t xml:space="preserve"> ch’orti’</w:t>
      </w:r>
      <w:r w:rsidRPr="00891A90">
        <w:rPr>
          <w:rFonts w:asciiTheme="majorBidi" w:eastAsia="Times New Roman" w:hAnsiTheme="majorBidi" w:cstheme="majorBidi"/>
        </w:rPr>
        <w:t xml:space="preserve"> afectadas </w:t>
      </w:r>
      <w:r w:rsidRPr="009E2A0E">
        <w:rPr>
          <w:rFonts w:asciiTheme="majorBidi" w:eastAsia="Times New Roman" w:hAnsiTheme="majorBidi" w:cstheme="majorBidi"/>
          <w:color w:val="000000" w:themeColor="text1"/>
        </w:rPr>
        <w:t>por las actividades mineras.</w:t>
      </w:r>
      <w:r w:rsidRPr="009E2A0E">
        <w:rPr>
          <w:rStyle w:val="Refdenotaalpie"/>
          <w:rFonts w:asciiTheme="majorBidi" w:eastAsia="Times New Roman" w:hAnsiTheme="majorBidi" w:cstheme="majorBidi"/>
          <w:color w:val="000000" w:themeColor="text1"/>
          <w:sz w:val="22"/>
        </w:rPr>
        <w:footnoteReference w:id="36"/>
      </w:r>
      <w:r w:rsidRPr="009E2A0E">
        <w:rPr>
          <w:rFonts w:asciiTheme="majorBidi" w:eastAsia="Times New Roman" w:hAnsiTheme="majorBidi" w:cstheme="majorBidi"/>
          <w:color w:val="000000" w:themeColor="text1"/>
        </w:rPr>
        <w:t xml:space="preserve"> </w:t>
      </w:r>
    </w:p>
    <w:p w14:paraId="69D64453" w14:textId="11A89F49" w:rsidR="002167B8" w:rsidRPr="009E2A0E" w:rsidRDefault="002167B8" w:rsidP="002167B8">
      <w:pPr>
        <w:spacing w:line="276" w:lineRule="auto"/>
        <w:jc w:val="both"/>
        <w:rPr>
          <w:rFonts w:asciiTheme="majorBidi" w:eastAsia="Times New Roman" w:hAnsiTheme="majorBidi" w:cstheme="majorBidi"/>
          <w:i/>
          <w:iCs/>
          <w:color w:val="000000" w:themeColor="text1"/>
        </w:rPr>
      </w:pPr>
      <w:r w:rsidRPr="009E2A0E">
        <w:rPr>
          <w:rFonts w:asciiTheme="majorBidi" w:eastAsia="Times New Roman" w:hAnsiTheme="majorBidi" w:cstheme="majorBidi"/>
          <w:color w:val="000000" w:themeColor="text1"/>
        </w:rPr>
        <w:t xml:space="preserve">El 23 de abril de 2025, </w:t>
      </w:r>
      <w:r w:rsidR="007547B2">
        <w:rPr>
          <w:rFonts w:asciiTheme="majorBidi" w:eastAsia="Times New Roman" w:hAnsiTheme="majorBidi" w:cstheme="majorBidi"/>
          <w:color w:val="000000" w:themeColor="text1"/>
        </w:rPr>
        <w:t>privaron de libertad</w:t>
      </w:r>
      <w:r w:rsidRPr="009E2A0E">
        <w:rPr>
          <w:rFonts w:asciiTheme="majorBidi" w:eastAsia="Times New Roman" w:hAnsiTheme="majorBidi" w:cstheme="majorBidi"/>
          <w:color w:val="000000" w:themeColor="text1"/>
        </w:rPr>
        <w:t xml:space="preserve"> y ligaron a proceso penal </w:t>
      </w:r>
      <w:r w:rsidR="00523567" w:rsidRPr="009E2A0E">
        <w:rPr>
          <w:rFonts w:asciiTheme="majorBidi" w:eastAsia="Times New Roman" w:hAnsiTheme="majorBidi" w:cstheme="majorBidi"/>
          <w:color w:val="000000" w:themeColor="text1"/>
        </w:rPr>
        <w:t>al actual</w:t>
      </w:r>
      <w:r w:rsidRPr="009E2A0E">
        <w:rPr>
          <w:rFonts w:asciiTheme="majorBidi" w:eastAsia="Times New Roman" w:hAnsiTheme="majorBidi" w:cstheme="majorBidi"/>
          <w:color w:val="000000" w:themeColor="text1"/>
        </w:rPr>
        <w:t xml:space="preserve"> viceministro de Desarrollo Sostenible y </w:t>
      </w:r>
      <w:proofErr w:type="gramStart"/>
      <w:r w:rsidRPr="009E2A0E">
        <w:rPr>
          <w:rFonts w:asciiTheme="majorBidi" w:eastAsia="Times New Roman" w:hAnsiTheme="majorBidi" w:cstheme="majorBidi"/>
          <w:color w:val="000000" w:themeColor="text1"/>
        </w:rPr>
        <w:t>Presidente</w:t>
      </w:r>
      <w:proofErr w:type="gramEnd"/>
      <w:r w:rsidRPr="009E2A0E">
        <w:rPr>
          <w:rFonts w:asciiTheme="majorBidi" w:eastAsia="Times New Roman" w:hAnsiTheme="majorBidi" w:cstheme="majorBidi"/>
          <w:color w:val="000000" w:themeColor="text1"/>
        </w:rPr>
        <w:t xml:space="preserve"> de la Junta Directiva de los 48 Cantones de Totonicapán en 2023, </w:t>
      </w:r>
      <w:r w:rsidR="000D0F6C" w:rsidRPr="009E2A0E">
        <w:rPr>
          <w:rFonts w:asciiTheme="majorBidi" w:eastAsia="Times New Roman" w:hAnsiTheme="majorBidi" w:cstheme="majorBidi"/>
          <w:color w:val="000000" w:themeColor="text1"/>
        </w:rPr>
        <w:t>entre algunas de sus acusaciones, está el delito de</w:t>
      </w:r>
      <w:r w:rsidRPr="009E2A0E">
        <w:rPr>
          <w:rFonts w:asciiTheme="majorBidi" w:eastAsia="Times New Roman" w:hAnsiTheme="majorBidi" w:cstheme="majorBidi"/>
          <w:color w:val="000000" w:themeColor="text1"/>
        </w:rPr>
        <w:t xml:space="preserve"> terrorismo</w:t>
      </w:r>
      <w:r w:rsidRPr="009E2A0E">
        <w:rPr>
          <w:rStyle w:val="Refdenotaalpie"/>
          <w:rFonts w:asciiTheme="majorBidi" w:eastAsia="Times New Roman" w:hAnsiTheme="majorBidi" w:cstheme="majorBidi"/>
          <w:color w:val="000000" w:themeColor="text1"/>
          <w:sz w:val="22"/>
        </w:rPr>
        <w:footnoteReference w:id="37"/>
      </w:r>
      <w:r w:rsidRPr="009E2A0E">
        <w:rPr>
          <w:rFonts w:asciiTheme="majorBidi" w:eastAsia="Times New Roman" w:hAnsiTheme="majorBidi" w:cstheme="majorBidi"/>
          <w:color w:val="000000" w:themeColor="text1"/>
        </w:rPr>
        <w:t xml:space="preserve">. </w:t>
      </w:r>
      <w:r w:rsidR="001474E2" w:rsidRPr="009E2A0E">
        <w:rPr>
          <w:rFonts w:asciiTheme="majorBidi" w:eastAsia="Times New Roman" w:hAnsiTheme="majorBidi" w:cstheme="majorBidi"/>
          <w:color w:val="000000" w:themeColor="text1"/>
        </w:rPr>
        <w:t xml:space="preserve">Dicha autoridad, </w:t>
      </w:r>
      <w:r w:rsidRPr="009E2A0E">
        <w:rPr>
          <w:rFonts w:asciiTheme="majorBidi" w:eastAsia="Times New Roman" w:hAnsiTheme="majorBidi" w:cstheme="majorBidi"/>
          <w:color w:val="000000" w:themeColor="text1"/>
        </w:rPr>
        <w:t>junto con otras autoridades indígenas habían liderado protestas pacíficas en 2023 exigiendo la renuncia de la fiscal general Consuelo Porras</w:t>
      </w:r>
      <w:r w:rsidR="00961C2C" w:rsidRPr="009E2A0E">
        <w:rPr>
          <w:rStyle w:val="Refdenotaalpie"/>
          <w:rFonts w:asciiTheme="majorBidi" w:eastAsia="Times New Roman" w:hAnsiTheme="majorBidi" w:cstheme="majorBidi"/>
          <w:color w:val="000000" w:themeColor="text1"/>
        </w:rPr>
        <w:footnoteReference w:id="38"/>
      </w:r>
      <w:r w:rsidRPr="009E2A0E">
        <w:rPr>
          <w:rFonts w:asciiTheme="majorBidi" w:eastAsia="Times New Roman" w:hAnsiTheme="majorBidi" w:cstheme="majorBidi"/>
          <w:color w:val="000000" w:themeColor="text1"/>
        </w:rPr>
        <w:t xml:space="preserve"> y en defensa de los resultados electorales que dieron la victoria al presidente Bernardo Arévalo. Su detención es indignante, condenable y cuestionable, además pone en riesgo la institucionalidad ancestral de los pueblos indígenas en el país. Diversos colectivos de autoridades indígenas, lideresas y organizaciones de sociedad civil, tanto nacional como internacional </w:t>
      </w:r>
      <w:r w:rsidRPr="009E2A0E">
        <w:rPr>
          <w:rFonts w:asciiTheme="majorBidi" w:eastAsia="Times New Roman" w:hAnsiTheme="majorBidi" w:cstheme="majorBidi"/>
          <w:color w:val="000000" w:themeColor="text1"/>
        </w:rPr>
        <w:lastRenderedPageBreak/>
        <w:t>han expresado su rechazo</w:t>
      </w:r>
      <w:r w:rsidR="00961C2C" w:rsidRPr="009E2A0E">
        <w:rPr>
          <w:rStyle w:val="Refdenotaalpie"/>
          <w:rFonts w:asciiTheme="majorBidi" w:eastAsia="Times New Roman" w:hAnsiTheme="majorBidi" w:cstheme="majorBidi"/>
          <w:color w:val="000000" w:themeColor="text1"/>
        </w:rPr>
        <w:footnoteReference w:id="39"/>
      </w:r>
      <w:r w:rsidR="00961C2C" w:rsidRPr="009E2A0E">
        <w:rPr>
          <w:rFonts w:asciiTheme="majorBidi" w:eastAsia="Times New Roman" w:hAnsiTheme="majorBidi" w:cstheme="majorBidi"/>
          <w:color w:val="000000" w:themeColor="text1"/>
        </w:rPr>
        <w:t>.</w:t>
      </w:r>
      <w:r w:rsidRPr="009E2A0E">
        <w:rPr>
          <w:rFonts w:asciiTheme="majorBidi" w:eastAsia="Times New Roman" w:hAnsiTheme="majorBidi" w:cstheme="majorBidi"/>
          <w:color w:val="000000" w:themeColor="text1"/>
        </w:rPr>
        <w:t xml:space="preserve"> El Alto Comisionado de las Naciones Unidas para los Derechos Humanos, Volker Turk ha indicado que “</w:t>
      </w:r>
      <w:r w:rsidRPr="009E2A0E">
        <w:rPr>
          <w:rFonts w:asciiTheme="majorBidi" w:eastAsia="Times New Roman" w:hAnsiTheme="majorBidi" w:cstheme="majorBidi"/>
          <w:i/>
          <w:iCs/>
          <w:color w:val="000000" w:themeColor="text1"/>
        </w:rPr>
        <w:t xml:space="preserve">El uso indebido del derecho penal de Guatemala para detener a líderes indígenas, </w:t>
      </w:r>
      <w:r w:rsidR="007547B2">
        <w:rPr>
          <w:rFonts w:asciiTheme="majorBidi" w:eastAsia="Times New Roman" w:hAnsiTheme="majorBidi" w:cstheme="majorBidi"/>
          <w:i/>
          <w:iCs/>
          <w:color w:val="000000" w:themeColor="text1"/>
        </w:rPr>
        <w:t>(…)</w:t>
      </w:r>
      <w:r w:rsidRPr="009E2A0E">
        <w:rPr>
          <w:rFonts w:asciiTheme="majorBidi" w:eastAsia="Times New Roman" w:hAnsiTheme="majorBidi" w:cstheme="majorBidi"/>
          <w:i/>
          <w:iCs/>
          <w:color w:val="000000" w:themeColor="text1"/>
        </w:rPr>
        <w:t xml:space="preserve"> es muy preocupante. Participar en manifestaciones pacíficas es un derecho humano que no debe ser sancionado”</w:t>
      </w:r>
      <w:r w:rsidR="00961C2C" w:rsidRPr="009E2A0E">
        <w:rPr>
          <w:rStyle w:val="Refdenotaalpie"/>
          <w:rFonts w:asciiTheme="majorBidi" w:eastAsia="Times New Roman" w:hAnsiTheme="majorBidi" w:cstheme="majorBidi"/>
          <w:i/>
          <w:iCs/>
          <w:color w:val="000000" w:themeColor="text1"/>
        </w:rPr>
        <w:footnoteReference w:id="40"/>
      </w:r>
      <w:r w:rsidRPr="009E2A0E">
        <w:rPr>
          <w:rFonts w:asciiTheme="majorBidi" w:eastAsia="Times New Roman" w:hAnsiTheme="majorBidi" w:cstheme="majorBidi"/>
          <w:i/>
          <w:iCs/>
          <w:color w:val="000000" w:themeColor="text1"/>
        </w:rPr>
        <w:t xml:space="preserve">.  </w:t>
      </w:r>
    </w:p>
    <w:p w14:paraId="5C081F8F" w14:textId="2A1575BD" w:rsidR="002167B8" w:rsidRPr="009E2A0E" w:rsidRDefault="002167B8" w:rsidP="002167B8">
      <w:pPr>
        <w:spacing w:line="276" w:lineRule="auto"/>
        <w:jc w:val="both"/>
        <w:rPr>
          <w:rStyle w:val="Hipervnculo"/>
          <w:rFonts w:asciiTheme="majorBidi" w:eastAsia="Times New Roman" w:hAnsiTheme="majorBidi" w:cstheme="majorBidi"/>
          <w:i/>
          <w:iCs/>
          <w:color w:val="000000" w:themeColor="text1"/>
        </w:rPr>
      </w:pPr>
      <w:r w:rsidRPr="009E2A0E">
        <w:rPr>
          <w:rFonts w:asciiTheme="majorBidi" w:eastAsia="Times New Roman" w:hAnsiTheme="majorBidi" w:cstheme="majorBidi"/>
          <w:color w:val="000000" w:themeColor="text1"/>
        </w:rPr>
        <w:t xml:space="preserve">Asimismo, la Relatora Especial de las Naciones Unidas de Libertad de Asociación y Asamblea expresó estar </w:t>
      </w:r>
      <w:r w:rsidRPr="009E2A0E">
        <w:rPr>
          <w:rFonts w:asciiTheme="majorBidi" w:eastAsia="Times New Roman" w:hAnsiTheme="majorBidi" w:cstheme="majorBidi"/>
          <w:i/>
          <w:iCs/>
          <w:color w:val="000000" w:themeColor="text1"/>
        </w:rPr>
        <w:t>“profundamente alarmada por los nuevos ataques del Ministerio Público a líderes indígenas por su participación en protestas pacíficas en el 2023</w:t>
      </w:r>
      <w:r w:rsidR="004177E3">
        <w:rPr>
          <w:rFonts w:asciiTheme="majorBidi" w:eastAsia="Times New Roman" w:hAnsiTheme="majorBidi" w:cstheme="majorBidi"/>
          <w:i/>
          <w:iCs/>
          <w:color w:val="000000" w:themeColor="text1"/>
        </w:rPr>
        <w:t xml:space="preserve"> (…)</w:t>
      </w:r>
      <w:r w:rsidRPr="009E2A0E">
        <w:rPr>
          <w:rFonts w:asciiTheme="majorBidi" w:eastAsia="Times New Roman" w:hAnsiTheme="majorBidi" w:cstheme="majorBidi"/>
          <w:i/>
          <w:iCs/>
          <w:color w:val="000000" w:themeColor="text1"/>
        </w:rPr>
        <w:t xml:space="preserve">. Preocupa en especial la estigmatización y uso indebido de legislación antiterrorismo, para debilitar al gobierno democráticamente elegido”, </w:t>
      </w:r>
      <w:r w:rsidRPr="009E2A0E">
        <w:rPr>
          <w:rFonts w:asciiTheme="majorBidi" w:eastAsia="Times New Roman" w:hAnsiTheme="majorBidi" w:cstheme="majorBidi"/>
          <w:color w:val="000000" w:themeColor="text1"/>
        </w:rPr>
        <w:t>haciendo un llamado</w:t>
      </w:r>
      <w:r w:rsidRPr="009E2A0E">
        <w:rPr>
          <w:rFonts w:asciiTheme="majorBidi" w:eastAsia="Times New Roman" w:hAnsiTheme="majorBidi" w:cstheme="majorBidi"/>
          <w:i/>
          <w:iCs/>
          <w:color w:val="000000" w:themeColor="text1"/>
        </w:rPr>
        <w:t xml:space="preserve"> “al Ministerio Público a liberar de forma inmediata a las personas detenidas, a retirar todos los cargos contra ellos y cualquier otra autoridad indígena que haya participado en las movilizaciones del 2023”</w:t>
      </w:r>
      <w:r w:rsidRPr="009E2A0E">
        <w:rPr>
          <w:rFonts w:asciiTheme="majorBidi" w:eastAsia="Times New Roman" w:hAnsiTheme="majorBidi" w:cstheme="majorBidi"/>
          <w:color w:val="000000" w:themeColor="text1"/>
        </w:rPr>
        <w:t>.</w:t>
      </w:r>
      <w:r w:rsidR="00961C2C" w:rsidRPr="009E2A0E">
        <w:rPr>
          <w:rStyle w:val="Refdenotaalpie"/>
          <w:rFonts w:asciiTheme="majorBidi" w:eastAsia="Times New Roman" w:hAnsiTheme="majorBidi" w:cstheme="majorBidi"/>
          <w:color w:val="000000" w:themeColor="text1"/>
        </w:rPr>
        <w:footnoteReference w:id="41"/>
      </w:r>
    </w:p>
    <w:p w14:paraId="3EAF9102" w14:textId="570A7249" w:rsidR="002167B8" w:rsidRPr="009E2A0E" w:rsidRDefault="002167B8" w:rsidP="002167B8">
      <w:pPr>
        <w:spacing w:line="276" w:lineRule="auto"/>
        <w:jc w:val="both"/>
        <w:rPr>
          <w:rFonts w:asciiTheme="majorBidi" w:eastAsia="Times New Roman" w:hAnsiTheme="majorBidi" w:cstheme="majorBidi"/>
          <w:i/>
          <w:iCs/>
          <w:color w:val="000000" w:themeColor="text1"/>
        </w:rPr>
      </w:pPr>
      <w:r w:rsidRPr="009E2A0E">
        <w:rPr>
          <w:rFonts w:asciiTheme="majorBidi" w:eastAsia="Times New Roman" w:hAnsiTheme="majorBidi" w:cstheme="majorBidi"/>
          <w:color w:val="000000" w:themeColor="text1"/>
        </w:rPr>
        <w:t>También se cuestionan las condiciones en que se ha producido su detención, evidenciando un trato desproporcionado y diferencial que contrasta con la atención brindada en casos donde las personas privadas de libertad con altos cargos no son indígenas. Esta disparidad revela un patrón de trato racista y discriminatorio, en el cual las autoridades aplican con mayor severidad y estigmatización las medidas penales cuando se trata de miembros de pueblos indígenas, lo que refuerza la persistencia del racismo estructural en el sistema de justicia.</w:t>
      </w:r>
      <w:r w:rsidR="00BC7B1D">
        <w:rPr>
          <w:rStyle w:val="Refdenotaalpie"/>
          <w:rFonts w:asciiTheme="majorBidi" w:eastAsia="Times New Roman" w:hAnsiTheme="majorBidi"/>
          <w:color w:val="000000" w:themeColor="text1"/>
        </w:rPr>
        <w:footnoteReference w:id="42"/>
      </w:r>
      <w:r w:rsidRPr="009E2A0E">
        <w:rPr>
          <w:rFonts w:asciiTheme="majorBidi" w:eastAsia="Times New Roman" w:hAnsiTheme="majorBidi" w:cstheme="majorBidi"/>
          <w:i/>
          <w:iCs/>
          <w:color w:val="000000" w:themeColor="text1"/>
        </w:rPr>
        <w:t xml:space="preserve"> </w:t>
      </w:r>
    </w:p>
    <w:p w14:paraId="5BD68E57" w14:textId="2C01370C" w:rsidR="005A4090" w:rsidRDefault="002167B8" w:rsidP="002E3951">
      <w:pPr>
        <w:spacing w:line="276" w:lineRule="auto"/>
        <w:jc w:val="both"/>
        <w:rPr>
          <w:rFonts w:asciiTheme="majorBidi" w:eastAsia="Times New Roman" w:hAnsiTheme="majorBidi" w:cstheme="majorBidi"/>
          <w:color w:val="000000" w:themeColor="text1"/>
        </w:rPr>
      </w:pPr>
      <w:r w:rsidRPr="009E2A0E">
        <w:rPr>
          <w:rFonts w:asciiTheme="majorBidi" w:eastAsia="Times New Roman" w:hAnsiTheme="majorBidi" w:cstheme="majorBidi"/>
          <w:color w:val="000000" w:themeColor="text1"/>
        </w:rPr>
        <w:t xml:space="preserve">La privación de libertad de una autoridad indígena por liderar manifestaciones pacíficas genera un grave precedente que debilita el derecho a la protesta social, alienta la criminalización de la participación política de los pueblos indígenas y compara la organización comunitaria indígenas con estructuras </w:t>
      </w:r>
      <w:r w:rsidR="001016FF">
        <w:rPr>
          <w:rFonts w:asciiTheme="majorBidi" w:eastAsia="Times New Roman" w:hAnsiTheme="majorBidi" w:cstheme="majorBidi"/>
          <w:color w:val="000000" w:themeColor="text1"/>
        </w:rPr>
        <w:t>“</w:t>
      </w:r>
      <w:r w:rsidRPr="009E2A0E">
        <w:rPr>
          <w:rFonts w:asciiTheme="majorBidi" w:eastAsia="Times New Roman" w:hAnsiTheme="majorBidi" w:cstheme="majorBidi"/>
          <w:color w:val="000000" w:themeColor="text1"/>
        </w:rPr>
        <w:t>criminales</w:t>
      </w:r>
      <w:r w:rsidR="001016FF">
        <w:rPr>
          <w:rFonts w:asciiTheme="majorBidi" w:eastAsia="Times New Roman" w:hAnsiTheme="majorBidi" w:cstheme="majorBidi"/>
          <w:color w:val="000000" w:themeColor="text1"/>
        </w:rPr>
        <w:t>” o “terroristas”</w:t>
      </w:r>
      <w:r w:rsidRPr="009E2A0E">
        <w:rPr>
          <w:rFonts w:asciiTheme="majorBidi" w:eastAsia="Times New Roman" w:hAnsiTheme="majorBidi" w:cstheme="majorBidi"/>
          <w:color w:val="000000" w:themeColor="text1"/>
        </w:rPr>
        <w:t xml:space="preserve">. Este tipo de acciones tiene un efecto inhibidor en el ejercicio de derechos colectivos fundamentales, como la libertad de asociación y el derecho a la libre determinación, y contribuye a reforzar un mensaje de castigo contra quienes se organizan y se expresan en defensa de sus derechos. Además, cuando estas detenciones se dirigen de manera reiterada y selectiva contra autoridades y liderazgos indígenas, se evidencia un patrón de discriminación estructural, en el cual el Estado no solo desconoce la legitimidad de sus formas organizativas de los </w:t>
      </w:r>
      <w:r w:rsidR="00AF228D">
        <w:rPr>
          <w:rFonts w:asciiTheme="majorBidi" w:eastAsia="Times New Roman" w:hAnsiTheme="majorBidi" w:cstheme="majorBidi"/>
          <w:color w:val="000000" w:themeColor="text1"/>
        </w:rPr>
        <w:t>Pueblos Indígenas</w:t>
      </w:r>
      <w:r w:rsidRPr="009E2A0E">
        <w:rPr>
          <w:rFonts w:asciiTheme="majorBidi" w:eastAsia="Times New Roman" w:hAnsiTheme="majorBidi" w:cstheme="majorBidi"/>
          <w:color w:val="000000" w:themeColor="text1"/>
        </w:rPr>
        <w:t xml:space="preserve">, sino que las reprime, perpetuando la exclusión histórica de los </w:t>
      </w:r>
      <w:r w:rsidR="00AF228D">
        <w:rPr>
          <w:rFonts w:asciiTheme="majorBidi" w:eastAsia="Times New Roman" w:hAnsiTheme="majorBidi" w:cstheme="majorBidi"/>
          <w:color w:val="000000" w:themeColor="text1"/>
        </w:rPr>
        <w:t>Pueblos Indígenas</w:t>
      </w:r>
      <w:r w:rsidRPr="009E2A0E">
        <w:rPr>
          <w:rFonts w:asciiTheme="majorBidi" w:eastAsia="Times New Roman" w:hAnsiTheme="majorBidi" w:cstheme="majorBidi"/>
          <w:color w:val="000000" w:themeColor="text1"/>
        </w:rPr>
        <w:t>. Este tipo de criminalización, lejos de promover la convivencia democrática, profundiza la desigualdad, el racismo institucional y la desconfianza hacia el sistema de justicia.</w:t>
      </w:r>
      <w:r w:rsidR="002E3951">
        <w:rPr>
          <w:rFonts w:asciiTheme="majorBidi" w:eastAsia="Times New Roman" w:hAnsiTheme="majorBidi" w:cstheme="majorBidi"/>
          <w:color w:val="000000" w:themeColor="text1"/>
        </w:rPr>
        <w:t xml:space="preserve"> </w:t>
      </w:r>
      <w:r w:rsidR="005A4090">
        <w:rPr>
          <w:rFonts w:asciiTheme="majorBidi" w:eastAsia="Times New Roman" w:hAnsiTheme="majorBidi" w:cstheme="majorBidi"/>
          <w:color w:val="000000" w:themeColor="text1"/>
        </w:rPr>
        <w:t xml:space="preserve">Asimismo, </w:t>
      </w:r>
      <w:r w:rsidR="005C1006">
        <w:rPr>
          <w:rFonts w:asciiTheme="majorBidi" w:eastAsia="Times New Roman" w:hAnsiTheme="majorBidi" w:cstheme="majorBidi"/>
          <w:color w:val="000000" w:themeColor="text1"/>
        </w:rPr>
        <w:t>externamos</w:t>
      </w:r>
      <w:r w:rsidR="002822BC">
        <w:rPr>
          <w:rFonts w:asciiTheme="majorBidi" w:eastAsia="Times New Roman" w:hAnsiTheme="majorBidi" w:cstheme="majorBidi"/>
          <w:color w:val="000000" w:themeColor="text1"/>
        </w:rPr>
        <w:t xml:space="preserve"> nuestra</w:t>
      </w:r>
      <w:r w:rsidR="005C1006">
        <w:rPr>
          <w:rFonts w:asciiTheme="majorBidi" w:eastAsia="Times New Roman" w:hAnsiTheme="majorBidi" w:cstheme="majorBidi"/>
          <w:color w:val="000000" w:themeColor="text1"/>
        </w:rPr>
        <w:t xml:space="preserve"> preocupación por el cierre de los espacios cívicos </w:t>
      </w:r>
      <w:r w:rsidR="002822BC">
        <w:rPr>
          <w:rFonts w:asciiTheme="majorBidi" w:eastAsia="Times New Roman" w:hAnsiTheme="majorBidi" w:cstheme="majorBidi"/>
          <w:color w:val="000000" w:themeColor="text1"/>
        </w:rPr>
        <w:t>a los</w:t>
      </w:r>
      <w:r w:rsidR="005C1006">
        <w:rPr>
          <w:rFonts w:asciiTheme="majorBidi" w:eastAsia="Times New Roman" w:hAnsiTheme="majorBidi" w:cstheme="majorBidi"/>
          <w:color w:val="000000" w:themeColor="text1"/>
        </w:rPr>
        <w:t xml:space="preserve"> </w:t>
      </w:r>
      <w:r w:rsidR="002822BC">
        <w:rPr>
          <w:rFonts w:asciiTheme="majorBidi" w:eastAsia="Times New Roman" w:hAnsiTheme="majorBidi" w:cstheme="majorBidi"/>
          <w:color w:val="000000" w:themeColor="text1"/>
        </w:rPr>
        <w:t>P</w:t>
      </w:r>
      <w:r w:rsidR="005C1006">
        <w:rPr>
          <w:rFonts w:asciiTheme="majorBidi" w:eastAsia="Times New Roman" w:hAnsiTheme="majorBidi" w:cstheme="majorBidi"/>
          <w:color w:val="000000" w:themeColor="text1"/>
        </w:rPr>
        <w:t xml:space="preserve">ueblos </w:t>
      </w:r>
      <w:r w:rsidR="002822BC">
        <w:rPr>
          <w:rFonts w:asciiTheme="majorBidi" w:eastAsia="Times New Roman" w:hAnsiTheme="majorBidi" w:cstheme="majorBidi"/>
          <w:color w:val="000000" w:themeColor="text1"/>
        </w:rPr>
        <w:t>I</w:t>
      </w:r>
      <w:r w:rsidR="005C1006">
        <w:rPr>
          <w:rFonts w:asciiTheme="majorBidi" w:eastAsia="Times New Roman" w:hAnsiTheme="majorBidi" w:cstheme="majorBidi"/>
          <w:color w:val="000000" w:themeColor="text1"/>
        </w:rPr>
        <w:t>ndígenas</w:t>
      </w:r>
      <w:r w:rsidR="002822BC">
        <w:rPr>
          <w:rFonts w:asciiTheme="majorBidi" w:eastAsia="Times New Roman" w:hAnsiTheme="majorBidi" w:cstheme="majorBidi"/>
          <w:color w:val="000000" w:themeColor="text1"/>
        </w:rPr>
        <w:t xml:space="preserve"> y Afrodescendientes</w:t>
      </w:r>
      <w:r w:rsidR="002822BC">
        <w:rPr>
          <w:rStyle w:val="Refdenotaalpie"/>
          <w:rFonts w:asciiTheme="majorBidi" w:eastAsia="Times New Roman" w:hAnsiTheme="majorBidi"/>
          <w:color w:val="000000" w:themeColor="text1"/>
        </w:rPr>
        <w:footnoteReference w:id="43"/>
      </w:r>
      <w:r w:rsidR="006B5E83" w:rsidRPr="006B5E83">
        <w:rPr>
          <w:rFonts w:asciiTheme="majorBidi" w:eastAsia="Times New Roman" w:hAnsiTheme="majorBidi" w:cstheme="majorBidi"/>
          <w:color w:val="000000" w:themeColor="text1"/>
        </w:rPr>
        <w:t>.</w:t>
      </w:r>
    </w:p>
    <w:p w14:paraId="23BFC44A" w14:textId="77777777" w:rsidR="00F72196" w:rsidRDefault="00F72196" w:rsidP="002E3951">
      <w:pPr>
        <w:spacing w:line="276" w:lineRule="auto"/>
        <w:jc w:val="both"/>
        <w:rPr>
          <w:rFonts w:asciiTheme="majorBidi" w:eastAsia="Times New Roman" w:hAnsiTheme="majorBidi" w:cstheme="majorBidi"/>
          <w:color w:val="000000" w:themeColor="text1"/>
        </w:rPr>
      </w:pPr>
    </w:p>
    <w:p w14:paraId="6060EEA8" w14:textId="77777777" w:rsidR="00F72196" w:rsidRPr="009E2A0E" w:rsidRDefault="00F72196" w:rsidP="002E3951">
      <w:pPr>
        <w:spacing w:line="276" w:lineRule="auto"/>
        <w:jc w:val="both"/>
        <w:rPr>
          <w:rFonts w:asciiTheme="majorBidi" w:eastAsia="Times New Roman" w:hAnsiTheme="majorBidi" w:cstheme="majorBidi"/>
          <w:color w:val="000000" w:themeColor="text1"/>
        </w:rPr>
      </w:pPr>
    </w:p>
    <w:p w14:paraId="683F7B3F" w14:textId="11471ABB" w:rsidR="002167B8" w:rsidRPr="009E2A0E" w:rsidRDefault="002167B8" w:rsidP="00197C3D">
      <w:pPr>
        <w:pStyle w:val="Prrafodelista"/>
        <w:numPr>
          <w:ilvl w:val="2"/>
          <w:numId w:val="7"/>
        </w:numPr>
        <w:spacing w:line="276" w:lineRule="auto"/>
        <w:jc w:val="both"/>
        <w:outlineLvl w:val="2"/>
        <w:rPr>
          <w:rFonts w:asciiTheme="majorBidi" w:eastAsia="Times New Roman" w:hAnsiTheme="majorBidi" w:cstheme="majorBidi"/>
          <w:b/>
          <w:bCs/>
          <w:color w:val="000000" w:themeColor="text1"/>
        </w:rPr>
      </w:pPr>
      <w:bookmarkStart w:id="12" w:name="_Toc204264035"/>
      <w:r w:rsidRPr="009E2A0E">
        <w:rPr>
          <w:rFonts w:asciiTheme="majorBidi" w:eastAsia="Times New Roman" w:hAnsiTheme="majorBidi" w:cstheme="majorBidi"/>
          <w:b/>
          <w:bCs/>
          <w:color w:val="000000" w:themeColor="text1"/>
        </w:rPr>
        <w:lastRenderedPageBreak/>
        <w:t>Recomendaciones</w:t>
      </w:r>
      <w:r w:rsidR="00AD0396" w:rsidRPr="009E2A0E">
        <w:rPr>
          <w:rFonts w:asciiTheme="majorBidi" w:eastAsia="Times New Roman" w:hAnsiTheme="majorBidi" w:cstheme="majorBidi"/>
          <w:b/>
          <w:bCs/>
          <w:color w:val="000000" w:themeColor="text1"/>
        </w:rPr>
        <w:t xml:space="preserve"> relacionad</w:t>
      </w:r>
      <w:r w:rsidR="009E7C40" w:rsidRPr="009E2A0E">
        <w:rPr>
          <w:rFonts w:asciiTheme="majorBidi" w:eastAsia="Times New Roman" w:hAnsiTheme="majorBidi" w:cstheme="majorBidi"/>
          <w:b/>
          <w:bCs/>
          <w:color w:val="000000" w:themeColor="text1"/>
        </w:rPr>
        <w:t>as</w:t>
      </w:r>
      <w:r w:rsidR="00AD0396" w:rsidRPr="009E2A0E">
        <w:rPr>
          <w:rFonts w:asciiTheme="majorBidi" w:eastAsia="Times New Roman" w:hAnsiTheme="majorBidi" w:cstheme="majorBidi"/>
          <w:b/>
          <w:bCs/>
          <w:color w:val="000000" w:themeColor="text1"/>
        </w:rPr>
        <w:t xml:space="preserve"> al derecho de Libertad de </w:t>
      </w:r>
      <w:r w:rsidR="00B26CC1" w:rsidRPr="009E2A0E">
        <w:rPr>
          <w:rFonts w:asciiTheme="majorBidi" w:hAnsiTheme="majorBidi" w:cstheme="majorBidi"/>
          <w:b/>
          <w:bCs/>
          <w:color w:val="000000" w:themeColor="text1"/>
          <w:sz w:val="24"/>
          <w:szCs w:val="24"/>
          <w:lang w:val="es-MX"/>
        </w:rPr>
        <w:t xml:space="preserve">de </w:t>
      </w:r>
      <w:r w:rsidR="00B26CC1">
        <w:rPr>
          <w:rFonts w:asciiTheme="majorBidi" w:hAnsiTheme="majorBidi" w:cstheme="majorBidi"/>
          <w:b/>
          <w:bCs/>
          <w:color w:val="000000" w:themeColor="text1"/>
          <w:sz w:val="24"/>
          <w:szCs w:val="24"/>
          <w:lang w:val="es-MX"/>
        </w:rPr>
        <w:t>asociación y reunión pacífica</w:t>
      </w:r>
      <w:bookmarkEnd w:id="12"/>
    </w:p>
    <w:tbl>
      <w:tblPr>
        <w:tblStyle w:val="Tablaconcuadrcula"/>
        <w:tblW w:w="10632" w:type="dxa"/>
        <w:tblInd w:w="-998" w:type="dxa"/>
        <w:shd w:val="clear" w:color="auto" w:fill="FFF2CC" w:themeFill="accent4" w:themeFillTint="33"/>
        <w:tblLook w:val="04A0" w:firstRow="1" w:lastRow="0" w:firstColumn="1" w:lastColumn="0" w:noHBand="0" w:noVBand="1"/>
      </w:tblPr>
      <w:tblGrid>
        <w:gridCol w:w="10632"/>
      </w:tblGrid>
      <w:tr w:rsidR="002821CF" w:rsidRPr="009E2A0E" w14:paraId="7BC9076C" w14:textId="77777777" w:rsidTr="00105693">
        <w:tc>
          <w:tcPr>
            <w:tcW w:w="10632" w:type="dxa"/>
            <w:shd w:val="clear" w:color="auto" w:fill="FFF2CC" w:themeFill="accent4" w:themeFillTint="33"/>
          </w:tcPr>
          <w:p w14:paraId="3A020D67" w14:textId="721D474A" w:rsidR="002821CF" w:rsidRPr="009E2A0E" w:rsidRDefault="002821CF" w:rsidP="00197C3D">
            <w:pPr>
              <w:pStyle w:val="Prrafodelista"/>
              <w:numPr>
                <w:ilvl w:val="0"/>
                <w:numId w:val="12"/>
              </w:numPr>
              <w:spacing w:line="276" w:lineRule="auto"/>
              <w:rPr>
                <w:rFonts w:asciiTheme="majorBidi" w:eastAsia="Times New Roman" w:hAnsiTheme="majorBidi" w:cstheme="majorBidi"/>
                <w:i/>
                <w:iCs/>
                <w:color w:val="000000" w:themeColor="text1"/>
              </w:rPr>
            </w:pPr>
            <w:r w:rsidRPr="009E2A0E">
              <w:rPr>
                <w:rFonts w:asciiTheme="majorBidi" w:eastAsia="Times New Roman" w:hAnsiTheme="majorBidi" w:cstheme="majorBidi"/>
                <w:i/>
                <w:iCs/>
                <w:color w:val="000000" w:themeColor="text1"/>
              </w:rPr>
              <w:t>Reconocer y garantizar el pleno ejercicio del derecho a la libertad de asociación de los pueblos indígenas en espacios públicos, reconociendo estas manifestaciones como expresiones legítimas de su derecho a la libre determinación y participación política.</w:t>
            </w:r>
          </w:p>
        </w:tc>
      </w:tr>
      <w:tr w:rsidR="002821CF" w:rsidRPr="009E2A0E" w14:paraId="2965F3EF" w14:textId="77777777" w:rsidTr="00105693">
        <w:tc>
          <w:tcPr>
            <w:tcW w:w="10632" w:type="dxa"/>
            <w:shd w:val="clear" w:color="auto" w:fill="FFF2CC" w:themeFill="accent4" w:themeFillTint="33"/>
          </w:tcPr>
          <w:p w14:paraId="5B5D67DA" w14:textId="6EC58940" w:rsidR="002821CF" w:rsidRPr="009E2A0E" w:rsidRDefault="002821CF" w:rsidP="00197C3D">
            <w:pPr>
              <w:pStyle w:val="Prrafodelista"/>
              <w:numPr>
                <w:ilvl w:val="0"/>
                <w:numId w:val="12"/>
              </w:numPr>
              <w:spacing w:line="276" w:lineRule="auto"/>
              <w:rPr>
                <w:rFonts w:asciiTheme="majorBidi" w:eastAsia="Times New Roman" w:hAnsiTheme="majorBidi" w:cstheme="majorBidi"/>
                <w:i/>
                <w:iCs/>
                <w:color w:val="000000" w:themeColor="text1"/>
              </w:rPr>
            </w:pPr>
            <w:r w:rsidRPr="009E2A0E">
              <w:rPr>
                <w:rFonts w:asciiTheme="majorBidi" w:eastAsia="Times New Roman" w:hAnsiTheme="majorBidi" w:cstheme="majorBidi"/>
                <w:i/>
                <w:iCs/>
                <w:color w:val="000000" w:themeColor="text1"/>
              </w:rPr>
              <w:t xml:space="preserve">Abstenerse de utilizar los estados de excepción, el uso excesivo de la fuerza o amenazas de criminalización como respuesta sistemática a las protestas lideradas por los pueblos indígenas, especialmente cuando estas se desarrollan de manera pacífica. </w:t>
            </w:r>
          </w:p>
        </w:tc>
      </w:tr>
      <w:tr w:rsidR="004E736E" w:rsidRPr="009E2A0E" w14:paraId="03134A12" w14:textId="77777777" w:rsidTr="00105693">
        <w:tc>
          <w:tcPr>
            <w:tcW w:w="10632" w:type="dxa"/>
            <w:shd w:val="clear" w:color="auto" w:fill="FFF2CC" w:themeFill="accent4" w:themeFillTint="33"/>
          </w:tcPr>
          <w:p w14:paraId="48F53C33" w14:textId="2BB11159" w:rsidR="004E736E" w:rsidRPr="009E2A0E" w:rsidRDefault="00BD21BA" w:rsidP="00197C3D">
            <w:pPr>
              <w:pStyle w:val="Prrafodelista"/>
              <w:numPr>
                <w:ilvl w:val="0"/>
                <w:numId w:val="12"/>
              </w:numPr>
              <w:spacing w:line="276" w:lineRule="auto"/>
              <w:rPr>
                <w:rFonts w:asciiTheme="majorBidi" w:eastAsia="Times New Roman" w:hAnsiTheme="majorBidi" w:cstheme="majorBidi"/>
                <w:i/>
                <w:iCs/>
                <w:color w:val="000000" w:themeColor="text1"/>
              </w:rPr>
            </w:pPr>
            <w:r w:rsidRPr="00B26CC1">
              <w:rPr>
                <w:rFonts w:asciiTheme="majorBidi" w:eastAsia="Times New Roman" w:hAnsiTheme="majorBidi" w:cstheme="majorBidi"/>
                <w:i/>
                <w:iCs/>
                <w:color w:val="000000" w:themeColor="text1"/>
              </w:rPr>
              <w:t>Abstenerse de involucrar al Ejército o de desplegar a agentes de la Policía Nacional Civil equipados con armamento militar en contextos de manifestaciones pacíficas de los Pueblos Indígenas y Afrodescendientes</w:t>
            </w:r>
          </w:p>
        </w:tc>
      </w:tr>
      <w:tr w:rsidR="00B26CC1" w:rsidRPr="009E2A0E" w14:paraId="743AD75A" w14:textId="77777777" w:rsidTr="00105693">
        <w:tc>
          <w:tcPr>
            <w:tcW w:w="10632" w:type="dxa"/>
            <w:shd w:val="clear" w:color="auto" w:fill="FFF2CC" w:themeFill="accent4" w:themeFillTint="33"/>
          </w:tcPr>
          <w:p w14:paraId="3F211BF8" w14:textId="27669BAE" w:rsidR="00B26CC1" w:rsidRPr="00B26CC1" w:rsidRDefault="00B26CC1" w:rsidP="00197C3D">
            <w:pPr>
              <w:pStyle w:val="Prrafodelista"/>
              <w:numPr>
                <w:ilvl w:val="0"/>
                <w:numId w:val="12"/>
              </w:numPr>
              <w:spacing w:line="276" w:lineRule="auto"/>
              <w:rPr>
                <w:rFonts w:asciiTheme="majorBidi" w:eastAsia="Times New Roman" w:hAnsiTheme="majorBidi" w:cstheme="majorBidi"/>
                <w:i/>
                <w:iCs/>
                <w:color w:val="000000" w:themeColor="text1"/>
              </w:rPr>
            </w:pPr>
            <w:r w:rsidRPr="00B26CC1">
              <w:rPr>
                <w:rFonts w:asciiTheme="majorBidi" w:eastAsia="Times New Roman" w:hAnsiTheme="majorBidi" w:cstheme="majorBidi"/>
                <w:i/>
                <w:iCs/>
                <w:color w:val="000000" w:themeColor="text1"/>
              </w:rPr>
              <w:t>Garantizar diálogo y no violencia, basado en los principios de proporcionalidad, legalidad y necesidad, y a adoptar medidas específicas para prevenir el uso excesivo de la fuerza y proteger el derecho de asociación y reunión pacífica, especialmente cuando se ejercen en defensa de los derechos colectivos</w:t>
            </w:r>
            <w:r>
              <w:rPr>
                <w:rFonts w:asciiTheme="majorBidi" w:eastAsia="Times New Roman" w:hAnsiTheme="majorBidi" w:cstheme="majorBidi"/>
                <w:i/>
                <w:iCs/>
                <w:color w:val="000000" w:themeColor="text1"/>
              </w:rPr>
              <w:t xml:space="preserve"> de los Pueblos Indígenas y Afrodescendientes</w:t>
            </w:r>
            <w:r w:rsidRPr="00B26CC1">
              <w:rPr>
                <w:rFonts w:asciiTheme="majorBidi" w:eastAsia="Times New Roman" w:hAnsiTheme="majorBidi" w:cstheme="majorBidi"/>
                <w:i/>
                <w:iCs/>
                <w:color w:val="000000" w:themeColor="text1"/>
              </w:rPr>
              <w:t>.</w:t>
            </w:r>
          </w:p>
        </w:tc>
      </w:tr>
      <w:tr w:rsidR="002821CF" w:rsidRPr="009E2A0E" w14:paraId="6A62E085" w14:textId="77777777" w:rsidTr="00105693">
        <w:tc>
          <w:tcPr>
            <w:tcW w:w="10632" w:type="dxa"/>
            <w:shd w:val="clear" w:color="auto" w:fill="FFF2CC" w:themeFill="accent4" w:themeFillTint="33"/>
          </w:tcPr>
          <w:p w14:paraId="28088855" w14:textId="6E0B7B1B" w:rsidR="002821CF" w:rsidRPr="009E2A0E" w:rsidRDefault="00A7581B" w:rsidP="00197C3D">
            <w:pPr>
              <w:pStyle w:val="Prrafodelista"/>
              <w:numPr>
                <w:ilvl w:val="0"/>
                <w:numId w:val="12"/>
              </w:numPr>
              <w:spacing w:line="276" w:lineRule="auto"/>
              <w:rPr>
                <w:rFonts w:asciiTheme="majorBidi" w:eastAsia="Times New Roman" w:hAnsiTheme="majorBidi" w:cstheme="majorBidi"/>
                <w:i/>
                <w:iCs/>
                <w:color w:val="000000" w:themeColor="text1"/>
              </w:rPr>
            </w:pPr>
            <w:r w:rsidRPr="009E2A0E">
              <w:rPr>
                <w:rFonts w:asciiTheme="majorBidi" w:eastAsia="Times New Roman" w:hAnsiTheme="majorBidi" w:cstheme="majorBidi"/>
                <w:i/>
                <w:iCs/>
                <w:color w:val="000000" w:themeColor="text1"/>
              </w:rPr>
              <w:t>Realizar la inmediata liberación de las autoridades indígenas actualmente privadas de libertad, cuya detención estaría relacionada con el ejercicio legítimo del derecho a la libertad de asociación, con el ejercicio de la autoridad comunitaria y con el ejercicio colectivo del derecho a la autonomía y libre determinación de los pueblos indígenas</w:t>
            </w:r>
            <w:r w:rsidR="002821CF" w:rsidRPr="009E2A0E">
              <w:rPr>
                <w:rFonts w:asciiTheme="majorBidi" w:eastAsia="Times New Roman" w:hAnsiTheme="majorBidi" w:cstheme="majorBidi"/>
                <w:i/>
                <w:iCs/>
                <w:color w:val="000000" w:themeColor="text1"/>
              </w:rPr>
              <w:t>.</w:t>
            </w:r>
          </w:p>
        </w:tc>
      </w:tr>
    </w:tbl>
    <w:p w14:paraId="78A8F7B3" w14:textId="77777777" w:rsidR="00F41928" w:rsidRPr="009E2A0E" w:rsidRDefault="00F41928" w:rsidP="00F41928">
      <w:pPr>
        <w:pStyle w:val="Prrafodelista"/>
        <w:spacing w:line="276" w:lineRule="auto"/>
        <w:jc w:val="both"/>
        <w:rPr>
          <w:rFonts w:asciiTheme="majorBidi" w:eastAsia="Times New Roman" w:hAnsiTheme="majorBidi" w:cstheme="majorBidi"/>
          <w:color w:val="000000" w:themeColor="text1"/>
        </w:rPr>
      </w:pPr>
    </w:p>
    <w:p w14:paraId="51F69F4B" w14:textId="052D582B" w:rsidR="002167B8" w:rsidRPr="009E2A0E" w:rsidRDefault="002167B8" w:rsidP="00197C3D">
      <w:pPr>
        <w:pStyle w:val="Prrafodelista"/>
        <w:numPr>
          <w:ilvl w:val="0"/>
          <w:numId w:val="11"/>
        </w:numPr>
        <w:spacing w:line="276" w:lineRule="auto"/>
        <w:jc w:val="both"/>
        <w:rPr>
          <w:rFonts w:asciiTheme="majorBidi" w:eastAsia="Times New Roman" w:hAnsiTheme="majorBidi" w:cstheme="majorBidi"/>
          <w:color w:val="000000" w:themeColor="text1"/>
        </w:rPr>
        <w:sectPr w:rsidR="002167B8" w:rsidRPr="009E2A0E">
          <w:pgSz w:w="12240" w:h="15840"/>
          <w:pgMar w:top="1417" w:right="1701" w:bottom="1417" w:left="1701" w:header="708" w:footer="708" w:gutter="0"/>
          <w:cols w:space="708"/>
          <w:docGrid w:linePitch="360"/>
        </w:sectPr>
      </w:pPr>
    </w:p>
    <w:p w14:paraId="3681B109" w14:textId="70775092" w:rsidR="00296E20" w:rsidRPr="009E2A0E" w:rsidRDefault="00731467" w:rsidP="00197C3D">
      <w:pPr>
        <w:pStyle w:val="Prrafodelista"/>
        <w:numPr>
          <w:ilvl w:val="1"/>
          <w:numId w:val="7"/>
        </w:numPr>
        <w:outlineLvl w:val="1"/>
        <w:rPr>
          <w:rFonts w:asciiTheme="majorBidi" w:hAnsiTheme="majorBidi" w:cstheme="majorBidi"/>
          <w:b/>
          <w:bCs/>
          <w:color w:val="000000" w:themeColor="text1"/>
          <w:lang w:val="es-MX"/>
        </w:rPr>
      </w:pPr>
      <w:bookmarkStart w:id="13" w:name="_Toc204264036"/>
      <w:r w:rsidRPr="009E2A0E">
        <w:rPr>
          <w:rFonts w:asciiTheme="majorBidi" w:hAnsiTheme="majorBidi" w:cstheme="majorBidi"/>
          <w:b/>
          <w:bCs/>
          <w:color w:val="000000" w:themeColor="text1"/>
          <w:lang w:val="es-MX"/>
        </w:rPr>
        <w:lastRenderedPageBreak/>
        <w:t>Libertad de opinión y expresión (</w:t>
      </w:r>
      <w:r w:rsidR="0080713B">
        <w:rPr>
          <w:rFonts w:asciiTheme="majorBidi" w:hAnsiTheme="majorBidi" w:cstheme="majorBidi"/>
          <w:b/>
          <w:bCs/>
          <w:color w:val="000000" w:themeColor="text1"/>
          <w:lang w:val="es-MX"/>
        </w:rPr>
        <w:t>P</w:t>
      </w:r>
      <w:r w:rsidRPr="009E2A0E">
        <w:rPr>
          <w:rFonts w:asciiTheme="majorBidi" w:hAnsiTheme="majorBidi" w:cstheme="majorBidi"/>
          <w:b/>
          <w:bCs/>
          <w:color w:val="000000" w:themeColor="text1"/>
          <w:lang w:val="es-MX"/>
        </w:rPr>
        <w:t>árr.13</w:t>
      </w:r>
      <w:r w:rsidR="003E32E3">
        <w:rPr>
          <w:rFonts w:asciiTheme="majorBidi" w:hAnsiTheme="majorBidi" w:cstheme="majorBidi"/>
          <w:b/>
          <w:bCs/>
          <w:color w:val="000000" w:themeColor="text1"/>
          <w:lang w:val="es-MX"/>
        </w:rPr>
        <w:t xml:space="preserve"> del Listado de Temas</w:t>
      </w:r>
      <w:r w:rsidRPr="009E2A0E">
        <w:rPr>
          <w:rFonts w:asciiTheme="majorBidi" w:hAnsiTheme="majorBidi" w:cstheme="majorBidi"/>
          <w:b/>
          <w:bCs/>
          <w:color w:val="000000" w:themeColor="text1"/>
          <w:lang w:val="es-MX"/>
        </w:rPr>
        <w:t>)</w:t>
      </w:r>
      <w:bookmarkEnd w:id="13"/>
    </w:p>
    <w:p w14:paraId="29F5A780" w14:textId="5C92DC35" w:rsidR="00933BE6" w:rsidRPr="009E2A0E" w:rsidRDefault="00933BE6" w:rsidP="00933BE6">
      <w:pPr>
        <w:jc w:val="both"/>
        <w:rPr>
          <w:rFonts w:asciiTheme="majorBidi" w:eastAsia="Times New Roman" w:hAnsiTheme="majorBidi" w:cstheme="majorBidi"/>
          <w:color w:val="000000" w:themeColor="text1"/>
        </w:rPr>
      </w:pPr>
      <w:r w:rsidRPr="009E2A0E">
        <w:rPr>
          <w:rFonts w:asciiTheme="majorBidi" w:eastAsia="Times New Roman" w:hAnsiTheme="majorBidi" w:cstheme="majorBidi"/>
          <w:color w:val="000000" w:themeColor="text1"/>
        </w:rPr>
        <w:t xml:space="preserve">En múltiples ocasiones se ha reconocido que el derecho de libertad de expresión constituye la base fundamental para el pleno goce de los derechos humanos. Por tal motivo este derecho debe gozarse sin discriminación alguna, sin embargo, en Guatemala este derecho no se ha garantizado para los Pueblos Indígenas, a pesar de que se encuentra reconocido en el marco normativo guatemalteco a través de Los Acuerdos de Paz, específicamente en el inciso “h” del Acuerdo de Identidad y Derechos de los Pueblos Indígenas, así como </w:t>
      </w:r>
      <w:r w:rsidR="009B6FCE">
        <w:rPr>
          <w:rFonts w:asciiTheme="majorBidi" w:eastAsia="Times New Roman" w:hAnsiTheme="majorBidi" w:cstheme="majorBidi"/>
          <w:color w:val="000000" w:themeColor="text1"/>
        </w:rPr>
        <w:t xml:space="preserve">en instrumentos internacionales </w:t>
      </w:r>
      <w:r w:rsidR="007602AB">
        <w:rPr>
          <w:rFonts w:asciiTheme="majorBidi" w:eastAsia="Times New Roman" w:hAnsiTheme="majorBidi" w:cstheme="majorBidi"/>
          <w:color w:val="000000" w:themeColor="text1"/>
        </w:rPr>
        <w:t>en materia de derechos humanos.</w:t>
      </w:r>
    </w:p>
    <w:p w14:paraId="1A3B0EC5" w14:textId="77777777" w:rsidR="00933BE6" w:rsidRPr="009E2A0E" w:rsidRDefault="00933BE6" w:rsidP="00933BE6">
      <w:pPr>
        <w:jc w:val="both"/>
        <w:rPr>
          <w:rFonts w:asciiTheme="majorBidi" w:eastAsia="Times New Roman" w:hAnsiTheme="majorBidi" w:cstheme="majorBidi"/>
          <w:color w:val="000000" w:themeColor="text1"/>
        </w:rPr>
      </w:pPr>
      <w:r w:rsidRPr="009E2A0E">
        <w:rPr>
          <w:rFonts w:asciiTheme="majorBidi" w:eastAsia="Times New Roman" w:hAnsiTheme="majorBidi" w:cstheme="majorBidi"/>
          <w:color w:val="000000" w:themeColor="text1"/>
        </w:rPr>
        <w:t>De esta cuenta en las cuatro ocasiones en las que el Estado de Guatemala ha sido evaluado respecto a la situación de los derechos humanos en el Examen Periódico Universal -EPU-, el Consejo de Derechos Humanos ha emitido recomendaciones al Estado para que garanticen el derecho de libertad de expresión y el derecho al uso de los medios de comunicación a los Pueblos Indígenas; así mismo, ha recomendado realizar acciones para garantizar la eliminación de la discriminación racial en las distintas esferas sociales. En este sentido en el último ciclo del -EPU-</w:t>
      </w:r>
      <w:r w:rsidRPr="009E2A0E">
        <w:rPr>
          <w:rStyle w:val="Refdenotaalpie"/>
          <w:rFonts w:asciiTheme="majorBidi" w:eastAsia="Times New Roman" w:hAnsiTheme="majorBidi" w:cstheme="majorBidi"/>
          <w:color w:val="000000" w:themeColor="text1"/>
          <w:sz w:val="22"/>
        </w:rPr>
        <w:footnoteReference w:id="44"/>
      </w:r>
      <w:r w:rsidRPr="009E2A0E">
        <w:rPr>
          <w:rFonts w:asciiTheme="majorBidi" w:eastAsia="Times New Roman" w:hAnsiTheme="majorBidi" w:cstheme="majorBidi"/>
          <w:color w:val="000000" w:themeColor="text1"/>
        </w:rPr>
        <w:t xml:space="preserve"> las recomendaciones se enfocaron en el cumplimiento de la </w:t>
      </w:r>
      <w:hyperlink r:id="rId14" w:history="1">
        <w:r w:rsidRPr="009E2A0E">
          <w:rPr>
            <w:rStyle w:val="Hipervnculo"/>
            <w:rFonts w:asciiTheme="majorBidi" w:eastAsia="Times New Roman" w:hAnsiTheme="majorBidi" w:cstheme="majorBidi"/>
            <w:color w:val="000000" w:themeColor="text1"/>
          </w:rPr>
          <w:t>sentencia</w:t>
        </w:r>
      </w:hyperlink>
      <w:r w:rsidRPr="009E2A0E">
        <w:rPr>
          <w:rFonts w:asciiTheme="majorBidi" w:eastAsia="Times New Roman" w:hAnsiTheme="majorBidi" w:cstheme="majorBidi"/>
          <w:color w:val="000000" w:themeColor="text1"/>
        </w:rPr>
        <w:t xml:space="preserve"> emitida en el año 2021 por la Corte Interamericana de los Derechos Humanos -Corte IDH-. </w:t>
      </w:r>
    </w:p>
    <w:p w14:paraId="37E53482" w14:textId="0EEE866A" w:rsidR="00933BE6" w:rsidRPr="009E2A0E" w:rsidRDefault="008E1557" w:rsidP="00197C3D">
      <w:pPr>
        <w:pStyle w:val="Prrafodelista"/>
        <w:numPr>
          <w:ilvl w:val="2"/>
          <w:numId w:val="7"/>
        </w:numPr>
        <w:spacing w:after="240" w:line="240" w:lineRule="auto"/>
        <w:jc w:val="both"/>
        <w:outlineLvl w:val="2"/>
        <w:rPr>
          <w:rFonts w:asciiTheme="majorBidi" w:eastAsia="Times New Roman" w:hAnsiTheme="majorBidi" w:cstheme="majorBidi"/>
          <w:b/>
          <w:bCs/>
          <w:color w:val="000000" w:themeColor="text1"/>
        </w:rPr>
      </w:pPr>
      <w:bookmarkStart w:id="14" w:name="_Toc204264037"/>
      <w:r w:rsidRPr="009E2A0E">
        <w:rPr>
          <w:rFonts w:asciiTheme="majorBidi" w:eastAsia="Times New Roman" w:hAnsiTheme="majorBidi" w:cstheme="majorBidi"/>
          <w:b/>
          <w:bCs/>
          <w:color w:val="000000" w:themeColor="text1"/>
        </w:rPr>
        <w:t xml:space="preserve">Sentencia </w:t>
      </w:r>
      <w:r w:rsidR="00215E7A">
        <w:rPr>
          <w:rFonts w:asciiTheme="majorBidi" w:eastAsia="Times New Roman" w:hAnsiTheme="majorBidi" w:cstheme="majorBidi"/>
          <w:b/>
          <w:bCs/>
          <w:color w:val="000000" w:themeColor="text1"/>
        </w:rPr>
        <w:t xml:space="preserve">de la </w:t>
      </w:r>
      <w:r w:rsidR="00954A36" w:rsidRPr="009E2A0E">
        <w:rPr>
          <w:rFonts w:asciiTheme="majorBidi" w:eastAsia="Times New Roman" w:hAnsiTheme="majorBidi" w:cstheme="majorBidi"/>
          <w:b/>
          <w:bCs/>
          <w:color w:val="000000" w:themeColor="text1"/>
        </w:rPr>
        <w:t>Corte Interamericana de Derechos Humanos, Maya Kaqchikel de Sumpango y otros vs. Guatemala</w:t>
      </w:r>
      <w:bookmarkEnd w:id="14"/>
    </w:p>
    <w:p w14:paraId="5301CDCC" w14:textId="77777777" w:rsidR="003542A0" w:rsidRDefault="003542A0" w:rsidP="00920879">
      <w:pPr>
        <w:pStyle w:val="HTMLconformatoprevio"/>
        <w:contextualSpacing/>
        <w:jc w:val="both"/>
        <w:rPr>
          <w:rFonts w:asciiTheme="majorBidi" w:hAnsiTheme="majorBidi" w:cstheme="majorBidi"/>
          <w:bCs/>
          <w:color w:val="000000" w:themeColor="text1"/>
          <w:sz w:val="22"/>
          <w:szCs w:val="22"/>
          <w:lang w:val="es-GT"/>
        </w:rPr>
      </w:pPr>
    </w:p>
    <w:p w14:paraId="5215111E" w14:textId="77777777" w:rsidR="003542A0" w:rsidRPr="003542A0" w:rsidRDefault="003542A0" w:rsidP="003542A0">
      <w:pPr>
        <w:pStyle w:val="HTMLconformatoprevio"/>
        <w:contextualSpacing/>
        <w:jc w:val="both"/>
        <w:rPr>
          <w:rFonts w:asciiTheme="majorBidi" w:hAnsiTheme="majorBidi" w:cstheme="majorBidi"/>
          <w:bCs/>
          <w:color w:val="000000" w:themeColor="text1"/>
          <w:sz w:val="22"/>
          <w:szCs w:val="22"/>
          <w:lang w:val="es-ES"/>
        </w:rPr>
      </w:pPr>
      <w:r w:rsidRPr="003542A0">
        <w:rPr>
          <w:rFonts w:asciiTheme="majorBidi" w:hAnsiTheme="majorBidi" w:cstheme="majorBidi"/>
          <w:bCs/>
          <w:color w:val="000000" w:themeColor="text1"/>
          <w:sz w:val="22"/>
          <w:szCs w:val="22"/>
          <w:lang w:val="es-ES"/>
        </w:rPr>
        <w:t>Esta sentencia se enfoca en el derecho de los Pueblos Indígenas a fundar sus propios medios de comunicación, principalmente se centra en la radio, lo que resulta importante para los Pueblos Indígenas, ya que a través de la radio, no solo se ejerce el derecho humano a la libertad de expresión, sino también se ejerce uno de los principios fundamentales para los Pueblos Indígenas como lo es la oralidad, a través de la cual se transmite y se reproducen los idiomas, la historia, los conocimientos y valores ancestrales.</w:t>
      </w:r>
    </w:p>
    <w:p w14:paraId="4FEAAC26" w14:textId="77777777" w:rsidR="003542A0" w:rsidRPr="003542A0" w:rsidRDefault="003542A0" w:rsidP="00920879">
      <w:pPr>
        <w:pStyle w:val="HTMLconformatoprevio"/>
        <w:contextualSpacing/>
        <w:jc w:val="both"/>
        <w:rPr>
          <w:rFonts w:asciiTheme="majorBidi" w:hAnsiTheme="majorBidi" w:cstheme="majorBidi"/>
          <w:bCs/>
          <w:color w:val="000000" w:themeColor="text1"/>
          <w:sz w:val="22"/>
          <w:szCs w:val="22"/>
          <w:lang w:val="es-GT"/>
        </w:rPr>
      </w:pPr>
    </w:p>
    <w:p w14:paraId="6F28C300" w14:textId="3DB2BA41" w:rsidR="00920879" w:rsidRDefault="00F05B94" w:rsidP="00920879">
      <w:pPr>
        <w:pStyle w:val="HTMLconformatoprevio"/>
        <w:contextualSpacing/>
        <w:jc w:val="both"/>
        <w:rPr>
          <w:rFonts w:asciiTheme="majorBidi" w:hAnsiTheme="majorBidi" w:cstheme="majorBidi"/>
          <w:bCs/>
          <w:color w:val="000000" w:themeColor="text1"/>
          <w:sz w:val="22"/>
          <w:szCs w:val="22"/>
          <w:lang w:val="es-ES"/>
        </w:rPr>
      </w:pPr>
      <w:r w:rsidRPr="00F05B94">
        <w:rPr>
          <w:rFonts w:asciiTheme="majorBidi" w:hAnsiTheme="majorBidi" w:cstheme="majorBidi"/>
          <w:bCs/>
          <w:color w:val="000000" w:themeColor="text1"/>
          <w:sz w:val="22"/>
          <w:szCs w:val="22"/>
          <w:lang w:val="es-ES"/>
        </w:rPr>
        <w:t>De esa cuenta, las comunidades víctimas del caso, desde la emisión de la sentencia en el año 2021 han realizado diversas acciones para coadyuvar a la búsqueda de rutas viables para el cumplimiento de las medidas de reparación, sin embargo, la institucionalidad estatal sigue sin establecer rutas claras, para dar cumplimiento a los puntos resolutivos pendientes; sobre todo es preocupante como los funcionarios siguen encasillándose en observar únicamente las normas nacionales, obviando las responsabilidades que derivan de los instrumentos internacionales en materia de derechos humanos.</w:t>
      </w:r>
    </w:p>
    <w:p w14:paraId="17C65840" w14:textId="77777777" w:rsidR="00F05B94" w:rsidRPr="009E2A0E" w:rsidRDefault="00F05B94" w:rsidP="00920879">
      <w:pPr>
        <w:pStyle w:val="HTMLconformatoprevio"/>
        <w:contextualSpacing/>
        <w:jc w:val="both"/>
        <w:rPr>
          <w:rFonts w:asciiTheme="majorBidi" w:hAnsiTheme="majorBidi" w:cstheme="majorBidi"/>
          <w:bCs/>
          <w:color w:val="000000" w:themeColor="text1"/>
          <w:sz w:val="22"/>
          <w:szCs w:val="22"/>
          <w:lang w:val="es-ES"/>
        </w:rPr>
      </w:pPr>
    </w:p>
    <w:p w14:paraId="4B67EF49" w14:textId="2E25BA81" w:rsidR="00EF772F" w:rsidRPr="009E2A0E" w:rsidRDefault="00920879" w:rsidP="00EF772F">
      <w:pPr>
        <w:pStyle w:val="HTMLconformatoprevio"/>
        <w:contextualSpacing/>
        <w:jc w:val="both"/>
        <w:rPr>
          <w:rFonts w:asciiTheme="majorBidi" w:hAnsiTheme="majorBidi" w:cstheme="majorBidi"/>
          <w:bCs/>
          <w:color w:val="000000" w:themeColor="text1"/>
          <w:sz w:val="22"/>
          <w:szCs w:val="22"/>
          <w:lang w:val="es-ES"/>
        </w:rPr>
      </w:pPr>
      <w:r w:rsidRPr="009E2A0E">
        <w:rPr>
          <w:rFonts w:asciiTheme="majorBidi" w:hAnsiTheme="majorBidi" w:cstheme="majorBidi"/>
          <w:bCs/>
          <w:color w:val="000000" w:themeColor="text1"/>
          <w:sz w:val="22"/>
          <w:szCs w:val="22"/>
          <w:lang w:val="es-ES"/>
        </w:rPr>
        <w:t xml:space="preserve">A lo anterior se suma, la falta de seriedad de parte de las entidades estatales en dar cumplimiento a los puntos resolutivos, toda vez que a menudo en las reuniones convocadas </w:t>
      </w:r>
      <w:r w:rsidRPr="00433C6C">
        <w:rPr>
          <w:rFonts w:asciiTheme="majorBidi" w:hAnsiTheme="majorBidi" w:cstheme="majorBidi"/>
          <w:bCs/>
          <w:color w:val="000000" w:themeColor="text1"/>
          <w:sz w:val="22"/>
          <w:szCs w:val="22"/>
          <w:lang w:val="es-ES"/>
        </w:rPr>
        <w:t xml:space="preserve">por </w:t>
      </w:r>
      <w:r w:rsidR="003E6EF4" w:rsidRPr="00433C6C">
        <w:rPr>
          <w:rFonts w:asciiTheme="majorBidi" w:hAnsiTheme="majorBidi" w:cstheme="majorBidi"/>
          <w:bCs/>
          <w:color w:val="000000" w:themeColor="text1"/>
          <w:sz w:val="22"/>
          <w:szCs w:val="22"/>
          <w:lang w:val="es-ES"/>
        </w:rPr>
        <w:t>Comisión Presidencial para la Paz y Derecho</w:t>
      </w:r>
      <w:r w:rsidR="0093354D">
        <w:rPr>
          <w:rFonts w:asciiTheme="majorBidi" w:hAnsiTheme="majorBidi" w:cstheme="majorBidi"/>
          <w:bCs/>
          <w:color w:val="000000" w:themeColor="text1"/>
          <w:sz w:val="22"/>
          <w:szCs w:val="22"/>
          <w:lang w:val="es-ES"/>
        </w:rPr>
        <w:t>s Humanos</w:t>
      </w:r>
      <w:r w:rsidR="00D60C4E">
        <w:rPr>
          <w:rFonts w:asciiTheme="majorBidi" w:hAnsiTheme="majorBidi" w:cstheme="majorBidi"/>
          <w:bCs/>
          <w:color w:val="000000" w:themeColor="text1"/>
          <w:sz w:val="22"/>
          <w:szCs w:val="22"/>
          <w:lang w:val="es-ES"/>
        </w:rPr>
        <w:t xml:space="preserve"> </w:t>
      </w:r>
      <w:r w:rsidR="00840B42" w:rsidRPr="00433C6C">
        <w:rPr>
          <w:rFonts w:asciiTheme="majorBidi" w:hAnsiTheme="majorBidi" w:cstheme="majorBidi"/>
          <w:bCs/>
          <w:color w:val="000000" w:themeColor="text1"/>
          <w:sz w:val="22"/>
          <w:szCs w:val="22"/>
          <w:lang w:val="es-ES"/>
        </w:rPr>
        <w:t>(COPADEH)</w:t>
      </w:r>
      <w:r w:rsidRPr="00433C6C">
        <w:rPr>
          <w:rFonts w:asciiTheme="majorBidi" w:hAnsiTheme="majorBidi" w:cstheme="majorBidi"/>
          <w:bCs/>
          <w:color w:val="000000" w:themeColor="text1"/>
          <w:sz w:val="22"/>
          <w:szCs w:val="22"/>
          <w:lang w:val="es-ES"/>
        </w:rPr>
        <w:t>, quien también forma parte de la instituc</w:t>
      </w:r>
      <w:r w:rsidRPr="009E2A0E">
        <w:rPr>
          <w:rFonts w:asciiTheme="majorBidi" w:hAnsiTheme="majorBidi" w:cstheme="majorBidi"/>
          <w:bCs/>
          <w:color w:val="000000" w:themeColor="text1"/>
          <w:sz w:val="22"/>
          <w:szCs w:val="22"/>
          <w:lang w:val="es-ES"/>
        </w:rPr>
        <w:t xml:space="preserve">ionalidad estatal, acuden personas que mencionan no tener la facultad de tomar decisiones, volviéndose reuniones infructuosas al no estar presentes los funcionarios que cuentan con la capacidad de asumir responsabilidades y tomar decisiones. </w:t>
      </w:r>
    </w:p>
    <w:p w14:paraId="4281BEEC" w14:textId="77777777" w:rsidR="00EF772F" w:rsidRPr="009E2A0E" w:rsidRDefault="00EF772F" w:rsidP="00EF772F">
      <w:pPr>
        <w:pStyle w:val="HTMLconformatoprevio"/>
        <w:spacing w:before="240"/>
        <w:contextualSpacing/>
        <w:jc w:val="both"/>
        <w:rPr>
          <w:rFonts w:asciiTheme="majorBidi" w:hAnsiTheme="majorBidi" w:cstheme="majorBidi"/>
          <w:bCs/>
          <w:color w:val="000000" w:themeColor="text1"/>
          <w:sz w:val="22"/>
          <w:szCs w:val="22"/>
          <w:lang w:val="es-ES"/>
        </w:rPr>
      </w:pPr>
    </w:p>
    <w:p w14:paraId="07907C32" w14:textId="389666BB" w:rsidR="00920879" w:rsidRDefault="00920879" w:rsidP="00270DCE">
      <w:pPr>
        <w:pStyle w:val="HTMLconformatoprevio"/>
        <w:spacing w:before="240"/>
        <w:contextualSpacing/>
        <w:jc w:val="both"/>
        <w:rPr>
          <w:rFonts w:asciiTheme="majorBidi" w:hAnsiTheme="majorBidi" w:cstheme="majorBidi"/>
          <w:bCs/>
          <w:color w:val="000000" w:themeColor="text1"/>
          <w:sz w:val="22"/>
          <w:szCs w:val="22"/>
          <w:lang w:val="es-ES"/>
        </w:rPr>
      </w:pPr>
      <w:r w:rsidRPr="009E2A0E">
        <w:rPr>
          <w:rFonts w:asciiTheme="majorBidi" w:hAnsiTheme="majorBidi" w:cstheme="majorBidi"/>
          <w:bCs/>
          <w:color w:val="000000" w:themeColor="text1"/>
          <w:sz w:val="22"/>
          <w:szCs w:val="22"/>
          <w:lang w:val="es-ES"/>
        </w:rPr>
        <w:t xml:space="preserve">Por otro lado, también se encuentra la reiterada argumentación del Estado, en especial de la Superintendencia de Telecomunicaciones y el Ministerio de Comunicaciones, de la falta de espacio en el espectro radioeléctrico en Frecuencia Modulada; lo que en muchas ocasiones ha frenado el avance de la discusión de la ley para medios comunitarios. Sin embargo, este argumento no cuenta con datos claros que lo respalden, evidenciando la falta de control real sobre la administración de </w:t>
      </w:r>
      <w:r w:rsidRPr="009E2A0E">
        <w:rPr>
          <w:rFonts w:asciiTheme="majorBidi" w:hAnsiTheme="majorBidi" w:cstheme="majorBidi"/>
          <w:bCs/>
          <w:color w:val="000000" w:themeColor="text1"/>
          <w:sz w:val="22"/>
          <w:szCs w:val="22"/>
          <w:lang w:val="es-ES"/>
        </w:rPr>
        <w:lastRenderedPageBreak/>
        <w:t xml:space="preserve">dichas frecuencias y sobre todo demostrando discriminación hacia los Pueblos Indígenas al no buscar soluciones que permitan democratizar </w:t>
      </w:r>
      <w:r w:rsidR="0092141C" w:rsidRPr="0092141C">
        <w:rPr>
          <w:rFonts w:asciiTheme="majorBidi" w:hAnsiTheme="majorBidi" w:cstheme="majorBidi"/>
          <w:bCs/>
          <w:color w:val="000000" w:themeColor="text1"/>
          <w:sz w:val="22"/>
          <w:szCs w:val="22"/>
          <w:lang w:val="es-ES"/>
        </w:rPr>
        <w:t xml:space="preserve">y brindar </w:t>
      </w:r>
      <w:r w:rsidR="00270DCE" w:rsidRPr="0092141C">
        <w:rPr>
          <w:rFonts w:asciiTheme="majorBidi" w:hAnsiTheme="majorBidi" w:cstheme="majorBidi"/>
          <w:bCs/>
          <w:color w:val="000000" w:themeColor="text1"/>
          <w:sz w:val="22"/>
          <w:szCs w:val="22"/>
          <w:lang w:val="es-ES"/>
        </w:rPr>
        <w:t>certezas jurídicas</w:t>
      </w:r>
      <w:r w:rsidR="0092141C" w:rsidRPr="0092141C">
        <w:rPr>
          <w:rFonts w:asciiTheme="majorBidi" w:hAnsiTheme="majorBidi" w:cstheme="majorBidi"/>
          <w:bCs/>
          <w:color w:val="000000" w:themeColor="text1"/>
          <w:sz w:val="22"/>
          <w:szCs w:val="22"/>
          <w:lang w:val="es-ES"/>
        </w:rPr>
        <w:t xml:space="preserve"> a los medios de comunicación comunitario e indígena en el país</w:t>
      </w:r>
      <w:r w:rsidRPr="009E2A0E">
        <w:rPr>
          <w:rFonts w:asciiTheme="majorBidi" w:hAnsiTheme="majorBidi" w:cstheme="majorBidi"/>
          <w:bCs/>
          <w:color w:val="000000" w:themeColor="text1"/>
          <w:sz w:val="22"/>
          <w:szCs w:val="22"/>
          <w:lang w:val="es-ES"/>
        </w:rPr>
        <w:t>.</w:t>
      </w:r>
      <w:r w:rsidRPr="009E2A0E">
        <w:rPr>
          <w:rStyle w:val="Refdenotaalpie"/>
          <w:rFonts w:asciiTheme="majorBidi" w:eastAsiaTheme="majorEastAsia" w:hAnsiTheme="majorBidi" w:cstheme="majorBidi"/>
          <w:bCs/>
          <w:color w:val="000000" w:themeColor="text1"/>
          <w:sz w:val="22"/>
          <w:szCs w:val="22"/>
          <w:lang w:val="es-ES"/>
        </w:rPr>
        <w:footnoteReference w:id="45"/>
      </w:r>
      <w:r w:rsidRPr="009E2A0E">
        <w:rPr>
          <w:rFonts w:asciiTheme="majorBidi" w:hAnsiTheme="majorBidi" w:cstheme="majorBidi"/>
          <w:bCs/>
          <w:color w:val="000000" w:themeColor="text1"/>
          <w:sz w:val="22"/>
          <w:szCs w:val="22"/>
          <w:lang w:val="es-ES"/>
        </w:rPr>
        <w:t xml:space="preserve"> </w:t>
      </w:r>
      <w:r w:rsidR="00270DCE" w:rsidRPr="00270DCE">
        <w:rPr>
          <w:rFonts w:asciiTheme="majorBidi" w:hAnsiTheme="majorBidi" w:cstheme="majorBidi"/>
          <w:bCs/>
          <w:color w:val="000000" w:themeColor="text1"/>
          <w:sz w:val="22"/>
          <w:szCs w:val="22"/>
          <w:lang w:val="es-ES"/>
        </w:rPr>
        <w:t>Esto, a pesar de que estos medios, especialmente las radios comunitarias indígenas han jugado un papel importante para las entidades estatales, quienes hacen uso de estos medios de comunicación para difundir información a la población en sus propios idiomas, trabajo que sigue sin ser reconocido ni remunerado por el Estado; quien más allá de fortalecer el trabajo que realizan las radios comunitarias indígenas ha buscado como evitar que estos medios reciban algún tipo de financiamiento, instando a su desaparición al dejarlas sin fuentes de financiamiento que les brinde autosostenibilidad para su operación.</w:t>
      </w:r>
    </w:p>
    <w:p w14:paraId="36794958" w14:textId="601E49B0" w:rsidR="00215E7A" w:rsidRPr="00EC78C5" w:rsidRDefault="00D05A65" w:rsidP="00D05A65">
      <w:pPr>
        <w:spacing w:before="240"/>
        <w:jc w:val="both"/>
        <w:rPr>
          <w:rFonts w:asciiTheme="majorBidi" w:eastAsia="Times New Roman" w:hAnsiTheme="majorBidi" w:cstheme="majorBidi"/>
          <w:color w:val="000000" w:themeColor="text1"/>
        </w:rPr>
      </w:pPr>
      <w:r w:rsidRPr="00D05A65">
        <w:rPr>
          <w:rFonts w:asciiTheme="majorBidi" w:eastAsia="Times New Roman" w:hAnsiTheme="majorBidi" w:cstheme="majorBidi"/>
          <w:color w:val="000000" w:themeColor="text1"/>
        </w:rPr>
        <w:t>En resumen, a más de tres años de haberse emitido la sentencia</w:t>
      </w:r>
      <w:r w:rsidR="00215E7A" w:rsidRPr="009E2A0E">
        <w:rPr>
          <w:rFonts w:asciiTheme="majorBidi" w:eastAsia="Times New Roman" w:hAnsiTheme="majorBidi" w:cstheme="majorBidi"/>
          <w:color w:val="000000" w:themeColor="text1"/>
        </w:rPr>
        <w:t>, los avances en su cumplimiento son limitados y han sido posibles principalmente gracias a las acciones impulsadas por las propias víctimas, quienes han recurrido a diversos mecanismos de protección de derechos humanos para presionar al Estado de Guatemala a cumplir con sus obligaciones internacionales.</w:t>
      </w:r>
      <w:r w:rsidR="00215E7A" w:rsidRPr="009E2A0E">
        <w:rPr>
          <w:rStyle w:val="Refdenotaalpie"/>
          <w:rFonts w:asciiTheme="majorBidi" w:eastAsia="Times New Roman" w:hAnsiTheme="majorBidi" w:cstheme="majorBidi"/>
          <w:color w:val="000000" w:themeColor="text1"/>
          <w:sz w:val="22"/>
        </w:rPr>
        <w:footnoteReference w:id="46"/>
      </w:r>
      <w:r w:rsidR="00215E7A" w:rsidRPr="009E2A0E">
        <w:rPr>
          <w:rFonts w:asciiTheme="majorBidi" w:eastAsia="Times New Roman" w:hAnsiTheme="majorBidi" w:cstheme="majorBidi"/>
          <w:color w:val="000000" w:themeColor="text1"/>
        </w:rPr>
        <w:t xml:space="preserve"> </w:t>
      </w:r>
      <w:r w:rsidR="00215E7A" w:rsidRPr="0080713B">
        <w:rPr>
          <w:rFonts w:asciiTheme="majorBidi" w:eastAsia="Times New Roman" w:hAnsiTheme="majorBidi" w:cstheme="majorBidi"/>
          <w:color w:val="000000" w:themeColor="text1"/>
        </w:rPr>
        <w:t xml:space="preserve">Para ilustrar a Comité, en </w:t>
      </w:r>
      <w:r w:rsidR="00215E7A" w:rsidRPr="00094E4F">
        <w:rPr>
          <w:rFonts w:asciiTheme="majorBidi" w:eastAsia="Times New Roman" w:hAnsiTheme="majorBidi" w:cstheme="majorBidi"/>
          <w:color w:val="000000" w:themeColor="text1"/>
        </w:rPr>
        <w:t xml:space="preserve">el </w:t>
      </w:r>
      <w:r w:rsidR="008356E3" w:rsidRPr="00BE720D">
        <w:rPr>
          <w:rFonts w:asciiTheme="majorBidi" w:eastAsia="Times New Roman" w:hAnsiTheme="majorBidi" w:cstheme="majorBidi"/>
          <w:b/>
          <w:bCs/>
          <w:color w:val="000000" w:themeColor="text1"/>
          <w:u w:val="single"/>
        </w:rPr>
        <w:t>A</w:t>
      </w:r>
      <w:r w:rsidR="00094E4F" w:rsidRPr="00BE720D">
        <w:rPr>
          <w:rFonts w:asciiTheme="majorBidi" w:eastAsia="Times New Roman" w:hAnsiTheme="majorBidi" w:cstheme="majorBidi"/>
          <w:b/>
          <w:bCs/>
          <w:color w:val="000000" w:themeColor="text1"/>
          <w:u w:val="single"/>
        </w:rPr>
        <w:t>nexo</w:t>
      </w:r>
      <w:r w:rsidR="008356E3" w:rsidRPr="00BE720D">
        <w:rPr>
          <w:rFonts w:asciiTheme="majorBidi" w:eastAsia="Times New Roman" w:hAnsiTheme="majorBidi" w:cstheme="majorBidi"/>
          <w:b/>
          <w:bCs/>
          <w:color w:val="000000" w:themeColor="text1"/>
          <w:u w:val="single"/>
        </w:rPr>
        <w:t xml:space="preserve"> </w:t>
      </w:r>
      <w:r w:rsidR="00094E4F" w:rsidRPr="00BE720D">
        <w:rPr>
          <w:rFonts w:asciiTheme="majorBidi" w:eastAsia="Times New Roman" w:hAnsiTheme="majorBidi" w:cstheme="majorBidi"/>
          <w:b/>
          <w:bCs/>
          <w:color w:val="000000" w:themeColor="text1"/>
          <w:u w:val="single"/>
        </w:rPr>
        <w:t>1</w:t>
      </w:r>
      <w:r w:rsidR="00215E7A" w:rsidRPr="0080713B">
        <w:rPr>
          <w:rFonts w:asciiTheme="majorBidi" w:eastAsia="Times New Roman" w:hAnsiTheme="majorBidi" w:cstheme="majorBidi"/>
          <w:color w:val="000000" w:themeColor="text1"/>
        </w:rPr>
        <w:t xml:space="preserve"> se describe detenidamente el avance y los desafíos en cada una de las medidas de reparación en la sentencia.</w:t>
      </w:r>
      <w:r w:rsidR="00215E7A" w:rsidRPr="009E2A0E">
        <w:rPr>
          <w:rFonts w:asciiTheme="majorBidi" w:eastAsia="Times New Roman" w:hAnsiTheme="majorBidi" w:cstheme="majorBidi"/>
          <w:color w:val="000000" w:themeColor="text1"/>
        </w:rPr>
        <w:t xml:space="preserve"> </w:t>
      </w:r>
    </w:p>
    <w:p w14:paraId="0BF97BC7" w14:textId="78EBA6C7" w:rsidR="00933BE6" w:rsidRPr="009E2A0E" w:rsidRDefault="00933BE6" w:rsidP="00197C3D">
      <w:pPr>
        <w:pStyle w:val="Prrafodelista"/>
        <w:numPr>
          <w:ilvl w:val="2"/>
          <w:numId w:val="7"/>
        </w:numPr>
        <w:spacing w:after="240" w:line="240" w:lineRule="auto"/>
        <w:jc w:val="both"/>
        <w:outlineLvl w:val="2"/>
        <w:rPr>
          <w:rFonts w:asciiTheme="majorBidi" w:eastAsia="Times New Roman" w:hAnsiTheme="majorBidi" w:cstheme="majorBidi"/>
          <w:b/>
          <w:bCs/>
          <w:color w:val="000000" w:themeColor="text1"/>
        </w:rPr>
      </w:pPr>
      <w:bookmarkStart w:id="15" w:name="_Toc204264038"/>
      <w:r w:rsidRPr="009E2A0E">
        <w:rPr>
          <w:rFonts w:asciiTheme="majorBidi" w:eastAsia="Times New Roman" w:hAnsiTheme="majorBidi" w:cstheme="majorBidi"/>
          <w:b/>
          <w:bCs/>
          <w:color w:val="000000" w:themeColor="text1"/>
        </w:rPr>
        <w:t>Situación de protección y seguridad de los</w:t>
      </w:r>
      <w:r w:rsidR="0080713B">
        <w:rPr>
          <w:rFonts w:asciiTheme="majorBidi" w:eastAsia="Times New Roman" w:hAnsiTheme="majorBidi" w:cstheme="majorBidi"/>
          <w:b/>
          <w:bCs/>
          <w:color w:val="000000" w:themeColor="text1"/>
        </w:rPr>
        <w:t xml:space="preserve"> periodistas, comunicadores y personas defensoras de derechos humanos indígenas</w:t>
      </w:r>
      <w:bookmarkEnd w:id="15"/>
    </w:p>
    <w:p w14:paraId="2CE14B69" w14:textId="77777777" w:rsidR="006F78A3" w:rsidRPr="006F78A3" w:rsidRDefault="008030CF" w:rsidP="006F78A3">
      <w:pPr>
        <w:spacing w:after="240"/>
        <w:jc w:val="both"/>
        <w:rPr>
          <w:rFonts w:asciiTheme="majorBidi" w:eastAsia="Times New Roman" w:hAnsiTheme="majorBidi" w:cstheme="majorBidi"/>
          <w:color w:val="000000" w:themeColor="text1"/>
        </w:rPr>
      </w:pPr>
      <w:r w:rsidRPr="009E2A0E">
        <w:rPr>
          <w:rFonts w:asciiTheme="majorBidi" w:eastAsia="Times New Roman" w:hAnsiTheme="majorBidi" w:cstheme="majorBidi"/>
          <w:color w:val="000000" w:themeColor="text1"/>
        </w:rPr>
        <w:t xml:space="preserve">Aunque los allanamientos a medios comunitarios han disminuido, las amenazas y actos de intimidación contra comunicadores indígenas persisten, reflejando una preocupante desprotección estructural. A pesar de la existencia de una Fiscalía de Delitos contra Periodistas, los comunicadores indígenas siguen sin ser plenamente reconocidos como periodistas debido a la falta de título universitario, </w:t>
      </w:r>
      <w:r w:rsidR="006F78A3" w:rsidRPr="006F78A3">
        <w:rPr>
          <w:rFonts w:asciiTheme="majorBidi" w:eastAsia="Times New Roman" w:hAnsiTheme="majorBidi" w:cstheme="majorBidi"/>
          <w:color w:val="000000" w:themeColor="text1"/>
        </w:rPr>
        <w:t xml:space="preserve">así como por la edad que estos poseen, ya que la juventud tiene un papel relevante en los medios comunitarios e indígenas, lo que agrava su vulnerabilidad. </w:t>
      </w:r>
    </w:p>
    <w:p w14:paraId="70B69358" w14:textId="0E6019EB" w:rsidR="008030CF" w:rsidRPr="009E2A0E" w:rsidRDefault="00D94AB6" w:rsidP="00D94AB6">
      <w:pPr>
        <w:spacing w:after="240"/>
        <w:jc w:val="both"/>
        <w:rPr>
          <w:rFonts w:asciiTheme="majorBidi" w:eastAsia="Times New Roman" w:hAnsiTheme="majorBidi" w:cstheme="majorBidi"/>
          <w:color w:val="000000" w:themeColor="text1"/>
        </w:rPr>
      </w:pPr>
      <w:r w:rsidRPr="00D94AB6">
        <w:rPr>
          <w:rFonts w:asciiTheme="majorBidi" w:eastAsia="Times New Roman" w:hAnsiTheme="majorBidi" w:cstheme="majorBidi"/>
          <w:color w:val="000000" w:themeColor="text1"/>
        </w:rPr>
        <w:t xml:space="preserve">Por otro lado, muchas agresiones y amenazas hacia los comunicadores indígenas provienen de autoridades estatales, como en el caso de comunicadores de </w:t>
      </w:r>
      <w:r w:rsidR="008030CF" w:rsidRPr="009E2A0E">
        <w:rPr>
          <w:rFonts w:asciiTheme="majorBidi" w:eastAsia="Times New Roman" w:hAnsiTheme="majorBidi" w:cstheme="majorBidi"/>
          <w:color w:val="000000" w:themeColor="text1"/>
        </w:rPr>
        <w:t>Radio Comunitaria Naköj</w:t>
      </w:r>
      <w:r w:rsidR="008030CF" w:rsidRPr="009E2A0E">
        <w:rPr>
          <w:rStyle w:val="Refdenotaalpie"/>
          <w:rFonts w:asciiTheme="majorBidi" w:eastAsia="Times New Roman" w:hAnsiTheme="majorBidi" w:cstheme="majorBidi"/>
          <w:color w:val="000000" w:themeColor="text1"/>
        </w:rPr>
        <w:footnoteReference w:id="47"/>
      </w:r>
      <w:r w:rsidR="008030CF" w:rsidRPr="009E2A0E">
        <w:rPr>
          <w:rFonts w:asciiTheme="majorBidi" w:eastAsia="Times New Roman" w:hAnsiTheme="majorBidi" w:cstheme="majorBidi"/>
          <w:color w:val="000000" w:themeColor="text1"/>
        </w:rPr>
        <w:t xml:space="preserve">, quienes en mayo de 2024 denunciaron hostigamiento por parte de la Policía Municipal de Santo Domingo Xenacoj, en represalia por su labor de investigación y auditoría social. </w:t>
      </w:r>
    </w:p>
    <w:p w14:paraId="44D89556" w14:textId="54586AF6" w:rsidR="008030CF" w:rsidRDefault="008030CF" w:rsidP="00933BE6">
      <w:pPr>
        <w:spacing w:after="240"/>
        <w:jc w:val="both"/>
        <w:rPr>
          <w:rFonts w:asciiTheme="majorBidi" w:eastAsia="Times New Roman" w:hAnsiTheme="majorBidi" w:cstheme="majorBidi"/>
          <w:color w:val="000000" w:themeColor="text1"/>
        </w:rPr>
      </w:pPr>
      <w:r w:rsidRPr="009E2A0E">
        <w:rPr>
          <w:rFonts w:asciiTheme="majorBidi" w:eastAsia="Times New Roman" w:hAnsiTheme="majorBidi" w:cstheme="majorBidi"/>
          <w:color w:val="000000" w:themeColor="text1"/>
        </w:rPr>
        <w:t>Asimismo, en el 2019 como consecuencia del estado de excepción, la Radio Xyaab' Tzuultaq'a fue uno de los últimos medios comunitarios allanados, demostrando que una sentencia judicial no garantiza la protección real de estos medios</w:t>
      </w:r>
      <w:r w:rsidRPr="009E2A0E">
        <w:rPr>
          <w:rStyle w:val="Refdenotaalpie"/>
          <w:rFonts w:asciiTheme="majorBidi" w:eastAsia="Times New Roman" w:hAnsiTheme="majorBidi" w:cstheme="majorBidi"/>
          <w:color w:val="000000" w:themeColor="text1"/>
        </w:rPr>
        <w:footnoteReference w:id="48"/>
      </w:r>
      <w:r w:rsidRPr="009E2A0E">
        <w:rPr>
          <w:rFonts w:asciiTheme="majorBidi" w:eastAsia="Times New Roman" w:hAnsiTheme="majorBidi" w:cstheme="majorBidi"/>
          <w:color w:val="000000" w:themeColor="text1"/>
        </w:rPr>
        <w:t>. Además, aunque actualmente no hay comunicadores comunitarios encarcelados por allanamientos, la criminalización persiste. Estos hechos evidencian un patrón sostenido de persecución hacia quienes ejercen el periodismo desde y para los pueblos indígenas.</w:t>
      </w:r>
    </w:p>
    <w:p w14:paraId="7310F74A" w14:textId="4FCA8E0F" w:rsidR="00AC0D4D" w:rsidRPr="009E2A0E" w:rsidRDefault="00AC0D4D" w:rsidP="00AC0D4D">
      <w:pPr>
        <w:spacing w:after="240"/>
        <w:jc w:val="both"/>
        <w:rPr>
          <w:rFonts w:asciiTheme="majorBidi" w:eastAsia="Times New Roman" w:hAnsiTheme="majorBidi" w:cstheme="majorBidi"/>
          <w:color w:val="000000" w:themeColor="text1"/>
        </w:rPr>
      </w:pPr>
      <w:r w:rsidRPr="00AC0D4D">
        <w:rPr>
          <w:rFonts w:asciiTheme="majorBidi" w:eastAsia="Times New Roman" w:hAnsiTheme="majorBidi" w:cstheme="majorBidi"/>
          <w:color w:val="000000" w:themeColor="text1"/>
        </w:rPr>
        <w:t xml:space="preserve">Por otro lado, existen amenazas </w:t>
      </w:r>
      <w:r>
        <w:rPr>
          <w:rFonts w:asciiTheme="majorBidi" w:eastAsia="Times New Roman" w:hAnsiTheme="majorBidi" w:cstheme="majorBidi"/>
          <w:color w:val="000000" w:themeColor="text1"/>
        </w:rPr>
        <w:t>contra</w:t>
      </w:r>
      <w:r w:rsidRPr="00AC0D4D">
        <w:rPr>
          <w:rFonts w:asciiTheme="majorBidi" w:eastAsia="Times New Roman" w:hAnsiTheme="majorBidi" w:cstheme="majorBidi"/>
          <w:color w:val="000000" w:themeColor="text1"/>
        </w:rPr>
        <w:t xml:space="preserve"> periodistas por personas ligadas </w:t>
      </w:r>
      <w:r w:rsidR="00260EA8">
        <w:rPr>
          <w:rFonts w:asciiTheme="majorBidi" w:eastAsia="Times New Roman" w:hAnsiTheme="majorBidi" w:cstheme="majorBidi"/>
          <w:color w:val="000000" w:themeColor="text1"/>
        </w:rPr>
        <w:t xml:space="preserve">en procesos penal por </w:t>
      </w:r>
      <w:r w:rsidRPr="00AC0D4D">
        <w:rPr>
          <w:rFonts w:asciiTheme="majorBidi" w:eastAsia="Times New Roman" w:hAnsiTheme="majorBidi" w:cstheme="majorBidi"/>
          <w:color w:val="000000" w:themeColor="text1"/>
        </w:rPr>
        <w:t>corrupción, como es el caso de las amenazas sufridas por el periodista Simón Antonio en la elección de las nuevas autoridades del Colegio de Abogados y Notarios de Guatemala</w:t>
      </w:r>
      <w:r w:rsidRPr="00AC0D4D">
        <w:rPr>
          <w:rFonts w:asciiTheme="majorBidi" w:eastAsia="Times New Roman" w:hAnsiTheme="majorBidi" w:cstheme="majorBidi"/>
          <w:color w:val="000000" w:themeColor="text1"/>
          <w:vertAlign w:val="superscript"/>
        </w:rPr>
        <w:footnoteReference w:id="49"/>
      </w:r>
      <w:r w:rsidRPr="00AC0D4D">
        <w:rPr>
          <w:rFonts w:asciiTheme="majorBidi" w:eastAsia="Times New Roman" w:hAnsiTheme="majorBidi" w:cstheme="majorBidi"/>
          <w:color w:val="000000" w:themeColor="text1"/>
        </w:rPr>
        <w:t xml:space="preserve">, quien en febrero de </w:t>
      </w:r>
      <w:r w:rsidRPr="00AC0D4D">
        <w:rPr>
          <w:rFonts w:asciiTheme="majorBidi" w:eastAsia="Times New Roman" w:hAnsiTheme="majorBidi" w:cstheme="majorBidi"/>
          <w:color w:val="000000" w:themeColor="text1"/>
        </w:rPr>
        <w:lastRenderedPageBreak/>
        <w:t>2025 fue agredido por un político condenado por lavado de dinero en Estados Unidos y quien también se encuentra ligado a varios casos de corrupción, esto, debido a la labor del periodista de documentar la partición de dicho político en el evento, así como, por el simple hecho de ser un periodista perteneciente a un medio independiente cuya labor se ha centrado en cubrir temas de importancia para la vida democrática del país, lo que demuestra los niveles de vulnerabilidad en la que se encuentran los periodistas indígenas en Guatemala, lo que ha provocado muchas veces la autocensura de los medios comunitarios. Otras de las agresiones sufridas por el periodista se remontan al año 2021 en las manifestaciones realizadas por ex paramilitares, quienes lo agredieron al momento de cubrir este acontecimiento.</w:t>
      </w:r>
      <w:r w:rsidRPr="00AC0D4D">
        <w:rPr>
          <w:rFonts w:asciiTheme="majorBidi" w:eastAsia="Times New Roman" w:hAnsiTheme="majorBidi" w:cstheme="majorBidi"/>
          <w:color w:val="000000" w:themeColor="text1"/>
          <w:vertAlign w:val="superscript"/>
        </w:rPr>
        <w:footnoteReference w:id="50"/>
      </w:r>
    </w:p>
    <w:p w14:paraId="3CF6D3C3" w14:textId="77777777" w:rsidR="001D3AAB" w:rsidRDefault="00861CDE" w:rsidP="00933BE6">
      <w:pPr>
        <w:spacing w:after="240"/>
        <w:jc w:val="both"/>
        <w:rPr>
          <w:rFonts w:asciiTheme="majorBidi" w:hAnsiTheme="majorBidi" w:cstheme="majorBidi"/>
          <w:color w:val="000000" w:themeColor="text1"/>
        </w:rPr>
      </w:pPr>
      <w:r w:rsidRPr="009E2A0E">
        <w:rPr>
          <w:rFonts w:asciiTheme="majorBidi" w:hAnsiTheme="majorBidi" w:cstheme="majorBidi"/>
          <w:color w:val="000000" w:themeColor="text1"/>
        </w:rPr>
        <w:t xml:space="preserve">En cuanto </w:t>
      </w:r>
      <w:r w:rsidR="00F90DF4" w:rsidRPr="009E2A0E">
        <w:rPr>
          <w:rFonts w:asciiTheme="majorBidi" w:hAnsiTheme="majorBidi" w:cstheme="majorBidi"/>
          <w:color w:val="000000" w:themeColor="text1"/>
        </w:rPr>
        <w:t xml:space="preserve">a </w:t>
      </w:r>
      <w:r w:rsidR="001F43CC" w:rsidRPr="009E2A0E">
        <w:rPr>
          <w:rFonts w:asciiTheme="majorBidi" w:hAnsiTheme="majorBidi" w:cstheme="majorBidi"/>
          <w:color w:val="000000" w:themeColor="text1"/>
        </w:rPr>
        <w:t>los casos de criminalización</w:t>
      </w:r>
      <w:r w:rsidRPr="009E2A0E">
        <w:rPr>
          <w:rFonts w:asciiTheme="majorBidi" w:hAnsiTheme="majorBidi" w:cstheme="majorBidi"/>
          <w:color w:val="000000" w:themeColor="text1"/>
        </w:rPr>
        <w:t>, aunque no se han registrado casos vinculados directamente a allanamientos contra medios de comunicación comunitaria, los periodistas indígenas continúan siendo objeto de persecución penal bajo distintos cargos. Estos procesos suelen estar relacionados con su labor de cobertura en contextos de defensa del territorio y los bienes naturales de los pueblos indígenas. Un ejemplo emblemático es el de Francisco Lucas Pedro, periodista maya q’anjob’al de Barillas, Huehuetenango, quien fue denunciado en 2012 por la empresa española Hidro Santa Cruz y detenido en diciembre de 2019. Aunque fue liberado en enero de 2020, su caso evidencia el patrón sostenido de criminalización que enfrentan l</w:t>
      </w:r>
      <w:r w:rsidR="00A238AA" w:rsidRPr="009E2A0E">
        <w:rPr>
          <w:rFonts w:asciiTheme="majorBidi" w:hAnsiTheme="majorBidi" w:cstheme="majorBidi"/>
          <w:color w:val="000000" w:themeColor="text1"/>
        </w:rPr>
        <w:t>a</w:t>
      </w:r>
      <w:r w:rsidRPr="009E2A0E">
        <w:rPr>
          <w:rFonts w:asciiTheme="majorBidi" w:hAnsiTheme="majorBidi" w:cstheme="majorBidi"/>
          <w:color w:val="000000" w:themeColor="text1"/>
        </w:rPr>
        <w:t>s</w:t>
      </w:r>
      <w:r w:rsidR="00A238AA" w:rsidRPr="009E2A0E">
        <w:rPr>
          <w:rFonts w:asciiTheme="majorBidi" w:hAnsiTheme="majorBidi" w:cstheme="majorBidi"/>
          <w:color w:val="000000" w:themeColor="text1"/>
        </w:rPr>
        <w:t xml:space="preserve"> y los</w:t>
      </w:r>
      <w:r w:rsidRPr="009E2A0E">
        <w:rPr>
          <w:rFonts w:asciiTheme="majorBidi" w:hAnsiTheme="majorBidi" w:cstheme="majorBidi"/>
          <w:color w:val="000000" w:themeColor="text1"/>
        </w:rPr>
        <w:t xml:space="preserve"> comunicadores </w:t>
      </w:r>
      <w:r w:rsidR="00A238AA" w:rsidRPr="009E2A0E">
        <w:rPr>
          <w:rFonts w:asciiTheme="majorBidi" w:hAnsiTheme="majorBidi" w:cstheme="majorBidi"/>
          <w:color w:val="000000" w:themeColor="text1"/>
        </w:rPr>
        <w:t xml:space="preserve">y periodistas </w:t>
      </w:r>
      <w:r w:rsidRPr="009E2A0E">
        <w:rPr>
          <w:rFonts w:asciiTheme="majorBidi" w:hAnsiTheme="majorBidi" w:cstheme="majorBidi"/>
          <w:color w:val="000000" w:themeColor="text1"/>
        </w:rPr>
        <w:t>indígenas por ejercer su derecho a</w:t>
      </w:r>
      <w:r w:rsidR="00A238AA" w:rsidRPr="009E2A0E">
        <w:rPr>
          <w:rFonts w:asciiTheme="majorBidi" w:hAnsiTheme="majorBidi" w:cstheme="majorBidi"/>
          <w:color w:val="000000" w:themeColor="text1"/>
        </w:rPr>
        <w:t xml:space="preserve"> la libertad de expresión desde</w:t>
      </w:r>
      <w:r w:rsidRPr="009E2A0E">
        <w:rPr>
          <w:rFonts w:asciiTheme="majorBidi" w:hAnsiTheme="majorBidi" w:cstheme="majorBidi"/>
          <w:color w:val="000000" w:themeColor="text1"/>
        </w:rPr>
        <w:t xml:space="preserve"> y para sus comunidades</w:t>
      </w:r>
      <w:r w:rsidRPr="003E32E3">
        <w:rPr>
          <w:rFonts w:asciiTheme="majorBidi" w:hAnsiTheme="majorBidi" w:cstheme="majorBidi"/>
          <w:color w:val="000000" w:themeColor="text1"/>
        </w:rPr>
        <w:t>.</w:t>
      </w:r>
      <w:r w:rsidR="00372ED7" w:rsidRPr="003E32E3">
        <w:rPr>
          <w:rFonts w:asciiTheme="majorBidi" w:hAnsiTheme="majorBidi" w:cstheme="majorBidi"/>
          <w:color w:val="000000" w:themeColor="text1"/>
        </w:rPr>
        <w:t xml:space="preserve"> </w:t>
      </w:r>
    </w:p>
    <w:p w14:paraId="7C1E964E" w14:textId="77777777" w:rsidR="004F09AB" w:rsidRDefault="00372ED7" w:rsidP="00184E16">
      <w:pPr>
        <w:spacing w:after="240"/>
        <w:jc w:val="both"/>
        <w:rPr>
          <w:rFonts w:asciiTheme="majorBidi" w:hAnsiTheme="majorBidi" w:cstheme="majorBidi"/>
          <w:color w:val="000000" w:themeColor="text1"/>
        </w:rPr>
      </w:pPr>
      <w:r w:rsidRPr="003E32E3">
        <w:rPr>
          <w:rFonts w:asciiTheme="majorBidi" w:hAnsiTheme="majorBidi" w:cstheme="majorBidi"/>
          <w:color w:val="000000" w:themeColor="text1"/>
        </w:rPr>
        <w:t xml:space="preserve">Lo mismo en el caso del </w:t>
      </w:r>
      <w:r w:rsidR="00EF34F1">
        <w:rPr>
          <w:rFonts w:asciiTheme="majorBidi" w:hAnsiTheme="majorBidi" w:cstheme="majorBidi"/>
          <w:color w:val="000000" w:themeColor="text1"/>
        </w:rPr>
        <w:t>periodista</w:t>
      </w:r>
      <w:r w:rsidRPr="003E32E3">
        <w:rPr>
          <w:rFonts w:asciiTheme="majorBidi" w:hAnsiTheme="majorBidi" w:cstheme="majorBidi"/>
          <w:color w:val="000000" w:themeColor="text1"/>
        </w:rPr>
        <w:t xml:space="preserve"> Carlos Choc que de igual manera fue </w:t>
      </w:r>
      <w:r w:rsidR="00514A04" w:rsidRPr="003E32E3">
        <w:rPr>
          <w:rFonts w:asciiTheme="majorBidi" w:hAnsiTheme="majorBidi" w:cstheme="majorBidi"/>
          <w:color w:val="000000" w:themeColor="text1"/>
        </w:rPr>
        <w:t xml:space="preserve">criminalizado por su </w:t>
      </w:r>
      <w:r w:rsidR="00B13143" w:rsidRPr="003E32E3">
        <w:rPr>
          <w:rFonts w:asciiTheme="majorBidi" w:hAnsiTheme="majorBidi" w:cstheme="majorBidi"/>
          <w:color w:val="000000" w:themeColor="text1"/>
        </w:rPr>
        <w:t>cobertura periodística en e</w:t>
      </w:r>
      <w:r w:rsidR="003063FA">
        <w:rPr>
          <w:rFonts w:asciiTheme="majorBidi" w:hAnsiTheme="majorBidi" w:cstheme="majorBidi"/>
          <w:color w:val="000000" w:themeColor="text1"/>
        </w:rPr>
        <w:t>l</w:t>
      </w:r>
      <w:r w:rsidR="00B13143" w:rsidRPr="003E32E3">
        <w:rPr>
          <w:rFonts w:asciiTheme="majorBidi" w:hAnsiTheme="majorBidi" w:cstheme="majorBidi"/>
          <w:color w:val="000000" w:themeColor="text1"/>
        </w:rPr>
        <w:t xml:space="preserve"> Estor, Izabal </w:t>
      </w:r>
      <w:r w:rsidR="00535A94" w:rsidRPr="003E32E3">
        <w:rPr>
          <w:rFonts w:asciiTheme="majorBidi" w:hAnsiTheme="majorBidi" w:cstheme="majorBidi"/>
          <w:color w:val="000000" w:themeColor="text1"/>
        </w:rPr>
        <w:t>en visibilizar las preocupaciones de de</w:t>
      </w:r>
      <w:r w:rsidR="00A225B9" w:rsidRPr="003E32E3">
        <w:rPr>
          <w:rFonts w:asciiTheme="majorBidi" w:hAnsiTheme="majorBidi" w:cstheme="majorBidi"/>
          <w:color w:val="000000" w:themeColor="text1"/>
        </w:rPr>
        <w:t>f</w:t>
      </w:r>
      <w:r w:rsidR="005A257A" w:rsidRPr="003E32E3">
        <w:rPr>
          <w:rFonts w:asciiTheme="majorBidi" w:hAnsiTheme="majorBidi" w:cstheme="majorBidi"/>
          <w:color w:val="000000" w:themeColor="text1"/>
        </w:rPr>
        <w:t>ens</w:t>
      </w:r>
      <w:r w:rsidR="00A225B9" w:rsidRPr="003E32E3">
        <w:rPr>
          <w:rFonts w:asciiTheme="majorBidi" w:hAnsiTheme="majorBidi" w:cstheme="majorBidi"/>
          <w:color w:val="000000" w:themeColor="text1"/>
        </w:rPr>
        <w:t>a del territorio y la falta de consulta libre, previa e informada</w:t>
      </w:r>
      <w:r w:rsidR="00074944">
        <w:rPr>
          <w:rFonts w:asciiTheme="majorBidi" w:hAnsiTheme="majorBidi" w:cstheme="majorBidi"/>
          <w:color w:val="000000" w:themeColor="text1"/>
        </w:rPr>
        <w:t xml:space="preserve">. </w:t>
      </w:r>
      <w:r w:rsidR="00074944" w:rsidRPr="00313821">
        <w:rPr>
          <w:rFonts w:asciiTheme="majorBidi" w:hAnsiTheme="majorBidi" w:cstheme="majorBidi"/>
          <w:color w:val="000000" w:themeColor="text1"/>
        </w:rPr>
        <w:t>(ver</w:t>
      </w:r>
      <w:r w:rsidR="00094E4F" w:rsidRPr="00313821">
        <w:rPr>
          <w:rFonts w:asciiTheme="majorBidi" w:hAnsiTheme="majorBidi" w:cstheme="majorBidi"/>
          <w:color w:val="000000" w:themeColor="text1"/>
        </w:rPr>
        <w:t xml:space="preserve"> detalle del caso en</w:t>
      </w:r>
      <w:r w:rsidR="00074944" w:rsidRPr="00313821">
        <w:rPr>
          <w:rFonts w:asciiTheme="majorBidi" w:hAnsiTheme="majorBidi" w:cstheme="majorBidi"/>
          <w:color w:val="000000" w:themeColor="text1"/>
        </w:rPr>
        <w:t xml:space="preserve"> Anexo </w:t>
      </w:r>
      <w:r w:rsidR="00313821" w:rsidRPr="00313821">
        <w:rPr>
          <w:rFonts w:asciiTheme="majorBidi" w:hAnsiTheme="majorBidi" w:cstheme="majorBidi"/>
          <w:color w:val="000000" w:themeColor="text1"/>
        </w:rPr>
        <w:t>3.2</w:t>
      </w:r>
      <w:r w:rsidR="00074944" w:rsidRPr="00313821">
        <w:rPr>
          <w:rFonts w:asciiTheme="majorBidi" w:hAnsiTheme="majorBidi" w:cstheme="majorBidi"/>
          <w:color w:val="000000" w:themeColor="text1"/>
        </w:rPr>
        <w:t>)</w:t>
      </w:r>
      <w:r w:rsidR="00A225B9" w:rsidRPr="00313821">
        <w:rPr>
          <w:rFonts w:asciiTheme="majorBidi" w:hAnsiTheme="majorBidi" w:cstheme="majorBidi"/>
          <w:color w:val="000000" w:themeColor="text1"/>
        </w:rPr>
        <w:t>.</w:t>
      </w:r>
      <w:r w:rsidR="00A225B9">
        <w:rPr>
          <w:rFonts w:asciiTheme="majorBidi" w:hAnsiTheme="majorBidi" w:cstheme="majorBidi"/>
          <w:color w:val="000000" w:themeColor="text1"/>
        </w:rPr>
        <w:t xml:space="preserve"> </w:t>
      </w:r>
      <w:r w:rsidR="00A931AA">
        <w:rPr>
          <w:rFonts w:asciiTheme="majorBidi" w:hAnsiTheme="majorBidi" w:cstheme="majorBidi"/>
          <w:color w:val="000000" w:themeColor="text1"/>
        </w:rPr>
        <w:t xml:space="preserve">En este caso </w:t>
      </w:r>
      <w:r w:rsidR="00A931AA" w:rsidRPr="00A931AA">
        <w:rPr>
          <w:rFonts w:asciiTheme="majorBidi" w:hAnsiTheme="majorBidi" w:cstheme="majorBidi"/>
          <w:color w:val="000000" w:themeColor="text1"/>
        </w:rPr>
        <w:t>se evidenció un patrón alarmante de discriminación racial y negación del derecho a la libertad de prensa. Desde el inicio del proceso, el juez a cargo mostró una actitud abiertamente prejuiciosa, emitiendo expresiones como “es igual que ellos” o “es uno de ellos”, en alusión a la pertenencia étnica del periodista y su vinculación con causas comunitarias, lo cual refleja una visión estigmatizante que lo descalifica como profesional de la comunicación. A pesar de que tanto el Ministerio Público como la defensa solicitaron el cierre del caso por falta de pruebas, el juez se negó, justificando su decisión en apreciaciones subjetivas y racistas. Además, la fiscalía emitió órdenes de captura sin contar con una investigación previa rigurosa, lo que pone en evidencia un uso indebido del derecho penal para intimidar y castigar la labor de periodistas indígenas. La situación se agrava al constatar que, en Izabal, no existe un solo juez que respete de manera efectiva el derecho a la libertad de expresión y al ejercicio del periodismo, lo que refleja una institucionalidad permeada por prejuicios estructurales y una preocupante falta de garantías judiciales para los comunicadores indígenas.</w:t>
      </w:r>
      <w:r w:rsidR="001D3AAB">
        <w:rPr>
          <w:rFonts w:asciiTheme="majorBidi" w:hAnsiTheme="majorBidi" w:cstheme="majorBidi"/>
          <w:color w:val="000000" w:themeColor="text1"/>
        </w:rPr>
        <w:t xml:space="preserve"> </w:t>
      </w:r>
    </w:p>
    <w:p w14:paraId="6B183C8A" w14:textId="3C7932CF" w:rsidR="000C11D0" w:rsidRPr="009E2A0E" w:rsidRDefault="001D3AAB" w:rsidP="00184E16">
      <w:pPr>
        <w:spacing w:after="240"/>
        <w:jc w:val="both"/>
        <w:rPr>
          <w:rFonts w:asciiTheme="majorBidi" w:hAnsiTheme="majorBidi" w:cstheme="majorBidi"/>
          <w:color w:val="000000" w:themeColor="text1"/>
        </w:rPr>
      </w:pPr>
      <w:r w:rsidRPr="004F09AB">
        <w:rPr>
          <w:rFonts w:asciiTheme="majorBidi" w:hAnsiTheme="majorBidi" w:cstheme="majorBidi"/>
          <w:color w:val="000000" w:themeColor="text1"/>
        </w:rPr>
        <w:t>Al respecto</w:t>
      </w:r>
      <w:r w:rsidR="004F09AB">
        <w:rPr>
          <w:rFonts w:asciiTheme="majorBidi" w:hAnsiTheme="majorBidi" w:cstheme="majorBidi"/>
          <w:color w:val="000000" w:themeColor="text1"/>
        </w:rPr>
        <w:t>,</w:t>
      </w:r>
      <w:r w:rsidRPr="004F09AB">
        <w:rPr>
          <w:rFonts w:asciiTheme="majorBidi" w:hAnsiTheme="majorBidi" w:cstheme="majorBidi"/>
          <w:color w:val="000000" w:themeColor="text1"/>
        </w:rPr>
        <w:t xml:space="preserve"> las Relatorías</w:t>
      </w:r>
      <w:r w:rsidR="00184E16" w:rsidRPr="004F09AB">
        <w:rPr>
          <w:rFonts w:asciiTheme="majorBidi" w:hAnsiTheme="majorBidi" w:cstheme="majorBidi"/>
          <w:color w:val="000000" w:themeColor="text1"/>
        </w:rPr>
        <w:t xml:space="preserve"> sobre la promoción y protección del derecho a la libertad de opinión y de expresión; del Grupo de Trabajo sobre la cuestión de los derechos humanos y las empresas transnacionales y otras empresas; del Relator Especial sobre la cuestión de las obligaciones de derechos humanos relacionadas con el disfrute de un medio ambiente sin riesgos, limpio, saludable y sostenible: de la Relatora Especial sobre la situación de los defensores de derechos humanos; del Relator Especial sobre los derechos de los Pueblos Indígenas y del Relator Especial sobre las implicaciones para los derechos humanos de la gestión y eliminación ecológicamente racionales de las sustancias y los desechos peligrosos</w:t>
      </w:r>
      <w:r w:rsidR="004F09AB" w:rsidRPr="004F09AB">
        <w:rPr>
          <w:rFonts w:asciiTheme="majorBidi" w:hAnsiTheme="majorBidi" w:cstheme="majorBidi"/>
          <w:color w:val="000000" w:themeColor="text1"/>
        </w:rPr>
        <w:t xml:space="preserve"> </w:t>
      </w:r>
      <w:r w:rsidRPr="004F09AB">
        <w:rPr>
          <w:rFonts w:asciiTheme="majorBidi" w:hAnsiTheme="majorBidi" w:cstheme="majorBidi"/>
          <w:color w:val="000000" w:themeColor="text1"/>
        </w:rPr>
        <w:t xml:space="preserve">expresaron </w:t>
      </w:r>
      <w:r w:rsidR="004F09AB" w:rsidRPr="004F09AB">
        <w:rPr>
          <w:rFonts w:asciiTheme="majorBidi" w:hAnsiTheme="majorBidi" w:cstheme="majorBidi"/>
          <w:i/>
          <w:iCs/>
          <w:color w:val="000000" w:themeColor="text1"/>
        </w:rPr>
        <w:t>“</w:t>
      </w:r>
      <w:r w:rsidRPr="004F09AB">
        <w:rPr>
          <w:rFonts w:asciiTheme="majorBidi" w:hAnsiTheme="majorBidi" w:cstheme="majorBidi"/>
          <w:i/>
          <w:iCs/>
          <w:color w:val="000000" w:themeColor="text1"/>
        </w:rPr>
        <w:t xml:space="preserve">su </w:t>
      </w:r>
      <w:r w:rsidR="000C11D0" w:rsidRPr="004F09AB">
        <w:rPr>
          <w:rFonts w:asciiTheme="majorBidi" w:hAnsiTheme="majorBidi" w:cstheme="majorBidi"/>
          <w:i/>
          <w:iCs/>
          <w:color w:val="000000" w:themeColor="text1"/>
        </w:rPr>
        <w:t xml:space="preserve">profunda preocupación ante las alegaciones </w:t>
      </w:r>
      <w:r w:rsidR="000C11D0" w:rsidRPr="004F09AB">
        <w:rPr>
          <w:rFonts w:asciiTheme="majorBidi" w:hAnsiTheme="majorBidi" w:cstheme="majorBidi"/>
          <w:i/>
          <w:iCs/>
          <w:color w:val="000000" w:themeColor="text1"/>
        </w:rPr>
        <w:lastRenderedPageBreak/>
        <w:t>del acoso judicial y la criminalización del periodista independiente y defensor de los derechos humanos”</w:t>
      </w:r>
      <w:r w:rsidR="000C11D0" w:rsidRPr="004F09AB">
        <w:rPr>
          <w:rStyle w:val="Refdenotaalpie"/>
          <w:rFonts w:asciiTheme="majorBidi" w:hAnsiTheme="majorBidi"/>
          <w:i/>
          <w:iCs/>
          <w:color w:val="000000" w:themeColor="text1"/>
        </w:rPr>
        <w:footnoteReference w:id="51"/>
      </w:r>
    </w:p>
    <w:p w14:paraId="4914155D" w14:textId="26143360" w:rsidR="00933BE6" w:rsidRDefault="00933BE6" w:rsidP="008F4B2B">
      <w:pPr>
        <w:spacing w:after="240"/>
        <w:jc w:val="both"/>
        <w:rPr>
          <w:rFonts w:asciiTheme="majorBidi" w:hAnsiTheme="majorBidi" w:cstheme="majorBidi"/>
          <w:color w:val="000000" w:themeColor="text1"/>
        </w:rPr>
      </w:pPr>
      <w:r w:rsidRPr="009E2A0E">
        <w:rPr>
          <w:rFonts w:asciiTheme="majorBidi" w:hAnsiTheme="majorBidi" w:cstheme="majorBidi"/>
          <w:color w:val="000000" w:themeColor="text1"/>
        </w:rPr>
        <w:t>En consecuencia, la Red Rompe el miedo, reportó que tan solo de enero a julio de 2024 había registrado 34 agresiones a periodistas de los cuales el 30% corresponden a agresiones cometidas en contra de radios comunitarias.</w:t>
      </w:r>
      <w:r w:rsidRPr="009E2A0E">
        <w:rPr>
          <w:rStyle w:val="Refdenotaalpie"/>
          <w:rFonts w:asciiTheme="majorBidi" w:hAnsiTheme="majorBidi" w:cstheme="majorBidi"/>
          <w:color w:val="000000" w:themeColor="text1"/>
          <w:sz w:val="22"/>
        </w:rPr>
        <w:footnoteReference w:id="52"/>
      </w:r>
      <w:r w:rsidRPr="009E2A0E">
        <w:rPr>
          <w:rFonts w:asciiTheme="majorBidi" w:hAnsiTheme="majorBidi" w:cstheme="majorBidi"/>
          <w:color w:val="000000" w:themeColor="text1"/>
        </w:rPr>
        <w:t xml:space="preserve"> Por su parte la Oficina del Alto Comisionado de Naciones Unidas para los Derechos Humanos document</w:t>
      </w:r>
      <w:r w:rsidR="00A238AA" w:rsidRPr="009E2A0E">
        <w:rPr>
          <w:rFonts w:asciiTheme="majorBidi" w:hAnsiTheme="majorBidi" w:cstheme="majorBidi"/>
          <w:color w:val="000000" w:themeColor="text1"/>
        </w:rPr>
        <w:t>ó</w:t>
      </w:r>
      <w:r w:rsidRPr="009E2A0E">
        <w:rPr>
          <w:rFonts w:asciiTheme="majorBidi" w:hAnsiTheme="majorBidi" w:cstheme="majorBidi"/>
          <w:color w:val="000000" w:themeColor="text1"/>
        </w:rPr>
        <w:t xml:space="preserve"> en el mismo año, 47 casos de violaciones a los derechos a la libertad de expresión y al acceso a la información contra periodistas, medios de comunicación y comunicadoras y comunicadores comunitarios.</w:t>
      </w:r>
    </w:p>
    <w:p w14:paraId="68F55862" w14:textId="3B686485" w:rsidR="00715CE4" w:rsidRDefault="00715CE4" w:rsidP="00715CE4">
      <w:pPr>
        <w:spacing w:after="240"/>
        <w:jc w:val="both"/>
        <w:rPr>
          <w:rFonts w:asciiTheme="majorBidi" w:hAnsiTheme="majorBidi" w:cstheme="majorBidi"/>
          <w:color w:val="000000" w:themeColor="text1"/>
        </w:rPr>
      </w:pPr>
      <w:r>
        <w:rPr>
          <w:rFonts w:asciiTheme="majorBidi" w:hAnsiTheme="majorBidi" w:cstheme="majorBidi"/>
          <w:color w:val="000000" w:themeColor="text1"/>
        </w:rPr>
        <w:t xml:space="preserve">Por su parte la, </w:t>
      </w:r>
      <w:r w:rsidRPr="00FE77FB">
        <w:rPr>
          <w:rFonts w:asciiTheme="majorBidi" w:hAnsiTheme="majorBidi" w:cstheme="majorBidi"/>
          <w:color w:val="000000" w:themeColor="text1"/>
        </w:rPr>
        <w:t>Comisión Interamericana de Derechos Humanos reconoció en su Informe Preliminar de la Visita In Loco realizada en el año 2024, la existencia de criminalización hacia periodistas, personas defensoras de derechos humanos, entre otros con el fin de “</w:t>
      </w:r>
      <w:r w:rsidRPr="00FE77FB">
        <w:rPr>
          <w:rFonts w:asciiTheme="majorBidi" w:hAnsiTheme="majorBidi" w:cstheme="majorBidi"/>
          <w:i/>
          <w:iCs/>
          <w:color w:val="000000" w:themeColor="text1"/>
        </w:rPr>
        <w:t xml:space="preserve">perseguir, intimidar y castigar a quienes ejercen legítimamente los derechos que hacen parte del espacio cívico y democrático como, como la libertad de expresión </w:t>
      </w:r>
      <w:r w:rsidRPr="00FE77FB">
        <w:rPr>
          <w:rFonts w:asciiTheme="majorBidi" w:hAnsiTheme="majorBidi" w:cstheme="majorBidi"/>
          <w:color w:val="000000" w:themeColor="text1"/>
        </w:rPr>
        <w:t>(…)</w:t>
      </w:r>
      <w:r w:rsidRPr="00FE77FB">
        <w:rPr>
          <w:rFonts w:asciiTheme="majorBidi" w:hAnsiTheme="majorBidi" w:cstheme="majorBidi"/>
          <w:i/>
          <w:iCs/>
          <w:color w:val="000000" w:themeColor="text1"/>
        </w:rPr>
        <w:t>.</w:t>
      </w:r>
      <w:r w:rsidRPr="00FE77FB">
        <w:rPr>
          <w:rFonts w:asciiTheme="majorBidi" w:hAnsiTheme="majorBidi" w:cstheme="majorBidi"/>
          <w:color w:val="000000" w:themeColor="text1"/>
        </w:rPr>
        <w:t>”</w:t>
      </w:r>
      <w:r w:rsidRPr="00FE77FB">
        <w:rPr>
          <w:rFonts w:asciiTheme="majorBidi" w:hAnsiTheme="majorBidi" w:cstheme="majorBidi"/>
          <w:color w:val="000000" w:themeColor="text1"/>
          <w:vertAlign w:val="superscript"/>
        </w:rPr>
        <w:footnoteReference w:id="53"/>
      </w:r>
      <w:r w:rsidRPr="00FE77FB">
        <w:rPr>
          <w:rFonts w:asciiTheme="majorBidi" w:hAnsiTheme="majorBidi" w:cstheme="majorBidi"/>
          <w:color w:val="000000" w:themeColor="text1"/>
        </w:rPr>
        <w:t xml:space="preserve"> De esa cuenta, también observó que las radios indígenas y periodistas comunitarios se encuentran con graves obstáculos para ejercer su labor, sobre todo “</w:t>
      </w:r>
      <w:r w:rsidRPr="00FE77FB">
        <w:rPr>
          <w:rFonts w:asciiTheme="majorBidi" w:hAnsiTheme="majorBidi" w:cstheme="majorBidi"/>
          <w:i/>
          <w:iCs/>
          <w:color w:val="000000" w:themeColor="text1"/>
        </w:rPr>
        <w:t>aquellos que cubren temas como la degradación ambiental en territorios ancestrales a raíz de monocultivos y la minería, el desalojo de comunidades, la falta de asistencia humanitaria para personas desplazadas y el uso excesivo de la fuerza pública en manifestaciones sociales, y las economías ilegales</w:t>
      </w:r>
      <w:r w:rsidRPr="00FE77FB">
        <w:rPr>
          <w:rFonts w:asciiTheme="majorBidi" w:hAnsiTheme="majorBidi" w:cstheme="majorBidi"/>
          <w:color w:val="000000" w:themeColor="text1"/>
        </w:rPr>
        <w:t>.”</w:t>
      </w:r>
      <w:r w:rsidRPr="00FE77FB">
        <w:rPr>
          <w:rFonts w:asciiTheme="majorBidi" w:hAnsiTheme="majorBidi" w:cstheme="majorBidi"/>
          <w:color w:val="000000" w:themeColor="text1"/>
          <w:vertAlign w:val="superscript"/>
        </w:rPr>
        <w:footnoteReference w:id="54"/>
      </w:r>
      <w:r w:rsidRPr="00FE77FB">
        <w:rPr>
          <w:rFonts w:asciiTheme="majorBidi" w:hAnsiTheme="majorBidi" w:cstheme="majorBidi"/>
          <w:color w:val="000000" w:themeColor="text1"/>
        </w:rPr>
        <w:t>Todo ello ha provocado el temor, así como la autocensura de los medios de comunicación, en especial a los medios comunitarios e indígenas.</w:t>
      </w:r>
    </w:p>
    <w:p w14:paraId="54A42C3D" w14:textId="330F9B74" w:rsidR="0080713B" w:rsidRPr="0080713B" w:rsidRDefault="0080713B" w:rsidP="0080713B">
      <w:pPr>
        <w:pStyle w:val="Prrafodelista"/>
        <w:numPr>
          <w:ilvl w:val="2"/>
          <w:numId w:val="7"/>
        </w:numPr>
        <w:spacing w:before="240" w:after="240" w:line="240" w:lineRule="auto"/>
        <w:jc w:val="both"/>
        <w:outlineLvl w:val="2"/>
        <w:rPr>
          <w:rFonts w:asciiTheme="majorBidi" w:eastAsia="Times New Roman" w:hAnsiTheme="majorBidi" w:cstheme="majorBidi"/>
          <w:b/>
          <w:bCs/>
          <w:color w:val="000000" w:themeColor="text1"/>
        </w:rPr>
      </w:pPr>
      <w:bookmarkStart w:id="16" w:name="_Toc204264039"/>
      <w:r>
        <w:rPr>
          <w:rFonts w:asciiTheme="majorBidi" w:eastAsia="Times New Roman" w:hAnsiTheme="majorBidi" w:cstheme="majorBidi"/>
          <w:b/>
          <w:bCs/>
          <w:color w:val="000000" w:themeColor="text1"/>
        </w:rPr>
        <w:t>Situación de mujeres</w:t>
      </w:r>
      <w:r w:rsidRPr="0080713B">
        <w:rPr>
          <w:rFonts w:asciiTheme="majorBidi" w:eastAsia="Times New Roman" w:hAnsiTheme="majorBidi" w:cstheme="majorBidi"/>
          <w:b/>
          <w:bCs/>
          <w:color w:val="000000" w:themeColor="text1"/>
        </w:rPr>
        <w:t xml:space="preserve"> comunicadoras indígenas</w:t>
      </w:r>
      <w:bookmarkEnd w:id="16"/>
    </w:p>
    <w:p w14:paraId="3941F44E" w14:textId="77777777" w:rsidR="0080713B" w:rsidRDefault="0080713B" w:rsidP="0080713B">
      <w:pPr>
        <w:spacing w:after="240"/>
        <w:jc w:val="both"/>
        <w:rPr>
          <w:rFonts w:asciiTheme="majorBidi" w:eastAsia="Times New Roman" w:hAnsiTheme="majorBidi" w:cstheme="majorBidi"/>
          <w:color w:val="000000" w:themeColor="text1"/>
        </w:rPr>
      </w:pPr>
      <w:r w:rsidRPr="0080713B">
        <w:rPr>
          <w:rFonts w:asciiTheme="majorBidi" w:eastAsia="Times New Roman" w:hAnsiTheme="majorBidi" w:cstheme="majorBidi"/>
          <w:color w:val="000000" w:themeColor="text1"/>
        </w:rPr>
        <w:t>Preocupa profundamente la situación de las comunicadoras indígenas en Guatemala, quienes enfrentan múltiples formas de discriminación interseccional por razones de género, etnicidad y clase social. Esta situación se ve agravada por la falta de reconocimiento legal a los medios de comunicación comunitarios, lo que deja a las comunicadoras en una situación de mayor vulnerabilidad y desprotección. La ausencia de un marco normativo que respalde su labor impide el pleno ejercicio de su derecho a la libertad de expresión y limita el acceso a mecanismos de protección, profundizando los riesgos que enfrentan por su rol informativo y de denuncia en los territorios.</w:t>
      </w:r>
    </w:p>
    <w:p w14:paraId="32462D80" w14:textId="77777777" w:rsidR="0080713B" w:rsidRPr="009E2A0E" w:rsidRDefault="0080713B" w:rsidP="0080713B">
      <w:pPr>
        <w:spacing w:after="240"/>
        <w:jc w:val="both"/>
        <w:rPr>
          <w:rFonts w:asciiTheme="majorBidi" w:eastAsia="Times New Roman" w:hAnsiTheme="majorBidi" w:cstheme="majorBidi"/>
          <w:color w:val="000000" w:themeColor="text1"/>
        </w:rPr>
      </w:pPr>
      <w:r w:rsidRPr="009E2A0E">
        <w:rPr>
          <w:rFonts w:asciiTheme="majorBidi" w:eastAsia="Times New Roman" w:hAnsiTheme="majorBidi" w:cstheme="majorBidi"/>
          <w:color w:val="000000" w:themeColor="text1"/>
        </w:rPr>
        <w:t xml:space="preserve">Un ejemplo alarmante ocurrió el 7 de junio de 2023, cuando dos comunicadoras de Radio Ixchel y Radio Juventud fueron objeto de trato diferenciado al intentar cubrir una audiencia judicial en el caso de la defensora de derechos humanos Nanci Sinto, a pesar de contar con identificación válida. Mientras otros periodistas accedieron sin mayores obstáculos, ellas fueron sometidas a revisiones adicionales y cuestionamientos, reflejando una situación de exclusión y racismo institucional hacia las mujeres indígenas que ejercen el periodismo comunitario. </w:t>
      </w:r>
    </w:p>
    <w:p w14:paraId="494C672F" w14:textId="77777777" w:rsidR="0080713B" w:rsidRPr="009E2A0E" w:rsidRDefault="0080713B" w:rsidP="0080713B">
      <w:pPr>
        <w:spacing w:after="240"/>
        <w:jc w:val="both"/>
        <w:rPr>
          <w:rFonts w:asciiTheme="majorBidi" w:eastAsia="Times New Roman" w:hAnsiTheme="majorBidi" w:cstheme="majorBidi"/>
          <w:color w:val="000000" w:themeColor="text1"/>
        </w:rPr>
      </w:pPr>
      <w:r w:rsidRPr="009E2A0E">
        <w:rPr>
          <w:rFonts w:asciiTheme="majorBidi" w:eastAsia="Times New Roman" w:hAnsiTheme="majorBidi" w:cstheme="majorBidi"/>
          <w:color w:val="000000" w:themeColor="text1"/>
        </w:rPr>
        <w:t xml:space="preserve">Estos patrones de discriminación se repiten de manera sistemática. Una comunicadora de la radio comunitaria La Niña, del municipio de Totonicapán, también ha denunciado haber sido objeto del </w:t>
      </w:r>
      <w:r w:rsidRPr="009E2A0E">
        <w:rPr>
          <w:rFonts w:asciiTheme="majorBidi" w:eastAsia="Times New Roman" w:hAnsiTheme="majorBidi" w:cstheme="majorBidi"/>
          <w:color w:val="000000" w:themeColor="text1"/>
        </w:rPr>
        <w:lastRenderedPageBreak/>
        <w:t xml:space="preserve">mismo tipo de tratos discriminatorios por parte del personal de seguridad de la Torre de Tribunales. Según su testimonio, se le negó el ingreso para ejercer su labor periodística, a pesar de estar debidamente identificada como comunicadora comunitaria. Estas acciones no solo vulneran su derecho a la libertad de expresión, sino que también evidencian una política discriminatoria que restringe el ejercicio del periodismo a las mujeres indígenas, especialmente cuando provienen de medios alternativos no reconocidos formalmente por el Estado. </w:t>
      </w:r>
    </w:p>
    <w:p w14:paraId="6EC52F5F" w14:textId="3F7E6F6C" w:rsidR="0080713B" w:rsidRPr="009E2A0E" w:rsidRDefault="0080713B" w:rsidP="007026A3">
      <w:pPr>
        <w:spacing w:after="240"/>
        <w:jc w:val="both"/>
        <w:rPr>
          <w:rFonts w:asciiTheme="majorBidi" w:eastAsia="Times New Roman" w:hAnsiTheme="majorBidi" w:cstheme="majorBidi"/>
          <w:color w:val="000000" w:themeColor="text1"/>
        </w:rPr>
      </w:pPr>
      <w:r w:rsidRPr="009E2A0E">
        <w:rPr>
          <w:rFonts w:asciiTheme="majorBidi" w:eastAsia="Times New Roman" w:hAnsiTheme="majorBidi" w:cstheme="majorBidi"/>
          <w:color w:val="000000" w:themeColor="text1"/>
        </w:rPr>
        <w:t>En su informe de 2024 la Red Rompe el miedo estableció que “</w:t>
      </w:r>
      <w:r w:rsidRPr="009E2A0E">
        <w:rPr>
          <w:rFonts w:asciiTheme="majorBidi" w:eastAsia="Times New Roman" w:hAnsiTheme="majorBidi" w:cstheme="majorBidi"/>
          <w:i/>
          <w:iCs/>
          <w:color w:val="000000" w:themeColor="text1"/>
        </w:rPr>
        <w:t>las mujeres mayas periodistas enfrentan una triple vulnerabilidad: son mujeres, indígenas, y periodistas, lo que las coloca en una situación especialmente riesgosa. Las agresiones hacia ellas a menudo combinan elementos de violencia de género con violencia estructural y racismo”</w:t>
      </w:r>
      <w:r w:rsidRPr="009E2A0E">
        <w:rPr>
          <w:rStyle w:val="Refdenotaalpie"/>
          <w:rFonts w:asciiTheme="majorBidi" w:eastAsia="Times New Roman" w:hAnsiTheme="majorBidi" w:cstheme="majorBidi"/>
          <w:color w:val="000000" w:themeColor="text1"/>
          <w:sz w:val="22"/>
        </w:rPr>
        <w:footnoteReference w:id="55"/>
      </w:r>
      <w:r w:rsidRPr="009E2A0E">
        <w:rPr>
          <w:rFonts w:asciiTheme="majorBidi" w:eastAsia="Times New Roman" w:hAnsiTheme="majorBidi" w:cstheme="majorBidi"/>
          <w:color w:val="000000" w:themeColor="text1"/>
        </w:rPr>
        <w:t>. En este sentido, documentaron que de las 20 agresiones cometidas contra mujeres periodistas 5 correspondían a agresiones contra las periodistas indígenas.</w:t>
      </w:r>
    </w:p>
    <w:p w14:paraId="22847710" w14:textId="110D8275" w:rsidR="00933BE6" w:rsidRPr="009E2A0E" w:rsidRDefault="00933BE6" w:rsidP="0080713B">
      <w:pPr>
        <w:pStyle w:val="Prrafodelista"/>
        <w:numPr>
          <w:ilvl w:val="2"/>
          <w:numId w:val="7"/>
        </w:numPr>
        <w:spacing w:after="240" w:line="240" w:lineRule="auto"/>
        <w:jc w:val="both"/>
        <w:outlineLvl w:val="2"/>
        <w:rPr>
          <w:rFonts w:asciiTheme="majorBidi" w:eastAsia="Times New Roman" w:hAnsiTheme="majorBidi" w:cstheme="majorBidi"/>
          <w:b/>
          <w:bCs/>
          <w:color w:val="000000" w:themeColor="text1"/>
        </w:rPr>
      </w:pPr>
      <w:bookmarkStart w:id="17" w:name="_Toc204264040"/>
      <w:r w:rsidRPr="009E2A0E">
        <w:rPr>
          <w:rFonts w:asciiTheme="majorBidi" w:eastAsia="Times New Roman" w:hAnsiTheme="majorBidi" w:cstheme="majorBidi"/>
          <w:b/>
          <w:bCs/>
          <w:color w:val="000000" w:themeColor="text1"/>
        </w:rPr>
        <w:t>Recomendaciones</w:t>
      </w:r>
      <w:r w:rsidR="008F4B2B" w:rsidRPr="009E2A0E">
        <w:rPr>
          <w:rFonts w:asciiTheme="majorBidi" w:eastAsia="Times New Roman" w:hAnsiTheme="majorBidi" w:cstheme="majorBidi"/>
          <w:b/>
          <w:bCs/>
          <w:color w:val="000000" w:themeColor="text1"/>
        </w:rPr>
        <w:t xml:space="preserve"> relacionadas al derecho de Libertad de Expresión</w:t>
      </w:r>
      <w:bookmarkEnd w:id="17"/>
    </w:p>
    <w:tbl>
      <w:tblPr>
        <w:tblStyle w:val="Tablaconcuadrcula"/>
        <w:tblW w:w="10632" w:type="dxa"/>
        <w:tblInd w:w="-998" w:type="dxa"/>
        <w:shd w:val="clear" w:color="auto" w:fill="FFF2CC" w:themeFill="accent4" w:themeFillTint="33"/>
        <w:tblLook w:val="04A0" w:firstRow="1" w:lastRow="0" w:firstColumn="1" w:lastColumn="0" w:noHBand="0" w:noVBand="1"/>
      </w:tblPr>
      <w:tblGrid>
        <w:gridCol w:w="10632"/>
      </w:tblGrid>
      <w:tr w:rsidR="006C0A9C" w:rsidRPr="009E2A0E" w14:paraId="1D937977" w14:textId="77777777" w:rsidTr="00C65C44">
        <w:tc>
          <w:tcPr>
            <w:tcW w:w="10632" w:type="dxa"/>
            <w:shd w:val="clear" w:color="auto" w:fill="FFF2CC" w:themeFill="accent4" w:themeFillTint="33"/>
          </w:tcPr>
          <w:p w14:paraId="2CE9BA0E" w14:textId="4919B6EB" w:rsidR="006C0A9C" w:rsidRPr="009E2A0E" w:rsidRDefault="006C0A9C" w:rsidP="00197C3D">
            <w:pPr>
              <w:pStyle w:val="Prrafodelista"/>
              <w:numPr>
                <w:ilvl w:val="0"/>
                <w:numId w:val="13"/>
              </w:numPr>
              <w:ind w:left="744"/>
              <w:jc w:val="both"/>
              <w:rPr>
                <w:rFonts w:asciiTheme="majorBidi" w:eastAsia="Times New Roman" w:hAnsiTheme="majorBidi" w:cstheme="majorBidi"/>
                <w:i/>
                <w:iCs/>
                <w:color w:val="000000" w:themeColor="text1"/>
              </w:rPr>
            </w:pPr>
            <w:r w:rsidRPr="009E2A0E">
              <w:rPr>
                <w:rFonts w:asciiTheme="majorBidi" w:eastAsia="Times New Roman" w:hAnsiTheme="majorBidi" w:cstheme="majorBidi"/>
                <w:i/>
                <w:iCs/>
                <w:color w:val="000000" w:themeColor="text1"/>
              </w:rPr>
              <w:t>Recomendar al Estado de Guatemala dar cumplimiento íntegro a la sentencia de la Corte Interamericana de Derechos Humanos, adecuando la normativa interna del país, en consulta con los Pueblos Indígenas, reconociendo el funcionamiento de las radios comunitarias Indígenas, reservando para ellas parte del espectro radioeléctrico y estableciendo un procedimiento sencillo y gratuito para la obtención de licencias para el uso del espectro radioeléctrico.</w:t>
            </w:r>
          </w:p>
        </w:tc>
      </w:tr>
      <w:tr w:rsidR="006C0A9C" w:rsidRPr="009E2A0E" w14:paraId="5D889AAF" w14:textId="77777777" w:rsidTr="00C65C44">
        <w:tc>
          <w:tcPr>
            <w:tcW w:w="10632" w:type="dxa"/>
            <w:shd w:val="clear" w:color="auto" w:fill="FFF2CC" w:themeFill="accent4" w:themeFillTint="33"/>
          </w:tcPr>
          <w:p w14:paraId="3DA77D8F" w14:textId="7B30D348" w:rsidR="006C0A9C" w:rsidRPr="009E2A0E" w:rsidRDefault="001142E1" w:rsidP="00C9583E">
            <w:pPr>
              <w:pStyle w:val="Prrafodelista"/>
              <w:numPr>
                <w:ilvl w:val="0"/>
                <w:numId w:val="13"/>
              </w:numPr>
              <w:ind w:left="744"/>
              <w:jc w:val="both"/>
              <w:rPr>
                <w:rFonts w:asciiTheme="majorBidi" w:eastAsia="Times New Roman" w:hAnsiTheme="majorBidi" w:cstheme="majorBidi"/>
                <w:i/>
                <w:iCs/>
                <w:color w:val="000000" w:themeColor="text1"/>
              </w:rPr>
            </w:pPr>
            <w:r w:rsidRPr="009E2A0E">
              <w:rPr>
                <w:rFonts w:asciiTheme="majorBidi" w:eastAsia="Times New Roman" w:hAnsiTheme="majorBidi" w:cstheme="majorBidi"/>
                <w:i/>
                <w:iCs/>
                <w:color w:val="000000" w:themeColor="text1"/>
              </w:rPr>
              <w:t>Recomendar especialmente al Estado de Guatemala que, a través del Ministerio de Comunicaciones Infraestructura y Vivienda, y la Superintendencia de Telecomunicaciones, realice un mapeo del espectro radioeléctrico de las frecuencias moduladas -FM-, para conocer a detalle la disponibilidad de frecuencias por departamento y municipio del país, con el fin de realizar la reserva para los medios de comunicación comunitaria ordenada en la sentencia</w:t>
            </w:r>
            <w:r w:rsidR="00C9583E">
              <w:rPr>
                <w:rFonts w:asciiTheme="majorBidi" w:eastAsia="Times New Roman" w:hAnsiTheme="majorBidi" w:cstheme="majorBidi"/>
                <w:i/>
                <w:iCs/>
                <w:color w:val="000000" w:themeColor="text1"/>
              </w:rPr>
              <w:t>.</w:t>
            </w:r>
          </w:p>
        </w:tc>
      </w:tr>
      <w:tr w:rsidR="006C0A9C" w:rsidRPr="009E2A0E" w14:paraId="46F5BBD5" w14:textId="77777777" w:rsidTr="00C65C44">
        <w:tc>
          <w:tcPr>
            <w:tcW w:w="10632" w:type="dxa"/>
            <w:shd w:val="clear" w:color="auto" w:fill="FFF2CC" w:themeFill="accent4" w:themeFillTint="33"/>
          </w:tcPr>
          <w:p w14:paraId="558413BA" w14:textId="085AE5D0" w:rsidR="006C0A9C" w:rsidRPr="009E2A0E" w:rsidRDefault="001142E1" w:rsidP="00197C3D">
            <w:pPr>
              <w:pStyle w:val="Prrafodelista"/>
              <w:numPr>
                <w:ilvl w:val="0"/>
                <w:numId w:val="13"/>
              </w:numPr>
              <w:ind w:left="744"/>
              <w:jc w:val="both"/>
              <w:rPr>
                <w:rFonts w:asciiTheme="majorBidi" w:eastAsia="Times New Roman" w:hAnsiTheme="majorBidi" w:cstheme="majorBidi"/>
                <w:i/>
                <w:iCs/>
                <w:color w:val="000000" w:themeColor="text1"/>
              </w:rPr>
            </w:pPr>
            <w:r w:rsidRPr="009E2A0E">
              <w:rPr>
                <w:rFonts w:asciiTheme="majorBidi" w:eastAsia="Times New Roman" w:hAnsiTheme="majorBidi" w:cstheme="majorBidi"/>
                <w:i/>
                <w:iCs/>
                <w:color w:val="000000" w:themeColor="text1"/>
              </w:rPr>
              <w:t>Recomendar al Ministerio Público el cese de la criminalización de las y los periodistas indígenas y de los comunicadores de las radios comunitarias. As</w:t>
            </w:r>
            <w:r w:rsidR="009A2753">
              <w:rPr>
                <w:rFonts w:asciiTheme="majorBidi" w:eastAsia="Times New Roman" w:hAnsiTheme="majorBidi" w:cstheme="majorBidi"/>
                <w:i/>
                <w:iCs/>
                <w:color w:val="000000" w:themeColor="text1"/>
              </w:rPr>
              <w:t>i</w:t>
            </w:r>
            <w:r w:rsidRPr="009E2A0E">
              <w:rPr>
                <w:rFonts w:asciiTheme="majorBidi" w:eastAsia="Times New Roman" w:hAnsiTheme="majorBidi" w:cstheme="majorBidi"/>
                <w:i/>
                <w:iCs/>
                <w:color w:val="000000" w:themeColor="text1"/>
              </w:rPr>
              <w:t xml:space="preserve">mismo, recomendar a los Magistrados de la Corte Suprema de Justicia, buscar la ruta legal idónea para cumplir con las obligaciones que les compete en el marco de la sentencia emitida por la Corte Interamericana de Derechos Humanos.  </w:t>
            </w:r>
          </w:p>
        </w:tc>
      </w:tr>
      <w:tr w:rsidR="006C0A9C" w:rsidRPr="009E2A0E" w14:paraId="481F684C" w14:textId="77777777" w:rsidTr="00C65C44">
        <w:tc>
          <w:tcPr>
            <w:tcW w:w="10632" w:type="dxa"/>
            <w:shd w:val="clear" w:color="auto" w:fill="FFF2CC" w:themeFill="accent4" w:themeFillTint="33"/>
          </w:tcPr>
          <w:p w14:paraId="5C33BE7B" w14:textId="4F7C55CE" w:rsidR="006C0A9C" w:rsidRPr="009E2A0E" w:rsidRDefault="001142E1" w:rsidP="00385C97">
            <w:pPr>
              <w:pStyle w:val="Prrafodelista"/>
              <w:numPr>
                <w:ilvl w:val="0"/>
                <w:numId w:val="13"/>
              </w:numPr>
              <w:ind w:left="744"/>
              <w:jc w:val="both"/>
              <w:rPr>
                <w:rFonts w:asciiTheme="majorBidi" w:eastAsia="Times New Roman" w:hAnsiTheme="majorBidi" w:cstheme="majorBidi"/>
                <w:i/>
                <w:iCs/>
                <w:color w:val="000000" w:themeColor="text1"/>
              </w:rPr>
            </w:pPr>
            <w:r w:rsidRPr="009E2A0E">
              <w:rPr>
                <w:rFonts w:asciiTheme="majorBidi" w:eastAsia="Times New Roman" w:hAnsiTheme="majorBidi" w:cstheme="majorBidi"/>
                <w:i/>
                <w:iCs/>
                <w:color w:val="000000" w:themeColor="text1"/>
              </w:rPr>
              <w:t xml:space="preserve">Recomendar al Estado de Guatemala, adoptar políticas públicas para proteger los derechos y la libertad de las y los </w:t>
            </w:r>
            <w:r w:rsidR="000C5107">
              <w:rPr>
                <w:rFonts w:asciiTheme="majorBidi" w:eastAsia="Times New Roman" w:hAnsiTheme="majorBidi" w:cstheme="majorBidi"/>
                <w:i/>
                <w:iCs/>
                <w:color w:val="000000" w:themeColor="text1"/>
              </w:rPr>
              <w:t xml:space="preserve">comunicadores y </w:t>
            </w:r>
            <w:r w:rsidRPr="009E2A0E">
              <w:rPr>
                <w:rFonts w:asciiTheme="majorBidi" w:eastAsia="Times New Roman" w:hAnsiTheme="majorBidi" w:cstheme="majorBidi"/>
                <w:i/>
                <w:iCs/>
                <w:color w:val="000000" w:themeColor="text1"/>
              </w:rPr>
              <w:t>periodistas</w:t>
            </w:r>
            <w:r w:rsidR="000C5107">
              <w:rPr>
                <w:rFonts w:asciiTheme="majorBidi" w:eastAsia="Times New Roman" w:hAnsiTheme="majorBidi" w:cstheme="majorBidi"/>
                <w:i/>
                <w:iCs/>
                <w:color w:val="000000" w:themeColor="text1"/>
              </w:rPr>
              <w:t xml:space="preserve"> comunitarios</w:t>
            </w:r>
            <w:r w:rsidRPr="009E2A0E">
              <w:rPr>
                <w:rFonts w:asciiTheme="majorBidi" w:eastAsia="Times New Roman" w:hAnsiTheme="majorBidi" w:cstheme="majorBidi"/>
                <w:i/>
                <w:iCs/>
                <w:color w:val="000000" w:themeColor="text1"/>
              </w:rPr>
              <w:t>, tomando medidas especiales de protección para aquellos que pertenezca a los medios de comunicación comunitaria e indígenas</w:t>
            </w:r>
            <w:r w:rsidR="00385C97">
              <w:rPr>
                <w:rFonts w:asciiTheme="majorBidi" w:eastAsia="Times New Roman" w:hAnsiTheme="majorBidi" w:cstheme="majorBidi"/>
                <w:i/>
                <w:iCs/>
                <w:color w:val="000000" w:themeColor="text1"/>
              </w:rPr>
              <w:t xml:space="preserve">, </w:t>
            </w:r>
            <w:r w:rsidR="00385C97" w:rsidRPr="00385C97">
              <w:rPr>
                <w:rFonts w:asciiTheme="majorBidi" w:eastAsia="Times New Roman" w:hAnsiTheme="majorBidi" w:cstheme="majorBidi"/>
                <w:i/>
                <w:iCs/>
                <w:color w:val="000000" w:themeColor="text1"/>
              </w:rPr>
              <w:t>y en especial a las y los periodistas y comunicadores jóvenes quienes se encuentran en mayor desprotección.</w:t>
            </w:r>
          </w:p>
        </w:tc>
      </w:tr>
      <w:tr w:rsidR="00563B94" w:rsidRPr="009E2A0E" w14:paraId="1F8946DF" w14:textId="77777777" w:rsidTr="00C65C44">
        <w:tc>
          <w:tcPr>
            <w:tcW w:w="10632" w:type="dxa"/>
            <w:shd w:val="clear" w:color="auto" w:fill="FFF2CC" w:themeFill="accent4" w:themeFillTint="33"/>
          </w:tcPr>
          <w:p w14:paraId="33C4CA15" w14:textId="1BFDFEA8" w:rsidR="00563B94" w:rsidRPr="009E2A0E" w:rsidRDefault="00563B94" w:rsidP="00563B94">
            <w:pPr>
              <w:pStyle w:val="Prrafodelista"/>
              <w:numPr>
                <w:ilvl w:val="0"/>
                <w:numId w:val="13"/>
              </w:numPr>
              <w:ind w:left="744"/>
              <w:jc w:val="both"/>
              <w:rPr>
                <w:rFonts w:asciiTheme="majorBidi" w:eastAsia="Times New Roman" w:hAnsiTheme="majorBidi" w:cstheme="majorBidi"/>
                <w:i/>
                <w:iCs/>
                <w:color w:val="000000" w:themeColor="text1"/>
              </w:rPr>
            </w:pPr>
            <w:r>
              <w:rPr>
                <w:rFonts w:asciiTheme="majorBidi" w:eastAsia="Times New Roman" w:hAnsiTheme="majorBidi" w:cstheme="majorBidi"/>
                <w:i/>
                <w:iCs/>
                <w:color w:val="000000" w:themeColor="text1"/>
              </w:rPr>
              <w:t>A</w:t>
            </w:r>
            <w:r w:rsidRPr="00563B94">
              <w:rPr>
                <w:rFonts w:asciiTheme="majorBidi" w:eastAsia="Times New Roman" w:hAnsiTheme="majorBidi" w:cstheme="majorBidi"/>
                <w:i/>
                <w:iCs/>
                <w:color w:val="000000" w:themeColor="text1"/>
              </w:rPr>
              <w:t xml:space="preserve">doptar medidas urgentes para garantizar el respeto y protección del derecho a la libertad de expresión y de prensa de periodistas indígenas, y asegurar que el ejercicio del periodismo no sea criminalizado ni reducido injustamente a una forma de activismo político. En particular, </w:t>
            </w:r>
            <w:r w:rsidR="00415C84">
              <w:rPr>
                <w:rFonts w:asciiTheme="majorBidi" w:eastAsia="Times New Roman" w:hAnsiTheme="majorBidi" w:cstheme="majorBidi"/>
                <w:i/>
                <w:iCs/>
                <w:color w:val="000000" w:themeColor="text1"/>
              </w:rPr>
              <w:t xml:space="preserve">el Estado debe de </w:t>
            </w:r>
            <w:r w:rsidRPr="00563B94">
              <w:rPr>
                <w:rFonts w:asciiTheme="majorBidi" w:eastAsia="Times New Roman" w:hAnsiTheme="majorBidi" w:cstheme="majorBidi"/>
                <w:i/>
                <w:iCs/>
                <w:color w:val="000000" w:themeColor="text1"/>
              </w:rPr>
              <w:t xml:space="preserve">prevenir, investigar y sancionar toda forma de discriminación racial dentro del sistema de justicia, incluyendo expresiones estigmatizantes y prejuiciosas por parte de jueces o fiscales. </w:t>
            </w:r>
          </w:p>
        </w:tc>
      </w:tr>
      <w:tr w:rsidR="00415C84" w:rsidRPr="009E2A0E" w14:paraId="36FB9FEE" w14:textId="77777777" w:rsidTr="00C65C44">
        <w:tc>
          <w:tcPr>
            <w:tcW w:w="10632" w:type="dxa"/>
            <w:shd w:val="clear" w:color="auto" w:fill="FFF2CC" w:themeFill="accent4" w:themeFillTint="33"/>
          </w:tcPr>
          <w:p w14:paraId="1CE9234A" w14:textId="627A6CC6" w:rsidR="00415C84" w:rsidRDefault="00415C84" w:rsidP="00563B94">
            <w:pPr>
              <w:pStyle w:val="Prrafodelista"/>
              <w:numPr>
                <w:ilvl w:val="0"/>
                <w:numId w:val="13"/>
              </w:numPr>
              <w:ind w:left="744"/>
              <w:jc w:val="both"/>
              <w:rPr>
                <w:rFonts w:asciiTheme="majorBidi" w:eastAsia="Times New Roman" w:hAnsiTheme="majorBidi" w:cstheme="majorBidi"/>
                <w:i/>
                <w:iCs/>
                <w:color w:val="000000" w:themeColor="text1"/>
              </w:rPr>
            </w:pPr>
            <w:r>
              <w:rPr>
                <w:rFonts w:asciiTheme="majorBidi" w:eastAsia="Times New Roman" w:hAnsiTheme="majorBidi" w:cstheme="majorBidi"/>
                <w:i/>
                <w:iCs/>
                <w:color w:val="000000" w:themeColor="text1"/>
              </w:rPr>
              <w:t>G</w:t>
            </w:r>
            <w:r w:rsidRPr="00563B94">
              <w:rPr>
                <w:rFonts w:asciiTheme="majorBidi" w:eastAsia="Times New Roman" w:hAnsiTheme="majorBidi" w:cstheme="majorBidi"/>
                <w:i/>
                <w:iCs/>
                <w:color w:val="000000" w:themeColor="text1"/>
              </w:rPr>
              <w:t>arantizar el acceso a una justicia imparcial</w:t>
            </w:r>
            <w:r>
              <w:rPr>
                <w:rFonts w:asciiTheme="majorBidi" w:eastAsia="Times New Roman" w:hAnsiTheme="majorBidi" w:cstheme="majorBidi"/>
                <w:i/>
                <w:iCs/>
                <w:color w:val="000000" w:themeColor="text1"/>
              </w:rPr>
              <w:t xml:space="preserve"> y</w:t>
            </w:r>
            <w:r w:rsidRPr="00563B94">
              <w:rPr>
                <w:rFonts w:asciiTheme="majorBidi" w:eastAsia="Times New Roman" w:hAnsiTheme="majorBidi" w:cstheme="majorBidi"/>
                <w:i/>
                <w:iCs/>
                <w:color w:val="000000" w:themeColor="text1"/>
              </w:rPr>
              <w:t xml:space="preserve"> establecer mecanismos de supervisión judicial y formación obligatoria en derechos humanos, libertad de prensa y no discriminación para operadores de justicia, con enfoque étnico y cultural.</w:t>
            </w:r>
          </w:p>
        </w:tc>
      </w:tr>
    </w:tbl>
    <w:p w14:paraId="55FAEB61" w14:textId="6A638BE1" w:rsidR="00933BE6" w:rsidRPr="009E2A0E" w:rsidRDefault="00933BE6" w:rsidP="00276FB3">
      <w:pPr>
        <w:spacing w:after="0" w:line="240" w:lineRule="auto"/>
        <w:jc w:val="both"/>
        <w:rPr>
          <w:rFonts w:asciiTheme="majorBidi" w:eastAsia="Times New Roman" w:hAnsiTheme="majorBidi" w:cstheme="majorBidi"/>
          <w:color w:val="000000" w:themeColor="text1"/>
        </w:rPr>
      </w:pPr>
    </w:p>
    <w:p w14:paraId="0183EB8B" w14:textId="77777777" w:rsidR="00D048E0" w:rsidRPr="009E2A0E" w:rsidRDefault="00D048E0" w:rsidP="00197C3D">
      <w:pPr>
        <w:pStyle w:val="Prrafodelista"/>
        <w:numPr>
          <w:ilvl w:val="1"/>
          <w:numId w:val="9"/>
        </w:numPr>
        <w:rPr>
          <w:rFonts w:asciiTheme="majorBidi" w:hAnsiTheme="majorBidi" w:cstheme="majorBidi"/>
          <w:color w:val="000000" w:themeColor="text1"/>
          <w:lang w:val="es-MX"/>
        </w:rPr>
        <w:sectPr w:rsidR="00D048E0" w:rsidRPr="009E2A0E">
          <w:pgSz w:w="12240" w:h="15840"/>
          <w:pgMar w:top="1417" w:right="1701" w:bottom="1417" w:left="1701" w:header="708" w:footer="708" w:gutter="0"/>
          <w:cols w:space="708"/>
          <w:docGrid w:linePitch="360"/>
        </w:sectPr>
      </w:pPr>
    </w:p>
    <w:p w14:paraId="5165EAA0" w14:textId="20018AB1" w:rsidR="00296E20" w:rsidRPr="009E2A0E" w:rsidRDefault="00475E10" w:rsidP="0080713B">
      <w:pPr>
        <w:pStyle w:val="Prrafodelista"/>
        <w:numPr>
          <w:ilvl w:val="1"/>
          <w:numId w:val="7"/>
        </w:numPr>
        <w:outlineLvl w:val="1"/>
        <w:rPr>
          <w:rFonts w:asciiTheme="majorBidi" w:hAnsiTheme="majorBidi" w:cstheme="majorBidi"/>
          <w:b/>
          <w:bCs/>
          <w:color w:val="000000" w:themeColor="text1"/>
          <w:lang w:val="es-MX"/>
        </w:rPr>
      </w:pPr>
      <w:bookmarkStart w:id="18" w:name="_Toc204264041"/>
      <w:r w:rsidRPr="009E2A0E">
        <w:rPr>
          <w:rFonts w:asciiTheme="majorBidi" w:hAnsiTheme="majorBidi" w:cstheme="majorBidi"/>
          <w:b/>
          <w:bCs/>
          <w:color w:val="000000" w:themeColor="text1"/>
          <w:lang w:val="es-MX"/>
        </w:rPr>
        <w:lastRenderedPageBreak/>
        <w:t>Libertad de pensamiento, religión y creencia (</w:t>
      </w:r>
      <w:r w:rsidR="00993107">
        <w:rPr>
          <w:rFonts w:asciiTheme="majorBidi" w:hAnsiTheme="majorBidi" w:cstheme="majorBidi"/>
          <w:b/>
          <w:bCs/>
          <w:color w:val="000000" w:themeColor="text1"/>
          <w:lang w:val="es-MX"/>
        </w:rPr>
        <w:t>Pá</w:t>
      </w:r>
      <w:r w:rsidRPr="009E2A0E">
        <w:rPr>
          <w:rFonts w:asciiTheme="majorBidi" w:hAnsiTheme="majorBidi" w:cstheme="majorBidi"/>
          <w:b/>
          <w:bCs/>
          <w:color w:val="000000" w:themeColor="text1"/>
          <w:lang w:val="es-MX"/>
        </w:rPr>
        <w:t>rr. 14</w:t>
      </w:r>
      <w:r w:rsidR="00993107">
        <w:rPr>
          <w:rFonts w:asciiTheme="majorBidi" w:hAnsiTheme="majorBidi" w:cstheme="majorBidi"/>
          <w:b/>
          <w:bCs/>
          <w:color w:val="000000" w:themeColor="text1"/>
          <w:lang w:val="es-MX"/>
        </w:rPr>
        <w:t xml:space="preserve"> del Listado de Temas</w:t>
      </w:r>
      <w:r w:rsidRPr="009E2A0E">
        <w:rPr>
          <w:rFonts w:asciiTheme="majorBidi" w:hAnsiTheme="majorBidi" w:cstheme="majorBidi"/>
          <w:b/>
          <w:bCs/>
          <w:color w:val="000000" w:themeColor="text1"/>
          <w:lang w:val="es-MX"/>
        </w:rPr>
        <w:t>)</w:t>
      </w:r>
      <w:bookmarkEnd w:id="18"/>
    </w:p>
    <w:p w14:paraId="5DD361DA" w14:textId="1CE6931D" w:rsidR="00173BB9" w:rsidRPr="009E2A0E" w:rsidRDefault="00BD14F3" w:rsidP="00173BB9">
      <w:pPr>
        <w:jc w:val="both"/>
        <w:rPr>
          <w:rFonts w:asciiTheme="majorBidi" w:eastAsia="Calibri Light" w:hAnsiTheme="majorBidi" w:cstheme="majorBidi"/>
          <w:color w:val="000000" w:themeColor="text1"/>
        </w:rPr>
      </w:pPr>
      <w:r w:rsidRPr="009E2A0E">
        <w:rPr>
          <w:rFonts w:asciiTheme="majorBidi" w:eastAsia="Calibri Light" w:hAnsiTheme="majorBidi" w:cstheme="majorBidi"/>
          <w:color w:val="000000" w:themeColor="text1"/>
        </w:rPr>
        <w:t>Diversos instrumentos internacionales</w:t>
      </w:r>
      <w:r w:rsidR="00513C2A">
        <w:rPr>
          <w:rFonts w:asciiTheme="majorBidi" w:eastAsia="Calibri Light" w:hAnsiTheme="majorBidi"/>
          <w:color w:val="000000" w:themeColor="text1"/>
        </w:rPr>
        <w:t xml:space="preserve"> </w:t>
      </w:r>
      <w:r w:rsidRPr="009E2A0E">
        <w:rPr>
          <w:rFonts w:asciiTheme="majorBidi" w:eastAsia="Calibri Light" w:hAnsiTheme="majorBidi" w:cstheme="majorBidi"/>
          <w:color w:val="000000" w:themeColor="text1"/>
        </w:rPr>
        <w:t>hacen énfasis en la importancia del ejercicio de este derecho para los pueblos indígenas y que los mismos no esté sujetos a medidas coercitivas que puedan menoscabar su libertad. El ejercicio de este derecho ha llevado a autoridades indígenas entre ellos los ajq’ijab’</w:t>
      </w:r>
      <w:r w:rsidRPr="009E2A0E">
        <w:rPr>
          <w:rStyle w:val="Refdenotaalpie"/>
          <w:rFonts w:asciiTheme="majorBidi" w:eastAsia="Calibri Light" w:hAnsiTheme="majorBidi" w:cstheme="majorBidi"/>
          <w:color w:val="000000" w:themeColor="text1"/>
          <w:sz w:val="22"/>
        </w:rPr>
        <w:footnoteReference w:id="56"/>
      </w:r>
      <w:r w:rsidRPr="009E2A0E">
        <w:rPr>
          <w:rFonts w:asciiTheme="majorBidi" w:eastAsia="Calibri Light" w:hAnsiTheme="majorBidi" w:cstheme="majorBidi"/>
          <w:color w:val="000000" w:themeColor="text1"/>
        </w:rPr>
        <w:t xml:space="preserve"> a exigir al Estado de Guatemala atender lo establecido en los Acuerdos de paz, considerar su participación en las iniciativas referidas al patrimonio cultural en virtud de formar parte de la herencia directa de sus antepasados; informar, proteger y divulgar en los distintos idiomas de los pueblos indígenas, no mercantilizar el conocimiento de los pueblos, así mismo; que las piezas arqueológicas saqueadas o exportadas, sean regresadas al país al cuidado de los pueblos originarios.</w:t>
      </w:r>
    </w:p>
    <w:p w14:paraId="061B1A48" w14:textId="77777777" w:rsidR="00173BB9" w:rsidRPr="009E2A0E" w:rsidRDefault="00173BB9" w:rsidP="00173BB9">
      <w:pPr>
        <w:jc w:val="both"/>
        <w:rPr>
          <w:rFonts w:asciiTheme="majorBidi" w:hAnsiTheme="majorBidi" w:cstheme="majorBidi"/>
          <w:color w:val="000000" w:themeColor="text1"/>
        </w:rPr>
      </w:pPr>
      <w:r w:rsidRPr="009E2A0E">
        <w:rPr>
          <w:rFonts w:asciiTheme="majorBidi" w:hAnsiTheme="majorBidi" w:cstheme="majorBidi"/>
          <w:color w:val="000000" w:themeColor="text1"/>
        </w:rPr>
        <w:t xml:space="preserve">La libertad de religión tutelado en el artículo 36 de la Constitución Política de la República, establece el respeto a la religión en general, no determinando una preferencia por alguna. En principio debió quedar protegida de todo ataque de toda persona y del Estado, ninguna religión es más o menos que otra. </w:t>
      </w:r>
    </w:p>
    <w:p w14:paraId="68F2E92C" w14:textId="31124D54" w:rsidR="007A01B3" w:rsidRPr="009E2A0E" w:rsidRDefault="00D55EE4" w:rsidP="00D55EE4">
      <w:pPr>
        <w:jc w:val="both"/>
        <w:rPr>
          <w:rFonts w:asciiTheme="majorBidi" w:hAnsiTheme="majorBidi" w:cstheme="majorBidi"/>
          <w:color w:val="000000" w:themeColor="text1"/>
        </w:rPr>
      </w:pPr>
      <w:r>
        <w:rPr>
          <w:rFonts w:asciiTheme="majorBidi" w:hAnsiTheme="majorBidi" w:cstheme="majorBidi"/>
          <w:color w:val="000000" w:themeColor="text1"/>
        </w:rPr>
        <w:t xml:space="preserve">En </w:t>
      </w:r>
      <w:r w:rsidR="00173BB9" w:rsidRPr="009E2A0E">
        <w:rPr>
          <w:rFonts w:asciiTheme="majorBidi" w:hAnsiTheme="majorBidi" w:cstheme="majorBidi"/>
          <w:color w:val="000000" w:themeColor="text1"/>
        </w:rPr>
        <w:t>Guatemala es un país multirreligioso</w:t>
      </w:r>
      <w:r w:rsidR="00173BB9" w:rsidRPr="009E2A0E">
        <w:rPr>
          <w:rFonts w:asciiTheme="majorBidi" w:hAnsiTheme="majorBidi" w:cstheme="majorBidi"/>
          <w:color w:val="000000" w:themeColor="text1"/>
          <w:vertAlign w:val="superscript"/>
        </w:rPr>
        <w:footnoteReference w:id="57"/>
      </w:r>
      <w:r w:rsidR="00173BB9" w:rsidRPr="009E2A0E">
        <w:rPr>
          <w:rFonts w:asciiTheme="majorBidi" w:hAnsiTheme="majorBidi" w:cstheme="majorBidi"/>
          <w:color w:val="000000" w:themeColor="text1"/>
        </w:rPr>
        <w:t xml:space="preserve">, </w:t>
      </w:r>
      <w:r>
        <w:rPr>
          <w:rFonts w:asciiTheme="majorBidi" w:hAnsiTheme="majorBidi" w:cstheme="majorBidi"/>
          <w:color w:val="000000" w:themeColor="text1"/>
        </w:rPr>
        <w:t xml:space="preserve">y </w:t>
      </w:r>
      <w:r w:rsidR="00173BB9" w:rsidRPr="009E2A0E">
        <w:rPr>
          <w:rFonts w:asciiTheme="majorBidi" w:hAnsiTheme="majorBidi" w:cstheme="majorBidi"/>
          <w:color w:val="000000" w:themeColor="text1"/>
        </w:rPr>
        <w:t xml:space="preserve">multiétnico </w:t>
      </w:r>
      <w:r>
        <w:rPr>
          <w:rFonts w:asciiTheme="majorBidi" w:hAnsiTheme="majorBidi" w:cstheme="majorBidi"/>
          <w:color w:val="000000" w:themeColor="text1"/>
        </w:rPr>
        <w:t>donde los pueblos indígenas, principalmente</w:t>
      </w:r>
      <w:r w:rsidR="00173BB9" w:rsidRPr="009E2A0E">
        <w:rPr>
          <w:rFonts w:asciiTheme="majorBidi" w:hAnsiTheme="majorBidi" w:cstheme="majorBidi"/>
          <w:color w:val="000000" w:themeColor="text1"/>
        </w:rPr>
        <w:t xml:space="preserve"> maya, </w:t>
      </w:r>
      <w:r>
        <w:rPr>
          <w:rFonts w:asciiTheme="majorBidi" w:hAnsiTheme="majorBidi" w:cstheme="majorBidi"/>
          <w:color w:val="000000" w:themeColor="text1"/>
        </w:rPr>
        <w:t>practican sus propias formas de espiritualidad con base en su pensamiento y forma de vida, el cual forma parte del conjunto de derechos colectivos que les asiste</w:t>
      </w:r>
      <w:r w:rsidR="00173BB9" w:rsidRPr="009E2A0E">
        <w:rPr>
          <w:rFonts w:asciiTheme="majorBidi" w:hAnsiTheme="majorBidi" w:cstheme="majorBidi"/>
          <w:color w:val="000000" w:themeColor="text1"/>
        </w:rPr>
        <w:t xml:space="preserve">. </w:t>
      </w:r>
      <w:r>
        <w:rPr>
          <w:rFonts w:asciiTheme="majorBidi" w:hAnsiTheme="majorBidi" w:cstheme="majorBidi"/>
          <w:color w:val="000000" w:themeColor="text1"/>
        </w:rPr>
        <w:t>L</w:t>
      </w:r>
      <w:r w:rsidR="005A257A">
        <w:rPr>
          <w:rFonts w:asciiTheme="majorBidi" w:hAnsiTheme="majorBidi" w:cstheme="majorBidi"/>
          <w:color w:val="000000" w:themeColor="text1"/>
        </w:rPr>
        <w:t>a práctica</w:t>
      </w:r>
      <w:r w:rsidR="007A01B3" w:rsidRPr="009E2A0E">
        <w:rPr>
          <w:rFonts w:asciiTheme="majorBidi" w:hAnsiTheme="majorBidi" w:cstheme="majorBidi"/>
          <w:color w:val="000000" w:themeColor="text1"/>
        </w:rPr>
        <w:t xml:space="preserve"> de la espiritualidad maya</w:t>
      </w:r>
      <w:r>
        <w:rPr>
          <w:rFonts w:asciiTheme="majorBidi" w:hAnsiTheme="majorBidi" w:cstheme="majorBidi"/>
          <w:color w:val="000000" w:themeColor="text1"/>
        </w:rPr>
        <w:t xml:space="preserve"> y el ejercicio </w:t>
      </w:r>
      <w:proofErr w:type="gramStart"/>
      <w:r>
        <w:rPr>
          <w:rFonts w:asciiTheme="majorBidi" w:hAnsiTheme="majorBidi" w:cstheme="majorBidi"/>
          <w:color w:val="000000" w:themeColor="text1"/>
        </w:rPr>
        <w:t>del mismo</w:t>
      </w:r>
      <w:proofErr w:type="gramEnd"/>
      <w:r>
        <w:rPr>
          <w:rFonts w:asciiTheme="majorBidi" w:hAnsiTheme="majorBidi" w:cstheme="majorBidi"/>
          <w:color w:val="000000" w:themeColor="text1"/>
        </w:rPr>
        <w:t xml:space="preserve"> por los Ajq’ijab’</w:t>
      </w:r>
      <w:r w:rsidR="007A01B3" w:rsidRPr="009E2A0E">
        <w:rPr>
          <w:rFonts w:asciiTheme="majorBidi" w:hAnsiTheme="majorBidi" w:cstheme="majorBidi"/>
          <w:color w:val="000000" w:themeColor="text1"/>
        </w:rPr>
        <w:t xml:space="preserve"> es un </w:t>
      </w:r>
      <w:r w:rsidR="007A01B3" w:rsidRPr="009E2A0E">
        <w:rPr>
          <w:rFonts w:asciiTheme="majorBidi" w:hAnsiTheme="majorBidi" w:cstheme="majorBidi"/>
          <w:b/>
          <w:bCs/>
          <w:color w:val="000000" w:themeColor="text1"/>
        </w:rPr>
        <w:t>derecho fundamental</w:t>
      </w:r>
      <w:r w:rsidR="007A01B3" w:rsidRPr="009E2A0E">
        <w:rPr>
          <w:rFonts w:asciiTheme="majorBidi" w:hAnsiTheme="majorBidi" w:cstheme="majorBidi"/>
          <w:color w:val="000000" w:themeColor="text1"/>
        </w:rPr>
        <w:t xml:space="preserve"> que debe ser plenamente </w:t>
      </w:r>
      <w:r w:rsidR="007A01B3" w:rsidRPr="009E2A0E">
        <w:rPr>
          <w:rFonts w:asciiTheme="majorBidi" w:hAnsiTheme="majorBidi" w:cstheme="majorBidi"/>
          <w:b/>
          <w:bCs/>
          <w:color w:val="000000" w:themeColor="text1"/>
        </w:rPr>
        <w:t>respetado, reconocido, practicado y protegido</w:t>
      </w:r>
      <w:r w:rsidR="007A01B3" w:rsidRPr="009E2A0E">
        <w:rPr>
          <w:rFonts w:asciiTheme="majorBidi" w:hAnsiTheme="majorBidi" w:cstheme="majorBidi"/>
          <w:color w:val="000000" w:themeColor="text1"/>
        </w:rPr>
        <w:t>, en igualdad de condiciones frente a cualquier otra manifestación religiosa. Negar o dificultar su libre ejercicio constituye una forma de discriminación que atenta contra la identidad cultural y los derechos colectivos de los pueblos indígenas.</w:t>
      </w:r>
    </w:p>
    <w:p w14:paraId="71C5BECF" w14:textId="67FFDD22" w:rsidR="00B74CF5" w:rsidRPr="009E2A0E" w:rsidRDefault="00B74CF5" w:rsidP="0080713B">
      <w:pPr>
        <w:pStyle w:val="Prrafodelista"/>
        <w:numPr>
          <w:ilvl w:val="2"/>
          <w:numId w:val="7"/>
        </w:numPr>
        <w:jc w:val="both"/>
        <w:outlineLvl w:val="2"/>
        <w:rPr>
          <w:rFonts w:asciiTheme="majorBidi" w:hAnsiTheme="majorBidi" w:cstheme="majorBidi"/>
          <w:b/>
          <w:bCs/>
          <w:color w:val="000000" w:themeColor="text1"/>
        </w:rPr>
      </w:pPr>
      <w:bookmarkStart w:id="19" w:name="_Toc204264042"/>
      <w:r w:rsidRPr="009E2A0E">
        <w:rPr>
          <w:rFonts w:asciiTheme="majorBidi" w:hAnsiTheme="majorBidi" w:cstheme="majorBidi"/>
          <w:b/>
          <w:bCs/>
          <w:color w:val="000000" w:themeColor="text1"/>
        </w:rPr>
        <w:t>Uso de lugares sagrados:</w:t>
      </w:r>
      <w:bookmarkEnd w:id="19"/>
    </w:p>
    <w:p w14:paraId="1BAE027F" w14:textId="77777777" w:rsidR="00B74CF5" w:rsidRPr="009E2A0E" w:rsidRDefault="00B74CF5" w:rsidP="00B74CF5">
      <w:pPr>
        <w:jc w:val="both"/>
        <w:rPr>
          <w:rFonts w:asciiTheme="majorBidi" w:hAnsiTheme="majorBidi" w:cstheme="majorBidi"/>
          <w:color w:val="000000" w:themeColor="text1"/>
        </w:rPr>
      </w:pPr>
      <w:r w:rsidRPr="009E2A0E">
        <w:rPr>
          <w:rFonts w:asciiTheme="majorBidi" w:hAnsiTheme="majorBidi" w:cstheme="majorBidi"/>
          <w:color w:val="000000" w:themeColor="text1"/>
        </w:rPr>
        <w:t xml:space="preserve">En Guatemala hay una negación de acceso a lugares sagrados (llamados sitios arqueológicos), especialmente para las comunidades indígenas, se atribuye muchas veces ese conflicto a un tema de protección del patrimonio cultural (por parte del Estado) ante la libertad de religión contemplada en el CPRG que garantiza a los pueblos originarios el ejercicio de las libertades de creencia. </w:t>
      </w:r>
    </w:p>
    <w:p w14:paraId="7DA2747C" w14:textId="2E72A52A" w:rsidR="00B74CF5" w:rsidRPr="009E2A0E" w:rsidRDefault="00B74CF5" w:rsidP="00B74CF5">
      <w:pPr>
        <w:jc w:val="both"/>
        <w:rPr>
          <w:rFonts w:asciiTheme="majorBidi" w:hAnsiTheme="majorBidi" w:cstheme="majorBidi"/>
          <w:color w:val="000000" w:themeColor="text1"/>
        </w:rPr>
      </w:pPr>
      <w:r w:rsidRPr="009E2A0E">
        <w:rPr>
          <w:rFonts w:asciiTheme="majorBidi" w:hAnsiTheme="majorBidi" w:cstheme="majorBidi"/>
          <w:color w:val="000000" w:themeColor="text1"/>
        </w:rPr>
        <w:t xml:space="preserve">Actualmente no se cuenta con una normativa específica que regule y garantice la libertad de religión, de culto, o de creencia,  por lo tanto no existe una </w:t>
      </w:r>
      <w:r w:rsidR="00B13D69" w:rsidRPr="009E2A0E">
        <w:rPr>
          <w:rFonts w:asciiTheme="majorBidi" w:hAnsiTheme="majorBidi" w:cstheme="majorBidi"/>
          <w:color w:val="000000" w:themeColor="text1"/>
        </w:rPr>
        <w:t>determinación</w:t>
      </w:r>
      <w:r w:rsidRPr="009E2A0E">
        <w:rPr>
          <w:rFonts w:asciiTheme="majorBidi" w:hAnsiTheme="majorBidi" w:cstheme="majorBidi"/>
          <w:color w:val="000000" w:themeColor="text1"/>
        </w:rPr>
        <w:t xml:space="preserve"> de los limites o de la </w:t>
      </w:r>
      <w:r w:rsidR="00B13D69" w:rsidRPr="009E2A0E">
        <w:rPr>
          <w:rFonts w:asciiTheme="majorBidi" w:hAnsiTheme="majorBidi" w:cstheme="majorBidi"/>
          <w:color w:val="000000" w:themeColor="text1"/>
        </w:rPr>
        <w:t>protección</w:t>
      </w:r>
      <w:r w:rsidRPr="009E2A0E">
        <w:rPr>
          <w:rFonts w:asciiTheme="majorBidi" w:hAnsiTheme="majorBidi" w:cstheme="majorBidi"/>
          <w:color w:val="000000" w:themeColor="text1"/>
        </w:rPr>
        <w:t xml:space="preserve"> de lugares sagrados que en la actualidad ascienden a 2,724, inclusive su misma denominación, muchas veces cuando se habla de lugares sagrados que tienen la categoría de patrimonio cultural, las cuotas de ingreso a esos sitios “arqueológicos”, son altos  por lo que se vuelve </w:t>
      </w:r>
      <w:r w:rsidR="00B13D69" w:rsidRPr="009E2A0E">
        <w:rPr>
          <w:rFonts w:asciiTheme="majorBidi" w:hAnsiTheme="majorBidi" w:cstheme="majorBidi"/>
          <w:color w:val="000000" w:themeColor="text1"/>
        </w:rPr>
        <w:t>difícil</w:t>
      </w:r>
      <w:r w:rsidRPr="009E2A0E">
        <w:rPr>
          <w:rFonts w:asciiTheme="majorBidi" w:hAnsiTheme="majorBidi" w:cstheme="majorBidi"/>
          <w:color w:val="000000" w:themeColor="text1"/>
        </w:rPr>
        <w:t xml:space="preserve"> el acceso a los mismos para las comunidades indígenas. </w:t>
      </w:r>
      <w:r w:rsidRPr="009E2A0E">
        <w:rPr>
          <w:rFonts w:asciiTheme="majorBidi" w:hAnsiTheme="majorBidi" w:cstheme="majorBidi"/>
          <w:color w:val="000000" w:themeColor="text1"/>
          <w:vertAlign w:val="superscript"/>
        </w:rPr>
        <w:footnoteReference w:id="58"/>
      </w:r>
    </w:p>
    <w:p w14:paraId="5C5BBBA5" w14:textId="77777777" w:rsidR="00B74CF5" w:rsidRPr="009E2A0E" w:rsidRDefault="00B74CF5" w:rsidP="00B74CF5">
      <w:pPr>
        <w:jc w:val="both"/>
        <w:rPr>
          <w:rFonts w:asciiTheme="majorBidi" w:hAnsiTheme="majorBidi" w:cstheme="majorBidi"/>
          <w:color w:val="000000" w:themeColor="text1"/>
        </w:rPr>
      </w:pPr>
      <w:r w:rsidRPr="009E2A0E">
        <w:rPr>
          <w:rFonts w:asciiTheme="majorBidi" w:hAnsiTheme="majorBidi" w:cstheme="majorBidi"/>
          <w:color w:val="000000" w:themeColor="text1"/>
        </w:rPr>
        <w:t xml:space="preserve">Esta </w:t>
      </w:r>
      <w:proofErr w:type="gramStart"/>
      <w:r w:rsidRPr="009E2A0E">
        <w:rPr>
          <w:rFonts w:asciiTheme="majorBidi" w:hAnsiTheme="majorBidi" w:cstheme="majorBidi"/>
          <w:color w:val="000000" w:themeColor="text1"/>
        </w:rPr>
        <w:t>situación,  trae</w:t>
      </w:r>
      <w:proofErr w:type="gramEnd"/>
      <w:r w:rsidRPr="009E2A0E">
        <w:rPr>
          <w:rFonts w:asciiTheme="majorBidi" w:hAnsiTheme="majorBidi" w:cstheme="majorBidi"/>
          <w:color w:val="000000" w:themeColor="text1"/>
        </w:rPr>
        <w:t xml:space="preserve"> como consecuencia una restricción </w:t>
      </w:r>
      <w:proofErr w:type="gramStart"/>
      <w:r w:rsidRPr="009E2A0E">
        <w:rPr>
          <w:rFonts w:asciiTheme="majorBidi" w:hAnsiTheme="majorBidi" w:cstheme="majorBidi"/>
          <w:color w:val="000000" w:themeColor="text1"/>
        </w:rPr>
        <w:t>y  negación</w:t>
      </w:r>
      <w:proofErr w:type="gramEnd"/>
      <w:r w:rsidRPr="009E2A0E">
        <w:rPr>
          <w:rFonts w:asciiTheme="majorBidi" w:hAnsiTheme="majorBidi" w:cstheme="majorBidi"/>
          <w:color w:val="000000" w:themeColor="text1"/>
        </w:rPr>
        <w:t xml:space="preserve"> a la libertad de culto, religión o creencia, afectando la cosmovisión de las poblaciones indígenas y el derecho de consulta libre, previa e informada para decidir sobre sus lugares sagrados.</w:t>
      </w:r>
    </w:p>
    <w:p w14:paraId="208A6759" w14:textId="66D7B1FC" w:rsidR="00B74CF5" w:rsidRPr="009E2A0E" w:rsidRDefault="00CF7BBD" w:rsidP="006C5AC6">
      <w:pPr>
        <w:jc w:val="both"/>
        <w:rPr>
          <w:rFonts w:asciiTheme="majorBidi" w:hAnsiTheme="majorBidi" w:cstheme="majorBidi"/>
          <w:color w:val="000000" w:themeColor="text1"/>
        </w:rPr>
      </w:pPr>
      <w:r w:rsidRPr="00CF7BBD">
        <w:rPr>
          <w:rFonts w:asciiTheme="majorBidi" w:hAnsiTheme="majorBidi" w:cstheme="majorBidi"/>
          <w:color w:val="000000" w:themeColor="text1"/>
        </w:rPr>
        <w:t xml:space="preserve">El 26 de mayo de 2022, el Gobierno de Guatemala realizó un acto público en el que entregó 50 acreditaciones a sacerdotes mayas con el argumento de “promover la libertad de culto” y “garantizar </w:t>
      </w:r>
      <w:r w:rsidRPr="00CF7BBD">
        <w:rPr>
          <w:rFonts w:asciiTheme="majorBidi" w:hAnsiTheme="majorBidi" w:cstheme="majorBidi"/>
          <w:color w:val="000000" w:themeColor="text1"/>
        </w:rPr>
        <w:lastRenderedPageBreak/>
        <w:t>la práctica de la espiritualidad maya en recintos sagrados y sitios arqueológicos”. Sin embargo, esta acción representa una forma de coacción y control indebido sobre el ejercicio del derecho a la libertad de religión de los pueblos indígenas, ya que la espiritualidad maya no requiere de permisos ni acreditaciones gubernamentales para su práctica. Imponer un sistema de registro oficial contradice las formas propias de organización y reconocimiento de las autoridades espirituales indígenas (ajq’ijab’), y constituye una forma de discriminación institucional, especialmente en contextos de represión. En dicho evento, diversos guías espirituales expresaron su rechazo, ya que se reportaron casos en los que se negó el acceso a recintos sagrados y sitios arqueológicos a quienes no contaban con dicha acreditación. Este tipo de mecanismos estatales restringen la libertad de creencias, excluyen a guías que no forman parte de las organizaciones reconocidas por el Estado, y violentan el derecho de los pueblos indígenas a practicar y preservar sus formas de espiritualidad sin injerencias externas</w:t>
      </w:r>
      <w:r w:rsidR="00B74CF5" w:rsidRPr="009E2A0E">
        <w:rPr>
          <w:rFonts w:asciiTheme="majorBidi" w:hAnsiTheme="majorBidi" w:cstheme="majorBidi"/>
          <w:color w:val="000000" w:themeColor="text1"/>
        </w:rPr>
        <w:t>.</w:t>
      </w:r>
      <w:r w:rsidR="00B74CF5" w:rsidRPr="009E2A0E">
        <w:rPr>
          <w:rFonts w:asciiTheme="majorBidi" w:hAnsiTheme="majorBidi" w:cstheme="majorBidi"/>
          <w:color w:val="000000" w:themeColor="text1"/>
          <w:vertAlign w:val="superscript"/>
        </w:rPr>
        <w:footnoteReference w:id="59"/>
      </w:r>
    </w:p>
    <w:p w14:paraId="78AB7D7F" w14:textId="1B36A3FC" w:rsidR="00B74CF5" w:rsidRPr="009E2A0E" w:rsidRDefault="00B74CF5" w:rsidP="0080713B">
      <w:pPr>
        <w:pStyle w:val="Prrafodelista"/>
        <w:numPr>
          <w:ilvl w:val="2"/>
          <w:numId w:val="7"/>
        </w:numPr>
        <w:jc w:val="both"/>
        <w:outlineLvl w:val="2"/>
        <w:rPr>
          <w:rFonts w:asciiTheme="majorBidi" w:hAnsiTheme="majorBidi" w:cstheme="majorBidi"/>
          <w:b/>
          <w:bCs/>
          <w:color w:val="000000" w:themeColor="text1"/>
        </w:rPr>
      </w:pPr>
      <w:bookmarkStart w:id="20" w:name="_Toc204264043"/>
      <w:r w:rsidRPr="009E2A0E">
        <w:rPr>
          <w:rFonts w:asciiTheme="majorBidi" w:hAnsiTheme="majorBidi" w:cstheme="majorBidi"/>
          <w:b/>
          <w:bCs/>
          <w:color w:val="000000" w:themeColor="text1"/>
        </w:rPr>
        <w:t>Afectación de lugares sagrados</w:t>
      </w:r>
      <w:bookmarkEnd w:id="20"/>
    </w:p>
    <w:p w14:paraId="7FE6D30E" w14:textId="26539F34" w:rsidR="0017155D" w:rsidRPr="0017155D" w:rsidRDefault="0017155D" w:rsidP="0017155D">
      <w:pPr>
        <w:jc w:val="both"/>
        <w:rPr>
          <w:rFonts w:asciiTheme="majorBidi" w:hAnsiTheme="majorBidi" w:cstheme="majorBidi"/>
          <w:color w:val="000000" w:themeColor="text1"/>
        </w:rPr>
      </w:pPr>
      <w:r w:rsidRPr="0017155D">
        <w:rPr>
          <w:rFonts w:asciiTheme="majorBidi" w:hAnsiTheme="majorBidi" w:cstheme="majorBidi"/>
          <w:color w:val="000000" w:themeColor="text1"/>
        </w:rPr>
        <w:t>Los lugares sagrados utilizados para la práctica de la espiritualidad maya enfrentan múltiples amenazas que vulneran el derecho a la libertad de religión y creencias de los pueblos indígenas. Estos sitios, considerados energéticos y espirituales, son espacios vivos que albergan memorias, espíritus y energías fundamentales para la cosmovisión maya. Sin embargo, debido a la falta de reconocimiento estatal, al avance de otras creencias religiosas y a la presión económica y territorial, muchos de estos lugares han sido víctimas de desplazamiento, destrucción o apropiación indebida. En algunos casos, se intenta borrar su valor espiritual mediante su transformación o reinterpretación cultural, imponiendo otras narrativas que invisibilizan su significado ancestral.</w:t>
      </w:r>
      <w:r w:rsidR="00887832">
        <w:rPr>
          <w:rStyle w:val="Refdenotaalpie"/>
          <w:rFonts w:asciiTheme="majorBidi" w:hAnsiTheme="majorBidi"/>
          <w:color w:val="000000" w:themeColor="text1"/>
        </w:rPr>
        <w:footnoteReference w:id="60"/>
      </w:r>
    </w:p>
    <w:p w14:paraId="553BC17C" w14:textId="34DBE51B" w:rsidR="0017155D" w:rsidRPr="0017155D" w:rsidRDefault="0017155D" w:rsidP="0017155D">
      <w:pPr>
        <w:jc w:val="both"/>
        <w:rPr>
          <w:rFonts w:asciiTheme="majorBidi" w:hAnsiTheme="majorBidi" w:cstheme="majorBidi"/>
          <w:color w:val="000000" w:themeColor="text1"/>
        </w:rPr>
      </w:pPr>
      <w:r w:rsidRPr="0017155D">
        <w:rPr>
          <w:rFonts w:asciiTheme="majorBidi" w:hAnsiTheme="majorBidi" w:cstheme="majorBidi"/>
          <w:color w:val="000000" w:themeColor="text1"/>
        </w:rPr>
        <w:t>Guías espirituales han denunciado que la deforestación, tanto por parte de finqueros mestizos como por campesinos, incluidos indígenas, afecta gravemente la integridad de sitios sagrados, incluso aquellos que son fuentes de agua utilizadas en ceremonias. El acceso a muchos de estos espacios también está restringido por estar ubicados en propiedades privadas —como fincas ganaderas, plantaciones de palma africana o tierras de organizaciones religiosas— donde los propietarios niegan la entrada por desconfianza, intolerancia o por eventos de inseguridad. En algunos casos, sitios arqueológicos con valor ceremonial han sido saqueados para extraer y comercializar piezas consideradas “artesanías”, lo que representa una forma de despojo patrimonial y espiritual.</w:t>
      </w:r>
      <w:r w:rsidR="00887832" w:rsidRPr="00887832">
        <w:rPr>
          <w:rFonts w:asciiTheme="majorBidi" w:hAnsiTheme="majorBidi" w:cstheme="majorBidi"/>
          <w:i/>
          <w:iCs/>
          <w:color w:val="000000" w:themeColor="text1"/>
          <w:vertAlign w:val="superscript"/>
        </w:rPr>
        <w:t xml:space="preserve"> </w:t>
      </w:r>
      <w:r w:rsidR="00887832" w:rsidRPr="009E2A0E">
        <w:rPr>
          <w:rFonts w:asciiTheme="majorBidi" w:hAnsiTheme="majorBidi" w:cstheme="majorBidi"/>
          <w:i/>
          <w:iCs/>
          <w:color w:val="000000" w:themeColor="text1"/>
          <w:vertAlign w:val="superscript"/>
        </w:rPr>
        <w:footnoteReference w:id="61"/>
      </w:r>
    </w:p>
    <w:p w14:paraId="707AA68F" w14:textId="4DD0EF3E" w:rsidR="0017155D" w:rsidRPr="0017155D" w:rsidRDefault="0017155D" w:rsidP="0017155D">
      <w:pPr>
        <w:jc w:val="both"/>
        <w:rPr>
          <w:rFonts w:asciiTheme="majorBidi" w:hAnsiTheme="majorBidi" w:cstheme="majorBidi"/>
          <w:color w:val="000000" w:themeColor="text1"/>
        </w:rPr>
      </w:pPr>
      <w:r w:rsidRPr="0017155D">
        <w:rPr>
          <w:rFonts w:asciiTheme="majorBidi" w:hAnsiTheme="majorBidi" w:cstheme="majorBidi"/>
          <w:color w:val="000000" w:themeColor="text1"/>
        </w:rPr>
        <w:t>Uno de los casos más representativos es Kaminal Juyu’, donde actualmente se reporta la tala de árboles y el cierre de espacios utilizados tradicionalmente para ceremonias, como los comales. Ante esta situación, los pueblos indígenas insisten en la necesidad de aprobar de forma definitiva la Iniciativa de Ley 3835, cuyo objetivo es transferir a los pueblos mayas la administración y el resguardo de estos sitios sagrados. Dicha medida permitiría frenar el despojo espiritual, proteger la memoria ancestral y garantizar el ejercicio pleno del derecho a la libertad de religión, espiritualidad y creencias de los pueblos indígenas.</w:t>
      </w:r>
      <w:r w:rsidR="00887832" w:rsidRPr="00887832">
        <w:rPr>
          <w:rFonts w:asciiTheme="majorBidi" w:hAnsiTheme="majorBidi" w:cstheme="majorBidi"/>
          <w:color w:val="000000" w:themeColor="text1"/>
          <w:vertAlign w:val="superscript"/>
        </w:rPr>
        <w:t xml:space="preserve"> </w:t>
      </w:r>
      <w:r w:rsidR="00887832" w:rsidRPr="009E2A0E">
        <w:rPr>
          <w:rFonts w:asciiTheme="majorBidi" w:hAnsiTheme="majorBidi" w:cstheme="majorBidi"/>
          <w:color w:val="000000" w:themeColor="text1"/>
          <w:vertAlign w:val="superscript"/>
        </w:rPr>
        <w:footnoteReference w:id="62"/>
      </w:r>
    </w:p>
    <w:p w14:paraId="740E46BE" w14:textId="6D4CAA38" w:rsidR="00B74CF5" w:rsidRPr="009E2A0E" w:rsidRDefault="008A6E31" w:rsidP="0080713B">
      <w:pPr>
        <w:pStyle w:val="Prrafodelista"/>
        <w:numPr>
          <w:ilvl w:val="2"/>
          <w:numId w:val="7"/>
        </w:numPr>
        <w:jc w:val="both"/>
        <w:outlineLvl w:val="2"/>
        <w:rPr>
          <w:rFonts w:asciiTheme="majorBidi" w:hAnsiTheme="majorBidi" w:cstheme="majorBidi"/>
          <w:b/>
          <w:bCs/>
          <w:color w:val="000000" w:themeColor="text1"/>
        </w:rPr>
      </w:pPr>
      <w:bookmarkStart w:id="21" w:name="_Toc204264044"/>
      <w:r w:rsidRPr="009E2A0E">
        <w:rPr>
          <w:rFonts w:asciiTheme="majorBidi" w:hAnsiTheme="majorBidi" w:cstheme="majorBidi"/>
          <w:b/>
          <w:bCs/>
          <w:color w:val="000000" w:themeColor="text1"/>
        </w:rPr>
        <w:lastRenderedPageBreak/>
        <w:t>A</w:t>
      </w:r>
      <w:r w:rsidR="00B74CF5" w:rsidRPr="009E2A0E">
        <w:rPr>
          <w:rFonts w:asciiTheme="majorBidi" w:hAnsiTheme="majorBidi" w:cstheme="majorBidi"/>
          <w:b/>
          <w:bCs/>
          <w:color w:val="000000" w:themeColor="text1"/>
        </w:rPr>
        <w:t>cceso y transportar su material ceremonial sin restricciones indebidas.</w:t>
      </w:r>
      <w:bookmarkEnd w:id="21"/>
      <w:r w:rsidR="00B74CF5" w:rsidRPr="009E2A0E">
        <w:rPr>
          <w:rFonts w:asciiTheme="majorBidi" w:hAnsiTheme="majorBidi" w:cstheme="majorBidi"/>
          <w:b/>
          <w:bCs/>
          <w:color w:val="000000" w:themeColor="text1"/>
        </w:rPr>
        <w:t xml:space="preserve"> </w:t>
      </w:r>
    </w:p>
    <w:p w14:paraId="00AC941A" w14:textId="4261BF24" w:rsidR="00B74CF5" w:rsidRPr="009E2A0E" w:rsidRDefault="00B74CF5" w:rsidP="004F4625">
      <w:pPr>
        <w:jc w:val="both"/>
        <w:rPr>
          <w:rFonts w:asciiTheme="majorBidi" w:hAnsiTheme="majorBidi" w:cstheme="majorBidi"/>
          <w:color w:val="000000" w:themeColor="text1"/>
        </w:rPr>
      </w:pPr>
      <w:r w:rsidRPr="009E2A0E">
        <w:rPr>
          <w:rFonts w:asciiTheme="majorBidi" w:hAnsiTheme="majorBidi" w:cstheme="majorBidi"/>
          <w:color w:val="000000" w:themeColor="text1"/>
        </w:rPr>
        <w:t xml:space="preserve">Para la práctica efectiva de la espiritualidad maya se necesita de la </w:t>
      </w:r>
      <w:r w:rsidR="00170935" w:rsidRPr="009E2A0E">
        <w:rPr>
          <w:rFonts w:asciiTheme="majorBidi" w:hAnsiTheme="majorBidi" w:cstheme="majorBidi"/>
          <w:color w:val="000000" w:themeColor="text1"/>
        </w:rPr>
        <w:t>utilización</w:t>
      </w:r>
      <w:r w:rsidRPr="009E2A0E">
        <w:rPr>
          <w:rFonts w:asciiTheme="majorBidi" w:hAnsiTheme="majorBidi" w:cstheme="majorBidi"/>
          <w:color w:val="000000" w:themeColor="text1"/>
        </w:rPr>
        <w:t xml:space="preserve"> de materiales provenientes de la naturaleza, cada ceremonia significa una conexión con la madre tierra y </w:t>
      </w:r>
      <w:r w:rsidR="00FC715D">
        <w:rPr>
          <w:rFonts w:asciiTheme="majorBidi" w:hAnsiTheme="majorBidi" w:cstheme="majorBidi"/>
          <w:color w:val="000000" w:themeColor="text1"/>
        </w:rPr>
        <w:t>universo</w:t>
      </w:r>
      <w:r w:rsidRPr="009E2A0E">
        <w:rPr>
          <w:rFonts w:asciiTheme="majorBidi" w:hAnsiTheme="majorBidi" w:cstheme="majorBidi"/>
          <w:color w:val="000000" w:themeColor="text1"/>
        </w:rPr>
        <w:t xml:space="preserve">. </w:t>
      </w:r>
    </w:p>
    <w:p w14:paraId="435ABD9B" w14:textId="1730CF1A" w:rsidR="00B74CF5" w:rsidRPr="009E2A0E" w:rsidRDefault="00B74CF5" w:rsidP="004F4625">
      <w:pPr>
        <w:jc w:val="both"/>
        <w:rPr>
          <w:rFonts w:asciiTheme="majorBidi" w:hAnsiTheme="majorBidi" w:cstheme="majorBidi"/>
          <w:color w:val="000000" w:themeColor="text1"/>
        </w:rPr>
      </w:pPr>
      <w:r w:rsidRPr="009E2A0E">
        <w:rPr>
          <w:rFonts w:asciiTheme="majorBidi" w:hAnsiTheme="majorBidi" w:cstheme="majorBidi"/>
          <w:color w:val="000000" w:themeColor="text1"/>
        </w:rPr>
        <w:t xml:space="preserve"> Refieren informes que algunas personas son criminalizadas por transportar estos materiales, lo que afecta su capacidad para practicar su</w:t>
      </w:r>
      <w:r w:rsidR="007C37AA">
        <w:rPr>
          <w:rFonts w:asciiTheme="majorBidi" w:hAnsiTheme="majorBidi" w:cstheme="majorBidi"/>
          <w:color w:val="000000" w:themeColor="text1"/>
        </w:rPr>
        <w:t xml:space="preserve"> enlace c</w:t>
      </w:r>
      <w:r w:rsidR="00A70CBB">
        <w:rPr>
          <w:rFonts w:asciiTheme="majorBidi" w:hAnsiTheme="majorBidi" w:cstheme="majorBidi"/>
          <w:color w:val="000000" w:themeColor="text1"/>
        </w:rPr>
        <w:t>ó</w:t>
      </w:r>
      <w:r w:rsidR="007C37AA">
        <w:rPr>
          <w:rFonts w:asciiTheme="majorBidi" w:hAnsiTheme="majorBidi" w:cstheme="majorBidi"/>
          <w:color w:val="000000" w:themeColor="text1"/>
        </w:rPr>
        <w:t>smico</w:t>
      </w:r>
      <w:r w:rsidRPr="009E2A0E">
        <w:rPr>
          <w:rFonts w:asciiTheme="majorBidi" w:hAnsiTheme="majorBidi" w:cstheme="majorBidi"/>
          <w:color w:val="000000" w:themeColor="text1"/>
        </w:rPr>
        <w:t>.</w:t>
      </w:r>
      <w:r w:rsidRPr="009E2A0E">
        <w:rPr>
          <w:rFonts w:asciiTheme="majorBidi" w:hAnsiTheme="majorBidi" w:cstheme="majorBidi"/>
          <w:color w:val="000000" w:themeColor="text1"/>
          <w:vertAlign w:val="superscript"/>
        </w:rPr>
        <w:footnoteReference w:id="63"/>
      </w:r>
      <w:r w:rsidRPr="009E2A0E">
        <w:rPr>
          <w:rFonts w:asciiTheme="majorBidi" w:hAnsiTheme="majorBidi" w:cstheme="majorBidi"/>
          <w:color w:val="000000" w:themeColor="text1"/>
        </w:rPr>
        <w:t xml:space="preserve"> Como es el caso que refieren los integrantes de la Asociación de Guías Wuqub’ Ajpu’ denunciaron la criminalización de la que es parte el Instituto Nacional de Bosques (INAB) contra personas que transportan y comercializan materiales para usos ceremoniales como el incienso y el pom.</w:t>
      </w:r>
      <w:r w:rsidRPr="009E2A0E">
        <w:rPr>
          <w:rFonts w:asciiTheme="majorBidi" w:hAnsiTheme="majorBidi" w:cstheme="majorBidi"/>
          <w:color w:val="000000" w:themeColor="text1"/>
          <w:vertAlign w:val="superscript"/>
        </w:rPr>
        <w:footnoteReference w:id="64"/>
      </w:r>
    </w:p>
    <w:p w14:paraId="1758B2A7" w14:textId="77777777" w:rsidR="00B74CF5" w:rsidRPr="009E2A0E" w:rsidRDefault="00B74CF5" w:rsidP="0080713B">
      <w:pPr>
        <w:pStyle w:val="Prrafodelista"/>
        <w:numPr>
          <w:ilvl w:val="2"/>
          <w:numId w:val="7"/>
        </w:numPr>
        <w:jc w:val="both"/>
        <w:outlineLvl w:val="2"/>
        <w:rPr>
          <w:rFonts w:asciiTheme="majorBidi" w:hAnsiTheme="majorBidi" w:cstheme="majorBidi"/>
          <w:b/>
          <w:bCs/>
          <w:color w:val="000000" w:themeColor="text1"/>
        </w:rPr>
      </w:pPr>
      <w:bookmarkStart w:id="22" w:name="_Toc204264045"/>
      <w:r w:rsidRPr="009E2A0E">
        <w:rPr>
          <w:rFonts w:asciiTheme="majorBidi" w:hAnsiTheme="majorBidi" w:cstheme="majorBidi"/>
          <w:b/>
          <w:bCs/>
          <w:color w:val="000000" w:themeColor="text1"/>
        </w:rPr>
        <w:t>Ataques y asesinatos</w:t>
      </w:r>
      <w:bookmarkEnd w:id="22"/>
      <w:r w:rsidRPr="009E2A0E">
        <w:rPr>
          <w:rFonts w:asciiTheme="majorBidi" w:hAnsiTheme="majorBidi" w:cstheme="majorBidi"/>
          <w:b/>
          <w:bCs/>
          <w:color w:val="000000" w:themeColor="text1"/>
        </w:rPr>
        <w:t xml:space="preserve"> </w:t>
      </w:r>
    </w:p>
    <w:p w14:paraId="40CA78F9" w14:textId="009C786D" w:rsidR="00B74CF5" w:rsidRPr="009E2A0E" w:rsidRDefault="00B74CF5" w:rsidP="00B74CF5">
      <w:pPr>
        <w:jc w:val="both"/>
        <w:rPr>
          <w:rFonts w:asciiTheme="majorBidi" w:hAnsiTheme="majorBidi" w:cstheme="majorBidi"/>
          <w:color w:val="000000" w:themeColor="text1"/>
        </w:rPr>
      </w:pPr>
      <w:r w:rsidRPr="009E2A0E">
        <w:rPr>
          <w:rFonts w:asciiTheme="majorBidi" w:hAnsiTheme="majorBidi" w:cstheme="majorBidi"/>
          <w:color w:val="000000" w:themeColor="text1"/>
        </w:rPr>
        <w:t>A pesar de existir una normativa “tolerante” a las religiones que existen en el país, no todo se marca en un orden de respeto y tolerancia</w:t>
      </w:r>
      <w:r w:rsidR="003B76C4">
        <w:rPr>
          <w:rFonts w:asciiTheme="majorBidi" w:hAnsiTheme="majorBidi" w:cstheme="majorBidi"/>
          <w:color w:val="000000" w:themeColor="text1"/>
        </w:rPr>
        <w:t>. S</w:t>
      </w:r>
      <w:r w:rsidRPr="009E2A0E">
        <w:rPr>
          <w:rFonts w:asciiTheme="majorBidi" w:hAnsiTheme="majorBidi" w:cstheme="majorBidi"/>
          <w:color w:val="000000" w:themeColor="text1"/>
        </w:rPr>
        <w:t xml:space="preserve">e han visto ataques a los ajq´ijab´ </w:t>
      </w:r>
      <w:r w:rsidRPr="009E2A0E">
        <w:rPr>
          <w:rFonts w:asciiTheme="majorBidi" w:hAnsiTheme="majorBidi" w:cstheme="majorBidi"/>
          <w:color w:val="000000" w:themeColor="text1"/>
          <w:vertAlign w:val="superscript"/>
        </w:rPr>
        <w:footnoteReference w:id="65"/>
      </w:r>
      <w:r w:rsidR="003B76C4">
        <w:rPr>
          <w:rFonts w:asciiTheme="majorBidi" w:hAnsiTheme="majorBidi" w:cstheme="majorBidi"/>
          <w:color w:val="000000" w:themeColor="text1"/>
        </w:rPr>
        <w:t xml:space="preserve"> o</w:t>
      </w:r>
      <w:r w:rsidRPr="009E2A0E">
        <w:rPr>
          <w:rFonts w:asciiTheme="majorBidi" w:hAnsiTheme="majorBidi" w:cstheme="majorBidi"/>
          <w:color w:val="000000" w:themeColor="text1"/>
        </w:rPr>
        <w:t xml:space="preserve"> </w:t>
      </w:r>
      <w:r w:rsidR="003B76C4" w:rsidRPr="009E2A0E">
        <w:rPr>
          <w:rFonts w:asciiTheme="majorBidi" w:hAnsiTheme="majorBidi" w:cstheme="majorBidi"/>
          <w:color w:val="000000" w:themeColor="text1"/>
        </w:rPr>
        <w:t>guías</w:t>
      </w:r>
      <w:r w:rsidRPr="009E2A0E">
        <w:rPr>
          <w:rFonts w:asciiTheme="majorBidi" w:hAnsiTheme="majorBidi" w:cstheme="majorBidi"/>
          <w:color w:val="000000" w:themeColor="text1"/>
        </w:rPr>
        <w:t xml:space="preserve"> espirituales mayas, que provienen principalmente </w:t>
      </w:r>
      <w:r w:rsidR="003B76C4">
        <w:rPr>
          <w:rFonts w:asciiTheme="majorBidi" w:hAnsiTheme="majorBidi" w:cstheme="majorBidi"/>
          <w:color w:val="000000" w:themeColor="text1"/>
        </w:rPr>
        <w:t xml:space="preserve">de personas </w:t>
      </w:r>
      <w:r w:rsidRPr="009E2A0E">
        <w:rPr>
          <w:rFonts w:asciiTheme="majorBidi" w:hAnsiTheme="majorBidi" w:cstheme="majorBidi"/>
          <w:color w:val="000000" w:themeColor="text1"/>
        </w:rPr>
        <w:t xml:space="preserve">ajenas a </w:t>
      </w:r>
      <w:r w:rsidR="003B76C4">
        <w:rPr>
          <w:rFonts w:asciiTheme="majorBidi" w:hAnsiTheme="majorBidi" w:cstheme="majorBidi"/>
          <w:color w:val="000000" w:themeColor="text1"/>
        </w:rPr>
        <w:t>esta</w:t>
      </w:r>
      <w:r w:rsidR="003B76C4" w:rsidRPr="009E2A0E">
        <w:rPr>
          <w:rFonts w:asciiTheme="majorBidi" w:hAnsiTheme="majorBidi" w:cstheme="majorBidi"/>
          <w:color w:val="000000" w:themeColor="text1"/>
        </w:rPr>
        <w:t xml:space="preserve"> </w:t>
      </w:r>
      <w:r w:rsidRPr="009E2A0E">
        <w:rPr>
          <w:rFonts w:asciiTheme="majorBidi" w:hAnsiTheme="majorBidi" w:cstheme="majorBidi"/>
          <w:color w:val="000000" w:themeColor="text1"/>
        </w:rPr>
        <w:t>espiritualidad</w:t>
      </w:r>
      <w:r w:rsidR="003B76C4">
        <w:rPr>
          <w:rFonts w:asciiTheme="majorBidi" w:hAnsiTheme="majorBidi" w:cstheme="majorBidi"/>
          <w:color w:val="000000" w:themeColor="text1"/>
        </w:rPr>
        <w:t>,</w:t>
      </w:r>
      <w:r w:rsidRPr="009E2A0E">
        <w:rPr>
          <w:rFonts w:asciiTheme="majorBidi" w:hAnsiTheme="majorBidi" w:cstheme="majorBidi"/>
          <w:color w:val="000000" w:themeColor="text1"/>
        </w:rPr>
        <w:t xml:space="preserve"> ya sea por racismo</w:t>
      </w:r>
      <w:r w:rsidR="003B76C4">
        <w:rPr>
          <w:rFonts w:asciiTheme="majorBidi" w:hAnsiTheme="majorBidi" w:cstheme="majorBidi"/>
          <w:color w:val="000000" w:themeColor="text1"/>
        </w:rPr>
        <w:t xml:space="preserve"> u otras</w:t>
      </w:r>
      <w:r w:rsidRPr="009E2A0E">
        <w:rPr>
          <w:rFonts w:asciiTheme="majorBidi" w:hAnsiTheme="majorBidi" w:cstheme="majorBidi"/>
          <w:color w:val="000000" w:themeColor="text1"/>
        </w:rPr>
        <w:t xml:space="preserve"> creencia</w:t>
      </w:r>
      <w:r w:rsidR="003B76C4">
        <w:rPr>
          <w:rFonts w:asciiTheme="majorBidi" w:hAnsiTheme="majorBidi" w:cstheme="majorBidi"/>
          <w:color w:val="000000" w:themeColor="text1"/>
        </w:rPr>
        <w:t>s</w:t>
      </w:r>
      <w:r w:rsidRPr="009E2A0E">
        <w:rPr>
          <w:rFonts w:asciiTheme="majorBidi" w:hAnsiTheme="majorBidi" w:cstheme="majorBidi"/>
          <w:color w:val="000000" w:themeColor="text1"/>
        </w:rPr>
        <w:t xml:space="preserve">, se le denomina </w:t>
      </w:r>
      <w:r w:rsidR="00170935" w:rsidRPr="009E2A0E">
        <w:rPr>
          <w:rFonts w:asciiTheme="majorBidi" w:hAnsiTheme="majorBidi" w:cstheme="majorBidi"/>
          <w:color w:val="000000" w:themeColor="text1"/>
        </w:rPr>
        <w:t>“</w:t>
      </w:r>
      <w:r w:rsidR="00993107">
        <w:rPr>
          <w:rFonts w:asciiTheme="majorBidi" w:hAnsiTheme="majorBidi" w:cstheme="majorBidi"/>
          <w:color w:val="000000" w:themeColor="text1"/>
        </w:rPr>
        <w:t>bujería</w:t>
      </w:r>
      <w:r w:rsidR="00170935" w:rsidRPr="009E2A0E">
        <w:rPr>
          <w:rFonts w:asciiTheme="majorBidi" w:hAnsiTheme="majorBidi" w:cstheme="majorBidi"/>
          <w:color w:val="000000" w:themeColor="text1"/>
        </w:rPr>
        <w:t>”</w:t>
      </w:r>
      <w:r w:rsidRPr="009E2A0E">
        <w:rPr>
          <w:rFonts w:asciiTheme="majorBidi" w:hAnsiTheme="majorBidi" w:cstheme="majorBidi"/>
          <w:color w:val="000000" w:themeColor="text1"/>
        </w:rPr>
        <w:t xml:space="preserve"> a la </w:t>
      </w:r>
      <w:r w:rsidR="003B76C4" w:rsidRPr="009E2A0E">
        <w:rPr>
          <w:rFonts w:asciiTheme="majorBidi" w:hAnsiTheme="majorBidi" w:cstheme="majorBidi"/>
          <w:color w:val="000000" w:themeColor="text1"/>
        </w:rPr>
        <w:t>práctica</w:t>
      </w:r>
      <w:r w:rsidRPr="009E2A0E">
        <w:rPr>
          <w:rFonts w:asciiTheme="majorBidi" w:hAnsiTheme="majorBidi" w:cstheme="majorBidi"/>
          <w:color w:val="000000" w:themeColor="text1"/>
        </w:rPr>
        <w:t xml:space="preserve"> espiritual de los pueblos mayas. </w:t>
      </w:r>
    </w:p>
    <w:p w14:paraId="51BE7C87" w14:textId="27F03C14" w:rsidR="00B74CF5" w:rsidRPr="009E2A0E" w:rsidRDefault="00B74CF5" w:rsidP="00B74CF5">
      <w:pPr>
        <w:jc w:val="both"/>
        <w:rPr>
          <w:rFonts w:asciiTheme="majorBidi" w:hAnsiTheme="majorBidi" w:cstheme="majorBidi"/>
          <w:color w:val="000000" w:themeColor="text1"/>
        </w:rPr>
      </w:pPr>
      <w:r w:rsidRPr="009E2A0E">
        <w:rPr>
          <w:rFonts w:asciiTheme="majorBidi" w:hAnsiTheme="majorBidi" w:cstheme="majorBidi"/>
          <w:color w:val="000000" w:themeColor="text1"/>
        </w:rPr>
        <w:t xml:space="preserve">Guatemala ha incumplido con el compromiso de </w:t>
      </w:r>
      <w:r w:rsidR="00170935" w:rsidRPr="009E2A0E">
        <w:rPr>
          <w:rFonts w:asciiTheme="majorBidi" w:hAnsiTheme="majorBidi" w:cstheme="majorBidi"/>
          <w:color w:val="000000" w:themeColor="text1"/>
        </w:rPr>
        <w:t>proteger la</w:t>
      </w:r>
      <w:r w:rsidRPr="009E2A0E">
        <w:rPr>
          <w:rFonts w:asciiTheme="majorBidi" w:hAnsiTheme="majorBidi" w:cstheme="majorBidi"/>
          <w:color w:val="000000" w:themeColor="text1"/>
        </w:rPr>
        <w:t xml:space="preserve"> libertad religiosa, el Estado no tiene el sustento legal ni jurídico para garantizar su libre práctica, aun </w:t>
      </w:r>
      <w:r w:rsidR="003B76C4">
        <w:rPr>
          <w:rFonts w:asciiTheme="majorBidi" w:hAnsiTheme="majorBidi" w:cstheme="majorBidi"/>
          <w:color w:val="000000" w:themeColor="text1"/>
        </w:rPr>
        <w:t>se reconocen</w:t>
      </w:r>
      <w:r w:rsidRPr="009E2A0E">
        <w:rPr>
          <w:rFonts w:asciiTheme="majorBidi" w:hAnsiTheme="majorBidi" w:cstheme="majorBidi"/>
          <w:color w:val="000000" w:themeColor="text1"/>
        </w:rPr>
        <w:t xml:space="preserve"> violaciones de esta libertad, </w:t>
      </w:r>
      <w:r w:rsidR="003B76C4">
        <w:rPr>
          <w:rFonts w:asciiTheme="majorBidi" w:hAnsiTheme="majorBidi" w:cstheme="majorBidi"/>
          <w:color w:val="000000" w:themeColor="text1"/>
        </w:rPr>
        <w:t>pero la práctica demuestra lo contrario</w:t>
      </w:r>
      <w:r w:rsidRPr="009E2A0E">
        <w:rPr>
          <w:rFonts w:asciiTheme="majorBidi" w:hAnsiTheme="majorBidi" w:cstheme="majorBidi"/>
          <w:color w:val="000000" w:themeColor="text1"/>
        </w:rPr>
        <w:t>.</w:t>
      </w:r>
      <w:r w:rsidR="003B76C4">
        <w:rPr>
          <w:rFonts w:asciiTheme="majorBidi" w:hAnsiTheme="majorBidi" w:cstheme="majorBidi"/>
          <w:color w:val="000000" w:themeColor="text1"/>
        </w:rPr>
        <w:t xml:space="preserve"> </w:t>
      </w:r>
      <w:r w:rsidRPr="009E2A0E">
        <w:rPr>
          <w:rFonts w:asciiTheme="majorBidi" w:hAnsiTheme="majorBidi" w:cstheme="majorBidi"/>
          <w:color w:val="000000" w:themeColor="text1"/>
        </w:rPr>
        <w:t>Claro ejemplo de ello son las s agresiones a los ajq´ijab´ en las comunidades donde hay pr</w:t>
      </w:r>
      <w:r w:rsidR="003B76C4">
        <w:rPr>
          <w:rFonts w:asciiTheme="majorBidi" w:hAnsiTheme="majorBidi" w:cstheme="majorBidi"/>
          <w:color w:val="000000" w:themeColor="text1"/>
        </w:rPr>
        <w:t>á</w:t>
      </w:r>
      <w:r w:rsidRPr="009E2A0E">
        <w:rPr>
          <w:rFonts w:asciiTheme="majorBidi" w:hAnsiTheme="majorBidi" w:cstheme="majorBidi"/>
          <w:color w:val="000000" w:themeColor="text1"/>
        </w:rPr>
        <w:t>ctica de espiritualidad maya</w:t>
      </w:r>
      <w:r w:rsidR="003B76C4">
        <w:rPr>
          <w:rFonts w:asciiTheme="majorBidi" w:hAnsiTheme="majorBidi" w:cstheme="majorBidi"/>
          <w:color w:val="000000" w:themeColor="text1"/>
        </w:rPr>
        <w:t>. E</w:t>
      </w:r>
      <w:r w:rsidRPr="009E2A0E">
        <w:rPr>
          <w:rFonts w:asciiTheme="majorBidi" w:hAnsiTheme="majorBidi" w:cstheme="majorBidi"/>
          <w:color w:val="000000" w:themeColor="text1"/>
        </w:rPr>
        <w:t xml:space="preserve">n junio del año 2020 en la Aldea Chimay del municipio de San Luis, Petén, un grupo de personas practicantes de la religión evangélica, quemaron vivo a Tat Domingo Choc, lo rosearon de gasolina y lo acusaron de ser </w:t>
      </w:r>
      <w:r w:rsidR="003635AC">
        <w:rPr>
          <w:rFonts w:asciiTheme="majorBidi" w:hAnsiTheme="majorBidi" w:cstheme="majorBidi"/>
          <w:color w:val="000000" w:themeColor="text1"/>
        </w:rPr>
        <w:t>brujería</w:t>
      </w:r>
      <w:r w:rsidRPr="009E2A0E">
        <w:rPr>
          <w:rFonts w:asciiTheme="majorBidi" w:hAnsiTheme="majorBidi" w:cstheme="majorBidi"/>
          <w:color w:val="000000" w:themeColor="text1"/>
        </w:rPr>
        <w:t xml:space="preserve"> </w:t>
      </w:r>
      <w:r w:rsidRPr="009E2A0E">
        <w:rPr>
          <w:rFonts w:asciiTheme="majorBidi" w:hAnsiTheme="majorBidi" w:cstheme="majorBidi"/>
          <w:color w:val="000000" w:themeColor="text1"/>
          <w:vertAlign w:val="superscript"/>
        </w:rPr>
        <w:footnoteReference w:id="66"/>
      </w:r>
      <w:r w:rsidRPr="009E2A0E">
        <w:rPr>
          <w:rFonts w:asciiTheme="majorBidi" w:hAnsiTheme="majorBidi" w:cstheme="majorBidi"/>
          <w:color w:val="000000" w:themeColor="text1"/>
        </w:rPr>
        <w:t xml:space="preserve">, durante el juicio, no hubo presencia del Estado de Guatemala, al </w:t>
      </w:r>
      <w:proofErr w:type="gramStart"/>
      <w:r w:rsidRPr="009E2A0E">
        <w:rPr>
          <w:rFonts w:asciiTheme="majorBidi" w:hAnsiTheme="majorBidi" w:cstheme="majorBidi"/>
          <w:color w:val="000000" w:themeColor="text1"/>
        </w:rPr>
        <w:t>contrario</w:t>
      </w:r>
      <w:proofErr w:type="gramEnd"/>
      <w:r w:rsidRPr="009E2A0E">
        <w:rPr>
          <w:rFonts w:asciiTheme="majorBidi" w:hAnsiTheme="majorBidi" w:cstheme="majorBidi"/>
          <w:color w:val="000000" w:themeColor="text1"/>
        </w:rPr>
        <w:t xml:space="preserve"> se evidenció un total desconocimiento para la </w:t>
      </w:r>
      <w:r w:rsidR="009F7DC0" w:rsidRPr="009E2A0E">
        <w:rPr>
          <w:rFonts w:asciiTheme="majorBidi" w:hAnsiTheme="majorBidi" w:cstheme="majorBidi"/>
          <w:color w:val="000000" w:themeColor="text1"/>
        </w:rPr>
        <w:t>práctica</w:t>
      </w:r>
      <w:r w:rsidRPr="009E2A0E">
        <w:rPr>
          <w:rFonts w:asciiTheme="majorBidi" w:hAnsiTheme="majorBidi" w:cstheme="majorBidi"/>
          <w:color w:val="000000" w:themeColor="text1"/>
        </w:rPr>
        <w:t xml:space="preserve"> y libertades de religión. </w:t>
      </w:r>
    </w:p>
    <w:p w14:paraId="13BC30B2" w14:textId="77777777" w:rsidR="00B74CF5" w:rsidRPr="009E2A0E" w:rsidRDefault="00B74CF5" w:rsidP="00B74CF5">
      <w:pPr>
        <w:jc w:val="both"/>
        <w:rPr>
          <w:rFonts w:asciiTheme="majorBidi" w:hAnsiTheme="majorBidi" w:cstheme="majorBidi"/>
          <w:color w:val="000000" w:themeColor="text1"/>
        </w:rPr>
      </w:pPr>
      <w:r w:rsidRPr="009E2A0E">
        <w:rPr>
          <w:rFonts w:asciiTheme="majorBidi" w:hAnsiTheme="majorBidi" w:cstheme="majorBidi"/>
          <w:color w:val="000000" w:themeColor="text1"/>
        </w:rPr>
        <w:t xml:space="preserve">Otro ejemplo es el caso de la abuela Adela Choc en mes de mayo del año 2022, </w:t>
      </w:r>
      <w:proofErr w:type="gramStart"/>
      <w:r w:rsidRPr="009E2A0E">
        <w:rPr>
          <w:rFonts w:asciiTheme="majorBidi" w:hAnsiTheme="majorBidi" w:cstheme="majorBidi"/>
          <w:color w:val="000000" w:themeColor="text1"/>
        </w:rPr>
        <w:t>que</w:t>
      </w:r>
      <w:proofErr w:type="gramEnd"/>
      <w:r w:rsidRPr="009E2A0E">
        <w:rPr>
          <w:rFonts w:asciiTheme="majorBidi" w:hAnsiTheme="majorBidi" w:cstheme="majorBidi"/>
          <w:color w:val="000000" w:themeColor="text1"/>
        </w:rPr>
        <w:t xml:space="preserve"> bajo el mismo patrón, fue atacada y a punto de ser quemada, con el mismo pretexto, ser una bruja, por el hecho de practicar la espiritualidad maya. </w:t>
      </w:r>
    </w:p>
    <w:p w14:paraId="3F4556E7" w14:textId="77777777" w:rsidR="006822F1" w:rsidRDefault="006822F1" w:rsidP="00B74CF5">
      <w:pPr>
        <w:jc w:val="both"/>
        <w:rPr>
          <w:rFonts w:asciiTheme="majorBidi" w:hAnsiTheme="majorBidi" w:cstheme="majorBidi"/>
          <w:color w:val="000000" w:themeColor="text1"/>
        </w:rPr>
      </w:pPr>
      <w:r w:rsidRPr="006822F1">
        <w:rPr>
          <w:rFonts w:asciiTheme="majorBidi" w:hAnsiTheme="majorBidi" w:cstheme="majorBidi"/>
          <w:color w:val="000000" w:themeColor="text1"/>
        </w:rPr>
        <w:t xml:space="preserve">Estos hechos han provocado una profunda ruptura del tejido social, al implicar la pérdida irreparable de conocimientos ancestrales. Cuando se silencia o desplaza a una guía espiritual, se interrumpe la transmisión de saberes que por generaciones han dado sentido y cohesión a las comunidades. El miedo a practicar la espiritualidad por temor a represalias o discriminación ha llevado a una disminución significativa de estas prácticas, debilitando los liderazgos espirituales y comunitarios que son esenciales para la vida colectiva de los pueblos mayas. </w:t>
      </w:r>
    </w:p>
    <w:p w14:paraId="07CC14CF" w14:textId="1FC7639E" w:rsidR="006822F1" w:rsidRDefault="006822F1" w:rsidP="00B74CF5">
      <w:pPr>
        <w:jc w:val="both"/>
        <w:rPr>
          <w:rFonts w:asciiTheme="majorBidi" w:hAnsiTheme="majorBidi" w:cstheme="majorBidi"/>
          <w:color w:val="000000" w:themeColor="text1"/>
        </w:rPr>
      </w:pPr>
      <w:r w:rsidRPr="006822F1">
        <w:rPr>
          <w:rFonts w:asciiTheme="majorBidi" w:hAnsiTheme="majorBidi" w:cstheme="majorBidi"/>
          <w:color w:val="000000" w:themeColor="text1"/>
        </w:rPr>
        <w:t xml:space="preserve">Silenciar a una guía espiritual no solo es callar una voz, es condenar al olvido la memoria, la tradición, la espiritualidad y la esencia misma de los pueblos originarios. Estas personas no son solo líderes; son portadoras de historia, sabiduría y vida. La falta de protección efectiva del Estado ha obligado a </w:t>
      </w:r>
      <w:r w:rsidRPr="006822F1">
        <w:rPr>
          <w:rFonts w:asciiTheme="majorBidi" w:hAnsiTheme="majorBidi" w:cstheme="majorBidi"/>
          <w:color w:val="000000" w:themeColor="text1"/>
        </w:rPr>
        <w:lastRenderedPageBreak/>
        <w:t>muchas de ellas a exiliarse o guardar silencio, lo que representa no solo una violación individual de derechos, sino una amenaza directa a la continuidad cultural de los pueblos mayas en Guatemala.</w:t>
      </w:r>
    </w:p>
    <w:p w14:paraId="21F79811" w14:textId="447896BE" w:rsidR="00B74CF5" w:rsidRPr="009E2A0E" w:rsidRDefault="00B74CF5" w:rsidP="00197C3D">
      <w:pPr>
        <w:pStyle w:val="Prrafodelista"/>
        <w:numPr>
          <w:ilvl w:val="1"/>
          <w:numId w:val="1"/>
        </w:numPr>
        <w:jc w:val="both"/>
        <w:rPr>
          <w:rFonts w:asciiTheme="majorBidi" w:hAnsiTheme="majorBidi" w:cstheme="majorBidi"/>
          <w:b/>
          <w:bCs/>
          <w:color w:val="000000" w:themeColor="text1"/>
        </w:rPr>
      </w:pPr>
      <w:r w:rsidRPr="009E2A0E">
        <w:rPr>
          <w:rFonts w:asciiTheme="majorBidi" w:hAnsiTheme="majorBidi" w:cstheme="majorBidi"/>
          <w:b/>
          <w:bCs/>
          <w:color w:val="000000" w:themeColor="text1"/>
        </w:rPr>
        <w:t xml:space="preserve">Información del caso </w:t>
      </w:r>
      <w:r w:rsidR="00170935" w:rsidRPr="009E2A0E">
        <w:rPr>
          <w:rFonts w:asciiTheme="majorBidi" w:hAnsiTheme="majorBidi" w:cstheme="majorBidi"/>
          <w:b/>
          <w:bCs/>
          <w:color w:val="000000" w:themeColor="text1"/>
        </w:rPr>
        <w:t xml:space="preserve">de </w:t>
      </w:r>
      <w:r w:rsidRPr="009E2A0E">
        <w:rPr>
          <w:rFonts w:asciiTheme="majorBidi" w:hAnsiTheme="majorBidi" w:cstheme="majorBidi"/>
          <w:b/>
          <w:bCs/>
          <w:color w:val="000000" w:themeColor="text1"/>
        </w:rPr>
        <w:t xml:space="preserve">Adela </w:t>
      </w:r>
      <w:r w:rsidR="00525AC5">
        <w:rPr>
          <w:rFonts w:asciiTheme="majorBidi" w:hAnsiTheme="majorBidi" w:cstheme="majorBidi"/>
          <w:b/>
          <w:bCs/>
          <w:color w:val="000000" w:themeColor="text1"/>
        </w:rPr>
        <w:t>C</w:t>
      </w:r>
      <w:r w:rsidRPr="009E2A0E">
        <w:rPr>
          <w:rFonts w:asciiTheme="majorBidi" w:hAnsiTheme="majorBidi" w:cstheme="majorBidi"/>
          <w:b/>
          <w:bCs/>
          <w:color w:val="000000" w:themeColor="text1"/>
        </w:rPr>
        <w:t>hoc</w:t>
      </w:r>
      <w:r w:rsidR="00DD0F25">
        <w:rPr>
          <w:rStyle w:val="Refdenotaalpie"/>
          <w:rFonts w:asciiTheme="majorBidi" w:hAnsiTheme="majorBidi"/>
          <w:b/>
          <w:bCs/>
          <w:color w:val="000000" w:themeColor="text1"/>
        </w:rPr>
        <w:footnoteReference w:id="67"/>
      </w:r>
      <w:r w:rsidRPr="009E2A0E">
        <w:rPr>
          <w:rFonts w:asciiTheme="majorBidi" w:hAnsiTheme="majorBidi" w:cstheme="majorBidi"/>
          <w:b/>
          <w:bCs/>
          <w:color w:val="000000" w:themeColor="text1"/>
        </w:rPr>
        <w:t>:</w:t>
      </w:r>
    </w:p>
    <w:p w14:paraId="17C17DD3" w14:textId="77777777" w:rsidR="00693084" w:rsidRDefault="00E41EB0" w:rsidP="00B74CF5">
      <w:pPr>
        <w:jc w:val="both"/>
        <w:rPr>
          <w:rFonts w:asciiTheme="majorBidi" w:hAnsiTheme="majorBidi" w:cstheme="majorBidi"/>
          <w:color w:val="000000" w:themeColor="text1"/>
        </w:rPr>
      </w:pPr>
      <w:r w:rsidRPr="00E41EB0">
        <w:rPr>
          <w:rFonts w:asciiTheme="majorBidi" w:hAnsiTheme="majorBidi" w:cstheme="majorBidi"/>
          <w:color w:val="000000" w:themeColor="text1"/>
        </w:rPr>
        <w:t xml:space="preserve">Han pasado tres años desde el intento de asesinato contra la Abuela Adela Choc en mayo de 2021, y el caso sigue sin avances significativos. En lugar de investigar con debida diligencia, la fiscalía desestimó el proceso en marzo de 2023 alegando falta de pruebas, sin haber realizado diligencias sustantivas para identificar a los responsables. Esta falta de acción, marcada por discriminación étnica, social y de género, contrasta con la rapidez con la que se actúa en otros casos. </w:t>
      </w:r>
    </w:p>
    <w:p w14:paraId="4630429F" w14:textId="77777777" w:rsidR="00DD0F25" w:rsidRDefault="00E41EB0" w:rsidP="00DD0F25">
      <w:pPr>
        <w:spacing w:before="240"/>
        <w:jc w:val="both"/>
        <w:rPr>
          <w:rFonts w:asciiTheme="majorBidi" w:hAnsiTheme="majorBidi" w:cstheme="majorBidi"/>
          <w:color w:val="000000" w:themeColor="text1"/>
        </w:rPr>
      </w:pPr>
      <w:r w:rsidRPr="00E41EB0">
        <w:rPr>
          <w:rFonts w:asciiTheme="majorBidi" w:hAnsiTheme="majorBidi" w:cstheme="majorBidi"/>
          <w:color w:val="000000" w:themeColor="text1"/>
        </w:rPr>
        <w:t>Tras una comunicación urgente enviada en 2022 a la</w:t>
      </w:r>
      <w:r w:rsidR="000054B3">
        <w:rPr>
          <w:rFonts w:asciiTheme="majorBidi" w:hAnsiTheme="majorBidi" w:cstheme="majorBidi"/>
          <w:color w:val="000000" w:themeColor="text1"/>
        </w:rPr>
        <w:t xml:space="preserve">s Relatorías </w:t>
      </w:r>
      <w:r w:rsidR="000054B3" w:rsidRPr="000054B3">
        <w:rPr>
          <w:rFonts w:asciiTheme="majorBidi" w:hAnsiTheme="majorBidi" w:cstheme="majorBidi"/>
          <w:color w:val="000000" w:themeColor="text1"/>
        </w:rPr>
        <w:t>Especial</w:t>
      </w:r>
      <w:r w:rsidR="000054B3">
        <w:rPr>
          <w:rFonts w:asciiTheme="majorBidi" w:hAnsiTheme="majorBidi" w:cstheme="majorBidi"/>
          <w:color w:val="000000" w:themeColor="text1"/>
        </w:rPr>
        <w:t>es</w:t>
      </w:r>
      <w:r w:rsidR="000054B3" w:rsidRPr="000054B3">
        <w:rPr>
          <w:rFonts w:asciiTheme="majorBidi" w:hAnsiTheme="majorBidi" w:cstheme="majorBidi"/>
          <w:color w:val="000000" w:themeColor="text1"/>
        </w:rPr>
        <w:t xml:space="preserve"> sobre la libertad de religión o de creencias; del Relator Especial sobre ejecuciones extrajudiciales, sumarias o arbitrarias; de la Relatora Especial sobre la situación de los defensores de derechos humanos; del Relator Especial sobre los derechos de los pueblos indígenas y de la Relatora Especial sobre la violencia contra las mujeres y las niñas, sus causas y consecuencias </w:t>
      </w:r>
      <w:r w:rsidR="00074944">
        <w:rPr>
          <w:rStyle w:val="Refdenotaalpie"/>
          <w:rFonts w:asciiTheme="majorBidi" w:hAnsiTheme="majorBidi"/>
          <w:color w:val="000000" w:themeColor="text1"/>
        </w:rPr>
        <w:footnoteReference w:id="68"/>
      </w:r>
      <w:r>
        <w:rPr>
          <w:rFonts w:asciiTheme="majorBidi" w:hAnsiTheme="majorBidi" w:cstheme="majorBidi"/>
          <w:color w:val="000000" w:themeColor="text1"/>
        </w:rPr>
        <w:t xml:space="preserve"> </w:t>
      </w:r>
      <w:r w:rsidRPr="00E41EB0">
        <w:rPr>
          <w:rFonts w:asciiTheme="majorBidi" w:hAnsiTheme="majorBidi" w:cstheme="majorBidi"/>
          <w:color w:val="000000" w:themeColor="text1"/>
        </w:rPr>
        <w:t>el caso fue reactivado, pero con una tipificación inadecuada del delito como violencia psicológica e incendio, ignorando que la intención de los agresores era quitarle la vida, como ocurrió en el caso del abuelo Domingo Choc. Como consecuencia, la Abuela Adela Choc se vio forzada a abandonar el país, perdiendo su proyecto de vida, su rol comunitario y su seguridad, mientras el Estado no solo le negó protección, sino que la invisibilizó.</w:t>
      </w:r>
    </w:p>
    <w:p w14:paraId="209EE318" w14:textId="5B1EC31E" w:rsidR="00E41EB0" w:rsidRDefault="00E41EB0" w:rsidP="00DD0F25">
      <w:pPr>
        <w:spacing w:before="240"/>
        <w:jc w:val="both"/>
        <w:rPr>
          <w:rFonts w:asciiTheme="majorBidi" w:hAnsiTheme="majorBidi" w:cstheme="majorBidi"/>
          <w:color w:val="000000" w:themeColor="text1"/>
        </w:rPr>
      </w:pPr>
      <w:r w:rsidRPr="00E41EB0">
        <w:rPr>
          <w:rFonts w:asciiTheme="majorBidi" w:hAnsiTheme="majorBidi" w:cstheme="majorBidi"/>
          <w:color w:val="000000" w:themeColor="text1"/>
        </w:rPr>
        <w:t>Hoy, ella representa a tantas mujeres mayas marginadas por un sistema que no reconoce sus derechos ni su dignidad, y cuya justicia sigue siendo inaccesible, tardía y discriminatoria. La familia aún enfrenta amenazas y no confía en obtener justicia.</w:t>
      </w:r>
      <w:r w:rsidR="00CA3FC8">
        <w:rPr>
          <w:rFonts w:asciiTheme="majorBidi" w:hAnsiTheme="majorBidi" w:cstheme="majorBidi"/>
          <w:color w:val="000000" w:themeColor="text1"/>
        </w:rPr>
        <w:t xml:space="preserve"> A la fecha, el Estado no ha dado respuesta a la comunicación de l</w:t>
      </w:r>
      <w:r w:rsidR="000054B3">
        <w:rPr>
          <w:rFonts w:asciiTheme="majorBidi" w:hAnsiTheme="majorBidi" w:cstheme="majorBidi"/>
          <w:color w:val="000000" w:themeColor="text1"/>
        </w:rPr>
        <w:t xml:space="preserve">as Relatorías Especiales. </w:t>
      </w:r>
    </w:p>
    <w:p w14:paraId="30EDE724" w14:textId="43BA16F0" w:rsidR="00B74CF5" w:rsidRPr="00074944" w:rsidRDefault="00B74CF5" w:rsidP="00197C3D">
      <w:pPr>
        <w:pStyle w:val="Prrafodelista"/>
        <w:numPr>
          <w:ilvl w:val="1"/>
          <w:numId w:val="1"/>
        </w:numPr>
        <w:jc w:val="both"/>
        <w:rPr>
          <w:rFonts w:asciiTheme="majorBidi" w:hAnsiTheme="majorBidi" w:cstheme="majorBidi"/>
          <w:b/>
          <w:bCs/>
          <w:color w:val="000000" w:themeColor="text1"/>
        </w:rPr>
      </w:pPr>
      <w:r w:rsidRPr="00074944">
        <w:rPr>
          <w:rFonts w:asciiTheme="majorBidi" w:hAnsiTheme="majorBidi" w:cstheme="majorBidi"/>
          <w:b/>
          <w:bCs/>
          <w:color w:val="000000" w:themeColor="text1"/>
        </w:rPr>
        <w:t xml:space="preserve">Información del caso puntual Domingo </w:t>
      </w:r>
      <w:r w:rsidR="000745ED">
        <w:rPr>
          <w:rFonts w:asciiTheme="majorBidi" w:hAnsiTheme="majorBidi" w:cstheme="majorBidi"/>
          <w:b/>
          <w:bCs/>
          <w:color w:val="000000" w:themeColor="text1"/>
        </w:rPr>
        <w:t>C</w:t>
      </w:r>
      <w:r w:rsidRPr="00074944">
        <w:rPr>
          <w:rFonts w:asciiTheme="majorBidi" w:hAnsiTheme="majorBidi" w:cstheme="majorBidi"/>
          <w:b/>
          <w:bCs/>
          <w:color w:val="000000" w:themeColor="text1"/>
        </w:rPr>
        <w:t>hoc</w:t>
      </w:r>
    </w:p>
    <w:p w14:paraId="0D98A603" w14:textId="77777777" w:rsidR="00D91283" w:rsidRPr="00AA736C" w:rsidRDefault="00D91283" w:rsidP="00D91283">
      <w:pPr>
        <w:spacing w:before="300" w:after="300" w:line="240" w:lineRule="auto"/>
        <w:jc w:val="both"/>
        <w:rPr>
          <w:rFonts w:ascii="Times New Roman" w:eastAsia="Times New Roman" w:hAnsi="Times New Roman" w:cs="Times New Roman"/>
          <w:kern w:val="0"/>
          <w:lang w:eastAsia="es-GT"/>
          <w14:ligatures w14:val="none"/>
        </w:rPr>
      </w:pPr>
      <w:r w:rsidRPr="00AA736C">
        <w:rPr>
          <w:rFonts w:ascii="Times New Roman" w:eastAsia="Times New Roman" w:hAnsi="Times New Roman" w:cs="Times New Roman"/>
          <w:kern w:val="0"/>
          <w:lang w:eastAsia="es-GT"/>
          <w14:ligatures w14:val="none"/>
        </w:rPr>
        <w:t>El abuelo Domingo Choc Che, guía espiritual, científico indígena, experto en el manejo de plantas medicinales y medicina natural, quien practicaba la sanación de personas aplicando la espiritualidad maya y plantas medicinales. Asesinado el 6 de junio de 2020. Hechos ocurridos en la Aldea Chimay del Municipio de San Luis del Departamento de El Petén que en una reunión del Consejo Comunitario de Desarrollo -COCODE- y personas de la comunidad, quienes estaban decidiendo sobre la muerte, en ese momento tenían amarrado a don Domingo Choc Che, donde se acercaron varias personas, le rociaron gasolina y le prendieron fuego, el abuelo murió quemado, siendo la causa de muerte quemaduras de tercer y cuarto grado, quemadura térmica. </w:t>
      </w:r>
    </w:p>
    <w:p w14:paraId="34256761" w14:textId="77777777" w:rsidR="00D91283" w:rsidRPr="00AA736C" w:rsidRDefault="00D91283" w:rsidP="00D91283">
      <w:pPr>
        <w:spacing w:before="300" w:after="0" w:line="240" w:lineRule="auto"/>
        <w:jc w:val="both"/>
        <w:rPr>
          <w:rFonts w:ascii="Times New Roman" w:eastAsia="Times New Roman" w:hAnsi="Times New Roman" w:cs="Times New Roman"/>
          <w:kern w:val="0"/>
          <w:lang w:eastAsia="es-GT"/>
          <w14:ligatures w14:val="none"/>
        </w:rPr>
      </w:pPr>
      <w:r w:rsidRPr="00AA736C">
        <w:rPr>
          <w:rFonts w:ascii="Times New Roman" w:eastAsia="Times New Roman" w:hAnsi="Times New Roman" w:cs="Times New Roman"/>
          <w:kern w:val="0"/>
          <w:lang w:eastAsia="es-GT"/>
          <w14:ligatures w14:val="none"/>
        </w:rPr>
        <w:t xml:space="preserve">Las personas que asesinaron al guía espiritual Choc Che,  lo acusaron que practicaba brujería y que con las actividades que realizaba le hacía daño a la comunidad, lo que está prohibido por la iglesia, sin embargo, el Tribunal de Sentencia Penal, Narcoactividad y Delitos Contra el Ambiente del Departamento de Petén, sentenció a Romelia Caal Chub, Candelaria Magaly Pop Caal y Edin Arnoldo Pop Caal, al ser autores del delito de Homicidio por lo que se les impuso 20 años de prisión inconmutable, de reparación digna trece mil quetzales, aunque la sentencia haya sido condenatoria no es justa toda vez que el Ministerio Público y los Querellantes (Familiares) habían solicitado que </w:t>
      </w:r>
      <w:r w:rsidRPr="00AA736C">
        <w:rPr>
          <w:rFonts w:ascii="Times New Roman" w:eastAsia="Times New Roman" w:hAnsi="Times New Roman" w:cs="Times New Roman"/>
          <w:kern w:val="0"/>
          <w:lang w:eastAsia="es-GT"/>
          <w14:ligatures w14:val="none"/>
        </w:rPr>
        <w:lastRenderedPageBreak/>
        <w:t xml:space="preserve">se les condenara por el delito de  Asesinato. (Expediente 17005-2020-00088). Sentencia de primer grado dictada el 24 de junio de 2021. </w:t>
      </w:r>
    </w:p>
    <w:p w14:paraId="52B8C9A2" w14:textId="77777777" w:rsidR="00074944" w:rsidRDefault="00D91283" w:rsidP="00074944">
      <w:pPr>
        <w:spacing w:before="300" w:after="0" w:line="240" w:lineRule="auto"/>
        <w:jc w:val="both"/>
        <w:rPr>
          <w:rFonts w:ascii="Times New Roman" w:eastAsia="Times New Roman" w:hAnsi="Times New Roman" w:cs="Times New Roman"/>
          <w:kern w:val="0"/>
          <w:lang w:eastAsia="es-GT"/>
          <w14:ligatures w14:val="none"/>
        </w:rPr>
      </w:pPr>
      <w:r w:rsidRPr="00AA736C">
        <w:rPr>
          <w:rFonts w:ascii="Times New Roman" w:eastAsia="Times New Roman" w:hAnsi="Times New Roman" w:cs="Times New Roman"/>
          <w:kern w:val="0"/>
          <w:lang w:eastAsia="es-GT"/>
          <w14:ligatures w14:val="none"/>
        </w:rPr>
        <w:t xml:space="preserve">La sentencia fue impugnada y fue declarado con lugar por la Sala de la Corte de Apelaciones de Poptun y fueron condenados a 25 años por el delito de asesinato. La sentencia luego fue impugnada de casación, pero no prosperó. </w:t>
      </w:r>
    </w:p>
    <w:p w14:paraId="25D75ADC" w14:textId="2BC6CC86" w:rsidR="00CB468A" w:rsidRPr="00074944" w:rsidRDefault="00CB468A" w:rsidP="00074944">
      <w:pPr>
        <w:pStyle w:val="Prrafodelista"/>
        <w:numPr>
          <w:ilvl w:val="4"/>
          <w:numId w:val="1"/>
        </w:numPr>
        <w:spacing w:before="300" w:after="0" w:line="240" w:lineRule="auto"/>
        <w:ind w:left="851"/>
        <w:jc w:val="both"/>
        <w:rPr>
          <w:rFonts w:ascii="Times New Roman" w:eastAsia="Times New Roman" w:hAnsi="Times New Roman" w:cs="Times New Roman"/>
          <w:b/>
          <w:bCs/>
          <w:kern w:val="0"/>
          <w:lang w:eastAsia="es-GT"/>
          <w14:ligatures w14:val="none"/>
        </w:rPr>
      </w:pPr>
      <w:r w:rsidRPr="00074944">
        <w:rPr>
          <w:rFonts w:asciiTheme="majorBidi" w:hAnsiTheme="majorBidi" w:cstheme="majorBidi"/>
          <w:b/>
          <w:bCs/>
          <w:color w:val="000000" w:themeColor="text1"/>
        </w:rPr>
        <w:t xml:space="preserve">Falta de uso de estándares por jueces en el caso y </w:t>
      </w:r>
      <w:r w:rsidR="00074944">
        <w:rPr>
          <w:rFonts w:asciiTheme="majorBidi" w:hAnsiTheme="majorBidi" w:cstheme="majorBidi"/>
          <w:b/>
          <w:bCs/>
          <w:color w:val="000000" w:themeColor="text1"/>
        </w:rPr>
        <w:t xml:space="preserve">falta de </w:t>
      </w:r>
      <w:r w:rsidRPr="00074944">
        <w:rPr>
          <w:rFonts w:asciiTheme="majorBidi" w:hAnsiTheme="majorBidi" w:cstheme="majorBidi"/>
          <w:b/>
          <w:bCs/>
          <w:color w:val="000000" w:themeColor="text1"/>
        </w:rPr>
        <w:t xml:space="preserve">reparación integral </w:t>
      </w:r>
    </w:p>
    <w:p w14:paraId="25095D11" w14:textId="4B7DC99C" w:rsidR="00995F2B" w:rsidRPr="00995F2B" w:rsidRDefault="00995F2B" w:rsidP="00074944">
      <w:pPr>
        <w:pStyle w:val="Sinespaciado"/>
        <w:spacing w:before="240"/>
        <w:jc w:val="both"/>
        <w:rPr>
          <w:rFonts w:ascii="Times New Roman" w:hAnsi="Times New Roman" w:cs="Times New Roman"/>
          <w:lang w:eastAsia="zh-CN"/>
        </w:rPr>
      </w:pPr>
      <w:r w:rsidRPr="00995F2B">
        <w:rPr>
          <w:rFonts w:ascii="Times New Roman" w:hAnsi="Times New Roman" w:cs="Times New Roman"/>
          <w:lang w:eastAsia="zh-CN"/>
        </w:rPr>
        <w:t xml:space="preserve">A pesar de que por parte de los querellantes adhesivos aportaron estudios sobre las funciones de los guías espirituales o ajquilonel o ajcalonel (en idioma maya) y una explicación de los antecedentes que origina la quema de personas acusadas de brujos, así como las circunstancias históricas, ideológicas, religiosas y socioculturales, que incidieron para provocar los hechos, no se </w:t>
      </w:r>
      <w:proofErr w:type="gramStart"/>
      <w:r w:rsidRPr="00995F2B">
        <w:rPr>
          <w:rFonts w:ascii="Times New Roman" w:hAnsi="Times New Roman" w:cs="Times New Roman"/>
          <w:lang w:eastAsia="zh-CN"/>
        </w:rPr>
        <w:t>les</w:t>
      </w:r>
      <w:proofErr w:type="gramEnd"/>
      <w:r w:rsidRPr="00995F2B">
        <w:rPr>
          <w:rFonts w:ascii="Times New Roman" w:hAnsi="Times New Roman" w:cs="Times New Roman"/>
          <w:lang w:eastAsia="zh-CN"/>
        </w:rPr>
        <w:t xml:space="preserve"> dio valor probatorio al peritaje, ya que en la acusación no se hace mención que el móvil fue por brujería. Se presentó un aporte probatorio importante sobre los elementos cosmogónicos de pueblos indígenas en términos de atención a la salud comunitaria, que conforman los conocimientos científicos sobre la medicina maya, en la sentencia, no se consideraron los derechos colectivos de pueblos indígenas a la salud, al ejercicio de su espiritualidad, no se hizo mención del derecho a la libertad de religión, por lo que esta sentencia no tuvo un avance justo y significativo.</w:t>
      </w:r>
    </w:p>
    <w:p w14:paraId="7344196F" w14:textId="77777777" w:rsidR="00995F2B" w:rsidRPr="00995F2B" w:rsidRDefault="00995F2B" w:rsidP="00995F2B">
      <w:pPr>
        <w:pStyle w:val="Sinespaciado"/>
        <w:jc w:val="both"/>
        <w:rPr>
          <w:rFonts w:ascii="Times New Roman" w:hAnsi="Times New Roman" w:cs="Times New Roman"/>
          <w:lang w:eastAsia="zh-CN"/>
        </w:rPr>
      </w:pPr>
    </w:p>
    <w:p w14:paraId="1690A360" w14:textId="77777777" w:rsidR="00995F2B" w:rsidRPr="00995F2B" w:rsidRDefault="00995F2B" w:rsidP="00995F2B">
      <w:pPr>
        <w:pStyle w:val="Sinespaciado"/>
        <w:jc w:val="both"/>
        <w:rPr>
          <w:rFonts w:ascii="Times New Roman" w:eastAsia="Calibri" w:hAnsi="Times New Roman" w:cs="Times New Roman"/>
          <w:kern w:val="0"/>
          <w14:ligatures w14:val="none"/>
        </w:rPr>
      </w:pPr>
      <w:r w:rsidRPr="00995F2B">
        <w:rPr>
          <w:rFonts w:ascii="Times New Roman" w:eastAsia="Calibri" w:hAnsi="Times New Roman" w:cs="Times New Roman"/>
          <w:kern w:val="0"/>
          <w14:ligatures w14:val="none"/>
        </w:rPr>
        <w:t>La sentencia al no hacer referencia alguna a los principios internacionales sobre derechos específicos de pueblos indígenas a ejercer su espiritualidad, a la libertad de religión, presenta un nivel limitado en la incorporación e interpretación del derecho con un enfoque intercultural.</w:t>
      </w:r>
    </w:p>
    <w:p w14:paraId="45D84AA7" w14:textId="77777777" w:rsidR="00995F2B" w:rsidRPr="00995F2B" w:rsidRDefault="00995F2B" w:rsidP="00995F2B">
      <w:pPr>
        <w:pStyle w:val="Sinespaciado"/>
        <w:jc w:val="both"/>
        <w:rPr>
          <w:rFonts w:ascii="Times New Roman" w:eastAsia="Calibri" w:hAnsi="Times New Roman" w:cs="Times New Roman"/>
          <w:kern w:val="0"/>
          <w:lang w:eastAsia="zh-CN"/>
          <w14:ligatures w14:val="none"/>
        </w:rPr>
      </w:pPr>
    </w:p>
    <w:p w14:paraId="54973026" w14:textId="22A11BF2" w:rsidR="005C5242" w:rsidRPr="00E35028" w:rsidRDefault="00995F2B" w:rsidP="00E35028">
      <w:pPr>
        <w:jc w:val="both"/>
        <w:rPr>
          <w:rFonts w:asciiTheme="majorBidi" w:hAnsiTheme="majorBidi" w:cstheme="majorBidi"/>
          <w:color w:val="C00000"/>
          <w:highlight w:val="yellow"/>
        </w:rPr>
      </w:pPr>
      <w:r w:rsidRPr="00995F2B">
        <w:rPr>
          <w:rFonts w:ascii="Times New Roman" w:eastAsia="DengXian" w:hAnsi="Times New Roman" w:cs="Times New Roman"/>
        </w:rPr>
        <w:t>En la sentencia no se consideró una reparación integral, ya que se le condenó a un resarcimiento económico, sin tomar en cuenta los impactos en la comunidad, así como, la perdida de la memoria y los conocimientos científicos sobre la med</w:t>
      </w:r>
      <w:r w:rsidRPr="00AA5EA4">
        <w:rPr>
          <w:rFonts w:ascii="Times New Roman" w:eastAsia="DengXian" w:hAnsi="Times New Roman" w:cs="Times New Roman"/>
        </w:rPr>
        <w:t>icina tradicional.</w:t>
      </w:r>
      <w:r w:rsidR="00AA5EA4" w:rsidRPr="00AA5EA4">
        <w:rPr>
          <w:rFonts w:ascii="Times New Roman" w:eastAsia="DengXian" w:hAnsi="Times New Roman" w:cs="Times New Roman"/>
        </w:rPr>
        <w:t xml:space="preserve"> La única medida de reparación, derivado de la acción civil de reparación digna, en forma parcial, la suma de Q13,700.0</w:t>
      </w:r>
      <w:r w:rsidR="00E35028">
        <w:rPr>
          <w:rFonts w:ascii="Times New Roman" w:eastAsia="DengXian" w:hAnsi="Times New Roman" w:cs="Times New Roman"/>
        </w:rPr>
        <w:t xml:space="preserve">0. Lastimosamente, a la fecha </w:t>
      </w:r>
      <w:r w:rsidR="00D23C31">
        <w:rPr>
          <w:rFonts w:ascii="Times New Roman" w:eastAsia="DengXian" w:hAnsi="Times New Roman" w:cs="Times New Roman"/>
        </w:rPr>
        <w:t>aún</w:t>
      </w:r>
      <w:r w:rsidR="00E35028">
        <w:rPr>
          <w:rFonts w:ascii="Times New Roman" w:eastAsia="DengXian" w:hAnsi="Times New Roman" w:cs="Times New Roman"/>
        </w:rPr>
        <w:t xml:space="preserve"> no han cumplido la reparación económica. </w:t>
      </w:r>
    </w:p>
    <w:p w14:paraId="355A8064" w14:textId="77777777" w:rsidR="008A6E31" w:rsidRPr="009E2A0E" w:rsidRDefault="008A6E31" w:rsidP="0080713B">
      <w:pPr>
        <w:pStyle w:val="Prrafodelista"/>
        <w:numPr>
          <w:ilvl w:val="2"/>
          <w:numId w:val="7"/>
        </w:numPr>
        <w:jc w:val="both"/>
        <w:outlineLvl w:val="2"/>
        <w:rPr>
          <w:rFonts w:asciiTheme="majorBidi" w:hAnsiTheme="majorBidi" w:cstheme="majorBidi"/>
          <w:b/>
          <w:bCs/>
          <w:color w:val="000000" w:themeColor="text1"/>
        </w:rPr>
      </w:pPr>
      <w:bookmarkStart w:id="23" w:name="_Toc204264046"/>
      <w:r w:rsidRPr="009E2A0E">
        <w:rPr>
          <w:rFonts w:asciiTheme="majorBidi" w:hAnsiTheme="majorBidi" w:cstheme="majorBidi"/>
          <w:b/>
          <w:bCs/>
          <w:color w:val="000000" w:themeColor="text1"/>
        </w:rPr>
        <w:t>Recomendaciones relacionadas al derecho de libertad de pensamiento, creencia y religión</w:t>
      </w:r>
      <w:bookmarkEnd w:id="23"/>
      <w:r w:rsidRPr="009E2A0E">
        <w:rPr>
          <w:rFonts w:asciiTheme="majorBidi" w:hAnsiTheme="majorBidi" w:cstheme="majorBidi"/>
          <w:b/>
          <w:bCs/>
          <w:color w:val="000000" w:themeColor="text1"/>
        </w:rPr>
        <w:t xml:space="preserve"> </w:t>
      </w:r>
    </w:p>
    <w:p w14:paraId="4F390E2D" w14:textId="77777777" w:rsidR="008A6E31" w:rsidRPr="009E2A0E" w:rsidRDefault="008A6E31" w:rsidP="008A6E31">
      <w:pPr>
        <w:pStyle w:val="Prrafodelista"/>
        <w:ind w:left="1080"/>
        <w:jc w:val="both"/>
        <w:rPr>
          <w:rFonts w:asciiTheme="majorBidi" w:hAnsiTheme="majorBidi" w:cstheme="majorBidi"/>
          <w:b/>
          <w:bCs/>
          <w:color w:val="000000" w:themeColor="text1"/>
        </w:rPr>
      </w:pPr>
    </w:p>
    <w:tbl>
      <w:tblPr>
        <w:tblStyle w:val="Tablaconcuadrcula"/>
        <w:tblW w:w="10632" w:type="dxa"/>
        <w:tblInd w:w="-998" w:type="dxa"/>
        <w:shd w:val="clear" w:color="auto" w:fill="FFF2CC" w:themeFill="accent4" w:themeFillTint="33"/>
        <w:tblLook w:val="04A0" w:firstRow="1" w:lastRow="0" w:firstColumn="1" w:lastColumn="0" w:noHBand="0" w:noVBand="1"/>
      </w:tblPr>
      <w:tblGrid>
        <w:gridCol w:w="10632"/>
      </w:tblGrid>
      <w:tr w:rsidR="00AC5254" w:rsidRPr="009E2A0E" w14:paraId="6513C49F" w14:textId="77777777" w:rsidTr="00C65C44">
        <w:tc>
          <w:tcPr>
            <w:tcW w:w="10632" w:type="dxa"/>
            <w:shd w:val="clear" w:color="auto" w:fill="FFF2CC" w:themeFill="accent4" w:themeFillTint="33"/>
          </w:tcPr>
          <w:p w14:paraId="52E63889" w14:textId="445B9CCD" w:rsidR="00AC5254" w:rsidRPr="009E2A0E" w:rsidRDefault="00865A23" w:rsidP="00197C3D">
            <w:pPr>
              <w:pStyle w:val="Prrafodelista"/>
              <w:numPr>
                <w:ilvl w:val="2"/>
                <w:numId w:val="1"/>
              </w:numPr>
              <w:ind w:left="744"/>
              <w:jc w:val="both"/>
              <w:rPr>
                <w:rFonts w:asciiTheme="majorBidi" w:eastAsia="Times New Roman" w:hAnsiTheme="majorBidi" w:cstheme="majorBidi"/>
                <w:i/>
                <w:iCs/>
                <w:color w:val="000000" w:themeColor="text1"/>
              </w:rPr>
            </w:pPr>
            <w:r w:rsidRPr="009E2A0E">
              <w:rPr>
                <w:rFonts w:asciiTheme="majorBidi" w:eastAsia="Times New Roman" w:hAnsiTheme="majorBidi" w:cstheme="majorBidi"/>
                <w:i/>
                <w:iCs/>
                <w:color w:val="000000" w:themeColor="text1"/>
              </w:rPr>
              <w:t xml:space="preserve">El Estado de Guatemala, en cumplimiento de sus obligaciones internacionales, garantice el acceso efectivo a la justicia para la Abuela Adela Choc, actuando con la debida diligencia en la investigación, persecución penal, juzgamiento y sanción de los responsables del ataque en su contra. En este sentido, el Ministerio Público debe activar de forma inmediata la acción penal contra los agresores, quienes aún permanecen en libertad, y el Organismo Judicial debe aplicar el marco normativo nacional e internacional de derechos humanos, reconociendo la gravedad </w:t>
            </w:r>
            <w:r w:rsidR="00323334" w:rsidRPr="009E2A0E">
              <w:rPr>
                <w:rFonts w:asciiTheme="majorBidi" w:eastAsia="Times New Roman" w:hAnsiTheme="majorBidi" w:cstheme="majorBidi"/>
                <w:i/>
                <w:iCs/>
                <w:color w:val="000000" w:themeColor="text1"/>
              </w:rPr>
              <w:t>de los hechos</w:t>
            </w:r>
            <w:r w:rsidRPr="009E2A0E">
              <w:rPr>
                <w:rFonts w:asciiTheme="majorBidi" w:eastAsia="Times New Roman" w:hAnsiTheme="majorBidi" w:cstheme="majorBidi"/>
                <w:i/>
                <w:iCs/>
                <w:color w:val="000000" w:themeColor="text1"/>
              </w:rPr>
              <w:t>. Asimismo, se debe asegurar un proceso de reparación integral, digna y culturalmente adecuada, respetando la cosmovisión y los derechos fundamentales de la víctima.</w:t>
            </w:r>
          </w:p>
        </w:tc>
      </w:tr>
      <w:tr w:rsidR="00AC5254" w:rsidRPr="009E2A0E" w14:paraId="1C2C424A" w14:textId="77777777" w:rsidTr="00C65C44">
        <w:tc>
          <w:tcPr>
            <w:tcW w:w="10632" w:type="dxa"/>
            <w:shd w:val="clear" w:color="auto" w:fill="FFF2CC" w:themeFill="accent4" w:themeFillTint="33"/>
          </w:tcPr>
          <w:p w14:paraId="426AF455" w14:textId="3A591A70" w:rsidR="00AC5254" w:rsidRPr="00E71F87" w:rsidRDefault="007A4930" w:rsidP="00197C3D">
            <w:pPr>
              <w:pStyle w:val="Prrafodelista"/>
              <w:numPr>
                <w:ilvl w:val="2"/>
                <w:numId w:val="1"/>
              </w:numPr>
              <w:ind w:left="744"/>
              <w:jc w:val="both"/>
              <w:rPr>
                <w:rFonts w:asciiTheme="majorBidi" w:eastAsia="Times New Roman" w:hAnsiTheme="majorBidi" w:cstheme="majorBidi"/>
                <w:i/>
                <w:iCs/>
                <w:color w:val="0D0D0D" w:themeColor="text1" w:themeTint="F2"/>
              </w:rPr>
            </w:pPr>
            <w:r w:rsidRPr="00E71F87">
              <w:rPr>
                <w:rFonts w:asciiTheme="majorBidi" w:eastAsia="Times New Roman" w:hAnsiTheme="majorBidi" w:cstheme="majorBidi"/>
                <w:i/>
                <w:iCs/>
                <w:color w:val="0D0D0D" w:themeColor="text1" w:themeTint="F2"/>
              </w:rPr>
              <w:t xml:space="preserve">El Estado debe garantizar el respeto y la protección de la espiritualidad de los pueblos </w:t>
            </w:r>
            <w:r w:rsidR="00323334" w:rsidRPr="00E71F87">
              <w:rPr>
                <w:rFonts w:asciiTheme="majorBidi" w:eastAsia="Times New Roman" w:hAnsiTheme="majorBidi" w:cstheme="majorBidi"/>
                <w:i/>
                <w:iCs/>
                <w:color w:val="0D0D0D" w:themeColor="text1" w:themeTint="F2"/>
              </w:rPr>
              <w:t>indígenas, asegurando</w:t>
            </w:r>
            <w:r w:rsidR="00A720AD" w:rsidRPr="00E71F87">
              <w:rPr>
                <w:rFonts w:asciiTheme="majorBidi" w:eastAsia="Times New Roman" w:hAnsiTheme="majorBidi" w:cstheme="majorBidi"/>
                <w:i/>
                <w:iCs/>
                <w:color w:val="0D0D0D" w:themeColor="text1" w:themeTint="F2"/>
              </w:rPr>
              <w:t xml:space="preserve"> además el ejercicio pleno del derecho, </w:t>
            </w:r>
            <w:r w:rsidRPr="00E71F87">
              <w:rPr>
                <w:rFonts w:asciiTheme="majorBidi" w:eastAsia="Times New Roman" w:hAnsiTheme="majorBidi" w:cstheme="majorBidi"/>
                <w:i/>
                <w:iCs/>
                <w:color w:val="0D0D0D" w:themeColor="text1" w:themeTint="F2"/>
              </w:rPr>
              <w:t>absteniéndose de aplicar medidas que impliquen el despojo o la criminalización de los materiales ceremoniales utilizados por las y los guías espirituales. Reconocer y garantiza</w:t>
            </w:r>
            <w:r w:rsidR="001C31B5" w:rsidRPr="00E71F87">
              <w:rPr>
                <w:rFonts w:asciiTheme="majorBidi" w:eastAsia="Times New Roman" w:hAnsiTheme="majorBidi" w:cstheme="majorBidi"/>
                <w:i/>
                <w:iCs/>
                <w:color w:val="0D0D0D" w:themeColor="text1" w:themeTint="F2"/>
              </w:rPr>
              <w:t>r</w:t>
            </w:r>
            <w:r w:rsidRPr="00E71F87">
              <w:rPr>
                <w:rFonts w:asciiTheme="majorBidi" w:eastAsia="Times New Roman" w:hAnsiTheme="majorBidi" w:cstheme="majorBidi"/>
                <w:i/>
                <w:iCs/>
                <w:color w:val="0D0D0D" w:themeColor="text1" w:themeTint="F2"/>
              </w:rPr>
              <w:t xml:space="preserve"> que el Copal Pom son </w:t>
            </w:r>
            <w:r w:rsidR="00323334" w:rsidRPr="00E71F87">
              <w:rPr>
                <w:rFonts w:asciiTheme="majorBidi" w:eastAsia="Times New Roman" w:hAnsiTheme="majorBidi" w:cstheme="majorBidi"/>
                <w:i/>
                <w:iCs/>
                <w:color w:val="0D0D0D" w:themeColor="text1" w:themeTint="F2"/>
              </w:rPr>
              <w:t>elementos provenientes</w:t>
            </w:r>
            <w:r w:rsidRPr="00E71F87">
              <w:rPr>
                <w:rFonts w:asciiTheme="majorBidi" w:eastAsia="Times New Roman" w:hAnsiTheme="majorBidi" w:cstheme="majorBidi"/>
                <w:i/>
                <w:iCs/>
                <w:color w:val="0D0D0D" w:themeColor="text1" w:themeTint="F2"/>
              </w:rPr>
              <w:t xml:space="preserve"> de la naturaleza; y especialmente esenciales para la práctica de las ceremonias mayas, por lo que deben ser reconocido por su valor espiritual, cultural y ambiental, garantizando su uso sostenible y libre de restricciones arbitrarias.</w:t>
            </w:r>
          </w:p>
        </w:tc>
      </w:tr>
      <w:tr w:rsidR="00AC5254" w:rsidRPr="009E2A0E" w14:paraId="04F8464E" w14:textId="77777777" w:rsidTr="00C65C44">
        <w:tc>
          <w:tcPr>
            <w:tcW w:w="10632" w:type="dxa"/>
            <w:shd w:val="clear" w:color="auto" w:fill="FFF2CC" w:themeFill="accent4" w:themeFillTint="33"/>
          </w:tcPr>
          <w:p w14:paraId="68F7C974" w14:textId="10C37A06" w:rsidR="00AC5254" w:rsidRPr="00E71F87" w:rsidRDefault="007A4930" w:rsidP="00197C3D">
            <w:pPr>
              <w:pStyle w:val="Prrafodelista"/>
              <w:numPr>
                <w:ilvl w:val="0"/>
                <w:numId w:val="13"/>
              </w:numPr>
              <w:spacing w:line="276" w:lineRule="auto"/>
              <w:ind w:left="744"/>
              <w:rPr>
                <w:rFonts w:asciiTheme="majorBidi" w:eastAsia="Times New Roman" w:hAnsiTheme="majorBidi" w:cstheme="majorBidi"/>
                <w:i/>
                <w:iCs/>
                <w:color w:val="0D0D0D" w:themeColor="text1" w:themeTint="F2"/>
              </w:rPr>
            </w:pPr>
            <w:r w:rsidRPr="00E71F87">
              <w:rPr>
                <w:rFonts w:asciiTheme="majorBidi" w:eastAsia="Times New Roman" w:hAnsiTheme="majorBidi" w:cstheme="majorBidi"/>
                <w:i/>
                <w:iCs/>
                <w:color w:val="0D0D0D" w:themeColor="text1" w:themeTint="F2"/>
              </w:rPr>
              <w:t xml:space="preserve">Debe eliminar cualquier obstáculo en el acceso a los lugares sagrados, incluyendo tarifas, horarios u otras limitaciones, y avanzar en el reconocimiento y devolución de la gobernanza de dichos sitios a los pueblos indígenas, protegiéndolos frente a actores particulares o empresariales que intenten apropiarse de ellos, </w:t>
            </w:r>
            <w:r w:rsidRPr="00E71F87">
              <w:rPr>
                <w:rFonts w:asciiTheme="majorBidi" w:eastAsia="Times New Roman" w:hAnsiTheme="majorBidi" w:cstheme="majorBidi"/>
                <w:i/>
                <w:iCs/>
                <w:color w:val="0D0D0D" w:themeColor="text1" w:themeTint="F2"/>
              </w:rPr>
              <w:lastRenderedPageBreak/>
              <w:t>aplicando el enfoque de derechos humanos, no discriminación y en el marco del respeto a la libre determinación de los pueblos indígenas.</w:t>
            </w:r>
          </w:p>
        </w:tc>
      </w:tr>
      <w:tr w:rsidR="002D723D" w:rsidRPr="009E2A0E" w14:paraId="35A39607" w14:textId="77777777" w:rsidTr="00C65C44">
        <w:tc>
          <w:tcPr>
            <w:tcW w:w="10632" w:type="dxa"/>
            <w:shd w:val="clear" w:color="auto" w:fill="FFF2CC" w:themeFill="accent4" w:themeFillTint="33"/>
          </w:tcPr>
          <w:p w14:paraId="551C317E" w14:textId="6A6616E4" w:rsidR="002D723D" w:rsidRPr="00E71F87" w:rsidRDefault="002D723D" w:rsidP="002D723D">
            <w:pPr>
              <w:pStyle w:val="Prrafodelista"/>
              <w:numPr>
                <w:ilvl w:val="0"/>
                <w:numId w:val="13"/>
              </w:numPr>
              <w:spacing w:line="276" w:lineRule="auto"/>
              <w:ind w:left="744"/>
              <w:rPr>
                <w:rFonts w:asciiTheme="majorBidi" w:eastAsia="Times New Roman" w:hAnsiTheme="majorBidi" w:cstheme="majorBidi"/>
                <w:i/>
                <w:iCs/>
                <w:color w:val="0D0D0D" w:themeColor="text1" w:themeTint="F2"/>
              </w:rPr>
            </w:pPr>
            <w:r w:rsidRPr="00E71F87">
              <w:rPr>
                <w:rFonts w:ascii="Times New Roman" w:eastAsia="Times New Roman" w:hAnsi="Times New Roman" w:cs="Times New Roman"/>
                <w:i/>
                <w:iCs/>
                <w:color w:val="0D0D0D" w:themeColor="text1" w:themeTint="F2"/>
              </w:rPr>
              <w:lastRenderedPageBreak/>
              <w:t xml:space="preserve">Hacer un llamado al </w:t>
            </w:r>
            <w:r w:rsidRPr="00E71F87">
              <w:rPr>
                <w:rFonts w:ascii="Times New Roman" w:eastAsia="SimSun" w:hAnsi="Times New Roman" w:cs="Times New Roman"/>
                <w:i/>
                <w:iCs/>
                <w:color w:val="0D0D0D" w:themeColor="text1" w:themeTint="F2"/>
                <w:kern w:val="0"/>
                <w14:ligatures w14:val="none"/>
              </w:rPr>
              <w:t>Estado a erradicar y condenar la intolerancia y promover fuertemente el respeto a todas las expresiones de espiritualidad.</w:t>
            </w:r>
          </w:p>
        </w:tc>
      </w:tr>
      <w:tr w:rsidR="002D723D" w:rsidRPr="009E2A0E" w14:paraId="58B81E5D" w14:textId="77777777" w:rsidTr="00C65C44">
        <w:tc>
          <w:tcPr>
            <w:tcW w:w="10632" w:type="dxa"/>
            <w:shd w:val="clear" w:color="auto" w:fill="FFF2CC" w:themeFill="accent4" w:themeFillTint="33"/>
          </w:tcPr>
          <w:p w14:paraId="77216F4F" w14:textId="2A71A895" w:rsidR="002D723D" w:rsidRPr="00E71F87" w:rsidRDefault="002D723D" w:rsidP="002D723D">
            <w:pPr>
              <w:pStyle w:val="Prrafodelista"/>
              <w:numPr>
                <w:ilvl w:val="0"/>
                <w:numId w:val="13"/>
              </w:numPr>
              <w:spacing w:line="276" w:lineRule="auto"/>
              <w:ind w:left="744"/>
              <w:rPr>
                <w:rFonts w:ascii="Times New Roman" w:eastAsia="Times New Roman" w:hAnsi="Times New Roman" w:cs="Times New Roman"/>
                <w:i/>
                <w:iCs/>
                <w:color w:val="0D0D0D" w:themeColor="text1" w:themeTint="F2"/>
              </w:rPr>
            </w:pPr>
            <w:r w:rsidRPr="00E71F87">
              <w:rPr>
                <w:rFonts w:ascii="Times New Roman" w:eastAsia="Times New Roman" w:hAnsi="Times New Roman" w:cs="Times New Roman"/>
                <w:i/>
                <w:iCs/>
                <w:color w:val="0D0D0D" w:themeColor="text1" w:themeTint="F2"/>
              </w:rPr>
              <w:t xml:space="preserve">Se tomen medidas </w:t>
            </w:r>
            <w:r w:rsidRPr="00E71F87">
              <w:rPr>
                <w:rFonts w:ascii="Times New Roman" w:eastAsia="SimSun" w:hAnsi="Times New Roman" w:cs="Times New Roman"/>
                <w:i/>
                <w:iCs/>
                <w:color w:val="0D0D0D" w:themeColor="text1" w:themeTint="F2"/>
                <w:kern w:val="0"/>
                <w14:ligatures w14:val="none"/>
              </w:rPr>
              <w:t>para proteger la vida, los derechos y libertades de las y los guías espirituales indígenas, que además de ejercer esta práctica ancestral, promueven la paz y armonía comunitaria, quienes han sufrido una persecución sistemática por practicar su cosmovisión; generándose violencia extrema al grado de atentar contra su vida, quienes deben ejercer libremente sus labores sin temor a sufrir represalias, amenazas, intimidación o agresión.</w:t>
            </w:r>
          </w:p>
        </w:tc>
      </w:tr>
      <w:tr w:rsidR="003900C7" w:rsidRPr="009E2A0E" w14:paraId="15B711EA" w14:textId="77777777" w:rsidTr="00C65C44">
        <w:tc>
          <w:tcPr>
            <w:tcW w:w="10632" w:type="dxa"/>
            <w:shd w:val="clear" w:color="auto" w:fill="FFF2CC" w:themeFill="accent4" w:themeFillTint="33"/>
          </w:tcPr>
          <w:p w14:paraId="2D2C409A" w14:textId="20749119" w:rsidR="003900C7" w:rsidRPr="00E71F87" w:rsidRDefault="003900C7" w:rsidP="002D723D">
            <w:pPr>
              <w:pStyle w:val="Prrafodelista"/>
              <w:numPr>
                <w:ilvl w:val="0"/>
                <w:numId w:val="13"/>
              </w:numPr>
              <w:spacing w:line="276" w:lineRule="auto"/>
              <w:ind w:left="744"/>
              <w:rPr>
                <w:rFonts w:ascii="Times New Roman" w:eastAsia="Times New Roman" w:hAnsi="Times New Roman" w:cs="Times New Roman"/>
                <w:i/>
                <w:iCs/>
                <w:color w:val="0D0D0D" w:themeColor="text1" w:themeTint="F2"/>
              </w:rPr>
            </w:pPr>
            <w:r w:rsidRPr="00E71F87">
              <w:rPr>
                <w:rFonts w:ascii="Times New Roman" w:eastAsia="Times New Roman" w:hAnsi="Times New Roman" w:cs="Times New Roman"/>
                <w:i/>
                <w:iCs/>
                <w:color w:val="0D0D0D" w:themeColor="text1" w:themeTint="F2"/>
              </w:rPr>
              <w:t>Adoptar medidas concretas para garantizar el acceso efectivo a la justicia de los pueblos indígenas, asegurando que los operadores de justicia reciban y valoren adecuadamente los aportes técnicos y jurídicos presentados por las comunidades y sus representantes, incluyendo amicus curiae que contribuyen con enfoques interculturales y de derechos humanos.</w:t>
            </w:r>
          </w:p>
        </w:tc>
      </w:tr>
      <w:tr w:rsidR="00E72E19" w:rsidRPr="009E2A0E" w14:paraId="01328A29" w14:textId="77777777" w:rsidTr="00C65C44">
        <w:tc>
          <w:tcPr>
            <w:tcW w:w="10632" w:type="dxa"/>
            <w:shd w:val="clear" w:color="auto" w:fill="FFF2CC" w:themeFill="accent4" w:themeFillTint="33"/>
          </w:tcPr>
          <w:p w14:paraId="2C9C3F3B" w14:textId="09CB64B5" w:rsidR="00E72E19" w:rsidRPr="00E71F87" w:rsidRDefault="007D449F" w:rsidP="002D723D">
            <w:pPr>
              <w:pStyle w:val="Prrafodelista"/>
              <w:numPr>
                <w:ilvl w:val="0"/>
                <w:numId w:val="13"/>
              </w:numPr>
              <w:spacing w:line="276" w:lineRule="auto"/>
              <w:ind w:left="744"/>
              <w:rPr>
                <w:rFonts w:ascii="Times New Roman" w:eastAsia="Times New Roman" w:hAnsi="Times New Roman" w:cs="Times New Roman"/>
                <w:i/>
                <w:iCs/>
                <w:color w:val="0D0D0D" w:themeColor="text1" w:themeTint="F2"/>
              </w:rPr>
            </w:pPr>
            <w:r w:rsidRPr="00E71F87">
              <w:rPr>
                <w:rFonts w:ascii="Times New Roman" w:eastAsia="Times New Roman" w:hAnsi="Times New Roman" w:cs="Times New Roman"/>
                <w:i/>
                <w:iCs/>
                <w:color w:val="0D0D0D" w:themeColor="text1" w:themeTint="F2"/>
              </w:rPr>
              <w:t>F</w:t>
            </w:r>
            <w:r w:rsidR="00E72E19" w:rsidRPr="00E71F87">
              <w:rPr>
                <w:rFonts w:ascii="Times New Roman" w:eastAsia="Times New Roman" w:hAnsi="Times New Roman" w:cs="Times New Roman"/>
                <w:i/>
                <w:iCs/>
                <w:color w:val="0D0D0D" w:themeColor="text1" w:themeTint="F2"/>
              </w:rPr>
              <w:t>ortalecer de manera institucional, permanente y obligatoria, procesos de formación de jueces, fiscales y personal judicial en materia de derechos de los pueblos indígenas, garantizando el respeto de sus sistemas normativos, sus idiomas y cosmovisiones, como parte integral del derecho a un acceso a la justicia sin discriminación.</w:t>
            </w:r>
          </w:p>
        </w:tc>
      </w:tr>
    </w:tbl>
    <w:p w14:paraId="061E235B" w14:textId="3A1F8891" w:rsidR="008A6E31" w:rsidRPr="009E2A0E" w:rsidRDefault="008A6E31" w:rsidP="00A720AD">
      <w:pPr>
        <w:jc w:val="both"/>
        <w:rPr>
          <w:rFonts w:asciiTheme="majorBidi" w:hAnsiTheme="majorBidi" w:cstheme="majorBidi"/>
          <w:color w:val="000000" w:themeColor="text1"/>
        </w:rPr>
      </w:pPr>
      <w:r w:rsidRPr="009E2A0E">
        <w:rPr>
          <w:rFonts w:asciiTheme="majorBidi" w:hAnsiTheme="majorBidi" w:cstheme="majorBidi"/>
          <w:color w:val="000000" w:themeColor="text1"/>
        </w:rPr>
        <w:t xml:space="preserve"> </w:t>
      </w:r>
    </w:p>
    <w:p w14:paraId="53603E67" w14:textId="7B614499" w:rsidR="008A6E31" w:rsidRPr="009E2A0E" w:rsidRDefault="008A6E31" w:rsidP="008A6E31">
      <w:pPr>
        <w:jc w:val="both"/>
        <w:rPr>
          <w:rFonts w:asciiTheme="majorBidi" w:hAnsiTheme="majorBidi" w:cstheme="majorBidi"/>
          <w:b/>
          <w:bCs/>
          <w:color w:val="000000" w:themeColor="text1"/>
        </w:rPr>
        <w:sectPr w:rsidR="008A6E31" w:rsidRPr="009E2A0E">
          <w:pgSz w:w="12240" w:h="15840"/>
          <w:pgMar w:top="1417" w:right="1701" w:bottom="1417" w:left="1701" w:header="708" w:footer="708" w:gutter="0"/>
          <w:cols w:space="708"/>
          <w:docGrid w:linePitch="360"/>
        </w:sectPr>
      </w:pPr>
    </w:p>
    <w:p w14:paraId="58CE5CB2" w14:textId="7A8DCFFB" w:rsidR="00296E20" w:rsidRPr="009E2A0E" w:rsidRDefault="00C63B52" w:rsidP="00197C3D">
      <w:pPr>
        <w:pStyle w:val="Prrafodelista"/>
        <w:numPr>
          <w:ilvl w:val="1"/>
          <w:numId w:val="10"/>
        </w:numPr>
        <w:outlineLvl w:val="1"/>
        <w:rPr>
          <w:rFonts w:asciiTheme="majorBidi" w:hAnsiTheme="majorBidi" w:cstheme="majorBidi"/>
          <w:b/>
          <w:bCs/>
          <w:color w:val="000000" w:themeColor="text1"/>
          <w:sz w:val="24"/>
          <w:szCs w:val="24"/>
          <w:lang w:val="es-MX"/>
        </w:rPr>
      </w:pPr>
      <w:bookmarkStart w:id="24" w:name="_Toc204264047"/>
      <w:r w:rsidRPr="009E2A0E">
        <w:rPr>
          <w:rFonts w:asciiTheme="majorBidi" w:hAnsiTheme="majorBidi" w:cstheme="majorBidi"/>
          <w:b/>
          <w:bCs/>
          <w:color w:val="000000" w:themeColor="text1"/>
          <w:sz w:val="24"/>
          <w:szCs w:val="24"/>
          <w:lang w:val="es-MX"/>
        </w:rPr>
        <w:lastRenderedPageBreak/>
        <w:t>Consulta libre, previa e informada (</w:t>
      </w:r>
      <w:r w:rsidR="00074944">
        <w:rPr>
          <w:rFonts w:asciiTheme="majorBidi" w:hAnsiTheme="majorBidi" w:cstheme="majorBidi"/>
          <w:b/>
          <w:bCs/>
          <w:color w:val="000000" w:themeColor="text1"/>
          <w:sz w:val="24"/>
          <w:szCs w:val="24"/>
          <w:lang w:val="es-MX"/>
        </w:rPr>
        <w:t>Pá</w:t>
      </w:r>
      <w:r w:rsidRPr="009E2A0E">
        <w:rPr>
          <w:rFonts w:asciiTheme="majorBidi" w:hAnsiTheme="majorBidi" w:cstheme="majorBidi"/>
          <w:b/>
          <w:bCs/>
          <w:color w:val="000000" w:themeColor="text1"/>
          <w:sz w:val="24"/>
          <w:szCs w:val="24"/>
          <w:lang w:val="es-MX"/>
        </w:rPr>
        <w:t>rr. 16</w:t>
      </w:r>
      <w:r w:rsidR="00074944">
        <w:rPr>
          <w:rFonts w:asciiTheme="majorBidi" w:hAnsiTheme="majorBidi" w:cstheme="majorBidi"/>
          <w:b/>
          <w:bCs/>
          <w:color w:val="000000" w:themeColor="text1"/>
          <w:sz w:val="24"/>
          <w:szCs w:val="24"/>
          <w:lang w:val="es-MX"/>
        </w:rPr>
        <w:t xml:space="preserve"> del Listado de Temas</w:t>
      </w:r>
      <w:r w:rsidRPr="009E2A0E">
        <w:rPr>
          <w:rFonts w:asciiTheme="majorBidi" w:hAnsiTheme="majorBidi" w:cstheme="majorBidi"/>
          <w:b/>
          <w:bCs/>
          <w:color w:val="000000" w:themeColor="text1"/>
          <w:sz w:val="24"/>
          <w:szCs w:val="24"/>
          <w:lang w:val="es-MX"/>
        </w:rPr>
        <w:t>)</w:t>
      </w:r>
      <w:bookmarkEnd w:id="24"/>
    </w:p>
    <w:p w14:paraId="20DCA7CC" w14:textId="23C559D6" w:rsidR="00890210" w:rsidRPr="009E2A0E" w:rsidRDefault="00890210" w:rsidP="00890210">
      <w:pPr>
        <w:jc w:val="both"/>
        <w:rPr>
          <w:rFonts w:asciiTheme="majorBidi" w:hAnsiTheme="majorBidi" w:cstheme="majorBidi"/>
          <w:color w:val="000000" w:themeColor="text1"/>
          <w:sz w:val="24"/>
          <w:szCs w:val="24"/>
        </w:rPr>
      </w:pPr>
      <w:r w:rsidRPr="009E2A0E">
        <w:rPr>
          <w:rFonts w:asciiTheme="majorBidi" w:hAnsiTheme="majorBidi" w:cstheme="majorBidi"/>
          <w:color w:val="000000" w:themeColor="text1"/>
          <w:sz w:val="24"/>
          <w:szCs w:val="24"/>
        </w:rPr>
        <w:t>La lucha de los Pueblos Indígenas en Guatemala por el respeto a ser consultados ha sido compleja desde la ratificación del citado Convenio 169 de la OIT, que ha implicado, al menos dos líneas, una mediante consultas comunitarias en el marco de la libre determinación de los pueblos, que fueron</w:t>
      </w:r>
      <w:r w:rsidR="00D23C31">
        <w:rPr>
          <w:rFonts w:asciiTheme="majorBidi" w:hAnsiTheme="majorBidi" w:cstheme="majorBidi"/>
          <w:color w:val="000000" w:themeColor="text1"/>
          <w:sz w:val="24"/>
          <w:szCs w:val="24"/>
        </w:rPr>
        <w:t xml:space="preserve">, </w:t>
      </w:r>
      <w:r w:rsidR="0039761F" w:rsidRPr="009E2A0E">
        <w:rPr>
          <w:rFonts w:asciiTheme="majorBidi" w:hAnsiTheme="majorBidi" w:cstheme="majorBidi"/>
          <w:color w:val="000000" w:themeColor="text1"/>
          <w:sz w:val="24"/>
          <w:szCs w:val="24"/>
        </w:rPr>
        <w:t>s</w:t>
      </w:r>
      <w:r w:rsidRPr="009E2A0E">
        <w:rPr>
          <w:rFonts w:asciiTheme="majorBidi" w:hAnsiTheme="majorBidi" w:cstheme="majorBidi"/>
          <w:color w:val="000000" w:themeColor="text1"/>
          <w:sz w:val="24"/>
          <w:szCs w:val="24"/>
        </w:rPr>
        <w:t xml:space="preserve">egún el Consejo de Pueblos de Occidente en el documento </w:t>
      </w:r>
      <w:r w:rsidR="0039761F" w:rsidRPr="009E2A0E">
        <w:rPr>
          <w:rFonts w:asciiTheme="majorBidi" w:hAnsiTheme="majorBidi" w:cstheme="majorBidi"/>
          <w:color w:val="000000" w:themeColor="text1"/>
          <w:sz w:val="24"/>
          <w:szCs w:val="24"/>
        </w:rPr>
        <w:t>“</w:t>
      </w:r>
      <w:r w:rsidRPr="009E2A0E">
        <w:rPr>
          <w:rFonts w:asciiTheme="majorBidi" w:hAnsiTheme="majorBidi" w:cstheme="majorBidi"/>
          <w:color w:val="000000" w:themeColor="text1"/>
          <w:sz w:val="24"/>
          <w:szCs w:val="24"/>
        </w:rPr>
        <w:t>El Derecho de Consulta de los Pueblos Indígenas en Guatemala</w:t>
      </w:r>
      <w:r w:rsidR="0039761F" w:rsidRPr="009E2A0E">
        <w:rPr>
          <w:rFonts w:asciiTheme="majorBidi" w:hAnsiTheme="majorBidi" w:cstheme="majorBidi"/>
          <w:color w:val="000000" w:themeColor="text1"/>
          <w:sz w:val="24"/>
          <w:szCs w:val="24"/>
        </w:rPr>
        <w:t>”</w:t>
      </w:r>
      <w:r w:rsidR="00505E0F">
        <w:rPr>
          <w:rStyle w:val="Refdenotaalpie"/>
          <w:rFonts w:asciiTheme="majorBidi" w:hAnsiTheme="majorBidi"/>
          <w:color w:val="000000" w:themeColor="text1"/>
          <w:szCs w:val="24"/>
        </w:rPr>
        <w:footnoteReference w:id="69"/>
      </w:r>
      <w:r w:rsidRPr="009E2A0E">
        <w:rPr>
          <w:rFonts w:asciiTheme="majorBidi" w:hAnsiTheme="majorBidi" w:cstheme="majorBidi"/>
          <w:color w:val="000000" w:themeColor="text1"/>
          <w:sz w:val="24"/>
          <w:szCs w:val="24"/>
        </w:rPr>
        <w:t xml:space="preserve">, del 2005 al 2010, se realizaron 43 consultas en las que participaron 525,938 personas quienes se pronunciaron en relación a las licencias de exploración y explotación de bienes naturales otorgadas por la institucionalidad estatal (2010, p. 56). </w:t>
      </w:r>
    </w:p>
    <w:p w14:paraId="344A34AA" w14:textId="0E2B319E" w:rsidR="00890210" w:rsidRPr="009E2A0E" w:rsidRDefault="00890210" w:rsidP="00890210">
      <w:pPr>
        <w:jc w:val="both"/>
        <w:rPr>
          <w:rFonts w:asciiTheme="majorBidi" w:hAnsiTheme="majorBidi" w:cstheme="majorBidi"/>
          <w:color w:val="000000" w:themeColor="text1"/>
          <w:sz w:val="24"/>
          <w:szCs w:val="24"/>
        </w:rPr>
      </w:pPr>
      <w:r w:rsidRPr="009E2A0E">
        <w:rPr>
          <w:rFonts w:asciiTheme="majorBidi" w:hAnsiTheme="majorBidi" w:cstheme="majorBidi"/>
          <w:color w:val="000000" w:themeColor="text1"/>
          <w:sz w:val="24"/>
          <w:szCs w:val="24"/>
        </w:rPr>
        <w:t>Estas consultas se sustentaron en el principio a la libre determinación de los pueblos, y a su derecho ancestral, que forman parte de la vida comunitaria, siendo el di</w:t>
      </w:r>
      <w:r w:rsidR="00D23C31">
        <w:rPr>
          <w:rFonts w:asciiTheme="majorBidi" w:hAnsiTheme="majorBidi" w:cstheme="majorBidi"/>
          <w:color w:val="000000" w:themeColor="text1"/>
          <w:sz w:val="24"/>
          <w:szCs w:val="24"/>
        </w:rPr>
        <w:t>á</w:t>
      </w:r>
      <w:r w:rsidRPr="009E2A0E">
        <w:rPr>
          <w:rFonts w:asciiTheme="majorBidi" w:hAnsiTheme="majorBidi" w:cstheme="majorBidi"/>
          <w:color w:val="000000" w:themeColor="text1"/>
          <w:sz w:val="24"/>
          <w:szCs w:val="24"/>
        </w:rPr>
        <w:t xml:space="preserve">logo constante la clave para alcanzar los consensos, con el fin de mantener el orden, la armonía y el equilibrio.  </w:t>
      </w:r>
    </w:p>
    <w:p w14:paraId="49BDAE0C" w14:textId="2B14B437" w:rsidR="00F44933" w:rsidRPr="009E2A0E" w:rsidRDefault="00890210" w:rsidP="00681491">
      <w:pPr>
        <w:jc w:val="both"/>
        <w:rPr>
          <w:rFonts w:asciiTheme="majorBidi" w:hAnsiTheme="majorBidi" w:cstheme="majorBidi"/>
          <w:color w:val="000000" w:themeColor="text1"/>
          <w:sz w:val="24"/>
          <w:szCs w:val="24"/>
        </w:rPr>
      </w:pPr>
      <w:r w:rsidRPr="009E2A0E">
        <w:rPr>
          <w:rFonts w:asciiTheme="majorBidi" w:hAnsiTheme="majorBidi" w:cstheme="majorBidi"/>
          <w:color w:val="000000" w:themeColor="text1"/>
          <w:sz w:val="24"/>
          <w:szCs w:val="24"/>
        </w:rPr>
        <w:t xml:space="preserve">Sin embargo, </w:t>
      </w:r>
      <w:r w:rsidRPr="009E2A0E">
        <w:rPr>
          <w:rFonts w:asciiTheme="majorBidi" w:hAnsiTheme="majorBidi" w:cstheme="majorBidi"/>
          <w:b/>
          <w:bCs/>
          <w:color w:val="000000" w:themeColor="text1"/>
          <w:sz w:val="24"/>
          <w:szCs w:val="24"/>
        </w:rPr>
        <w:t>la consulta previa no ha sido implementada como una obligación del Estado</w:t>
      </w:r>
      <w:r w:rsidRPr="009E2A0E">
        <w:rPr>
          <w:rFonts w:asciiTheme="majorBidi" w:hAnsiTheme="majorBidi" w:cstheme="majorBidi"/>
          <w:color w:val="000000" w:themeColor="text1"/>
          <w:sz w:val="24"/>
          <w:szCs w:val="24"/>
        </w:rPr>
        <w:t xml:space="preserve">, y han sido los Pueblos Indígenas quienes han forzado su realización recurriendo al uso de las garantías constitucionales, como la acción de amparo. A partir de la década del año 2000, es que los Pueblos Indígenas emplazan al Estado su derecho a ser consultados mediante el mecanismo de petición, así como, a través de la judicialización de sus reclamos ante los tribunales constitucionales, siendo algunos casos los siguientes: </w:t>
      </w:r>
    </w:p>
    <w:tbl>
      <w:tblPr>
        <w:tblStyle w:val="Tablaconcuadrcula"/>
        <w:tblW w:w="0" w:type="auto"/>
        <w:tblLook w:val="04A0" w:firstRow="1" w:lastRow="0" w:firstColumn="1" w:lastColumn="0" w:noHBand="0" w:noVBand="1"/>
      </w:tblPr>
      <w:tblGrid>
        <w:gridCol w:w="8828"/>
      </w:tblGrid>
      <w:tr w:rsidR="00F44933" w:rsidRPr="009E2A0E" w14:paraId="11FE6516" w14:textId="77777777" w:rsidTr="00F44933">
        <w:tc>
          <w:tcPr>
            <w:tcW w:w="8828" w:type="dxa"/>
          </w:tcPr>
          <w:p w14:paraId="731A764C" w14:textId="22A21480" w:rsidR="00681491" w:rsidRPr="009E2A0E" w:rsidRDefault="00B3337F" w:rsidP="00F44933">
            <w:pPr>
              <w:jc w:val="both"/>
              <w:rPr>
                <w:rFonts w:asciiTheme="majorBidi" w:hAnsiTheme="majorBidi" w:cstheme="majorBidi"/>
                <w:color w:val="000000" w:themeColor="text1"/>
              </w:rPr>
            </w:pPr>
            <w:r w:rsidRPr="009E2A0E">
              <w:rPr>
                <w:rFonts w:asciiTheme="majorBidi" w:hAnsiTheme="majorBidi" w:cstheme="majorBidi"/>
                <w:color w:val="000000" w:themeColor="text1"/>
              </w:rPr>
              <w:t>Para ilustrar al Comité, a</w:t>
            </w:r>
            <w:r w:rsidR="00681491" w:rsidRPr="009E2A0E">
              <w:rPr>
                <w:rFonts w:asciiTheme="majorBidi" w:hAnsiTheme="majorBidi" w:cstheme="majorBidi"/>
                <w:color w:val="000000" w:themeColor="text1"/>
              </w:rPr>
              <w:t xml:space="preserve"> continuación se mencionan algunas de las sentencia</w:t>
            </w:r>
            <w:r w:rsidR="006D203B" w:rsidRPr="009E2A0E">
              <w:rPr>
                <w:rFonts w:asciiTheme="majorBidi" w:hAnsiTheme="majorBidi" w:cstheme="majorBidi"/>
                <w:color w:val="000000" w:themeColor="text1"/>
              </w:rPr>
              <w:t>s de</w:t>
            </w:r>
            <w:r w:rsidR="00681491" w:rsidRPr="009E2A0E">
              <w:rPr>
                <w:rFonts w:asciiTheme="majorBidi" w:hAnsiTheme="majorBidi" w:cstheme="majorBidi"/>
                <w:color w:val="000000" w:themeColor="text1"/>
              </w:rPr>
              <w:t xml:space="preserve"> </w:t>
            </w:r>
            <w:r w:rsidR="006D203B" w:rsidRPr="009E2A0E">
              <w:rPr>
                <w:rFonts w:asciiTheme="majorBidi" w:hAnsiTheme="majorBidi" w:cstheme="majorBidi"/>
                <w:color w:val="000000" w:themeColor="text1"/>
              </w:rPr>
              <w:t xml:space="preserve">Corte de Constitucionalidad </w:t>
            </w:r>
            <w:r w:rsidRPr="009E2A0E">
              <w:rPr>
                <w:rFonts w:asciiTheme="majorBidi" w:hAnsiTheme="majorBidi" w:cstheme="majorBidi"/>
                <w:color w:val="000000" w:themeColor="text1"/>
              </w:rPr>
              <w:t xml:space="preserve">emitidas previo al periodo de evaluación, todas relacionadas </w:t>
            </w:r>
            <w:r w:rsidR="006D203B" w:rsidRPr="009E2A0E">
              <w:rPr>
                <w:rFonts w:asciiTheme="majorBidi" w:hAnsiTheme="majorBidi" w:cstheme="majorBidi"/>
                <w:color w:val="000000" w:themeColor="text1"/>
              </w:rPr>
              <w:t>sobre el derecho a la</w:t>
            </w:r>
            <w:r w:rsidRPr="009E2A0E">
              <w:rPr>
                <w:rFonts w:asciiTheme="majorBidi" w:hAnsiTheme="majorBidi" w:cstheme="majorBidi"/>
                <w:color w:val="000000" w:themeColor="text1"/>
              </w:rPr>
              <w:t xml:space="preserve"> </w:t>
            </w:r>
            <w:r w:rsidR="00681491" w:rsidRPr="009E2A0E">
              <w:rPr>
                <w:rFonts w:asciiTheme="majorBidi" w:hAnsiTheme="majorBidi" w:cstheme="majorBidi"/>
                <w:color w:val="000000" w:themeColor="text1"/>
              </w:rPr>
              <w:t>consulta</w:t>
            </w:r>
            <w:r w:rsidR="006D203B" w:rsidRPr="009E2A0E">
              <w:rPr>
                <w:rFonts w:asciiTheme="majorBidi" w:hAnsiTheme="majorBidi" w:cstheme="majorBidi"/>
                <w:color w:val="000000" w:themeColor="text1"/>
              </w:rPr>
              <w:t>,</w:t>
            </w:r>
            <w:r w:rsidR="00681491" w:rsidRPr="009E2A0E">
              <w:rPr>
                <w:rFonts w:asciiTheme="majorBidi" w:hAnsiTheme="majorBidi" w:cstheme="majorBidi"/>
                <w:color w:val="000000" w:themeColor="text1"/>
              </w:rPr>
              <w:t xml:space="preserve"> cuyas acciones planteadas por Pueblos Indígenas cuando el acto administrativo estaba aprobado y en ejecución, es decir, se emitieron las licencias e inmediatamente se iniciaron con los trabajos de explotación de los recursos naturales, por lo que se evidencia un acto consumado</w:t>
            </w:r>
            <w:r w:rsidR="006D203B" w:rsidRPr="009E2A0E">
              <w:rPr>
                <w:rFonts w:asciiTheme="majorBidi" w:hAnsiTheme="majorBidi" w:cstheme="majorBidi"/>
                <w:color w:val="000000" w:themeColor="text1"/>
              </w:rPr>
              <w:t xml:space="preserve">, </w:t>
            </w:r>
            <w:r w:rsidR="006D203B" w:rsidRPr="009E2A0E">
              <w:rPr>
                <w:rFonts w:asciiTheme="majorBidi" w:hAnsiTheme="majorBidi" w:cstheme="majorBidi"/>
                <w:b/>
                <w:bCs/>
                <w:color w:val="000000" w:themeColor="text1"/>
              </w:rPr>
              <w:t xml:space="preserve">patrón que </w:t>
            </w:r>
            <w:r w:rsidR="005A5F7A" w:rsidRPr="009E2A0E">
              <w:rPr>
                <w:rFonts w:asciiTheme="majorBidi" w:hAnsiTheme="majorBidi" w:cstheme="majorBidi"/>
                <w:b/>
                <w:bCs/>
                <w:color w:val="000000" w:themeColor="text1"/>
              </w:rPr>
              <w:t>aún</w:t>
            </w:r>
            <w:r w:rsidR="006D203B" w:rsidRPr="009E2A0E">
              <w:rPr>
                <w:rFonts w:asciiTheme="majorBidi" w:hAnsiTheme="majorBidi" w:cstheme="majorBidi"/>
                <w:b/>
                <w:bCs/>
                <w:color w:val="000000" w:themeColor="text1"/>
              </w:rPr>
              <w:t xml:space="preserve"> persiste</w:t>
            </w:r>
            <w:r w:rsidR="00681491" w:rsidRPr="009E2A0E">
              <w:rPr>
                <w:rFonts w:asciiTheme="majorBidi" w:hAnsiTheme="majorBidi" w:cstheme="majorBidi"/>
                <w:color w:val="000000" w:themeColor="text1"/>
              </w:rPr>
              <w:t>:</w:t>
            </w:r>
          </w:p>
          <w:p w14:paraId="685D8657" w14:textId="7DF9BDC4" w:rsidR="00F44933" w:rsidRPr="009E2A0E" w:rsidRDefault="00F44933" w:rsidP="00197C3D">
            <w:pPr>
              <w:pStyle w:val="Prrafodelista"/>
              <w:numPr>
                <w:ilvl w:val="3"/>
                <w:numId w:val="19"/>
              </w:numPr>
              <w:ind w:left="740"/>
              <w:jc w:val="both"/>
              <w:rPr>
                <w:rFonts w:asciiTheme="majorBidi" w:hAnsiTheme="majorBidi" w:cstheme="majorBidi"/>
                <w:i/>
                <w:iCs/>
                <w:color w:val="000000" w:themeColor="text1"/>
              </w:rPr>
            </w:pPr>
            <w:r w:rsidRPr="009E2A0E">
              <w:rPr>
                <w:rFonts w:asciiTheme="majorBidi" w:hAnsiTheme="majorBidi" w:cstheme="majorBidi"/>
                <w:i/>
                <w:iCs/>
                <w:color w:val="000000" w:themeColor="text1"/>
              </w:rPr>
              <w:t xml:space="preserve">Caso: Consulta solicitada por vecinos y autoridades comunitarias en San Juan Sacatepéquez, por el otorgamiento de la licencia de exploración y explotación minera concedida a Cementos Progreso, Sociedad Anónima. No. de expediente: 3878-2007. Fecha del fallo: 21 de diciembre de 2009. autorización de una licencia de exploración y explotación minera concedida a Cementos Progreso, Sociedad Anónima. </w:t>
            </w:r>
          </w:p>
          <w:p w14:paraId="66F79903" w14:textId="207A87D8" w:rsidR="00F44933" w:rsidRPr="009E2A0E" w:rsidRDefault="00F44933" w:rsidP="00197C3D">
            <w:pPr>
              <w:pStyle w:val="Prrafodelista"/>
              <w:numPr>
                <w:ilvl w:val="0"/>
                <w:numId w:val="19"/>
              </w:numPr>
              <w:jc w:val="both"/>
              <w:rPr>
                <w:rFonts w:asciiTheme="majorBidi" w:hAnsiTheme="majorBidi" w:cstheme="majorBidi"/>
                <w:i/>
                <w:iCs/>
                <w:color w:val="000000" w:themeColor="text1"/>
              </w:rPr>
            </w:pPr>
            <w:r w:rsidRPr="009E2A0E">
              <w:rPr>
                <w:rFonts w:asciiTheme="majorBidi" w:hAnsiTheme="majorBidi" w:cstheme="majorBidi"/>
                <w:i/>
                <w:iCs/>
                <w:color w:val="000000" w:themeColor="text1"/>
              </w:rPr>
              <w:t xml:space="preserve">Caso: Consulta previa en las comunidades mayas ixiles del municipio de San Juan Cotzal, departamento de El Quiché. Número de expediente: 156-2013/159-2013. Fecha del fallo: 25 de marzo de 2015. Licencia de Transmisora de Energía Renovable, S.A., para la prestación de servicio de transporte de electricidad del proyecto denominado “Subestaciones Uspantán y Chixoy II y línea de transmisión Uspantán-Chixoy II”, </w:t>
            </w:r>
          </w:p>
          <w:p w14:paraId="43B5E706" w14:textId="7ED4DAA3" w:rsidR="00F44933" w:rsidRPr="009E2A0E" w:rsidRDefault="00F44933" w:rsidP="00197C3D">
            <w:pPr>
              <w:pStyle w:val="Prrafodelista"/>
              <w:numPr>
                <w:ilvl w:val="0"/>
                <w:numId w:val="19"/>
              </w:numPr>
              <w:jc w:val="both"/>
              <w:rPr>
                <w:rFonts w:asciiTheme="majorBidi" w:hAnsiTheme="majorBidi" w:cstheme="majorBidi"/>
                <w:i/>
                <w:iCs/>
                <w:color w:val="000000" w:themeColor="text1"/>
              </w:rPr>
            </w:pPr>
            <w:r w:rsidRPr="009E2A0E">
              <w:rPr>
                <w:rFonts w:asciiTheme="majorBidi" w:hAnsiTheme="majorBidi" w:cstheme="majorBidi"/>
                <w:i/>
                <w:iCs/>
                <w:color w:val="000000" w:themeColor="text1"/>
              </w:rPr>
              <w:t>Caso: Consulta promovida por Bernardo Caal Xol, maya q´eqchí de Santa María Cahabón, en relación con la licencia para instalación de proyectos hidroeléctricos en los Ríos Oxec y Cahabón. Expediente: Acumulados 90-2017/91-2017/92-2017. Fecha del fallo: 26 de mayo de 2017.</w:t>
            </w:r>
          </w:p>
          <w:p w14:paraId="48B5C74E" w14:textId="5D4F0A4B" w:rsidR="00F44933" w:rsidRPr="001417D8" w:rsidRDefault="00F44933" w:rsidP="00197C3D">
            <w:pPr>
              <w:pStyle w:val="Prrafodelista"/>
              <w:numPr>
                <w:ilvl w:val="0"/>
                <w:numId w:val="19"/>
              </w:numPr>
              <w:jc w:val="both"/>
              <w:rPr>
                <w:rFonts w:asciiTheme="majorBidi" w:hAnsiTheme="majorBidi" w:cstheme="majorBidi"/>
                <w:i/>
                <w:iCs/>
                <w:color w:val="000000" w:themeColor="text1"/>
              </w:rPr>
            </w:pPr>
            <w:r w:rsidRPr="001417D8">
              <w:rPr>
                <w:rFonts w:asciiTheme="majorBidi" w:hAnsiTheme="majorBidi" w:cstheme="majorBidi"/>
                <w:i/>
                <w:iCs/>
                <w:color w:val="000000" w:themeColor="text1"/>
              </w:rPr>
              <w:t xml:space="preserve">Caso: Omisión de consulta previa a las comunidades Xepache, Llanos del Pinal, Xeracacoj, Tzampojom, Tierra Colorada Baja del Pueblo Indígena que conforman el Valle del Palajunoj del municipio y departamento de Quetzaltenango </w:t>
            </w:r>
            <w:proofErr w:type="gramStart"/>
            <w:r w:rsidRPr="001417D8">
              <w:rPr>
                <w:rFonts w:asciiTheme="majorBidi" w:hAnsiTheme="majorBidi" w:cstheme="majorBidi"/>
                <w:i/>
                <w:iCs/>
                <w:color w:val="000000" w:themeColor="text1"/>
              </w:rPr>
              <w:t>en relación a</w:t>
            </w:r>
            <w:proofErr w:type="gramEnd"/>
            <w:r w:rsidRPr="001417D8">
              <w:rPr>
                <w:rFonts w:asciiTheme="majorBidi" w:hAnsiTheme="majorBidi" w:cstheme="majorBidi"/>
                <w:i/>
                <w:iCs/>
                <w:color w:val="000000" w:themeColor="text1"/>
              </w:rPr>
              <w:t xml:space="preserve"> la licencia </w:t>
            </w:r>
            <w:r w:rsidRPr="001417D8">
              <w:rPr>
                <w:rFonts w:asciiTheme="majorBidi" w:hAnsiTheme="majorBidi" w:cstheme="majorBidi"/>
                <w:i/>
                <w:iCs/>
                <w:color w:val="000000" w:themeColor="text1"/>
              </w:rPr>
              <w:lastRenderedPageBreak/>
              <w:t>de explotación de piedra pómez. expediente: 4791-20l9</w:t>
            </w:r>
            <w:r w:rsidR="006C24F7" w:rsidRPr="001417D8">
              <w:rPr>
                <w:rFonts w:cstheme="majorBidi"/>
                <w:i/>
                <w:iCs/>
              </w:rPr>
              <w:footnoteReference w:id="70"/>
            </w:r>
            <w:r w:rsidRPr="001417D8">
              <w:rPr>
                <w:rFonts w:asciiTheme="majorBidi" w:hAnsiTheme="majorBidi" w:cstheme="majorBidi"/>
                <w:i/>
                <w:iCs/>
                <w:color w:val="000000" w:themeColor="text1"/>
              </w:rPr>
              <w:t>. Fecha del fallo: 31 de marzo de 2022.</w:t>
            </w:r>
          </w:p>
          <w:p w14:paraId="44FD5231" w14:textId="77777777" w:rsidR="00F44933" w:rsidRPr="001417D8" w:rsidRDefault="00F44933" w:rsidP="00197C3D">
            <w:pPr>
              <w:pStyle w:val="Prrafodelista"/>
              <w:numPr>
                <w:ilvl w:val="0"/>
                <w:numId w:val="19"/>
              </w:numPr>
              <w:jc w:val="both"/>
              <w:rPr>
                <w:rFonts w:asciiTheme="majorBidi" w:hAnsiTheme="majorBidi" w:cstheme="majorBidi"/>
                <w:i/>
                <w:iCs/>
                <w:color w:val="000000" w:themeColor="text1"/>
              </w:rPr>
            </w:pPr>
            <w:r w:rsidRPr="001417D8">
              <w:rPr>
                <w:rFonts w:asciiTheme="majorBidi" w:hAnsiTheme="majorBidi" w:cstheme="majorBidi"/>
                <w:i/>
                <w:iCs/>
                <w:color w:val="000000" w:themeColor="text1"/>
              </w:rPr>
              <w:t>Caso. Acción fue planteada por 46 hombres y 17 mujeres mayas q´eqchí en contra del Ministerio de Energía y Minas por el otorgamiento de la licencia de explotación minera denominada “Extracción Minera Fenix, siendo su titular la Compañía Guatemalteca de Niquel, S.A., mediante resolución 1208 del 17 de abril de 2006. Expediente 697-2019</w:t>
            </w:r>
            <w:r w:rsidR="006C24F7" w:rsidRPr="001417D8">
              <w:rPr>
                <w:rFonts w:cstheme="majorBidi"/>
                <w:i/>
                <w:iCs/>
              </w:rPr>
              <w:footnoteReference w:id="71"/>
            </w:r>
            <w:r w:rsidRPr="001417D8">
              <w:rPr>
                <w:rFonts w:asciiTheme="majorBidi" w:hAnsiTheme="majorBidi" w:cstheme="majorBidi"/>
                <w:i/>
                <w:iCs/>
                <w:color w:val="000000" w:themeColor="text1"/>
              </w:rPr>
              <w:t>, de fecha 18 de junio de 2020</w:t>
            </w:r>
            <w:r w:rsidR="00A34692" w:rsidRPr="001417D8">
              <w:rPr>
                <w:rFonts w:asciiTheme="majorBidi" w:hAnsiTheme="majorBidi" w:cstheme="majorBidi"/>
                <w:i/>
                <w:iCs/>
                <w:color w:val="000000" w:themeColor="text1"/>
              </w:rPr>
              <w:t>.</w:t>
            </w:r>
          </w:p>
          <w:p w14:paraId="123EE5B1" w14:textId="65746D91" w:rsidR="00A34692" w:rsidRPr="00A34692" w:rsidRDefault="00A34692" w:rsidP="00A34692">
            <w:pPr>
              <w:pStyle w:val="Prrafodelista"/>
              <w:numPr>
                <w:ilvl w:val="0"/>
                <w:numId w:val="19"/>
              </w:numPr>
              <w:jc w:val="both"/>
              <w:rPr>
                <w:rFonts w:asciiTheme="majorBidi" w:hAnsiTheme="majorBidi" w:cstheme="majorBidi"/>
                <w:color w:val="000000" w:themeColor="text1"/>
              </w:rPr>
            </w:pPr>
            <w:r w:rsidRPr="001417D8">
              <w:rPr>
                <w:rFonts w:asciiTheme="majorBidi" w:hAnsiTheme="majorBidi" w:cstheme="majorBidi"/>
                <w:i/>
                <w:iCs/>
                <w:color w:val="000000" w:themeColor="text1"/>
              </w:rPr>
              <w:t xml:space="preserve">Caso: Consulta previa demandada a favor del pueblo Xinka por el Centro de Acción Legal-Ambiental y Social de Guatemala -CALAS- </w:t>
            </w:r>
            <w:r w:rsidR="001417D8" w:rsidRPr="001417D8">
              <w:rPr>
                <w:rFonts w:asciiTheme="majorBidi" w:hAnsiTheme="majorBidi" w:cstheme="majorBidi"/>
                <w:i/>
                <w:iCs/>
                <w:color w:val="000000" w:themeColor="text1"/>
              </w:rPr>
              <w:t>en relación con</w:t>
            </w:r>
            <w:r w:rsidRPr="001417D8">
              <w:rPr>
                <w:rFonts w:asciiTheme="majorBidi" w:hAnsiTheme="majorBidi" w:cstheme="majorBidi"/>
                <w:i/>
                <w:iCs/>
                <w:color w:val="000000" w:themeColor="text1"/>
              </w:rPr>
              <w:t xml:space="preserve"> las licencias de exploración Juan Bosco y Explotación El Escobal. expediente: 4785-2017</w:t>
            </w:r>
            <w:r w:rsidRPr="001417D8">
              <w:rPr>
                <w:rFonts w:cstheme="majorBidi"/>
                <w:i/>
                <w:iCs/>
              </w:rPr>
              <w:footnoteReference w:id="72"/>
            </w:r>
            <w:r w:rsidRPr="001417D8">
              <w:rPr>
                <w:rFonts w:asciiTheme="majorBidi" w:hAnsiTheme="majorBidi" w:cstheme="majorBidi"/>
                <w:i/>
                <w:iCs/>
                <w:color w:val="000000" w:themeColor="text1"/>
              </w:rPr>
              <w:t>. Fecha del fallo: 3 de septiembre de 2018.</w:t>
            </w:r>
            <w:r w:rsidRPr="001417D8">
              <w:rPr>
                <w:rFonts w:cstheme="majorBidi"/>
                <w:i/>
                <w:iCs/>
              </w:rPr>
              <w:footnoteReference w:id="73"/>
            </w:r>
            <w:r w:rsidRPr="001417D8">
              <w:rPr>
                <w:rFonts w:asciiTheme="majorBidi" w:hAnsiTheme="majorBidi" w:cstheme="majorBidi"/>
                <w:i/>
                <w:iCs/>
                <w:color w:val="000000" w:themeColor="text1"/>
              </w:rPr>
              <w:t xml:space="preserve"> </w:t>
            </w:r>
            <w:r w:rsidRPr="001417D8">
              <w:rPr>
                <w:rFonts w:asciiTheme="majorBidi" w:hAnsiTheme="majorBidi" w:cstheme="majorBidi"/>
                <w:color w:val="000000" w:themeColor="text1"/>
              </w:rPr>
              <w:t>Este caso en particular, será ampliado por parte del pueblo Xinka en su informe alternativo al Comité.</w:t>
            </w:r>
            <w:r>
              <w:rPr>
                <w:rFonts w:asciiTheme="majorBidi" w:hAnsiTheme="majorBidi" w:cstheme="majorBidi"/>
                <w:color w:val="000000" w:themeColor="text1"/>
              </w:rPr>
              <w:t xml:space="preserve"> </w:t>
            </w:r>
          </w:p>
        </w:tc>
      </w:tr>
    </w:tbl>
    <w:p w14:paraId="00AEB761" w14:textId="77777777" w:rsidR="00F44933" w:rsidRPr="009E2A0E" w:rsidRDefault="00F44933" w:rsidP="00890210">
      <w:pPr>
        <w:jc w:val="both"/>
        <w:rPr>
          <w:rFonts w:asciiTheme="majorBidi" w:hAnsiTheme="majorBidi" w:cstheme="majorBidi"/>
          <w:color w:val="000000" w:themeColor="text1"/>
          <w:sz w:val="24"/>
          <w:szCs w:val="24"/>
        </w:rPr>
      </w:pPr>
    </w:p>
    <w:p w14:paraId="7A571C7A" w14:textId="08076842" w:rsidR="00DA1FC3" w:rsidRPr="009E2A0E" w:rsidRDefault="00DA1FC3" w:rsidP="00197C3D">
      <w:pPr>
        <w:pStyle w:val="Prrafodelista"/>
        <w:numPr>
          <w:ilvl w:val="2"/>
          <w:numId w:val="10"/>
        </w:numPr>
        <w:jc w:val="both"/>
        <w:outlineLvl w:val="2"/>
        <w:rPr>
          <w:rFonts w:asciiTheme="majorBidi" w:hAnsiTheme="majorBidi" w:cstheme="majorBidi"/>
          <w:b/>
          <w:bCs/>
          <w:color w:val="000000" w:themeColor="text1"/>
        </w:rPr>
      </w:pPr>
      <w:bookmarkStart w:id="25" w:name="_Toc204264048"/>
      <w:r w:rsidRPr="009E2A0E">
        <w:rPr>
          <w:rFonts w:asciiTheme="majorBidi" w:hAnsiTheme="majorBidi" w:cstheme="majorBidi"/>
          <w:b/>
          <w:bCs/>
          <w:color w:val="000000" w:themeColor="text1"/>
        </w:rPr>
        <w:t>Falta de cumplimiento de sentencias nacionales e internacionales relacionadas a la consulta libre, previa e informada.</w:t>
      </w:r>
      <w:bookmarkEnd w:id="25"/>
      <w:r w:rsidRPr="009E2A0E">
        <w:rPr>
          <w:rFonts w:asciiTheme="majorBidi" w:hAnsiTheme="majorBidi" w:cstheme="majorBidi"/>
          <w:b/>
          <w:bCs/>
          <w:color w:val="000000" w:themeColor="text1"/>
        </w:rPr>
        <w:t xml:space="preserve"> </w:t>
      </w:r>
    </w:p>
    <w:p w14:paraId="1759637A" w14:textId="2212BE22" w:rsidR="00C85335" w:rsidRPr="00BC4CA4" w:rsidRDefault="00C85335" w:rsidP="00C85335">
      <w:pPr>
        <w:jc w:val="both"/>
        <w:rPr>
          <w:rFonts w:asciiTheme="majorBidi" w:hAnsiTheme="majorBidi" w:cstheme="majorBidi"/>
          <w:color w:val="000000" w:themeColor="text1"/>
        </w:rPr>
      </w:pPr>
      <w:r w:rsidRPr="009E2A0E">
        <w:rPr>
          <w:rFonts w:asciiTheme="majorBidi" w:hAnsiTheme="majorBidi" w:cstheme="majorBidi"/>
          <w:color w:val="000000" w:themeColor="text1"/>
        </w:rPr>
        <w:t xml:space="preserve">La falta de implementación efectiva del derecho a la consulta previa, libre e informada en Guatemala constituye una violación sistemática a los artículos 2, 5 y 7 de la Convención Internacional sobre la Eliminación de Todas las Formas de Discriminación Racial (ICERD). Los casos documentados reflejan un patrón de discriminación estructural que limita el ejercicio de los derechos colectivos de los pueblos indígenas y evidencia el desconocimiento estatal de sus formas de organización, identidad cultural </w:t>
      </w:r>
      <w:r w:rsidRPr="00BC4CA4">
        <w:rPr>
          <w:rFonts w:asciiTheme="majorBidi" w:hAnsiTheme="majorBidi" w:cstheme="majorBidi"/>
          <w:color w:val="000000" w:themeColor="text1"/>
        </w:rPr>
        <w:t xml:space="preserve">y autonomía. Algunos </w:t>
      </w:r>
      <w:r w:rsidR="005A5F7A" w:rsidRPr="00BC4CA4">
        <w:rPr>
          <w:rFonts w:asciiTheme="majorBidi" w:hAnsiTheme="majorBidi" w:cstheme="majorBidi"/>
          <w:color w:val="000000" w:themeColor="text1"/>
        </w:rPr>
        <w:t xml:space="preserve">casos emblemáticos </w:t>
      </w:r>
      <w:r w:rsidRPr="00BC4CA4">
        <w:rPr>
          <w:rFonts w:asciiTheme="majorBidi" w:hAnsiTheme="majorBidi" w:cstheme="majorBidi"/>
          <w:color w:val="000000" w:themeColor="text1"/>
        </w:rPr>
        <w:t>son:</w:t>
      </w:r>
    </w:p>
    <w:p w14:paraId="2CB83615" w14:textId="58E4A694" w:rsidR="00580A96" w:rsidRPr="00BC4CA4" w:rsidRDefault="00580A96" w:rsidP="00197C3D">
      <w:pPr>
        <w:pStyle w:val="Prrafodelista"/>
        <w:numPr>
          <w:ilvl w:val="4"/>
          <w:numId w:val="1"/>
        </w:numPr>
        <w:ind w:left="709"/>
        <w:jc w:val="both"/>
        <w:rPr>
          <w:rFonts w:asciiTheme="majorBidi" w:hAnsiTheme="majorBidi" w:cstheme="majorBidi"/>
          <w:b/>
          <w:bCs/>
          <w:color w:val="000000" w:themeColor="text1"/>
        </w:rPr>
      </w:pPr>
      <w:r w:rsidRPr="00BC4CA4">
        <w:rPr>
          <w:rFonts w:asciiTheme="majorBidi" w:hAnsiTheme="majorBidi" w:cstheme="majorBidi"/>
          <w:b/>
          <w:bCs/>
          <w:color w:val="000000" w:themeColor="text1"/>
        </w:rPr>
        <w:t>Caso Lote 9</w:t>
      </w:r>
      <w:r w:rsidR="008F1CCC" w:rsidRPr="00BC4CA4">
        <w:rPr>
          <w:rFonts w:asciiTheme="majorBidi" w:hAnsiTheme="majorBidi" w:cstheme="majorBidi"/>
          <w:b/>
          <w:bCs/>
          <w:color w:val="000000" w:themeColor="text1"/>
        </w:rPr>
        <w:t>, Sentencia de la Corte Interamericana de Derechos Humanos</w:t>
      </w:r>
    </w:p>
    <w:tbl>
      <w:tblPr>
        <w:tblStyle w:val="Tablaconcuadrcula"/>
        <w:tblW w:w="0" w:type="auto"/>
        <w:tblLook w:val="04A0" w:firstRow="1" w:lastRow="0" w:firstColumn="1" w:lastColumn="0" w:noHBand="0" w:noVBand="1"/>
      </w:tblPr>
      <w:tblGrid>
        <w:gridCol w:w="8828"/>
      </w:tblGrid>
      <w:tr w:rsidR="008F1CCC" w:rsidRPr="009E2A0E" w14:paraId="7F4DCC98" w14:textId="77777777" w:rsidTr="008F1CCC">
        <w:tc>
          <w:tcPr>
            <w:tcW w:w="8828" w:type="dxa"/>
          </w:tcPr>
          <w:p w14:paraId="1BDC8872" w14:textId="77777777" w:rsidR="008D3A3B" w:rsidRPr="008D3A3B" w:rsidRDefault="008D3A3B" w:rsidP="008D3A3B">
            <w:pPr>
              <w:jc w:val="both"/>
              <w:rPr>
                <w:rFonts w:asciiTheme="majorBidi" w:hAnsiTheme="majorBidi" w:cstheme="majorBidi"/>
                <w:color w:val="000000" w:themeColor="text1"/>
              </w:rPr>
            </w:pPr>
            <w:r w:rsidRPr="008D3A3B">
              <w:rPr>
                <w:rFonts w:asciiTheme="majorBidi" w:hAnsiTheme="majorBidi" w:cstheme="majorBidi"/>
                <w:color w:val="000000" w:themeColor="text1"/>
              </w:rPr>
              <w:t>A pesar de que la sentencia fue emitida en 2023 y evidenció que el proceso de consulta se llevó a cabo de forma excluyente y en contravención a los estándares internacionales sobre los derechos de los pueblos indígenas, el Estado de Guatemala continúa aplicando una interpretación restrictiva de dichos derechos. En particular, ha limitado la consulta únicamente a la Comunidad Indígena Maya Q’eqchi’ de Agua Caliente Lote 9, excluyendo a otras comunidades que también han manifestado no haber sido consultadas, pese a encontrarse dentro del área de afectación del proyecto.</w:t>
            </w:r>
          </w:p>
          <w:p w14:paraId="766B5168" w14:textId="77777777" w:rsidR="008D3A3B" w:rsidRPr="008D3A3B" w:rsidRDefault="008D3A3B" w:rsidP="008D3A3B">
            <w:pPr>
              <w:jc w:val="both"/>
              <w:rPr>
                <w:rFonts w:asciiTheme="majorBidi" w:hAnsiTheme="majorBidi" w:cstheme="majorBidi"/>
                <w:color w:val="000000" w:themeColor="text1"/>
              </w:rPr>
            </w:pPr>
          </w:p>
          <w:p w14:paraId="7A4D3742" w14:textId="0E1EF460" w:rsidR="008F1CCC" w:rsidRPr="009E2A0E" w:rsidRDefault="008D3A3B" w:rsidP="008D3A3B">
            <w:pPr>
              <w:jc w:val="both"/>
              <w:rPr>
                <w:rFonts w:asciiTheme="majorBidi" w:hAnsiTheme="majorBidi" w:cstheme="majorBidi"/>
                <w:b/>
                <w:bCs/>
                <w:color w:val="000000" w:themeColor="text1"/>
              </w:rPr>
            </w:pPr>
            <w:r w:rsidRPr="008D3A3B">
              <w:rPr>
                <w:rFonts w:asciiTheme="majorBidi" w:hAnsiTheme="majorBidi" w:cstheme="majorBidi"/>
                <w:color w:val="000000" w:themeColor="text1"/>
              </w:rPr>
              <w:t>A la fecha, el Estado no cuenta con una hoja de ruta clara para la implementación de la sentencia. En ese sentido, se recomienda que, en cumplimiento del principio de progresividad de los derechos humanos, se garantice un proceso de consulta que cumpla plenamente con los estándares internacionales, incluyendo a todas las comunidades potencialmente afectadas por el proyecto, reconociendo sus formas propias de representación, participación y toma de decisiones</w:t>
            </w:r>
          </w:p>
        </w:tc>
      </w:tr>
    </w:tbl>
    <w:p w14:paraId="234BD205" w14:textId="77777777" w:rsidR="008F1CCC" w:rsidRPr="009E2A0E" w:rsidRDefault="008F1CCC" w:rsidP="008F1CCC">
      <w:pPr>
        <w:jc w:val="both"/>
        <w:rPr>
          <w:rFonts w:asciiTheme="majorBidi" w:hAnsiTheme="majorBidi" w:cstheme="majorBidi"/>
          <w:b/>
          <w:bCs/>
          <w:color w:val="000000" w:themeColor="text1"/>
        </w:rPr>
      </w:pPr>
    </w:p>
    <w:p w14:paraId="154DC9EF" w14:textId="44EB1A9C" w:rsidR="00C85335" w:rsidRPr="009E2A0E" w:rsidRDefault="009223DC" w:rsidP="00197C3D">
      <w:pPr>
        <w:pStyle w:val="Prrafodelista"/>
        <w:numPr>
          <w:ilvl w:val="4"/>
          <w:numId w:val="1"/>
        </w:numPr>
        <w:ind w:left="709"/>
        <w:jc w:val="both"/>
        <w:rPr>
          <w:rFonts w:asciiTheme="majorBidi" w:hAnsiTheme="majorBidi" w:cstheme="majorBidi"/>
          <w:b/>
          <w:bCs/>
          <w:color w:val="000000" w:themeColor="text1"/>
        </w:rPr>
      </w:pPr>
      <w:r w:rsidRPr="009E2A0E">
        <w:rPr>
          <w:rFonts w:asciiTheme="majorBidi" w:hAnsiTheme="majorBidi" w:cstheme="majorBidi"/>
          <w:b/>
          <w:bCs/>
          <w:color w:val="000000" w:themeColor="text1"/>
        </w:rPr>
        <w:t>Caso “Minera F</w:t>
      </w:r>
      <w:r w:rsidR="004120E9">
        <w:rPr>
          <w:rFonts w:asciiTheme="majorBidi" w:hAnsiTheme="majorBidi" w:cstheme="majorBidi"/>
          <w:b/>
          <w:bCs/>
          <w:color w:val="000000" w:themeColor="text1"/>
        </w:rPr>
        <w:t>é</w:t>
      </w:r>
      <w:r w:rsidRPr="009E2A0E">
        <w:rPr>
          <w:rFonts w:asciiTheme="majorBidi" w:hAnsiTheme="majorBidi" w:cstheme="majorBidi"/>
          <w:b/>
          <w:bCs/>
          <w:color w:val="000000" w:themeColor="text1"/>
        </w:rPr>
        <w:t xml:space="preserve">nix”, El Estor </w:t>
      </w:r>
      <w:r w:rsidRPr="00C0279E">
        <w:rPr>
          <w:rFonts w:asciiTheme="majorBidi" w:hAnsiTheme="majorBidi" w:cstheme="majorBidi"/>
          <w:b/>
          <w:bCs/>
          <w:color w:val="000000" w:themeColor="text1"/>
        </w:rPr>
        <w:t>Izabal</w:t>
      </w:r>
      <w:r w:rsidR="006901C2" w:rsidRPr="00C0279E">
        <w:rPr>
          <w:rFonts w:asciiTheme="majorBidi" w:hAnsiTheme="majorBidi" w:cstheme="majorBidi"/>
          <w:b/>
          <w:bCs/>
          <w:color w:val="000000" w:themeColor="text1"/>
        </w:rPr>
        <w:t xml:space="preserve"> (ver detalle</w:t>
      </w:r>
      <w:r w:rsidR="00E72A58" w:rsidRPr="00C0279E">
        <w:rPr>
          <w:rFonts w:asciiTheme="majorBidi" w:hAnsiTheme="majorBidi" w:cstheme="majorBidi"/>
          <w:b/>
          <w:bCs/>
          <w:color w:val="000000" w:themeColor="text1"/>
        </w:rPr>
        <w:t xml:space="preserve"> del caso en Anexo </w:t>
      </w:r>
      <w:r w:rsidR="00C0279E">
        <w:rPr>
          <w:rFonts w:asciiTheme="majorBidi" w:hAnsiTheme="majorBidi" w:cstheme="majorBidi"/>
          <w:b/>
          <w:bCs/>
          <w:color w:val="000000" w:themeColor="text1"/>
        </w:rPr>
        <w:t>3.</w:t>
      </w:r>
      <w:r w:rsidR="00DE3AB4">
        <w:rPr>
          <w:rFonts w:asciiTheme="majorBidi" w:hAnsiTheme="majorBidi" w:cstheme="majorBidi"/>
          <w:b/>
          <w:bCs/>
          <w:color w:val="000000" w:themeColor="text1"/>
        </w:rPr>
        <w:t>1.</w:t>
      </w:r>
      <w:r w:rsidR="006901C2" w:rsidRPr="009E2A0E">
        <w:rPr>
          <w:rFonts w:asciiTheme="majorBidi" w:hAnsiTheme="majorBidi" w:cstheme="majorBidi"/>
          <w:b/>
          <w:bCs/>
          <w:color w:val="000000" w:themeColor="text1"/>
        </w:rPr>
        <w:t>)</w:t>
      </w:r>
    </w:p>
    <w:tbl>
      <w:tblPr>
        <w:tblStyle w:val="Tablaconcuadrcula"/>
        <w:tblW w:w="0" w:type="auto"/>
        <w:tblLook w:val="04A0" w:firstRow="1" w:lastRow="0" w:firstColumn="1" w:lastColumn="0" w:noHBand="0" w:noVBand="1"/>
      </w:tblPr>
      <w:tblGrid>
        <w:gridCol w:w="8828"/>
      </w:tblGrid>
      <w:tr w:rsidR="009223DC" w:rsidRPr="009E2A0E" w14:paraId="1DEF2338" w14:textId="77777777" w:rsidTr="009223DC">
        <w:tc>
          <w:tcPr>
            <w:tcW w:w="8828" w:type="dxa"/>
          </w:tcPr>
          <w:p w14:paraId="4563BA4E" w14:textId="305409C8" w:rsidR="009223DC" w:rsidRPr="009E2A0E" w:rsidRDefault="009223DC" w:rsidP="009223DC">
            <w:pPr>
              <w:spacing w:before="100" w:beforeAutospacing="1" w:after="100" w:afterAutospacing="1" w:line="259" w:lineRule="auto"/>
              <w:jc w:val="both"/>
              <w:rPr>
                <w:rFonts w:asciiTheme="majorBidi" w:hAnsiTheme="majorBidi" w:cstheme="majorBidi"/>
                <w:color w:val="000000" w:themeColor="text1"/>
              </w:rPr>
            </w:pPr>
            <w:r w:rsidRPr="009E2A0E">
              <w:rPr>
                <w:rFonts w:asciiTheme="majorBidi" w:hAnsiTheme="majorBidi" w:cstheme="majorBidi"/>
                <w:color w:val="000000" w:themeColor="text1"/>
              </w:rPr>
              <w:t xml:space="preserve">En el caso del proyecto "Extracción Minera Fénix", los principales desafíos identificados incluyen la realización de un proceso de consulta en un contexto de Estado de Sitio, lo cual vulneró derechos </w:t>
            </w:r>
            <w:r w:rsidRPr="009E2A0E">
              <w:rPr>
                <w:rFonts w:asciiTheme="majorBidi" w:hAnsiTheme="majorBidi" w:cstheme="majorBidi"/>
                <w:color w:val="000000" w:themeColor="text1"/>
              </w:rPr>
              <w:lastRenderedPageBreak/>
              <w:t xml:space="preserve">fundamentales y afectó la participación libre y segura de las comunidades indígenas. A pesar de una reducción del área de explotación minera, el Estado no garantizó un proceso legítimo de consulta conforme a estándares internacionales, incumpliendo también la sentencia de la </w:t>
            </w:r>
            <w:r w:rsidR="008D3A3B">
              <w:rPr>
                <w:rFonts w:asciiTheme="majorBidi" w:hAnsiTheme="majorBidi" w:cstheme="majorBidi"/>
                <w:color w:val="000000" w:themeColor="text1"/>
              </w:rPr>
              <w:t xml:space="preserve">Corte de Constitucionalidad, así como de la </w:t>
            </w:r>
            <w:r w:rsidRPr="009E2A0E">
              <w:rPr>
                <w:rFonts w:asciiTheme="majorBidi" w:hAnsiTheme="majorBidi" w:cstheme="majorBidi"/>
                <w:color w:val="000000" w:themeColor="text1"/>
              </w:rPr>
              <w:t>Corte Interamericana de Derechos Humanos</w:t>
            </w:r>
            <w:r w:rsidR="008D3A3B">
              <w:rPr>
                <w:rFonts w:asciiTheme="majorBidi" w:hAnsiTheme="majorBidi" w:cstheme="majorBidi"/>
                <w:color w:val="000000" w:themeColor="text1"/>
              </w:rPr>
              <w:t xml:space="preserve"> en el caso Lote 9</w:t>
            </w:r>
            <w:r w:rsidRPr="009E2A0E">
              <w:rPr>
                <w:rFonts w:asciiTheme="majorBidi" w:hAnsiTheme="majorBidi" w:cstheme="majorBidi"/>
                <w:color w:val="000000" w:themeColor="text1"/>
              </w:rPr>
              <w:t>. Además, existe el riesgo de que se reconozca únicamente a sectores comunitarios afines al proyecto, fragmentando la representación indígena y debilitando su derecho a la libre determinación.</w:t>
            </w:r>
          </w:p>
        </w:tc>
      </w:tr>
    </w:tbl>
    <w:p w14:paraId="0847ECE4" w14:textId="387C0BE5" w:rsidR="009223DC" w:rsidRPr="009E2A0E" w:rsidRDefault="009223DC" w:rsidP="00197C3D">
      <w:pPr>
        <w:pStyle w:val="Prrafodelista"/>
        <w:numPr>
          <w:ilvl w:val="4"/>
          <w:numId w:val="1"/>
        </w:numPr>
        <w:spacing w:before="240"/>
        <w:ind w:left="709"/>
        <w:jc w:val="both"/>
        <w:rPr>
          <w:rFonts w:asciiTheme="majorBidi" w:hAnsiTheme="majorBidi" w:cstheme="majorBidi"/>
          <w:b/>
          <w:bCs/>
          <w:color w:val="000000" w:themeColor="text1"/>
        </w:rPr>
      </w:pPr>
      <w:r w:rsidRPr="009E2A0E">
        <w:rPr>
          <w:rFonts w:asciiTheme="majorBidi" w:hAnsiTheme="majorBidi" w:cstheme="majorBidi"/>
          <w:b/>
          <w:bCs/>
          <w:color w:val="000000" w:themeColor="text1"/>
        </w:rPr>
        <w:lastRenderedPageBreak/>
        <w:t>Caso “La Puya”, San José Nacahuil</w:t>
      </w:r>
      <w:r w:rsidR="00580A96" w:rsidRPr="009E2A0E">
        <w:rPr>
          <w:rFonts w:asciiTheme="majorBidi" w:hAnsiTheme="majorBidi" w:cstheme="majorBidi"/>
          <w:b/>
          <w:bCs/>
          <w:color w:val="000000" w:themeColor="text1"/>
        </w:rPr>
        <w:t xml:space="preserve"> (</w:t>
      </w:r>
      <w:r w:rsidR="00580A96" w:rsidRPr="000F0EBA">
        <w:rPr>
          <w:rFonts w:asciiTheme="majorBidi" w:hAnsiTheme="majorBidi" w:cstheme="majorBidi"/>
          <w:b/>
          <w:bCs/>
          <w:color w:val="000000" w:themeColor="text1"/>
        </w:rPr>
        <w:t xml:space="preserve">ver detalle del caso en Anexo </w:t>
      </w:r>
      <w:r w:rsidR="000F0EBA">
        <w:rPr>
          <w:rFonts w:asciiTheme="majorBidi" w:hAnsiTheme="majorBidi" w:cstheme="majorBidi"/>
          <w:b/>
          <w:bCs/>
          <w:color w:val="000000" w:themeColor="text1"/>
        </w:rPr>
        <w:t>3.</w:t>
      </w:r>
      <w:r w:rsidR="00DE3AB4">
        <w:rPr>
          <w:rFonts w:asciiTheme="majorBidi" w:hAnsiTheme="majorBidi" w:cstheme="majorBidi"/>
          <w:b/>
          <w:bCs/>
          <w:color w:val="000000" w:themeColor="text1"/>
        </w:rPr>
        <w:t>2</w:t>
      </w:r>
      <w:r w:rsidR="00580A96" w:rsidRPr="009E2A0E">
        <w:rPr>
          <w:rFonts w:asciiTheme="majorBidi" w:hAnsiTheme="majorBidi" w:cstheme="majorBidi"/>
          <w:b/>
          <w:bCs/>
          <w:color w:val="000000" w:themeColor="text1"/>
        </w:rPr>
        <w:t>)</w:t>
      </w:r>
    </w:p>
    <w:tbl>
      <w:tblPr>
        <w:tblStyle w:val="Tablaconcuadrcula"/>
        <w:tblW w:w="0" w:type="auto"/>
        <w:tblLook w:val="04A0" w:firstRow="1" w:lastRow="0" w:firstColumn="1" w:lastColumn="0" w:noHBand="0" w:noVBand="1"/>
      </w:tblPr>
      <w:tblGrid>
        <w:gridCol w:w="8828"/>
      </w:tblGrid>
      <w:tr w:rsidR="009223DC" w:rsidRPr="009E2A0E" w14:paraId="61EAF32A" w14:textId="77777777" w:rsidTr="009223DC">
        <w:tc>
          <w:tcPr>
            <w:tcW w:w="8828" w:type="dxa"/>
          </w:tcPr>
          <w:p w14:paraId="21B96F2E" w14:textId="01580E4A" w:rsidR="009223DC" w:rsidRPr="009E2A0E" w:rsidRDefault="009223DC" w:rsidP="009223DC">
            <w:pPr>
              <w:spacing w:before="100" w:beforeAutospacing="1" w:after="100" w:afterAutospacing="1"/>
              <w:jc w:val="both"/>
              <w:rPr>
                <w:rFonts w:asciiTheme="majorBidi" w:hAnsiTheme="majorBidi" w:cstheme="majorBidi"/>
                <w:color w:val="000000" w:themeColor="text1"/>
              </w:rPr>
            </w:pPr>
            <w:r w:rsidRPr="009E2A0E">
              <w:rPr>
                <w:rFonts w:asciiTheme="majorBidi" w:hAnsiTheme="majorBidi" w:cstheme="majorBidi"/>
                <w:color w:val="000000" w:themeColor="text1"/>
              </w:rPr>
              <w:t>En el caso de "La Puya (Progreso VII Derivada)", persisten obstáculos estructurales en el sistema de justicia guatemalteco para reconocer los derechos de los pueblos indígenas en los procesos de consulta. La intervención unilateral de la Corte Suprema de Justicia</w:t>
            </w:r>
            <w:r w:rsidR="0048226E">
              <w:rPr>
                <w:rStyle w:val="Refdenotaalpie"/>
                <w:rFonts w:asciiTheme="majorBidi" w:hAnsiTheme="majorBidi"/>
                <w:color w:val="000000" w:themeColor="text1"/>
              </w:rPr>
              <w:footnoteReference w:id="74"/>
            </w:r>
            <w:r w:rsidRPr="009E2A0E">
              <w:rPr>
                <w:rFonts w:asciiTheme="majorBidi" w:hAnsiTheme="majorBidi" w:cstheme="majorBidi"/>
                <w:color w:val="000000" w:themeColor="text1"/>
              </w:rPr>
              <w:t>, mediante la imposición de estudios demográficos y cronogramas sin consulta, retrotrae etapas del proceso y vulnera el principio de buena fe. Asimismo, se evidencia un retroceso jurisprudencial que afecta la protección judicial y genera desconfianza en las comunidades. Esta situación se agrava por la falta de implementación efectiva de sentencias, quedando su ejecución sujeta a interpretaciones regresivas por parte de las autoridades.</w:t>
            </w:r>
          </w:p>
        </w:tc>
      </w:tr>
    </w:tbl>
    <w:p w14:paraId="55FE42E4" w14:textId="7DC90EF7" w:rsidR="00502086" w:rsidRPr="009E2A0E" w:rsidRDefault="00502086" w:rsidP="00197C3D">
      <w:pPr>
        <w:pStyle w:val="Prrafodelista"/>
        <w:numPr>
          <w:ilvl w:val="1"/>
          <w:numId w:val="1"/>
        </w:numPr>
        <w:spacing w:before="240"/>
        <w:ind w:left="709"/>
        <w:jc w:val="both"/>
        <w:rPr>
          <w:rFonts w:asciiTheme="majorBidi" w:hAnsiTheme="majorBidi" w:cstheme="majorBidi"/>
          <w:b/>
          <w:bCs/>
          <w:color w:val="000000" w:themeColor="text1"/>
        </w:rPr>
      </w:pPr>
      <w:r w:rsidRPr="009E2A0E">
        <w:rPr>
          <w:rFonts w:asciiTheme="majorBidi" w:hAnsiTheme="majorBidi" w:cstheme="majorBidi"/>
          <w:b/>
          <w:bCs/>
          <w:color w:val="000000" w:themeColor="text1"/>
        </w:rPr>
        <w:t>Caso las “Arene</w:t>
      </w:r>
      <w:r w:rsidR="0052437E">
        <w:rPr>
          <w:rFonts w:asciiTheme="majorBidi" w:hAnsiTheme="majorBidi" w:cstheme="majorBidi"/>
          <w:b/>
          <w:bCs/>
          <w:color w:val="000000" w:themeColor="text1"/>
        </w:rPr>
        <w:t>r</w:t>
      </w:r>
      <w:r w:rsidRPr="009E2A0E">
        <w:rPr>
          <w:rFonts w:asciiTheme="majorBidi" w:hAnsiTheme="majorBidi" w:cstheme="majorBidi"/>
          <w:b/>
          <w:bCs/>
          <w:color w:val="000000" w:themeColor="text1"/>
        </w:rPr>
        <w:t>as”, Chinautla, Guatemala</w:t>
      </w:r>
      <w:r w:rsidR="00580A96" w:rsidRPr="009E2A0E">
        <w:rPr>
          <w:rFonts w:asciiTheme="majorBidi" w:hAnsiTheme="majorBidi" w:cstheme="majorBidi"/>
          <w:b/>
          <w:bCs/>
          <w:color w:val="000000" w:themeColor="text1"/>
        </w:rPr>
        <w:t xml:space="preserve"> (</w:t>
      </w:r>
      <w:r w:rsidR="00580A96" w:rsidRPr="000F0EBA">
        <w:rPr>
          <w:rFonts w:asciiTheme="majorBidi" w:hAnsiTheme="majorBidi" w:cstheme="majorBidi"/>
          <w:b/>
          <w:bCs/>
          <w:color w:val="000000" w:themeColor="text1"/>
        </w:rPr>
        <w:t xml:space="preserve">ver detalle del caso en Anexo </w:t>
      </w:r>
      <w:r w:rsidR="000F0EBA">
        <w:rPr>
          <w:rFonts w:asciiTheme="majorBidi" w:hAnsiTheme="majorBidi" w:cstheme="majorBidi"/>
          <w:b/>
          <w:bCs/>
          <w:color w:val="000000" w:themeColor="text1"/>
        </w:rPr>
        <w:t>3.</w:t>
      </w:r>
      <w:r w:rsidR="00DE3AB4">
        <w:rPr>
          <w:rFonts w:asciiTheme="majorBidi" w:hAnsiTheme="majorBidi" w:cstheme="majorBidi"/>
          <w:b/>
          <w:bCs/>
          <w:color w:val="000000" w:themeColor="text1"/>
        </w:rPr>
        <w:t>3</w:t>
      </w:r>
      <w:r w:rsidR="000F0EBA">
        <w:rPr>
          <w:rFonts w:asciiTheme="majorBidi" w:hAnsiTheme="majorBidi" w:cstheme="majorBidi"/>
          <w:b/>
          <w:bCs/>
          <w:color w:val="000000" w:themeColor="text1"/>
        </w:rPr>
        <w:t>.</w:t>
      </w:r>
      <w:r w:rsidR="00580A96" w:rsidRPr="009E2A0E">
        <w:rPr>
          <w:rFonts w:asciiTheme="majorBidi" w:hAnsiTheme="majorBidi" w:cstheme="majorBidi"/>
          <w:b/>
          <w:bCs/>
          <w:color w:val="000000" w:themeColor="text1"/>
        </w:rPr>
        <w:t>)</w:t>
      </w:r>
    </w:p>
    <w:tbl>
      <w:tblPr>
        <w:tblStyle w:val="Tablaconcuadrcula"/>
        <w:tblW w:w="0" w:type="auto"/>
        <w:tblLook w:val="04A0" w:firstRow="1" w:lastRow="0" w:firstColumn="1" w:lastColumn="0" w:noHBand="0" w:noVBand="1"/>
      </w:tblPr>
      <w:tblGrid>
        <w:gridCol w:w="8828"/>
      </w:tblGrid>
      <w:tr w:rsidR="00502086" w:rsidRPr="009E2A0E" w14:paraId="1195DB67" w14:textId="77777777" w:rsidTr="00502086">
        <w:tc>
          <w:tcPr>
            <w:tcW w:w="8828" w:type="dxa"/>
          </w:tcPr>
          <w:p w14:paraId="6BFB0BBD" w14:textId="77777777" w:rsidR="00502086" w:rsidRPr="000F0EBA" w:rsidRDefault="00502086" w:rsidP="00502086">
            <w:pPr>
              <w:spacing w:before="100" w:beforeAutospacing="1" w:after="100" w:afterAutospacing="1"/>
              <w:jc w:val="both"/>
              <w:rPr>
                <w:rFonts w:asciiTheme="majorBidi" w:hAnsiTheme="majorBidi" w:cstheme="majorBidi"/>
                <w:color w:val="000000" w:themeColor="text1"/>
              </w:rPr>
            </w:pPr>
            <w:r w:rsidRPr="000F0EBA">
              <w:rPr>
                <w:rFonts w:asciiTheme="majorBidi" w:hAnsiTheme="majorBidi" w:cstheme="majorBidi"/>
                <w:color w:val="000000" w:themeColor="text1"/>
              </w:rPr>
              <w:t>En el caso de "Las Areneras", se identifica un patrón de impunidad empresarial y permisividad estatal que permite la operación de estas explotaciones, aun cuando sus licencias han caducado. Esto refleja un uso discrecional de la normativa en detrimento del Estado de derecho y los derechos colectivos. Además, el impacto de estas actividades afecta de manera diferenciada a las mujeres dedicadas a la alfarería, generando pérdidas económicas y mayor riesgo en la resistencia comunitaria, mientras que la niñez sufre consecuencias en salud y seguridad en un entorno contaminado y degradado ambientalmente.</w:t>
            </w:r>
          </w:p>
          <w:p w14:paraId="1D8BA717" w14:textId="0BA6A95E" w:rsidR="00502086" w:rsidRPr="009E2A0E" w:rsidRDefault="00502086" w:rsidP="00502086">
            <w:pPr>
              <w:spacing w:before="100" w:beforeAutospacing="1" w:after="100" w:afterAutospacing="1"/>
              <w:jc w:val="both"/>
              <w:rPr>
                <w:rFonts w:asciiTheme="majorBidi" w:hAnsiTheme="majorBidi" w:cstheme="majorBidi"/>
                <w:color w:val="000000" w:themeColor="text1"/>
              </w:rPr>
            </w:pPr>
            <w:r w:rsidRPr="000F0EBA">
              <w:rPr>
                <w:rFonts w:asciiTheme="majorBidi" w:hAnsiTheme="majorBidi" w:cstheme="majorBidi"/>
                <w:color w:val="000000" w:themeColor="text1"/>
              </w:rPr>
              <w:t>Finalmente, un desafío transversal es la falta de adecuación del marco jurídico guatemalteco a las formas de organización y los sistemas normativos propios de los pueblos indígenas. El ordenamiento legal actual responde a una lógica occidental que no reconoce plenamente sus estructuras tradicionales ni su derecho a la libre determinación. Esta situación limita el ejercicio de sus derechos colectivos y obstaculiza el acceso a la justicia en sus propios términos, afectando su capacidad para decidir sobre proyectos que impactan sus territorios y recursos naturales.</w:t>
            </w:r>
          </w:p>
        </w:tc>
      </w:tr>
    </w:tbl>
    <w:p w14:paraId="04C74DE4" w14:textId="77777777" w:rsidR="00502086" w:rsidRPr="009E2A0E" w:rsidRDefault="00502086" w:rsidP="00502086">
      <w:pPr>
        <w:jc w:val="both"/>
        <w:rPr>
          <w:rFonts w:asciiTheme="majorBidi" w:hAnsiTheme="majorBidi" w:cstheme="majorBidi"/>
          <w:color w:val="000000" w:themeColor="text1"/>
        </w:rPr>
      </w:pPr>
    </w:p>
    <w:p w14:paraId="3ABA2CB0" w14:textId="0027C1EC" w:rsidR="007937D1" w:rsidRPr="009E2A0E" w:rsidRDefault="007937D1" w:rsidP="007937D1">
      <w:pPr>
        <w:jc w:val="both"/>
        <w:rPr>
          <w:rFonts w:asciiTheme="majorBidi" w:hAnsiTheme="majorBidi" w:cstheme="majorBidi"/>
          <w:color w:val="000000" w:themeColor="text1"/>
          <w:lang w:val="es-MX"/>
        </w:rPr>
      </w:pPr>
      <w:r w:rsidRPr="009E2A0E">
        <w:rPr>
          <w:rFonts w:asciiTheme="majorBidi" w:hAnsiTheme="majorBidi" w:cstheme="majorBidi"/>
          <w:color w:val="000000" w:themeColor="text1"/>
        </w:rPr>
        <w:t>El Estado de Guatemala tiene la obligación de adoptar medidas efectivas para prevenir, eliminar y sancionar toda forma de discriminación racial. Sin embargo, el reiterado incumplimiento de sentencias emitidas por la Corte de Constitucionalidad de Guatemala y por la Corte Interamericana de Derechos Humanos en materia de consulta a pueblos indígenas, así como la imposición de mecanismos unilaterales como estudios poblacionales y cronogramas definidos sin consentimiento por el Ministerio de Energía y Minas, reflejan una política estatal discriminatoria. Este patrón se evidenció especialmente durante el proceso de consulta sobre el proyecto minero Fénix, en el cual la declaración de Estado de Sitio en El Estor generó un entorno de represión que limitó gravemente la participación comunitaria, contraviniendo los principios de buena fe y no discriminación establecidos también en el Convenio 169 de la OIT.</w:t>
      </w:r>
    </w:p>
    <w:p w14:paraId="61895A2F" w14:textId="32744B90" w:rsidR="00880AEC" w:rsidRPr="009E2A0E" w:rsidRDefault="007937D1" w:rsidP="007937D1">
      <w:pPr>
        <w:jc w:val="both"/>
        <w:rPr>
          <w:rFonts w:asciiTheme="majorBidi" w:hAnsiTheme="majorBidi" w:cstheme="majorBidi"/>
          <w:color w:val="000000" w:themeColor="text1"/>
        </w:rPr>
      </w:pPr>
      <w:r w:rsidRPr="009E2A0E">
        <w:rPr>
          <w:rFonts w:asciiTheme="majorBidi" w:hAnsiTheme="majorBidi" w:cstheme="majorBidi"/>
          <w:color w:val="000000" w:themeColor="text1"/>
        </w:rPr>
        <w:lastRenderedPageBreak/>
        <w:t xml:space="preserve">La criminalización de líderes comunitarios que han participado en procesos de defensa </w:t>
      </w:r>
      <w:proofErr w:type="gramStart"/>
      <w:r w:rsidRPr="009E2A0E">
        <w:rPr>
          <w:rFonts w:asciiTheme="majorBidi" w:hAnsiTheme="majorBidi" w:cstheme="majorBidi"/>
          <w:color w:val="000000" w:themeColor="text1"/>
        </w:rPr>
        <w:t>territorial,</w:t>
      </w:r>
      <w:proofErr w:type="gramEnd"/>
      <w:r w:rsidRPr="009E2A0E">
        <w:rPr>
          <w:rFonts w:asciiTheme="majorBidi" w:hAnsiTheme="majorBidi" w:cstheme="majorBidi"/>
          <w:color w:val="000000" w:themeColor="text1"/>
        </w:rPr>
        <w:t xml:space="preserve"> demuestra el uso del sistema penal como mecanismo de control para desmovilizar a quienes ejercen su derecho a la libre determinación. Esta situación, sumada a la falta de consulta efectiva y a la permisividad del Estado hacia proyectos extractivos (como en el caso de las Areneras de Chinautla, que continúan operando pese al vencimiento de sus licencias), refleja un trato desigual ante la ley. Los pueblos indígenas, en vez de contar con garantías, enfrentan obstáculos y represalias al ejercer derechos reconocidos por el derecho internacional.</w:t>
      </w:r>
    </w:p>
    <w:p w14:paraId="7D71D92F" w14:textId="45399B38" w:rsidR="007937D1" w:rsidRPr="009E2A0E" w:rsidRDefault="007937D1" w:rsidP="007937D1">
      <w:pPr>
        <w:jc w:val="both"/>
        <w:rPr>
          <w:rFonts w:asciiTheme="majorBidi" w:hAnsiTheme="majorBidi" w:cstheme="majorBidi"/>
          <w:color w:val="000000" w:themeColor="text1"/>
          <w:lang w:val="es-MX"/>
        </w:rPr>
      </w:pPr>
      <w:r w:rsidRPr="009E2A0E">
        <w:rPr>
          <w:rFonts w:asciiTheme="majorBidi" w:hAnsiTheme="majorBidi" w:cstheme="majorBidi"/>
          <w:color w:val="000000" w:themeColor="text1"/>
        </w:rPr>
        <w:t>Lejos de promover la eliminación de prejuicios raciales, las políticas del Estado han reforzado un marco normativo que invisibiliza y deslegitima las formas propias de organización de los pueblos indígenas. La ausencia de reconocimiento oficial a sus sistemas normativos y estructuras comunitarias perpetúa estereotipos que los presentan como incapaces o irracionales, obstaculizando su participación efectiva en los procesos de toma de decisiones. Esta exclusión institucionalizada limita el acceso a la justicia, niega el ejercicio del derecho a la consulta y consolida la desigualdad estructural.</w:t>
      </w:r>
    </w:p>
    <w:p w14:paraId="3C40FBB3" w14:textId="2170401E" w:rsidR="00E246B7" w:rsidRPr="009E2A0E" w:rsidRDefault="00126E2C" w:rsidP="00197C3D">
      <w:pPr>
        <w:pStyle w:val="Prrafodelista"/>
        <w:numPr>
          <w:ilvl w:val="2"/>
          <w:numId w:val="10"/>
        </w:numPr>
        <w:jc w:val="both"/>
        <w:outlineLvl w:val="2"/>
        <w:rPr>
          <w:rFonts w:asciiTheme="majorBidi" w:hAnsiTheme="majorBidi" w:cstheme="majorBidi"/>
          <w:b/>
          <w:bCs/>
          <w:color w:val="000000" w:themeColor="text1"/>
        </w:rPr>
      </w:pPr>
      <w:bookmarkStart w:id="26" w:name="_Toc204264049"/>
      <w:r w:rsidRPr="009E2A0E">
        <w:rPr>
          <w:rFonts w:asciiTheme="majorBidi" w:hAnsiTheme="majorBidi" w:cstheme="majorBidi"/>
          <w:b/>
          <w:bCs/>
          <w:color w:val="000000" w:themeColor="text1"/>
        </w:rPr>
        <w:t>Recomendaciones relacionadas al Derecho de Consulta libre previa e informada</w:t>
      </w:r>
      <w:bookmarkEnd w:id="26"/>
    </w:p>
    <w:tbl>
      <w:tblPr>
        <w:tblStyle w:val="Tablaconcuadrcula"/>
        <w:tblW w:w="10632" w:type="dxa"/>
        <w:tblInd w:w="-998" w:type="dxa"/>
        <w:shd w:val="clear" w:color="auto" w:fill="FFF2CC" w:themeFill="accent4" w:themeFillTint="33"/>
        <w:tblLook w:val="04A0" w:firstRow="1" w:lastRow="0" w:firstColumn="1" w:lastColumn="0" w:noHBand="0" w:noVBand="1"/>
      </w:tblPr>
      <w:tblGrid>
        <w:gridCol w:w="10632"/>
      </w:tblGrid>
      <w:tr w:rsidR="00192D38" w:rsidRPr="009E2A0E" w14:paraId="06CC6430" w14:textId="77777777" w:rsidTr="00C65C44">
        <w:tc>
          <w:tcPr>
            <w:tcW w:w="10632" w:type="dxa"/>
            <w:shd w:val="clear" w:color="auto" w:fill="FFF2CC" w:themeFill="accent4" w:themeFillTint="33"/>
          </w:tcPr>
          <w:p w14:paraId="014D1FDF" w14:textId="40539F20" w:rsidR="00192D38" w:rsidRPr="009E2A0E" w:rsidRDefault="00192D38" w:rsidP="00197C3D">
            <w:pPr>
              <w:pStyle w:val="Prrafodelista"/>
              <w:numPr>
                <w:ilvl w:val="0"/>
                <w:numId w:val="14"/>
              </w:numPr>
              <w:jc w:val="both"/>
              <w:rPr>
                <w:rFonts w:asciiTheme="majorBidi" w:hAnsiTheme="majorBidi" w:cstheme="majorBidi"/>
                <w:i/>
                <w:iCs/>
                <w:color w:val="000000" w:themeColor="text1"/>
              </w:rPr>
            </w:pPr>
            <w:r w:rsidRPr="009E2A0E">
              <w:rPr>
                <w:rFonts w:asciiTheme="majorBidi" w:hAnsiTheme="majorBidi" w:cstheme="majorBidi"/>
                <w:i/>
                <w:iCs/>
                <w:color w:val="000000" w:themeColor="text1"/>
              </w:rPr>
              <w:t>El Estado de Guatemala debe cumplir de forma plena y efectiva las medidas de reparación de las sentencias de la Corte de Constitucionalidad y la Corte Interamericana de Derechos Humanos relacionadas al derecho de consulta</w:t>
            </w:r>
            <w:r w:rsidR="00283539">
              <w:rPr>
                <w:rFonts w:asciiTheme="majorBidi" w:hAnsiTheme="majorBidi" w:cstheme="majorBidi"/>
                <w:i/>
                <w:iCs/>
                <w:color w:val="000000" w:themeColor="text1"/>
              </w:rPr>
              <w:t xml:space="preserve"> y consentimiento</w:t>
            </w:r>
            <w:r w:rsidRPr="009E2A0E">
              <w:rPr>
                <w:rFonts w:asciiTheme="majorBidi" w:hAnsiTheme="majorBidi" w:cstheme="majorBidi"/>
                <w:i/>
                <w:iCs/>
                <w:color w:val="000000" w:themeColor="text1"/>
              </w:rPr>
              <w:t xml:space="preserve">, libre previa e informada, </w:t>
            </w:r>
            <w:r w:rsidRPr="00605A7D">
              <w:rPr>
                <w:rFonts w:asciiTheme="majorBidi" w:hAnsiTheme="majorBidi" w:cstheme="majorBidi"/>
                <w:b/>
                <w:bCs/>
                <w:i/>
                <w:iCs/>
                <w:color w:val="000000" w:themeColor="text1"/>
              </w:rPr>
              <w:t xml:space="preserve">absteniéndose de realizar reinterpretaciones restrictivas o regresivas. </w:t>
            </w:r>
          </w:p>
        </w:tc>
      </w:tr>
      <w:tr w:rsidR="00192D38" w:rsidRPr="009E2A0E" w14:paraId="3F705096" w14:textId="77777777" w:rsidTr="00C65C44">
        <w:tc>
          <w:tcPr>
            <w:tcW w:w="10632" w:type="dxa"/>
            <w:shd w:val="clear" w:color="auto" w:fill="FFF2CC" w:themeFill="accent4" w:themeFillTint="33"/>
          </w:tcPr>
          <w:p w14:paraId="6A2C456D" w14:textId="404700E2" w:rsidR="00192D38" w:rsidRPr="009E2A0E" w:rsidRDefault="00192D38" w:rsidP="00197C3D">
            <w:pPr>
              <w:pStyle w:val="Prrafodelista"/>
              <w:numPr>
                <w:ilvl w:val="0"/>
                <w:numId w:val="14"/>
              </w:numPr>
              <w:jc w:val="both"/>
              <w:rPr>
                <w:rFonts w:asciiTheme="majorBidi" w:hAnsiTheme="majorBidi" w:cstheme="majorBidi"/>
                <w:i/>
                <w:iCs/>
                <w:color w:val="000000" w:themeColor="text1"/>
              </w:rPr>
            </w:pPr>
            <w:r w:rsidRPr="009E2A0E">
              <w:rPr>
                <w:rFonts w:asciiTheme="majorBidi" w:hAnsiTheme="majorBidi" w:cstheme="majorBidi"/>
                <w:i/>
                <w:iCs/>
                <w:color w:val="000000" w:themeColor="text1"/>
              </w:rPr>
              <w:t>Reconocer las propias formas de identidad cultural y libre determinación de los pueblos indígenas sin imponer requisitos administrativos excluyentes, como registros oficiales o estudios previos. El Estado debe abstenerse de condicionar el ejercicio de derechos colectivos a validaciones externas que nieguen la existencia o legitimidad de las comunidades.</w:t>
            </w:r>
          </w:p>
        </w:tc>
      </w:tr>
      <w:tr w:rsidR="00192D38" w:rsidRPr="009E2A0E" w14:paraId="1C616830" w14:textId="77777777" w:rsidTr="00C65C44">
        <w:tc>
          <w:tcPr>
            <w:tcW w:w="10632" w:type="dxa"/>
            <w:shd w:val="clear" w:color="auto" w:fill="FFF2CC" w:themeFill="accent4" w:themeFillTint="33"/>
          </w:tcPr>
          <w:p w14:paraId="52D04E87" w14:textId="7B6CEE1C" w:rsidR="00192D38" w:rsidRPr="000F0EBA" w:rsidRDefault="00192D38" w:rsidP="00197C3D">
            <w:pPr>
              <w:pStyle w:val="Prrafodelista"/>
              <w:numPr>
                <w:ilvl w:val="0"/>
                <w:numId w:val="14"/>
              </w:numPr>
              <w:jc w:val="both"/>
              <w:rPr>
                <w:rFonts w:asciiTheme="majorBidi" w:hAnsiTheme="majorBidi" w:cstheme="majorBidi"/>
                <w:i/>
                <w:iCs/>
                <w:color w:val="000000" w:themeColor="text1"/>
              </w:rPr>
            </w:pPr>
            <w:r w:rsidRPr="000F0EBA">
              <w:rPr>
                <w:rFonts w:asciiTheme="majorBidi" w:hAnsiTheme="majorBidi" w:cstheme="majorBidi"/>
                <w:i/>
                <w:iCs/>
                <w:color w:val="000000" w:themeColor="text1"/>
              </w:rPr>
              <w:t>El Estado debe abstenerse de otorgar nuevas licencias extractivas o de desarrollo en territorios de los pueblos indígenas, sin garantizar previamente el derecho de consulta libre, previa, informada y culturalmente adecuada. Además, debe establecer un mecanismo nacional de seguimiento al cumplimiento del Convenio y de las recomendaciones del Comité CERD, con participación efectiva de los pueblos indígenas.</w:t>
            </w:r>
          </w:p>
        </w:tc>
      </w:tr>
      <w:tr w:rsidR="00192D38" w:rsidRPr="009E2A0E" w14:paraId="54D93C3F" w14:textId="77777777" w:rsidTr="00C65C44">
        <w:tc>
          <w:tcPr>
            <w:tcW w:w="10632" w:type="dxa"/>
            <w:shd w:val="clear" w:color="auto" w:fill="FFF2CC" w:themeFill="accent4" w:themeFillTint="33"/>
          </w:tcPr>
          <w:p w14:paraId="4B353FB1" w14:textId="344B691C" w:rsidR="00192D38" w:rsidRPr="000F0EBA" w:rsidRDefault="00192D38" w:rsidP="00197C3D">
            <w:pPr>
              <w:pStyle w:val="Prrafodelista"/>
              <w:numPr>
                <w:ilvl w:val="0"/>
                <w:numId w:val="14"/>
              </w:numPr>
              <w:jc w:val="both"/>
              <w:rPr>
                <w:rFonts w:asciiTheme="majorBidi" w:hAnsiTheme="majorBidi" w:cstheme="majorBidi"/>
                <w:i/>
                <w:iCs/>
                <w:color w:val="000000" w:themeColor="text1"/>
              </w:rPr>
            </w:pPr>
            <w:r w:rsidRPr="000F0EBA">
              <w:rPr>
                <w:rFonts w:asciiTheme="majorBidi" w:hAnsiTheme="majorBidi" w:cstheme="majorBidi"/>
                <w:i/>
                <w:iCs/>
                <w:color w:val="000000" w:themeColor="text1"/>
              </w:rPr>
              <w:t>El Estado debe adoptar medidas urgentes para proteger a las personas defensoras de derechos humanos, en particular a líderes y lideresas indígenas, garantizando investigaciones imparciales, sanciones efectivas contra las y los perpetradores y la implementación efectiva de la Política Pública para Personas Defensoras. Asimismo, el cese de la criminalizar en la defensa del territorio y la participación manifestaciones.</w:t>
            </w:r>
          </w:p>
        </w:tc>
      </w:tr>
      <w:tr w:rsidR="00192D38" w:rsidRPr="009E2A0E" w14:paraId="16CE0109" w14:textId="77777777" w:rsidTr="00C65C44">
        <w:tc>
          <w:tcPr>
            <w:tcW w:w="10632" w:type="dxa"/>
            <w:shd w:val="clear" w:color="auto" w:fill="FFF2CC" w:themeFill="accent4" w:themeFillTint="33"/>
          </w:tcPr>
          <w:p w14:paraId="0A9F27FE" w14:textId="65C4A0A3" w:rsidR="00192D38" w:rsidRPr="000F0EBA" w:rsidRDefault="00192D38" w:rsidP="00197C3D">
            <w:pPr>
              <w:pStyle w:val="Prrafodelista"/>
              <w:numPr>
                <w:ilvl w:val="0"/>
                <w:numId w:val="14"/>
              </w:numPr>
              <w:jc w:val="both"/>
              <w:rPr>
                <w:rFonts w:asciiTheme="majorBidi" w:hAnsiTheme="majorBidi" w:cstheme="majorBidi"/>
                <w:i/>
                <w:iCs/>
                <w:color w:val="000000" w:themeColor="text1"/>
              </w:rPr>
            </w:pPr>
            <w:r w:rsidRPr="000F0EBA">
              <w:rPr>
                <w:rFonts w:asciiTheme="majorBidi" w:hAnsiTheme="majorBidi" w:cstheme="majorBidi"/>
                <w:i/>
                <w:iCs/>
                <w:color w:val="000000" w:themeColor="text1"/>
              </w:rPr>
              <w:t xml:space="preserve">Garantizar la </w:t>
            </w:r>
            <w:proofErr w:type="gramStart"/>
            <w:r w:rsidRPr="000F0EBA">
              <w:rPr>
                <w:rFonts w:asciiTheme="majorBidi" w:hAnsiTheme="majorBidi" w:cstheme="majorBidi"/>
                <w:i/>
                <w:iCs/>
                <w:color w:val="000000" w:themeColor="text1"/>
              </w:rPr>
              <w:t>participación activa</w:t>
            </w:r>
            <w:proofErr w:type="gramEnd"/>
            <w:r w:rsidRPr="000F0EBA">
              <w:rPr>
                <w:rFonts w:asciiTheme="majorBidi" w:hAnsiTheme="majorBidi" w:cstheme="majorBidi"/>
                <w:i/>
                <w:iCs/>
                <w:color w:val="000000" w:themeColor="text1"/>
              </w:rPr>
              <w:t xml:space="preserve"> y equitativa de las mujeres indígenas en los procesos de consulta y toma de decisiones, reconociendo su rol fundamental en las comunidades. Asimismo, el Estado debe adoptar medidas específicas para proteger a la niñez indígena de los impactos negativos de las actividades extractivas, asegurando su bienestar físico, cultural y espiritual</w:t>
            </w:r>
          </w:p>
        </w:tc>
      </w:tr>
      <w:tr w:rsidR="0027316B" w:rsidRPr="009E2A0E" w14:paraId="73408A7A" w14:textId="77777777" w:rsidTr="00C65C44">
        <w:tc>
          <w:tcPr>
            <w:tcW w:w="10632" w:type="dxa"/>
            <w:shd w:val="clear" w:color="auto" w:fill="FFF2CC" w:themeFill="accent4" w:themeFillTint="33"/>
          </w:tcPr>
          <w:p w14:paraId="048EBEF6" w14:textId="41CA2E3B" w:rsidR="0027316B" w:rsidRPr="000F0EBA" w:rsidRDefault="0027316B" w:rsidP="00197C3D">
            <w:pPr>
              <w:pStyle w:val="Prrafodelista"/>
              <w:numPr>
                <w:ilvl w:val="0"/>
                <w:numId w:val="14"/>
              </w:numPr>
              <w:jc w:val="both"/>
              <w:rPr>
                <w:rFonts w:asciiTheme="majorBidi" w:hAnsiTheme="majorBidi" w:cstheme="majorBidi"/>
                <w:i/>
                <w:iCs/>
                <w:color w:val="000000" w:themeColor="text1"/>
                <w:lang w:val="es-MX"/>
              </w:rPr>
            </w:pPr>
            <w:r w:rsidRPr="000F0EBA">
              <w:rPr>
                <w:rFonts w:asciiTheme="majorBidi" w:hAnsiTheme="majorBidi" w:cstheme="majorBidi"/>
                <w:i/>
                <w:iCs/>
                <w:color w:val="000000" w:themeColor="text1"/>
                <w:lang w:val="es-MX"/>
              </w:rPr>
              <w:t>Implementar los estándares internacionales de consulta previa en todos los todos los actos administrativos de la administración pública particularmente los relacionados a la autorización de licencias extractivas sobre los recursos naturales, en el marco del control de convencionalidad. Pudiéndose impulsar la consulta estando los proyectos en curso.</w:t>
            </w:r>
          </w:p>
        </w:tc>
      </w:tr>
      <w:tr w:rsidR="0027316B" w:rsidRPr="009E2A0E" w14:paraId="600D4D64" w14:textId="77777777" w:rsidTr="00C65C44">
        <w:tc>
          <w:tcPr>
            <w:tcW w:w="10632" w:type="dxa"/>
            <w:shd w:val="clear" w:color="auto" w:fill="FFF2CC" w:themeFill="accent4" w:themeFillTint="33"/>
          </w:tcPr>
          <w:p w14:paraId="04482DAF" w14:textId="0FF3EF63" w:rsidR="0027316B" w:rsidRPr="000F0EBA" w:rsidRDefault="0027316B" w:rsidP="00197C3D">
            <w:pPr>
              <w:pStyle w:val="Prrafodelista"/>
              <w:numPr>
                <w:ilvl w:val="0"/>
                <w:numId w:val="14"/>
              </w:numPr>
              <w:jc w:val="both"/>
              <w:rPr>
                <w:rFonts w:asciiTheme="majorBidi" w:hAnsiTheme="majorBidi" w:cstheme="majorBidi"/>
                <w:i/>
                <w:iCs/>
                <w:color w:val="000000" w:themeColor="text1"/>
                <w:lang w:val="es-MX"/>
              </w:rPr>
            </w:pPr>
            <w:r w:rsidRPr="000F0EBA">
              <w:rPr>
                <w:rFonts w:asciiTheme="majorBidi" w:hAnsiTheme="majorBidi" w:cstheme="majorBidi"/>
                <w:i/>
                <w:iCs/>
                <w:color w:val="000000" w:themeColor="text1"/>
                <w:lang w:val="es-MX"/>
              </w:rPr>
              <w:t xml:space="preserve">Evaluar los impactos DESCA de las comunidades que están en el </w:t>
            </w:r>
            <w:proofErr w:type="gramStart"/>
            <w:r w:rsidRPr="000F0EBA">
              <w:rPr>
                <w:rFonts w:asciiTheme="majorBidi" w:hAnsiTheme="majorBidi" w:cstheme="majorBidi"/>
                <w:i/>
                <w:iCs/>
                <w:color w:val="000000" w:themeColor="text1"/>
                <w:lang w:val="es-MX"/>
              </w:rPr>
              <w:t>área  de</w:t>
            </w:r>
            <w:proofErr w:type="gramEnd"/>
            <w:r w:rsidRPr="000F0EBA">
              <w:rPr>
                <w:rFonts w:asciiTheme="majorBidi" w:hAnsiTheme="majorBidi" w:cstheme="majorBidi"/>
                <w:i/>
                <w:iCs/>
                <w:color w:val="000000" w:themeColor="text1"/>
                <w:lang w:val="es-MX"/>
              </w:rPr>
              <w:t xml:space="preserve"> impacto</w:t>
            </w:r>
            <w:r w:rsidRPr="000F0EBA">
              <w:rPr>
                <w:rFonts w:asciiTheme="majorBidi" w:hAnsiTheme="majorBidi" w:cstheme="majorBidi"/>
                <w:i/>
                <w:iCs/>
                <w:color w:val="000000" w:themeColor="text1"/>
              </w:rPr>
              <w:t xml:space="preserve"> de los proyectos extractivos o de explosión, derivado </w:t>
            </w:r>
            <w:proofErr w:type="gramStart"/>
            <w:r w:rsidRPr="000F0EBA">
              <w:rPr>
                <w:rFonts w:asciiTheme="majorBidi" w:hAnsiTheme="majorBidi" w:cstheme="majorBidi"/>
                <w:i/>
                <w:iCs/>
                <w:color w:val="000000" w:themeColor="text1"/>
              </w:rPr>
              <w:t>de  las</w:t>
            </w:r>
            <w:proofErr w:type="gramEnd"/>
            <w:r w:rsidRPr="000F0EBA">
              <w:rPr>
                <w:rFonts w:asciiTheme="majorBidi" w:hAnsiTheme="majorBidi" w:cstheme="majorBidi"/>
                <w:i/>
                <w:iCs/>
                <w:color w:val="000000" w:themeColor="text1"/>
              </w:rPr>
              <w:t xml:space="preserve"> medidas administrativas susceptibles de afectarles directamente</w:t>
            </w:r>
          </w:p>
        </w:tc>
      </w:tr>
    </w:tbl>
    <w:p w14:paraId="63C83E06" w14:textId="77777777" w:rsidR="00611518" w:rsidRPr="009E2A0E" w:rsidRDefault="00611518" w:rsidP="00126E2C">
      <w:pPr>
        <w:jc w:val="both"/>
        <w:rPr>
          <w:rFonts w:asciiTheme="majorBidi" w:hAnsiTheme="majorBidi" w:cstheme="majorBidi"/>
          <w:color w:val="000000" w:themeColor="text1"/>
        </w:rPr>
      </w:pPr>
    </w:p>
    <w:p w14:paraId="2E46CB10" w14:textId="5670A1B5" w:rsidR="006E26C6" w:rsidRPr="009E2A0E" w:rsidRDefault="006E26C6" w:rsidP="006E26C6">
      <w:pPr>
        <w:jc w:val="both"/>
        <w:rPr>
          <w:rFonts w:asciiTheme="majorBidi" w:hAnsiTheme="majorBidi" w:cstheme="majorBidi"/>
          <w:b/>
          <w:bCs/>
          <w:color w:val="000000" w:themeColor="text1"/>
          <w:lang w:val="es-MX"/>
        </w:rPr>
        <w:sectPr w:rsidR="006E26C6" w:rsidRPr="009E2A0E">
          <w:pgSz w:w="12240" w:h="15840"/>
          <w:pgMar w:top="1417" w:right="1701" w:bottom="1417" w:left="1701" w:header="708" w:footer="708" w:gutter="0"/>
          <w:cols w:space="708"/>
          <w:docGrid w:linePitch="360"/>
        </w:sectPr>
      </w:pPr>
    </w:p>
    <w:p w14:paraId="6BB9678B" w14:textId="7BABF5F0" w:rsidR="00296E20" w:rsidRPr="009E2A0E" w:rsidRDefault="00192D38" w:rsidP="00197C3D">
      <w:pPr>
        <w:pStyle w:val="Prrafodelista"/>
        <w:numPr>
          <w:ilvl w:val="1"/>
          <w:numId w:val="8"/>
        </w:numPr>
        <w:outlineLvl w:val="1"/>
        <w:rPr>
          <w:rFonts w:asciiTheme="majorBidi" w:hAnsiTheme="majorBidi" w:cstheme="majorBidi"/>
          <w:b/>
          <w:bCs/>
          <w:color w:val="000000" w:themeColor="text1"/>
          <w:sz w:val="24"/>
          <w:szCs w:val="24"/>
          <w:lang w:val="es-MX"/>
        </w:rPr>
      </w:pPr>
      <w:bookmarkStart w:id="27" w:name="_Toc204264050"/>
      <w:r w:rsidRPr="009E2A0E">
        <w:rPr>
          <w:rFonts w:asciiTheme="majorBidi" w:hAnsiTheme="majorBidi" w:cstheme="majorBidi"/>
          <w:b/>
          <w:bCs/>
          <w:color w:val="000000" w:themeColor="text1"/>
          <w:sz w:val="24"/>
          <w:szCs w:val="24"/>
          <w:lang w:val="es-MX"/>
        </w:rPr>
        <w:lastRenderedPageBreak/>
        <w:t>Tierras, territorios y recursos naturales (</w:t>
      </w:r>
      <w:r w:rsidR="00074944">
        <w:rPr>
          <w:rFonts w:asciiTheme="majorBidi" w:hAnsiTheme="majorBidi" w:cstheme="majorBidi"/>
          <w:b/>
          <w:bCs/>
          <w:color w:val="000000" w:themeColor="text1"/>
          <w:sz w:val="24"/>
          <w:szCs w:val="24"/>
          <w:lang w:val="es-MX"/>
        </w:rPr>
        <w:t>Pá</w:t>
      </w:r>
      <w:r w:rsidRPr="009E2A0E">
        <w:rPr>
          <w:rFonts w:asciiTheme="majorBidi" w:hAnsiTheme="majorBidi" w:cstheme="majorBidi"/>
          <w:b/>
          <w:bCs/>
          <w:color w:val="000000" w:themeColor="text1"/>
          <w:sz w:val="24"/>
          <w:szCs w:val="24"/>
          <w:lang w:val="es-MX"/>
        </w:rPr>
        <w:t>rr. 17 y 18</w:t>
      </w:r>
      <w:r w:rsidR="00074944">
        <w:rPr>
          <w:rFonts w:asciiTheme="majorBidi" w:hAnsiTheme="majorBidi" w:cstheme="majorBidi"/>
          <w:b/>
          <w:bCs/>
          <w:color w:val="000000" w:themeColor="text1"/>
          <w:sz w:val="24"/>
          <w:szCs w:val="24"/>
          <w:lang w:val="es-MX"/>
        </w:rPr>
        <w:t xml:space="preserve"> del Listado de Temas</w:t>
      </w:r>
      <w:r w:rsidRPr="009E2A0E">
        <w:rPr>
          <w:rFonts w:asciiTheme="majorBidi" w:hAnsiTheme="majorBidi" w:cstheme="majorBidi"/>
          <w:b/>
          <w:bCs/>
          <w:color w:val="000000" w:themeColor="text1"/>
          <w:sz w:val="24"/>
          <w:szCs w:val="24"/>
          <w:lang w:val="es-MX"/>
        </w:rPr>
        <w:t>)</w:t>
      </w:r>
      <w:bookmarkEnd w:id="27"/>
    </w:p>
    <w:p w14:paraId="7ABD645A" w14:textId="557AC012" w:rsidR="00E97E3B" w:rsidRPr="00C953B0" w:rsidRDefault="00D4149F" w:rsidP="00C4183E">
      <w:pPr>
        <w:spacing w:before="120" w:after="120" w:line="276" w:lineRule="auto"/>
        <w:ind w:right="-20"/>
        <w:jc w:val="both"/>
        <w:rPr>
          <w:rFonts w:asciiTheme="majorBidi" w:eastAsia="Calibri Light" w:hAnsiTheme="majorBidi" w:cstheme="majorBidi"/>
          <w:color w:val="0D0D0D" w:themeColor="text1" w:themeTint="F2"/>
          <w:lang w:val="es-ES"/>
        </w:rPr>
      </w:pPr>
      <w:r w:rsidRPr="00D4149F">
        <w:rPr>
          <w:rFonts w:asciiTheme="majorBidi" w:eastAsia="Calibri Light" w:hAnsiTheme="majorBidi" w:cstheme="majorBidi"/>
          <w:color w:val="000000" w:themeColor="text1"/>
          <w:lang w:val="es-ES"/>
        </w:rPr>
        <w:t xml:space="preserve">La Corte IDH ha sostenido que “La estrecha relación que los indígenas mantienen con la tierra debe de ser reconocida </w:t>
      </w:r>
      <w:r w:rsidRPr="0035101A">
        <w:rPr>
          <w:rFonts w:asciiTheme="majorBidi" w:eastAsia="Calibri Light" w:hAnsiTheme="majorBidi" w:cstheme="majorBidi"/>
          <w:color w:val="000000" w:themeColor="text1"/>
          <w:lang w:val="es-ES"/>
        </w:rPr>
        <w:t xml:space="preserve">y comprendida como la base fundamental de sus culturas, su vida espiritual, su integridad y su supervivencia económica. Para las comunidades indígenas la relación con la tierra no es meramente una cuestión de posesión y producción sino un elemento material y espiritual del que </w:t>
      </w:r>
      <w:r w:rsidRPr="00C953B0">
        <w:rPr>
          <w:rFonts w:asciiTheme="majorBidi" w:eastAsia="Calibri Light" w:hAnsiTheme="majorBidi" w:cstheme="majorBidi"/>
          <w:color w:val="0D0D0D" w:themeColor="text1" w:themeTint="F2"/>
          <w:lang w:val="es-ES"/>
        </w:rPr>
        <w:t>deben gozar plenamente, inclusive para preservar su legado cultural y transmitirlo a las generaciones futuras”.</w:t>
      </w:r>
      <w:r w:rsidR="00B16876" w:rsidRPr="00C953B0">
        <w:rPr>
          <w:rStyle w:val="Refdenotaalpie"/>
          <w:rFonts w:asciiTheme="majorBidi" w:eastAsia="Calibri Light" w:hAnsiTheme="majorBidi"/>
          <w:color w:val="0D0D0D" w:themeColor="text1" w:themeTint="F2"/>
          <w:lang w:val="es-ES"/>
        </w:rPr>
        <w:t xml:space="preserve"> </w:t>
      </w:r>
      <w:r w:rsidR="00B16876" w:rsidRPr="00C953B0">
        <w:rPr>
          <w:rStyle w:val="Refdenotaalpie"/>
          <w:rFonts w:asciiTheme="majorBidi" w:eastAsia="Calibri Light" w:hAnsiTheme="majorBidi"/>
          <w:color w:val="0D0D0D" w:themeColor="text1" w:themeTint="F2"/>
          <w:lang w:val="es-ES"/>
        </w:rPr>
        <w:footnoteReference w:id="75"/>
      </w:r>
    </w:p>
    <w:p w14:paraId="3CB581B8" w14:textId="39CCA407" w:rsidR="00C4183E" w:rsidRPr="0035101A" w:rsidRDefault="00C4183E" w:rsidP="00C4183E">
      <w:pPr>
        <w:spacing w:before="120" w:after="120" w:line="276" w:lineRule="auto"/>
        <w:ind w:right="-20"/>
        <w:jc w:val="both"/>
        <w:rPr>
          <w:rFonts w:asciiTheme="majorBidi" w:eastAsia="Calibri Light" w:hAnsiTheme="majorBidi" w:cstheme="majorBidi"/>
          <w:color w:val="000000" w:themeColor="text1"/>
          <w:lang w:val="es-ES"/>
        </w:rPr>
      </w:pPr>
      <w:r w:rsidRPr="00C953B0">
        <w:rPr>
          <w:rFonts w:asciiTheme="majorBidi" w:eastAsia="Calibri Light" w:hAnsiTheme="majorBidi" w:cstheme="majorBidi"/>
          <w:color w:val="0D0D0D" w:themeColor="text1" w:themeTint="F2"/>
          <w:lang w:val="es-ES"/>
        </w:rPr>
        <w:t>Diversos estudios</w:t>
      </w:r>
      <w:r w:rsidRPr="00C953B0">
        <w:rPr>
          <w:rStyle w:val="Refdenotaalpie"/>
          <w:rFonts w:asciiTheme="majorBidi" w:eastAsia="Calibri Light" w:hAnsiTheme="majorBidi" w:cstheme="majorBidi"/>
          <w:color w:val="0D0D0D" w:themeColor="text1" w:themeTint="F2"/>
          <w:sz w:val="22"/>
          <w:lang w:val="es-ES"/>
        </w:rPr>
        <w:footnoteReference w:id="76"/>
      </w:r>
      <w:r w:rsidRPr="00C953B0">
        <w:rPr>
          <w:rFonts w:asciiTheme="majorBidi" w:eastAsia="Calibri Light" w:hAnsiTheme="majorBidi" w:cstheme="majorBidi"/>
          <w:color w:val="0D0D0D" w:themeColor="text1" w:themeTint="F2"/>
          <w:lang w:val="es-ES"/>
        </w:rPr>
        <w:t xml:space="preserve"> muestra que los pueblos indígenas salvaguardan el 80 % de la biodiversidad, que las tierras forestales sujetas a la gestión colectiva de las comunidades locales y de los pueblos indígenas contienen al menos una cuarta parte de todo el carbono superficial de los bosques tropicales y subtropicales</w:t>
      </w:r>
      <w:r w:rsidRPr="0035101A">
        <w:rPr>
          <w:rFonts w:asciiTheme="majorBidi" w:eastAsia="Calibri Light" w:hAnsiTheme="majorBidi" w:cstheme="majorBidi"/>
          <w:color w:val="000000" w:themeColor="text1"/>
          <w:lang w:val="es-ES"/>
        </w:rPr>
        <w:t xml:space="preserve">. No obstante, son sus comunidades quienes reciben los mayores impactos por daños y pérdidas, así como de los efectos del cambio climático. Sus conocimientos y experiencias ancestrales esenciales sobre cómo adaptarse, mitigar y reducir los riesgos climáticos y de desastres. </w:t>
      </w:r>
    </w:p>
    <w:p w14:paraId="1A3E5081" w14:textId="74360A4F" w:rsidR="00C4183E" w:rsidRPr="0035101A" w:rsidRDefault="00B16876" w:rsidP="00C4183E">
      <w:pPr>
        <w:spacing w:before="120" w:after="120" w:line="276" w:lineRule="auto"/>
        <w:ind w:right="-20"/>
        <w:jc w:val="both"/>
        <w:rPr>
          <w:rFonts w:asciiTheme="majorBidi" w:eastAsia="Calibri Light" w:hAnsiTheme="majorBidi" w:cstheme="majorBidi"/>
          <w:color w:val="000000" w:themeColor="text1"/>
          <w:lang w:val="es-ES"/>
        </w:rPr>
      </w:pPr>
      <w:r w:rsidRPr="0035101A">
        <w:rPr>
          <w:rFonts w:asciiTheme="majorBidi" w:eastAsia="Calibri Light" w:hAnsiTheme="majorBidi" w:cstheme="majorBidi"/>
          <w:color w:val="000000" w:themeColor="text1"/>
          <w:lang w:val="es-ES"/>
        </w:rPr>
        <w:t>El</w:t>
      </w:r>
      <w:r w:rsidR="00C4183E" w:rsidRPr="0035101A">
        <w:rPr>
          <w:rFonts w:asciiTheme="majorBidi" w:eastAsia="Calibri Light" w:hAnsiTheme="majorBidi" w:cstheme="majorBidi"/>
          <w:color w:val="000000" w:themeColor="text1"/>
          <w:lang w:val="es-ES"/>
        </w:rPr>
        <w:t xml:space="preserve"> Estado de Guatemala ratificó el convenio 169, sin </w:t>
      </w:r>
      <w:proofErr w:type="gramStart"/>
      <w:r w:rsidR="00C4183E" w:rsidRPr="0035101A">
        <w:rPr>
          <w:rFonts w:asciiTheme="majorBidi" w:eastAsia="Calibri Light" w:hAnsiTheme="majorBidi" w:cstheme="majorBidi"/>
          <w:color w:val="000000" w:themeColor="text1"/>
          <w:lang w:val="es-ES"/>
        </w:rPr>
        <w:t>embargo</w:t>
      </w:r>
      <w:proofErr w:type="gramEnd"/>
      <w:r w:rsidR="00C4183E" w:rsidRPr="0035101A">
        <w:rPr>
          <w:rFonts w:asciiTheme="majorBidi" w:eastAsia="Calibri Light" w:hAnsiTheme="majorBidi" w:cstheme="majorBidi"/>
          <w:color w:val="000000" w:themeColor="text1"/>
          <w:lang w:val="es-ES"/>
        </w:rPr>
        <w:t xml:space="preserve"> la experiencia en su aplicación ha dejado importantes lecciones al país dentro están la carencia de capacidades institucionales para dar respuesta a las necesidades del proceso, los desafíos que persisten para que las comunidades accedan a la información de forma oportuna, en su idioma para poder tomar decisiones </w:t>
      </w:r>
    </w:p>
    <w:p w14:paraId="63A3247A" w14:textId="77777777" w:rsidR="00C4183E" w:rsidRPr="0035101A" w:rsidRDefault="00C4183E" w:rsidP="00C4183E">
      <w:pPr>
        <w:spacing w:before="120" w:after="120" w:line="276" w:lineRule="auto"/>
        <w:ind w:right="-20"/>
        <w:jc w:val="both"/>
        <w:rPr>
          <w:rFonts w:asciiTheme="majorBidi" w:eastAsia="Calibri Light" w:hAnsiTheme="majorBidi" w:cstheme="majorBidi"/>
          <w:color w:val="000000" w:themeColor="text1"/>
          <w:lang w:val="es-ES"/>
        </w:rPr>
      </w:pPr>
      <w:r w:rsidRPr="0035101A">
        <w:rPr>
          <w:rFonts w:asciiTheme="majorBidi" w:eastAsia="Calibri Light" w:hAnsiTheme="majorBidi" w:cstheme="majorBidi"/>
          <w:color w:val="000000" w:themeColor="text1"/>
          <w:lang w:val="es-ES"/>
        </w:rPr>
        <w:t xml:space="preserve">La discriminación tanto en el plano individual, institucional y estructural hacia los pueblos indígenas, población garífuna y afrodescendiente persiste con base en mecanismos históricos de exclusión, cuyas expresiones en la actualidad limitan su libre determinación, el derecho al desarrollo, el ejercicio de sus derechos individuales y colectivos, así como el acceso a servicios, oportunidades, justicia, participación política y acceso a la toma de decisiones, basados en la consulta y consentimiento previo, libre e informado. </w:t>
      </w:r>
    </w:p>
    <w:p w14:paraId="596B553B" w14:textId="0097873D" w:rsidR="000276AD" w:rsidRPr="0035101A" w:rsidRDefault="000276AD" w:rsidP="00BA2BC3">
      <w:pPr>
        <w:jc w:val="both"/>
        <w:rPr>
          <w:rFonts w:asciiTheme="majorBidi" w:hAnsiTheme="majorBidi" w:cstheme="majorBidi"/>
          <w:color w:val="000000" w:themeColor="text1"/>
          <w:lang w:val="es-MX"/>
        </w:rPr>
      </w:pPr>
      <w:r w:rsidRPr="0035101A">
        <w:rPr>
          <w:rStyle w:val="Fuentedeprrafopredeter1"/>
          <w:rFonts w:asciiTheme="majorBidi" w:eastAsia="DengXian" w:hAnsiTheme="majorBidi" w:cstheme="majorBidi"/>
          <w:color w:val="000000" w:themeColor="text1"/>
          <w:lang w:val="es-MX"/>
        </w:rPr>
        <w:t>En Guatemala, tras la firma de los Acuerdos de Paz en 1996, que pusieron fin a más de tres décadas de conflicto armado interno, se llevaron a cabo una serie de reformas institucionales y políticas. Uno de los aspectos clave de estos acuerdos fue la promoción de una reforma agraria integral y la creación de mecanismos para resolver los conflictos de tierra, que habían sido una de las causas subyacentes del conflicto.</w:t>
      </w:r>
    </w:p>
    <w:p w14:paraId="0A1CC3E5" w14:textId="57E77F0A" w:rsidR="000276AD" w:rsidRPr="0035101A" w:rsidRDefault="000276AD" w:rsidP="00643808">
      <w:pPr>
        <w:jc w:val="both"/>
        <w:rPr>
          <w:rFonts w:asciiTheme="majorBidi" w:hAnsiTheme="majorBidi" w:cstheme="majorBidi"/>
          <w:color w:val="000000" w:themeColor="text1"/>
          <w:lang w:val="es-MX"/>
        </w:rPr>
      </w:pPr>
      <w:r w:rsidRPr="0035101A">
        <w:rPr>
          <w:rStyle w:val="Fuentedeprrafopredeter1"/>
          <w:rFonts w:asciiTheme="majorBidi" w:eastAsia="DengXian" w:hAnsiTheme="majorBidi" w:cstheme="majorBidi"/>
          <w:color w:val="000000" w:themeColor="text1"/>
          <w:lang w:val="es-MX"/>
        </w:rPr>
        <w:t>Sin embargo, en los años posteriores a los acuerdos, varias instituciones relacionadas con la cuestión agraria fueron debilitadas o suprimidas. La Secretaría de Asuntos Agrarios (SAA), que había sido creada en 1997 como parte de los compromisos de los Acuerdos de Paz, fue una de las instituciones afectadas. La SAA tenía como objetivo principal abordar los problemas relacionados con la tenencia de la tierra, la regularización de la propiedad y la promoción del desarrollo rural. No obstante, debido a limitaciones presupuestarias, falta de voluntad política y presiones de diversos sectores, su capacidad de acción se vio severamente reducida.</w:t>
      </w:r>
    </w:p>
    <w:p w14:paraId="21812839" w14:textId="059BF18F" w:rsidR="000276AD" w:rsidRPr="0035101A" w:rsidRDefault="000276AD" w:rsidP="00BA2BC3">
      <w:pPr>
        <w:jc w:val="both"/>
        <w:rPr>
          <w:rFonts w:asciiTheme="majorBidi" w:hAnsiTheme="majorBidi" w:cstheme="majorBidi"/>
          <w:color w:val="000000" w:themeColor="text1"/>
          <w:lang w:val="es-MX"/>
        </w:rPr>
      </w:pPr>
      <w:r w:rsidRPr="0035101A">
        <w:rPr>
          <w:rStyle w:val="Fuentedeprrafopredeter1"/>
          <w:rFonts w:asciiTheme="majorBidi" w:eastAsia="DengXian" w:hAnsiTheme="majorBidi" w:cstheme="majorBidi"/>
          <w:color w:val="000000" w:themeColor="text1"/>
          <w:lang w:val="es-MX"/>
        </w:rPr>
        <w:t xml:space="preserve">En 2004, la SAA fue formalmente disuelta y sus funciones fueron transferidas a otras entidades, como el Fondo de Tierras (FONTIERRAS) y el Registro de Información Catastral (RIC), aunque estas </w:t>
      </w:r>
      <w:r w:rsidRPr="0035101A">
        <w:rPr>
          <w:rStyle w:val="Fuentedeprrafopredeter1"/>
          <w:rFonts w:asciiTheme="majorBidi" w:eastAsia="DengXian" w:hAnsiTheme="majorBidi" w:cstheme="majorBidi"/>
          <w:color w:val="000000" w:themeColor="text1"/>
          <w:lang w:val="es-MX"/>
        </w:rPr>
        <w:lastRenderedPageBreak/>
        <w:t>instituciones también han enfrentado desafíos significativos en términos de eficacia y transparencia. La falta de una política agraria coherente y la persistencia de desigualdades en la tenencia de la tierra han sido problemas recurrentes en Guatemala.</w:t>
      </w:r>
    </w:p>
    <w:p w14:paraId="1D42A478" w14:textId="49D4D92A" w:rsidR="000276AD" w:rsidRPr="0035101A" w:rsidRDefault="000276AD" w:rsidP="00BA2BC3">
      <w:pPr>
        <w:jc w:val="both"/>
        <w:rPr>
          <w:rFonts w:asciiTheme="majorBidi" w:hAnsiTheme="majorBidi" w:cstheme="majorBidi"/>
          <w:color w:val="000000" w:themeColor="text1"/>
          <w:lang w:val="es-MX"/>
        </w:rPr>
      </w:pPr>
      <w:r w:rsidRPr="0035101A">
        <w:rPr>
          <w:rStyle w:val="Fuentedeprrafopredeter1"/>
          <w:rFonts w:asciiTheme="majorBidi" w:eastAsia="DengXian" w:hAnsiTheme="majorBidi" w:cstheme="majorBidi"/>
          <w:color w:val="000000" w:themeColor="text1"/>
          <w:lang w:val="es-MX"/>
        </w:rPr>
        <w:t>Además, la desaparición de la SAA y el debilitamiento de otras instituciones agrarias han sido criticados por organizaciones campesinas, indígenas y de derechos humanos, que argumentan que estas medidas han dejado a las comunidades rurales en una situación de mayor vulnerabilidad, sin mecanismos efectivos para resolver conflictos de tierra y acceder a recursos productivos.</w:t>
      </w:r>
    </w:p>
    <w:p w14:paraId="6067560A" w14:textId="16E0304B" w:rsidR="00A217B3" w:rsidRPr="0035101A" w:rsidRDefault="003355F0" w:rsidP="00074944">
      <w:pPr>
        <w:pStyle w:val="Prrafodelista"/>
        <w:numPr>
          <w:ilvl w:val="2"/>
          <w:numId w:val="8"/>
        </w:numPr>
        <w:spacing w:before="120" w:after="0"/>
        <w:jc w:val="both"/>
        <w:rPr>
          <w:rStyle w:val="Fuentedeprrafopredeter1"/>
          <w:rFonts w:asciiTheme="majorBidi" w:eastAsia="DengXian" w:hAnsiTheme="majorBidi" w:cstheme="majorBidi"/>
          <w:b/>
          <w:bCs/>
        </w:rPr>
      </w:pPr>
      <w:r w:rsidRPr="0035101A">
        <w:rPr>
          <w:rFonts w:asciiTheme="majorBidi" w:eastAsia="Calibri Light" w:hAnsiTheme="majorBidi" w:cstheme="majorBidi"/>
          <w:b/>
          <w:bCs/>
        </w:rPr>
        <w:t>Falta de protección legal a las tierras</w:t>
      </w:r>
      <w:r w:rsidR="00FA5911">
        <w:rPr>
          <w:rFonts w:asciiTheme="majorBidi" w:eastAsia="Calibri Light" w:hAnsiTheme="majorBidi" w:cstheme="majorBidi"/>
          <w:b/>
          <w:bCs/>
        </w:rPr>
        <w:t xml:space="preserve"> y territorios de los Pueblos Indígenas</w:t>
      </w:r>
      <w:r w:rsidR="003F17EF">
        <w:rPr>
          <w:rFonts w:asciiTheme="majorBidi" w:eastAsia="Calibri Light" w:hAnsiTheme="majorBidi" w:cstheme="majorBidi"/>
          <w:b/>
          <w:bCs/>
        </w:rPr>
        <w:t xml:space="preserve"> y Afrodescendientes</w:t>
      </w:r>
    </w:p>
    <w:p w14:paraId="2288DD13" w14:textId="77777777" w:rsidR="000276AD" w:rsidRPr="0035101A" w:rsidRDefault="000276AD" w:rsidP="000276AD">
      <w:pPr>
        <w:spacing w:before="120" w:after="0"/>
        <w:jc w:val="both"/>
        <w:rPr>
          <w:rStyle w:val="Fuentedeprrafopredeter1"/>
          <w:rFonts w:asciiTheme="majorBidi" w:eastAsia="DengXian" w:hAnsiTheme="majorBidi" w:cstheme="majorBidi"/>
          <w:color w:val="000000" w:themeColor="text1"/>
        </w:rPr>
      </w:pPr>
      <w:r w:rsidRPr="0035101A">
        <w:rPr>
          <w:rStyle w:val="Fuentedeprrafopredeter1"/>
          <w:rFonts w:asciiTheme="majorBidi" w:eastAsia="DengXian" w:hAnsiTheme="majorBidi" w:cstheme="majorBidi"/>
          <w:color w:val="000000" w:themeColor="text1"/>
        </w:rPr>
        <w:t xml:space="preserve">Los derechos colectivos de los pueblos indígenas no son debidamente tutelados en Guatemala, principalmente el reconocimiento a las tierras indígenas, ya que </w:t>
      </w:r>
      <w:r w:rsidRPr="0035101A">
        <w:rPr>
          <w:rStyle w:val="Fuentedeprrafopredeter1"/>
          <w:rFonts w:asciiTheme="majorBidi" w:eastAsia="DengXian" w:hAnsiTheme="majorBidi" w:cstheme="majorBidi"/>
          <w:b/>
          <w:bCs/>
          <w:color w:val="000000" w:themeColor="text1"/>
        </w:rPr>
        <w:t>NO existe una Ley en la materia</w:t>
      </w:r>
      <w:r w:rsidRPr="0035101A">
        <w:rPr>
          <w:rStyle w:val="Fuentedeprrafopredeter1"/>
          <w:rFonts w:asciiTheme="majorBidi" w:eastAsia="DengXian" w:hAnsiTheme="majorBidi" w:cstheme="majorBidi"/>
          <w:color w:val="000000" w:themeColor="text1"/>
        </w:rPr>
        <w:t xml:space="preserve">, a pesar de que la Constitución Política de la República de Guatemala, Sentencias de la Corte de Constitucionalidad, los Acuerdos de Paz y otros instrumentos jurídicos obligan al Estado a desarrollar una normativa para el reconocimiento de estos derechos, con el fin de regular, proteger y reconocer los territorios de pueblos indígenas.  </w:t>
      </w:r>
    </w:p>
    <w:p w14:paraId="4E076F4B" w14:textId="0DF34CC5" w:rsidR="000276AD" w:rsidRPr="0035101A" w:rsidRDefault="000276AD" w:rsidP="00BA2BC3">
      <w:pPr>
        <w:spacing w:before="120" w:after="0"/>
        <w:jc w:val="both"/>
        <w:rPr>
          <w:rFonts w:asciiTheme="majorBidi" w:eastAsia="DengXian" w:hAnsiTheme="majorBidi" w:cstheme="majorBidi"/>
          <w:color w:val="000000" w:themeColor="text1"/>
        </w:rPr>
      </w:pPr>
      <w:r w:rsidRPr="0035101A">
        <w:rPr>
          <w:rStyle w:val="Fuentedeprrafopredeter1"/>
          <w:rFonts w:asciiTheme="majorBidi" w:eastAsia="DengXian" w:hAnsiTheme="majorBidi" w:cstheme="majorBidi"/>
          <w:color w:val="000000" w:themeColor="text1"/>
        </w:rPr>
        <w:t>La Constitución Política de la República de Guatemala en sus artículos 66, 67 y 68 reconoce una protección general de la tierra y el territorio de los pueblos indígenas, reconociendo las formas tradicionales de tenencia posesión y propiedad colectiva de la tierra por parte de las comunidades indígenas</w:t>
      </w:r>
      <w:r w:rsidRPr="0035101A">
        <w:rPr>
          <w:rStyle w:val="Refdenotaalpie"/>
          <w:rFonts w:asciiTheme="majorBidi" w:eastAsia="DengXian" w:hAnsiTheme="majorBidi" w:cstheme="majorBidi"/>
          <w:color w:val="000000" w:themeColor="text1"/>
          <w:sz w:val="22"/>
        </w:rPr>
        <w:footnoteReference w:id="77"/>
      </w:r>
      <w:r w:rsidRPr="0035101A">
        <w:rPr>
          <w:rStyle w:val="Fuentedeprrafopredeter1"/>
          <w:rFonts w:asciiTheme="majorBidi" w:eastAsia="DengXian" w:hAnsiTheme="majorBidi" w:cstheme="majorBidi"/>
          <w:color w:val="000000" w:themeColor="text1"/>
        </w:rPr>
        <w:t xml:space="preserve">.  </w:t>
      </w:r>
    </w:p>
    <w:p w14:paraId="179C2453" w14:textId="67018683" w:rsidR="000276AD" w:rsidRPr="0035101A" w:rsidRDefault="000276AD" w:rsidP="00643808">
      <w:pPr>
        <w:spacing w:before="120" w:after="0"/>
        <w:jc w:val="both"/>
        <w:rPr>
          <w:rFonts w:asciiTheme="majorBidi" w:eastAsia="DengXian" w:hAnsiTheme="majorBidi" w:cstheme="majorBidi"/>
          <w:color w:val="000000" w:themeColor="text1"/>
        </w:rPr>
      </w:pPr>
      <w:r w:rsidRPr="0035101A">
        <w:rPr>
          <w:rStyle w:val="Fuentedeprrafopredeter1"/>
          <w:rFonts w:asciiTheme="majorBidi" w:eastAsia="DengXian" w:hAnsiTheme="majorBidi" w:cstheme="majorBidi"/>
          <w:color w:val="000000" w:themeColor="text1"/>
        </w:rPr>
        <w:t>Los estándares internacionales de protección de los derechos humanos de los pueblos indígenas han desarrollado desde distintos ámbitos y de manera progresiva, una atención cada vez más amplia respecto al reconocimiento y protección del derecho a la propiedad colectiva, a diferencia del contenido tradicional del derecho de propiedad.</w:t>
      </w:r>
    </w:p>
    <w:p w14:paraId="5C2A3215" w14:textId="77777777" w:rsidR="000276AD" w:rsidRPr="0035101A" w:rsidRDefault="000276AD" w:rsidP="000276AD">
      <w:pPr>
        <w:spacing w:before="120" w:after="0"/>
        <w:jc w:val="both"/>
        <w:rPr>
          <w:rStyle w:val="Fuentedeprrafopredeter1"/>
          <w:rFonts w:asciiTheme="majorBidi" w:eastAsia="DengXian" w:hAnsiTheme="majorBidi" w:cstheme="majorBidi"/>
          <w:color w:val="000000" w:themeColor="text1"/>
        </w:rPr>
      </w:pPr>
      <w:r w:rsidRPr="0035101A">
        <w:rPr>
          <w:rStyle w:val="Fuentedeprrafopredeter1"/>
          <w:rFonts w:asciiTheme="majorBidi" w:eastAsia="DengXian" w:hAnsiTheme="majorBidi" w:cstheme="majorBidi"/>
          <w:color w:val="000000" w:themeColor="text1"/>
        </w:rPr>
        <w:t xml:space="preserve">En tal sentido, el Convenio No. 169 sobre pueblos indígenas y tribales en países independientes de </w:t>
      </w:r>
      <w:proofErr w:type="gramStart"/>
      <w:r w:rsidRPr="0035101A">
        <w:rPr>
          <w:rStyle w:val="Fuentedeprrafopredeter1"/>
          <w:rFonts w:asciiTheme="majorBidi" w:eastAsia="DengXian" w:hAnsiTheme="majorBidi" w:cstheme="majorBidi"/>
          <w:color w:val="000000" w:themeColor="text1"/>
        </w:rPr>
        <w:t>la  Organización</w:t>
      </w:r>
      <w:proofErr w:type="gramEnd"/>
      <w:r w:rsidRPr="0035101A">
        <w:rPr>
          <w:rStyle w:val="Fuentedeprrafopredeter1"/>
          <w:rFonts w:asciiTheme="majorBidi" w:eastAsia="DengXian" w:hAnsiTheme="majorBidi" w:cstheme="majorBidi"/>
          <w:color w:val="000000" w:themeColor="text1"/>
        </w:rPr>
        <w:t xml:space="preserve"> Internacional del Trabajo (OIT) (en adelante Convenio No 169) establece en el artículo 14.1 que:</w:t>
      </w:r>
    </w:p>
    <w:p w14:paraId="59D036BB" w14:textId="77777777" w:rsidR="000276AD" w:rsidRPr="0035101A" w:rsidRDefault="000276AD" w:rsidP="000276AD">
      <w:pPr>
        <w:spacing w:before="120" w:after="0"/>
        <w:jc w:val="both"/>
        <w:rPr>
          <w:rStyle w:val="Fuentedeprrafopredeter1"/>
          <w:rFonts w:asciiTheme="majorBidi" w:eastAsia="DengXian" w:hAnsiTheme="majorBidi" w:cstheme="majorBidi"/>
          <w:i/>
          <w:iCs/>
          <w:color w:val="000000" w:themeColor="text1"/>
        </w:rPr>
      </w:pPr>
      <w:r w:rsidRPr="0035101A">
        <w:rPr>
          <w:rStyle w:val="Fuentedeprrafopredeter1"/>
          <w:rFonts w:asciiTheme="majorBidi" w:eastAsia="DengXian" w:hAnsiTheme="majorBidi" w:cstheme="majorBidi"/>
          <w:color w:val="000000" w:themeColor="text1"/>
        </w:rPr>
        <w:t xml:space="preserve"> </w:t>
      </w:r>
      <w:r w:rsidRPr="0035101A">
        <w:rPr>
          <w:rStyle w:val="Fuentedeprrafopredeter1"/>
          <w:rFonts w:asciiTheme="majorBidi" w:eastAsia="DengXian" w:hAnsiTheme="majorBidi" w:cstheme="majorBidi"/>
          <w:i/>
          <w:iCs/>
          <w:color w:val="000000" w:themeColor="text1"/>
        </w:rPr>
        <w:t>“Deberá reconocerse a los pueblos interesados el derecho de propiedad y de posesión sobre las tierras que tradicionalmente ocupan. Además, en los casos apropiados, deberán tomarse medidas para salvaguardar el derecho de los pueblos interesados a utilizar tierras que no estén exclusivamente ocupadas por ellos, pero a las que hayan tenido tradicionalmente acceso para sus actividades tradicionales y de subsistencia. A este respecto, deberá prestarse particular atención a la situación de los pueblos nómadas y de los agricultores itinerantes (…)”.</w:t>
      </w:r>
    </w:p>
    <w:p w14:paraId="1019EABE" w14:textId="47EDEEE9" w:rsidR="000276AD" w:rsidRPr="0035101A" w:rsidRDefault="000276AD" w:rsidP="00BA2BC3">
      <w:pPr>
        <w:spacing w:before="120" w:after="0"/>
        <w:jc w:val="both"/>
        <w:rPr>
          <w:rFonts w:asciiTheme="majorBidi" w:eastAsia="DengXian" w:hAnsiTheme="majorBidi" w:cstheme="majorBidi"/>
          <w:color w:val="000000" w:themeColor="text1"/>
        </w:rPr>
      </w:pPr>
      <w:r w:rsidRPr="0035101A">
        <w:rPr>
          <w:rStyle w:val="Fuentedeprrafopredeter1"/>
          <w:rFonts w:asciiTheme="majorBidi" w:eastAsia="DengXian" w:hAnsiTheme="majorBidi" w:cstheme="majorBidi"/>
          <w:color w:val="000000" w:themeColor="text1"/>
        </w:rPr>
        <w:t>Aspecto reforzado por el Artículo 26 de la Declaración de las Naciones Unidas sobre los Derechos de los Pueblos Indígenas, donde establece que: “Los pueblos indígenas tienen derecho a las tierras, territorios y recursos que tradicionalmente han poseído, ocupado o utilizado o adquirido (...)”.</w:t>
      </w:r>
    </w:p>
    <w:p w14:paraId="57897061" w14:textId="78785B2D" w:rsidR="000276AD" w:rsidRPr="0035101A" w:rsidRDefault="000276AD" w:rsidP="00685D4B">
      <w:pPr>
        <w:spacing w:before="120" w:after="0"/>
        <w:jc w:val="both"/>
        <w:rPr>
          <w:rFonts w:asciiTheme="majorBidi" w:eastAsia="DengXian" w:hAnsiTheme="majorBidi" w:cstheme="majorBidi"/>
          <w:i/>
          <w:iCs/>
          <w:color w:val="000000" w:themeColor="text1"/>
        </w:rPr>
      </w:pPr>
      <w:r w:rsidRPr="0035101A">
        <w:rPr>
          <w:rFonts w:asciiTheme="majorBidi" w:eastAsia="DengXian" w:hAnsiTheme="majorBidi" w:cstheme="majorBidi"/>
          <w:color w:val="000000" w:themeColor="text1"/>
        </w:rPr>
        <w:t>En este sentido, la Corte IDH ha creado un gran precedente al interpretar en su jurisprudencia constante el artículo 21 de la Convención Americana, sobre Propiedad Privada, la cual establece</w:t>
      </w:r>
      <w:r w:rsidR="000F7D8D" w:rsidRPr="0035101A">
        <w:rPr>
          <w:rFonts w:asciiTheme="majorBidi" w:eastAsia="DengXian" w:hAnsiTheme="majorBidi" w:cstheme="majorBidi"/>
          <w:color w:val="000000" w:themeColor="text1"/>
        </w:rPr>
        <w:t xml:space="preserve"> que </w:t>
      </w:r>
      <w:r w:rsidRPr="0035101A">
        <w:rPr>
          <w:rFonts w:asciiTheme="majorBidi" w:eastAsia="DengXian" w:hAnsiTheme="majorBidi" w:cstheme="majorBidi"/>
          <w:i/>
          <w:iCs/>
          <w:color w:val="000000" w:themeColor="text1"/>
        </w:rPr>
        <w:t>“Toda persona tiene derecho al uso y goce de sus bienes. La ley puede subordinar tal uso y goce al interés social.”</w:t>
      </w:r>
      <w:r w:rsidR="000F7D8D" w:rsidRPr="0035101A">
        <w:rPr>
          <w:rFonts w:asciiTheme="majorBidi" w:eastAsia="DengXian" w:hAnsiTheme="majorBidi" w:cstheme="majorBidi"/>
          <w:i/>
          <w:iCs/>
          <w:color w:val="000000" w:themeColor="text1"/>
        </w:rPr>
        <w:t xml:space="preserve">, </w:t>
      </w:r>
      <w:r w:rsidR="00685D4B" w:rsidRPr="0035101A">
        <w:rPr>
          <w:rFonts w:asciiTheme="majorBidi" w:eastAsia="DengXian" w:hAnsiTheme="majorBidi" w:cstheme="majorBidi"/>
          <w:color w:val="000000" w:themeColor="text1"/>
        </w:rPr>
        <w:t>asimismo</w:t>
      </w:r>
      <w:r w:rsidR="000F7D8D" w:rsidRPr="0035101A">
        <w:rPr>
          <w:rFonts w:asciiTheme="majorBidi" w:eastAsia="DengXian" w:hAnsiTheme="majorBidi" w:cstheme="majorBidi"/>
          <w:i/>
          <w:iCs/>
          <w:color w:val="000000" w:themeColor="text1"/>
        </w:rPr>
        <w:t xml:space="preserve">, </w:t>
      </w:r>
      <w:r w:rsidRPr="0035101A">
        <w:rPr>
          <w:rFonts w:asciiTheme="majorBidi" w:eastAsia="DengXian" w:hAnsiTheme="majorBidi" w:cstheme="majorBidi"/>
          <w:i/>
          <w:iCs/>
          <w:color w:val="000000" w:themeColor="text1"/>
        </w:rPr>
        <w:t xml:space="preserve">“Ninguna persona puede ser privada de sus bienes, excepto mediante el </w:t>
      </w:r>
      <w:r w:rsidRPr="0035101A">
        <w:rPr>
          <w:rFonts w:asciiTheme="majorBidi" w:eastAsia="DengXian" w:hAnsiTheme="majorBidi" w:cstheme="majorBidi"/>
          <w:i/>
          <w:iCs/>
          <w:color w:val="000000" w:themeColor="text1"/>
        </w:rPr>
        <w:lastRenderedPageBreak/>
        <w:t>pago de indemnización justa, por razones de utilidad pública o de interés social y en los casos y según las formas establecidas por la ley (…)”.</w:t>
      </w:r>
    </w:p>
    <w:p w14:paraId="3B6475AA" w14:textId="66548D73" w:rsidR="007545A4" w:rsidRPr="0035101A" w:rsidRDefault="000276AD" w:rsidP="007545A4">
      <w:pPr>
        <w:spacing w:before="120" w:after="0"/>
        <w:jc w:val="both"/>
        <w:rPr>
          <w:rStyle w:val="Fuentedeprrafopredeter1"/>
          <w:rFonts w:asciiTheme="majorBidi" w:eastAsia="DengXian" w:hAnsiTheme="majorBidi" w:cstheme="majorBidi"/>
          <w:color w:val="000000" w:themeColor="text1"/>
        </w:rPr>
      </w:pPr>
      <w:r w:rsidRPr="0035101A">
        <w:rPr>
          <w:rStyle w:val="Fuentedeprrafopredeter1"/>
          <w:rFonts w:asciiTheme="majorBidi" w:eastAsia="DengXian" w:hAnsiTheme="majorBidi" w:cstheme="majorBidi"/>
          <w:color w:val="000000" w:themeColor="text1"/>
        </w:rPr>
        <w:t xml:space="preserve">Sin embargo, ante la tajante omisión del Estado guatemalteco en crear la normativa adecuada que regule la temática con atención a estándares internacionales y a la misma Constitución, diversas comunidades indígenas han acudido al control Constitucional para hacer sus peticiones legales y legítimas de reconocimiento de sus tierras y territorios, con fundamento en los artículos Constitucionales:  66. Protección a grupos étnicos; Artículo 67. Protección a las tierras y las cooperativas agrícolas indígenas; 68. Tierras para comunidades indígenas; 70. Ley específica. Una ley regulará lo relativo a las materias de esta sección, así como el artículo 46. Preeminencia del Derecho Internacional.  Los litigios estratégicos fueron un instrumento útil, para problematizar la situación de pueblos indígenas.  </w:t>
      </w:r>
    </w:p>
    <w:p w14:paraId="4A9C79B9" w14:textId="3CD277B6" w:rsidR="008D3A3B" w:rsidRPr="0035101A" w:rsidRDefault="008D3A3B" w:rsidP="007545A4">
      <w:pPr>
        <w:spacing w:before="120" w:after="0"/>
        <w:jc w:val="both"/>
        <w:rPr>
          <w:rStyle w:val="Fuentedeprrafopredeter1"/>
          <w:rFonts w:asciiTheme="majorBidi" w:eastAsia="DengXian" w:hAnsiTheme="majorBidi" w:cstheme="majorBidi"/>
          <w:color w:val="000000" w:themeColor="text1"/>
        </w:rPr>
      </w:pPr>
      <w:r w:rsidRPr="0035101A">
        <w:rPr>
          <w:rStyle w:val="Fuentedeprrafopredeter1"/>
          <w:rFonts w:asciiTheme="majorBidi" w:eastAsia="DengXian" w:hAnsiTheme="majorBidi" w:cstheme="majorBidi"/>
          <w:color w:val="000000" w:themeColor="text1"/>
        </w:rPr>
        <w:t xml:space="preserve">Además, preocupa profundamente el retroceso en materia de seguridad jurídica sobre la tierra, evidenciado en las acciones del Registro de la Propiedad que continúan autorizando desmembraciones en fincas que históricamente han sido reconocidas como territorios comunales de pueblos indígenas, sin el consentimiento de las comunidades afectadas. A ello se suman los constantes ataques y presiones ejercidas por algunas municipalidades, así como intentos de apropiación ilegal de tierras ancestrales, lo cual vulnera el derecho </w:t>
      </w:r>
      <w:r w:rsidR="0020507A" w:rsidRPr="0035101A">
        <w:rPr>
          <w:rStyle w:val="Fuentedeprrafopredeter1"/>
          <w:rFonts w:asciiTheme="majorBidi" w:eastAsia="DengXian" w:hAnsiTheme="majorBidi" w:cstheme="majorBidi"/>
          <w:color w:val="000000" w:themeColor="text1"/>
        </w:rPr>
        <w:t xml:space="preserve">a la propiedad colectiva. Adicional, sigue sin avanzar la reforma al </w:t>
      </w:r>
      <w:proofErr w:type="spellStart"/>
      <w:r w:rsidR="0020507A" w:rsidRPr="0035101A">
        <w:rPr>
          <w:rStyle w:val="Fuentedeprrafopredeter1"/>
          <w:rFonts w:asciiTheme="majorBidi" w:eastAsia="DengXian" w:hAnsiTheme="majorBidi" w:cstheme="majorBidi"/>
          <w:color w:val="000000" w:themeColor="text1"/>
        </w:rPr>
        <w:t>articulo</w:t>
      </w:r>
      <w:proofErr w:type="spellEnd"/>
      <w:r w:rsidR="0020507A" w:rsidRPr="0035101A">
        <w:rPr>
          <w:rStyle w:val="Fuentedeprrafopredeter1"/>
          <w:rFonts w:asciiTheme="majorBidi" w:eastAsia="DengXian" w:hAnsiTheme="majorBidi" w:cstheme="majorBidi"/>
          <w:color w:val="000000" w:themeColor="text1"/>
        </w:rPr>
        <w:t xml:space="preserve"> 30 bis de la Ley Orgánica del Presupuesto, el cual no permite que pueda haber inversión del Estado en territorio de Pueblos Indígenas, sin que haya fraccionamiento o despojo a sus tierras comunales. </w:t>
      </w:r>
    </w:p>
    <w:p w14:paraId="6685F438" w14:textId="77777777" w:rsidR="007545A4" w:rsidRPr="0035101A" w:rsidRDefault="007545A4" w:rsidP="007545A4">
      <w:pPr>
        <w:spacing w:before="120" w:after="0"/>
        <w:jc w:val="both"/>
        <w:rPr>
          <w:rFonts w:asciiTheme="majorBidi" w:eastAsia="DengXian" w:hAnsiTheme="majorBidi" w:cstheme="majorBidi"/>
          <w:color w:val="000000" w:themeColor="text1"/>
        </w:rPr>
      </w:pPr>
    </w:p>
    <w:p w14:paraId="71842CE5" w14:textId="36AB7EEB" w:rsidR="00CF7B4D" w:rsidRPr="0035101A" w:rsidRDefault="007545A4" w:rsidP="00197C3D">
      <w:pPr>
        <w:pStyle w:val="Prrafodelista"/>
        <w:numPr>
          <w:ilvl w:val="2"/>
          <w:numId w:val="8"/>
        </w:numPr>
        <w:jc w:val="both"/>
        <w:outlineLvl w:val="2"/>
        <w:rPr>
          <w:rStyle w:val="Fuentedeprrafopredeter1"/>
          <w:rFonts w:asciiTheme="majorBidi" w:eastAsia="DengXian" w:hAnsiTheme="majorBidi" w:cstheme="majorBidi"/>
          <w:b/>
          <w:bCs/>
          <w:color w:val="000000" w:themeColor="text1"/>
          <w:lang w:val="es-MX"/>
        </w:rPr>
      </w:pPr>
      <w:bookmarkStart w:id="28" w:name="_Toc204264051"/>
      <w:r w:rsidRPr="0035101A">
        <w:rPr>
          <w:rStyle w:val="Fuentedeprrafopredeter1"/>
          <w:rFonts w:asciiTheme="majorBidi" w:eastAsia="DengXian" w:hAnsiTheme="majorBidi" w:cstheme="majorBidi"/>
          <w:b/>
          <w:bCs/>
          <w:color w:val="000000" w:themeColor="text1"/>
          <w:lang w:val="es-MX"/>
        </w:rPr>
        <w:t>Falta de cumplimiento de sentencia emitidas por la Corte de Constitucionalidad.</w:t>
      </w:r>
      <w:bookmarkEnd w:id="28"/>
      <w:r w:rsidRPr="0035101A">
        <w:rPr>
          <w:rStyle w:val="Fuentedeprrafopredeter1"/>
          <w:rFonts w:asciiTheme="majorBidi" w:eastAsia="DengXian" w:hAnsiTheme="majorBidi" w:cstheme="majorBidi"/>
          <w:b/>
          <w:bCs/>
          <w:color w:val="000000" w:themeColor="text1"/>
          <w:lang w:val="es-MX"/>
        </w:rPr>
        <w:t xml:space="preserve"> </w:t>
      </w:r>
    </w:p>
    <w:p w14:paraId="3C0AAE4A" w14:textId="02011F2D" w:rsidR="002543D9" w:rsidRPr="0035101A" w:rsidRDefault="002543D9" w:rsidP="002543D9">
      <w:pPr>
        <w:spacing w:before="120" w:after="0"/>
        <w:jc w:val="both"/>
        <w:rPr>
          <w:rStyle w:val="Fuentedeprrafopredeter1"/>
          <w:rFonts w:asciiTheme="majorBidi" w:eastAsia="DengXian" w:hAnsiTheme="majorBidi" w:cstheme="majorBidi"/>
          <w:color w:val="000000" w:themeColor="text1"/>
        </w:rPr>
      </w:pPr>
      <w:r w:rsidRPr="0035101A">
        <w:rPr>
          <w:rStyle w:val="Fuentedeprrafopredeter1"/>
          <w:rFonts w:asciiTheme="majorBidi" w:eastAsia="DengXian" w:hAnsiTheme="majorBidi" w:cstheme="majorBidi"/>
          <w:color w:val="000000" w:themeColor="text1"/>
        </w:rPr>
        <w:t xml:space="preserve">El despojo territorial de los pueblos indígenas es uno de los problemas estructurales e históricos desde la época colonial. El empleo de ordenanzas, leyes y medidas económicas para el “desarrollo” han justificado el empleo sistemático del poder punitivo contra comunidades indígenas, la flexibilización de las salvaguardas socioambientales y el avance de megaproyectos extractivos y de monocultivos en territorios indígenas.  </w:t>
      </w:r>
    </w:p>
    <w:p w14:paraId="5CD03EEB" w14:textId="3B5E7501" w:rsidR="002543D9" w:rsidRPr="0035101A" w:rsidRDefault="002543D9" w:rsidP="002543D9">
      <w:pPr>
        <w:spacing w:before="120" w:after="0"/>
        <w:jc w:val="both"/>
        <w:rPr>
          <w:rStyle w:val="Fuentedeprrafopredeter1"/>
          <w:rFonts w:asciiTheme="majorBidi" w:eastAsia="DengXian" w:hAnsiTheme="majorBidi" w:cstheme="majorBidi"/>
          <w:color w:val="000000" w:themeColor="text1"/>
        </w:rPr>
      </w:pPr>
      <w:r w:rsidRPr="0035101A">
        <w:rPr>
          <w:rStyle w:val="Fuentedeprrafopredeter1"/>
          <w:rFonts w:asciiTheme="majorBidi" w:eastAsia="DengXian" w:hAnsiTheme="majorBidi" w:cstheme="majorBidi"/>
          <w:color w:val="000000" w:themeColor="text1"/>
        </w:rPr>
        <w:t>Ese es el caso de muchas comunidades maya q’eqchi’ cuyas tierras ancestrales fueron divididas y adjudicadas a finales del siglo XIX en calidad de terrenos baldíos para beneficiar a particulares (empresarios alemanes, ingleses, militares y milicianos) para introducir el café y otros cultivos comerciales.  En la mayoría de los casos las comunidades indígenas nunca contaron con un título de tierra que ampare sus derechos.  El despojo histórico de tierras indígenas sigue siendo causa de la conflictividad agraria, criminalización de comunidades enteras y desalojos violentos.   </w:t>
      </w:r>
    </w:p>
    <w:p w14:paraId="7D34181E" w14:textId="7F8D41DD" w:rsidR="00626849" w:rsidRPr="0035101A" w:rsidRDefault="00626849" w:rsidP="00626849">
      <w:pPr>
        <w:spacing w:before="120"/>
        <w:jc w:val="both"/>
        <w:rPr>
          <w:rFonts w:asciiTheme="majorBidi" w:hAnsiTheme="majorBidi" w:cstheme="majorBidi"/>
          <w:color w:val="000000" w:themeColor="text1"/>
        </w:rPr>
      </w:pPr>
      <w:r w:rsidRPr="0035101A">
        <w:rPr>
          <w:rFonts w:asciiTheme="majorBidi" w:hAnsiTheme="majorBidi" w:cstheme="majorBidi"/>
          <w:color w:val="000000" w:themeColor="text1"/>
        </w:rPr>
        <w:t xml:space="preserve">Sin embargo, ante la tajante omisión del Estado guatemalteco en crear la normativa adecuada que regule la temática con atención a estándares internacionales y a la misma Constitución, diversas comunidades indígenas han acudido al control Constitucional para hacer sus peticiones legales y legítimas de reconocimiento de sus tierras y territorios, con fundamento en los artículos Constitucionales:  66. Protección a grupos étnicos; Artículo 67. Protección a las tierras y las cooperativas agrícolas indígenas; 68. Tierras para comunidades indígenas; 70. Ley específica. Una ley regulará lo relativo a las materias de esta sección, así como el artículo 46. Preeminencia del Derecho Internacional.  Los litigios estratégicos fueron un instrumento útil, para problematizar la </w:t>
      </w:r>
      <w:r w:rsidRPr="0035101A">
        <w:rPr>
          <w:rFonts w:asciiTheme="majorBidi" w:hAnsiTheme="majorBidi" w:cstheme="majorBidi"/>
          <w:color w:val="000000" w:themeColor="text1"/>
        </w:rPr>
        <w:lastRenderedPageBreak/>
        <w:t xml:space="preserve">situación de pueblos indígenas y </w:t>
      </w:r>
      <w:r w:rsidRPr="00C953B0">
        <w:rPr>
          <w:rFonts w:asciiTheme="majorBidi" w:hAnsiTheme="majorBidi" w:cstheme="majorBidi"/>
          <w:color w:val="0D0D0D" w:themeColor="text1" w:themeTint="F2"/>
        </w:rPr>
        <w:t>obtener varias sentencias favorables emitidas por la Corte de Constitucionalidad</w:t>
      </w:r>
      <w:r w:rsidRPr="00C953B0">
        <w:rPr>
          <w:rStyle w:val="Refdenotaalpie"/>
          <w:rFonts w:asciiTheme="majorBidi" w:hAnsiTheme="majorBidi"/>
          <w:color w:val="0D0D0D" w:themeColor="text1" w:themeTint="F2"/>
        </w:rPr>
        <w:footnoteReference w:id="78"/>
      </w:r>
      <w:r w:rsidRPr="00C953B0">
        <w:rPr>
          <w:rFonts w:asciiTheme="majorBidi" w:hAnsiTheme="majorBidi" w:cstheme="majorBidi"/>
          <w:color w:val="0D0D0D" w:themeColor="text1" w:themeTint="F2"/>
        </w:rPr>
        <w:t>.</w:t>
      </w:r>
      <w:r w:rsidR="00F057CE">
        <w:rPr>
          <w:rFonts w:asciiTheme="majorBidi" w:hAnsiTheme="majorBidi" w:cstheme="majorBidi"/>
          <w:color w:val="0D0D0D" w:themeColor="text1" w:themeTint="F2"/>
        </w:rPr>
        <w:t xml:space="preserve"> </w:t>
      </w:r>
    </w:p>
    <w:p w14:paraId="2103E810" w14:textId="45854A41" w:rsidR="007A73C2" w:rsidRPr="0035101A" w:rsidRDefault="007A73C2" w:rsidP="007A73C2">
      <w:pPr>
        <w:spacing w:before="120"/>
        <w:jc w:val="both"/>
        <w:rPr>
          <w:rFonts w:asciiTheme="majorBidi" w:hAnsiTheme="majorBidi" w:cstheme="majorBidi"/>
          <w:color w:val="000000" w:themeColor="text1"/>
        </w:rPr>
      </w:pPr>
      <w:r w:rsidRPr="0035101A">
        <w:rPr>
          <w:rFonts w:asciiTheme="majorBidi" w:hAnsiTheme="majorBidi" w:cstheme="majorBidi"/>
          <w:color w:val="000000" w:themeColor="text1"/>
        </w:rPr>
        <w:t>En este contexto, cobran especial relevancia cuatro sentencias dictadas en favor de comunidades del pueblo maya q’eqchi’, como son los casos de Sierra Santa Cruz, Sama</w:t>
      </w:r>
      <w:r w:rsidR="0066407A">
        <w:rPr>
          <w:rFonts w:asciiTheme="majorBidi" w:hAnsiTheme="majorBidi" w:cstheme="majorBidi"/>
          <w:color w:val="000000" w:themeColor="text1"/>
        </w:rPr>
        <w:t>n</w:t>
      </w:r>
      <w:r w:rsidRPr="0035101A">
        <w:rPr>
          <w:rFonts w:asciiTheme="majorBidi" w:hAnsiTheme="majorBidi" w:cstheme="majorBidi"/>
          <w:color w:val="000000" w:themeColor="text1"/>
        </w:rPr>
        <w:t>zana II, San Pablo Chinaha</w:t>
      </w:r>
      <w:r w:rsidR="0061064D">
        <w:rPr>
          <w:rFonts w:asciiTheme="majorBidi" w:hAnsiTheme="majorBidi" w:cstheme="majorBidi"/>
          <w:color w:val="000000" w:themeColor="text1"/>
        </w:rPr>
        <w:t>’</w:t>
      </w:r>
      <w:r w:rsidRPr="0035101A">
        <w:rPr>
          <w:rFonts w:asciiTheme="majorBidi" w:hAnsiTheme="majorBidi" w:cstheme="majorBidi"/>
          <w:color w:val="000000" w:themeColor="text1"/>
        </w:rPr>
        <w:t xml:space="preserve"> y Xaal Kiche’</w:t>
      </w:r>
      <w:r w:rsidR="00846127">
        <w:rPr>
          <w:rFonts w:asciiTheme="majorBidi" w:hAnsiTheme="majorBidi" w:cstheme="majorBidi"/>
          <w:color w:val="000000" w:themeColor="text1"/>
        </w:rPr>
        <w:t xml:space="preserve"> (</w:t>
      </w:r>
      <w:r w:rsidR="00846127" w:rsidRPr="00BE720D">
        <w:rPr>
          <w:rFonts w:asciiTheme="majorBidi" w:hAnsiTheme="majorBidi" w:cstheme="majorBidi"/>
          <w:lang w:val="es-MX"/>
        </w:rPr>
        <w:t xml:space="preserve">Ver en </w:t>
      </w:r>
      <w:r w:rsidR="00846127" w:rsidRPr="00F057CE">
        <w:rPr>
          <w:rFonts w:asciiTheme="majorBidi" w:hAnsiTheme="majorBidi" w:cstheme="majorBidi"/>
          <w:b/>
          <w:bCs/>
          <w:u w:val="single"/>
          <w:lang w:val="es-MX"/>
        </w:rPr>
        <w:t>Anexo 5</w:t>
      </w:r>
      <w:r w:rsidR="00846127" w:rsidRPr="00BE720D">
        <w:rPr>
          <w:rFonts w:asciiTheme="majorBidi" w:hAnsiTheme="majorBidi" w:cstheme="majorBidi"/>
          <w:lang w:val="es-MX"/>
        </w:rPr>
        <w:t xml:space="preserve"> resúmenes de los casos y desafíos en relación con su sentencia</w:t>
      </w:r>
      <w:r w:rsidR="00846127">
        <w:rPr>
          <w:rFonts w:asciiTheme="majorBidi" w:hAnsiTheme="majorBidi" w:cstheme="majorBidi"/>
          <w:lang w:val="es-MX"/>
        </w:rPr>
        <w:t>)</w:t>
      </w:r>
      <w:r w:rsidR="00846127" w:rsidRPr="00BE720D">
        <w:rPr>
          <w:rFonts w:asciiTheme="majorBidi" w:hAnsiTheme="majorBidi" w:cstheme="majorBidi"/>
          <w:lang w:val="es-MX"/>
        </w:rPr>
        <w:t>.</w:t>
      </w:r>
      <w:r w:rsidR="00846127">
        <w:rPr>
          <w:rFonts w:asciiTheme="majorBidi" w:hAnsiTheme="majorBidi" w:cstheme="majorBidi"/>
          <w:lang w:val="es-MX"/>
        </w:rPr>
        <w:t xml:space="preserve"> </w:t>
      </w:r>
      <w:r w:rsidRPr="0035101A">
        <w:rPr>
          <w:rFonts w:asciiTheme="majorBidi" w:hAnsiTheme="majorBidi" w:cstheme="majorBidi"/>
          <w:color w:val="000000" w:themeColor="text1"/>
        </w:rPr>
        <w:t>Estas resoluciones han reconocido expresamente los derechos ancestrales de dichas comunidades sobre sus territorios, y han ordenado al Estado adoptar medidas concretas para garantizar su cumplimiento. La falta de implementación no solo constituye un desacato al poder judicial, sino que también perpetúa la vulneración de los derechos de estas comunidades, afectando gravemente su identidad cultural, su forma de vida y su vínculo espiritual con la tierra. Por tanto, el cumplimiento de estas sentencias es un imperativo legal que el Estado no puede eludir.</w:t>
      </w:r>
    </w:p>
    <w:p w14:paraId="08E78EBA" w14:textId="77777777" w:rsidR="00C75B1F" w:rsidRPr="0035101A" w:rsidRDefault="00C75B1F" w:rsidP="00C75B1F">
      <w:pPr>
        <w:spacing w:before="120"/>
        <w:jc w:val="both"/>
        <w:rPr>
          <w:rFonts w:asciiTheme="majorBidi" w:hAnsiTheme="majorBidi" w:cstheme="majorBidi"/>
          <w:color w:val="000000" w:themeColor="text1"/>
        </w:rPr>
      </w:pPr>
      <w:r w:rsidRPr="0035101A">
        <w:rPr>
          <w:rFonts w:asciiTheme="majorBidi" w:hAnsiTheme="majorBidi" w:cstheme="majorBidi"/>
          <w:color w:val="000000" w:themeColor="text1"/>
        </w:rPr>
        <w:t xml:space="preserve">Estas sentencias son fundamentales para garantizar el respeto de los derechos colectivos de los pueblos originarios, de conformidad con la Constitución Política de Guatemala y los tratados internacionales ratificados por el país, como el Convenio 169 de la OIT.  Sin embargo, a pesar de que el Estado manifiesta en su Informe presentado, que </w:t>
      </w:r>
      <w:r w:rsidRPr="00E3344E">
        <w:rPr>
          <w:rFonts w:asciiTheme="majorBidi" w:hAnsiTheme="majorBidi" w:cstheme="majorBidi"/>
          <w:i/>
          <w:iCs/>
          <w:color w:val="000000" w:themeColor="text1"/>
        </w:rPr>
        <w:t>“195. El Estado de Guatemala promueve la certeza jurídica de la población campesina indígena y no indígena, sin tierra o con tierra insuficiente, en situación de pobreza, tal y como se establece en el artículo 3, literal c de la ley de Fondo de Tierras. Esta acción se desarrolla facilitando el acceso a la tierra a campesinos en forma individual u organizada a través de mecanismos financieros adecuados, así como el uso de los recursos naturales de dichas tierras, bajo criterios de sostenibilidad económica y ambiental establecido en el artículo 4, literal d, del mismo cuerpo legal. A este servicio puede acudir toda la población cumpliendo criterios de elegibilidad</w:t>
      </w:r>
      <w:r w:rsidRPr="0035101A">
        <w:rPr>
          <w:rFonts w:asciiTheme="majorBidi" w:hAnsiTheme="majorBidi" w:cstheme="majorBidi"/>
          <w:color w:val="000000" w:themeColor="text1"/>
        </w:rPr>
        <w:t>”</w:t>
      </w:r>
      <w:r w:rsidRPr="0035101A">
        <w:rPr>
          <w:rFonts w:asciiTheme="majorBidi" w:hAnsiTheme="majorBidi" w:cstheme="majorBidi"/>
          <w:color w:val="000000" w:themeColor="text1"/>
          <w:vertAlign w:val="superscript"/>
        </w:rPr>
        <w:footnoteReference w:id="79"/>
      </w:r>
      <w:r w:rsidRPr="0035101A">
        <w:rPr>
          <w:rFonts w:asciiTheme="majorBidi" w:hAnsiTheme="majorBidi" w:cstheme="majorBidi"/>
          <w:color w:val="000000" w:themeColor="text1"/>
        </w:rPr>
        <w:t>.</w:t>
      </w:r>
    </w:p>
    <w:p w14:paraId="4E72CCF9" w14:textId="77777777" w:rsidR="00A468B6" w:rsidRPr="0035101A" w:rsidRDefault="00A468B6" w:rsidP="00A468B6">
      <w:pPr>
        <w:spacing w:before="120"/>
        <w:jc w:val="both"/>
        <w:rPr>
          <w:rFonts w:asciiTheme="majorBidi" w:hAnsiTheme="majorBidi" w:cstheme="majorBidi"/>
          <w:color w:val="000000" w:themeColor="text1"/>
        </w:rPr>
      </w:pPr>
      <w:r w:rsidRPr="0035101A">
        <w:rPr>
          <w:rFonts w:asciiTheme="majorBidi" w:hAnsiTheme="majorBidi" w:cstheme="majorBidi"/>
          <w:color w:val="000000" w:themeColor="text1"/>
        </w:rPr>
        <w:t xml:space="preserve">Podemos decir que estos criterios mencionados y los pocos procesos establecidos conllevan excesivos formalismos, así mismo reiteramos el hecho de que no se han creado los mecanismos adecuados, tampoco la legislación o la institucionalidad que atienda de forma efectiva la temática, retardando por años procesos iniciados bajo la normativa existe, por lo que no podemos hablar de </w:t>
      </w:r>
      <w:r w:rsidRPr="0035101A">
        <w:rPr>
          <w:rFonts w:asciiTheme="majorBidi" w:hAnsiTheme="majorBidi" w:cstheme="majorBidi"/>
          <w:i/>
          <w:iCs/>
          <w:color w:val="000000" w:themeColor="text1"/>
        </w:rPr>
        <w:t xml:space="preserve">certeza jurídica, </w:t>
      </w:r>
      <w:r w:rsidRPr="0035101A">
        <w:rPr>
          <w:rFonts w:asciiTheme="majorBidi" w:hAnsiTheme="majorBidi" w:cstheme="majorBidi"/>
          <w:color w:val="000000" w:themeColor="text1"/>
        </w:rPr>
        <w:t xml:space="preserve">cuando a pesar de que existen ya sentencias emitidas las mismas no son cumplidas,  quedando atrapadas en procesos engorrosos que vulneran nuevamente los derechos colectivos de los pueblos indígenas.  </w:t>
      </w:r>
    </w:p>
    <w:p w14:paraId="252E4EC4" w14:textId="77777777" w:rsidR="00A468B6" w:rsidRPr="0035101A" w:rsidRDefault="00A468B6" w:rsidP="00A468B6">
      <w:pPr>
        <w:spacing w:before="240" w:after="120" w:line="276" w:lineRule="auto"/>
        <w:ind w:right="-23"/>
        <w:jc w:val="both"/>
        <w:rPr>
          <w:rFonts w:asciiTheme="majorBidi" w:eastAsia="Calibri Light" w:hAnsiTheme="majorBidi" w:cstheme="majorBidi"/>
          <w:color w:val="000000" w:themeColor="text1"/>
        </w:rPr>
      </w:pPr>
      <w:r w:rsidRPr="0035101A">
        <w:rPr>
          <w:rFonts w:asciiTheme="majorBidi" w:eastAsia="Calibri Light" w:hAnsiTheme="majorBidi" w:cstheme="majorBidi"/>
          <w:color w:val="000000" w:themeColor="text1"/>
        </w:rPr>
        <w:t xml:space="preserve">En este marco, y en atención a la normativa existente, El Estado tiene la obligación de cumplir con la implementación de sentencias nacionales emitidas por los Tribunales de Amparo, especialmente aquellas que reconocen y protegen los derechos de los pueblos indígenas sobre sus tierras, territorios y recursos naturales. </w:t>
      </w:r>
    </w:p>
    <w:p w14:paraId="713745E4" w14:textId="31FCF64F" w:rsidR="00787A0E" w:rsidRPr="0035101A" w:rsidRDefault="005A43B2" w:rsidP="005A43B2">
      <w:pPr>
        <w:pStyle w:val="Prrafodelista"/>
        <w:numPr>
          <w:ilvl w:val="2"/>
          <w:numId w:val="8"/>
        </w:numPr>
        <w:spacing w:before="120" w:after="0"/>
        <w:jc w:val="both"/>
        <w:rPr>
          <w:rStyle w:val="Fuentedeprrafopredeter1"/>
          <w:rFonts w:asciiTheme="majorBidi" w:eastAsia="DengXian" w:hAnsiTheme="majorBidi" w:cstheme="majorBidi"/>
          <w:b/>
          <w:bCs/>
        </w:rPr>
      </w:pPr>
      <w:r w:rsidRPr="0035101A">
        <w:rPr>
          <w:rFonts w:asciiTheme="majorBidi" w:eastAsia="Calibri Light" w:hAnsiTheme="majorBidi" w:cstheme="majorBidi"/>
          <w:b/>
          <w:bCs/>
        </w:rPr>
        <w:lastRenderedPageBreak/>
        <w:t>Preocupación por la r</w:t>
      </w:r>
      <w:r w:rsidR="00770BE5" w:rsidRPr="0035101A">
        <w:rPr>
          <w:rFonts w:asciiTheme="majorBidi" w:eastAsia="Calibri Light" w:hAnsiTheme="majorBidi" w:cstheme="majorBidi"/>
          <w:b/>
          <w:bCs/>
        </w:rPr>
        <w:t>egresión en el control constitucional para la protección a las tierras indígenas</w:t>
      </w:r>
    </w:p>
    <w:p w14:paraId="52C29683" w14:textId="51DB9D88" w:rsidR="000276AD" w:rsidRPr="0035101A" w:rsidRDefault="000276AD" w:rsidP="00643808">
      <w:pPr>
        <w:spacing w:before="120" w:after="0"/>
        <w:jc w:val="both"/>
        <w:rPr>
          <w:rFonts w:asciiTheme="majorBidi" w:eastAsia="DengXian" w:hAnsiTheme="majorBidi" w:cstheme="majorBidi"/>
          <w:color w:val="000000" w:themeColor="text1"/>
        </w:rPr>
      </w:pPr>
      <w:r w:rsidRPr="0035101A">
        <w:rPr>
          <w:rStyle w:val="Fuentedeprrafopredeter1"/>
          <w:rFonts w:asciiTheme="majorBidi" w:eastAsia="DengXian" w:hAnsiTheme="majorBidi" w:cstheme="majorBidi"/>
          <w:color w:val="000000" w:themeColor="text1"/>
        </w:rPr>
        <w:t xml:space="preserve">Entre </w:t>
      </w:r>
      <w:r w:rsidRPr="0035101A">
        <w:rPr>
          <w:rStyle w:val="Fuentedeprrafopredeter1"/>
          <w:rFonts w:asciiTheme="majorBidi" w:eastAsia="DengXian" w:hAnsiTheme="majorBidi" w:cstheme="majorBidi"/>
          <w:color w:val="000000" w:themeColor="text1"/>
          <w:lang w:val="es-ES_tradnl"/>
        </w:rPr>
        <w:t>2010 y 2020 la Corte de Constitucionalidad -CC- fue reconociendo derechos territoriales de Pueblos Indígenas, a través de diez sentencias progresivas.</w:t>
      </w:r>
      <w:r w:rsidRPr="0035101A">
        <w:rPr>
          <w:rStyle w:val="Refdenotaalpie"/>
          <w:rFonts w:asciiTheme="majorBidi" w:eastAsia="DengXian" w:hAnsiTheme="majorBidi" w:cstheme="majorBidi"/>
          <w:color w:val="000000" w:themeColor="text1"/>
          <w:sz w:val="22"/>
          <w:lang w:val="es-ES_tradnl"/>
        </w:rPr>
        <w:footnoteReference w:id="80"/>
      </w:r>
      <w:r w:rsidRPr="0035101A">
        <w:rPr>
          <w:rStyle w:val="Fuentedeprrafopredeter1"/>
          <w:rFonts w:asciiTheme="majorBidi" w:eastAsia="DengXian" w:hAnsiTheme="majorBidi" w:cstheme="majorBidi"/>
          <w:color w:val="000000" w:themeColor="text1"/>
          <w:lang w:val="es-ES_tradnl"/>
        </w:rPr>
        <w:t xml:space="preserve">  Estos importantes avances, </w:t>
      </w:r>
      <w:r w:rsidRPr="0035101A">
        <w:rPr>
          <w:rStyle w:val="Fuentedeprrafopredeter1"/>
          <w:rFonts w:asciiTheme="majorBidi" w:eastAsia="DengXian" w:hAnsiTheme="majorBidi" w:cstheme="majorBidi"/>
          <w:color w:val="000000" w:themeColor="text1"/>
        </w:rPr>
        <w:t xml:space="preserve">apoyados por la cooperación internacional, fueron vistos como una amenaza a la propiedad privada por la Cámara del Agro, provocando </w:t>
      </w:r>
      <w:r w:rsidRPr="0035101A">
        <w:rPr>
          <w:rStyle w:val="Fuentedeprrafopredeter1"/>
          <w:rFonts w:asciiTheme="majorBidi" w:eastAsia="DengXian" w:hAnsiTheme="majorBidi" w:cstheme="majorBidi"/>
          <w:color w:val="000000" w:themeColor="text1"/>
          <w:lang w:val="es-ES_tradnl"/>
        </w:rPr>
        <w:t>una amplia presión política de las cámaras empresariales</w:t>
      </w:r>
      <w:r w:rsidRPr="0035101A">
        <w:rPr>
          <w:rStyle w:val="Refdenotaalpie"/>
          <w:rFonts w:asciiTheme="majorBidi" w:eastAsia="DengXian" w:hAnsiTheme="majorBidi" w:cstheme="majorBidi"/>
          <w:color w:val="000000" w:themeColor="text1"/>
          <w:sz w:val="22"/>
          <w:lang w:val="es-ES_tradnl"/>
        </w:rPr>
        <w:footnoteReference w:id="81"/>
      </w:r>
      <w:r w:rsidRPr="0035101A">
        <w:rPr>
          <w:rStyle w:val="Fuentedeprrafopredeter1"/>
          <w:rFonts w:asciiTheme="majorBidi" w:eastAsia="DengXian" w:hAnsiTheme="majorBidi" w:cstheme="majorBidi"/>
          <w:color w:val="000000" w:themeColor="text1"/>
          <w:lang w:val="es-ES_tradnl"/>
        </w:rPr>
        <w:t xml:space="preserve">.  La elección de la VIII Magistratura en 2020 y la expulsión de Magistrados consecuentes, marcó </w:t>
      </w:r>
      <w:r w:rsidRPr="0035101A">
        <w:rPr>
          <w:rStyle w:val="Fuentedeprrafopredeter1"/>
          <w:rFonts w:asciiTheme="majorBidi" w:eastAsia="DengXian" w:hAnsiTheme="majorBidi" w:cstheme="majorBidi"/>
          <w:color w:val="000000" w:themeColor="text1"/>
        </w:rPr>
        <w:t xml:space="preserve">cambios a los criterios de la Corte de Constitucionalidad.  A partir de noviembre 2020 la CC ha emitido al menos </w:t>
      </w:r>
      <w:r w:rsidRPr="0035101A">
        <w:rPr>
          <w:rStyle w:val="Fuentedeprrafopredeter1"/>
          <w:rFonts w:asciiTheme="majorBidi" w:eastAsia="DengXian" w:hAnsiTheme="majorBidi" w:cstheme="majorBidi"/>
          <w:color w:val="000000" w:themeColor="text1"/>
          <w:lang w:val="es-ES_tradnl"/>
        </w:rPr>
        <w:t>14 sentencias negativas en materia de tierras indígenas, con el argumento de que el amparo no es la vía para reclamar derechos posesorios y remite a los pueblos que demandan justicia por el despojo de sus tierras ancestrales, a recurrir a los tribunales ordinarios, a pesar de que no existe legislación específica y el código civil no contempla las figuras apropiadas a tierras indígenas o a la vía administrativa que los indicen a pagar por sus propias tierras.</w:t>
      </w:r>
      <w:r w:rsidRPr="0035101A">
        <w:rPr>
          <w:rStyle w:val="Refdenotaalpie"/>
          <w:rFonts w:asciiTheme="majorBidi" w:eastAsia="DengXian" w:hAnsiTheme="majorBidi" w:cstheme="majorBidi"/>
          <w:color w:val="000000" w:themeColor="text1"/>
          <w:sz w:val="22"/>
          <w:lang w:val="es-ES_tradnl"/>
        </w:rPr>
        <w:footnoteReference w:id="82"/>
      </w:r>
      <w:r w:rsidRPr="0035101A">
        <w:rPr>
          <w:rStyle w:val="Fuentedeprrafopredeter1"/>
          <w:rFonts w:asciiTheme="majorBidi" w:eastAsia="DengXian" w:hAnsiTheme="majorBidi" w:cstheme="majorBidi"/>
          <w:color w:val="000000" w:themeColor="text1"/>
          <w:lang w:val="es-ES_tradnl"/>
        </w:rPr>
        <w:t xml:space="preserve">  </w:t>
      </w:r>
    </w:p>
    <w:p w14:paraId="5524E8F8" w14:textId="1EA675EF" w:rsidR="000276AD" w:rsidRPr="0035101A" w:rsidRDefault="000276AD" w:rsidP="00010CE8">
      <w:pPr>
        <w:spacing w:before="120" w:after="0"/>
        <w:jc w:val="both"/>
        <w:rPr>
          <w:rFonts w:asciiTheme="majorBidi" w:hAnsiTheme="majorBidi" w:cstheme="majorBidi"/>
          <w:color w:val="000000" w:themeColor="text1"/>
        </w:rPr>
      </w:pPr>
      <w:r w:rsidRPr="0035101A">
        <w:rPr>
          <w:rStyle w:val="Fuentedeprrafopredeter1"/>
          <w:rFonts w:asciiTheme="majorBidi" w:eastAsia="DengXian" w:hAnsiTheme="majorBidi" w:cstheme="majorBidi"/>
          <w:color w:val="000000" w:themeColor="text1"/>
          <w:lang w:val="es-ES_tradnl"/>
        </w:rPr>
        <w:t xml:space="preserve">Este es el caso de </w:t>
      </w:r>
      <w:r w:rsidRPr="0035101A">
        <w:rPr>
          <w:rStyle w:val="Fuentedeprrafopredeter1"/>
          <w:rFonts w:asciiTheme="majorBidi" w:eastAsia="DengXian" w:hAnsiTheme="majorBidi" w:cstheme="majorBidi"/>
          <w:color w:val="000000" w:themeColor="text1"/>
        </w:rPr>
        <w:t>las Comunidades Indígenas Q’eqchi’ de Los Copones, Ixcán, El Quiché, que mantienen la posesión pacífica de sus tierras hasta el día de hoy, pero cuyos derechos fueron negados por la Corte de Constitucionalidad (</w:t>
      </w:r>
      <w:hyperlink r:id="rId15" w:anchor="_blank" w:history="1">
        <w:r w:rsidRPr="0035101A">
          <w:rPr>
            <w:rStyle w:val="Hipervnculo"/>
            <w:rFonts w:asciiTheme="majorBidi" w:hAnsiTheme="majorBidi" w:cstheme="majorBidi"/>
            <w:color w:val="000000" w:themeColor="text1"/>
          </w:rPr>
          <w:t>expediente 1596-2016</w:t>
        </w:r>
      </w:hyperlink>
      <w:r w:rsidRPr="0035101A">
        <w:rPr>
          <w:rStyle w:val="Fuentedeprrafopredeter1"/>
          <w:rFonts w:asciiTheme="majorBidi" w:eastAsia="DengXian" w:hAnsiTheme="majorBidi" w:cstheme="majorBidi"/>
          <w:color w:val="000000" w:themeColor="text1"/>
        </w:rPr>
        <w:t xml:space="preserve">) mediante la Sentencia del 9 de noviembre 2020.  Ante </w:t>
      </w:r>
      <w:r w:rsidRPr="0035101A">
        <w:rPr>
          <w:rStyle w:val="Fuentedeprrafopredeter1"/>
          <w:rFonts w:asciiTheme="majorBidi" w:eastAsia="DengXian" w:hAnsiTheme="majorBidi" w:cstheme="majorBidi"/>
          <w:color w:val="000000" w:themeColor="text1"/>
          <w:lang w:val="es-ES_tradnl"/>
        </w:rPr>
        <w:t xml:space="preserve">el cierre de espacios </w:t>
      </w:r>
      <w:r w:rsidRPr="0035101A">
        <w:rPr>
          <w:rStyle w:val="Fuentedeprrafopredeter1"/>
          <w:rFonts w:asciiTheme="majorBidi" w:eastAsia="DengXian" w:hAnsiTheme="majorBidi" w:cstheme="majorBidi"/>
          <w:color w:val="000000" w:themeColor="text1"/>
        </w:rPr>
        <w:t>para la discusión jurídica en Guatemala este caso fue presentado ante el Sistema Interamericano de DDHH y se encuentra en fase de admisibilidad ante la Comisión Interamericana de Derechos Humanos (P-1949-21), al igual que otros casos en similar situación.</w:t>
      </w:r>
    </w:p>
    <w:p w14:paraId="6924D96C" w14:textId="5EC95480" w:rsidR="000276AD" w:rsidRPr="0035101A" w:rsidRDefault="000276AD" w:rsidP="005A43B2">
      <w:pPr>
        <w:spacing w:before="240"/>
        <w:jc w:val="both"/>
        <w:rPr>
          <w:rStyle w:val="Fuentedeprrafopredeter1"/>
          <w:rFonts w:asciiTheme="majorBidi" w:eastAsia="DengXian" w:hAnsiTheme="majorBidi" w:cstheme="majorBidi"/>
          <w:color w:val="000000" w:themeColor="text1"/>
          <w:lang w:val="es-MX"/>
        </w:rPr>
      </w:pPr>
      <w:r w:rsidRPr="0035101A">
        <w:rPr>
          <w:rStyle w:val="Fuentedeprrafopredeter1"/>
          <w:rFonts w:asciiTheme="majorBidi" w:eastAsia="DengXian" w:hAnsiTheme="majorBidi" w:cstheme="majorBidi"/>
          <w:color w:val="000000" w:themeColor="text1"/>
          <w:lang w:val="es-MX"/>
        </w:rPr>
        <w:t>La regresión en el reconocimiento de los derechos territoriales indígenas, así como ausencia de una legislación específica y políticas que protejan las tierras indígenas constituyen una manifestación del racismo y discriminación que prevalece hasta nuestros días.</w:t>
      </w:r>
    </w:p>
    <w:p w14:paraId="7A2F06A6" w14:textId="20095127" w:rsidR="000276AD" w:rsidRPr="0035101A" w:rsidRDefault="0040033A" w:rsidP="00197C3D">
      <w:pPr>
        <w:pStyle w:val="Prrafodelista"/>
        <w:numPr>
          <w:ilvl w:val="2"/>
          <w:numId w:val="8"/>
        </w:numPr>
        <w:spacing w:after="0"/>
        <w:contextualSpacing w:val="0"/>
        <w:jc w:val="both"/>
        <w:outlineLvl w:val="2"/>
        <w:rPr>
          <w:rFonts w:asciiTheme="majorBidi" w:hAnsiTheme="majorBidi" w:cstheme="majorBidi"/>
          <w:b/>
          <w:bCs/>
          <w:color w:val="000000" w:themeColor="text1"/>
        </w:rPr>
      </w:pPr>
      <w:bookmarkStart w:id="29" w:name="_Toc204264052"/>
      <w:r w:rsidRPr="0035101A">
        <w:rPr>
          <w:rStyle w:val="Fuentedeprrafopredeter1"/>
          <w:rFonts w:asciiTheme="majorBidi" w:eastAsia="DengXian" w:hAnsiTheme="majorBidi" w:cstheme="majorBidi"/>
          <w:b/>
          <w:bCs/>
          <w:color w:val="000000" w:themeColor="text1"/>
          <w:lang w:val="es-MX"/>
        </w:rPr>
        <w:t>Situación de desalojos</w:t>
      </w:r>
      <w:bookmarkEnd w:id="29"/>
    </w:p>
    <w:p w14:paraId="628C1441" w14:textId="77777777" w:rsidR="009E6CC1" w:rsidRPr="0035101A" w:rsidRDefault="009E6CC1" w:rsidP="00643808">
      <w:pPr>
        <w:spacing w:after="0"/>
        <w:jc w:val="both"/>
        <w:rPr>
          <w:rStyle w:val="Fuentedeprrafopredeter1"/>
          <w:rFonts w:asciiTheme="majorBidi" w:eastAsia="DengXian" w:hAnsiTheme="majorBidi" w:cstheme="majorBidi"/>
          <w:color w:val="000000" w:themeColor="text1"/>
          <w:lang w:val="es-MX"/>
        </w:rPr>
      </w:pPr>
    </w:p>
    <w:p w14:paraId="6A24DC6A" w14:textId="781AB474" w:rsidR="009E6CC1" w:rsidRPr="0035101A" w:rsidRDefault="009E6CC1" w:rsidP="009E6CC1">
      <w:pPr>
        <w:spacing w:after="0"/>
        <w:jc w:val="both"/>
        <w:rPr>
          <w:rStyle w:val="Fuentedeprrafopredeter1"/>
          <w:rFonts w:asciiTheme="majorBidi" w:eastAsia="DengXian" w:hAnsiTheme="majorBidi" w:cstheme="majorBidi"/>
          <w:color w:val="000000" w:themeColor="text1"/>
          <w:lang w:val="es-MX"/>
        </w:rPr>
      </w:pPr>
      <w:r w:rsidRPr="0035101A">
        <w:rPr>
          <w:rStyle w:val="Fuentedeprrafopredeter1"/>
          <w:rFonts w:asciiTheme="majorBidi" w:eastAsia="DengXian" w:hAnsiTheme="majorBidi" w:cstheme="majorBidi"/>
          <w:color w:val="000000" w:themeColor="text1"/>
          <w:lang w:val="es-MX"/>
        </w:rPr>
        <w:t xml:space="preserve">En Guatemala no existen marcos normativos adecuados relacionados a la certeza jurídica de la propiedad colectiva sobre las tierras indígenas, que proteja sus formas de tenencia comunal la cual es base fundamental para la supervivencia cultura de los pueblos indígenas no solo por la relación especial con la tierra, donde la persona humana es un elemento más, sino para preservar la vida, la integridad comunitaria y su continuidad histórica. no existen los procedimientos específicos para la titulación colectiva de dichas tierras. </w:t>
      </w:r>
    </w:p>
    <w:p w14:paraId="2328B5D6" w14:textId="77777777" w:rsidR="009E6CC1" w:rsidRPr="0035101A" w:rsidRDefault="009E6CC1" w:rsidP="009E6CC1">
      <w:pPr>
        <w:spacing w:after="0"/>
        <w:jc w:val="both"/>
        <w:rPr>
          <w:rStyle w:val="Fuentedeprrafopredeter1"/>
          <w:rFonts w:asciiTheme="majorBidi" w:eastAsia="DengXian" w:hAnsiTheme="majorBidi" w:cstheme="majorBidi"/>
          <w:color w:val="000000" w:themeColor="text1"/>
          <w:lang w:val="es-MX"/>
        </w:rPr>
      </w:pPr>
    </w:p>
    <w:p w14:paraId="6BD498B9" w14:textId="7056449E" w:rsidR="009E6CC1" w:rsidRPr="0035101A" w:rsidRDefault="008E7BFA" w:rsidP="009E6CC1">
      <w:pPr>
        <w:spacing w:after="0"/>
        <w:jc w:val="both"/>
        <w:rPr>
          <w:rStyle w:val="Fuentedeprrafopredeter1"/>
          <w:rFonts w:asciiTheme="majorBidi" w:eastAsia="DengXian" w:hAnsiTheme="majorBidi" w:cstheme="majorBidi"/>
          <w:color w:val="000000" w:themeColor="text1"/>
          <w:lang w:val="es-MX"/>
        </w:rPr>
      </w:pPr>
      <w:r w:rsidRPr="0035101A">
        <w:rPr>
          <w:rStyle w:val="Fuentedeprrafopredeter1"/>
          <w:rFonts w:asciiTheme="majorBidi" w:eastAsia="DengXian" w:hAnsiTheme="majorBidi" w:cstheme="majorBidi"/>
          <w:color w:val="000000" w:themeColor="text1"/>
          <w:lang w:val="es-MX"/>
        </w:rPr>
        <w:t>Asimismo, l</w:t>
      </w:r>
      <w:r w:rsidR="009E6CC1" w:rsidRPr="0035101A">
        <w:rPr>
          <w:rStyle w:val="Fuentedeprrafopredeter1"/>
          <w:rFonts w:asciiTheme="majorBidi" w:eastAsia="DengXian" w:hAnsiTheme="majorBidi" w:cstheme="majorBidi"/>
          <w:color w:val="000000" w:themeColor="text1"/>
          <w:lang w:val="es-MX"/>
        </w:rPr>
        <w:t xml:space="preserve">a desprotección de los derechos relativos a la tierra y recursos naturales de los pueblos indígenas es parte de una problemática muy amplia que se debe entre otras razones a que los campesinos indígenas y no indígenas difícilmente han podido legalizar sus derechos mediante </w:t>
      </w:r>
      <w:r w:rsidR="009E6CC1" w:rsidRPr="0035101A">
        <w:rPr>
          <w:rStyle w:val="Fuentedeprrafopredeter1"/>
          <w:rFonts w:asciiTheme="majorBidi" w:eastAsia="DengXian" w:hAnsiTheme="majorBidi" w:cstheme="majorBidi"/>
          <w:color w:val="000000" w:themeColor="text1"/>
          <w:lang w:val="es-MX"/>
        </w:rPr>
        <w:lastRenderedPageBreak/>
        <w:t>titulación y registro. Cuando excepcionalmente han podido legalizar sus derechos, no han tenido acceso a los mecanismos legales para defenderlos.</w:t>
      </w:r>
    </w:p>
    <w:p w14:paraId="55F3E412" w14:textId="77777777" w:rsidR="009E6CC1" w:rsidRPr="0035101A" w:rsidRDefault="009E6CC1" w:rsidP="009E6CC1">
      <w:pPr>
        <w:spacing w:after="0"/>
        <w:jc w:val="both"/>
        <w:rPr>
          <w:rStyle w:val="Fuentedeprrafopredeter1"/>
          <w:rFonts w:asciiTheme="majorBidi" w:eastAsia="DengXian" w:hAnsiTheme="majorBidi" w:cstheme="majorBidi"/>
          <w:color w:val="000000" w:themeColor="text1"/>
          <w:lang w:val="es-MX"/>
        </w:rPr>
      </w:pPr>
    </w:p>
    <w:p w14:paraId="088171EA" w14:textId="77777777" w:rsidR="009E6CC1" w:rsidRPr="0035101A" w:rsidRDefault="009E6CC1" w:rsidP="009E6CC1">
      <w:pPr>
        <w:spacing w:after="0"/>
        <w:jc w:val="both"/>
        <w:rPr>
          <w:rStyle w:val="Fuentedeprrafopredeter1"/>
          <w:rFonts w:asciiTheme="majorBidi" w:eastAsia="DengXian" w:hAnsiTheme="majorBidi" w:cstheme="majorBidi"/>
          <w:color w:val="000000" w:themeColor="text1"/>
          <w:lang w:val="es-MX"/>
        </w:rPr>
      </w:pPr>
      <w:r w:rsidRPr="0035101A">
        <w:rPr>
          <w:rStyle w:val="Fuentedeprrafopredeter1"/>
          <w:rFonts w:asciiTheme="majorBidi" w:eastAsia="DengXian" w:hAnsiTheme="majorBidi" w:cstheme="majorBidi"/>
          <w:color w:val="000000" w:themeColor="text1"/>
          <w:lang w:val="es-MX"/>
        </w:rPr>
        <w:t xml:space="preserve">La posesión histórica que mantienen los pueblos indígenas sobre sus tierras comunales, éstas les son disputadas constantemente por terceros ajenos a la Comunidad o Pueblo, generándose una serie de conflictos agrarios, tal como lo indica la Oficina del Alto Comisionado para los Derechos Humanos de Naciones Unidas en su informe del año 2019: “Al 31 de octubre, la Secretaría de Asuntos Agrarios registraba 1532 casos de conflictos agrarios, que abarcaban disputas sobre derechos de propiedad, límites territoriales”. </w:t>
      </w:r>
    </w:p>
    <w:p w14:paraId="68FBDCA5" w14:textId="77777777" w:rsidR="009E6CC1" w:rsidRPr="0035101A" w:rsidRDefault="009E6CC1" w:rsidP="009E6CC1">
      <w:pPr>
        <w:spacing w:after="0"/>
        <w:jc w:val="both"/>
        <w:rPr>
          <w:rStyle w:val="Fuentedeprrafopredeter1"/>
          <w:rFonts w:asciiTheme="majorBidi" w:eastAsia="DengXian" w:hAnsiTheme="majorBidi" w:cstheme="majorBidi"/>
          <w:color w:val="000000" w:themeColor="text1"/>
          <w:lang w:val="es-MX"/>
        </w:rPr>
      </w:pPr>
    </w:p>
    <w:p w14:paraId="214CA074" w14:textId="77777777" w:rsidR="009E6CC1" w:rsidRPr="0035101A" w:rsidRDefault="009E6CC1" w:rsidP="009E6CC1">
      <w:pPr>
        <w:spacing w:after="0"/>
        <w:jc w:val="both"/>
        <w:rPr>
          <w:rStyle w:val="Fuentedeprrafopredeter1"/>
          <w:rFonts w:asciiTheme="majorBidi" w:eastAsia="DengXian" w:hAnsiTheme="majorBidi" w:cstheme="majorBidi"/>
          <w:color w:val="000000" w:themeColor="text1"/>
          <w:lang w:val="es-MX"/>
        </w:rPr>
      </w:pPr>
      <w:r w:rsidRPr="0035101A">
        <w:rPr>
          <w:rStyle w:val="Fuentedeprrafopredeter1"/>
          <w:rFonts w:asciiTheme="majorBidi" w:eastAsia="DengXian" w:hAnsiTheme="majorBidi" w:cstheme="majorBidi"/>
          <w:color w:val="000000" w:themeColor="text1"/>
          <w:lang w:val="es-MX"/>
        </w:rPr>
        <w:t>El 75% de estos conflictos se ubican en Alta Verapaz, Huehuetenango, Izabal, Petén y Quiché…donde viven pueblos indígenas y donde además coinciden proyectos de exploración y explotación de recursos naturales”.</w:t>
      </w:r>
      <w:proofErr w:type="gramStart"/>
      <w:r w:rsidRPr="0035101A">
        <w:rPr>
          <w:rStyle w:val="Fuentedeprrafopredeter1"/>
          <w:rFonts w:asciiTheme="majorBidi" w:eastAsia="DengXian" w:hAnsiTheme="majorBidi" w:cstheme="majorBidi"/>
          <w:color w:val="000000" w:themeColor="text1"/>
          <w:lang w:val="es-MX"/>
        </w:rPr>
        <w:t>2  Así</w:t>
      </w:r>
      <w:proofErr w:type="gramEnd"/>
      <w:r w:rsidRPr="0035101A">
        <w:rPr>
          <w:rStyle w:val="Fuentedeprrafopredeter1"/>
          <w:rFonts w:asciiTheme="majorBidi" w:eastAsia="DengXian" w:hAnsiTheme="majorBidi" w:cstheme="majorBidi"/>
          <w:color w:val="000000" w:themeColor="text1"/>
          <w:lang w:val="es-MX"/>
        </w:rPr>
        <w:t xml:space="preserve"> mismo se señala que: “La elevada concentración de la tierra en Guatemala tiene sus raíces en el despojo histórico que sufren los pueblos indígenas desde la invasión española, en 1524. Los 300 años del período colonial representa el sometimiento de los pueblos indígenas…así como la pérdida de sus tierras”.3 </w:t>
      </w:r>
    </w:p>
    <w:p w14:paraId="13B434F2" w14:textId="77777777" w:rsidR="009E6CC1" w:rsidRPr="0035101A" w:rsidRDefault="009E6CC1" w:rsidP="009E6CC1">
      <w:pPr>
        <w:spacing w:after="0"/>
        <w:jc w:val="both"/>
        <w:rPr>
          <w:rStyle w:val="Fuentedeprrafopredeter1"/>
          <w:rFonts w:asciiTheme="majorBidi" w:eastAsia="DengXian" w:hAnsiTheme="majorBidi" w:cstheme="majorBidi"/>
          <w:color w:val="000000" w:themeColor="text1"/>
          <w:lang w:val="es-MX"/>
        </w:rPr>
      </w:pPr>
    </w:p>
    <w:p w14:paraId="035FE13D" w14:textId="77777777" w:rsidR="009E6CC1" w:rsidRPr="0035101A" w:rsidRDefault="009E6CC1" w:rsidP="009E6CC1">
      <w:pPr>
        <w:spacing w:after="0"/>
        <w:jc w:val="both"/>
        <w:rPr>
          <w:rStyle w:val="Fuentedeprrafopredeter1"/>
          <w:rFonts w:asciiTheme="majorBidi" w:eastAsia="DengXian" w:hAnsiTheme="majorBidi" w:cstheme="majorBidi"/>
          <w:color w:val="000000" w:themeColor="text1"/>
          <w:lang w:val="es-MX"/>
        </w:rPr>
      </w:pPr>
      <w:r w:rsidRPr="0035101A">
        <w:rPr>
          <w:rStyle w:val="Fuentedeprrafopredeter1"/>
          <w:rFonts w:asciiTheme="majorBidi" w:eastAsia="DengXian" w:hAnsiTheme="majorBidi" w:cstheme="majorBidi"/>
          <w:color w:val="000000" w:themeColor="text1"/>
          <w:lang w:val="es-MX"/>
        </w:rPr>
        <w:t xml:space="preserve">El patrón de despojo a través de los desalojos se recrudeció a partir del año 2011. Como lo ha indicado Hurtado “[...] el año 2011 marcó una tendencia incuestionable: con una única orden judicial de desalojo fueron desalojadas 12 comunidades en El Estor. Dos más no fueron desalojadas por un error burocrático: las fincas se encontraban fuera de la jurisdicción municipal que señalaba la orden judicial”. </w:t>
      </w:r>
    </w:p>
    <w:p w14:paraId="105092EA" w14:textId="77777777" w:rsidR="009E6CC1" w:rsidRPr="0035101A" w:rsidRDefault="009E6CC1" w:rsidP="009E6CC1">
      <w:pPr>
        <w:spacing w:after="0"/>
        <w:jc w:val="both"/>
        <w:rPr>
          <w:rStyle w:val="Fuentedeprrafopredeter1"/>
          <w:rFonts w:asciiTheme="majorBidi" w:eastAsia="DengXian" w:hAnsiTheme="majorBidi" w:cstheme="majorBidi"/>
          <w:color w:val="000000" w:themeColor="text1"/>
          <w:lang w:val="es-MX"/>
        </w:rPr>
      </w:pPr>
    </w:p>
    <w:p w14:paraId="08BE064B" w14:textId="7E20E5DC" w:rsidR="009E6CC1" w:rsidRPr="0035101A" w:rsidRDefault="009E6CC1" w:rsidP="009E6CC1">
      <w:pPr>
        <w:spacing w:after="0"/>
        <w:jc w:val="both"/>
        <w:rPr>
          <w:rStyle w:val="Fuentedeprrafopredeter1"/>
          <w:rFonts w:asciiTheme="majorBidi" w:eastAsia="DengXian" w:hAnsiTheme="majorBidi" w:cstheme="majorBidi"/>
          <w:color w:val="000000" w:themeColor="text1"/>
          <w:lang w:val="es-MX"/>
        </w:rPr>
      </w:pPr>
      <w:proofErr w:type="gramStart"/>
      <w:r w:rsidRPr="0035101A">
        <w:rPr>
          <w:rStyle w:val="Fuentedeprrafopredeter1"/>
          <w:rFonts w:asciiTheme="majorBidi" w:eastAsia="DengXian" w:hAnsiTheme="majorBidi" w:cstheme="majorBidi"/>
          <w:color w:val="000000" w:themeColor="text1"/>
          <w:lang w:val="es-MX"/>
        </w:rPr>
        <w:t>La  CIDH</w:t>
      </w:r>
      <w:proofErr w:type="gramEnd"/>
      <w:r w:rsidRPr="0035101A">
        <w:rPr>
          <w:rStyle w:val="Fuentedeprrafopredeter1"/>
          <w:rFonts w:asciiTheme="majorBidi" w:eastAsia="DengXian" w:hAnsiTheme="majorBidi" w:cstheme="majorBidi"/>
          <w:color w:val="000000" w:themeColor="text1"/>
          <w:lang w:val="es-MX"/>
        </w:rPr>
        <w:t xml:space="preserve"> en su informe </w:t>
      </w:r>
      <w:proofErr w:type="gramStart"/>
      <w:r w:rsidRPr="0035101A">
        <w:rPr>
          <w:rStyle w:val="Fuentedeprrafopredeter1"/>
          <w:rFonts w:asciiTheme="majorBidi" w:eastAsia="DengXian" w:hAnsiTheme="majorBidi" w:cstheme="majorBidi"/>
          <w:color w:val="000000" w:themeColor="text1"/>
          <w:lang w:val="es-MX"/>
        </w:rPr>
        <w:t>sobre  Guatemala</w:t>
      </w:r>
      <w:proofErr w:type="gramEnd"/>
      <w:r w:rsidRPr="0035101A">
        <w:rPr>
          <w:rStyle w:val="Fuentedeprrafopredeter1"/>
          <w:rFonts w:asciiTheme="majorBidi" w:eastAsia="DengXian" w:hAnsiTheme="majorBidi" w:cstheme="majorBidi"/>
          <w:color w:val="000000" w:themeColor="text1"/>
          <w:lang w:val="es-MX"/>
        </w:rPr>
        <w:t xml:space="preserve"> de 2017, señaló la existencia de al menos 125 solicitudes de desalojo en el departamento de El Petén. Organizaciones como COMITÉ DE UNIDAD CAMPESINA -CUC- Y UVOC, reportan 113 comunidades con orden de desalojo. Del 2018 al 2023, se han ejecutado 17 desalojos forzados, donde al menos unas 800 familias han quedado viviendo en la intemperie y en condiciones infrahumanas, pues el Estado no cumple con los estándares de Naciones Unidas sobre los desalojos y el desplazamiento generados por el Desarrollo. La tierra es importante para dichas comunidades por su relación espiritual y cosmogónica con el territorio, además es la base de su subsistencia. En ninguno de estos </w:t>
      </w:r>
      <w:proofErr w:type="gramStart"/>
      <w:r w:rsidRPr="0035101A">
        <w:rPr>
          <w:rStyle w:val="Fuentedeprrafopredeter1"/>
          <w:rFonts w:asciiTheme="majorBidi" w:eastAsia="DengXian" w:hAnsiTheme="majorBidi" w:cstheme="majorBidi"/>
          <w:color w:val="000000" w:themeColor="text1"/>
          <w:lang w:val="es-MX"/>
        </w:rPr>
        <w:t>desalojos  se</w:t>
      </w:r>
      <w:proofErr w:type="gramEnd"/>
      <w:r w:rsidRPr="0035101A">
        <w:rPr>
          <w:rStyle w:val="Fuentedeprrafopredeter1"/>
          <w:rFonts w:asciiTheme="majorBidi" w:eastAsia="DengXian" w:hAnsiTheme="majorBidi" w:cstheme="majorBidi"/>
          <w:color w:val="000000" w:themeColor="text1"/>
          <w:lang w:val="es-MX"/>
        </w:rPr>
        <w:t xml:space="preserve"> cumplieron los estándares internacionales sobre desalojos y desplazamiento forzado. Existe una fiscalía especializada contra los delitos de usurpación del Ministerio Público, encargada de impulsar los desalojos, quien desconoce la propiedad ancestral sobre la tierra de los pueblos indígenas.</w:t>
      </w:r>
    </w:p>
    <w:p w14:paraId="33ED2C0C" w14:textId="32F1FE85" w:rsidR="000276AD" w:rsidRPr="0035101A" w:rsidRDefault="005E2D38" w:rsidP="009E6CC1">
      <w:pPr>
        <w:spacing w:before="240" w:after="0"/>
        <w:jc w:val="both"/>
        <w:rPr>
          <w:rFonts w:asciiTheme="majorBidi" w:hAnsiTheme="majorBidi" w:cstheme="majorBidi"/>
          <w:color w:val="000000" w:themeColor="text1"/>
        </w:rPr>
      </w:pPr>
      <w:r w:rsidRPr="0035101A">
        <w:rPr>
          <w:rStyle w:val="Fuentedeprrafopredeter1"/>
          <w:rFonts w:asciiTheme="majorBidi" w:eastAsia="DengXian" w:hAnsiTheme="majorBidi" w:cstheme="majorBidi"/>
          <w:color w:val="000000" w:themeColor="text1"/>
          <w:lang w:val="es-MX"/>
        </w:rPr>
        <w:t xml:space="preserve">De acuerdo con el Relator Especial de las Naciones Unidas sobre una vivienda adecuada. </w:t>
      </w:r>
      <w:r w:rsidR="000276AD" w:rsidRPr="003E22A5">
        <w:rPr>
          <w:rStyle w:val="Fuentedeprrafopredeter1"/>
          <w:rFonts w:asciiTheme="majorBidi" w:eastAsia="DengXian" w:hAnsiTheme="majorBidi" w:cstheme="majorBidi"/>
          <w:i/>
          <w:iCs/>
          <w:color w:val="000000" w:themeColor="text1"/>
          <w:lang w:val="es-MX"/>
        </w:rPr>
        <w:t>“Los desalojos forzosos intensifican la desigualdad, los conflictos sociales, la segregación y la creación de guetos, que invariablemente afectan a los sectores de la sociedad más pobres, más vulnerables social y económicamente y a los marginados, especialmente a las mujeres, a los niños, a las minorías y a los pueblos indígenas”</w:t>
      </w:r>
      <w:r w:rsidR="000276AD" w:rsidRPr="0035101A">
        <w:rPr>
          <w:rStyle w:val="Fuentedeprrafopredeter1"/>
          <w:rFonts w:asciiTheme="majorBidi" w:eastAsia="DengXian" w:hAnsiTheme="majorBidi" w:cstheme="majorBidi"/>
          <w:color w:val="000000" w:themeColor="text1"/>
          <w:lang w:val="es-MX"/>
        </w:rPr>
        <w:t xml:space="preserve"> </w:t>
      </w:r>
      <w:r w:rsidRPr="0035101A">
        <w:rPr>
          <w:rStyle w:val="Refdenotaalpie"/>
          <w:rFonts w:asciiTheme="majorBidi" w:eastAsia="DengXian" w:hAnsiTheme="majorBidi" w:cstheme="majorBidi"/>
          <w:color w:val="000000" w:themeColor="text1"/>
          <w:lang w:val="es-MX"/>
        </w:rPr>
        <w:footnoteReference w:id="83"/>
      </w:r>
    </w:p>
    <w:p w14:paraId="5A591A35" w14:textId="72E4FA5C" w:rsidR="000276AD" w:rsidRPr="0035101A" w:rsidRDefault="000276AD" w:rsidP="005A43B2">
      <w:pPr>
        <w:spacing w:before="240"/>
        <w:jc w:val="both"/>
        <w:rPr>
          <w:rFonts w:asciiTheme="majorBidi" w:hAnsiTheme="majorBidi" w:cstheme="majorBidi"/>
          <w:color w:val="000000" w:themeColor="text1"/>
        </w:rPr>
      </w:pPr>
      <w:r w:rsidRPr="0035101A">
        <w:rPr>
          <w:rFonts w:asciiTheme="majorBidi" w:hAnsiTheme="majorBidi" w:cstheme="majorBidi"/>
          <w:color w:val="000000" w:themeColor="text1"/>
        </w:rPr>
        <w:t xml:space="preserve">Sin </w:t>
      </w:r>
      <w:proofErr w:type="gramStart"/>
      <w:r w:rsidRPr="0035101A">
        <w:rPr>
          <w:rFonts w:asciiTheme="majorBidi" w:hAnsiTheme="majorBidi" w:cstheme="majorBidi"/>
          <w:color w:val="000000" w:themeColor="text1"/>
        </w:rPr>
        <w:t>embargo</w:t>
      </w:r>
      <w:proofErr w:type="gramEnd"/>
      <w:r w:rsidRPr="0035101A">
        <w:rPr>
          <w:rFonts w:asciiTheme="majorBidi" w:hAnsiTheme="majorBidi" w:cstheme="majorBidi"/>
          <w:color w:val="000000" w:themeColor="text1"/>
        </w:rPr>
        <w:t xml:space="preserve"> </w:t>
      </w:r>
      <w:r w:rsidRPr="0035101A">
        <w:rPr>
          <w:rFonts w:asciiTheme="majorBidi" w:hAnsiTheme="majorBidi" w:cstheme="majorBidi"/>
          <w:i/>
          <w:iCs/>
          <w:color w:val="000000" w:themeColor="text1"/>
          <w:u w:val="single"/>
        </w:rPr>
        <w:t xml:space="preserve">estas recomendaciones no </w:t>
      </w:r>
      <w:proofErr w:type="gramStart"/>
      <w:r w:rsidRPr="0035101A">
        <w:rPr>
          <w:rFonts w:asciiTheme="majorBidi" w:hAnsiTheme="majorBidi" w:cstheme="majorBidi"/>
          <w:i/>
          <w:iCs/>
          <w:color w:val="000000" w:themeColor="text1"/>
          <w:u w:val="single"/>
        </w:rPr>
        <w:t>han  sido</w:t>
      </w:r>
      <w:proofErr w:type="gramEnd"/>
      <w:r w:rsidRPr="0035101A">
        <w:rPr>
          <w:rFonts w:asciiTheme="majorBidi" w:hAnsiTheme="majorBidi" w:cstheme="majorBidi"/>
          <w:i/>
          <w:iCs/>
          <w:color w:val="000000" w:themeColor="text1"/>
          <w:u w:val="single"/>
        </w:rPr>
        <w:t xml:space="preserve"> adoptadas por el Estado de Guatemala</w:t>
      </w:r>
      <w:r w:rsidRPr="0035101A">
        <w:rPr>
          <w:rFonts w:asciiTheme="majorBidi" w:hAnsiTheme="majorBidi" w:cstheme="majorBidi"/>
          <w:color w:val="000000" w:themeColor="text1"/>
        </w:rPr>
        <w:t xml:space="preserve">, a pesar de que del párrafo 200 al 203 el Estado manifiesta normas y protocolos basados en lineamientos internacionales, su sola existencia no son garante de que se cumplan dichos lineamientos y por lo </w:t>
      </w:r>
      <w:r w:rsidRPr="0035101A">
        <w:rPr>
          <w:rFonts w:asciiTheme="majorBidi" w:hAnsiTheme="majorBidi" w:cstheme="majorBidi"/>
          <w:color w:val="000000" w:themeColor="text1"/>
        </w:rPr>
        <w:lastRenderedPageBreak/>
        <w:t xml:space="preserve">tanto en acción de desalojo, se siguen cometiendo hechos que violentan la vida e integridad física de los habitantes. </w:t>
      </w:r>
    </w:p>
    <w:p w14:paraId="28DD015A" w14:textId="45DEAAD8" w:rsidR="000276AD" w:rsidRPr="0035101A" w:rsidRDefault="000276AD" w:rsidP="00643808">
      <w:pPr>
        <w:jc w:val="both"/>
        <w:rPr>
          <w:rFonts w:asciiTheme="majorBidi" w:hAnsiTheme="majorBidi" w:cstheme="majorBidi"/>
          <w:color w:val="000000" w:themeColor="text1"/>
        </w:rPr>
      </w:pPr>
      <w:r w:rsidRPr="0035101A">
        <w:rPr>
          <w:rStyle w:val="Fuentedeprrafopredeter1"/>
          <w:rFonts w:asciiTheme="majorBidi" w:eastAsia="DengXian" w:hAnsiTheme="majorBidi" w:cstheme="majorBidi"/>
          <w:color w:val="000000" w:themeColor="text1"/>
        </w:rPr>
        <w:t>Estos desalojos no han cumplido con los estándares internacionales en materia de desalojos forzosos, y los mismos violentan el derecho humano a una vivienda adecuada y a un nivel de vida adecuado, tal cual es reconocido dentro del Pacto Internacional de Derechos Económicos, Sociales y Culturales, los Estados Parte “reconocen el derecho de toda persona a un nivel de vida adecuado para sí y su familia, incluso alimentación, vestido y vivienda adecuados, y a una mejora continua de las condiciones de existencia”.  No se garantiza durante que las personas que están siendo desalojadas tengan la información adecuada sobre lo que está sucediendo, y tampoco un lugar para que sus viviendas sean trasladadas, así como tampoco se cuenta con garantías judiciales mínimas que permitan defender su derecho o establecer su situación real en cuanto al territorio que habitan, pues no se cuenta con la legislación adecuada.</w:t>
      </w:r>
    </w:p>
    <w:p w14:paraId="596BEF71" w14:textId="07E9AF43" w:rsidR="000276AD" w:rsidRPr="0035101A" w:rsidRDefault="000276AD" w:rsidP="00BA2BC3">
      <w:pPr>
        <w:jc w:val="both"/>
        <w:rPr>
          <w:rFonts w:asciiTheme="majorBidi" w:hAnsiTheme="majorBidi" w:cstheme="majorBidi"/>
          <w:color w:val="000000" w:themeColor="text1"/>
        </w:rPr>
      </w:pPr>
      <w:r w:rsidRPr="0035101A">
        <w:rPr>
          <w:rStyle w:val="Fuentedeprrafopredeter1"/>
          <w:rFonts w:asciiTheme="majorBidi" w:eastAsia="DengXian" w:hAnsiTheme="majorBidi" w:cstheme="majorBidi"/>
          <w:color w:val="000000" w:themeColor="text1"/>
        </w:rPr>
        <w:t xml:space="preserve">Según el informe de </w:t>
      </w:r>
      <w:r w:rsidR="005A43B2" w:rsidRPr="0035101A">
        <w:rPr>
          <w:rStyle w:val="Fuentedeprrafopredeter1"/>
          <w:rFonts w:asciiTheme="majorBidi" w:eastAsia="DengXian" w:hAnsiTheme="majorBidi" w:cstheme="majorBidi"/>
          <w:color w:val="000000" w:themeColor="text1"/>
        </w:rPr>
        <w:t>Situación de</w:t>
      </w:r>
      <w:r w:rsidRPr="0035101A">
        <w:rPr>
          <w:rStyle w:val="Fuentedeprrafopredeter1"/>
          <w:rFonts w:asciiTheme="majorBidi" w:eastAsia="DengXian" w:hAnsiTheme="majorBidi" w:cstheme="majorBidi"/>
          <w:color w:val="000000" w:themeColor="text1"/>
        </w:rPr>
        <w:t xml:space="preserve"> los Derechos Humanos en Guatemala, 2024 de la oficina del Alto Comisionado de las Naciones Unidas para los Derechos Humanos, los desalojos e intentos de desalojos afectaron los derechos de 524 familias, incluido el acceso a atención integral de la salud, al agua o </w:t>
      </w:r>
      <w:proofErr w:type="gramStart"/>
      <w:r w:rsidRPr="0035101A">
        <w:rPr>
          <w:rStyle w:val="Fuentedeprrafopredeter1"/>
          <w:rFonts w:asciiTheme="majorBidi" w:eastAsia="DengXian" w:hAnsiTheme="majorBidi" w:cstheme="majorBidi"/>
          <w:color w:val="000000" w:themeColor="text1"/>
        </w:rPr>
        <w:t>alimentos</w:t>
      </w:r>
      <w:proofErr w:type="gramEnd"/>
      <w:r w:rsidRPr="0035101A">
        <w:rPr>
          <w:rStyle w:val="Fuentedeprrafopredeter1"/>
          <w:rFonts w:asciiTheme="majorBidi" w:eastAsia="DengXian" w:hAnsiTheme="majorBidi" w:cstheme="majorBidi"/>
          <w:color w:val="000000" w:themeColor="text1"/>
        </w:rPr>
        <w:t xml:space="preserve"> así como a la posibilidad de un alto porcentaje de </w:t>
      </w:r>
      <w:proofErr w:type="gramStart"/>
      <w:r w:rsidRPr="0035101A">
        <w:rPr>
          <w:rStyle w:val="Fuentedeprrafopredeter1"/>
          <w:rFonts w:asciiTheme="majorBidi" w:eastAsia="DengXian" w:hAnsiTheme="majorBidi" w:cstheme="majorBidi"/>
          <w:color w:val="000000" w:themeColor="text1"/>
        </w:rPr>
        <w:t>niños y niñas</w:t>
      </w:r>
      <w:proofErr w:type="gramEnd"/>
      <w:r w:rsidRPr="0035101A">
        <w:rPr>
          <w:rStyle w:val="Fuentedeprrafopredeter1"/>
          <w:rFonts w:asciiTheme="majorBidi" w:eastAsia="DengXian" w:hAnsiTheme="majorBidi" w:cstheme="majorBidi"/>
          <w:color w:val="000000" w:themeColor="text1"/>
        </w:rPr>
        <w:t xml:space="preserve"> de acudir a la escuela e impactaron diferencialmente a las mujeres.  </w:t>
      </w:r>
    </w:p>
    <w:p w14:paraId="19776DC2" w14:textId="6E223355" w:rsidR="000276AD" w:rsidRPr="0035101A" w:rsidRDefault="000276AD" w:rsidP="00BA2BC3">
      <w:pPr>
        <w:jc w:val="both"/>
        <w:rPr>
          <w:rFonts w:asciiTheme="majorBidi" w:hAnsiTheme="majorBidi" w:cstheme="majorBidi"/>
          <w:color w:val="000000" w:themeColor="text1"/>
        </w:rPr>
      </w:pPr>
      <w:r w:rsidRPr="0035101A">
        <w:rPr>
          <w:rStyle w:val="Fuentedeprrafopredeter1"/>
          <w:rFonts w:asciiTheme="majorBidi" w:eastAsia="DengXian" w:hAnsiTheme="majorBidi" w:cstheme="majorBidi"/>
          <w:color w:val="000000" w:themeColor="text1"/>
        </w:rPr>
        <w:t xml:space="preserve">El </w:t>
      </w:r>
      <w:r w:rsidR="003E22A5">
        <w:rPr>
          <w:rStyle w:val="Fuentedeprrafopredeter1"/>
          <w:rFonts w:asciiTheme="majorBidi" w:eastAsia="DengXian" w:hAnsiTheme="majorBidi" w:cstheme="majorBidi"/>
          <w:color w:val="000000" w:themeColor="text1"/>
        </w:rPr>
        <w:t>OACNUDH</w:t>
      </w:r>
      <w:r w:rsidRPr="0035101A">
        <w:rPr>
          <w:rStyle w:val="Fuentedeprrafopredeter1"/>
          <w:rFonts w:asciiTheme="majorBidi" w:eastAsia="DengXian" w:hAnsiTheme="majorBidi" w:cstheme="majorBidi"/>
          <w:color w:val="000000" w:themeColor="text1"/>
        </w:rPr>
        <w:t xml:space="preserve"> documento dos desalojos para el 2024, dos amenazas de desalojos y dos desalojos extrajudiciales.  El Ministerio Público solicitó un total de 111 </w:t>
      </w:r>
      <w:r w:rsidR="00735B1F" w:rsidRPr="0035101A">
        <w:rPr>
          <w:rStyle w:val="Fuentedeprrafopredeter1"/>
          <w:rFonts w:asciiTheme="majorBidi" w:eastAsia="DengXian" w:hAnsiTheme="majorBidi" w:cstheme="majorBidi"/>
          <w:color w:val="000000" w:themeColor="text1"/>
        </w:rPr>
        <w:t>órdenes</w:t>
      </w:r>
      <w:r w:rsidRPr="0035101A">
        <w:rPr>
          <w:rStyle w:val="Fuentedeprrafopredeter1"/>
          <w:rFonts w:asciiTheme="majorBidi" w:eastAsia="DengXian" w:hAnsiTheme="majorBidi" w:cstheme="majorBidi"/>
          <w:color w:val="000000" w:themeColor="text1"/>
        </w:rPr>
        <w:t xml:space="preserve"> de desalojo.  Entre los desalojos extrajudiciales documentados destaca el caso de Aldea Chirrix Tzul Coban donde se documentaron violaciones sexuales en contra de mujeres indígenas, de las cuales una fue denuciada al MP.</w:t>
      </w:r>
    </w:p>
    <w:p w14:paraId="2B7775B1" w14:textId="0DF2D220" w:rsidR="000276AD" w:rsidRPr="0035101A" w:rsidRDefault="000276AD" w:rsidP="00BA2BC3">
      <w:pPr>
        <w:jc w:val="both"/>
        <w:rPr>
          <w:rFonts w:asciiTheme="majorBidi" w:hAnsiTheme="majorBidi" w:cstheme="majorBidi"/>
          <w:color w:val="000000" w:themeColor="text1"/>
        </w:rPr>
      </w:pPr>
      <w:r w:rsidRPr="0035101A">
        <w:rPr>
          <w:rStyle w:val="Fuentedeprrafopredeter1"/>
          <w:rFonts w:asciiTheme="majorBidi" w:eastAsia="DengXian" w:hAnsiTheme="majorBidi" w:cstheme="majorBidi"/>
          <w:color w:val="000000" w:themeColor="text1"/>
        </w:rPr>
        <w:t xml:space="preserve">Estos desalojos como hemos comentado </w:t>
      </w:r>
      <w:proofErr w:type="gramStart"/>
      <w:r w:rsidRPr="0035101A">
        <w:rPr>
          <w:rStyle w:val="Fuentedeprrafopredeter1"/>
          <w:rFonts w:asciiTheme="majorBidi" w:eastAsia="DengXian" w:hAnsiTheme="majorBidi" w:cstheme="majorBidi"/>
          <w:color w:val="000000" w:themeColor="text1"/>
        </w:rPr>
        <w:t>antes,  judiciales</w:t>
      </w:r>
      <w:proofErr w:type="gramEnd"/>
      <w:r w:rsidRPr="0035101A">
        <w:rPr>
          <w:rStyle w:val="Fuentedeprrafopredeter1"/>
          <w:rFonts w:asciiTheme="majorBidi" w:eastAsia="DengXian" w:hAnsiTheme="majorBidi" w:cstheme="majorBidi"/>
          <w:color w:val="000000" w:themeColor="text1"/>
        </w:rPr>
        <w:t xml:space="preserve"> y extrajudiciales violentan la integridad física y psicológica de los habitantes, rompiendo estructuras sociales, con afectaciones diferenciales que deben ser atendidas, cuando hablamos de la situación de vulnerabilidad de mujeres, niñez y de personas de la tercera edad.  Afecta también el mismo tejido y herencia </w:t>
      </w:r>
      <w:proofErr w:type="gramStart"/>
      <w:r w:rsidRPr="0035101A">
        <w:rPr>
          <w:rStyle w:val="Fuentedeprrafopredeter1"/>
          <w:rFonts w:asciiTheme="majorBidi" w:eastAsia="DengXian" w:hAnsiTheme="majorBidi" w:cstheme="majorBidi"/>
          <w:color w:val="000000" w:themeColor="text1"/>
        </w:rPr>
        <w:t>comunitaria,  pues</w:t>
      </w:r>
      <w:proofErr w:type="gramEnd"/>
      <w:r w:rsidRPr="0035101A">
        <w:rPr>
          <w:rStyle w:val="Fuentedeprrafopredeter1"/>
          <w:rFonts w:asciiTheme="majorBidi" w:eastAsia="DengXian" w:hAnsiTheme="majorBidi" w:cstheme="majorBidi"/>
          <w:color w:val="000000" w:themeColor="text1"/>
        </w:rPr>
        <w:t xml:space="preserve"> va más allá de la mera acción violenta del desalojo, pasando por la destrucción de vestimentas, viviendas, enceres, artículos de trabajo, y posterior desplazamiento forzoso del cual son víctimas sino además de la pérdida de relacionamiento familiar, de la cultura y del mismo idioma.  </w:t>
      </w:r>
    </w:p>
    <w:p w14:paraId="6B08D390" w14:textId="3A6B858B" w:rsidR="000276AD" w:rsidRPr="0035101A" w:rsidRDefault="000276AD" w:rsidP="00643808">
      <w:pPr>
        <w:jc w:val="both"/>
        <w:rPr>
          <w:rStyle w:val="Fuentedeprrafopredeter1"/>
          <w:rFonts w:asciiTheme="majorBidi" w:eastAsia="DengXian" w:hAnsiTheme="majorBidi" w:cstheme="majorBidi"/>
          <w:color w:val="000000" w:themeColor="text1"/>
        </w:rPr>
      </w:pPr>
      <w:r w:rsidRPr="0035101A">
        <w:rPr>
          <w:rStyle w:val="Fuentedeprrafopredeter1"/>
          <w:rFonts w:asciiTheme="majorBidi" w:eastAsia="DengXian" w:hAnsiTheme="majorBidi" w:cstheme="majorBidi"/>
          <w:color w:val="000000" w:themeColor="text1"/>
        </w:rPr>
        <w:t xml:space="preserve">Así mismo, estas acciones de desalojo dejan en manifiesto que el estado no está reconociendo el derecho a la seguridad personal y a la protección del Estado contra todo acto de violencia o atentado contra la integridad personal, tal y como lo establece el Artículo 5, literal </w:t>
      </w:r>
      <w:proofErr w:type="gramStart"/>
      <w:r w:rsidRPr="0035101A">
        <w:rPr>
          <w:rStyle w:val="Fuentedeprrafopredeter1"/>
          <w:rFonts w:asciiTheme="majorBidi" w:eastAsia="DengXian" w:hAnsiTheme="majorBidi" w:cstheme="majorBidi"/>
          <w:color w:val="000000" w:themeColor="text1"/>
        </w:rPr>
        <w:t>b)  de</w:t>
      </w:r>
      <w:proofErr w:type="gramEnd"/>
      <w:r w:rsidRPr="0035101A">
        <w:rPr>
          <w:rStyle w:val="Fuentedeprrafopredeter1"/>
          <w:rFonts w:asciiTheme="majorBidi" w:eastAsia="DengXian" w:hAnsiTheme="majorBidi" w:cstheme="majorBidi"/>
          <w:color w:val="000000" w:themeColor="text1"/>
        </w:rPr>
        <w:t xml:space="preserve"> la Convención Internacional sobre la eliminación de todas las formas de discriminación racial. </w:t>
      </w:r>
      <w:r w:rsidR="003A2CAC" w:rsidRPr="0035101A">
        <w:rPr>
          <w:rStyle w:val="Fuentedeprrafopredeter1"/>
          <w:rFonts w:asciiTheme="majorBidi" w:eastAsia="DengXian" w:hAnsiTheme="majorBidi" w:cstheme="majorBidi"/>
          <w:color w:val="000000" w:themeColor="text1"/>
        </w:rPr>
        <w:t>Traemos al Comité algunos casos de preocupación:</w:t>
      </w:r>
    </w:p>
    <w:p w14:paraId="718F8EDC" w14:textId="54CD26D4" w:rsidR="003A2CAC" w:rsidRPr="0035101A" w:rsidRDefault="00902504" w:rsidP="00197C3D">
      <w:pPr>
        <w:pStyle w:val="Prrafodelista"/>
        <w:numPr>
          <w:ilvl w:val="0"/>
          <w:numId w:val="9"/>
        </w:numPr>
        <w:jc w:val="both"/>
        <w:rPr>
          <w:rStyle w:val="Fuentedeprrafopredeter1"/>
          <w:rFonts w:asciiTheme="majorBidi" w:hAnsiTheme="majorBidi" w:cstheme="majorBidi"/>
          <w:color w:val="000000" w:themeColor="text1"/>
        </w:rPr>
      </w:pPr>
      <w:r w:rsidRPr="0035101A">
        <w:rPr>
          <w:rStyle w:val="Fuentedeprrafopredeter1"/>
          <w:rFonts w:asciiTheme="majorBidi" w:hAnsiTheme="majorBidi" w:cstheme="majorBidi"/>
          <w:b/>
          <w:bCs/>
          <w:color w:val="000000" w:themeColor="text1"/>
        </w:rPr>
        <w:t xml:space="preserve">Caso </w:t>
      </w:r>
      <w:r w:rsidR="003A2CAC" w:rsidRPr="0035101A">
        <w:rPr>
          <w:rStyle w:val="Fuentedeprrafopredeter1"/>
          <w:rFonts w:asciiTheme="majorBidi" w:hAnsiTheme="majorBidi" w:cstheme="majorBidi"/>
          <w:b/>
          <w:bCs/>
          <w:color w:val="000000" w:themeColor="text1"/>
        </w:rPr>
        <w:t xml:space="preserve">Comunidades de la Sierra Lacandón y Laguna del </w:t>
      </w:r>
      <w:proofErr w:type="gramStart"/>
      <w:r w:rsidR="003A2CAC" w:rsidRPr="0035101A">
        <w:rPr>
          <w:rStyle w:val="Fuentedeprrafopredeter1"/>
          <w:rFonts w:asciiTheme="majorBidi" w:hAnsiTheme="majorBidi" w:cstheme="majorBidi"/>
          <w:b/>
          <w:bCs/>
          <w:color w:val="000000" w:themeColor="text1"/>
        </w:rPr>
        <w:t>Tigre</w:t>
      </w:r>
      <w:r w:rsidR="0035101A">
        <w:rPr>
          <w:rStyle w:val="Fuentedeprrafopredeter1"/>
          <w:rFonts w:asciiTheme="majorBidi" w:hAnsiTheme="majorBidi" w:cstheme="majorBidi"/>
          <w:b/>
          <w:bCs/>
          <w:color w:val="000000" w:themeColor="text1"/>
        </w:rPr>
        <w:t xml:space="preserve"> </w:t>
      </w:r>
      <w:r w:rsidR="003A2CAC" w:rsidRPr="0035101A">
        <w:rPr>
          <w:rStyle w:val="Fuentedeprrafopredeter1"/>
          <w:rFonts w:asciiTheme="majorBidi" w:hAnsiTheme="majorBidi" w:cstheme="majorBidi"/>
          <w:b/>
          <w:bCs/>
          <w:color w:val="000000" w:themeColor="text1"/>
        </w:rPr>
        <w:t>:</w:t>
      </w:r>
      <w:proofErr w:type="gramEnd"/>
    </w:p>
    <w:tbl>
      <w:tblPr>
        <w:tblStyle w:val="Tablaconcuadrcula"/>
        <w:tblW w:w="0" w:type="auto"/>
        <w:tblLook w:val="04A0" w:firstRow="1" w:lastRow="0" w:firstColumn="1" w:lastColumn="0" w:noHBand="0" w:noVBand="1"/>
      </w:tblPr>
      <w:tblGrid>
        <w:gridCol w:w="8828"/>
      </w:tblGrid>
      <w:tr w:rsidR="003A2CAC" w:rsidRPr="0035101A" w14:paraId="5785BBC5" w14:textId="77777777" w:rsidTr="003A2CAC">
        <w:tc>
          <w:tcPr>
            <w:tcW w:w="8828" w:type="dxa"/>
          </w:tcPr>
          <w:p w14:paraId="3F9523A8" w14:textId="4561E122" w:rsidR="003A2CAC" w:rsidRPr="0035101A" w:rsidRDefault="00EE3F93" w:rsidP="00A47EF4">
            <w:pPr>
              <w:tabs>
                <w:tab w:val="left" w:pos="1529"/>
              </w:tabs>
              <w:jc w:val="both"/>
              <w:rPr>
                <w:rFonts w:asciiTheme="majorBidi" w:hAnsiTheme="majorBidi" w:cstheme="majorBidi"/>
                <w:color w:val="000000" w:themeColor="text1"/>
              </w:rPr>
            </w:pPr>
            <w:r w:rsidRPr="0035101A">
              <w:rPr>
                <w:rFonts w:asciiTheme="majorBidi" w:hAnsiTheme="majorBidi" w:cstheme="majorBidi"/>
                <w:color w:val="000000" w:themeColor="text1"/>
              </w:rPr>
              <w:t xml:space="preserve">Más de 40 comunidades que habitan dentro de las áreas protegidas de la Sierra del Lacandón y Laguna del Tigre, ubicadas en los municipios de San Andrés, La Libertad y Las Cruces en el departamento de Petén, presentaron el </w:t>
            </w:r>
            <w:r w:rsidRPr="0035101A">
              <w:rPr>
                <w:rStyle w:val="Fuentedeprrafopredeter1"/>
                <w:rFonts w:asciiTheme="majorBidi" w:hAnsiTheme="majorBidi" w:cstheme="majorBidi"/>
                <w:color w:val="000000" w:themeColor="text1"/>
              </w:rPr>
              <w:t>28 de septiembre de 2016</w:t>
            </w:r>
            <w:r w:rsidRPr="0035101A">
              <w:rPr>
                <w:rFonts w:asciiTheme="majorBidi" w:hAnsiTheme="majorBidi" w:cstheme="majorBidi"/>
                <w:color w:val="000000" w:themeColor="text1"/>
              </w:rPr>
              <w:t xml:space="preserve"> una </w:t>
            </w:r>
            <w:r w:rsidR="00C11A24" w:rsidRPr="0035101A">
              <w:rPr>
                <w:rFonts w:asciiTheme="majorBidi" w:hAnsiTheme="majorBidi" w:cstheme="majorBidi"/>
                <w:i/>
                <w:iCs/>
                <w:color w:val="000000" w:themeColor="text1"/>
              </w:rPr>
              <w:t>“</w:t>
            </w:r>
            <w:r w:rsidRPr="0035101A">
              <w:rPr>
                <w:rFonts w:asciiTheme="majorBidi" w:hAnsiTheme="majorBidi" w:cstheme="majorBidi"/>
                <w:i/>
                <w:iCs/>
                <w:color w:val="000000" w:themeColor="text1"/>
              </w:rPr>
              <w:t>Propuesta Alternativa de Desarrollo Integral y Sostenible al Estado de Guatemala</w:t>
            </w:r>
            <w:r w:rsidR="00C11A24" w:rsidRPr="0035101A">
              <w:rPr>
                <w:rFonts w:asciiTheme="majorBidi" w:hAnsiTheme="majorBidi" w:cstheme="majorBidi"/>
                <w:i/>
                <w:iCs/>
                <w:color w:val="000000" w:themeColor="text1"/>
              </w:rPr>
              <w:t>”</w:t>
            </w:r>
            <w:r w:rsidRPr="0035101A">
              <w:rPr>
                <w:rFonts w:asciiTheme="majorBidi" w:hAnsiTheme="majorBidi" w:cstheme="majorBidi"/>
                <w:color w:val="000000" w:themeColor="text1"/>
              </w:rPr>
              <w:t>. Esta iniciativa busca garantizar su permanencia perpetua en armonía con la naturaleza, dentro de los territorios que —como afirman los propios habitantes— "son fuente de vida" para sus familias y comunidades</w:t>
            </w:r>
            <w:r w:rsidRPr="0035101A">
              <w:rPr>
                <w:rStyle w:val="Refdenotaalpie"/>
                <w:rFonts w:asciiTheme="majorBidi" w:hAnsiTheme="majorBidi" w:cstheme="majorBidi"/>
                <w:color w:val="000000" w:themeColor="text1"/>
                <w:sz w:val="22"/>
              </w:rPr>
              <w:footnoteReference w:id="84"/>
            </w:r>
            <w:r w:rsidRPr="0035101A">
              <w:rPr>
                <w:rFonts w:asciiTheme="majorBidi" w:hAnsiTheme="majorBidi" w:cstheme="majorBidi"/>
                <w:color w:val="000000" w:themeColor="text1"/>
              </w:rPr>
              <w:t>.</w:t>
            </w:r>
          </w:p>
        </w:tc>
      </w:tr>
    </w:tbl>
    <w:p w14:paraId="443F6DA5" w14:textId="139CB048" w:rsidR="000276AD" w:rsidRPr="0035101A" w:rsidRDefault="000276AD" w:rsidP="00A47EF4">
      <w:pPr>
        <w:tabs>
          <w:tab w:val="left" w:pos="1529"/>
        </w:tabs>
        <w:spacing w:before="240"/>
        <w:jc w:val="both"/>
        <w:rPr>
          <w:rFonts w:asciiTheme="majorBidi" w:hAnsiTheme="majorBidi" w:cstheme="majorBidi"/>
          <w:color w:val="000000" w:themeColor="text1"/>
        </w:rPr>
      </w:pPr>
      <w:r w:rsidRPr="0035101A">
        <w:rPr>
          <w:rFonts w:asciiTheme="majorBidi" w:hAnsiTheme="majorBidi" w:cstheme="majorBidi"/>
          <w:color w:val="000000" w:themeColor="text1"/>
        </w:rPr>
        <w:lastRenderedPageBreak/>
        <w:t xml:space="preserve">Esta propuesta surge como respuesta a una </w:t>
      </w:r>
      <w:r w:rsidRPr="0035101A">
        <w:rPr>
          <w:rStyle w:val="Fuentedeprrafopredeter1"/>
          <w:rFonts w:asciiTheme="majorBidi" w:hAnsiTheme="majorBidi" w:cstheme="majorBidi"/>
          <w:color w:val="000000" w:themeColor="text1"/>
        </w:rPr>
        <w:t>problemática estructural derivada de la declaración de áreas protegidas sobre extensas zonas donde dichas comunidades se han asentado históricamente.</w:t>
      </w:r>
      <w:r w:rsidRPr="0035101A">
        <w:rPr>
          <w:rFonts w:asciiTheme="majorBidi" w:hAnsiTheme="majorBidi" w:cstheme="majorBidi"/>
          <w:color w:val="000000" w:themeColor="text1"/>
        </w:rPr>
        <w:t xml:space="preserve"> Estas declaratorias fueron realizadas sin procesos de consulta libre, previa e informada, lo cual constituye una violación a los derechos fundamentales reconocidos tanto en el marco jurídico nacional como en instrumentos internacionales de derechos humanos y de pueblos indígenas.</w:t>
      </w:r>
    </w:p>
    <w:p w14:paraId="47E5E675" w14:textId="7DE84676" w:rsidR="000276AD" w:rsidRPr="0035101A" w:rsidRDefault="000276AD" w:rsidP="00BA2BC3">
      <w:pPr>
        <w:tabs>
          <w:tab w:val="left" w:pos="1529"/>
        </w:tabs>
        <w:jc w:val="both"/>
        <w:rPr>
          <w:rStyle w:val="Fuentedeprrafopredeter1"/>
          <w:rFonts w:asciiTheme="majorBidi" w:hAnsiTheme="majorBidi" w:cstheme="majorBidi"/>
          <w:color w:val="000000" w:themeColor="text1"/>
        </w:rPr>
      </w:pPr>
      <w:r w:rsidRPr="0035101A">
        <w:rPr>
          <w:rFonts w:asciiTheme="majorBidi" w:hAnsiTheme="majorBidi" w:cstheme="majorBidi"/>
          <w:color w:val="000000" w:themeColor="text1"/>
        </w:rPr>
        <w:t>Muchas de estas comunidades llegaron a la región como consecuencia de políticas estatales de colonización impulsadas en décadas anteriores, motivadas por la falta de acceso a la tierra, la desigual distribución de la propiedad agraria y los desplazamientos forzados generados por el Conflicto Armado Interno. Sin embargo, con el tiempo, sus territorios se vieron afectados por la imposición de figuras legales de conservación ambiental que desconocieron sus derechos de posesión y permanencia, generando inseguridad jurídica, criminalización, y una constante amenaza de desalojo forzoso.</w:t>
      </w:r>
    </w:p>
    <w:p w14:paraId="408C0B4E" w14:textId="34AED9F7" w:rsidR="000276AD" w:rsidRPr="0035101A" w:rsidRDefault="000276AD" w:rsidP="009E276D">
      <w:pPr>
        <w:tabs>
          <w:tab w:val="left" w:pos="1529"/>
        </w:tabs>
        <w:jc w:val="both"/>
        <w:rPr>
          <w:rFonts w:asciiTheme="majorBidi" w:hAnsiTheme="majorBidi" w:cstheme="majorBidi"/>
          <w:color w:val="000000" w:themeColor="text1"/>
        </w:rPr>
      </w:pPr>
      <w:r w:rsidRPr="0035101A">
        <w:rPr>
          <w:rStyle w:val="Fuentedeprrafopredeter1"/>
          <w:rFonts w:asciiTheme="majorBidi" w:hAnsiTheme="majorBidi" w:cstheme="majorBidi"/>
          <w:color w:val="000000" w:themeColor="text1"/>
        </w:rPr>
        <w:t xml:space="preserve">La propuesta no fue avalada por el </w:t>
      </w:r>
      <w:proofErr w:type="gramStart"/>
      <w:r w:rsidRPr="0035101A">
        <w:rPr>
          <w:rStyle w:val="Fuentedeprrafopredeter1"/>
          <w:rFonts w:asciiTheme="majorBidi" w:hAnsiTheme="majorBidi" w:cstheme="majorBidi"/>
          <w:color w:val="000000" w:themeColor="text1"/>
        </w:rPr>
        <w:t>Estado</w:t>
      </w:r>
      <w:proofErr w:type="gramEnd"/>
      <w:r w:rsidRPr="0035101A">
        <w:rPr>
          <w:rStyle w:val="Fuentedeprrafopredeter1"/>
          <w:rFonts w:asciiTheme="majorBidi" w:hAnsiTheme="majorBidi" w:cstheme="majorBidi"/>
          <w:color w:val="000000" w:themeColor="text1"/>
        </w:rPr>
        <w:t xml:space="preserve"> pero presentaba una alternativa como una forma de aliviar la discriminación contra las comunidades indígenas y campesinas que ocupan el territorio de áreas declaradas como protegidas</w:t>
      </w:r>
      <w:r w:rsidR="00BD25F6" w:rsidRPr="0035101A">
        <w:rPr>
          <w:rStyle w:val="Fuentedeprrafopredeter1"/>
          <w:rFonts w:asciiTheme="majorBidi" w:hAnsiTheme="majorBidi" w:cstheme="majorBidi"/>
          <w:color w:val="000000" w:themeColor="text1"/>
        </w:rPr>
        <w:t>.</w:t>
      </w:r>
    </w:p>
    <w:p w14:paraId="01AB3F6F" w14:textId="4D7E60ED" w:rsidR="000276AD" w:rsidRPr="0035101A" w:rsidRDefault="00BD25F6" w:rsidP="00A47EF4">
      <w:pPr>
        <w:tabs>
          <w:tab w:val="left" w:pos="1529"/>
        </w:tabs>
        <w:jc w:val="both"/>
        <w:rPr>
          <w:rFonts w:asciiTheme="majorBidi" w:hAnsiTheme="majorBidi" w:cstheme="majorBidi"/>
          <w:color w:val="000000" w:themeColor="text1"/>
        </w:rPr>
      </w:pPr>
      <w:r w:rsidRPr="0035101A">
        <w:rPr>
          <w:rFonts w:asciiTheme="majorBidi" w:hAnsiTheme="majorBidi" w:cstheme="majorBidi"/>
          <w:color w:val="000000" w:themeColor="text1"/>
        </w:rPr>
        <w:t xml:space="preserve">Dicha </w:t>
      </w:r>
      <w:r w:rsidR="000276AD" w:rsidRPr="0035101A">
        <w:rPr>
          <w:rFonts w:asciiTheme="majorBidi" w:hAnsiTheme="majorBidi" w:cstheme="majorBidi"/>
          <w:color w:val="000000" w:themeColor="text1"/>
        </w:rPr>
        <w:t>propuesta de las comunidades peteneras se alinea con varios de los principios y exhortaciones claves de la Recomendación Nº 23</w:t>
      </w:r>
      <w:r w:rsidR="00A47EF4" w:rsidRPr="0035101A">
        <w:rPr>
          <w:rFonts w:asciiTheme="majorBidi" w:hAnsiTheme="majorBidi" w:cstheme="majorBidi"/>
          <w:color w:val="000000" w:themeColor="text1"/>
        </w:rPr>
        <w:t xml:space="preserve"> DEL Comité </w:t>
      </w:r>
      <w:r w:rsidR="000276AD" w:rsidRPr="0035101A">
        <w:rPr>
          <w:rStyle w:val="Refdenotaalpie"/>
          <w:rFonts w:asciiTheme="majorBidi" w:hAnsiTheme="majorBidi" w:cstheme="majorBidi"/>
          <w:color w:val="000000" w:themeColor="text1"/>
          <w:sz w:val="22"/>
        </w:rPr>
        <w:footnoteReference w:id="85"/>
      </w:r>
      <w:r w:rsidR="00763788" w:rsidRPr="0035101A">
        <w:rPr>
          <w:rFonts w:asciiTheme="majorBidi" w:hAnsiTheme="majorBidi" w:cstheme="majorBidi"/>
          <w:color w:val="000000" w:themeColor="text1"/>
        </w:rPr>
        <w:t>. F</w:t>
      </w:r>
      <w:r w:rsidR="000276AD" w:rsidRPr="0035101A">
        <w:rPr>
          <w:rFonts w:asciiTheme="majorBidi" w:hAnsiTheme="majorBidi" w:cstheme="majorBidi"/>
          <w:color w:val="000000" w:themeColor="text1"/>
        </w:rPr>
        <w:t>rente a esta normativa internacional, el documento comunitario no solo actúa como un reclamo de justicia territorial, sino también como una propuesta constructiva y propositiva que plantea un modelo de conservación inclusiva y participativa, donde el ser humano y la naturaleza conviven en equilibrio. Las comunidades ofrecen su conocimiento, experiencia y compromiso con la sostenibilidad como elemento fundamental para una nueva política de protección ambiental con enfoque de derechos humanos, en plena consonancia con lo que el CERD ha instado a los Estados Parte de la Convención a garantizar.</w:t>
      </w:r>
    </w:p>
    <w:p w14:paraId="4F0A22DC" w14:textId="4A1A9E30" w:rsidR="000276AD" w:rsidRPr="0035101A" w:rsidRDefault="00747C68" w:rsidP="00197C3D">
      <w:pPr>
        <w:pStyle w:val="Prrafodelista"/>
        <w:numPr>
          <w:ilvl w:val="0"/>
          <w:numId w:val="9"/>
        </w:numPr>
        <w:suppressAutoHyphens/>
        <w:jc w:val="both"/>
        <w:rPr>
          <w:rStyle w:val="Fuentedeprrafopredeter1"/>
          <w:rFonts w:asciiTheme="majorBidi" w:hAnsiTheme="majorBidi" w:cstheme="majorBidi"/>
          <w:b/>
          <w:bCs/>
          <w:color w:val="000000" w:themeColor="text1"/>
          <w:lang w:val="es-ES"/>
        </w:rPr>
      </w:pPr>
      <w:r w:rsidRPr="0035101A">
        <w:rPr>
          <w:rStyle w:val="Fuentedeprrafopredeter1"/>
          <w:rFonts w:asciiTheme="majorBidi" w:hAnsiTheme="majorBidi" w:cstheme="majorBidi"/>
          <w:b/>
          <w:bCs/>
          <w:color w:val="000000" w:themeColor="text1"/>
          <w:lang w:val="es-ES"/>
        </w:rPr>
        <w:t>Caso de Laguna Larga</w:t>
      </w:r>
      <w:r w:rsidR="00517AFD">
        <w:rPr>
          <w:rStyle w:val="Fuentedeprrafopredeter1"/>
          <w:rFonts w:asciiTheme="majorBidi" w:hAnsiTheme="majorBidi" w:cstheme="majorBidi"/>
          <w:b/>
          <w:bCs/>
          <w:color w:val="000000" w:themeColor="text1"/>
          <w:lang w:val="es-ES"/>
        </w:rPr>
        <w:t xml:space="preserve"> (Ver detalle de caso</w:t>
      </w:r>
      <w:r w:rsidR="00D053E9">
        <w:rPr>
          <w:rStyle w:val="Fuentedeprrafopredeter1"/>
          <w:rFonts w:asciiTheme="majorBidi" w:hAnsiTheme="majorBidi" w:cstheme="majorBidi"/>
          <w:b/>
          <w:bCs/>
          <w:color w:val="000000" w:themeColor="text1"/>
          <w:lang w:val="es-ES"/>
        </w:rPr>
        <w:t xml:space="preserve"> 4.1.</w:t>
      </w:r>
      <w:r w:rsidR="00517AFD">
        <w:rPr>
          <w:rStyle w:val="Fuentedeprrafopredeter1"/>
          <w:rFonts w:asciiTheme="majorBidi" w:hAnsiTheme="majorBidi" w:cstheme="majorBidi"/>
          <w:b/>
          <w:bCs/>
          <w:color w:val="000000" w:themeColor="text1"/>
          <w:lang w:val="es-ES"/>
        </w:rPr>
        <w:t>)</w:t>
      </w:r>
      <w:r w:rsidR="000276AD" w:rsidRPr="0035101A">
        <w:rPr>
          <w:rStyle w:val="Fuentedeprrafopredeter1"/>
          <w:rFonts w:asciiTheme="majorBidi" w:hAnsiTheme="majorBidi" w:cstheme="majorBidi"/>
          <w:b/>
          <w:bCs/>
          <w:color w:val="000000" w:themeColor="text1"/>
          <w:lang w:val="es-ES"/>
        </w:rPr>
        <w:t>:</w:t>
      </w:r>
    </w:p>
    <w:tbl>
      <w:tblPr>
        <w:tblStyle w:val="Tablaconcuadrcula"/>
        <w:tblW w:w="0" w:type="auto"/>
        <w:tblLook w:val="04A0" w:firstRow="1" w:lastRow="0" w:firstColumn="1" w:lastColumn="0" w:noHBand="0" w:noVBand="1"/>
      </w:tblPr>
      <w:tblGrid>
        <w:gridCol w:w="8828"/>
      </w:tblGrid>
      <w:tr w:rsidR="00365A48" w:rsidRPr="0035101A" w14:paraId="6BD3105B" w14:textId="77777777" w:rsidTr="00365A48">
        <w:tc>
          <w:tcPr>
            <w:tcW w:w="8828" w:type="dxa"/>
          </w:tcPr>
          <w:p w14:paraId="165F9490" w14:textId="71412BD5" w:rsidR="00365A48" w:rsidRPr="0035101A" w:rsidRDefault="00747C68" w:rsidP="00643808">
            <w:pPr>
              <w:jc w:val="both"/>
              <w:rPr>
                <w:rStyle w:val="Fuentedeprrafopredeter1"/>
                <w:rFonts w:asciiTheme="majorBidi" w:hAnsiTheme="majorBidi" w:cstheme="majorBidi"/>
                <w:color w:val="000000" w:themeColor="text1"/>
                <w:lang w:val="es-ES"/>
              </w:rPr>
            </w:pPr>
            <w:r w:rsidRPr="0035101A">
              <w:rPr>
                <w:rStyle w:val="Fuentedeprrafopredeter1"/>
                <w:rFonts w:asciiTheme="majorBidi" w:hAnsiTheme="majorBidi" w:cstheme="majorBidi"/>
                <w:color w:val="000000" w:themeColor="text1"/>
                <w:lang w:val="es-ES"/>
              </w:rPr>
              <w:t xml:space="preserve">El caso del desalojo forzoso de la comunidad Laguna Larga, ocurrido el 2 de junio de 2017, refleja un patrón estructural de desplazamientos internos en Guatemala bajo políticas estatales de protección ambiental que ignoran los derechos territoriales y la autodeterminación de pueblos indígenas y campesinos. A pesar de que la Comisión Interamericana de Derechos Humanos otorgó medidas cautelares en septiembre de 2017 y la Corte de Constitucionalidad emitió una sentencia en 2021 ordenando al </w:t>
            </w:r>
            <w:proofErr w:type="gramStart"/>
            <w:r w:rsidRPr="0035101A">
              <w:rPr>
                <w:rStyle w:val="Fuentedeprrafopredeter1"/>
                <w:rFonts w:asciiTheme="majorBidi" w:hAnsiTheme="majorBidi" w:cstheme="majorBidi"/>
                <w:color w:val="000000" w:themeColor="text1"/>
                <w:lang w:val="es-ES"/>
              </w:rPr>
              <w:t>Presidente</w:t>
            </w:r>
            <w:proofErr w:type="gramEnd"/>
            <w:r w:rsidRPr="0035101A">
              <w:rPr>
                <w:rStyle w:val="Fuentedeprrafopredeter1"/>
                <w:rFonts w:asciiTheme="majorBidi" w:hAnsiTheme="majorBidi" w:cstheme="majorBidi"/>
                <w:color w:val="000000" w:themeColor="text1"/>
                <w:lang w:val="es-ES"/>
              </w:rPr>
              <w:t xml:space="preserve"> y su Consejo de </w:t>
            </w:r>
            <w:proofErr w:type="gramStart"/>
            <w:r w:rsidRPr="0035101A">
              <w:rPr>
                <w:rStyle w:val="Fuentedeprrafopredeter1"/>
                <w:rFonts w:asciiTheme="majorBidi" w:hAnsiTheme="majorBidi" w:cstheme="majorBidi"/>
                <w:color w:val="000000" w:themeColor="text1"/>
                <w:lang w:val="es-ES"/>
              </w:rPr>
              <w:t>Ministros</w:t>
            </w:r>
            <w:proofErr w:type="gramEnd"/>
            <w:r w:rsidRPr="0035101A">
              <w:rPr>
                <w:rStyle w:val="Fuentedeprrafopredeter1"/>
                <w:rFonts w:asciiTheme="majorBidi" w:hAnsiTheme="majorBidi" w:cstheme="majorBidi"/>
                <w:color w:val="000000" w:themeColor="text1"/>
                <w:lang w:val="es-ES"/>
              </w:rPr>
              <w:t xml:space="preserve"> implementar soluciones con un mecanismo de supervisión judicial innovador, el Estado de Guatemala ha incumplido sus obligaciones. Cinco años después, la comunidad continúa enfrentando una grave crisis humanitaria, sin acceso adecuado a vivienda, salud, educación ni condiciones dignas, mientras el despojo de tierras en nombre del medio ambiente perpetúa su exclusión, vulnerabilidad y la violación sistemática de sus derechos fundamentales</w:t>
            </w:r>
            <w:r w:rsidR="00FC0247" w:rsidRPr="0035101A">
              <w:rPr>
                <w:rStyle w:val="Fuentedeprrafopredeter1"/>
                <w:rFonts w:asciiTheme="majorBidi" w:hAnsiTheme="majorBidi" w:cstheme="majorBidi"/>
                <w:color w:val="000000" w:themeColor="text1"/>
                <w:lang w:val="es-ES"/>
              </w:rPr>
              <w:t>. (</w:t>
            </w:r>
            <w:r w:rsidR="00FC0247" w:rsidRPr="0035101A">
              <w:rPr>
                <w:rStyle w:val="Fuentedeprrafopredeter1"/>
                <w:rFonts w:asciiTheme="majorBidi" w:hAnsiTheme="majorBidi" w:cstheme="majorBidi"/>
                <w:b/>
                <w:bCs/>
                <w:color w:val="000000" w:themeColor="text1"/>
                <w:lang w:val="es-ES"/>
              </w:rPr>
              <w:t>Ver detalle del caso en el ANEXO XX</w:t>
            </w:r>
            <w:r w:rsidR="00FC0247" w:rsidRPr="0035101A">
              <w:rPr>
                <w:rStyle w:val="Fuentedeprrafopredeter1"/>
                <w:rFonts w:asciiTheme="majorBidi" w:hAnsiTheme="majorBidi" w:cstheme="majorBidi"/>
                <w:color w:val="000000" w:themeColor="text1"/>
                <w:lang w:val="es-ES"/>
              </w:rPr>
              <w:t>)</w:t>
            </w:r>
          </w:p>
        </w:tc>
      </w:tr>
    </w:tbl>
    <w:p w14:paraId="2666409A" w14:textId="17BBBF7B" w:rsidR="00747C68" w:rsidRDefault="00747C68" w:rsidP="00FC0247">
      <w:pPr>
        <w:tabs>
          <w:tab w:val="left" w:pos="1529"/>
        </w:tabs>
        <w:spacing w:before="240"/>
        <w:jc w:val="both"/>
        <w:rPr>
          <w:rFonts w:asciiTheme="majorBidi" w:hAnsiTheme="majorBidi" w:cstheme="majorBidi"/>
          <w:color w:val="000000" w:themeColor="text1"/>
        </w:rPr>
      </w:pPr>
      <w:r w:rsidRPr="0035101A">
        <w:rPr>
          <w:rFonts w:asciiTheme="majorBidi" w:hAnsiTheme="majorBidi" w:cstheme="majorBidi"/>
          <w:color w:val="000000" w:themeColor="text1"/>
        </w:rPr>
        <w:t xml:space="preserve">Si bien los casos son previos al periodo que abarca este informe, la situación del caso sigue en las mismas condiciones, sin una mesa de </w:t>
      </w:r>
      <w:proofErr w:type="spellStart"/>
      <w:r w:rsidRPr="0035101A">
        <w:rPr>
          <w:rFonts w:asciiTheme="majorBidi" w:hAnsiTheme="majorBidi" w:cstheme="majorBidi"/>
          <w:color w:val="000000" w:themeColor="text1"/>
        </w:rPr>
        <w:t>dialogo</w:t>
      </w:r>
      <w:proofErr w:type="spellEnd"/>
      <w:r w:rsidRPr="0035101A">
        <w:rPr>
          <w:rFonts w:asciiTheme="majorBidi" w:hAnsiTheme="majorBidi" w:cstheme="majorBidi"/>
          <w:color w:val="000000" w:themeColor="text1"/>
        </w:rPr>
        <w:t xml:space="preserve"> clara que permita el avance en la búsqueda de una soluciones o acuerdos que reconozcan y </w:t>
      </w:r>
      <w:proofErr w:type="gramStart"/>
      <w:r w:rsidRPr="0035101A">
        <w:rPr>
          <w:rFonts w:asciiTheme="majorBidi" w:hAnsiTheme="majorBidi" w:cstheme="majorBidi"/>
          <w:color w:val="000000" w:themeColor="text1"/>
        </w:rPr>
        <w:t>protejan  los</w:t>
      </w:r>
      <w:proofErr w:type="gramEnd"/>
      <w:r w:rsidRPr="0035101A">
        <w:rPr>
          <w:rFonts w:asciiTheme="majorBidi" w:hAnsiTheme="majorBidi" w:cstheme="majorBidi"/>
          <w:color w:val="000000" w:themeColor="text1"/>
        </w:rPr>
        <w:t xml:space="preserve"> derechos de los pueblos indígenas sobre sus tierras, territorios y recursos comunales.     </w:t>
      </w:r>
    </w:p>
    <w:p w14:paraId="0B885664" w14:textId="77777777" w:rsidR="00AA79A9" w:rsidRDefault="00AA79A9" w:rsidP="00FC0247">
      <w:pPr>
        <w:tabs>
          <w:tab w:val="left" w:pos="1529"/>
        </w:tabs>
        <w:spacing w:before="240"/>
        <w:jc w:val="both"/>
        <w:rPr>
          <w:rFonts w:asciiTheme="majorBidi" w:hAnsiTheme="majorBidi" w:cstheme="majorBidi"/>
          <w:color w:val="000000" w:themeColor="text1"/>
        </w:rPr>
      </w:pPr>
    </w:p>
    <w:p w14:paraId="12E1A745" w14:textId="4079D455" w:rsidR="00A97B75" w:rsidRPr="00C46B5A" w:rsidRDefault="00C46B5A" w:rsidP="00E15877">
      <w:pPr>
        <w:pStyle w:val="Prrafodelista"/>
        <w:numPr>
          <w:ilvl w:val="2"/>
          <w:numId w:val="8"/>
        </w:numPr>
        <w:tabs>
          <w:tab w:val="left" w:pos="1529"/>
        </w:tabs>
        <w:spacing w:before="240"/>
        <w:jc w:val="both"/>
        <w:outlineLvl w:val="2"/>
        <w:rPr>
          <w:rFonts w:asciiTheme="majorBidi" w:hAnsiTheme="majorBidi" w:cstheme="majorBidi"/>
          <w:b/>
          <w:bCs/>
          <w:color w:val="000000" w:themeColor="text1"/>
        </w:rPr>
      </w:pPr>
      <w:bookmarkStart w:id="30" w:name="_Toc204264053"/>
      <w:r w:rsidRPr="00C46B5A">
        <w:rPr>
          <w:rFonts w:asciiTheme="majorBidi" w:hAnsiTheme="majorBidi" w:cstheme="majorBidi"/>
          <w:b/>
          <w:bCs/>
          <w:color w:val="000000" w:themeColor="text1"/>
        </w:rPr>
        <w:lastRenderedPageBreak/>
        <w:t>Criminalización en la defensa del territorio</w:t>
      </w:r>
      <w:bookmarkEnd w:id="30"/>
      <w:r w:rsidRPr="00C46B5A">
        <w:rPr>
          <w:rFonts w:asciiTheme="majorBidi" w:hAnsiTheme="majorBidi" w:cstheme="majorBidi"/>
          <w:b/>
          <w:bCs/>
          <w:color w:val="000000" w:themeColor="text1"/>
        </w:rPr>
        <w:t xml:space="preserve"> </w:t>
      </w:r>
    </w:p>
    <w:p w14:paraId="7E8423C3" w14:textId="77777777" w:rsidR="00C46B5A" w:rsidRDefault="00C46B5A" w:rsidP="00C46B5A">
      <w:pPr>
        <w:tabs>
          <w:tab w:val="left" w:pos="1529"/>
        </w:tabs>
        <w:spacing w:before="240"/>
        <w:jc w:val="both"/>
        <w:rPr>
          <w:rFonts w:asciiTheme="majorBidi" w:hAnsiTheme="majorBidi" w:cstheme="majorBidi"/>
          <w:color w:val="000000" w:themeColor="text1"/>
        </w:rPr>
      </w:pPr>
    </w:p>
    <w:p w14:paraId="5E772B5A" w14:textId="77777777" w:rsidR="00C46B5A" w:rsidRPr="00C46B5A" w:rsidRDefault="00C46B5A" w:rsidP="00C46B5A">
      <w:pPr>
        <w:tabs>
          <w:tab w:val="left" w:pos="1529"/>
        </w:tabs>
        <w:spacing w:before="240"/>
        <w:jc w:val="both"/>
        <w:rPr>
          <w:rFonts w:asciiTheme="majorBidi" w:hAnsiTheme="majorBidi" w:cstheme="majorBidi"/>
        </w:rPr>
      </w:pPr>
      <w:r w:rsidRPr="00C46B5A">
        <w:rPr>
          <w:rFonts w:asciiTheme="majorBidi" w:hAnsiTheme="majorBidi" w:cstheme="majorBidi"/>
        </w:rPr>
        <w:t>La región norte, habitada fundamentalmente por el pueblo Maya Q’eqchi’, es rica en recursos hídricos con un alto potencial de generación eléctrica. Desde hace décadas funcionan en esta región importantes hidroeléctricas, entre ellas la represa Chixoy, Palo Viejo 1 y 2 y los proyectos Oxec 1 y 2, sin embargo, en los departamentos de Petén, Alta Verapaz y el norte de El Quiché la cobertura eléctrica es menor al 80% según los datos del Ministerio de Energía y Minas</w:t>
      </w:r>
      <w:r w:rsidRPr="00C46B5A">
        <w:rPr>
          <w:rFonts w:asciiTheme="majorBidi" w:hAnsiTheme="majorBidi" w:cstheme="majorBidi"/>
          <w:vertAlign w:val="superscript"/>
        </w:rPr>
        <w:footnoteReference w:id="86"/>
      </w:r>
      <w:r w:rsidRPr="00C46B5A">
        <w:rPr>
          <w:rFonts w:asciiTheme="majorBidi" w:hAnsiTheme="majorBidi" w:cstheme="majorBidi"/>
        </w:rPr>
        <w:t xml:space="preserve">.  Estos proyectos han provocado desplazamiento de la población, alteración del cauce de los ríos y problemas de acceso al agua limpia para las comunidades.  </w:t>
      </w:r>
    </w:p>
    <w:p w14:paraId="1CC6F5B0" w14:textId="77777777" w:rsidR="00C46B5A" w:rsidRPr="00C46B5A" w:rsidRDefault="00C46B5A" w:rsidP="00C46B5A">
      <w:pPr>
        <w:tabs>
          <w:tab w:val="left" w:pos="1529"/>
        </w:tabs>
        <w:spacing w:before="240"/>
        <w:jc w:val="both"/>
        <w:rPr>
          <w:rFonts w:asciiTheme="majorBidi" w:hAnsiTheme="majorBidi" w:cstheme="majorBidi"/>
        </w:rPr>
      </w:pPr>
      <w:r w:rsidRPr="00C46B5A">
        <w:rPr>
          <w:rFonts w:asciiTheme="majorBidi" w:hAnsiTheme="majorBidi" w:cstheme="majorBidi"/>
        </w:rPr>
        <w:t xml:space="preserve">El Plan Indicativo de Generación Eléctrica 2024 -2054 del MEM menciona la construcción de 12 nuevas hidroeléctricas en la región norte. Entre los proyectos en fase de construcción o planeación están: Santa Rita, Raaxha e Icbolay sobre el río Dolores; Renace 1 y 2 en San Pedro Carcha; Oxec 3 en el municipio de Cahabón; en la Zona Reina Uspantán la empresa ENEL promueve los proyectos Cuatro Chorros, Bella Vista y Río Jute; así mismo contempla el megaproyecto Xalalá, sobre el río Chixoy, que inundaría tierras de cultivo de más de 60 comunidades en los municipios de Ixcán, Cobán y Uspantán.  Estos planes y políticas del gobierno violentan los derechos individuales y colectivos de las comunidades y ponen en riesgo nuestro derecho a la tierra, al agua, a la alimentación, a la vivienda y a decidir libremente qué tipo de desarrollo para las comunidades. </w:t>
      </w:r>
    </w:p>
    <w:p w14:paraId="17CC1A2F" w14:textId="12A7B074" w:rsidR="00C46B5A" w:rsidRPr="00C46B5A" w:rsidRDefault="00C46B5A" w:rsidP="00F676D6">
      <w:pPr>
        <w:tabs>
          <w:tab w:val="left" w:pos="1529"/>
        </w:tabs>
        <w:spacing w:before="240"/>
        <w:jc w:val="both"/>
        <w:rPr>
          <w:rFonts w:asciiTheme="majorBidi" w:hAnsiTheme="majorBidi" w:cstheme="majorBidi"/>
          <w:color w:val="EE0000"/>
        </w:rPr>
      </w:pPr>
      <w:r w:rsidRPr="00C46B5A">
        <w:rPr>
          <w:rFonts w:asciiTheme="majorBidi" w:hAnsiTheme="majorBidi" w:cstheme="majorBidi"/>
        </w:rPr>
        <w:t xml:space="preserve">Defender los derechos territoriales de </w:t>
      </w:r>
      <w:r w:rsidR="00EB09C1">
        <w:rPr>
          <w:rFonts w:asciiTheme="majorBidi" w:hAnsiTheme="majorBidi" w:cstheme="majorBidi"/>
        </w:rPr>
        <w:t>Pueblos Indígenas</w:t>
      </w:r>
      <w:r w:rsidRPr="00C46B5A">
        <w:rPr>
          <w:rFonts w:asciiTheme="majorBidi" w:hAnsiTheme="majorBidi" w:cstheme="majorBidi"/>
        </w:rPr>
        <w:t xml:space="preserve"> se ha convertido en un riesgo para autoridades indígenas y </w:t>
      </w:r>
      <w:r w:rsidR="00EB09C1">
        <w:rPr>
          <w:rFonts w:asciiTheme="majorBidi" w:hAnsiTheme="majorBidi" w:cstheme="majorBidi"/>
        </w:rPr>
        <w:t xml:space="preserve">personas </w:t>
      </w:r>
      <w:r w:rsidRPr="00C46B5A">
        <w:rPr>
          <w:rFonts w:asciiTheme="majorBidi" w:hAnsiTheme="majorBidi" w:cstheme="majorBidi"/>
        </w:rPr>
        <w:t>defens</w:t>
      </w:r>
      <w:r w:rsidR="00CB16A0">
        <w:rPr>
          <w:rFonts w:asciiTheme="majorBidi" w:hAnsiTheme="majorBidi" w:cstheme="majorBidi"/>
        </w:rPr>
        <w:t>o</w:t>
      </w:r>
      <w:r w:rsidRPr="00C46B5A">
        <w:rPr>
          <w:rFonts w:asciiTheme="majorBidi" w:hAnsiTheme="majorBidi" w:cstheme="majorBidi"/>
        </w:rPr>
        <w:t>r</w:t>
      </w:r>
      <w:r w:rsidR="00CB16A0">
        <w:rPr>
          <w:rFonts w:asciiTheme="majorBidi" w:hAnsiTheme="majorBidi" w:cstheme="majorBidi"/>
        </w:rPr>
        <w:t>a</w:t>
      </w:r>
      <w:r w:rsidRPr="00C46B5A">
        <w:rPr>
          <w:rFonts w:asciiTheme="majorBidi" w:hAnsiTheme="majorBidi" w:cstheme="majorBidi"/>
        </w:rPr>
        <w:t>s de derechos</w:t>
      </w:r>
      <w:r w:rsidR="009B0D6F">
        <w:rPr>
          <w:rFonts w:asciiTheme="majorBidi" w:hAnsiTheme="majorBidi" w:cstheme="majorBidi"/>
        </w:rPr>
        <w:t xml:space="preserve"> humanos</w:t>
      </w:r>
      <w:r w:rsidRPr="00C46B5A">
        <w:rPr>
          <w:rFonts w:asciiTheme="majorBidi" w:hAnsiTheme="majorBidi" w:cstheme="majorBidi"/>
        </w:rPr>
        <w:t xml:space="preserve">, al ser criminalizado por parte de las empresas </w:t>
      </w:r>
      <w:r w:rsidR="002F1BB1">
        <w:rPr>
          <w:rFonts w:asciiTheme="majorBidi" w:hAnsiTheme="majorBidi" w:cstheme="majorBidi"/>
        </w:rPr>
        <w:t>privadas</w:t>
      </w:r>
      <w:r w:rsidR="003431DD">
        <w:rPr>
          <w:rFonts w:asciiTheme="majorBidi" w:hAnsiTheme="majorBidi" w:cstheme="majorBidi"/>
        </w:rPr>
        <w:t>, tales como industrias extractivas o hidroeléctricas, sin garantizar el debido proceso y garantías judiciales</w:t>
      </w:r>
      <w:r w:rsidRPr="00C46B5A">
        <w:rPr>
          <w:rFonts w:asciiTheme="majorBidi" w:hAnsiTheme="majorBidi" w:cstheme="majorBidi"/>
        </w:rPr>
        <w:t xml:space="preserve">.  </w:t>
      </w:r>
      <w:r w:rsidR="003431DD">
        <w:rPr>
          <w:rFonts w:asciiTheme="majorBidi" w:hAnsiTheme="majorBidi" w:cstheme="majorBidi"/>
        </w:rPr>
        <w:t xml:space="preserve">Por ejemplo, </w:t>
      </w:r>
      <w:r w:rsidR="00F27949">
        <w:rPr>
          <w:rFonts w:asciiTheme="majorBidi" w:hAnsiTheme="majorBidi" w:cstheme="majorBidi"/>
        </w:rPr>
        <w:t xml:space="preserve">en el 2018, </w:t>
      </w:r>
      <w:r w:rsidRPr="00C46B5A">
        <w:rPr>
          <w:rFonts w:asciiTheme="majorBidi" w:hAnsiTheme="majorBidi" w:cstheme="majorBidi"/>
        </w:rPr>
        <w:t>el caso de Bernardo Caal fue</w:t>
      </w:r>
      <w:r w:rsidR="003431DD">
        <w:rPr>
          <w:rFonts w:asciiTheme="majorBidi" w:hAnsiTheme="majorBidi" w:cstheme="majorBidi"/>
        </w:rPr>
        <w:t xml:space="preserve"> privado de </w:t>
      </w:r>
      <w:r w:rsidR="004A1CEA" w:rsidRPr="002F0F2B">
        <w:rPr>
          <w:rFonts w:asciiTheme="majorBidi" w:hAnsiTheme="majorBidi" w:cstheme="majorBidi"/>
        </w:rPr>
        <w:t>libertad durante</w:t>
      </w:r>
      <w:r w:rsidRPr="00C46B5A">
        <w:rPr>
          <w:rFonts w:asciiTheme="majorBidi" w:hAnsiTheme="majorBidi" w:cstheme="majorBidi"/>
        </w:rPr>
        <w:t xml:space="preserve"> 4 años por defender los ríos Oxec y Cahabón</w:t>
      </w:r>
      <w:r w:rsidR="00F27949" w:rsidRPr="002F0F2B">
        <w:rPr>
          <w:rStyle w:val="Refdenotaalpie"/>
          <w:rFonts w:asciiTheme="majorBidi" w:hAnsiTheme="majorBidi"/>
        </w:rPr>
        <w:footnoteReference w:id="87"/>
      </w:r>
      <w:r w:rsidRPr="00C46B5A">
        <w:rPr>
          <w:rFonts w:asciiTheme="majorBidi" w:hAnsiTheme="majorBidi" w:cstheme="majorBidi"/>
        </w:rPr>
        <w:t xml:space="preserve">.  </w:t>
      </w:r>
      <w:r w:rsidR="007B5344">
        <w:rPr>
          <w:rFonts w:asciiTheme="majorBidi" w:hAnsiTheme="majorBidi" w:cstheme="majorBidi"/>
        </w:rPr>
        <w:t xml:space="preserve">Al respecto, las Relatorías </w:t>
      </w:r>
      <w:r w:rsidR="001E7EE1">
        <w:rPr>
          <w:rFonts w:asciiTheme="majorBidi" w:hAnsiTheme="majorBidi" w:cstheme="majorBidi"/>
        </w:rPr>
        <w:t>E</w:t>
      </w:r>
      <w:r w:rsidR="007B5344">
        <w:rPr>
          <w:rFonts w:asciiTheme="majorBidi" w:hAnsiTheme="majorBidi" w:cstheme="majorBidi"/>
        </w:rPr>
        <w:t xml:space="preserve">speciales de las </w:t>
      </w:r>
      <w:r w:rsidR="001E7EE1">
        <w:rPr>
          <w:rFonts w:asciiTheme="majorBidi" w:hAnsiTheme="majorBidi" w:cstheme="majorBidi"/>
        </w:rPr>
        <w:t>N</w:t>
      </w:r>
      <w:r w:rsidR="007B5344">
        <w:rPr>
          <w:rFonts w:asciiTheme="majorBidi" w:hAnsiTheme="majorBidi" w:cstheme="majorBidi"/>
        </w:rPr>
        <w:t xml:space="preserve">aciones </w:t>
      </w:r>
      <w:r w:rsidR="001E7EE1">
        <w:rPr>
          <w:rFonts w:asciiTheme="majorBidi" w:hAnsiTheme="majorBidi" w:cstheme="majorBidi"/>
        </w:rPr>
        <w:t>U</w:t>
      </w:r>
      <w:r w:rsidR="007B5344">
        <w:rPr>
          <w:rFonts w:asciiTheme="majorBidi" w:hAnsiTheme="majorBidi" w:cstheme="majorBidi"/>
        </w:rPr>
        <w:t>nidas</w:t>
      </w:r>
      <w:r w:rsidR="001E7EE1">
        <w:rPr>
          <w:rFonts w:asciiTheme="majorBidi" w:hAnsiTheme="majorBidi" w:cstheme="majorBidi"/>
        </w:rPr>
        <w:t xml:space="preserve">: </w:t>
      </w:r>
      <w:r w:rsidR="007B5344">
        <w:rPr>
          <w:rFonts w:asciiTheme="majorBidi" w:hAnsiTheme="majorBidi" w:cstheme="majorBidi"/>
        </w:rPr>
        <w:t xml:space="preserve"> </w:t>
      </w:r>
      <w:r w:rsidR="00F676D6" w:rsidRPr="00F676D6">
        <w:rPr>
          <w:rFonts w:asciiTheme="majorBidi" w:hAnsiTheme="majorBidi" w:cstheme="majorBidi"/>
        </w:rPr>
        <w:t>Grupo de Trabajo sobre la cuestión de los derechos humanos y las empresas transnacionales y otras empresas; del Relator Especial sobre la cuestión de las obligaciones de derechos humanos relacionadas con el disfrute de un medio ambiente sin riesgos, limpio, saludable y sostenible; del Relator Especial sobre la situación de los defensores de derechos humanos; de la Relatora Especial sobre los derechos de los pueblos indígenas; y del Relator Especial sobre los derechos humanos al agua potable y el saneamiento</w:t>
      </w:r>
      <w:r w:rsidR="001E7EE1">
        <w:rPr>
          <w:rFonts w:asciiTheme="majorBidi" w:hAnsiTheme="majorBidi" w:cstheme="majorBidi"/>
        </w:rPr>
        <w:t>,</w:t>
      </w:r>
      <w:r w:rsidR="00F676D6" w:rsidRPr="00F676D6">
        <w:rPr>
          <w:rFonts w:asciiTheme="majorBidi" w:hAnsiTheme="majorBidi" w:cstheme="majorBidi"/>
        </w:rPr>
        <w:t xml:space="preserve"> </w:t>
      </w:r>
      <w:r w:rsidR="007B5344">
        <w:rPr>
          <w:rFonts w:asciiTheme="majorBidi" w:hAnsiTheme="majorBidi" w:cstheme="majorBidi"/>
        </w:rPr>
        <w:t xml:space="preserve">expresaron su </w:t>
      </w:r>
      <w:r w:rsidR="007B5344" w:rsidRPr="007B5344">
        <w:rPr>
          <w:rFonts w:asciiTheme="majorBidi" w:hAnsiTheme="majorBidi" w:cstheme="majorBidi"/>
          <w:i/>
          <w:iCs/>
        </w:rPr>
        <w:t>“consternación por la intimidación, difamación y uso de procedimientos penales contra las personas indígenas en el marco de actividades empresariales</w:t>
      </w:r>
      <w:r w:rsidR="00F27949">
        <w:rPr>
          <w:rFonts w:asciiTheme="majorBidi" w:hAnsiTheme="majorBidi" w:cstheme="majorBidi"/>
          <w:i/>
          <w:iCs/>
        </w:rPr>
        <w:t xml:space="preserve">, </w:t>
      </w:r>
      <w:r w:rsidR="00F27949" w:rsidRPr="00F27949">
        <w:rPr>
          <w:rFonts w:asciiTheme="majorBidi" w:hAnsiTheme="majorBidi" w:cstheme="majorBidi"/>
          <w:i/>
          <w:iCs/>
        </w:rPr>
        <w:t>incluyendo de una empresa española</w:t>
      </w:r>
      <w:r w:rsidR="007B5344" w:rsidRPr="007B5344">
        <w:rPr>
          <w:rFonts w:asciiTheme="majorBidi" w:hAnsiTheme="majorBidi" w:cstheme="majorBidi"/>
          <w:i/>
          <w:iCs/>
        </w:rPr>
        <w:t>”</w:t>
      </w:r>
      <w:r w:rsidR="001E7EE1">
        <w:rPr>
          <w:rStyle w:val="Refdenotaalpie"/>
          <w:rFonts w:asciiTheme="majorBidi" w:hAnsiTheme="majorBidi"/>
          <w:i/>
          <w:iCs/>
        </w:rPr>
        <w:footnoteReference w:id="88"/>
      </w:r>
      <w:r w:rsidR="001E7EE1">
        <w:rPr>
          <w:rFonts w:asciiTheme="majorBidi" w:hAnsiTheme="majorBidi" w:cstheme="majorBidi"/>
          <w:i/>
          <w:iCs/>
        </w:rPr>
        <w:t>.</w:t>
      </w:r>
      <w:r w:rsidR="00AA04BF" w:rsidRPr="00AA04BF">
        <w:rPr>
          <w:rFonts w:asciiTheme="majorBidi" w:hAnsiTheme="majorBidi" w:cstheme="majorBidi"/>
        </w:rPr>
        <w:t xml:space="preserve"> </w:t>
      </w:r>
      <w:r w:rsidR="00AA04BF" w:rsidRPr="002F0F2B">
        <w:rPr>
          <w:rFonts w:asciiTheme="majorBidi" w:hAnsiTheme="majorBidi" w:cstheme="majorBidi"/>
        </w:rPr>
        <w:t>Actualmente, Bernardo continúa</w:t>
      </w:r>
      <w:r w:rsidR="00AA04BF">
        <w:rPr>
          <w:rFonts w:asciiTheme="majorBidi" w:hAnsiTheme="majorBidi" w:cstheme="majorBidi"/>
        </w:rPr>
        <w:t xml:space="preserve"> </w:t>
      </w:r>
      <w:r w:rsidR="00AA04BF" w:rsidRPr="00C46B5A">
        <w:rPr>
          <w:rFonts w:asciiTheme="majorBidi" w:hAnsiTheme="majorBidi" w:cstheme="majorBidi"/>
        </w:rPr>
        <w:t>criminalizado</w:t>
      </w:r>
      <w:r w:rsidR="004E5A70">
        <w:rPr>
          <w:rFonts w:asciiTheme="majorBidi" w:hAnsiTheme="majorBidi" w:cstheme="majorBidi"/>
        </w:rPr>
        <w:t xml:space="preserve">, </w:t>
      </w:r>
      <w:r w:rsidR="00CC44C1">
        <w:rPr>
          <w:rFonts w:asciiTheme="majorBidi" w:hAnsiTheme="majorBidi" w:cstheme="majorBidi"/>
        </w:rPr>
        <w:t>cuestionando</w:t>
      </w:r>
      <w:r w:rsidR="004E5A70">
        <w:rPr>
          <w:rFonts w:asciiTheme="majorBidi" w:hAnsiTheme="majorBidi" w:cstheme="majorBidi"/>
        </w:rPr>
        <w:t xml:space="preserve"> fuertemente el debido</w:t>
      </w:r>
      <w:r w:rsidR="00CC44C1">
        <w:rPr>
          <w:rFonts w:asciiTheme="majorBidi" w:hAnsiTheme="majorBidi" w:cstheme="majorBidi"/>
        </w:rPr>
        <w:t xml:space="preserve"> proceso</w:t>
      </w:r>
      <w:r w:rsidR="00F9710E">
        <w:rPr>
          <w:rFonts w:asciiTheme="majorBidi" w:hAnsiTheme="majorBidi" w:cstheme="majorBidi"/>
        </w:rPr>
        <w:t xml:space="preserve"> y garantías judiciales</w:t>
      </w:r>
      <w:r w:rsidR="004E5A70">
        <w:rPr>
          <w:rFonts w:asciiTheme="majorBidi" w:hAnsiTheme="majorBidi" w:cstheme="majorBidi"/>
        </w:rPr>
        <w:t xml:space="preserve"> en su caso</w:t>
      </w:r>
      <w:r w:rsidR="00F9710E">
        <w:rPr>
          <w:rFonts w:asciiTheme="majorBidi" w:hAnsiTheme="majorBidi" w:cstheme="majorBidi"/>
        </w:rPr>
        <w:t>.</w:t>
      </w:r>
      <w:r w:rsidR="004E5A70">
        <w:rPr>
          <w:rFonts w:asciiTheme="majorBidi" w:hAnsiTheme="majorBidi" w:cstheme="majorBidi"/>
        </w:rPr>
        <w:t xml:space="preserve"> </w:t>
      </w:r>
      <w:r w:rsidR="00F9710E">
        <w:rPr>
          <w:rFonts w:asciiTheme="majorBidi" w:hAnsiTheme="majorBidi" w:cstheme="majorBidi"/>
        </w:rPr>
        <w:t>S</w:t>
      </w:r>
      <w:r w:rsidR="004E5A70">
        <w:rPr>
          <w:rFonts w:asciiTheme="majorBidi" w:hAnsiTheme="majorBidi" w:cstheme="majorBidi"/>
        </w:rPr>
        <w:t xml:space="preserve">ituación que también fue </w:t>
      </w:r>
      <w:r w:rsidR="00F9710E">
        <w:rPr>
          <w:rFonts w:asciiTheme="majorBidi" w:hAnsiTheme="majorBidi" w:cstheme="majorBidi"/>
        </w:rPr>
        <w:t>externada a</w:t>
      </w:r>
      <w:r w:rsidR="004E5A70">
        <w:rPr>
          <w:rFonts w:asciiTheme="majorBidi" w:hAnsiTheme="majorBidi" w:cstheme="majorBidi"/>
        </w:rPr>
        <w:t xml:space="preserve">l Estado </w:t>
      </w:r>
      <w:r w:rsidR="00F9710E">
        <w:rPr>
          <w:rFonts w:asciiTheme="majorBidi" w:hAnsiTheme="majorBidi" w:cstheme="majorBidi"/>
        </w:rPr>
        <w:t>por las</w:t>
      </w:r>
      <w:r w:rsidR="004E5A70">
        <w:rPr>
          <w:rFonts w:asciiTheme="majorBidi" w:hAnsiTheme="majorBidi" w:cstheme="majorBidi"/>
        </w:rPr>
        <w:t xml:space="preserve"> Relatorías Especiales de las Naciones </w:t>
      </w:r>
      <w:r w:rsidR="00554DB9">
        <w:rPr>
          <w:rFonts w:asciiTheme="majorBidi" w:hAnsiTheme="majorBidi" w:cstheme="majorBidi"/>
        </w:rPr>
        <w:t>Unidas</w:t>
      </w:r>
      <w:r w:rsidR="00554DB9" w:rsidRPr="00C46B5A">
        <w:rPr>
          <w:rFonts w:asciiTheme="majorBidi" w:hAnsiTheme="majorBidi" w:cstheme="majorBidi"/>
        </w:rPr>
        <w:t xml:space="preserve"> en</w:t>
      </w:r>
      <w:r w:rsidR="00F9710E">
        <w:rPr>
          <w:rFonts w:asciiTheme="majorBidi" w:hAnsiTheme="majorBidi" w:cstheme="majorBidi"/>
        </w:rPr>
        <w:t xml:space="preserve"> comunicación del </w:t>
      </w:r>
      <w:r w:rsidR="00BA1400">
        <w:rPr>
          <w:rFonts w:asciiTheme="majorBidi" w:hAnsiTheme="majorBidi" w:cstheme="majorBidi"/>
        </w:rPr>
        <w:t>2021.</w:t>
      </w:r>
      <w:r w:rsidR="00BA1400">
        <w:rPr>
          <w:rStyle w:val="Refdenotaalpie"/>
          <w:rFonts w:asciiTheme="majorBidi" w:hAnsiTheme="majorBidi"/>
        </w:rPr>
        <w:footnoteReference w:id="89"/>
      </w:r>
    </w:p>
    <w:p w14:paraId="649AA924" w14:textId="3B6DE2DD" w:rsidR="00353383" w:rsidRPr="002D29B9" w:rsidRDefault="00C46B5A" w:rsidP="00353383">
      <w:pPr>
        <w:tabs>
          <w:tab w:val="left" w:pos="1529"/>
        </w:tabs>
        <w:spacing w:before="240"/>
        <w:jc w:val="both"/>
        <w:rPr>
          <w:rFonts w:asciiTheme="majorBidi" w:hAnsiTheme="majorBidi" w:cstheme="majorBidi"/>
        </w:rPr>
      </w:pPr>
      <w:r w:rsidRPr="00C46B5A">
        <w:rPr>
          <w:rFonts w:asciiTheme="majorBidi" w:hAnsiTheme="majorBidi" w:cstheme="majorBidi"/>
        </w:rPr>
        <w:lastRenderedPageBreak/>
        <w:t>Otro</w:t>
      </w:r>
      <w:r w:rsidR="00B207A9" w:rsidRPr="002D29B9">
        <w:rPr>
          <w:rFonts w:asciiTheme="majorBidi" w:hAnsiTheme="majorBidi" w:cstheme="majorBidi"/>
        </w:rPr>
        <w:t>s</w:t>
      </w:r>
      <w:r w:rsidRPr="00C46B5A">
        <w:rPr>
          <w:rFonts w:asciiTheme="majorBidi" w:hAnsiTheme="majorBidi" w:cstheme="majorBidi"/>
        </w:rPr>
        <w:t xml:space="preserve"> caso</w:t>
      </w:r>
      <w:r w:rsidR="00B207A9" w:rsidRPr="002D29B9">
        <w:rPr>
          <w:rFonts w:asciiTheme="majorBidi" w:hAnsiTheme="majorBidi" w:cstheme="majorBidi"/>
        </w:rPr>
        <w:t>s</w:t>
      </w:r>
      <w:r w:rsidRPr="00C46B5A">
        <w:rPr>
          <w:rFonts w:asciiTheme="majorBidi" w:hAnsiTheme="majorBidi" w:cstheme="majorBidi"/>
        </w:rPr>
        <w:t xml:space="preserve"> de criminalización </w:t>
      </w:r>
      <w:r w:rsidR="00B207A9" w:rsidRPr="002D29B9">
        <w:rPr>
          <w:rFonts w:asciiTheme="majorBidi" w:hAnsiTheme="majorBidi" w:cstheme="majorBidi"/>
        </w:rPr>
        <w:t xml:space="preserve">de personas </w:t>
      </w:r>
      <w:r w:rsidRPr="00C46B5A">
        <w:rPr>
          <w:rFonts w:asciiTheme="majorBidi" w:hAnsiTheme="majorBidi" w:cstheme="majorBidi"/>
        </w:rPr>
        <w:t xml:space="preserve">defensoras de </w:t>
      </w:r>
      <w:r w:rsidR="00B207A9" w:rsidRPr="002D29B9">
        <w:rPr>
          <w:rFonts w:asciiTheme="majorBidi" w:hAnsiTheme="majorBidi" w:cstheme="majorBidi"/>
        </w:rPr>
        <w:t>la tierra</w:t>
      </w:r>
      <w:r w:rsidRPr="00C46B5A">
        <w:rPr>
          <w:rFonts w:asciiTheme="majorBidi" w:hAnsiTheme="majorBidi" w:cstheme="majorBidi"/>
        </w:rPr>
        <w:t xml:space="preserve"> y autoridades indígenas son las acciones emprendidas por la empresa Generadora del Río Jute, S.A. la cual presentó denuncia penal por usurpación agravada en contra de 43 personas (mujeres y hombres) de comunidad San Juan Limonar, Zona Reina, Uspantán</w:t>
      </w:r>
      <w:r w:rsidR="0059509E" w:rsidRPr="002D29B9">
        <w:rPr>
          <w:rFonts w:asciiTheme="majorBidi" w:hAnsiTheme="majorBidi" w:cstheme="majorBidi"/>
        </w:rPr>
        <w:t>-Quiché</w:t>
      </w:r>
      <w:r w:rsidRPr="00C46B5A">
        <w:rPr>
          <w:rFonts w:asciiTheme="majorBidi" w:hAnsiTheme="majorBidi" w:cstheme="majorBidi"/>
        </w:rPr>
        <w:t>.</w:t>
      </w:r>
    </w:p>
    <w:p w14:paraId="066E914A" w14:textId="5878C4B4" w:rsidR="00C46B5A" w:rsidRPr="00C46B5A" w:rsidRDefault="00C46B5A" w:rsidP="00353383">
      <w:pPr>
        <w:tabs>
          <w:tab w:val="left" w:pos="1529"/>
        </w:tabs>
        <w:spacing w:before="240"/>
        <w:jc w:val="both"/>
        <w:rPr>
          <w:rFonts w:asciiTheme="majorBidi" w:hAnsiTheme="majorBidi" w:cstheme="majorBidi"/>
        </w:rPr>
      </w:pPr>
      <w:r w:rsidRPr="00C46B5A">
        <w:rPr>
          <w:rFonts w:asciiTheme="majorBidi" w:hAnsiTheme="majorBidi" w:cstheme="majorBidi"/>
        </w:rPr>
        <w:t xml:space="preserve">La Fiscalía Contra la Usurpación del Ministerio Público ha amenazado con desalojar a las 23 familias que han poseído históricamente las tierras donde la empresa quiere implementar su proyecto.  En su afán por construir la hidroeléctrica la empresa ha presentado 20 denuncias penales en contra de los comunitarios, una contra integrantes del Concejo Municipal y cuatro denuncias contra abogados que les han prestado servicios o asistido en la defensa técnica.  El 10 de diciembre 2024 el Fiscal del Ministerio Público de Nebaj acompañado por efectivos de la PNC que se transportaban en 10 vehículos intentaron llegar a la comunidad, supuestamente para detener a Carlos Tiul Max, autoridad indígena que ha representado a la comunidad en el litigio.  Las comunidades vecinas no les permitieron el paso.  </w:t>
      </w:r>
    </w:p>
    <w:p w14:paraId="5BD70023" w14:textId="79EB8C9E" w:rsidR="00C46B5A" w:rsidRPr="00DD23A8" w:rsidRDefault="00C46B5A" w:rsidP="00DD23A8">
      <w:pPr>
        <w:tabs>
          <w:tab w:val="left" w:pos="1529"/>
        </w:tabs>
        <w:spacing w:before="240"/>
        <w:jc w:val="both"/>
        <w:rPr>
          <w:rFonts w:asciiTheme="majorBidi" w:hAnsiTheme="majorBidi" w:cstheme="majorBidi"/>
        </w:rPr>
      </w:pPr>
      <w:r w:rsidRPr="00C46B5A">
        <w:rPr>
          <w:rFonts w:asciiTheme="majorBidi" w:hAnsiTheme="majorBidi" w:cstheme="majorBidi"/>
        </w:rPr>
        <w:t>El 24 de agosto de 2024 el señor Roberto Asturias, representante legal de la empresa Generadora del Río Jute, presentó una denuncia en contra de las licenciadas Carmela Curup Chajón y Olivia Sian Chávez, reconocidas defensoras de los derechos indígenas, en represalia por las acciones jurídicas a favor de la comunidad.  Así mismo ha realizado acciones de desprestigio y difamación discriminatoria en redes sociales, señalándolas de pertenecer a una estructura criminal</w:t>
      </w:r>
      <w:r w:rsidR="00971BDA" w:rsidRPr="002D29B9">
        <w:rPr>
          <w:rStyle w:val="Refdenotaalpie"/>
          <w:rFonts w:asciiTheme="majorBidi" w:hAnsiTheme="majorBidi"/>
        </w:rPr>
        <w:footnoteReference w:id="90"/>
      </w:r>
      <w:r w:rsidR="001B15A8">
        <w:rPr>
          <w:rFonts w:asciiTheme="majorBidi" w:hAnsiTheme="majorBidi" w:cstheme="majorBidi"/>
        </w:rPr>
        <w:t xml:space="preserve"> </w:t>
      </w:r>
      <w:r w:rsidR="001B15A8" w:rsidRPr="00BE720D">
        <w:rPr>
          <w:rFonts w:asciiTheme="majorBidi" w:hAnsiTheme="majorBidi" w:cstheme="majorBidi"/>
        </w:rPr>
        <w:t>Ver detalles del caso en Anexo D.</w:t>
      </w:r>
      <w:proofErr w:type="gramStart"/>
      <w:r w:rsidR="001B15A8" w:rsidRPr="00BE720D">
        <w:rPr>
          <w:rFonts w:asciiTheme="majorBidi" w:hAnsiTheme="majorBidi" w:cstheme="majorBidi"/>
        </w:rPr>
        <w:t>2.</w:t>
      </w:r>
      <w:r w:rsidRPr="00C46B5A">
        <w:rPr>
          <w:rFonts w:asciiTheme="majorBidi" w:hAnsiTheme="majorBidi" w:cstheme="majorBidi"/>
        </w:rPr>
        <w:t>.</w:t>
      </w:r>
      <w:proofErr w:type="gramEnd"/>
      <w:r w:rsidRPr="00C46B5A">
        <w:rPr>
          <w:rFonts w:asciiTheme="majorBidi" w:hAnsiTheme="majorBidi" w:cstheme="majorBidi"/>
        </w:rPr>
        <w:t xml:space="preserve">  Estando la abogada Carmela Curup </w:t>
      </w:r>
      <w:bookmarkStart w:id="31" w:name="_Hlk202898667"/>
      <w:r w:rsidRPr="00C46B5A">
        <w:rPr>
          <w:rFonts w:asciiTheme="majorBidi" w:hAnsiTheme="majorBidi" w:cstheme="majorBidi"/>
        </w:rPr>
        <w:t>postulándose para la magistratura de la Corte de Apelaciones</w:t>
      </w:r>
      <w:bookmarkEnd w:id="31"/>
      <w:r w:rsidRPr="00C46B5A">
        <w:rPr>
          <w:rFonts w:asciiTheme="majorBidi" w:hAnsiTheme="majorBidi" w:cstheme="majorBidi"/>
        </w:rPr>
        <w:t>, el Sr. Asturias presentó una tacha ante las Comisiones de Postulación, en contra de dicha profesional, adjuntando la denuncia penal indicada</w:t>
      </w:r>
      <w:r w:rsidR="001B15A8">
        <w:rPr>
          <w:rFonts w:asciiTheme="majorBidi" w:hAnsiTheme="majorBidi" w:cstheme="majorBidi"/>
        </w:rPr>
        <w:t xml:space="preserve"> </w:t>
      </w:r>
      <w:proofErr w:type="gramStart"/>
      <w:r w:rsidR="001B15A8">
        <w:rPr>
          <w:rFonts w:asciiTheme="majorBidi" w:hAnsiTheme="majorBidi" w:cstheme="majorBidi"/>
        </w:rPr>
        <w:t>(</w:t>
      </w:r>
      <w:r w:rsidR="001B15A8" w:rsidRPr="00BE720D">
        <w:rPr>
          <w:rFonts w:asciiTheme="majorBidi" w:hAnsiTheme="majorBidi" w:cstheme="majorBidi"/>
        </w:rPr>
        <w:t xml:space="preserve"> Ver</w:t>
      </w:r>
      <w:proofErr w:type="gramEnd"/>
      <w:r w:rsidR="001B15A8" w:rsidRPr="00BE720D">
        <w:rPr>
          <w:rFonts w:asciiTheme="majorBidi" w:hAnsiTheme="majorBidi" w:cstheme="majorBidi"/>
        </w:rPr>
        <w:t xml:space="preserve"> detalles del caso en </w:t>
      </w:r>
      <w:r w:rsidR="001B15A8" w:rsidRPr="001B15A8">
        <w:rPr>
          <w:rFonts w:asciiTheme="majorBidi" w:hAnsiTheme="majorBidi" w:cstheme="majorBidi"/>
          <w:b/>
          <w:bCs/>
          <w:u w:val="single"/>
        </w:rPr>
        <w:t>Anexo 4.2.</w:t>
      </w:r>
      <w:r w:rsidR="001B15A8">
        <w:rPr>
          <w:rFonts w:asciiTheme="majorBidi" w:hAnsiTheme="majorBidi" w:cstheme="majorBidi"/>
        </w:rPr>
        <w:t>)</w:t>
      </w:r>
    </w:p>
    <w:p w14:paraId="60232A26" w14:textId="0F554EF8" w:rsidR="00E456DB" w:rsidRPr="0035101A" w:rsidRDefault="000276AD" w:rsidP="005A43B2">
      <w:pPr>
        <w:pStyle w:val="Prrafodelista"/>
        <w:numPr>
          <w:ilvl w:val="2"/>
          <w:numId w:val="8"/>
        </w:numPr>
        <w:jc w:val="both"/>
        <w:outlineLvl w:val="2"/>
        <w:rPr>
          <w:rStyle w:val="Fuentedeprrafopredeter1"/>
          <w:rFonts w:asciiTheme="majorBidi" w:eastAsia="DengXian" w:hAnsiTheme="majorBidi" w:cstheme="majorBidi"/>
          <w:b/>
          <w:bCs/>
          <w:lang w:val="es-MX"/>
        </w:rPr>
      </w:pPr>
      <w:bookmarkStart w:id="32" w:name="_Toc204264054"/>
      <w:r w:rsidRPr="0035101A">
        <w:rPr>
          <w:rStyle w:val="Fuentedeprrafopredeter1"/>
          <w:rFonts w:asciiTheme="majorBidi" w:eastAsia="DengXian" w:hAnsiTheme="majorBidi" w:cstheme="majorBidi"/>
          <w:b/>
          <w:bCs/>
          <w:lang w:val="es-MX"/>
        </w:rPr>
        <w:t>Recomendaciones</w:t>
      </w:r>
      <w:r w:rsidR="005913C3" w:rsidRPr="0035101A">
        <w:rPr>
          <w:rStyle w:val="Fuentedeprrafopredeter1"/>
          <w:rFonts w:asciiTheme="majorBidi" w:eastAsia="DengXian" w:hAnsiTheme="majorBidi" w:cstheme="majorBidi"/>
          <w:b/>
          <w:bCs/>
        </w:rPr>
        <w:t xml:space="preserve"> relacionadas al derecho de tierras, territorios y recursos naturales</w:t>
      </w:r>
      <w:bookmarkEnd w:id="32"/>
    </w:p>
    <w:p w14:paraId="3D5A5E14" w14:textId="77777777" w:rsidR="005A43B2" w:rsidRPr="0035101A" w:rsidRDefault="005A43B2" w:rsidP="005A43B2">
      <w:pPr>
        <w:pStyle w:val="Prrafodelista"/>
        <w:jc w:val="both"/>
        <w:outlineLvl w:val="2"/>
        <w:rPr>
          <w:rStyle w:val="Fuentedeprrafopredeter1"/>
          <w:rFonts w:asciiTheme="majorBidi" w:eastAsia="DengXian" w:hAnsiTheme="majorBidi" w:cstheme="majorBidi"/>
          <w:b/>
          <w:bCs/>
          <w:lang w:val="es-MX"/>
        </w:rPr>
      </w:pPr>
    </w:p>
    <w:tbl>
      <w:tblPr>
        <w:tblStyle w:val="Tablaconcuadrcula"/>
        <w:tblW w:w="10632" w:type="dxa"/>
        <w:tblInd w:w="-998" w:type="dxa"/>
        <w:shd w:val="clear" w:color="auto" w:fill="FFF2CC" w:themeFill="accent4" w:themeFillTint="33"/>
        <w:tblLook w:val="04A0" w:firstRow="1" w:lastRow="0" w:firstColumn="1" w:lastColumn="0" w:noHBand="0" w:noVBand="1"/>
      </w:tblPr>
      <w:tblGrid>
        <w:gridCol w:w="10632"/>
      </w:tblGrid>
      <w:tr w:rsidR="008D583E" w:rsidRPr="0035101A" w14:paraId="75F400B9" w14:textId="77777777" w:rsidTr="00C65C44">
        <w:tc>
          <w:tcPr>
            <w:tcW w:w="10632" w:type="dxa"/>
            <w:shd w:val="clear" w:color="auto" w:fill="FFF2CC" w:themeFill="accent4" w:themeFillTint="33"/>
          </w:tcPr>
          <w:p w14:paraId="7DC7D2EE" w14:textId="57CEEC04" w:rsidR="008D583E" w:rsidRPr="0035101A" w:rsidRDefault="008D583E" w:rsidP="005A43B2">
            <w:pPr>
              <w:pStyle w:val="Prrafodelista"/>
              <w:numPr>
                <w:ilvl w:val="0"/>
                <w:numId w:val="20"/>
              </w:numPr>
              <w:spacing w:before="240"/>
              <w:rPr>
                <w:rFonts w:asciiTheme="majorBidi" w:eastAsia="Times New Roman" w:hAnsiTheme="majorBidi" w:cstheme="majorBidi"/>
                <w:i/>
                <w:iCs/>
                <w:color w:val="000000" w:themeColor="text1"/>
              </w:rPr>
            </w:pPr>
            <w:r w:rsidRPr="0035101A">
              <w:rPr>
                <w:rFonts w:asciiTheme="majorBidi" w:eastAsia="Times New Roman" w:hAnsiTheme="majorBidi" w:cstheme="majorBidi"/>
                <w:i/>
                <w:iCs/>
                <w:color w:val="000000" w:themeColor="text1"/>
              </w:rPr>
              <w:t>Asegurar el cumplimiento inmediato y efectivo de las sentencias que reconocen derechos territoriales de los pueblos indígenas. El Estado debe adoptar medidas urgentes y vinculantes para garantizar la ejecución plena de las resoluciones judiciales que reconocen el derecho de los pueblos indígenas a la tierra, territorio y recursos naturales. Esto incluye la cancelación de inscripciones anómalas, la regularización de tierras comunales y la eliminación de obstáculos administrativos, en cumplimiento con los artículos 2(1)(d) y 5(d)(v) de la Convención.</w:t>
            </w:r>
          </w:p>
        </w:tc>
      </w:tr>
      <w:tr w:rsidR="0035101A" w:rsidRPr="0035101A" w14:paraId="451FC0D2" w14:textId="77777777" w:rsidTr="00C65C44">
        <w:tc>
          <w:tcPr>
            <w:tcW w:w="10632" w:type="dxa"/>
            <w:shd w:val="clear" w:color="auto" w:fill="FFF2CC" w:themeFill="accent4" w:themeFillTint="33"/>
          </w:tcPr>
          <w:p w14:paraId="2CCCBA9C" w14:textId="2FB55A3A" w:rsidR="008D583E" w:rsidRPr="0035101A" w:rsidRDefault="008D583E" w:rsidP="00197C3D">
            <w:pPr>
              <w:pStyle w:val="Prrafodelista"/>
              <w:numPr>
                <w:ilvl w:val="0"/>
                <w:numId w:val="20"/>
              </w:numPr>
              <w:spacing w:line="276" w:lineRule="auto"/>
              <w:rPr>
                <w:rFonts w:asciiTheme="majorBidi" w:eastAsia="Times New Roman" w:hAnsiTheme="majorBidi" w:cstheme="majorBidi"/>
                <w:i/>
                <w:iCs/>
                <w:color w:val="000000" w:themeColor="text1"/>
              </w:rPr>
            </w:pPr>
            <w:r w:rsidRPr="0035101A">
              <w:rPr>
                <w:rFonts w:asciiTheme="majorBidi" w:eastAsia="Times New Roman" w:hAnsiTheme="majorBidi" w:cstheme="majorBidi"/>
                <w:i/>
                <w:iCs/>
                <w:color w:val="000000" w:themeColor="text1"/>
              </w:rPr>
              <w:t>Garantizar el reconocimiento jurídico y pleno respeto de las formas de propiedad colectiva de los pueblos indígenas. El Estado debe reconocer explícitamente, en la legislación y en la práctica institucional, la propiedad comunal indígena con sus características propias (inalienabilidad, imprescriptibilidad, indivisibilidad e inembargabilidad). Asimismo, debe adaptar los mecanismos administrativos para facilitar la adjudicación y el saneamiento de tierras colectivas, evitando interpretaciones discriminatorias que impidan el acceso a programas estatales. Esta recomendación se sustenta en el artículo 5(e)(vi) de la Convención.</w:t>
            </w:r>
          </w:p>
        </w:tc>
      </w:tr>
      <w:tr w:rsidR="008D583E" w:rsidRPr="009E2A0E" w14:paraId="421CF64C" w14:textId="77777777" w:rsidTr="00C65C44">
        <w:tc>
          <w:tcPr>
            <w:tcW w:w="10632" w:type="dxa"/>
            <w:shd w:val="clear" w:color="auto" w:fill="FFF2CC" w:themeFill="accent4" w:themeFillTint="33"/>
          </w:tcPr>
          <w:p w14:paraId="2226B5E6" w14:textId="28269713" w:rsidR="008D583E" w:rsidRPr="008D583E" w:rsidRDefault="008D583E" w:rsidP="00197C3D">
            <w:pPr>
              <w:pStyle w:val="Prrafodelista"/>
              <w:numPr>
                <w:ilvl w:val="0"/>
                <w:numId w:val="20"/>
              </w:numPr>
              <w:spacing w:line="276" w:lineRule="auto"/>
              <w:rPr>
                <w:rFonts w:asciiTheme="majorBidi" w:eastAsia="Times New Roman" w:hAnsiTheme="majorBidi" w:cstheme="majorBidi"/>
                <w:i/>
                <w:iCs/>
                <w:color w:val="000000" w:themeColor="text1"/>
              </w:rPr>
            </w:pPr>
            <w:r w:rsidRPr="008D583E">
              <w:rPr>
                <w:rFonts w:asciiTheme="majorBidi" w:eastAsia="Times New Roman" w:hAnsiTheme="majorBidi" w:cstheme="majorBidi"/>
                <w:i/>
                <w:iCs/>
                <w:color w:val="000000" w:themeColor="text1"/>
              </w:rPr>
              <w:t>Proteger a las autoridades ancestrales y comunidades indígenas de actos de criminalización y discriminación institucional. El Estado debe cesar toda forma de criminalización y persecución penal contra autoridades indígenas que ejercen funciones tradicionales vinculadas a la protección del territorio. Debe establecer mecanismos de resguardo para garantizar su integridad física y jurídica, así como reconocer formalmente su rol en la administración del territorio, en línea con el artículo 2(1)(a) de la Convención, que obliga a los Estados a no incurrir en prácticas discriminatorias desde sus propias instituciones.</w:t>
            </w:r>
          </w:p>
        </w:tc>
      </w:tr>
      <w:tr w:rsidR="008D583E" w:rsidRPr="009E2A0E" w14:paraId="08A14E03" w14:textId="77777777" w:rsidTr="00C65C44">
        <w:tc>
          <w:tcPr>
            <w:tcW w:w="10632" w:type="dxa"/>
            <w:shd w:val="clear" w:color="auto" w:fill="FFF2CC" w:themeFill="accent4" w:themeFillTint="33"/>
          </w:tcPr>
          <w:p w14:paraId="6D44EF68" w14:textId="3FC30DA3" w:rsidR="008D583E" w:rsidRPr="008D583E" w:rsidRDefault="008D583E" w:rsidP="00197C3D">
            <w:pPr>
              <w:pStyle w:val="Prrafodelista"/>
              <w:numPr>
                <w:ilvl w:val="0"/>
                <w:numId w:val="20"/>
              </w:numPr>
              <w:spacing w:line="276" w:lineRule="auto"/>
              <w:rPr>
                <w:rFonts w:asciiTheme="majorBidi" w:eastAsia="Times New Roman" w:hAnsiTheme="majorBidi" w:cstheme="majorBidi"/>
                <w:i/>
                <w:iCs/>
                <w:color w:val="000000" w:themeColor="text1"/>
              </w:rPr>
            </w:pPr>
            <w:r w:rsidRPr="008D583E">
              <w:rPr>
                <w:rFonts w:asciiTheme="majorBidi" w:eastAsia="Times New Roman" w:hAnsiTheme="majorBidi" w:cstheme="majorBidi"/>
                <w:i/>
                <w:iCs/>
                <w:color w:val="000000" w:themeColor="text1"/>
              </w:rPr>
              <w:lastRenderedPageBreak/>
              <w:t>Facilitar el acceso equitativo a programas de desarrollo e incentivos públicos sin discriminación por régimen de tenencia. El Estado debe modificar los criterios de elegibilidad para los programas de inversión pública y ambientales, como los incentivos forestales, para que reconozcan las formas de tenencia colectiva indígena. La exclusión de las comunidades por no figurar como propietarios bajo esquemas estatales tradicionales constituye una forma indirecta de discriminación prohibida por el artículo 5(c) y (e) de la Convención.</w:t>
            </w:r>
          </w:p>
        </w:tc>
      </w:tr>
      <w:tr w:rsidR="00B73D83" w:rsidRPr="009E2A0E" w14:paraId="5B8B1FAC" w14:textId="77777777" w:rsidTr="00C65C44">
        <w:tc>
          <w:tcPr>
            <w:tcW w:w="10632" w:type="dxa"/>
            <w:shd w:val="clear" w:color="auto" w:fill="FFF2CC" w:themeFill="accent4" w:themeFillTint="33"/>
          </w:tcPr>
          <w:p w14:paraId="6C3C2CAF" w14:textId="50757CA0" w:rsidR="00B73D83" w:rsidRPr="003F17EF" w:rsidRDefault="003D0426" w:rsidP="003F17EF">
            <w:pPr>
              <w:pStyle w:val="Prrafodelista"/>
              <w:numPr>
                <w:ilvl w:val="0"/>
                <w:numId w:val="20"/>
              </w:numPr>
              <w:spacing w:line="276" w:lineRule="auto"/>
              <w:rPr>
                <w:rFonts w:asciiTheme="majorBidi" w:eastAsia="Times New Roman" w:hAnsiTheme="majorBidi" w:cstheme="majorBidi"/>
                <w:i/>
                <w:iCs/>
                <w:color w:val="000000" w:themeColor="text1"/>
              </w:rPr>
            </w:pPr>
            <w:r>
              <w:rPr>
                <w:rFonts w:asciiTheme="majorBidi" w:eastAsia="Times New Roman" w:hAnsiTheme="majorBidi" w:cstheme="majorBidi"/>
                <w:i/>
                <w:iCs/>
                <w:color w:val="000000" w:themeColor="text1"/>
              </w:rPr>
              <w:t>Dejar sin efecto</w:t>
            </w:r>
            <w:r w:rsidR="00B73D83" w:rsidRPr="00B73D83">
              <w:rPr>
                <w:rFonts w:asciiTheme="majorBidi" w:eastAsia="Times New Roman" w:hAnsiTheme="majorBidi" w:cstheme="majorBidi"/>
                <w:i/>
                <w:iCs/>
                <w:color w:val="000000" w:themeColor="text1"/>
              </w:rPr>
              <w:t xml:space="preserve"> la licitación para la demarcación de áreas protegidas (NOG: 5379997) y establecer de forma inmediata una mesa de diálogo formal, amplia y con garantías, que permita atender de manera estructural e integral los conflictos vinculados a tierra, territorio, ambiente, seguridad y reasentamientos, con un enfoque de desarrollo sostenible y atención diferenciada a mujeres, niñez y personas adultas mayores. Esta mesa debe contar con la participación efectiva de </w:t>
            </w:r>
            <w:r w:rsidR="00B73D83">
              <w:rPr>
                <w:rFonts w:asciiTheme="majorBidi" w:eastAsia="Times New Roman" w:hAnsiTheme="majorBidi" w:cstheme="majorBidi"/>
                <w:i/>
                <w:iCs/>
                <w:color w:val="000000" w:themeColor="text1"/>
              </w:rPr>
              <w:t xml:space="preserve">los </w:t>
            </w:r>
            <w:r w:rsidR="003F17EF" w:rsidRPr="003F17EF">
              <w:rPr>
                <w:rFonts w:asciiTheme="majorBidi" w:eastAsia="Times New Roman" w:hAnsiTheme="majorBidi" w:cstheme="majorBidi"/>
                <w:i/>
                <w:iCs/>
                <w:color w:val="000000" w:themeColor="text1"/>
              </w:rPr>
              <w:t>Pueblos Indígenas y Afrodescendientes</w:t>
            </w:r>
            <w:r w:rsidR="00B73D83" w:rsidRPr="003F17EF">
              <w:rPr>
                <w:rFonts w:asciiTheme="majorBidi" w:eastAsia="Times New Roman" w:hAnsiTheme="majorBidi" w:cstheme="majorBidi"/>
                <w:i/>
                <w:iCs/>
                <w:color w:val="000000" w:themeColor="text1"/>
              </w:rPr>
              <w:t>, actores estatales competentes, asesores legales de las comunidades, observadores internacionales y una moderación imparcial.</w:t>
            </w:r>
            <w:r w:rsidR="002F3796" w:rsidRPr="003F17EF">
              <w:rPr>
                <w:rFonts w:asciiTheme="majorBidi" w:eastAsia="Times New Roman" w:hAnsiTheme="majorBidi" w:cstheme="majorBidi"/>
                <w:i/>
                <w:iCs/>
                <w:color w:val="000000" w:themeColor="text1"/>
              </w:rPr>
              <w:t xml:space="preserve"> Esta instancia podría servir como modelo replicable para el abordaje de otros casos similares que enfrentan vacíos legislativos y falta de respuesta institucional</w:t>
            </w:r>
          </w:p>
        </w:tc>
      </w:tr>
      <w:tr w:rsidR="007A385D" w:rsidRPr="009E2A0E" w14:paraId="46AA17F3" w14:textId="77777777" w:rsidTr="00C65C44">
        <w:tc>
          <w:tcPr>
            <w:tcW w:w="10632" w:type="dxa"/>
            <w:shd w:val="clear" w:color="auto" w:fill="FFF2CC" w:themeFill="accent4" w:themeFillTint="33"/>
          </w:tcPr>
          <w:p w14:paraId="6473B9C1" w14:textId="58D5865E" w:rsidR="007A385D" w:rsidRPr="00B73D83" w:rsidRDefault="003D0426" w:rsidP="00197C3D">
            <w:pPr>
              <w:pStyle w:val="Prrafodelista"/>
              <w:numPr>
                <w:ilvl w:val="0"/>
                <w:numId w:val="20"/>
              </w:numPr>
              <w:spacing w:line="276" w:lineRule="auto"/>
              <w:rPr>
                <w:rFonts w:asciiTheme="majorBidi" w:eastAsia="Times New Roman" w:hAnsiTheme="majorBidi" w:cstheme="majorBidi"/>
                <w:i/>
                <w:iCs/>
                <w:color w:val="000000" w:themeColor="text1"/>
              </w:rPr>
            </w:pPr>
            <w:r>
              <w:rPr>
                <w:rFonts w:asciiTheme="majorBidi" w:eastAsia="Times New Roman" w:hAnsiTheme="majorBidi" w:cstheme="majorBidi"/>
                <w:i/>
                <w:iCs/>
                <w:color w:val="000000" w:themeColor="text1"/>
              </w:rPr>
              <w:t>Suspender</w:t>
            </w:r>
            <w:r w:rsidR="007A385D" w:rsidRPr="007A385D">
              <w:rPr>
                <w:rFonts w:asciiTheme="majorBidi" w:eastAsia="Times New Roman" w:hAnsiTheme="majorBidi" w:cstheme="majorBidi"/>
                <w:i/>
                <w:iCs/>
                <w:color w:val="000000" w:themeColor="text1"/>
              </w:rPr>
              <w:t xml:space="preserve"> todo tipo de desalojos forzosos y actos que vulneren los derechos humanos, reconociendo el derecho de l</w:t>
            </w:r>
            <w:r>
              <w:rPr>
                <w:rFonts w:asciiTheme="majorBidi" w:eastAsia="Times New Roman" w:hAnsiTheme="majorBidi" w:cstheme="majorBidi"/>
                <w:i/>
                <w:iCs/>
                <w:color w:val="000000" w:themeColor="text1"/>
              </w:rPr>
              <w:t>o</w:t>
            </w:r>
            <w:r w:rsidR="007A385D" w:rsidRPr="007A385D">
              <w:rPr>
                <w:rFonts w:asciiTheme="majorBidi" w:eastAsia="Times New Roman" w:hAnsiTheme="majorBidi" w:cstheme="majorBidi"/>
                <w:i/>
                <w:iCs/>
                <w:color w:val="000000" w:themeColor="text1"/>
              </w:rPr>
              <w:t xml:space="preserve">s </w:t>
            </w:r>
            <w:r>
              <w:rPr>
                <w:rFonts w:asciiTheme="majorBidi" w:eastAsia="Times New Roman" w:hAnsiTheme="majorBidi" w:cstheme="majorBidi"/>
                <w:i/>
                <w:iCs/>
                <w:color w:val="000000" w:themeColor="text1"/>
              </w:rPr>
              <w:t>Pueblos Indígenas</w:t>
            </w:r>
            <w:r w:rsidRPr="007A385D">
              <w:rPr>
                <w:rFonts w:asciiTheme="majorBidi" w:eastAsia="Times New Roman" w:hAnsiTheme="majorBidi" w:cstheme="majorBidi"/>
                <w:i/>
                <w:iCs/>
                <w:color w:val="000000" w:themeColor="text1"/>
              </w:rPr>
              <w:t xml:space="preserve"> </w:t>
            </w:r>
            <w:r w:rsidR="00840E04">
              <w:rPr>
                <w:rFonts w:asciiTheme="majorBidi" w:eastAsia="Times New Roman" w:hAnsiTheme="majorBidi" w:cstheme="majorBidi"/>
                <w:i/>
                <w:iCs/>
                <w:color w:val="000000" w:themeColor="text1"/>
              </w:rPr>
              <w:t xml:space="preserve">a </w:t>
            </w:r>
            <w:r w:rsidR="007A385D" w:rsidRPr="007A385D">
              <w:rPr>
                <w:rFonts w:asciiTheme="majorBidi" w:eastAsia="Times New Roman" w:hAnsiTheme="majorBidi" w:cstheme="majorBidi"/>
                <w:i/>
                <w:iCs/>
                <w:color w:val="000000" w:themeColor="text1"/>
              </w:rPr>
              <w:t xml:space="preserve">sus </w:t>
            </w:r>
            <w:r w:rsidR="00840E04">
              <w:rPr>
                <w:rFonts w:asciiTheme="majorBidi" w:eastAsia="Times New Roman" w:hAnsiTheme="majorBidi" w:cstheme="majorBidi"/>
                <w:i/>
                <w:iCs/>
                <w:color w:val="000000" w:themeColor="text1"/>
              </w:rPr>
              <w:t xml:space="preserve">tierras y </w:t>
            </w:r>
            <w:r w:rsidR="007A385D" w:rsidRPr="007A385D">
              <w:rPr>
                <w:rFonts w:asciiTheme="majorBidi" w:eastAsia="Times New Roman" w:hAnsiTheme="majorBidi" w:cstheme="majorBidi"/>
                <w:i/>
                <w:iCs/>
                <w:color w:val="000000" w:themeColor="text1"/>
              </w:rPr>
              <w:t>territorios ancestrales</w:t>
            </w:r>
            <w:r w:rsidR="00840E04">
              <w:rPr>
                <w:rFonts w:asciiTheme="majorBidi" w:eastAsia="Times New Roman" w:hAnsiTheme="majorBidi" w:cstheme="majorBidi"/>
                <w:i/>
                <w:iCs/>
                <w:color w:val="000000" w:themeColor="text1"/>
              </w:rPr>
              <w:t>, incluyendo a</w:t>
            </w:r>
            <w:r w:rsidR="00840E04" w:rsidRPr="003F17EF">
              <w:rPr>
                <w:rFonts w:asciiTheme="majorBidi" w:eastAsia="Times New Roman" w:hAnsiTheme="majorBidi" w:cstheme="majorBidi"/>
                <w:i/>
                <w:iCs/>
                <w:color w:val="000000" w:themeColor="text1"/>
              </w:rPr>
              <w:t xml:space="preserve"> Afrodescendientes</w:t>
            </w:r>
            <w:r w:rsidR="00840E04">
              <w:rPr>
                <w:rFonts w:asciiTheme="majorBidi" w:eastAsia="Times New Roman" w:hAnsiTheme="majorBidi" w:cstheme="majorBidi"/>
                <w:i/>
                <w:iCs/>
                <w:color w:val="000000" w:themeColor="text1"/>
              </w:rPr>
              <w:t>.</w:t>
            </w:r>
            <w:r w:rsidR="007A385D" w:rsidRPr="007A385D">
              <w:rPr>
                <w:rFonts w:asciiTheme="majorBidi" w:eastAsia="Times New Roman" w:hAnsiTheme="majorBidi" w:cstheme="majorBidi"/>
                <w:i/>
                <w:iCs/>
                <w:color w:val="000000" w:themeColor="text1"/>
              </w:rPr>
              <w:t xml:space="preserve"> </w:t>
            </w:r>
            <w:r w:rsidR="0058192D">
              <w:rPr>
                <w:rFonts w:asciiTheme="majorBidi" w:eastAsia="Times New Roman" w:hAnsiTheme="majorBidi" w:cstheme="majorBidi"/>
                <w:i/>
                <w:iCs/>
                <w:color w:val="000000" w:themeColor="text1"/>
              </w:rPr>
              <w:t xml:space="preserve">así como, </w:t>
            </w:r>
            <w:r w:rsidR="0058192D" w:rsidRPr="0058192D">
              <w:rPr>
                <w:rFonts w:asciiTheme="majorBidi" w:eastAsia="Times New Roman" w:hAnsiTheme="majorBidi" w:cstheme="majorBidi"/>
                <w:i/>
                <w:iCs/>
                <w:color w:val="000000" w:themeColor="text1"/>
              </w:rPr>
              <w:t>fortalecer su institucionalidad, asegurando la creación o consolidación de mecanismos especializados y dotados de recursos para documentar, atender y resolver de manera efectiva los procesos de despojo y reivindicación de tierras comunales de los pueblos indígenas, conforme a sus formas propias de organización y tenencia colectiva.</w:t>
            </w:r>
          </w:p>
        </w:tc>
      </w:tr>
      <w:tr w:rsidR="00850179" w:rsidRPr="009E2A0E" w14:paraId="09D7C449" w14:textId="77777777" w:rsidTr="00C65C44">
        <w:tc>
          <w:tcPr>
            <w:tcW w:w="10632" w:type="dxa"/>
            <w:shd w:val="clear" w:color="auto" w:fill="FFF2CC" w:themeFill="accent4" w:themeFillTint="33"/>
          </w:tcPr>
          <w:p w14:paraId="0A481199" w14:textId="27E36A3A" w:rsidR="00850179" w:rsidRDefault="00850179" w:rsidP="00197C3D">
            <w:pPr>
              <w:pStyle w:val="Prrafodelista"/>
              <w:numPr>
                <w:ilvl w:val="0"/>
                <w:numId w:val="20"/>
              </w:numPr>
              <w:spacing w:line="276" w:lineRule="auto"/>
              <w:rPr>
                <w:rFonts w:asciiTheme="majorBidi" w:eastAsia="Times New Roman" w:hAnsiTheme="majorBidi" w:cstheme="majorBidi"/>
                <w:i/>
                <w:iCs/>
                <w:color w:val="000000" w:themeColor="text1"/>
              </w:rPr>
            </w:pPr>
            <w:r w:rsidRPr="00850179">
              <w:rPr>
                <w:rFonts w:asciiTheme="majorBidi" w:eastAsia="Times New Roman" w:hAnsiTheme="majorBidi" w:cstheme="majorBidi"/>
                <w:i/>
                <w:iCs/>
                <w:color w:val="000000" w:themeColor="text1"/>
              </w:rPr>
              <w:t>El Estado debe aplicar el principio de control de convencionalidad y promover soluciones amistosas en los casos que actualmente se encuentran ante la Comisión Interamericana de Derechos Humanos o la Corte Interamericana de Derechos Humanos, como el caso Copones vs. Estado de Guatemala (P-1949-21). Para ello, se recomienda establecer mesas institucionales de diálogo con las comunidades afectadas, garantizando el cumplimiento de los acuerdos asumidos y con acompañamiento técnico adecuado.</w:t>
            </w:r>
          </w:p>
        </w:tc>
      </w:tr>
      <w:tr w:rsidR="00FC0247" w:rsidRPr="009E2A0E" w14:paraId="4003A064" w14:textId="77777777" w:rsidTr="00C65C44">
        <w:tc>
          <w:tcPr>
            <w:tcW w:w="10632" w:type="dxa"/>
            <w:shd w:val="clear" w:color="auto" w:fill="FFF2CC" w:themeFill="accent4" w:themeFillTint="33"/>
          </w:tcPr>
          <w:p w14:paraId="5BE6CAEC" w14:textId="7E1DEF90" w:rsidR="00FC0247" w:rsidRPr="00850179" w:rsidRDefault="002145D3" w:rsidP="00197C3D">
            <w:pPr>
              <w:pStyle w:val="Prrafodelista"/>
              <w:numPr>
                <w:ilvl w:val="0"/>
                <w:numId w:val="20"/>
              </w:numPr>
              <w:spacing w:line="276" w:lineRule="auto"/>
              <w:rPr>
                <w:rFonts w:asciiTheme="majorBidi" w:eastAsia="Times New Roman" w:hAnsiTheme="majorBidi" w:cstheme="majorBidi"/>
                <w:i/>
                <w:iCs/>
                <w:color w:val="000000" w:themeColor="text1"/>
              </w:rPr>
            </w:pPr>
            <w:r>
              <w:rPr>
                <w:rFonts w:asciiTheme="majorBidi" w:eastAsia="Times New Roman" w:hAnsiTheme="majorBidi" w:cstheme="majorBidi"/>
                <w:i/>
                <w:iCs/>
                <w:color w:val="000000" w:themeColor="text1"/>
              </w:rPr>
              <w:t xml:space="preserve">Revisar </w:t>
            </w:r>
            <w:r w:rsidR="00FC0247" w:rsidRPr="00FC0247">
              <w:rPr>
                <w:rFonts w:asciiTheme="majorBidi" w:eastAsia="Times New Roman" w:hAnsiTheme="majorBidi" w:cstheme="majorBidi"/>
                <w:i/>
                <w:iCs/>
                <w:color w:val="000000" w:themeColor="text1"/>
              </w:rPr>
              <w:t xml:space="preserve">profundamente sus políticas públicas actuales que han contribuido a la exclusión estructural y al despojo territorial de los </w:t>
            </w:r>
            <w:r w:rsidR="00B02A4D">
              <w:rPr>
                <w:rFonts w:asciiTheme="majorBidi" w:eastAsia="Times New Roman" w:hAnsiTheme="majorBidi" w:cstheme="majorBidi"/>
                <w:i/>
                <w:iCs/>
                <w:color w:val="000000" w:themeColor="text1"/>
              </w:rPr>
              <w:t>P</w:t>
            </w:r>
            <w:r w:rsidR="00FC0247" w:rsidRPr="00FC0247">
              <w:rPr>
                <w:rFonts w:asciiTheme="majorBidi" w:eastAsia="Times New Roman" w:hAnsiTheme="majorBidi" w:cstheme="majorBidi"/>
                <w:i/>
                <w:iCs/>
                <w:color w:val="000000" w:themeColor="text1"/>
              </w:rPr>
              <w:t xml:space="preserve">ueblos </w:t>
            </w:r>
            <w:r w:rsidR="00B02A4D">
              <w:rPr>
                <w:rFonts w:asciiTheme="majorBidi" w:eastAsia="Times New Roman" w:hAnsiTheme="majorBidi" w:cstheme="majorBidi"/>
                <w:i/>
                <w:iCs/>
                <w:color w:val="000000" w:themeColor="text1"/>
              </w:rPr>
              <w:t>I</w:t>
            </w:r>
            <w:r w:rsidR="00FC0247" w:rsidRPr="00FC0247">
              <w:rPr>
                <w:rFonts w:asciiTheme="majorBidi" w:eastAsia="Times New Roman" w:hAnsiTheme="majorBidi" w:cstheme="majorBidi"/>
                <w:i/>
                <w:iCs/>
                <w:color w:val="000000" w:themeColor="text1"/>
              </w:rPr>
              <w:t>ndígenas</w:t>
            </w:r>
            <w:r w:rsidR="00B02A4D">
              <w:rPr>
                <w:rFonts w:asciiTheme="majorBidi" w:eastAsia="Times New Roman" w:hAnsiTheme="majorBidi" w:cstheme="majorBidi"/>
                <w:i/>
                <w:iCs/>
                <w:color w:val="000000" w:themeColor="text1"/>
              </w:rPr>
              <w:t xml:space="preserve"> y </w:t>
            </w:r>
            <w:r w:rsidR="00B02A4D" w:rsidRPr="003F17EF">
              <w:rPr>
                <w:rFonts w:asciiTheme="majorBidi" w:eastAsia="Times New Roman" w:hAnsiTheme="majorBidi" w:cstheme="majorBidi"/>
                <w:i/>
                <w:iCs/>
                <w:color w:val="000000" w:themeColor="text1"/>
              </w:rPr>
              <w:t>Afrodescendientes</w:t>
            </w:r>
            <w:r w:rsidR="00FC0247" w:rsidRPr="00FC0247">
              <w:rPr>
                <w:rFonts w:asciiTheme="majorBidi" w:eastAsia="Times New Roman" w:hAnsiTheme="majorBidi" w:cstheme="majorBidi"/>
                <w:i/>
                <w:iCs/>
                <w:color w:val="000000" w:themeColor="text1"/>
              </w:rPr>
              <w:t>, y a retomar la Propuesta Alternativa de Desarrollo Integral y Sostenible al Estado de Guatemala, presentada en 2016, como una base legítima para promover un diálogo genuino, avanzar hacia la reconciliación y atender las deudas históricas con los pueblos originarios mediante un enfoque de justicia, equidad y autodeterminación.</w:t>
            </w:r>
          </w:p>
        </w:tc>
      </w:tr>
      <w:tr w:rsidR="004F7755" w:rsidRPr="009E2A0E" w14:paraId="1C36216C" w14:textId="77777777" w:rsidTr="00C65C44">
        <w:tc>
          <w:tcPr>
            <w:tcW w:w="10632" w:type="dxa"/>
            <w:shd w:val="clear" w:color="auto" w:fill="FFF2CC" w:themeFill="accent4" w:themeFillTint="33"/>
          </w:tcPr>
          <w:p w14:paraId="48B67F15" w14:textId="78D0A166" w:rsidR="004F7755" w:rsidRDefault="004F7755" w:rsidP="00197C3D">
            <w:pPr>
              <w:pStyle w:val="Prrafodelista"/>
              <w:numPr>
                <w:ilvl w:val="0"/>
                <w:numId w:val="20"/>
              </w:numPr>
              <w:spacing w:line="276" w:lineRule="auto"/>
              <w:rPr>
                <w:rFonts w:asciiTheme="majorBidi" w:eastAsia="Times New Roman" w:hAnsiTheme="majorBidi" w:cstheme="majorBidi"/>
                <w:i/>
                <w:iCs/>
                <w:color w:val="000000" w:themeColor="text1"/>
              </w:rPr>
            </w:pPr>
            <w:r>
              <w:rPr>
                <w:rFonts w:asciiTheme="majorBidi" w:eastAsia="Times New Roman" w:hAnsiTheme="majorBidi" w:cstheme="majorBidi"/>
                <w:i/>
                <w:iCs/>
                <w:color w:val="000000" w:themeColor="text1"/>
              </w:rPr>
              <w:t>R</w:t>
            </w:r>
            <w:r>
              <w:rPr>
                <w:rFonts w:eastAsia="Times New Roman"/>
                <w:i/>
                <w:iCs/>
              </w:rPr>
              <w:t>eformar el</w:t>
            </w:r>
            <w:r w:rsidRPr="004F7755">
              <w:rPr>
                <w:rFonts w:asciiTheme="majorBidi" w:eastAsia="Times New Roman" w:hAnsiTheme="majorBidi" w:cstheme="majorBidi"/>
                <w:i/>
                <w:iCs/>
                <w:color w:val="000000" w:themeColor="text1"/>
              </w:rPr>
              <w:t xml:space="preserve"> artículo 30 bis de la Ley Orgánica del Presupuesto, el cual no permite que pueda haber inversión del Estado en territorio de Pueblos Indígenas, sin que haya fraccionamiento o despojo a sus tierras comunales.</w:t>
            </w:r>
          </w:p>
        </w:tc>
      </w:tr>
    </w:tbl>
    <w:p w14:paraId="34ACA584" w14:textId="77777777" w:rsidR="008D583E" w:rsidRPr="009E2A0E" w:rsidRDefault="008D583E" w:rsidP="00E456DB">
      <w:pPr>
        <w:pBdr>
          <w:top w:val="none" w:sz="0" w:space="0" w:color="000000"/>
          <w:left w:val="none" w:sz="0" w:space="0" w:color="000000"/>
          <w:bottom w:val="none" w:sz="0" w:space="0" w:color="000000"/>
          <w:right w:val="none" w:sz="0" w:space="0" w:color="000000"/>
        </w:pBdr>
        <w:suppressAutoHyphens/>
        <w:spacing w:line="240" w:lineRule="auto"/>
        <w:jc w:val="both"/>
        <w:rPr>
          <w:rStyle w:val="Fuentedeprrafopredeter1"/>
          <w:rFonts w:asciiTheme="majorBidi" w:hAnsiTheme="majorBidi" w:cstheme="majorBidi"/>
          <w:color w:val="000000" w:themeColor="text1"/>
        </w:rPr>
      </w:pPr>
    </w:p>
    <w:p w14:paraId="268C9955" w14:textId="77777777" w:rsidR="00042074" w:rsidRPr="009E2A0E" w:rsidRDefault="00042074" w:rsidP="005913C3">
      <w:pPr>
        <w:rPr>
          <w:rFonts w:asciiTheme="majorBidi" w:hAnsiTheme="majorBidi" w:cstheme="majorBidi"/>
          <w:b/>
          <w:bCs/>
          <w:color w:val="000000" w:themeColor="text1"/>
        </w:rPr>
        <w:sectPr w:rsidR="00042074" w:rsidRPr="009E2A0E">
          <w:pgSz w:w="12240" w:h="15840"/>
          <w:pgMar w:top="1417" w:right="1701" w:bottom="1417" w:left="1701" w:header="708" w:footer="708" w:gutter="0"/>
          <w:cols w:space="708"/>
          <w:docGrid w:linePitch="360"/>
        </w:sectPr>
      </w:pPr>
    </w:p>
    <w:p w14:paraId="5B49DA47" w14:textId="58DE3983" w:rsidR="00AE221F" w:rsidRPr="009E2A0E" w:rsidRDefault="005E2D38" w:rsidP="00197C3D">
      <w:pPr>
        <w:pStyle w:val="Prrafodelista"/>
        <w:numPr>
          <w:ilvl w:val="1"/>
          <w:numId w:val="8"/>
        </w:numPr>
        <w:outlineLvl w:val="1"/>
        <w:rPr>
          <w:rFonts w:asciiTheme="majorBidi" w:hAnsiTheme="majorBidi" w:cstheme="majorBidi"/>
          <w:b/>
          <w:bCs/>
          <w:color w:val="000000" w:themeColor="text1"/>
          <w:sz w:val="24"/>
          <w:szCs w:val="24"/>
          <w:lang w:val="es-MX"/>
        </w:rPr>
      </w:pPr>
      <w:bookmarkStart w:id="33" w:name="_Toc204264055"/>
      <w:r w:rsidRPr="009E2A0E">
        <w:rPr>
          <w:rFonts w:asciiTheme="majorBidi" w:hAnsiTheme="majorBidi" w:cstheme="majorBidi"/>
          <w:b/>
          <w:bCs/>
          <w:color w:val="000000" w:themeColor="text1"/>
          <w:sz w:val="24"/>
          <w:szCs w:val="24"/>
          <w:lang w:val="es-MX"/>
        </w:rPr>
        <w:lastRenderedPageBreak/>
        <w:t>Derechos económicos, sociales y culturales ((</w:t>
      </w:r>
      <w:r w:rsidR="005A43B2">
        <w:rPr>
          <w:rFonts w:asciiTheme="majorBidi" w:hAnsiTheme="majorBidi" w:cstheme="majorBidi"/>
          <w:b/>
          <w:bCs/>
          <w:color w:val="000000" w:themeColor="text1"/>
          <w:sz w:val="24"/>
          <w:szCs w:val="24"/>
          <w:lang w:val="es-MX"/>
        </w:rPr>
        <w:t>P</w:t>
      </w:r>
      <w:r w:rsidRPr="009E2A0E">
        <w:rPr>
          <w:rFonts w:asciiTheme="majorBidi" w:hAnsiTheme="majorBidi" w:cstheme="majorBidi"/>
          <w:b/>
          <w:bCs/>
          <w:color w:val="000000" w:themeColor="text1"/>
          <w:sz w:val="24"/>
          <w:szCs w:val="24"/>
          <w:lang w:val="es-MX"/>
        </w:rPr>
        <w:t>árr. 19 al 22</w:t>
      </w:r>
      <w:r w:rsidR="005A43B2">
        <w:rPr>
          <w:rFonts w:asciiTheme="majorBidi" w:hAnsiTheme="majorBidi" w:cstheme="majorBidi"/>
          <w:b/>
          <w:bCs/>
          <w:color w:val="000000" w:themeColor="text1"/>
          <w:sz w:val="24"/>
          <w:szCs w:val="24"/>
          <w:lang w:val="es-MX"/>
        </w:rPr>
        <w:t xml:space="preserve"> del Listado de Temas</w:t>
      </w:r>
      <w:r w:rsidRPr="009E2A0E">
        <w:rPr>
          <w:rFonts w:asciiTheme="majorBidi" w:hAnsiTheme="majorBidi" w:cstheme="majorBidi"/>
          <w:b/>
          <w:bCs/>
          <w:color w:val="000000" w:themeColor="text1"/>
          <w:sz w:val="24"/>
          <w:szCs w:val="24"/>
          <w:lang w:val="es-MX"/>
        </w:rPr>
        <w:t>)</w:t>
      </w:r>
      <w:bookmarkEnd w:id="33"/>
    </w:p>
    <w:p w14:paraId="35FEC916" w14:textId="514D1CE8" w:rsidR="00296E20" w:rsidRPr="009E2A0E" w:rsidRDefault="00296E20" w:rsidP="00197C3D">
      <w:pPr>
        <w:pStyle w:val="Prrafodelista"/>
        <w:numPr>
          <w:ilvl w:val="2"/>
          <w:numId w:val="8"/>
        </w:numPr>
        <w:outlineLvl w:val="2"/>
        <w:rPr>
          <w:rFonts w:asciiTheme="majorBidi" w:hAnsiTheme="majorBidi" w:cstheme="majorBidi"/>
          <w:b/>
          <w:bCs/>
          <w:color w:val="000000" w:themeColor="text1"/>
          <w:lang w:val="es-MX"/>
        </w:rPr>
      </w:pPr>
      <w:bookmarkStart w:id="34" w:name="_Toc204264056"/>
      <w:r w:rsidRPr="009E2A0E">
        <w:rPr>
          <w:rFonts w:asciiTheme="majorBidi" w:hAnsiTheme="majorBidi" w:cstheme="majorBidi"/>
          <w:b/>
          <w:bCs/>
          <w:color w:val="000000" w:themeColor="text1"/>
          <w:lang w:val="es-MX"/>
        </w:rPr>
        <w:t>Derecho a la Alimentación:</w:t>
      </w:r>
      <w:bookmarkEnd w:id="34"/>
    </w:p>
    <w:p w14:paraId="0EB2D416" w14:textId="5B457ACF" w:rsidR="00C870F1" w:rsidRPr="009E2A0E" w:rsidRDefault="00296E20" w:rsidP="001036D9">
      <w:pPr>
        <w:spacing w:before="120" w:after="120" w:line="276" w:lineRule="auto"/>
        <w:ind w:left="-20" w:right="-20"/>
        <w:jc w:val="both"/>
        <w:rPr>
          <w:rFonts w:asciiTheme="majorBidi" w:eastAsia="Calibri Light" w:hAnsiTheme="majorBidi" w:cstheme="majorBidi"/>
          <w:color w:val="000000" w:themeColor="text1"/>
          <w:lang w:val="es-ES"/>
        </w:rPr>
      </w:pPr>
      <w:r w:rsidRPr="009E2A0E">
        <w:rPr>
          <w:rFonts w:asciiTheme="majorBidi" w:eastAsia="Calibri Light" w:hAnsiTheme="majorBidi" w:cstheme="majorBidi"/>
          <w:color w:val="000000" w:themeColor="text1"/>
          <w:lang w:val="es-ES"/>
        </w:rPr>
        <w:t xml:space="preserve">La desnutrición aguda y crónica </w:t>
      </w:r>
      <w:r w:rsidR="002D5500">
        <w:rPr>
          <w:rFonts w:asciiTheme="majorBidi" w:eastAsia="Calibri Light" w:hAnsiTheme="majorBidi" w:cstheme="majorBidi"/>
          <w:color w:val="000000" w:themeColor="text1"/>
          <w:lang w:val="es-ES"/>
        </w:rPr>
        <w:t xml:space="preserve">continúa afectando al país de manera significativa, particularmente </w:t>
      </w:r>
      <w:proofErr w:type="gramStart"/>
      <w:r w:rsidR="002D5500">
        <w:rPr>
          <w:rFonts w:asciiTheme="majorBidi" w:eastAsia="Calibri Light" w:hAnsiTheme="majorBidi" w:cstheme="majorBidi"/>
          <w:color w:val="000000" w:themeColor="text1"/>
          <w:lang w:val="es-ES"/>
        </w:rPr>
        <w:t>niños y niñas</w:t>
      </w:r>
      <w:proofErr w:type="gramEnd"/>
      <w:r w:rsidR="002D5500">
        <w:rPr>
          <w:rFonts w:asciiTheme="majorBidi" w:eastAsia="Calibri Light" w:hAnsiTheme="majorBidi" w:cstheme="majorBidi"/>
          <w:color w:val="000000" w:themeColor="text1"/>
          <w:lang w:val="es-ES"/>
        </w:rPr>
        <w:t xml:space="preserve"> menores de 5 años. </w:t>
      </w:r>
      <w:r w:rsidR="00F755CC">
        <w:rPr>
          <w:rFonts w:asciiTheme="majorBidi" w:eastAsia="Calibri Light" w:hAnsiTheme="majorBidi" w:cstheme="majorBidi"/>
          <w:color w:val="000000" w:themeColor="text1"/>
          <w:lang w:val="es-ES"/>
        </w:rPr>
        <w:t xml:space="preserve">Para la semana 23 (1 al 7/06/2025) el </w:t>
      </w:r>
      <w:r w:rsidR="002B3C01">
        <w:rPr>
          <w:rFonts w:asciiTheme="majorBidi" w:eastAsia="Calibri Light" w:hAnsiTheme="majorBidi" w:cstheme="majorBidi"/>
          <w:color w:val="000000" w:themeColor="text1"/>
          <w:lang w:val="es-ES"/>
        </w:rPr>
        <w:t>Ministerio de Salud reporta un acumulado de 11,212 casos de desnutrición aguda</w:t>
      </w:r>
      <w:r w:rsidR="007C0D2B">
        <w:rPr>
          <w:rFonts w:asciiTheme="majorBidi" w:eastAsia="Calibri Light" w:hAnsiTheme="majorBidi" w:cstheme="majorBidi"/>
          <w:color w:val="000000" w:themeColor="text1"/>
          <w:lang w:val="es-ES"/>
        </w:rPr>
        <w:t xml:space="preserve">, de los cuales el 17.1 son casos graves. </w:t>
      </w:r>
      <w:r w:rsidR="00CC0357">
        <w:rPr>
          <w:rFonts w:asciiTheme="majorBidi" w:eastAsia="Calibri Light" w:hAnsiTheme="majorBidi" w:cstheme="majorBidi"/>
          <w:color w:val="000000" w:themeColor="text1"/>
          <w:lang w:val="es-ES"/>
        </w:rPr>
        <w:t xml:space="preserve">Estos datos son superiores a los </w:t>
      </w:r>
      <w:r w:rsidR="00AD42FE">
        <w:rPr>
          <w:rFonts w:asciiTheme="majorBidi" w:eastAsia="Calibri Light" w:hAnsiTheme="majorBidi" w:cstheme="majorBidi"/>
          <w:color w:val="000000" w:themeColor="text1"/>
          <w:lang w:val="es-ES"/>
        </w:rPr>
        <w:t xml:space="preserve">observados entre los años 2021-2024, sin embargo, dicho ministerio, considera que la tendencia se encuentre entre los límites de confianza </w:t>
      </w:r>
      <w:r w:rsidR="00371DB7">
        <w:rPr>
          <w:rFonts w:asciiTheme="majorBidi" w:eastAsia="Calibri Light" w:hAnsiTheme="majorBidi" w:cstheme="majorBidi"/>
          <w:color w:val="000000" w:themeColor="text1"/>
          <w:lang w:val="es-ES"/>
        </w:rPr>
        <w:t>del 95%</w:t>
      </w:r>
      <w:r w:rsidR="00C24D98">
        <w:rPr>
          <w:rStyle w:val="Refdenotaalpie"/>
          <w:rFonts w:asciiTheme="majorBidi" w:eastAsia="Calibri Light" w:hAnsiTheme="majorBidi"/>
          <w:color w:val="000000" w:themeColor="text1"/>
          <w:lang w:val="es-ES"/>
        </w:rPr>
        <w:footnoteReference w:id="91"/>
      </w:r>
      <w:r w:rsidR="00371DB7">
        <w:rPr>
          <w:rFonts w:asciiTheme="majorBidi" w:eastAsia="Calibri Light" w:hAnsiTheme="majorBidi" w:cstheme="majorBidi"/>
          <w:color w:val="000000" w:themeColor="text1"/>
          <w:lang w:val="es-ES"/>
        </w:rPr>
        <w:t>.</w:t>
      </w:r>
      <w:r w:rsidR="001036D9">
        <w:rPr>
          <w:rFonts w:asciiTheme="majorBidi" w:eastAsia="Calibri Light" w:hAnsiTheme="majorBidi" w:cstheme="majorBidi"/>
          <w:color w:val="000000" w:themeColor="text1"/>
          <w:lang w:val="es-ES"/>
        </w:rPr>
        <w:t xml:space="preserve"> En cuanto a desnutrición crónica el censo de talla 2024 de </w:t>
      </w:r>
      <w:proofErr w:type="gramStart"/>
      <w:r w:rsidR="001036D9">
        <w:rPr>
          <w:rFonts w:asciiTheme="majorBidi" w:eastAsia="Calibri Light" w:hAnsiTheme="majorBidi" w:cstheme="majorBidi"/>
          <w:color w:val="000000" w:themeColor="text1"/>
          <w:lang w:val="es-ES"/>
        </w:rPr>
        <w:t>niños y niñas</w:t>
      </w:r>
      <w:proofErr w:type="gramEnd"/>
      <w:r w:rsidR="001036D9">
        <w:rPr>
          <w:rFonts w:asciiTheme="majorBidi" w:eastAsia="Calibri Light" w:hAnsiTheme="majorBidi" w:cstheme="majorBidi"/>
          <w:color w:val="000000" w:themeColor="text1"/>
          <w:lang w:val="es-ES"/>
        </w:rPr>
        <w:t xml:space="preserve"> de primer grado de primaria comprendidos entre 6 y 9 años muestra un 31.7% en promedio de retardo en talla, sin </w:t>
      </w:r>
      <w:proofErr w:type="gramStart"/>
      <w:r w:rsidR="001036D9">
        <w:rPr>
          <w:rFonts w:asciiTheme="majorBidi" w:eastAsia="Calibri Light" w:hAnsiTheme="majorBidi" w:cstheme="majorBidi"/>
          <w:color w:val="000000" w:themeColor="text1"/>
          <w:lang w:val="es-ES"/>
        </w:rPr>
        <w:t>embargo</w:t>
      </w:r>
      <w:proofErr w:type="gramEnd"/>
      <w:r w:rsidR="001036D9">
        <w:rPr>
          <w:rFonts w:asciiTheme="majorBidi" w:eastAsia="Calibri Light" w:hAnsiTheme="majorBidi" w:cstheme="majorBidi"/>
          <w:color w:val="000000" w:themeColor="text1"/>
          <w:lang w:val="es-ES"/>
        </w:rPr>
        <w:t xml:space="preserve"> este dato se eleva a un 45.6% en niños/as de 9 </w:t>
      </w:r>
      <w:proofErr w:type="gramStart"/>
      <w:r w:rsidR="001036D9">
        <w:rPr>
          <w:rFonts w:asciiTheme="majorBidi" w:eastAsia="Calibri Light" w:hAnsiTheme="majorBidi" w:cstheme="majorBidi"/>
          <w:color w:val="000000" w:themeColor="text1"/>
          <w:lang w:val="es-ES"/>
        </w:rPr>
        <w:t>años de edad</w:t>
      </w:r>
      <w:proofErr w:type="gramEnd"/>
      <w:r w:rsidR="00D1577C">
        <w:rPr>
          <w:rFonts w:asciiTheme="majorBidi" w:eastAsia="Calibri Light" w:hAnsiTheme="majorBidi" w:cstheme="majorBidi"/>
          <w:color w:val="000000" w:themeColor="text1"/>
          <w:lang w:val="es-ES"/>
        </w:rPr>
        <w:t>, de ellos 7.2 y 6.4 en niños y niñas son casos severos</w:t>
      </w:r>
      <w:r w:rsidR="001036D9">
        <w:rPr>
          <w:rStyle w:val="Refdenotaalpie"/>
          <w:rFonts w:asciiTheme="majorBidi" w:eastAsia="Calibri Light" w:hAnsiTheme="majorBidi"/>
          <w:color w:val="000000" w:themeColor="text1"/>
          <w:lang w:val="es-ES"/>
        </w:rPr>
        <w:footnoteReference w:id="92"/>
      </w:r>
      <w:r w:rsidR="001036D9">
        <w:rPr>
          <w:rFonts w:asciiTheme="majorBidi" w:eastAsia="Calibri Light" w:hAnsiTheme="majorBidi" w:cstheme="majorBidi"/>
          <w:color w:val="000000" w:themeColor="text1"/>
          <w:lang w:val="es-ES"/>
        </w:rPr>
        <w:t xml:space="preserve">. </w:t>
      </w:r>
      <w:r w:rsidR="00D1577C">
        <w:rPr>
          <w:rFonts w:asciiTheme="majorBidi" w:eastAsia="Calibri Light" w:hAnsiTheme="majorBidi" w:cstheme="majorBidi"/>
          <w:color w:val="000000" w:themeColor="text1"/>
          <w:lang w:val="es-ES"/>
        </w:rPr>
        <w:t xml:space="preserve">Del total de la población censada la prevalencia en </w:t>
      </w:r>
      <w:proofErr w:type="gramStart"/>
      <w:r w:rsidR="00D1577C">
        <w:rPr>
          <w:rFonts w:asciiTheme="majorBidi" w:eastAsia="Calibri Light" w:hAnsiTheme="majorBidi" w:cstheme="majorBidi"/>
          <w:color w:val="000000" w:themeColor="text1"/>
          <w:lang w:val="es-ES"/>
        </w:rPr>
        <w:t>niños y niñas</w:t>
      </w:r>
      <w:proofErr w:type="gramEnd"/>
      <w:r w:rsidR="00D1577C">
        <w:rPr>
          <w:rFonts w:asciiTheme="majorBidi" w:eastAsia="Calibri Light" w:hAnsiTheme="majorBidi" w:cstheme="majorBidi"/>
          <w:color w:val="000000" w:themeColor="text1"/>
          <w:lang w:val="es-ES"/>
        </w:rPr>
        <w:t xml:space="preserve"> que están por encima del promedio nacional de retardo en talla, pertenecen a 20 comunidades lingüísticas de pueblos indígenas, de las cuales las más altas son q’anjob’al (51.8%), mam (52.5%), Akateko (61%), Chorti (62.2%) y Chuj (68.7%). </w:t>
      </w:r>
      <w:r w:rsidR="00225F7A">
        <w:rPr>
          <w:rFonts w:asciiTheme="majorBidi" w:eastAsia="Calibri Light" w:hAnsiTheme="majorBidi" w:cstheme="majorBidi"/>
          <w:color w:val="000000" w:themeColor="text1"/>
          <w:lang w:val="es-ES"/>
        </w:rPr>
        <w:t>La mayor vulnerabilidad nutricional se sitúa en departamentos con población indígena, entre ellos Alta Verapaz (38.1%), Solol</w:t>
      </w:r>
      <w:r w:rsidR="00333BB6">
        <w:rPr>
          <w:rFonts w:asciiTheme="majorBidi" w:eastAsia="Calibri Light" w:hAnsiTheme="majorBidi" w:cstheme="majorBidi"/>
          <w:color w:val="000000" w:themeColor="text1"/>
          <w:lang w:val="es-ES"/>
        </w:rPr>
        <w:t>á</w:t>
      </w:r>
      <w:r w:rsidR="00225F7A">
        <w:rPr>
          <w:rFonts w:asciiTheme="majorBidi" w:eastAsia="Calibri Light" w:hAnsiTheme="majorBidi" w:cstheme="majorBidi"/>
          <w:color w:val="000000" w:themeColor="text1"/>
          <w:lang w:val="es-ES"/>
        </w:rPr>
        <w:t xml:space="preserve"> (38.4%), Chiquimula (40.5%), Huehuetenango (45.6%), Quiché (45.6%) y Totonicapán (48.6%)</w:t>
      </w:r>
      <w:r w:rsidR="00225F7A">
        <w:rPr>
          <w:rStyle w:val="Refdenotaalpie"/>
          <w:rFonts w:asciiTheme="majorBidi" w:eastAsia="Calibri Light" w:hAnsiTheme="majorBidi"/>
          <w:color w:val="000000" w:themeColor="text1"/>
          <w:lang w:val="es-ES"/>
        </w:rPr>
        <w:footnoteReference w:id="93"/>
      </w:r>
      <w:r w:rsidR="00225F7A">
        <w:rPr>
          <w:rFonts w:asciiTheme="majorBidi" w:eastAsia="Calibri Light" w:hAnsiTheme="majorBidi" w:cstheme="majorBidi"/>
          <w:color w:val="000000" w:themeColor="text1"/>
          <w:lang w:val="es-ES"/>
        </w:rPr>
        <w:t xml:space="preserve">. </w:t>
      </w:r>
      <w:r w:rsidR="001036D9">
        <w:rPr>
          <w:rFonts w:asciiTheme="majorBidi" w:eastAsia="Calibri Light" w:hAnsiTheme="majorBidi" w:cstheme="majorBidi"/>
          <w:color w:val="000000" w:themeColor="text1"/>
          <w:lang w:val="es-ES"/>
        </w:rPr>
        <w:t>S</w:t>
      </w:r>
      <w:r w:rsidRPr="009E2A0E">
        <w:rPr>
          <w:rFonts w:asciiTheme="majorBidi" w:eastAsia="Calibri Light" w:hAnsiTheme="majorBidi" w:cstheme="majorBidi"/>
          <w:color w:val="000000" w:themeColor="text1"/>
          <w:lang w:val="es-ES"/>
        </w:rPr>
        <w:t>egún el Banco Mundial, Guatemala tiene una de las tasas más altas de desnutrición crónica a nivel mundial</w:t>
      </w:r>
      <w:r w:rsidRPr="009E2A0E">
        <w:rPr>
          <w:rStyle w:val="Refdenotaalpie"/>
          <w:rFonts w:asciiTheme="majorBidi" w:eastAsia="Calibri Light" w:hAnsiTheme="majorBidi" w:cstheme="majorBidi"/>
          <w:color w:val="000000" w:themeColor="text1"/>
          <w:sz w:val="22"/>
          <w:lang w:val="es-ES"/>
        </w:rPr>
        <w:footnoteReference w:id="94"/>
      </w:r>
      <w:r w:rsidRPr="009E2A0E">
        <w:rPr>
          <w:rFonts w:asciiTheme="majorBidi" w:eastAsia="Calibri Light" w:hAnsiTheme="majorBidi" w:cstheme="majorBidi"/>
          <w:color w:val="000000" w:themeColor="text1"/>
          <w:lang w:val="es-ES"/>
        </w:rPr>
        <w:t>.</w:t>
      </w:r>
    </w:p>
    <w:p w14:paraId="0914BE27" w14:textId="77777777" w:rsidR="00C870F1" w:rsidRPr="009E2A0E" w:rsidRDefault="00C870F1" w:rsidP="00197C3D">
      <w:pPr>
        <w:pStyle w:val="Prrafodelista"/>
        <w:numPr>
          <w:ilvl w:val="2"/>
          <w:numId w:val="8"/>
        </w:numPr>
        <w:outlineLvl w:val="2"/>
        <w:rPr>
          <w:rFonts w:asciiTheme="majorBidi" w:hAnsiTheme="majorBidi" w:cstheme="majorBidi"/>
          <w:b/>
          <w:bCs/>
          <w:color w:val="000000" w:themeColor="text1"/>
          <w:lang w:val="es-MX"/>
        </w:rPr>
      </w:pPr>
      <w:bookmarkStart w:id="35" w:name="_Toc204264057"/>
      <w:r w:rsidRPr="009E2A0E">
        <w:rPr>
          <w:rFonts w:asciiTheme="majorBidi" w:hAnsiTheme="majorBidi" w:cstheme="majorBidi"/>
          <w:b/>
          <w:bCs/>
          <w:color w:val="000000" w:themeColor="text1"/>
          <w:lang w:val="es-MX"/>
        </w:rPr>
        <w:t>Educación</w:t>
      </w:r>
      <w:bookmarkEnd w:id="35"/>
      <w:r w:rsidRPr="009E2A0E">
        <w:rPr>
          <w:rFonts w:asciiTheme="majorBidi" w:hAnsiTheme="majorBidi" w:cstheme="majorBidi"/>
          <w:b/>
          <w:bCs/>
          <w:color w:val="000000" w:themeColor="text1"/>
          <w:lang w:val="es-MX"/>
        </w:rPr>
        <w:t xml:space="preserve"> </w:t>
      </w:r>
    </w:p>
    <w:p w14:paraId="7BCF8248" w14:textId="454DEBAD" w:rsidR="00C870F1" w:rsidRPr="009E2A0E" w:rsidRDefault="00C870F1" w:rsidP="00C870F1">
      <w:pPr>
        <w:spacing w:before="120" w:after="120" w:line="276" w:lineRule="auto"/>
        <w:ind w:right="-20"/>
        <w:jc w:val="both"/>
        <w:rPr>
          <w:rFonts w:asciiTheme="majorBidi" w:eastAsia="Calibri Light" w:hAnsiTheme="majorBidi" w:cstheme="majorBidi"/>
          <w:color w:val="000000" w:themeColor="text1"/>
          <w:lang w:val="es-ES"/>
        </w:rPr>
      </w:pPr>
      <w:r w:rsidRPr="009E2A0E">
        <w:rPr>
          <w:rFonts w:asciiTheme="majorBidi" w:eastAsia="Calibri Light" w:hAnsiTheme="majorBidi" w:cstheme="majorBidi"/>
          <w:color w:val="000000" w:themeColor="text1"/>
          <w:lang w:val="es-ES"/>
        </w:rPr>
        <w:t xml:space="preserve">Persisten limitaciones en el acceso a la educación bilingüe en los idiomas propios de los pueblos indígenas. La información disponible muestra que en la última década se </w:t>
      </w:r>
      <w:r w:rsidR="001831E9">
        <w:rPr>
          <w:rFonts w:asciiTheme="majorBidi" w:eastAsia="Calibri Light" w:hAnsiTheme="majorBidi" w:cstheme="majorBidi"/>
          <w:color w:val="000000" w:themeColor="text1"/>
          <w:lang w:val="es-ES"/>
        </w:rPr>
        <w:t xml:space="preserve">ha </w:t>
      </w:r>
      <w:r w:rsidRPr="009E2A0E">
        <w:rPr>
          <w:rFonts w:asciiTheme="majorBidi" w:eastAsia="Calibri Light" w:hAnsiTheme="majorBidi" w:cstheme="majorBidi"/>
          <w:color w:val="000000" w:themeColor="text1"/>
          <w:lang w:val="es-ES"/>
        </w:rPr>
        <w:t>debilitado el uso de los idiomas nacionales (de 30.9% a 29.7%), mostrando riesgos de supervivencia debido a su decrecimiento (particularmente los idiomas Itzá y Kaqchikel), en tanto que el español se incrementó en un 1% alcanzando un 69.9%, colocando con ello la necesidad de fortalecer políticas educativas acordes a sus necesidades, contexto y cultura</w:t>
      </w:r>
      <w:r w:rsidRPr="009E2A0E">
        <w:rPr>
          <w:rStyle w:val="Refdenotaalpie"/>
          <w:rFonts w:asciiTheme="majorBidi" w:eastAsia="Calibri Light" w:hAnsiTheme="majorBidi" w:cstheme="majorBidi"/>
          <w:color w:val="000000" w:themeColor="text1"/>
          <w:sz w:val="22"/>
          <w:lang w:val="es-ES"/>
        </w:rPr>
        <w:footnoteReference w:id="95"/>
      </w:r>
      <w:r w:rsidRPr="009E2A0E">
        <w:rPr>
          <w:rFonts w:asciiTheme="majorBidi" w:eastAsia="Calibri Light" w:hAnsiTheme="majorBidi" w:cstheme="majorBidi"/>
          <w:color w:val="000000" w:themeColor="text1"/>
          <w:lang w:val="es-ES"/>
        </w:rPr>
        <w:t>.</w:t>
      </w:r>
    </w:p>
    <w:p w14:paraId="6065187A" w14:textId="456A3D66" w:rsidR="00BA2BC3" w:rsidRPr="009E2A0E" w:rsidRDefault="00C870F1" w:rsidP="00BA2BC3">
      <w:pPr>
        <w:spacing w:before="120" w:after="120" w:line="276" w:lineRule="auto"/>
        <w:ind w:right="-20"/>
        <w:jc w:val="both"/>
        <w:rPr>
          <w:rFonts w:asciiTheme="majorBidi" w:eastAsia="Calibri Light" w:hAnsiTheme="majorBidi" w:cstheme="majorBidi"/>
          <w:color w:val="000000" w:themeColor="text1"/>
        </w:rPr>
      </w:pPr>
      <w:r w:rsidRPr="009E2A0E">
        <w:rPr>
          <w:rFonts w:asciiTheme="majorBidi" w:eastAsia="Calibri Light" w:hAnsiTheme="majorBidi" w:cstheme="majorBidi"/>
          <w:color w:val="000000" w:themeColor="text1"/>
        </w:rPr>
        <w:t>A inicios del siglo XX el derecho a la educación bilingüe estaba matizado por las políticas indigenistas y asimilacion</w:t>
      </w:r>
      <w:r w:rsidR="001831E9">
        <w:rPr>
          <w:rFonts w:asciiTheme="majorBidi" w:eastAsia="Calibri Light" w:hAnsiTheme="majorBidi" w:cstheme="majorBidi"/>
          <w:color w:val="000000" w:themeColor="text1"/>
        </w:rPr>
        <w:t>is</w:t>
      </w:r>
      <w:r w:rsidRPr="009E2A0E">
        <w:rPr>
          <w:rFonts w:asciiTheme="majorBidi" w:eastAsia="Calibri Light" w:hAnsiTheme="majorBidi" w:cstheme="majorBidi"/>
          <w:color w:val="000000" w:themeColor="text1"/>
        </w:rPr>
        <w:t xml:space="preserve">tas que persistieron hasta los inicios del período “democrático” y el proceso de paz. Para acceder a la educación </w:t>
      </w:r>
      <w:proofErr w:type="gramStart"/>
      <w:r w:rsidRPr="009E2A0E">
        <w:rPr>
          <w:rFonts w:asciiTheme="majorBidi" w:eastAsia="Calibri Light" w:hAnsiTheme="majorBidi" w:cstheme="majorBidi"/>
          <w:color w:val="000000" w:themeColor="text1"/>
        </w:rPr>
        <w:t>los niños y las niñas</w:t>
      </w:r>
      <w:proofErr w:type="gramEnd"/>
      <w:r w:rsidRPr="009E2A0E">
        <w:rPr>
          <w:rFonts w:asciiTheme="majorBidi" w:eastAsia="Calibri Light" w:hAnsiTheme="majorBidi" w:cstheme="majorBidi"/>
          <w:color w:val="000000" w:themeColor="text1"/>
        </w:rPr>
        <w:t xml:space="preserve">, primero debían aprender a hablar el idioma español, lo cual representó para muchos la pérdida de su identidad cultural, </w:t>
      </w:r>
      <w:r w:rsidR="001831E9">
        <w:rPr>
          <w:rFonts w:asciiTheme="majorBidi" w:eastAsia="Calibri Light" w:hAnsiTheme="majorBidi" w:cstheme="majorBidi"/>
          <w:color w:val="000000" w:themeColor="text1"/>
        </w:rPr>
        <w:t xml:space="preserve">dificultad para la </w:t>
      </w:r>
      <w:r w:rsidRPr="009E2A0E">
        <w:rPr>
          <w:rFonts w:asciiTheme="majorBidi" w:eastAsia="Calibri Light" w:hAnsiTheme="majorBidi" w:cstheme="majorBidi"/>
          <w:color w:val="000000" w:themeColor="text1"/>
        </w:rPr>
        <w:t>comprensión de los valores de los pueblos indígenas, su cosmovisión y su relación con la madre tierra y la naturaleza</w:t>
      </w:r>
      <w:r w:rsidRPr="009E2A0E">
        <w:rPr>
          <w:rStyle w:val="Refdenotaalpie"/>
          <w:rFonts w:asciiTheme="majorBidi" w:eastAsia="Times New Roman" w:hAnsiTheme="majorBidi" w:cstheme="majorBidi"/>
          <w:color w:val="000000" w:themeColor="text1"/>
          <w:sz w:val="22"/>
        </w:rPr>
        <w:footnoteReference w:id="96"/>
      </w:r>
      <w:r w:rsidRPr="009E2A0E">
        <w:rPr>
          <w:rFonts w:asciiTheme="majorBidi" w:eastAsia="Calibri Light" w:hAnsiTheme="majorBidi" w:cstheme="majorBidi"/>
          <w:color w:val="000000" w:themeColor="text1"/>
        </w:rPr>
        <w:t>.</w:t>
      </w:r>
    </w:p>
    <w:p w14:paraId="16DB1D21" w14:textId="55D0D35C" w:rsidR="00BA2BC3" w:rsidRDefault="00BA2BC3" w:rsidP="00BA2BC3">
      <w:pPr>
        <w:jc w:val="both"/>
        <w:rPr>
          <w:rFonts w:asciiTheme="majorBidi" w:eastAsia="Times New Roman" w:hAnsiTheme="majorBidi" w:cstheme="majorBidi"/>
          <w:color w:val="000000" w:themeColor="text1"/>
        </w:rPr>
      </w:pPr>
      <w:r w:rsidRPr="009E2A0E">
        <w:rPr>
          <w:rFonts w:asciiTheme="majorBidi" w:eastAsia="Times New Roman" w:hAnsiTheme="majorBidi" w:cstheme="majorBidi"/>
          <w:color w:val="000000" w:themeColor="text1"/>
        </w:rPr>
        <w:lastRenderedPageBreak/>
        <w:t xml:space="preserve">El 23 de octubre de 2019, la Corte Suprema de Justicia otorgó un amparo provisional y, en mayo de 2020, resolvió, en </w:t>
      </w:r>
      <w:proofErr w:type="gramStart"/>
      <w:r w:rsidRPr="009E2A0E">
        <w:rPr>
          <w:rFonts w:asciiTheme="majorBidi" w:eastAsia="Times New Roman" w:hAnsiTheme="majorBidi" w:cstheme="majorBidi"/>
          <w:color w:val="000000" w:themeColor="text1"/>
        </w:rPr>
        <w:t>definitiva</w:t>
      </w:r>
      <w:proofErr w:type="gramEnd"/>
      <w:r w:rsidRPr="009E2A0E">
        <w:rPr>
          <w:rFonts w:asciiTheme="majorBidi" w:eastAsia="Times New Roman" w:hAnsiTheme="majorBidi" w:cstheme="majorBidi"/>
          <w:color w:val="000000" w:themeColor="text1"/>
        </w:rPr>
        <w:t xml:space="preserve"> el </w:t>
      </w:r>
      <w:proofErr w:type="gramStart"/>
      <w:r w:rsidRPr="009E2A0E">
        <w:rPr>
          <w:rFonts w:asciiTheme="majorBidi" w:eastAsia="Times New Roman" w:hAnsiTheme="majorBidi" w:cstheme="majorBidi"/>
          <w:color w:val="000000" w:themeColor="text1"/>
        </w:rPr>
        <w:t xml:space="preserve">amparo </w:t>
      </w:r>
      <w:r w:rsidRPr="009E2A0E">
        <w:rPr>
          <w:rFonts w:asciiTheme="majorBidi" w:eastAsia="Times New Roman" w:hAnsiTheme="majorBidi" w:cstheme="majorBidi"/>
          <w:color w:val="000000" w:themeColor="text1"/>
          <w:shd w:val="clear" w:color="auto" w:fill="FFFFFF"/>
        </w:rPr>
        <w:t xml:space="preserve"> No.  1773</w:t>
      </w:r>
      <w:proofErr w:type="gramEnd"/>
      <w:r w:rsidRPr="009E2A0E">
        <w:rPr>
          <w:rFonts w:asciiTheme="majorBidi" w:eastAsia="Times New Roman" w:hAnsiTheme="majorBidi" w:cstheme="majorBidi"/>
          <w:color w:val="000000" w:themeColor="text1"/>
          <w:shd w:val="clear" w:color="auto" w:fill="FFFFFF"/>
        </w:rPr>
        <w:t xml:space="preserve">-2017 que denunciaba que se violentaba el derecho de la niñez a la educación bilingüe multicultural e intercultural, del uso de la lengua materna en las aulas, la no discriminación, la integridad y vida cultural de las comunidades. Esta acción </w:t>
      </w:r>
      <w:proofErr w:type="gramStart"/>
      <w:r w:rsidRPr="009E2A0E">
        <w:rPr>
          <w:rFonts w:asciiTheme="majorBidi" w:eastAsia="Times New Roman" w:hAnsiTheme="majorBidi" w:cstheme="majorBidi"/>
          <w:color w:val="000000" w:themeColor="text1"/>
          <w:shd w:val="clear" w:color="auto" w:fill="FFFFFF"/>
        </w:rPr>
        <w:t>fue  interpuesta</w:t>
      </w:r>
      <w:proofErr w:type="gramEnd"/>
      <w:r w:rsidRPr="009E2A0E">
        <w:rPr>
          <w:rFonts w:asciiTheme="majorBidi" w:eastAsia="Times New Roman" w:hAnsiTheme="majorBidi" w:cstheme="majorBidi"/>
          <w:color w:val="000000" w:themeColor="text1"/>
          <w:shd w:val="clear" w:color="auto" w:fill="FFFFFF"/>
        </w:rPr>
        <w:t xml:space="preserve"> por </w:t>
      </w:r>
      <w:proofErr w:type="gramStart"/>
      <w:r w:rsidRPr="009E2A0E">
        <w:rPr>
          <w:rFonts w:asciiTheme="majorBidi" w:eastAsia="Times New Roman" w:hAnsiTheme="majorBidi" w:cstheme="majorBidi"/>
          <w:color w:val="000000" w:themeColor="text1"/>
          <w:shd w:val="clear" w:color="auto" w:fill="FFFFFF"/>
        </w:rPr>
        <w:t>las  Autoridades</w:t>
      </w:r>
      <w:proofErr w:type="gramEnd"/>
      <w:r w:rsidRPr="009E2A0E">
        <w:rPr>
          <w:rFonts w:asciiTheme="majorBidi" w:eastAsia="Times New Roman" w:hAnsiTheme="majorBidi" w:cstheme="majorBidi"/>
          <w:color w:val="000000" w:themeColor="text1"/>
          <w:shd w:val="clear" w:color="auto" w:fill="FFFFFF"/>
        </w:rPr>
        <w:t xml:space="preserve"> de la Alcaldía comunitaria de Cerro de Oro, Alcaldía Indígena de Panajachel y Alcaldía Indígena de Chirijox, Santa Catarina Ixtahuacán. Lamentablemente el Ministerio de Educación apeló dicha resolución en la Corte de Constitucionalidad</w:t>
      </w:r>
      <w:r w:rsidRPr="009E2A0E">
        <w:rPr>
          <w:rFonts w:asciiTheme="majorBidi" w:eastAsia="Times New Roman" w:hAnsiTheme="majorBidi" w:cstheme="majorBidi"/>
          <w:color w:val="000000" w:themeColor="text1"/>
        </w:rPr>
        <w:t xml:space="preserve"> por lo </w:t>
      </w:r>
      <w:proofErr w:type="gramStart"/>
      <w:r w:rsidRPr="009E2A0E">
        <w:rPr>
          <w:rFonts w:asciiTheme="majorBidi" w:eastAsia="Times New Roman" w:hAnsiTheme="majorBidi" w:cstheme="majorBidi"/>
          <w:color w:val="000000" w:themeColor="text1"/>
        </w:rPr>
        <w:t>que</w:t>
      </w:r>
      <w:proofErr w:type="gramEnd"/>
      <w:r w:rsidRPr="009E2A0E">
        <w:rPr>
          <w:rFonts w:asciiTheme="majorBidi" w:eastAsia="Times New Roman" w:hAnsiTheme="majorBidi" w:cstheme="majorBidi"/>
          <w:color w:val="000000" w:themeColor="text1"/>
        </w:rPr>
        <w:t xml:space="preserve"> en el año 2024, mediante expediente </w:t>
      </w:r>
      <w:hyperlink r:id="rId16" w:history="1">
        <w:r w:rsidRPr="009E2A0E">
          <w:rPr>
            <w:rStyle w:val="Hipervnculo"/>
            <w:rFonts w:asciiTheme="majorBidi" w:eastAsia="Times New Roman" w:hAnsiTheme="majorBidi" w:cstheme="majorBidi"/>
            <w:color w:val="000000" w:themeColor="text1"/>
            <w:u w:val="none"/>
          </w:rPr>
          <w:t>3134-2021</w:t>
        </w:r>
      </w:hyperlink>
      <w:r w:rsidRPr="009E2A0E">
        <w:rPr>
          <w:rFonts w:asciiTheme="majorBidi" w:eastAsia="Times New Roman" w:hAnsiTheme="majorBidi" w:cstheme="majorBidi"/>
          <w:color w:val="000000" w:themeColor="text1"/>
        </w:rPr>
        <w:t xml:space="preserve"> la Corte falló a favor del Ministerio</w:t>
      </w:r>
      <w:r w:rsidR="001831E9">
        <w:rPr>
          <w:rFonts w:asciiTheme="majorBidi" w:eastAsia="Times New Roman" w:hAnsiTheme="majorBidi" w:cstheme="majorBidi"/>
          <w:color w:val="000000" w:themeColor="text1"/>
        </w:rPr>
        <w:t>, lo cual representó u</w:t>
      </w:r>
      <w:r w:rsidRPr="009E2A0E">
        <w:rPr>
          <w:rFonts w:asciiTheme="majorBidi" w:eastAsia="Times New Roman" w:hAnsiTheme="majorBidi" w:cstheme="majorBidi"/>
          <w:color w:val="000000" w:themeColor="text1"/>
        </w:rPr>
        <w:t>n revés para las comunidades</w:t>
      </w:r>
      <w:r w:rsidR="001831E9">
        <w:rPr>
          <w:rFonts w:asciiTheme="majorBidi" w:eastAsia="Times New Roman" w:hAnsiTheme="majorBidi" w:cstheme="majorBidi"/>
          <w:color w:val="000000" w:themeColor="text1"/>
        </w:rPr>
        <w:t>, quienes aún no veían solución a la problemática planteada</w:t>
      </w:r>
      <w:r w:rsidRPr="009E2A0E">
        <w:rPr>
          <w:rFonts w:asciiTheme="majorBidi" w:eastAsia="Times New Roman" w:hAnsiTheme="majorBidi" w:cstheme="majorBidi"/>
          <w:color w:val="000000" w:themeColor="text1"/>
        </w:rPr>
        <w:t xml:space="preserve">. No obstante, con la nueva administración </w:t>
      </w:r>
      <w:proofErr w:type="gramStart"/>
      <w:r w:rsidRPr="009E2A0E">
        <w:rPr>
          <w:rFonts w:asciiTheme="majorBidi" w:eastAsia="Times New Roman" w:hAnsiTheme="majorBidi" w:cstheme="majorBidi"/>
          <w:color w:val="000000" w:themeColor="text1"/>
        </w:rPr>
        <w:t>de  gobierno</w:t>
      </w:r>
      <w:proofErr w:type="gramEnd"/>
      <w:r w:rsidRPr="009E2A0E">
        <w:rPr>
          <w:rFonts w:asciiTheme="majorBidi" w:eastAsia="Times New Roman" w:hAnsiTheme="majorBidi" w:cstheme="majorBidi"/>
          <w:color w:val="000000" w:themeColor="text1"/>
        </w:rPr>
        <w:t xml:space="preserve">  se han observado progresos, tales como la elaboración del currículo local, la optimización de las condiciones de infraestructura educativa, dotar de equipo tecnológico. Dicho proceso se realiza en el marco de un proceso de diálogo, sin embargo, el camino para satisfacer las necesidades educativas de las comunidades todavía es extenso. </w:t>
      </w:r>
    </w:p>
    <w:p w14:paraId="39B28F75" w14:textId="5EA3AC8E" w:rsidR="001831E9" w:rsidRPr="005A43B2" w:rsidRDefault="001831E9" w:rsidP="001831E9">
      <w:pPr>
        <w:jc w:val="both"/>
        <w:rPr>
          <w:rFonts w:asciiTheme="majorBidi" w:hAnsiTheme="majorBidi" w:cstheme="majorBidi"/>
        </w:rPr>
      </w:pPr>
      <w:r w:rsidRPr="005A43B2">
        <w:rPr>
          <w:rFonts w:asciiTheme="majorBidi" w:eastAsia="Times New Roman" w:hAnsiTheme="majorBidi" w:cstheme="majorBidi"/>
          <w:color w:val="000000" w:themeColor="text1"/>
        </w:rPr>
        <w:t xml:space="preserve">Otro caso paradigmático relacionado con este </w:t>
      </w:r>
      <w:proofErr w:type="gramStart"/>
      <w:r w:rsidRPr="005A43B2">
        <w:rPr>
          <w:rFonts w:asciiTheme="majorBidi" w:eastAsia="Times New Roman" w:hAnsiTheme="majorBidi" w:cstheme="majorBidi"/>
          <w:color w:val="000000" w:themeColor="text1"/>
        </w:rPr>
        <w:t>derecho,</w:t>
      </w:r>
      <w:proofErr w:type="gramEnd"/>
      <w:r w:rsidRPr="005A43B2">
        <w:rPr>
          <w:rFonts w:asciiTheme="majorBidi" w:eastAsia="Times New Roman" w:hAnsiTheme="majorBidi" w:cstheme="majorBidi"/>
          <w:color w:val="000000" w:themeColor="text1"/>
        </w:rPr>
        <w:t xml:space="preserve"> </w:t>
      </w:r>
      <w:r w:rsidRPr="005A43B2">
        <w:rPr>
          <w:rFonts w:asciiTheme="majorBidi" w:hAnsiTheme="majorBidi" w:cstheme="majorBidi"/>
        </w:rPr>
        <w:t xml:space="preserve">es la sentencia de la Corte de Constitucionalidad de fecha 05 de julio del año 2016 contenida </w:t>
      </w:r>
      <w:proofErr w:type="gramStart"/>
      <w:r w:rsidRPr="005A43B2">
        <w:rPr>
          <w:rFonts w:asciiTheme="majorBidi" w:hAnsiTheme="majorBidi" w:cstheme="majorBidi"/>
        </w:rPr>
        <w:t>en  el</w:t>
      </w:r>
      <w:proofErr w:type="gramEnd"/>
      <w:r w:rsidRPr="005A43B2">
        <w:rPr>
          <w:rFonts w:asciiTheme="majorBidi" w:hAnsiTheme="majorBidi" w:cstheme="majorBidi"/>
        </w:rPr>
        <w:t xml:space="preserve"> expediente acumulativo No. </w:t>
      </w:r>
      <w:hyperlink r:id="rId17" w:history="1">
        <w:r w:rsidRPr="005A43B2">
          <w:rPr>
            <w:rStyle w:val="Hipervnculo"/>
            <w:rFonts w:asciiTheme="majorBidi" w:hAnsiTheme="majorBidi" w:cstheme="majorBidi"/>
          </w:rPr>
          <w:t>4783-2013, 4812-2013 Y 4813-2013</w:t>
        </w:r>
      </w:hyperlink>
      <w:r w:rsidRPr="005A43B2">
        <w:rPr>
          <w:rFonts w:asciiTheme="majorBidi" w:hAnsiTheme="majorBidi" w:cstheme="majorBidi"/>
        </w:rPr>
        <w:t xml:space="preserve"> a favor de trece comunidades de la Antigua Santa Catarina Ixtahuacán del departamento de Sololá, relativa a la implementación de educación bilingüe multicultural e intercultural cuyo responsable es el Ministerio de Educación y como tercer interesado y garante la Procuraduría de los Derechos Humanos en Guatemala a través de la defensoría de pueblos indígenas de la PDH.</w:t>
      </w:r>
    </w:p>
    <w:p w14:paraId="5E1ACBAC" w14:textId="18D22FB0" w:rsidR="001831E9" w:rsidRPr="001B15A8" w:rsidRDefault="001831E9" w:rsidP="001B15A8">
      <w:pPr>
        <w:jc w:val="both"/>
        <w:rPr>
          <w:rFonts w:asciiTheme="majorBidi" w:hAnsiTheme="majorBidi" w:cstheme="majorBidi"/>
          <w:sz w:val="24"/>
          <w:szCs w:val="24"/>
        </w:rPr>
      </w:pPr>
      <w:r>
        <w:rPr>
          <w:rFonts w:asciiTheme="majorBidi" w:hAnsiTheme="majorBidi" w:cstheme="majorBidi"/>
          <w:sz w:val="24"/>
          <w:szCs w:val="24"/>
        </w:rPr>
        <w:t xml:space="preserve">Al respecto </w:t>
      </w:r>
      <w:proofErr w:type="gramStart"/>
      <w:r>
        <w:rPr>
          <w:rFonts w:asciiTheme="majorBidi" w:hAnsiTheme="majorBidi" w:cstheme="majorBidi"/>
          <w:sz w:val="24"/>
          <w:szCs w:val="24"/>
        </w:rPr>
        <w:t>indicar</w:t>
      </w:r>
      <w:proofErr w:type="gramEnd"/>
      <w:r>
        <w:rPr>
          <w:rFonts w:asciiTheme="majorBidi" w:hAnsiTheme="majorBidi" w:cstheme="majorBidi"/>
          <w:sz w:val="24"/>
          <w:szCs w:val="24"/>
        </w:rPr>
        <w:t xml:space="preserve"> que el</w:t>
      </w:r>
      <w:r w:rsidRPr="00696330">
        <w:rPr>
          <w:rFonts w:asciiTheme="majorBidi" w:hAnsiTheme="majorBidi" w:cstheme="majorBidi"/>
          <w:sz w:val="24"/>
          <w:szCs w:val="24"/>
        </w:rPr>
        <w:t xml:space="preserve"> cumplimiento</w:t>
      </w:r>
      <w:r>
        <w:rPr>
          <w:rFonts w:asciiTheme="majorBidi" w:hAnsiTheme="majorBidi" w:cstheme="majorBidi"/>
          <w:sz w:val="24"/>
          <w:szCs w:val="24"/>
        </w:rPr>
        <w:t xml:space="preserve"> de referida sentencia</w:t>
      </w:r>
      <w:r w:rsidRPr="00696330">
        <w:rPr>
          <w:rFonts w:asciiTheme="majorBidi" w:hAnsiTheme="majorBidi" w:cstheme="majorBidi"/>
          <w:sz w:val="24"/>
          <w:szCs w:val="24"/>
        </w:rPr>
        <w:t xml:space="preserve"> ha sido </w:t>
      </w:r>
      <w:proofErr w:type="gramStart"/>
      <w:r w:rsidRPr="00696330">
        <w:rPr>
          <w:rFonts w:asciiTheme="majorBidi" w:hAnsiTheme="majorBidi" w:cstheme="majorBidi"/>
          <w:sz w:val="24"/>
          <w:szCs w:val="24"/>
        </w:rPr>
        <w:t>lent</w:t>
      </w:r>
      <w:r>
        <w:rPr>
          <w:rFonts w:asciiTheme="majorBidi" w:hAnsiTheme="majorBidi" w:cstheme="majorBidi"/>
          <w:sz w:val="24"/>
          <w:szCs w:val="24"/>
        </w:rPr>
        <w:t>a</w:t>
      </w:r>
      <w:proofErr w:type="gramEnd"/>
      <w:r>
        <w:rPr>
          <w:rFonts w:asciiTheme="majorBidi" w:hAnsiTheme="majorBidi" w:cstheme="majorBidi"/>
          <w:sz w:val="24"/>
          <w:szCs w:val="24"/>
        </w:rPr>
        <w:t xml:space="preserve"> en su cumplimiento, lo cual para las comunidades </w:t>
      </w:r>
      <w:r w:rsidRPr="00696330">
        <w:rPr>
          <w:rFonts w:asciiTheme="majorBidi" w:hAnsiTheme="majorBidi" w:cstheme="majorBidi"/>
          <w:sz w:val="24"/>
          <w:szCs w:val="24"/>
        </w:rPr>
        <w:t>ha conllevado 8 años de lucha, gestión e incidencia política de las autoridades ancestrales</w:t>
      </w:r>
      <w:r>
        <w:rPr>
          <w:rFonts w:asciiTheme="majorBidi" w:hAnsiTheme="majorBidi" w:cstheme="majorBidi"/>
          <w:sz w:val="24"/>
          <w:szCs w:val="24"/>
        </w:rPr>
        <w:t xml:space="preserve">. A la fecha </w:t>
      </w:r>
      <w:r w:rsidRPr="00696330">
        <w:rPr>
          <w:rFonts w:asciiTheme="majorBidi" w:hAnsiTheme="majorBidi" w:cstheme="majorBidi"/>
          <w:sz w:val="24"/>
          <w:szCs w:val="24"/>
        </w:rPr>
        <w:t xml:space="preserve">los avances apenas </w:t>
      </w:r>
      <w:r>
        <w:rPr>
          <w:rFonts w:asciiTheme="majorBidi" w:hAnsiTheme="majorBidi" w:cstheme="majorBidi"/>
          <w:sz w:val="24"/>
          <w:szCs w:val="24"/>
        </w:rPr>
        <w:t xml:space="preserve">alcanzan el </w:t>
      </w:r>
      <w:r w:rsidRPr="00696330">
        <w:rPr>
          <w:rFonts w:asciiTheme="majorBidi" w:hAnsiTheme="majorBidi" w:cstheme="majorBidi"/>
          <w:sz w:val="24"/>
          <w:szCs w:val="24"/>
        </w:rPr>
        <w:t>37.5%</w:t>
      </w:r>
      <w:r>
        <w:rPr>
          <w:rFonts w:asciiTheme="majorBidi" w:hAnsiTheme="majorBidi" w:cstheme="majorBidi"/>
          <w:sz w:val="24"/>
          <w:szCs w:val="24"/>
        </w:rPr>
        <w:t xml:space="preserve"> luego de la implementación de algunas medidas</w:t>
      </w:r>
      <w:r w:rsidRPr="00696330">
        <w:rPr>
          <w:rFonts w:asciiTheme="majorBidi" w:hAnsiTheme="majorBidi" w:cstheme="majorBidi"/>
          <w:sz w:val="24"/>
          <w:szCs w:val="24"/>
        </w:rPr>
        <w:t xml:space="preserve"> que se han atendido parcialmente y </w:t>
      </w:r>
      <w:r>
        <w:rPr>
          <w:rFonts w:asciiTheme="majorBidi" w:hAnsiTheme="majorBidi" w:cstheme="majorBidi"/>
          <w:sz w:val="24"/>
          <w:szCs w:val="24"/>
        </w:rPr>
        <w:t xml:space="preserve">y muy pocas de forma completa. La situación descrita </w:t>
      </w:r>
      <w:r w:rsidRPr="00696330">
        <w:rPr>
          <w:rFonts w:asciiTheme="majorBidi" w:hAnsiTheme="majorBidi" w:cstheme="majorBidi"/>
          <w:sz w:val="24"/>
          <w:szCs w:val="24"/>
        </w:rPr>
        <w:t>y</w:t>
      </w:r>
      <w:r>
        <w:rPr>
          <w:rFonts w:asciiTheme="majorBidi" w:hAnsiTheme="majorBidi" w:cstheme="majorBidi"/>
          <w:sz w:val="24"/>
          <w:szCs w:val="24"/>
        </w:rPr>
        <w:t xml:space="preserve"> el</w:t>
      </w:r>
      <w:r w:rsidRPr="00696330">
        <w:rPr>
          <w:rFonts w:asciiTheme="majorBidi" w:hAnsiTheme="majorBidi" w:cstheme="majorBidi"/>
          <w:sz w:val="24"/>
          <w:szCs w:val="24"/>
        </w:rPr>
        <w:t xml:space="preserve"> avance de</w:t>
      </w:r>
      <w:r>
        <w:rPr>
          <w:rFonts w:asciiTheme="majorBidi" w:hAnsiTheme="majorBidi" w:cstheme="majorBidi"/>
          <w:sz w:val="24"/>
          <w:szCs w:val="24"/>
        </w:rPr>
        <w:t>l</w:t>
      </w:r>
      <w:r w:rsidRPr="00696330">
        <w:rPr>
          <w:rFonts w:asciiTheme="majorBidi" w:hAnsiTheme="majorBidi" w:cstheme="majorBidi"/>
          <w:sz w:val="24"/>
          <w:szCs w:val="24"/>
        </w:rPr>
        <w:t xml:space="preserve"> cumplimiento de la Sentencia </w:t>
      </w:r>
      <w:r>
        <w:rPr>
          <w:rFonts w:asciiTheme="majorBidi" w:hAnsiTheme="majorBidi" w:cstheme="majorBidi"/>
          <w:sz w:val="24"/>
          <w:szCs w:val="24"/>
        </w:rPr>
        <w:t>evidencia</w:t>
      </w:r>
      <w:r w:rsidRPr="00696330">
        <w:rPr>
          <w:rFonts w:asciiTheme="majorBidi" w:hAnsiTheme="majorBidi" w:cstheme="majorBidi"/>
          <w:sz w:val="24"/>
          <w:szCs w:val="24"/>
        </w:rPr>
        <w:t xml:space="preserve"> la falta de concreción de una educación bilingüe de calidad a favor de la niñez y la juventud </w:t>
      </w:r>
      <w:r>
        <w:rPr>
          <w:rFonts w:asciiTheme="majorBidi" w:hAnsiTheme="majorBidi" w:cstheme="majorBidi"/>
          <w:sz w:val="24"/>
          <w:szCs w:val="24"/>
        </w:rPr>
        <w:t>k’ich’e de la Antigua Santa Catarina Ixtahuacán.</w:t>
      </w:r>
    </w:p>
    <w:p w14:paraId="65AF6CD2" w14:textId="74FAA272" w:rsidR="00BA2BC3" w:rsidRPr="009E2A0E" w:rsidRDefault="00BA2BC3" w:rsidP="00197C3D">
      <w:pPr>
        <w:pStyle w:val="Prrafodelista"/>
        <w:numPr>
          <w:ilvl w:val="2"/>
          <w:numId w:val="8"/>
        </w:numPr>
        <w:outlineLvl w:val="2"/>
        <w:rPr>
          <w:rFonts w:asciiTheme="majorBidi" w:hAnsiTheme="majorBidi" w:cstheme="majorBidi"/>
          <w:b/>
          <w:bCs/>
          <w:color w:val="000000" w:themeColor="text1"/>
          <w:lang w:val="es-MX"/>
        </w:rPr>
      </w:pPr>
      <w:bookmarkStart w:id="36" w:name="_Toc204264058"/>
      <w:r w:rsidRPr="009E2A0E">
        <w:rPr>
          <w:rFonts w:asciiTheme="majorBidi" w:hAnsiTheme="majorBidi" w:cstheme="majorBidi"/>
          <w:b/>
          <w:bCs/>
          <w:color w:val="000000" w:themeColor="text1"/>
          <w:lang w:val="es-MX"/>
        </w:rPr>
        <w:t>Vivienda:</w:t>
      </w:r>
      <w:bookmarkEnd w:id="36"/>
    </w:p>
    <w:p w14:paraId="66B9BD01" w14:textId="2F02C776" w:rsidR="00BA2BC3" w:rsidRPr="009E2A0E" w:rsidRDefault="00BA2BC3" w:rsidP="00BA2BC3">
      <w:pPr>
        <w:jc w:val="both"/>
        <w:rPr>
          <w:rFonts w:asciiTheme="majorBidi" w:hAnsiTheme="majorBidi" w:cstheme="majorBidi"/>
          <w:color w:val="000000" w:themeColor="text1"/>
        </w:rPr>
      </w:pPr>
      <w:r w:rsidRPr="009E2A0E">
        <w:rPr>
          <w:rFonts w:asciiTheme="majorBidi" w:hAnsiTheme="majorBidi" w:cstheme="majorBidi"/>
          <w:color w:val="000000" w:themeColor="text1"/>
        </w:rPr>
        <w:t>Frente al incumplimiento de las medidas cautelares</w:t>
      </w:r>
      <w:r w:rsidR="00CD79CF">
        <w:rPr>
          <w:rFonts w:asciiTheme="majorBidi" w:hAnsiTheme="majorBidi" w:cstheme="majorBidi"/>
          <w:color w:val="000000" w:themeColor="text1"/>
        </w:rPr>
        <w:t xml:space="preserve"> de la CIDH en el caso de Laguna Larga</w:t>
      </w:r>
      <w:r w:rsidR="00CD79CF" w:rsidRPr="009E2A0E">
        <w:rPr>
          <w:rStyle w:val="Refdenotaalpie"/>
          <w:rFonts w:asciiTheme="majorBidi" w:hAnsiTheme="majorBidi" w:cstheme="majorBidi"/>
          <w:color w:val="000000" w:themeColor="text1"/>
          <w:sz w:val="22"/>
        </w:rPr>
        <w:footnoteReference w:id="97"/>
      </w:r>
      <w:r w:rsidRPr="009E2A0E">
        <w:rPr>
          <w:rFonts w:asciiTheme="majorBidi" w:hAnsiTheme="majorBidi" w:cstheme="majorBidi"/>
          <w:color w:val="000000" w:themeColor="text1"/>
        </w:rPr>
        <w:t xml:space="preserve"> por parte del Estado de Guatemala, el Consejo Comunitario de Desarrollo de la comunidad Laguna Larga presentó una acción constitucional de amparo que fue conocida en un primer momento por la Sala Primera del Tribunal de lo Contencioso Administrativo, quien denegó el </w:t>
      </w:r>
      <w:r w:rsidR="00D12CA0">
        <w:rPr>
          <w:rFonts w:asciiTheme="majorBidi" w:hAnsiTheme="majorBidi" w:cstheme="majorBidi"/>
          <w:color w:val="000000" w:themeColor="text1"/>
        </w:rPr>
        <w:t>mismo</w:t>
      </w:r>
      <w:r w:rsidRPr="009E2A0E">
        <w:rPr>
          <w:rFonts w:asciiTheme="majorBidi" w:hAnsiTheme="majorBidi" w:cstheme="majorBidi"/>
          <w:color w:val="000000" w:themeColor="text1"/>
        </w:rPr>
        <w:t xml:space="preserve">, </w:t>
      </w:r>
      <w:r w:rsidR="00D12CA0">
        <w:rPr>
          <w:rFonts w:asciiTheme="majorBidi" w:hAnsiTheme="majorBidi" w:cstheme="majorBidi"/>
          <w:color w:val="000000" w:themeColor="text1"/>
        </w:rPr>
        <w:t>así como</w:t>
      </w:r>
      <w:r w:rsidR="00D12CA0" w:rsidRPr="009E2A0E">
        <w:rPr>
          <w:rFonts w:asciiTheme="majorBidi" w:hAnsiTheme="majorBidi" w:cstheme="majorBidi"/>
          <w:color w:val="000000" w:themeColor="text1"/>
        </w:rPr>
        <w:t xml:space="preserve"> </w:t>
      </w:r>
      <w:r w:rsidRPr="009E2A0E">
        <w:rPr>
          <w:rFonts w:asciiTheme="majorBidi" w:hAnsiTheme="majorBidi" w:cstheme="majorBidi"/>
          <w:color w:val="000000" w:themeColor="text1"/>
        </w:rPr>
        <w:t>en apelación</w:t>
      </w:r>
      <w:r w:rsidR="00D12CA0">
        <w:rPr>
          <w:rFonts w:asciiTheme="majorBidi" w:hAnsiTheme="majorBidi" w:cstheme="majorBidi"/>
          <w:color w:val="000000" w:themeColor="text1"/>
        </w:rPr>
        <w:t>,</w:t>
      </w:r>
      <w:r w:rsidRPr="009E2A0E">
        <w:rPr>
          <w:rFonts w:asciiTheme="majorBidi" w:hAnsiTheme="majorBidi" w:cstheme="majorBidi"/>
          <w:color w:val="000000" w:themeColor="text1"/>
        </w:rPr>
        <w:t xml:space="preserve"> la Corte de Constitucionalidad. Mediante sentencia de apelación de amparo del 29 de enero de 2021, dentro del expediente 4647-2018, el máximo tribunal constitucional decidió otorgar la protección constitucional debido a la persistencia de condiciones de precariedad en la comunidad. Esta sentencia constituyó un precedente emblemático para la justicia constitucional en Guatemala, ya que se designa al </w:t>
      </w:r>
      <w:proofErr w:type="gramStart"/>
      <w:r w:rsidRPr="009E2A0E">
        <w:rPr>
          <w:rFonts w:asciiTheme="majorBidi" w:hAnsiTheme="majorBidi" w:cstheme="majorBidi"/>
          <w:color w:val="000000" w:themeColor="text1"/>
        </w:rPr>
        <w:t>Presidente</w:t>
      </w:r>
      <w:proofErr w:type="gramEnd"/>
      <w:r w:rsidRPr="009E2A0E">
        <w:rPr>
          <w:rFonts w:asciiTheme="majorBidi" w:hAnsiTheme="majorBidi" w:cstheme="majorBidi"/>
          <w:color w:val="000000" w:themeColor="text1"/>
        </w:rPr>
        <w:t xml:space="preserve"> de la República y a su Consejo de </w:t>
      </w:r>
      <w:proofErr w:type="gramStart"/>
      <w:r w:rsidRPr="009E2A0E">
        <w:rPr>
          <w:rFonts w:asciiTheme="majorBidi" w:hAnsiTheme="majorBidi" w:cstheme="majorBidi"/>
          <w:color w:val="000000" w:themeColor="text1"/>
        </w:rPr>
        <w:t>Ministros</w:t>
      </w:r>
      <w:proofErr w:type="gramEnd"/>
      <w:r w:rsidRPr="009E2A0E">
        <w:rPr>
          <w:rFonts w:asciiTheme="majorBidi" w:hAnsiTheme="majorBidi" w:cstheme="majorBidi"/>
          <w:color w:val="000000" w:themeColor="text1"/>
        </w:rPr>
        <w:t xml:space="preserve"> como responsables de la ejecución del fallo</w:t>
      </w:r>
      <w:r w:rsidRPr="009E2A0E">
        <w:rPr>
          <w:rStyle w:val="Refdenotaalpie"/>
          <w:rFonts w:asciiTheme="majorBidi" w:hAnsiTheme="majorBidi" w:cstheme="majorBidi"/>
          <w:color w:val="000000" w:themeColor="text1"/>
          <w:sz w:val="22"/>
        </w:rPr>
        <w:footnoteReference w:id="98"/>
      </w:r>
      <w:r w:rsidRPr="009E2A0E">
        <w:rPr>
          <w:rFonts w:asciiTheme="majorBidi" w:hAnsiTheme="majorBidi" w:cstheme="majorBidi"/>
          <w:color w:val="000000" w:themeColor="text1"/>
        </w:rPr>
        <w:t xml:space="preserve">. Asimismo, en una innovadora decisión la Corte de Constitucionalidad establece un mecanismo sui generis de supervisión del cumplimiento de la sentencia, que incluye la celebración </w:t>
      </w:r>
      <w:r w:rsidRPr="009E2A0E">
        <w:rPr>
          <w:rFonts w:asciiTheme="majorBidi" w:hAnsiTheme="majorBidi" w:cstheme="majorBidi"/>
          <w:color w:val="000000" w:themeColor="text1"/>
        </w:rPr>
        <w:lastRenderedPageBreak/>
        <w:t>de audiencias periódicas de ejecución – al menos cada noventa días – en las cuales las autoridades obligadas deberán reportar las medidas adoptadas para dar solución al conflicto</w:t>
      </w:r>
      <w:r w:rsidRPr="009E2A0E">
        <w:rPr>
          <w:rStyle w:val="Refdenotaalpie"/>
          <w:rFonts w:asciiTheme="majorBidi" w:hAnsiTheme="majorBidi" w:cstheme="majorBidi"/>
          <w:color w:val="000000" w:themeColor="text1"/>
          <w:sz w:val="22"/>
        </w:rPr>
        <w:footnoteReference w:id="99"/>
      </w:r>
      <w:r w:rsidRPr="009E2A0E">
        <w:rPr>
          <w:rFonts w:asciiTheme="majorBidi" w:hAnsiTheme="majorBidi" w:cstheme="majorBidi"/>
          <w:color w:val="000000" w:themeColor="text1"/>
        </w:rPr>
        <w:t xml:space="preserve">. </w:t>
      </w:r>
    </w:p>
    <w:p w14:paraId="2959D3FC" w14:textId="2B5678B1" w:rsidR="00BA2BC3" w:rsidRPr="009E2A0E" w:rsidRDefault="00BA2BC3" w:rsidP="00BA2BC3">
      <w:pPr>
        <w:jc w:val="both"/>
        <w:rPr>
          <w:rFonts w:asciiTheme="majorBidi" w:hAnsiTheme="majorBidi" w:cstheme="majorBidi"/>
          <w:color w:val="000000" w:themeColor="text1"/>
        </w:rPr>
      </w:pPr>
      <w:r w:rsidRPr="009E2A0E">
        <w:rPr>
          <w:rFonts w:asciiTheme="majorBidi" w:hAnsiTheme="majorBidi" w:cstheme="majorBidi"/>
          <w:color w:val="000000" w:themeColor="text1"/>
        </w:rPr>
        <w:t xml:space="preserve">Este ciclo de desplazamientos forzados y la falta de soluciones adecuadas siguen vulnerando los derechos de la comunidad y agravando la crisis humanitaria que enfrentan. El Estado ha incumplido con las </w:t>
      </w:r>
      <w:r w:rsidRPr="005C44EE">
        <w:rPr>
          <w:rFonts w:asciiTheme="majorBidi" w:hAnsiTheme="majorBidi" w:cstheme="majorBidi"/>
        </w:rPr>
        <w:t>soluciones necesarias para garantizar la restitución de los derechos de la comunidad Laguna Larga</w:t>
      </w:r>
      <w:r w:rsidR="00F54075" w:rsidRPr="005C44EE">
        <w:rPr>
          <w:rFonts w:asciiTheme="majorBidi" w:hAnsiTheme="majorBidi" w:cstheme="majorBidi"/>
        </w:rPr>
        <w:t xml:space="preserve"> </w:t>
      </w:r>
      <w:r w:rsidR="00801842" w:rsidRPr="005C44EE">
        <w:rPr>
          <w:rFonts w:asciiTheme="majorBidi" w:hAnsiTheme="majorBidi" w:cstheme="majorBidi"/>
          <w:lang w:val="es-ES_tradnl"/>
        </w:rPr>
        <w:t>Chaab´il Ch´och’</w:t>
      </w:r>
      <w:r w:rsidR="00801842" w:rsidRPr="005C44EE">
        <w:rPr>
          <w:rStyle w:val="Refdenotaalpie"/>
          <w:rFonts w:asciiTheme="majorBidi" w:hAnsiTheme="majorBidi"/>
          <w:lang w:val="es-ES_tradnl"/>
        </w:rPr>
        <w:footnoteReference w:id="100"/>
      </w:r>
      <w:r w:rsidR="005C44EE" w:rsidRPr="005C44EE">
        <w:rPr>
          <w:rFonts w:asciiTheme="majorBidi" w:hAnsiTheme="majorBidi" w:cstheme="majorBidi"/>
        </w:rPr>
        <w:t xml:space="preserve">, </w:t>
      </w:r>
      <w:r w:rsidRPr="005C44EE">
        <w:rPr>
          <w:rFonts w:asciiTheme="majorBidi" w:hAnsiTheme="majorBidi" w:cstheme="majorBidi"/>
        </w:rPr>
        <w:t xml:space="preserve">como </w:t>
      </w:r>
      <w:r w:rsidRPr="009E2A0E">
        <w:rPr>
          <w:rFonts w:asciiTheme="majorBidi" w:hAnsiTheme="majorBidi" w:cstheme="majorBidi"/>
          <w:color w:val="000000" w:themeColor="text1"/>
        </w:rPr>
        <w:t>el acceso a la vivienda adecuada, a la salud, la educación y a condiciones de vida dignas.</w:t>
      </w:r>
      <w:r w:rsidRPr="009E2A0E">
        <w:rPr>
          <w:rFonts w:asciiTheme="majorBidi" w:hAnsiTheme="majorBidi" w:cstheme="majorBidi"/>
          <w:color w:val="000000" w:themeColor="text1"/>
          <w:lang w:val="es-ES"/>
        </w:rPr>
        <w:t xml:space="preserve"> </w:t>
      </w:r>
      <w:r w:rsidRPr="009E2A0E">
        <w:rPr>
          <w:rFonts w:asciiTheme="majorBidi" w:hAnsiTheme="majorBidi" w:cstheme="majorBidi"/>
          <w:color w:val="000000" w:themeColor="text1"/>
        </w:rPr>
        <w:t>Además, persiste una falta de implementación efectiva de los mecanismos de supervisión que la Corte de Constitucionalidad ordenó, lo que ha dejado a los pobladores en una situación de vulnerabilidad permanente.</w:t>
      </w:r>
    </w:p>
    <w:p w14:paraId="088649B2" w14:textId="77777777" w:rsidR="00BA2BC3" w:rsidRPr="009E2A0E" w:rsidRDefault="00BA2BC3" w:rsidP="00197C3D">
      <w:pPr>
        <w:pStyle w:val="Prrafodelista"/>
        <w:numPr>
          <w:ilvl w:val="2"/>
          <w:numId w:val="8"/>
        </w:numPr>
        <w:outlineLvl w:val="2"/>
        <w:rPr>
          <w:rFonts w:asciiTheme="majorBidi" w:hAnsiTheme="majorBidi" w:cstheme="majorBidi"/>
          <w:b/>
          <w:bCs/>
          <w:color w:val="000000" w:themeColor="text1"/>
          <w:lang w:val="es-MX"/>
        </w:rPr>
      </w:pPr>
      <w:bookmarkStart w:id="37" w:name="_Toc204264059"/>
      <w:r w:rsidRPr="009E2A0E">
        <w:rPr>
          <w:rFonts w:asciiTheme="majorBidi" w:hAnsiTheme="majorBidi" w:cstheme="majorBidi"/>
          <w:b/>
          <w:bCs/>
          <w:color w:val="000000" w:themeColor="text1"/>
          <w:lang w:val="es-MX"/>
        </w:rPr>
        <w:t>Laboral:</w:t>
      </w:r>
      <w:bookmarkEnd w:id="37"/>
    </w:p>
    <w:p w14:paraId="753A4737" w14:textId="757B350D" w:rsidR="00DD1E31" w:rsidRDefault="00BA2BC3" w:rsidP="00BA2BC3">
      <w:pPr>
        <w:jc w:val="both"/>
        <w:rPr>
          <w:rFonts w:asciiTheme="majorBidi" w:eastAsia="Times New Roman" w:hAnsiTheme="majorBidi" w:cstheme="majorBidi"/>
          <w:color w:val="000000" w:themeColor="text1"/>
          <w:spacing w:val="2"/>
          <w:shd w:val="clear" w:color="auto" w:fill="FFFFFF"/>
        </w:rPr>
      </w:pPr>
      <w:r w:rsidRPr="009E2A0E">
        <w:rPr>
          <w:rFonts w:asciiTheme="majorBidi" w:hAnsiTheme="majorBidi" w:cstheme="majorBidi"/>
          <w:color w:val="000000" w:themeColor="text1"/>
        </w:rPr>
        <w:t>El 4 de marzo de 2024 en Santa Cruz del Quiché la Municipalidad y el juez de asuntos municipales realizaron un intento de desalojo contra varios comerciantes. En el transcurso de la acción, se registraron agresiones y violaciones a derechos esenciales, marcando un momento crítico de esta violencia institucional.</w:t>
      </w:r>
      <w:r w:rsidRPr="009E2A0E">
        <w:rPr>
          <w:rFonts w:asciiTheme="majorBidi" w:eastAsia="Times New Roman" w:hAnsiTheme="majorBidi" w:cstheme="majorBidi"/>
          <w:color w:val="000000" w:themeColor="text1"/>
          <w:spacing w:val="2"/>
          <w:shd w:val="clear" w:color="auto" w:fill="FFFFFF"/>
        </w:rPr>
        <w:t xml:space="preserve"> </w:t>
      </w:r>
    </w:p>
    <w:p w14:paraId="529241A0" w14:textId="11289BD3" w:rsidR="00692985" w:rsidRPr="00692985" w:rsidRDefault="00BA2BC3" w:rsidP="00DD1E31">
      <w:pPr>
        <w:jc w:val="both"/>
        <w:rPr>
          <w:rFonts w:asciiTheme="majorBidi" w:eastAsia="Times New Roman" w:hAnsiTheme="majorBidi" w:cstheme="majorBidi"/>
          <w:color w:val="000000" w:themeColor="text1"/>
        </w:rPr>
      </w:pPr>
      <w:r w:rsidRPr="009E2A0E">
        <w:rPr>
          <w:rFonts w:asciiTheme="majorBidi" w:eastAsia="Times New Roman" w:hAnsiTheme="majorBidi" w:cstheme="majorBidi"/>
          <w:color w:val="000000" w:themeColor="text1"/>
          <w:spacing w:val="2"/>
          <w:shd w:val="clear" w:color="auto" w:fill="FFFFFF"/>
        </w:rPr>
        <w:t xml:space="preserve">Los vendedores de los mercados constituyen una actividad económica legítima que sostiene a millones de personas y constituyen una considerable parte del empleo. La OIT reconoce la necesidad de </w:t>
      </w:r>
      <w:r w:rsidRPr="009E2A0E">
        <w:rPr>
          <w:rFonts w:asciiTheme="majorBidi" w:eastAsia="Times New Roman" w:hAnsiTheme="majorBidi" w:cstheme="majorBidi"/>
          <w:color w:val="000000" w:themeColor="text1"/>
        </w:rPr>
        <w:t>garantizar jurídicamente el uso del espacio público por los vendedores ambulantes, a fin de facilitar su estabilidad y reducir su incertidumbre. Las intervenciones de apoyo, como el acceso al crédito y la capacitación, podrían ser irrelevantes si el derecho del vendedor ambulante a vender en las calles o en un lugar público determinado no se ha garantizado</w:t>
      </w:r>
      <w:r w:rsidR="00590DAE">
        <w:rPr>
          <w:rFonts w:asciiTheme="majorBidi" w:eastAsia="Times New Roman" w:hAnsiTheme="majorBidi" w:cstheme="majorBidi"/>
          <w:color w:val="000000" w:themeColor="text1"/>
        </w:rPr>
        <w:t>.</w:t>
      </w:r>
      <w:r w:rsidRPr="009E2A0E">
        <w:rPr>
          <w:rStyle w:val="Refdenotaalpie"/>
          <w:rFonts w:asciiTheme="majorBidi" w:hAnsiTheme="majorBidi" w:cstheme="majorBidi"/>
          <w:color w:val="000000" w:themeColor="text1"/>
          <w:sz w:val="22"/>
        </w:rPr>
        <w:footnoteReference w:id="101"/>
      </w:r>
      <w:r w:rsidR="00DD1E31">
        <w:rPr>
          <w:rFonts w:asciiTheme="majorBidi" w:eastAsia="Times New Roman" w:hAnsiTheme="majorBidi" w:cstheme="majorBidi"/>
          <w:color w:val="000000" w:themeColor="text1"/>
        </w:rPr>
        <w:t xml:space="preserve"> </w:t>
      </w:r>
      <w:r w:rsidR="00692985" w:rsidRPr="00692985">
        <w:rPr>
          <w:rFonts w:asciiTheme="majorBidi" w:eastAsia="Times New Roman" w:hAnsiTheme="majorBidi" w:cstheme="majorBidi"/>
          <w:color w:val="000000" w:themeColor="text1"/>
        </w:rPr>
        <w:t>Asimismo, estos hechos reflejan relaciones desiguales de poder en el diálogo entre autoridades y comunidades, así como el incumplimiento de acuerdos previamente alcanzados, lo cual demuestra una falta de voluntad política para respetar y proteger los derechos laborales y culturales de los pueblos indígenas.</w:t>
      </w:r>
    </w:p>
    <w:p w14:paraId="0C11A722" w14:textId="0678B9C4" w:rsidR="00BA2BC3" w:rsidRPr="00D814D1" w:rsidRDefault="00692985" w:rsidP="00DD1E31">
      <w:pPr>
        <w:spacing w:line="276" w:lineRule="auto"/>
        <w:jc w:val="both"/>
        <w:rPr>
          <w:rFonts w:asciiTheme="majorBidi" w:hAnsiTheme="majorBidi" w:cstheme="majorBidi"/>
          <w:color w:val="000000" w:themeColor="text1"/>
        </w:rPr>
      </w:pPr>
      <w:r w:rsidRPr="00692985">
        <w:rPr>
          <w:rFonts w:asciiTheme="majorBidi" w:eastAsia="Times New Roman" w:hAnsiTheme="majorBidi" w:cstheme="majorBidi"/>
          <w:color w:val="000000" w:themeColor="text1"/>
        </w:rPr>
        <w:t>A pesar de este contexto adverso, se lograron establecer mesas de diálogo entre los representantes de los comerciantes y la Municipalidad, en las que se alcanzaron acuerdos importantes. En dichos espacios, se reconoció el derecho de las y los vendedores a ejercer su actividad económica, se acordó frenar los desalojos y se reafirmó el compromiso de buscar soluciones que garanticen la permanencia, seguridad y dignidad del trabajo en los mercados. Estos avances deben ser respaldados y monitoreados, como parte del deber del Estado de proteger el derecho al trabajo de los pueblos indígenas en condiciones que respeten su identidad y formas de vida</w:t>
      </w:r>
      <w:r w:rsidR="00BA2BC3" w:rsidRPr="009E2A0E">
        <w:rPr>
          <w:rFonts w:asciiTheme="majorBidi" w:hAnsiTheme="majorBidi" w:cstheme="majorBidi"/>
          <w:color w:val="000000" w:themeColor="text1"/>
        </w:rPr>
        <w:t xml:space="preserve">. </w:t>
      </w:r>
    </w:p>
    <w:p w14:paraId="7887C206" w14:textId="2C7B8EF2" w:rsidR="00BA2BC3" w:rsidRPr="009E2A0E" w:rsidRDefault="00BA2BC3" w:rsidP="00197C3D">
      <w:pPr>
        <w:pStyle w:val="Prrafodelista"/>
        <w:numPr>
          <w:ilvl w:val="2"/>
          <w:numId w:val="8"/>
        </w:numPr>
        <w:outlineLvl w:val="2"/>
        <w:rPr>
          <w:rFonts w:asciiTheme="majorBidi" w:hAnsiTheme="majorBidi" w:cstheme="majorBidi"/>
          <w:b/>
          <w:bCs/>
          <w:color w:val="000000" w:themeColor="text1"/>
          <w:lang w:val="es-MX"/>
        </w:rPr>
      </w:pPr>
      <w:bookmarkStart w:id="38" w:name="_Toc204264060"/>
      <w:r w:rsidRPr="009E2A0E">
        <w:rPr>
          <w:rFonts w:asciiTheme="majorBidi" w:hAnsiTheme="majorBidi" w:cstheme="majorBidi"/>
          <w:b/>
          <w:bCs/>
          <w:color w:val="000000" w:themeColor="text1"/>
          <w:lang w:val="es-MX"/>
        </w:rPr>
        <w:t>Medio ambiente sano</w:t>
      </w:r>
      <w:r w:rsidR="00F93D3C">
        <w:rPr>
          <w:rFonts w:asciiTheme="majorBidi" w:hAnsiTheme="majorBidi" w:cstheme="majorBidi"/>
          <w:b/>
          <w:bCs/>
          <w:color w:val="000000" w:themeColor="text1"/>
          <w:lang w:val="es-MX"/>
        </w:rPr>
        <w:t xml:space="preserve"> y derecho humano al agua</w:t>
      </w:r>
      <w:bookmarkEnd w:id="38"/>
    </w:p>
    <w:p w14:paraId="18CD108F" w14:textId="18AACEFD" w:rsidR="00BA2BC3" w:rsidRPr="009E2A0E" w:rsidRDefault="00BA2BC3" w:rsidP="00BA2BC3">
      <w:pPr>
        <w:jc w:val="both"/>
        <w:rPr>
          <w:rFonts w:asciiTheme="majorBidi" w:hAnsiTheme="majorBidi" w:cstheme="majorBidi"/>
          <w:color w:val="000000" w:themeColor="text1"/>
          <w:lang w:val="es-MX"/>
        </w:rPr>
      </w:pPr>
      <w:r w:rsidRPr="009E2A0E">
        <w:rPr>
          <w:rFonts w:asciiTheme="majorBidi" w:eastAsia="Times New Roman" w:hAnsiTheme="majorBidi" w:cstheme="majorBidi"/>
          <w:color w:val="000000" w:themeColor="text1"/>
        </w:rPr>
        <w:t xml:space="preserve">La basura y principalmente los plásticos de un solo uso están produciendo una acelerada contaminación de los cuerpos de agua, producen también desequilibrios en el frágil ecosistema. Indudablemente </w:t>
      </w:r>
      <w:r w:rsidRPr="009E2A0E">
        <w:rPr>
          <w:rFonts w:asciiTheme="majorBidi" w:eastAsia="Times New Roman" w:hAnsiTheme="majorBidi" w:cstheme="majorBidi"/>
          <w:color w:val="000000" w:themeColor="text1"/>
          <w:shd w:val="clear" w:color="auto" w:fill="FFFFFF"/>
        </w:rPr>
        <w:t xml:space="preserve">la contaminación tiene repercusiones en prácticamente todos los ámbitos de las actividades humanas, pero su impacto en la salud humana ha sido una prioridad a escala global. </w:t>
      </w:r>
      <w:r w:rsidRPr="009E2A0E">
        <w:rPr>
          <w:rFonts w:asciiTheme="majorBidi" w:eastAsia="Times New Roman" w:hAnsiTheme="majorBidi" w:cstheme="majorBidi"/>
          <w:color w:val="000000" w:themeColor="text1"/>
        </w:rPr>
        <w:t>La contaminación, especialmente de basura y materiales peligrosos, es un serio problema que afecta a las comunidades indígenas, creando una discriminación ambiental</w:t>
      </w:r>
      <w:r w:rsidRPr="009E2A0E">
        <w:rPr>
          <w:rFonts w:asciiTheme="majorBidi" w:eastAsia="Times New Roman" w:hAnsiTheme="majorBidi" w:cstheme="majorBidi"/>
          <w:color w:val="000000" w:themeColor="text1"/>
          <w:shd w:val="clear" w:color="auto" w:fill="FFFFFF"/>
        </w:rPr>
        <w:t xml:space="preserve">. La gestión inadecuada de estos </w:t>
      </w:r>
      <w:r w:rsidRPr="009E2A0E">
        <w:rPr>
          <w:rFonts w:asciiTheme="majorBidi" w:eastAsia="Times New Roman" w:hAnsiTheme="majorBidi" w:cstheme="majorBidi"/>
          <w:color w:val="000000" w:themeColor="text1"/>
          <w:shd w:val="clear" w:color="auto" w:fill="FFFFFF"/>
        </w:rPr>
        <w:lastRenderedPageBreak/>
        <w:t xml:space="preserve">desechos sólidos contamina el cuerpo de agua </w:t>
      </w:r>
      <w:r w:rsidR="000E3689" w:rsidRPr="009E2A0E">
        <w:rPr>
          <w:rFonts w:asciiTheme="majorBidi" w:eastAsia="Times New Roman" w:hAnsiTheme="majorBidi" w:cstheme="majorBidi"/>
          <w:color w:val="000000" w:themeColor="text1"/>
          <w:shd w:val="clear" w:color="auto" w:fill="FFFFFF"/>
        </w:rPr>
        <w:t>más</w:t>
      </w:r>
      <w:r w:rsidRPr="009E2A0E">
        <w:rPr>
          <w:rFonts w:asciiTheme="majorBidi" w:eastAsia="Times New Roman" w:hAnsiTheme="majorBidi" w:cstheme="majorBidi"/>
          <w:color w:val="000000" w:themeColor="text1"/>
          <w:shd w:val="clear" w:color="auto" w:fill="FFFFFF"/>
        </w:rPr>
        <w:t xml:space="preserve"> importante de la región, el aire y el suelo, causando enfermedades respiratorias, problemas de piel, y otros padecimientos. Además, los pueblos indígenas son más susceptibles a las consecuencias de la quema de basura, que genera humos y material particulado nocivo como los microplásticos.</w:t>
      </w:r>
    </w:p>
    <w:p w14:paraId="1EEBA8DB" w14:textId="297524E5" w:rsidR="005A1013" w:rsidRDefault="00BA2BC3" w:rsidP="00BA2BC3">
      <w:pPr>
        <w:jc w:val="both"/>
        <w:rPr>
          <w:rFonts w:asciiTheme="majorBidi" w:eastAsia="Times New Roman" w:hAnsiTheme="majorBidi" w:cstheme="majorBidi"/>
          <w:color w:val="000000" w:themeColor="text1"/>
        </w:rPr>
      </w:pPr>
      <w:r w:rsidRPr="009E2A0E">
        <w:rPr>
          <w:rFonts w:asciiTheme="majorBidi" w:eastAsia="Times New Roman" w:hAnsiTheme="majorBidi" w:cstheme="majorBidi"/>
          <w:color w:val="000000" w:themeColor="text1"/>
          <w:shd w:val="clear" w:color="auto" w:fill="FFFFFF"/>
        </w:rPr>
        <w:t>El Relator de Tóxicos Marcos Orellana</w:t>
      </w:r>
      <w:r w:rsidRPr="009E2A0E">
        <w:rPr>
          <w:rStyle w:val="Refdenotaalpie"/>
          <w:rFonts w:asciiTheme="majorBidi" w:hAnsiTheme="majorBidi" w:cstheme="majorBidi"/>
          <w:color w:val="000000" w:themeColor="text1"/>
          <w:sz w:val="22"/>
          <w:shd w:val="clear" w:color="auto" w:fill="FFFFFF"/>
        </w:rPr>
        <w:footnoteReference w:id="102"/>
      </w:r>
      <w:r w:rsidRPr="009E2A0E">
        <w:rPr>
          <w:rFonts w:asciiTheme="majorBidi" w:eastAsia="Times New Roman" w:hAnsiTheme="majorBidi" w:cstheme="majorBidi"/>
          <w:color w:val="000000" w:themeColor="text1"/>
          <w:shd w:val="clear" w:color="auto" w:fill="FFFFFF"/>
        </w:rPr>
        <w:t xml:space="preserve"> afirmó que los pueblos indígenas expuestos a sustancias peligrosas sufren una forma de violencia ambiental que causa muertes y pone en peligro vidas debido a la pérdida de fuentes de alimentos y plantas medicinales, entre otros daños</w:t>
      </w:r>
      <w:r w:rsidRPr="009E2A0E">
        <w:rPr>
          <w:rStyle w:val="Refdenotaalpie"/>
          <w:rFonts w:asciiTheme="majorBidi" w:hAnsiTheme="majorBidi" w:cstheme="majorBidi"/>
          <w:color w:val="000000" w:themeColor="text1"/>
          <w:sz w:val="22"/>
          <w:shd w:val="clear" w:color="auto" w:fill="FFFFFF"/>
        </w:rPr>
        <w:footnoteReference w:id="103"/>
      </w:r>
      <w:r w:rsidRPr="009E2A0E">
        <w:rPr>
          <w:rFonts w:asciiTheme="majorBidi" w:eastAsia="Times New Roman" w:hAnsiTheme="majorBidi" w:cstheme="majorBidi"/>
          <w:color w:val="000000" w:themeColor="text1"/>
          <w:shd w:val="clear" w:color="auto" w:fill="FFFFFF"/>
        </w:rPr>
        <w:t>.</w:t>
      </w:r>
      <w:r w:rsidRPr="009E2A0E">
        <w:rPr>
          <w:rFonts w:asciiTheme="majorBidi" w:eastAsia="Times New Roman" w:hAnsiTheme="majorBidi" w:cstheme="majorBidi"/>
          <w:color w:val="000000" w:themeColor="text1"/>
        </w:rPr>
        <w:t xml:space="preserve"> </w:t>
      </w:r>
      <w:r w:rsidRPr="009E2A0E">
        <w:rPr>
          <w:rFonts w:asciiTheme="majorBidi" w:eastAsia="Times New Roman" w:hAnsiTheme="majorBidi" w:cstheme="majorBidi"/>
          <w:color w:val="000000" w:themeColor="text1"/>
          <w:shd w:val="clear" w:color="auto" w:fill="FFFFFF"/>
        </w:rPr>
        <w:t>En el departamento de Sololá en la cuenca alta del Lago Atitlán se ubica el basurero a cielo abierto denominado Picacho,</w:t>
      </w:r>
      <w:r w:rsidRPr="009E2A0E">
        <w:rPr>
          <w:rFonts w:asciiTheme="majorBidi" w:eastAsia="Times New Roman" w:hAnsiTheme="majorBidi" w:cstheme="majorBidi"/>
          <w:color w:val="000000" w:themeColor="text1"/>
        </w:rPr>
        <w:t xml:space="preserve"> siendo el </w:t>
      </w:r>
      <w:r w:rsidR="000E3689">
        <w:rPr>
          <w:rFonts w:asciiTheme="majorBidi" w:eastAsia="Times New Roman" w:hAnsiTheme="majorBidi" w:cstheme="majorBidi"/>
          <w:color w:val="000000" w:themeColor="text1"/>
        </w:rPr>
        <w:t>vertedero</w:t>
      </w:r>
      <w:r w:rsidR="000E3689" w:rsidRPr="009E2A0E">
        <w:rPr>
          <w:rFonts w:asciiTheme="majorBidi" w:eastAsia="Times New Roman" w:hAnsiTheme="majorBidi" w:cstheme="majorBidi"/>
          <w:color w:val="000000" w:themeColor="text1"/>
        </w:rPr>
        <w:t xml:space="preserve"> </w:t>
      </w:r>
      <w:r w:rsidRPr="009E2A0E">
        <w:rPr>
          <w:rFonts w:asciiTheme="majorBidi" w:eastAsia="Times New Roman" w:hAnsiTheme="majorBidi" w:cstheme="majorBidi"/>
          <w:color w:val="000000" w:themeColor="text1"/>
        </w:rPr>
        <w:t>a cielo abierto más grande de la cuenca</w:t>
      </w:r>
      <w:r w:rsidR="000E3689">
        <w:rPr>
          <w:rFonts w:asciiTheme="majorBidi" w:eastAsia="Times New Roman" w:hAnsiTheme="majorBidi" w:cstheme="majorBidi"/>
          <w:color w:val="000000" w:themeColor="text1"/>
        </w:rPr>
        <w:t>. S</w:t>
      </w:r>
      <w:r w:rsidRPr="009E2A0E">
        <w:rPr>
          <w:rFonts w:asciiTheme="majorBidi" w:eastAsia="Times New Roman" w:hAnsiTheme="majorBidi" w:cstheme="majorBidi"/>
          <w:color w:val="000000" w:themeColor="text1"/>
        </w:rPr>
        <w:t xml:space="preserve">e han buscado mecanismos para su cierre, entre ellos proceso legal, sin </w:t>
      </w:r>
      <w:r w:rsidR="009B3C45" w:rsidRPr="009E2A0E">
        <w:rPr>
          <w:rFonts w:asciiTheme="majorBidi" w:eastAsia="Times New Roman" w:hAnsiTheme="majorBidi" w:cstheme="majorBidi"/>
          <w:color w:val="000000" w:themeColor="text1"/>
        </w:rPr>
        <w:t>embargo,</w:t>
      </w:r>
      <w:r w:rsidRPr="009E2A0E">
        <w:rPr>
          <w:rFonts w:asciiTheme="majorBidi" w:eastAsia="Times New Roman" w:hAnsiTheme="majorBidi" w:cstheme="majorBidi"/>
          <w:color w:val="000000" w:themeColor="text1"/>
        </w:rPr>
        <w:t xml:space="preserve"> no se ha visto voluntad del Ministerio de Medio Ambiente y Consejo Nacional de Áreas Protegidas –CONAP- para el cierre definitivo. Con el invierno, son arrastrados toneladas de basura y materiales peligrosos a las aguas del lago. </w:t>
      </w:r>
    </w:p>
    <w:p w14:paraId="54C4D992" w14:textId="1F651579" w:rsidR="00BA2BC3" w:rsidRPr="009E2A0E" w:rsidRDefault="00BA2BC3" w:rsidP="00BA2BC3">
      <w:pPr>
        <w:jc w:val="both"/>
        <w:rPr>
          <w:rFonts w:asciiTheme="majorBidi" w:eastAsia="Times New Roman" w:hAnsiTheme="majorBidi" w:cstheme="majorBidi"/>
          <w:color w:val="000000" w:themeColor="text1"/>
        </w:rPr>
      </w:pPr>
      <w:r w:rsidRPr="009E2A0E">
        <w:rPr>
          <w:rFonts w:asciiTheme="majorBidi" w:eastAsia="Times New Roman" w:hAnsiTheme="majorBidi" w:cstheme="majorBidi"/>
          <w:color w:val="000000" w:themeColor="text1"/>
        </w:rPr>
        <w:t>Est</w:t>
      </w:r>
      <w:r w:rsidR="005A1013">
        <w:rPr>
          <w:rFonts w:asciiTheme="majorBidi" w:eastAsia="Times New Roman" w:hAnsiTheme="majorBidi" w:cstheme="majorBidi"/>
          <w:color w:val="000000" w:themeColor="text1"/>
        </w:rPr>
        <w:t xml:space="preserve">a situación </w:t>
      </w:r>
      <w:r w:rsidRPr="009E2A0E">
        <w:rPr>
          <w:rFonts w:asciiTheme="majorBidi" w:eastAsia="Times New Roman" w:hAnsiTheme="majorBidi" w:cstheme="majorBidi"/>
          <w:color w:val="000000" w:themeColor="text1"/>
        </w:rPr>
        <w:t xml:space="preserve">se vuelve </w:t>
      </w:r>
      <w:r w:rsidR="005A1013" w:rsidRPr="009E2A0E">
        <w:rPr>
          <w:rFonts w:asciiTheme="majorBidi" w:eastAsia="Times New Roman" w:hAnsiTheme="majorBidi" w:cstheme="majorBidi"/>
          <w:color w:val="000000" w:themeColor="text1"/>
        </w:rPr>
        <w:t>más</w:t>
      </w:r>
      <w:r w:rsidRPr="009E2A0E">
        <w:rPr>
          <w:rFonts w:asciiTheme="majorBidi" w:eastAsia="Times New Roman" w:hAnsiTheme="majorBidi" w:cstheme="majorBidi"/>
          <w:color w:val="000000" w:themeColor="text1"/>
        </w:rPr>
        <w:t xml:space="preserve"> complej</w:t>
      </w:r>
      <w:r w:rsidR="005A1013">
        <w:rPr>
          <w:rFonts w:asciiTheme="majorBidi" w:eastAsia="Times New Roman" w:hAnsiTheme="majorBidi" w:cstheme="majorBidi"/>
          <w:color w:val="000000" w:themeColor="text1"/>
        </w:rPr>
        <w:t xml:space="preserve">a, debido a </w:t>
      </w:r>
      <w:r w:rsidRPr="009E2A0E">
        <w:rPr>
          <w:rFonts w:asciiTheme="majorBidi" w:eastAsia="Times New Roman" w:hAnsiTheme="majorBidi" w:cstheme="majorBidi"/>
          <w:color w:val="000000" w:themeColor="text1"/>
        </w:rPr>
        <w:t xml:space="preserve">que cuatro municipios toman agua del Lago para su consumo </w:t>
      </w:r>
      <w:r w:rsidR="005A1013" w:rsidRPr="009E2A0E">
        <w:rPr>
          <w:rFonts w:asciiTheme="majorBidi" w:eastAsia="Times New Roman" w:hAnsiTheme="majorBidi" w:cstheme="majorBidi"/>
          <w:color w:val="000000" w:themeColor="text1"/>
        </w:rPr>
        <w:t>doméstico</w:t>
      </w:r>
      <w:r w:rsidRPr="009E2A0E">
        <w:rPr>
          <w:rFonts w:asciiTheme="majorBidi" w:eastAsia="Times New Roman" w:hAnsiTheme="majorBidi" w:cstheme="majorBidi"/>
          <w:color w:val="000000" w:themeColor="text1"/>
        </w:rPr>
        <w:t xml:space="preserve">. Este caso evidencia que son los pueblos indígenas los </w:t>
      </w:r>
      <w:proofErr w:type="gramStart"/>
      <w:r w:rsidRPr="009E2A0E">
        <w:rPr>
          <w:rFonts w:asciiTheme="majorBidi" w:eastAsia="Times New Roman" w:hAnsiTheme="majorBidi" w:cstheme="majorBidi"/>
          <w:color w:val="000000" w:themeColor="text1"/>
        </w:rPr>
        <w:t>que  asumen</w:t>
      </w:r>
      <w:proofErr w:type="gramEnd"/>
      <w:r w:rsidRPr="009E2A0E">
        <w:rPr>
          <w:rFonts w:asciiTheme="majorBidi" w:eastAsia="Times New Roman" w:hAnsiTheme="majorBidi" w:cstheme="majorBidi"/>
          <w:color w:val="000000" w:themeColor="text1"/>
        </w:rPr>
        <w:t xml:space="preserve"> una carga desproporcionada de los efectos de la degradación ambiental. La decisión gubernamental de colocar un vertedero municipal en la cuenca conlleva una </w:t>
      </w:r>
      <w:proofErr w:type="gramStart"/>
      <w:r w:rsidRPr="009E2A0E">
        <w:rPr>
          <w:rFonts w:asciiTheme="majorBidi" w:eastAsia="Times New Roman" w:hAnsiTheme="majorBidi" w:cstheme="majorBidi"/>
          <w:color w:val="000000" w:themeColor="text1"/>
        </w:rPr>
        <w:t>carga  de</w:t>
      </w:r>
      <w:proofErr w:type="gramEnd"/>
      <w:r w:rsidRPr="009E2A0E">
        <w:rPr>
          <w:rFonts w:asciiTheme="majorBidi" w:eastAsia="Times New Roman" w:hAnsiTheme="majorBidi" w:cstheme="majorBidi"/>
          <w:color w:val="000000" w:themeColor="text1"/>
        </w:rPr>
        <w:t xml:space="preserve"> discriminación estructural y ambiental. Otro caso </w:t>
      </w:r>
      <w:r w:rsidR="005A1013">
        <w:rPr>
          <w:rFonts w:asciiTheme="majorBidi" w:eastAsia="Times New Roman" w:hAnsiTheme="majorBidi" w:cstheme="majorBidi"/>
          <w:color w:val="000000" w:themeColor="text1"/>
        </w:rPr>
        <w:t xml:space="preserve">a </w:t>
      </w:r>
      <w:proofErr w:type="gramStart"/>
      <w:r w:rsidR="005A1013">
        <w:rPr>
          <w:rFonts w:asciiTheme="majorBidi" w:eastAsia="Times New Roman" w:hAnsiTheme="majorBidi" w:cstheme="majorBidi"/>
          <w:color w:val="000000" w:themeColor="text1"/>
        </w:rPr>
        <w:t>mencionar,</w:t>
      </w:r>
      <w:proofErr w:type="gramEnd"/>
      <w:r w:rsidRPr="009E2A0E">
        <w:rPr>
          <w:rFonts w:asciiTheme="majorBidi" w:eastAsia="Times New Roman" w:hAnsiTheme="majorBidi" w:cstheme="majorBidi"/>
          <w:color w:val="000000" w:themeColor="text1"/>
        </w:rPr>
        <w:t xml:space="preserve"> es la comunidad del Valle de Pal</w:t>
      </w:r>
      <w:r w:rsidR="00BB4E4A">
        <w:rPr>
          <w:rFonts w:asciiTheme="majorBidi" w:eastAsia="Times New Roman" w:hAnsiTheme="majorBidi" w:cstheme="majorBidi"/>
          <w:color w:val="000000" w:themeColor="text1"/>
        </w:rPr>
        <w:t>a</w:t>
      </w:r>
      <w:r w:rsidRPr="009E2A0E">
        <w:rPr>
          <w:rFonts w:asciiTheme="majorBidi" w:eastAsia="Times New Roman" w:hAnsiTheme="majorBidi" w:cstheme="majorBidi"/>
          <w:color w:val="000000" w:themeColor="text1"/>
        </w:rPr>
        <w:t xml:space="preserve">junoj en Quetzaltenango </w:t>
      </w:r>
      <w:r w:rsidR="005A1013">
        <w:rPr>
          <w:rFonts w:asciiTheme="majorBidi" w:eastAsia="Times New Roman" w:hAnsiTheme="majorBidi" w:cstheme="majorBidi"/>
          <w:color w:val="000000" w:themeColor="text1"/>
        </w:rPr>
        <w:t>quienes</w:t>
      </w:r>
      <w:r w:rsidR="005A1013" w:rsidRPr="009E2A0E">
        <w:rPr>
          <w:rFonts w:asciiTheme="majorBidi" w:eastAsia="Times New Roman" w:hAnsiTheme="majorBidi" w:cstheme="majorBidi"/>
          <w:color w:val="000000" w:themeColor="text1"/>
        </w:rPr>
        <w:t xml:space="preserve"> </w:t>
      </w:r>
      <w:r w:rsidRPr="009E2A0E">
        <w:rPr>
          <w:rFonts w:asciiTheme="majorBidi" w:eastAsia="Times New Roman" w:hAnsiTheme="majorBidi" w:cstheme="majorBidi"/>
          <w:color w:val="000000" w:themeColor="text1"/>
        </w:rPr>
        <w:t xml:space="preserve">están rodeados de contaminación por los desechos que produce la minería y el vertedero municipal de la segunda ciudad </w:t>
      </w:r>
      <w:r w:rsidR="005A1013" w:rsidRPr="009E2A0E">
        <w:rPr>
          <w:rFonts w:asciiTheme="majorBidi" w:eastAsia="Times New Roman" w:hAnsiTheme="majorBidi" w:cstheme="majorBidi"/>
          <w:color w:val="000000" w:themeColor="text1"/>
        </w:rPr>
        <w:t>más</w:t>
      </w:r>
      <w:r w:rsidRPr="009E2A0E">
        <w:rPr>
          <w:rFonts w:asciiTheme="majorBidi" w:eastAsia="Times New Roman" w:hAnsiTheme="majorBidi" w:cstheme="majorBidi"/>
          <w:color w:val="000000" w:themeColor="text1"/>
        </w:rPr>
        <w:t xml:space="preserve"> grande del país que se deposita en su territorio. En febrero del 2022 iniciaron una jornada de manifestaciones contra la municipalidad impidiendo ingresar a los camiones recolectores de basura a su territorio, esto se convirtió en una crisis política y ambiental para la ciudad de Quetzaltenango.</w:t>
      </w:r>
      <w:r w:rsidRPr="009E2A0E">
        <w:rPr>
          <w:rStyle w:val="Refdenotaalpie"/>
          <w:rFonts w:asciiTheme="majorBidi" w:hAnsiTheme="majorBidi" w:cstheme="majorBidi"/>
          <w:color w:val="000000" w:themeColor="text1"/>
          <w:sz w:val="22"/>
        </w:rPr>
        <w:footnoteReference w:id="104"/>
      </w:r>
      <w:r w:rsidR="005A1013">
        <w:rPr>
          <w:rFonts w:asciiTheme="majorBidi" w:eastAsia="Times New Roman" w:hAnsiTheme="majorBidi" w:cstheme="majorBidi"/>
          <w:color w:val="000000" w:themeColor="text1"/>
        </w:rPr>
        <w:t xml:space="preserve"> En ambos casos vulnera derechos reconocidos en el artículo 29 de la </w:t>
      </w:r>
      <w:r w:rsidR="005A1013" w:rsidRPr="005A1013">
        <w:rPr>
          <w:rFonts w:asciiTheme="majorBidi" w:eastAsia="Times New Roman" w:hAnsiTheme="majorBidi" w:cstheme="majorBidi"/>
          <w:color w:val="000000" w:themeColor="text1"/>
        </w:rPr>
        <w:t>Declaración de las Naciones Unidas sobre los Derechos de los Pueblos Indígenas</w:t>
      </w:r>
      <w:r w:rsidR="005A1013">
        <w:rPr>
          <w:rFonts w:asciiTheme="majorBidi" w:eastAsia="Times New Roman" w:hAnsiTheme="majorBidi" w:cstheme="majorBidi"/>
          <w:color w:val="000000" w:themeColor="text1"/>
        </w:rPr>
        <w:t>.</w:t>
      </w:r>
    </w:p>
    <w:p w14:paraId="5A6B1300" w14:textId="5B079A20" w:rsidR="00374E56" w:rsidRDefault="00D575D1" w:rsidP="00374E56">
      <w:pPr>
        <w:jc w:val="both"/>
        <w:rPr>
          <w:rFonts w:asciiTheme="majorBidi" w:hAnsiTheme="majorBidi" w:cstheme="majorBidi"/>
          <w:color w:val="000000" w:themeColor="text1"/>
        </w:rPr>
      </w:pPr>
      <w:r>
        <w:rPr>
          <w:rFonts w:asciiTheme="majorBidi" w:hAnsiTheme="majorBidi" w:cstheme="majorBidi"/>
          <w:color w:val="000000" w:themeColor="text1"/>
        </w:rPr>
        <w:t>En relación con el</w:t>
      </w:r>
      <w:r w:rsidR="00902504">
        <w:rPr>
          <w:rFonts w:asciiTheme="majorBidi" w:hAnsiTheme="majorBidi" w:cstheme="majorBidi"/>
          <w:color w:val="000000" w:themeColor="text1"/>
        </w:rPr>
        <w:t xml:space="preserve"> derecho al agua, e</w:t>
      </w:r>
      <w:r w:rsidR="00374E56" w:rsidRPr="00374E56">
        <w:rPr>
          <w:rFonts w:asciiTheme="majorBidi" w:hAnsiTheme="majorBidi" w:cstheme="majorBidi"/>
          <w:color w:val="000000" w:themeColor="text1"/>
        </w:rPr>
        <w:t>n julio de 2020, la Corte de Constitucionalidad</w:t>
      </w:r>
      <w:r w:rsidR="000259E1">
        <w:rPr>
          <w:rStyle w:val="Refdenotaalpie"/>
          <w:rFonts w:asciiTheme="majorBidi" w:hAnsiTheme="majorBidi"/>
          <w:color w:val="000000" w:themeColor="text1"/>
        </w:rPr>
        <w:footnoteReference w:id="105"/>
      </w:r>
      <w:r w:rsidR="00374E56" w:rsidRPr="00374E56">
        <w:rPr>
          <w:rFonts w:asciiTheme="majorBidi" w:hAnsiTheme="majorBidi" w:cstheme="majorBidi"/>
          <w:color w:val="000000" w:themeColor="text1"/>
        </w:rPr>
        <w:t xml:space="preserve"> de Guatemala ordenó al Concejo Municipal de Chinautla garantizar el suministro continuo de agua potable a la comunidad de Santa Cruz, reconociendo el derecho al agua como un derecho humano fundamental, respaldado por estándares internacionales. A pesar de esta sentencia, la Corte constató que las autoridades locales no habían tomado medidas efectivas para asegurar el servicio, lo que vulneró los derechos de los habitantes y los expuso a riesgos para su salud y vida. Cinco años después, las condiciones siguen sin mejorar, y la comunidad continúa enfrentando no solo la falta de acceso al agua potable, sino también la creciente contaminación de las fuentes hídricas, agravando aún más la crisis sanitaria y social. Esta situación evidencia el incumplimiento estatal de su obligación de garantizar derechos básicos, lo cual se comunica al Comité CERD como parte de un patrón de exclusión y negligencia hacia comunidades históricamente vulnerabilizadas.</w:t>
      </w:r>
    </w:p>
    <w:p w14:paraId="43AF4326" w14:textId="0F701252" w:rsidR="00013274" w:rsidRPr="00E4100F" w:rsidRDefault="00BA2BC3" w:rsidP="00E4100F">
      <w:pPr>
        <w:jc w:val="both"/>
        <w:rPr>
          <w:rFonts w:asciiTheme="majorBidi" w:hAnsiTheme="majorBidi" w:cstheme="majorBidi"/>
          <w:color w:val="000000" w:themeColor="text1"/>
        </w:rPr>
      </w:pPr>
      <w:r w:rsidRPr="009E2A0E">
        <w:rPr>
          <w:rFonts w:asciiTheme="majorBidi" w:hAnsiTheme="majorBidi" w:cstheme="majorBidi"/>
          <w:color w:val="000000" w:themeColor="text1"/>
        </w:rPr>
        <w:t>Para el conocimiento de este Comité, Santa Cruz Chinautla es el hogar del pueblo maya Poqomam</w:t>
      </w:r>
      <w:r w:rsidR="00B82CF0">
        <w:rPr>
          <w:rFonts w:asciiTheme="majorBidi" w:hAnsiTheme="majorBidi" w:cstheme="majorBidi"/>
          <w:color w:val="000000" w:themeColor="text1"/>
        </w:rPr>
        <w:t xml:space="preserve"> y su ubicación es contigua a la ciudad capital</w:t>
      </w:r>
      <w:r w:rsidRPr="009E2A0E">
        <w:rPr>
          <w:rFonts w:asciiTheme="majorBidi" w:hAnsiTheme="majorBidi" w:cstheme="majorBidi"/>
          <w:color w:val="000000" w:themeColor="text1"/>
        </w:rPr>
        <w:t>. Actualmente, el agua en la región está tan gravemente contaminada que ya no puede utilizarse ni siquiera en las actividades artesanales que, durante décadas,</w:t>
      </w:r>
      <w:r w:rsidR="008C5111">
        <w:rPr>
          <w:rFonts w:asciiTheme="majorBidi" w:hAnsiTheme="majorBidi" w:cstheme="majorBidi"/>
          <w:color w:val="000000" w:themeColor="text1"/>
        </w:rPr>
        <w:t xml:space="preserve"> </w:t>
      </w:r>
      <w:r w:rsidR="00B82CF0">
        <w:rPr>
          <w:rFonts w:asciiTheme="majorBidi" w:hAnsiTheme="majorBidi" w:cstheme="majorBidi"/>
          <w:color w:val="000000" w:themeColor="text1"/>
        </w:rPr>
        <w:t>ha sido</w:t>
      </w:r>
      <w:r w:rsidRPr="009E2A0E">
        <w:rPr>
          <w:rFonts w:asciiTheme="majorBidi" w:hAnsiTheme="majorBidi" w:cstheme="majorBidi"/>
          <w:color w:val="000000" w:themeColor="text1"/>
        </w:rPr>
        <w:t xml:space="preserve"> el sustento principal de la comunidad. A esta crisis ambiental se suma la explotación minera por parte de las areneras, las cuales operan sin consulta previa a la comunidad ni un control efectivo </w:t>
      </w:r>
      <w:r w:rsidRPr="009E2A0E">
        <w:rPr>
          <w:rFonts w:asciiTheme="majorBidi" w:hAnsiTheme="majorBidi" w:cstheme="majorBidi"/>
          <w:color w:val="000000" w:themeColor="text1"/>
        </w:rPr>
        <w:lastRenderedPageBreak/>
        <w:t>por parte del Estado. Esta actividad ha causado una devastación considerable de la tierra y ha desplazado a numerosas familias. Ante estas graves amenazas, el pueblo Poqomam exige el cierre de las empresas mineras, la reparación de los daños ocasionados y la implementación de leyes que permitan la recuperación y saneamiento del medio ambiente</w:t>
      </w:r>
      <w:r w:rsidRPr="009E2A0E">
        <w:rPr>
          <w:rStyle w:val="Refdenotaalpie"/>
          <w:rFonts w:asciiTheme="majorBidi" w:hAnsiTheme="majorBidi" w:cstheme="majorBidi"/>
          <w:color w:val="000000" w:themeColor="text1"/>
          <w:sz w:val="22"/>
        </w:rPr>
        <w:footnoteReference w:id="106"/>
      </w:r>
      <w:r w:rsidRPr="009E2A0E">
        <w:rPr>
          <w:rFonts w:asciiTheme="majorBidi" w:hAnsiTheme="majorBidi" w:cstheme="majorBidi"/>
          <w:color w:val="000000" w:themeColor="text1"/>
        </w:rPr>
        <w:t>.</w:t>
      </w:r>
      <w:r w:rsidR="005813B4">
        <w:rPr>
          <w:rFonts w:asciiTheme="majorBidi" w:hAnsiTheme="majorBidi" w:cstheme="majorBidi"/>
          <w:color w:val="000000" w:themeColor="text1"/>
        </w:rPr>
        <w:t xml:space="preserve"> </w:t>
      </w:r>
      <w:r w:rsidR="001C4A4A" w:rsidRPr="004F7755">
        <w:rPr>
          <w:rFonts w:asciiTheme="majorBidi" w:hAnsiTheme="majorBidi" w:cstheme="majorBidi"/>
          <w:color w:val="000000" w:themeColor="text1"/>
        </w:rPr>
        <w:t xml:space="preserve">(Ver detalle del caso en </w:t>
      </w:r>
      <w:r w:rsidR="004F7755" w:rsidRPr="004F7755">
        <w:rPr>
          <w:rFonts w:asciiTheme="majorBidi" w:hAnsiTheme="majorBidi" w:cstheme="majorBidi"/>
          <w:color w:val="000000" w:themeColor="text1"/>
        </w:rPr>
        <w:t>Anexo 3.4)</w:t>
      </w:r>
    </w:p>
    <w:tbl>
      <w:tblPr>
        <w:tblStyle w:val="Tablaconcuadrcula"/>
        <w:tblW w:w="0" w:type="auto"/>
        <w:tblLook w:val="04A0" w:firstRow="1" w:lastRow="0" w:firstColumn="1" w:lastColumn="0" w:noHBand="0" w:noVBand="1"/>
      </w:tblPr>
      <w:tblGrid>
        <w:gridCol w:w="8828"/>
      </w:tblGrid>
      <w:tr w:rsidR="00E4100F" w14:paraId="0931C7B2" w14:textId="77777777">
        <w:tc>
          <w:tcPr>
            <w:tcW w:w="8828" w:type="dxa"/>
          </w:tcPr>
          <w:p w14:paraId="2970D49B" w14:textId="77777777" w:rsidR="00E4100F" w:rsidRPr="005E1B10" w:rsidRDefault="00E4100F" w:rsidP="00E4100F">
            <w:pPr>
              <w:tabs>
                <w:tab w:val="left" w:pos="1529"/>
              </w:tabs>
              <w:jc w:val="both"/>
              <w:rPr>
                <w:rFonts w:asciiTheme="majorBidi" w:hAnsiTheme="majorBidi" w:cstheme="majorBidi"/>
                <w:b/>
                <w:bCs/>
                <w:color w:val="000000" w:themeColor="text1"/>
              </w:rPr>
            </w:pPr>
            <w:r w:rsidRPr="005E1B10">
              <w:rPr>
                <w:rFonts w:asciiTheme="majorBidi" w:hAnsiTheme="majorBidi" w:cstheme="majorBidi"/>
                <w:b/>
                <w:bCs/>
                <w:color w:val="000000" w:themeColor="text1"/>
              </w:rPr>
              <w:t>Preocupación sobre Sobre la expansión de la palma aceitera en las Tierras Bajas del Norte de Guatemala</w:t>
            </w:r>
            <w:r w:rsidRPr="005E1B10">
              <w:rPr>
                <w:rFonts w:asciiTheme="majorBidi" w:hAnsiTheme="majorBidi" w:cstheme="majorBidi"/>
                <w:b/>
                <w:bCs/>
                <w:color w:val="000000" w:themeColor="text1"/>
                <w:vertAlign w:val="superscript"/>
              </w:rPr>
              <w:footnoteReference w:id="107"/>
            </w:r>
            <w:r w:rsidRPr="005E1B10">
              <w:rPr>
                <w:rFonts w:asciiTheme="majorBidi" w:hAnsiTheme="majorBidi" w:cstheme="majorBidi"/>
                <w:b/>
                <w:bCs/>
                <w:color w:val="000000" w:themeColor="text1"/>
              </w:rPr>
              <w:t xml:space="preserve"> :</w:t>
            </w:r>
          </w:p>
          <w:p w14:paraId="49969C6B" w14:textId="6CD56502" w:rsidR="00E4100F" w:rsidRPr="00AE3C96" w:rsidRDefault="00E4100F" w:rsidP="00013274">
            <w:pPr>
              <w:tabs>
                <w:tab w:val="left" w:pos="1529"/>
              </w:tabs>
              <w:spacing w:before="240"/>
              <w:jc w:val="both"/>
              <w:rPr>
                <w:rFonts w:asciiTheme="majorBidi" w:hAnsiTheme="majorBidi" w:cstheme="majorBidi"/>
                <w:color w:val="000000" w:themeColor="text1"/>
              </w:rPr>
            </w:pPr>
            <w:r w:rsidRPr="005E1B10">
              <w:rPr>
                <w:rFonts w:asciiTheme="majorBidi" w:hAnsiTheme="majorBidi" w:cstheme="majorBidi"/>
                <w:color w:val="000000" w:themeColor="text1"/>
              </w:rPr>
              <w:t xml:space="preserve">Desde 2015, las </w:t>
            </w:r>
            <w:proofErr w:type="gramStart"/>
            <w:r w:rsidRPr="005E1B10">
              <w:rPr>
                <w:rFonts w:asciiTheme="majorBidi" w:hAnsiTheme="majorBidi" w:cstheme="majorBidi"/>
                <w:color w:val="000000" w:themeColor="text1"/>
              </w:rPr>
              <w:t>comunidades maya</w:t>
            </w:r>
            <w:proofErr w:type="gramEnd"/>
            <w:r w:rsidRPr="005E1B10">
              <w:rPr>
                <w:rFonts w:asciiTheme="majorBidi" w:hAnsiTheme="majorBidi" w:cstheme="majorBidi"/>
                <w:color w:val="000000" w:themeColor="text1"/>
              </w:rPr>
              <w:t xml:space="preserve"> q’eqchi’ de municipios como Chisec, Raxruhá, Sayaxché, Panzós y El Estor han denunciado de forma constante la pérdida de acceso al agua, la contaminación y el deterioro de fuentes hídricas esenciales, como ríos, arroyos y manantiales. Estas afectaciones están directamente vinculadas con la expansión acelerada del monocultivo de palma africana, cuya demanda intensiva de agua ha provocado deforestación, reducción de caudales y alteración del uso del suelo. Las mujeres, principales encargadas del abastecimiento y cuidado familiar, son quienes enfrentan con mayor crudeza los impactos, viéndose obligadas a recorrer mayores distancias para </w:t>
            </w:r>
            <w:r w:rsidRPr="00AE3C96">
              <w:rPr>
                <w:rFonts w:asciiTheme="majorBidi" w:hAnsiTheme="majorBidi" w:cstheme="majorBidi"/>
                <w:color w:val="000000" w:themeColor="text1"/>
              </w:rPr>
              <w:t>conseguir agua y asumiendo el incremento de enfermedades en sus comunidades. A pesar de las denuncias ante autoridades como el MARN y el Ministerio Público, y de la participación en mesas de diálogo, las comunidades siguen sin respuesta efectiva del Estado. La Procuraduría de los Derechos Humanos ha documentado la falta de agua potable, servicios básicos y atención institucional en numerosas comunidades afectadas, así como la ausencia de regulaciones para el uso y desvío de fuentes hídricas por parte de las empresas palmeras</w:t>
            </w:r>
            <w:r w:rsidR="00AE3C96" w:rsidRPr="00AE3C96">
              <w:rPr>
                <w:rFonts w:asciiTheme="majorBidi" w:hAnsiTheme="majorBidi" w:cstheme="majorBidi"/>
                <w:color w:val="000000" w:themeColor="text1"/>
              </w:rPr>
              <w:t xml:space="preserve"> (</w:t>
            </w:r>
            <w:r w:rsidR="00AE3C96" w:rsidRPr="00AE3C96">
              <w:rPr>
                <w:rFonts w:asciiTheme="majorBidi" w:hAnsiTheme="majorBidi" w:cstheme="majorBidi"/>
              </w:rPr>
              <w:t xml:space="preserve">Ver detalle del caso en </w:t>
            </w:r>
            <w:r w:rsidR="00AE3C96" w:rsidRPr="00AE3C96">
              <w:rPr>
                <w:rFonts w:asciiTheme="majorBidi" w:hAnsiTheme="majorBidi" w:cstheme="majorBidi"/>
                <w:b/>
                <w:bCs/>
                <w:u w:val="single"/>
              </w:rPr>
              <w:t>Anexo 6.1</w:t>
            </w:r>
            <w:r w:rsidR="00AE3C96" w:rsidRPr="00AE3C96">
              <w:rPr>
                <w:rFonts w:asciiTheme="majorBidi" w:hAnsiTheme="majorBidi" w:cstheme="majorBidi"/>
              </w:rPr>
              <w:t>.</w:t>
            </w:r>
            <w:r w:rsidR="00AE3C96" w:rsidRPr="00AE3C96">
              <w:rPr>
                <w:rFonts w:asciiTheme="majorBidi" w:hAnsiTheme="majorBidi" w:cstheme="majorBidi"/>
                <w:color w:val="000000" w:themeColor="text1"/>
              </w:rPr>
              <w:t>).</w:t>
            </w:r>
          </w:p>
          <w:p w14:paraId="352FE35A" w14:textId="60048BB7" w:rsidR="005E1B10" w:rsidRDefault="005E1B10" w:rsidP="005E1B10">
            <w:pPr>
              <w:tabs>
                <w:tab w:val="left" w:pos="1529"/>
              </w:tabs>
              <w:jc w:val="both"/>
              <w:rPr>
                <w:rFonts w:asciiTheme="majorBidi" w:hAnsiTheme="majorBidi" w:cstheme="majorBidi"/>
                <w:color w:val="EE0000"/>
              </w:rPr>
            </w:pPr>
          </w:p>
        </w:tc>
      </w:tr>
    </w:tbl>
    <w:p w14:paraId="2CDDB608" w14:textId="20EA1F64" w:rsidR="00013274" w:rsidRPr="009E2A0E" w:rsidRDefault="00F93D3C" w:rsidP="00E4100F">
      <w:pPr>
        <w:spacing w:before="240"/>
        <w:jc w:val="both"/>
        <w:rPr>
          <w:rFonts w:asciiTheme="majorBidi" w:hAnsiTheme="majorBidi" w:cstheme="majorBidi"/>
          <w:color w:val="000000" w:themeColor="text1"/>
        </w:rPr>
      </w:pPr>
      <w:r w:rsidRPr="00F93D3C">
        <w:rPr>
          <w:rFonts w:asciiTheme="majorBidi" w:hAnsiTheme="majorBidi" w:cstheme="majorBidi"/>
          <w:color w:val="000000" w:themeColor="text1"/>
        </w:rPr>
        <w:t>El acceso inadecuado a agua y saneamiento repercute gravemente en la salud. La Organización Mundial de la Salud (OMS) reportó en 2019 que la tasa de mortalidad atribuida a la exposición de servicios de agua, saneamiento e higiene inseguros alcanzó 15,3 muertes por cada 100.000 habitantes en Guatemala, más del doble que otros países de Centroamérica. El acceso limitado al agua y al saneamiento también contribuye a la desnutrición crónica infantil, que afecta a casi uno de cada dos menores de cinco años en Guatemala, una de las tasas de desnutrición crónica más altas del mundo. Guatemala también tiene la tasa de mortalidad de menores de cinco años más alta de Centroamérica. La diarrea, frecuentemente provocada por agua o saneamiento insuficiente o inseguro, es responsable de casi el 8 % de estas muertes, una proporción más alta que la de cualquier país vecino.</w:t>
      </w:r>
      <w:r>
        <w:rPr>
          <w:rStyle w:val="Refdenotaalpie"/>
          <w:rFonts w:asciiTheme="majorBidi" w:hAnsiTheme="majorBidi"/>
          <w:color w:val="000000" w:themeColor="text1"/>
        </w:rPr>
        <w:footnoteReference w:id="108"/>
      </w:r>
    </w:p>
    <w:p w14:paraId="2717AEA1" w14:textId="2A93F137" w:rsidR="00D814D1" w:rsidRDefault="00D814D1" w:rsidP="00197C3D">
      <w:pPr>
        <w:pStyle w:val="Prrafodelista"/>
        <w:numPr>
          <w:ilvl w:val="2"/>
          <w:numId w:val="8"/>
        </w:numPr>
        <w:outlineLvl w:val="2"/>
        <w:rPr>
          <w:rFonts w:asciiTheme="majorBidi" w:hAnsiTheme="majorBidi" w:cstheme="majorBidi"/>
          <w:b/>
          <w:bCs/>
          <w:color w:val="000000" w:themeColor="text1"/>
          <w:lang w:val="es-MX"/>
        </w:rPr>
      </w:pPr>
      <w:bookmarkStart w:id="39" w:name="_Toc204264061"/>
      <w:r w:rsidRPr="009E2A0E">
        <w:rPr>
          <w:rFonts w:asciiTheme="majorBidi" w:hAnsiTheme="majorBidi" w:cstheme="majorBidi"/>
          <w:b/>
          <w:bCs/>
          <w:color w:val="000000" w:themeColor="text1"/>
          <w:lang w:val="es-MX"/>
        </w:rPr>
        <w:t>Recomendaci</w:t>
      </w:r>
      <w:r>
        <w:rPr>
          <w:rFonts w:asciiTheme="majorBidi" w:hAnsiTheme="majorBidi" w:cstheme="majorBidi"/>
          <w:b/>
          <w:bCs/>
          <w:color w:val="000000" w:themeColor="text1"/>
          <w:lang w:val="es-MX"/>
        </w:rPr>
        <w:t>ones relacionadas a los derechos económicos</w:t>
      </w:r>
      <w:r w:rsidR="00C334D5">
        <w:rPr>
          <w:rFonts w:asciiTheme="majorBidi" w:hAnsiTheme="majorBidi" w:cstheme="majorBidi"/>
          <w:b/>
          <w:bCs/>
          <w:color w:val="000000" w:themeColor="text1"/>
          <w:lang w:val="es-MX"/>
        </w:rPr>
        <w:t>, sociales, culturales y ambientales</w:t>
      </w:r>
      <w:bookmarkEnd w:id="39"/>
    </w:p>
    <w:tbl>
      <w:tblPr>
        <w:tblStyle w:val="Tablaconcuadrcula"/>
        <w:tblW w:w="10632" w:type="dxa"/>
        <w:tblInd w:w="-998" w:type="dxa"/>
        <w:shd w:val="clear" w:color="auto" w:fill="FFF2CC" w:themeFill="accent4" w:themeFillTint="33"/>
        <w:tblLook w:val="04A0" w:firstRow="1" w:lastRow="0" w:firstColumn="1" w:lastColumn="0" w:noHBand="0" w:noVBand="1"/>
      </w:tblPr>
      <w:tblGrid>
        <w:gridCol w:w="10632"/>
      </w:tblGrid>
      <w:tr w:rsidR="00281A1B" w:rsidRPr="009E2A0E" w14:paraId="7A142D12" w14:textId="77777777" w:rsidTr="00C65C44">
        <w:tc>
          <w:tcPr>
            <w:tcW w:w="10632" w:type="dxa"/>
            <w:shd w:val="clear" w:color="auto" w:fill="FFF2CC" w:themeFill="accent4" w:themeFillTint="33"/>
          </w:tcPr>
          <w:p w14:paraId="78BCB261" w14:textId="1DD26F27" w:rsidR="00281A1B" w:rsidRPr="009E2A0E" w:rsidRDefault="00281A1B" w:rsidP="00197C3D">
            <w:pPr>
              <w:pStyle w:val="Prrafodelista"/>
              <w:numPr>
                <w:ilvl w:val="0"/>
                <w:numId w:val="17"/>
              </w:numPr>
              <w:spacing w:line="276" w:lineRule="auto"/>
              <w:rPr>
                <w:rFonts w:asciiTheme="majorBidi" w:eastAsia="Times New Roman" w:hAnsiTheme="majorBidi" w:cstheme="majorBidi"/>
                <w:i/>
                <w:iCs/>
                <w:color w:val="000000" w:themeColor="text1"/>
              </w:rPr>
            </w:pPr>
            <w:r w:rsidRPr="00281A1B">
              <w:rPr>
                <w:rFonts w:asciiTheme="majorBidi" w:eastAsia="Times New Roman" w:hAnsiTheme="majorBidi" w:cstheme="majorBidi"/>
                <w:i/>
                <w:iCs/>
                <w:color w:val="000000" w:themeColor="text1"/>
              </w:rPr>
              <w:t>Fortalecimiento de la implementación y supervisión continua: Debido que existen antecedentes de incumplimiento por parte del Ministerio de Educación, es crucial recomendar al Comité que insista en un mecanismo de supervisión robusto</w:t>
            </w:r>
            <w:r w:rsidR="00B82CF0">
              <w:rPr>
                <w:rFonts w:asciiTheme="majorBidi" w:eastAsia="Times New Roman" w:hAnsiTheme="majorBidi" w:cstheme="majorBidi"/>
                <w:i/>
                <w:iCs/>
                <w:color w:val="000000" w:themeColor="text1"/>
              </w:rPr>
              <w:t xml:space="preserve"> del cumplimiento de obligaciones derivadas de diferentes instrumentos políticos y </w:t>
            </w:r>
            <w:proofErr w:type="gramStart"/>
            <w:r w:rsidR="00B82CF0">
              <w:rPr>
                <w:rFonts w:asciiTheme="majorBidi" w:eastAsia="Times New Roman" w:hAnsiTheme="majorBidi" w:cstheme="majorBidi"/>
                <w:i/>
                <w:iCs/>
                <w:color w:val="000000" w:themeColor="text1"/>
              </w:rPr>
              <w:t>jurídicos.</w:t>
            </w:r>
            <w:r w:rsidRPr="00281A1B">
              <w:rPr>
                <w:rFonts w:asciiTheme="majorBidi" w:eastAsia="Times New Roman" w:hAnsiTheme="majorBidi" w:cstheme="majorBidi"/>
                <w:i/>
                <w:iCs/>
                <w:color w:val="000000" w:themeColor="text1"/>
              </w:rPr>
              <w:t>.</w:t>
            </w:r>
            <w:proofErr w:type="gramEnd"/>
            <w:r w:rsidRPr="00281A1B">
              <w:rPr>
                <w:rFonts w:asciiTheme="majorBidi" w:eastAsia="Times New Roman" w:hAnsiTheme="majorBidi" w:cstheme="majorBidi"/>
                <w:i/>
                <w:iCs/>
                <w:color w:val="000000" w:themeColor="text1"/>
              </w:rPr>
              <w:t xml:space="preserve"> Esto incluiría la designación de un equipo independiente para monitorear la implementación de la política educativa con pertinencia cultural y lingüística</w:t>
            </w:r>
            <w:r w:rsidR="00B82CF0">
              <w:rPr>
                <w:rFonts w:asciiTheme="majorBidi" w:eastAsia="Times New Roman" w:hAnsiTheme="majorBidi" w:cstheme="majorBidi"/>
                <w:i/>
                <w:iCs/>
                <w:color w:val="000000" w:themeColor="text1"/>
              </w:rPr>
              <w:t xml:space="preserve">, así como de sentencias que se hayan dictado al </w:t>
            </w:r>
            <w:proofErr w:type="gramStart"/>
            <w:r w:rsidR="00B82CF0">
              <w:rPr>
                <w:rFonts w:asciiTheme="majorBidi" w:eastAsia="Times New Roman" w:hAnsiTheme="majorBidi" w:cstheme="majorBidi"/>
                <w:i/>
                <w:iCs/>
                <w:color w:val="000000" w:themeColor="text1"/>
              </w:rPr>
              <w:t>respecto.</w:t>
            </w:r>
            <w:r w:rsidRPr="00281A1B">
              <w:rPr>
                <w:rFonts w:asciiTheme="majorBidi" w:eastAsia="Times New Roman" w:hAnsiTheme="majorBidi" w:cstheme="majorBidi"/>
                <w:i/>
                <w:iCs/>
                <w:color w:val="000000" w:themeColor="text1"/>
              </w:rPr>
              <w:t>.</w:t>
            </w:r>
            <w:proofErr w:type="gramEnd"/>
            <w:r w:rsidRPr="00281A1B">
              <w:rPr>
                <w:rFonts w:asciiTheme="majorBidi" w:eastAsia="Times New Roman" w:hAnsiTheme="majorBidi" w:cstheme="majorBidi"/>
                <w:i/>
                <w:iCs/>
                <w:color w:val="000000" w:themeColor="text1"/>
              </w:rPr>
              <w:t xml:space="preserve"> Además, se deberían establecer reportes regulares y transparentes sobre el progreso, con mecanismos claros para abordar cualquier obstáculo o retroceso.</w:t>
            </w:r>
          </w:p>
        </w:tc>
      </w:tr>
      <w:tr w:rsidR="00281A1B" w:rsidRPr="009E2A0E" w14:paraId="129EF4B6" w14:textId="77777777" w:rsidTr="00C65C44">
        <w:tc>
          <w:tcPr>
            <w:tcW w:w="10632" w:type="dxa"/>
            <w:shd w:val="clear" w:color="auto" w:fill="FFF2CC" w:themeFill="accent4" w:themeFillTint="33"/>
          </w:tcPr>
          <w:p w14:paraId="7311F2DD" w14:textId="70DE205A" w:rsidR="00281A1B" w:rsidRPr="00281A1B" w:rsidRDefault="00281A1B" w:rsidP="00197C3D">
            <w:pPr>
              <w:pStyle w:val="Prrafodelista"/>
              <w:numPr>
                <w:ilvl w:val="0"/>
                <w:numId w:val="17"/>
              </w:numPr>
              <w:rPr>
                <w:rFonts w:asciiTheme="majorBidi" w:eastAsia="Times New Roman" w:hAnsiTheme="majorBidi" w:cstheme="majorBidi"/>
                <w:i/>
                <w:iCs/>
                <w:color w:val="000000" w:themeColor="text1"/>
              </w:rPr>
            </w:pPr>
            <w:r w:rsidRPr="00281A1B">
              <w:rPr>
                <w:rFonts w:asciiTheme="majorBidi" w:eastAsia="Times New Roman" w:hAnsiTheme="majorBidi" w:cstheme="majorBidi"/>
                <w:i/>
                <w:iCs/>
                <w:color w:val="000000" w:themeColor="text1"/>
              </w:rPr>
              <w:lastRenderedPageBreak/>
              <w:t>Apoyo Internacional y Diplomático: Promover y acompañar el cumplimiento de medidas emitidas por el Sistema Interamericano de Derechos Humanos, con la colaboración de organismos internacionales especializados en educación y derechos humanos, así como la promoción de diálogos diplomáticos que respalden la implementación efectiva de las medidas educativas acordadas.</w:t>
            </w:r>
          </w:p>
        </w:tc>
      </w:tr>
      <w:tr w:rsidR="00281A1B" w:rsidRPr="009E2A0E" w14:paraId="7505043E" w14:textId="77777777" w:rsidTr="00C65C44">
        <w:tc>
          <w:tcPr>
            <w:tcW w:w="10632" w:type="dxa"/>
            <w:shd w:val="clear" w:color="auto" w:fill="FFF2CC" w:themeFill="accent4" w:themeFillTint="33"/>
          </w:tcPr>
          <w:p w14:paraId="5D1B2270" w14:textId="5E5CA881" w:rsidR="00281A1B" w:rsidRPr="00EC5DDE" w:rsidRDefault="00EC5DDE" w:rsidP="00197C3D">
            <w:pPr>
              <w:pStyle w:val="Prrafodelista"/>
              <w:numPr>
                <w:ilvl w:val="0"/>
                <w:numId w:val="17"/>
              </w:numPr>
              <w:rPr>
                <w:rFonts w:asciiTheme="majorBidi" w:eastAsia="Times New Roman" w:hAnsiTheme="majorBidi" w:cstheme="majorBidi"/>
                <w:i/>
                <w:iCs/>
                <w:color w:val="000000" w:themeColor="text1"/>
              </w:rPr>
            </w:pPr>
            <w:r w:rsidRPr="00EC5DDE">
              <w:rPr>
                <w:rFonts w:asciiTheme="majorBidi" w:eastAsia="Times New Roman" w:hAnsiTheme="majorBidi" w:cstheme="majorBidi"/>
                <w:i/>
                <w:iCs/>
                <w:color w:val="000000" w:themeColor="text1"/>
              </w:rPr>
              <w:t>Fortalecer la inversión pública en territorios indígenas y rurales, y establecer normas ambientales que no discriminen ni marginen a comunidades vulnerables. Para ello, debe garantizar la participación efectiva de las comunidades en la gestión sostenible de sus territorios y de los bienes naturales, respetando sus formas propias de organización y su derecho a la autodeterminación.</w:t>
            </w:r>
          </w:p>
        </w:tc>
      </w:tr>
      <w:tr w:rsidR="00EC5DDE" w:rsidRPr="009E2A0E" w14:paraId="68A519FE" w14:textId="77777777" w:rsidTr="00C65C44">
        <w:tc>
          <w:tcPr>
            <w:tcW w:w="10632" w:type="dxa"/>
            <w:shd w:val="clear" w:color="auto" w:fill="FFF2CC" w:themeFill="accent4" w:themeFillTint="33"/>
          </w:tcPr>
          <w:p w14:paraId="28308683" w14:textId="21FC1F87" w:rsidR="00EC5DDE" w:rsidRPr="00EC5DDE" w:rsidRDefault="00EC5DDE" w:rsidP="00197C3D">
            <w:pPr>
              <w:pStyle w:val="Prrafodelista"/>
              <w:numPr>
                <w:ilvl w:val="0"/>
                <w:numId w:val="17"/>
              </w:numPr>
              <w:rPr>
                <w:rFonts w:asciiTheme="majorBidi" w:eastAsia="Times New Roman" w:hAnsiTheme="majorBidi" w:cstheme="majorBidi"/>
                <w:i/>
                <w:iCs/>
                <w:color w:val="000000" w:themeColor="text1"/>
              </w:rPr>
            </w:pPr>
            <w:r w:rsidRPr="00EC5DDE">
              <w:rPr>
                <w:rFonts w:asciiTheme="majorBidi" w:eastAsia="Times New Roman" w:hAnsiTheme="majorBidi" w:cstheme="majorBidi"/>
                <w:i/>
                <w:iCs/>
                <w:color w:val="000000" w:themeColor="text1"/>
              </w:rPr>
              <w:t>Asegurar el derecho a un ambiente sano para todas las personas, especialmente los pueblos indígenas, garantizando que las políticas de conservación ambiental no se adopten a costa de sus derechos territoriales, culturales y sociales. Cualquier medida ambiental debe estar basada en el respeto a los derechos colectivos y en procesos de consulta previa, libre e informada.</w:t>
            </w:r>
          </w:p>
        </w:tc>
      </w:tr>
      <w:tr w:rsidR="00EC5DDE" w:rsidRPr="009E2A0E" w14:paraId="397EC96A" w14:textId="77777777" w:rsidTr="00C65C44">
        <w:tc>
          <w:tcPr>
            <w:tcW w:w="10632" w:type="dxa"/>
            <w:shd w:val="clear" w:color="auto" w:fill="FFF2CC" w:themeFill="accent4" w:themeFillTint="33"/>
          </w:tcPr>
          <w:p w14:paraId="27566C20" w14:textId="5001AD6A" w:rsidR="00EC5DDE" w:rsidRPr="00EC5DDE" w:rsidRDefault="00EC5DDE" w:rsidP="00197C3D">
            <w:pPr>
              <w:pStyle w:val="Prrafodelista"/>
              <w:numPr>
                <w:ilvl w:val="0"/>
                <w:numId w:val="17"/>
              </w:numPr>
              <w:rPr>
                <w:rFonts w:asciiTheme="majorBidi" w:eastAsia="Times New Roman" w:hAnsiTheme="majorBidi" w:cstheme="majorBidi"/>
                <w:i/>
                <w:iCs/>
                <w:color w:val="000000" w:themeColor="text1"/>
              </w:rPr>
            </w:pPr>
            <w:r w:rsidRPr="00EC5DDE">
              <w:rPr>
                <w:rFonts w:asciiTheme="majorBidi" w:eastAsia="Times New Roman" w:hAnsiTheme="majorBidi" w:cstheme="majorBidi"/>
                <w:i/>
                <w:iCs/>
                <w:color w:val="000000" w:themeColor="text1"/>
              </w:rPr>
              <w:t>Cumplir de forma plena e inmediata el fallo de la Corte de Constitucionalidad en el caso de la comunidad Laguna Larga, garantizando la vida, la integridad y la dignidad de las personas afectadas. Esto incluye el acceso a condiciones sanitarias adecuadas, seguridad en la tenencia de la tierra, y viviendas seguras, saludables y dignas, con pleno acceso a servicios básicos como agua, educación y salud.</w:t>
            </w:r>
          </w:p>
        </w:tc>
      </w:tr>
      <w:tr w:rsidR="00535697" w:rsidRPr="009E2A0E" w14:paraId="18BFD7C4" w14:textId="77777777" w:rsidTr="00C65C44">
        <w:tc>
          <w:tcPr>
            <w:tcW w:w="10632" w:type="dxa"/>
            <w:shd w:val="clear" w:color="auto" w:fill="FFF2CC" w:themeFill="accent4" w:themeFillTint="33"/>
          </w:tcPr>
          <w:p w14:paraId="0FF08235" w14:textId="6134D4AF" w:rsidR="00535697" w:rsidRPr="00EC5DDE" w:rsidRDefault="00535697" w:rsidP="00535697">
            <w:pPr>
              <w:pStyle w:val="Prrafodelista"/>
              <w:numPr>
                <w:ilvl w:val="0"/>
                <w:numId w:val="17"/>
              </w:numPr>
              <w:rPr>
                <w:rFonts w:asciiTheme="majorBidi" w:eastAsia="Times New Roman" w:hAnsiTheme="majorBidi" w:cstheme="majorBidi"/>
                <w:i/>
                <w:iCs/>
                <w:color w:val="000000" w:themeColor="text1"/>
              </w:rPr>
            </w:pPr>
            <w:r>
              <w:rPr>
                <w:rFonts w:asciiTheme="majorBidi" w:eastAsia="Times New Roman" w:hAnsiTheme="majorBidi" w:cstheme="majorBidi"/>
                <w:i/>
                <w:iCs/>
                <w:color w:val="000000" w:themeColor="text1"/>
                <w:lang w:val="es-ES_tradnl"/>
              </w:rPr>
              <w:t xml:space="preserve">Ordenar al Estado de Guatemala la clausura inmediata del basurero a cielo abierto del Picacho e iniciar trabajos de saneamiento del espacio afectado afectados, así mismo realizar los estudios que sean necesarios para determinar científicamente los daños físicos, biológicos y culturales que este basurero han producido en la </w:t>
            </w:r>
            <w:r>
              <w:rPr>
                <w:rFonts w:ascii="MS Mincho" w:eastAsia="MS Mincho" w:hAnsi="MS Mincho" w:cs="MS Mincho" w:hint="eastAsia"/>
                <w:i/>
                <w:iCs/>
                <w:color w:val="000000" w:themeColor="text1"/>
                <w:lang w:val="es-ES_tradnl"/>
              </w:rPr>
              <w:t> </w:t>
            </w:r>
            <w:r>
              <w:rPr>
                <w:rFonts w:asciiTheme="majorBidi" w:eastAsia="Times New Roman" w:hAnsiTheme="majorBidi" w:cstheme="majorBidi"/>
                <w:i/>
                <w:iCs/>
                <w:color w:val="000000" w:themeColor="text1"/>
                <w:lang w:val="es-ES_tradnl"/>
              </w:rPr>
              <w:t>vida de los pueblos de la cuenca baja del Lago Atitlán.</w:t>
            </w:r>
          </w:p>
        </w:tc>
      </w:tr>
      <w:tr w:rsidR="00535697" w:rsidRPr="009E2A0E" w14:paraId="1EF001F9" w14:textId="77777777" w:rsidTr="00C65C44">
        <w:tc>
          <w:tcPr>
            <w:tcW w:w="10632" w:type="dxa"/>
            <w:shd w:val="clear" w:color="auto" w:fill="FFF2CC" w:themeFill="accent4" w:themeFillTint="33"/>
          </w:tcPr>
          <w:p w14:paraId="61734A23" w14:textId="3457D639" w:rsidR="00535697" w:rsidRPr="00EC5DDE" w:rsidRDefault="00535697" w:rsidP="00535697">
            <w:pPr>
              <w:pStyle w:val="Prrafodelista"/>
              <w:numPr>
                <w:ilvl w:val="0"/>
                <w:numId w:val="17"/>
              </w:numPr>
              <w:rPr>
                <w:rFonts w:asciiTheme="majorBidi" w:eastAsia="Times New Roman" w:hAnsiTheme="majorBidi" w:cstheme="majorBidi"/>
                <w:i/>
                <w:iCs/>
                <w:color w:val="000000" w:themeColor="text1"/>
              </w:rPr>
            </w:pPr>
            <w:r>
              <w:rPr>
                <w:rFonts w:asciiTheme="majorBidi" w:eastAsia="Times New Roman" w:hAnsiTheme="majorBidi" w:cstheme="majorBidi"/>
                <w:i/>
                <w:iCs/>
                <w:color w:val="000000" w:themeColor="text1"/>
                <w:lang w:val="es-ES_tradnl"/>
              </w:rPr>
              <w:t>Se sugiere regular el uso de plásticos y promover el retorno al uso de vidrio como medidas ambientales prioritarias, por lo que es fundamental impulsar una ley que regule no solo el uso, sino también la descontaminación de las fuentes de agua, extendiendo esta demanda a todos los territorios.</w:t>
            </w:r>
          </w:p>
        </w:tc>
      </w:tr>
      <w:tr w:rsidR="00535697" w:rsidRPr="009E2A0E" w14:paraId="5E291472" w14:textId="77777777" w:rsidTr="00C65C44">
        <w:tc>
          <w:tcPr>
            <w:tcW w:w="10632" w:type="dxa"/>
            <w:shd w:val="clear" w:color="auto" w:fill="FFF2CC" w:themeFill="accent4" w:themeFillTint="33"/>
          </w:tcPr>
          <w:p w14:paraId="27680F8B" w14:textId="269ADD18" w:rsidR="00535697" w:rsidRPr="00EC5DDE" w:rsidRDefault="00535697" w:rsidP="00535697">
            <w:pPr>
              <w:pStyle w:val="Prrafodelista"/>
              <w:numPr>
                <w:ilvl w:val="0"/>
                <w:numId w:val="17"/>
              </w:numPr>
              <w:rPr>
                <w:rFonts w:asciiTheme="majorBidi" w:eastAsia="Times New Roman" w:hAnsiTheme="majorBidi" w:cstheme="majorBidi"/>
                <w:i/>
                <w:iCs/>
                <w:color w:val="000000" w:themeColor="text1"/>
              </w:rPr>
            </w:pPr>
            <w:proofErr w:type="gramStart"/>
            <w:r>
              <w:rPr>
                <w:rFonts w:asciiTheme="majorBidi" w:eastAsia="Times New Roman" w:hAnsiTheme="majorBidi" w:cstheme="majorBidi"/>
                <w:i/>
                <w:iCs/>
                <w:color w:val="000000" w:themeColor="text1"/>
                <w:lang w:val="es-ES_tradnl"/>
              </w:rPr>
              <w:t>Promover  la</w:t>
            </w:r>
            <w:proofErr w:type="gramEnd"/>
            <w:r>
              <w:rPr>
                <w:rFonts w:asciiTheme="majorBidi" w:eastAsia="Times New Roman" w:hAnsiTheme="majorBidi" w:cstheme="majorBidi"/>
                <w:i/>
                <w:iCs/>
                <w:color w:val="000000" w:themeColor="text1"/>
                <w:lang w:val="es-ES_tradnl"/>
              </w:rPr>
              <w:t xml:space="preserve"> participación de los </w:t>
            </w:r>
            <w:r w:rsidR="00671FED">
              <w:rPr>
                <w:rFonts w:asciiTheme="majorBidi" w:eastAsia="Times New Roman" w:hAnsiTheme="majorBidi" w:cstheme="majorBidi"/>
                <w:i/>
                <w:iCs/>
                <w:color w:val="000000" w:themeColor="text1"/>
                <w:lang w:val="es-ES_tradnl"/>
              </w:rPr>
              <w:t>Pueblos Indígenas y Afrodescendientes</w:t>
            </w:r>
            <w:r>
              <w:rPr>
                <w:rFonts w:asciiTheme="majorBidi" w:eastAsia="Times New Roman" w:hAnsiTheme="majorBidi" w:cstheme="majorBidi"/>
                <w:i/>
                <w:iCs/>
                <w:color w:val="000000" w:themeColor="text1"/>
                <w:lang w:val="es-ES_tradnl"/>
              </w:rPr>
              <w:t xml:space="preserve"> en los procesos planificación, implementación, monitoreo </w:t>
            </w:r>
            <w:proofErr w:type="gramStart"/>
            <w:r>
              <w:rPr>
                <w:rFonts w:asciiTheme="majorBidi" w:eastAsia="Times New Roman" w:hAnsiTheme="majorBidi" w:cstheme="majorBidi"/>
                <w:i/>
                <w:iCs/>
                <w:color w:val="000000" w:themeColor="text1"/>
                <w:lang w:val="es-ES_tradnl"/>
              </w:rPr>
              <w:t>y  seguimiento</w:t>
            </w:r>
            <w:proofErr w:type="gramEnd"/>
            <w:r>
              <w:rPr>
                <w:rFonts w:asciiTheme="majorBidi" w:eastAsia="Times New Roman" w:hAnsiTheme="majorBidi" w:cstheme="majorBidi"/>
                <w:i/>
                <w:iCs/>
                <w:color w:val="000000" w:themeColor="text1"/>
                <w:lang w:val="es-ES_tradnl"/>
              </w:rPr>
              <w:t xml:space="preserve"> para alcanzar las metas de los </w:t>
            </w:r>
            <w:r w:rsidR="00671FED">
              <w:rPr>
                <w:rFonts w:asciiTheme="majorBidi" w:eastAsia="Times New Roman" w:hAnsiTheme="majorBidi" w:cstheme="majorBidi"/>
                <w:i/>
                <w:iCs/>
                <w:color w:val="000000" w:themeColor="text1"/>
                <w:lang w:val="es-ES_tradnl"/>
              </w:rPr>
              <w:t>Objetivos</w:t>
            </w:r>
            <w:r>
              <w:rPr>
                <w:rFonts w:asciiTheme="majorBidi" w:eastAsia="Times New Roman" w:hAnsiTheme="majorBidi" w:cstheme="majorBidi"/>
                <w:i/>
                <w:iCs/>
                <w:color w:val="000000" w:themeColor="text1"/>
                <w:lang w:val="es-ES_tradnl"/>
              </w:rPr>
              <w:t xml:space="preserve"> del Desarrollo</w:t>
            </w:r>
            <w:r w:rsidR="00671FED">
              <w:rPr>
                <w:rFonts w:asciiTheme="majorBidi" w:eastAsia="Times New Roman" w:hAnsiTheme="majorBidi" w:cstheme="majorBidi"/>
                <w:i/>
                <w:iCs/>
                <w:color w:val="000000" w:themeColor="text1"/>
                <w:lang w:val="es-ES_tradnl"/>
              </w:rPr>
              <w:t xml:space="preserve"> </w:t>
            </w:r>
            <w:r>
              <w:rPr>
                <w:rFonts w:asciiTheme="majorBidi" w:eastAsia="Times New Roman" w:hAnsiTheme="majorBidi" w:cstheme="majorBidi"/>
                <w:i/>
                <w:iCs/>
                <w:color w:val="000000" w:themeColor="text1"/>
                <w:lang w:val="es-ES_tradnl"/>
              </w:rPr>
              <w:t>S</w:t>
            </w:r>
            <w:r w:rsidR="00671FED">
              <w:rPr>
                <w:rFonts w:asciiTheme="majorBidi" w:eastAsia="Times New Roman" w:hAnsiTheme="majorBidi" w:cstheme="majorBidi"/>
                <w:i/>
                <w:iCs/>
                <w:color w:val="000000" w:themeColor="text1"/>
                <w:lang w:val="es-ES_tradnl"/>
              </w:rPr>
              <w:t>ostenible-</w:t>
            </w:r>
            <w:r>
              <w:rPr>
                <w:rFonts w:asciiTheme="majorBidi" w:eastAsia="Times New Roman" w:hAnsiTheme="majorBidi" w:cstheme="majorBidi"/>
                <w:i/>
                <w:iCs/>
                <w:color w:val="000000" w:themeColor="text1"/>
                <w:lang w:val="es-ES_tradnl"/>
              </w:rPr>
              <w:t xml:space="preserve"> Agenda 2030</w:t>
            </w:r>
          </w:p>
        </w:tc>
      </w:tr>
    </w:tbl>
    <w:p w14:paraId="6CDCB40D" w14:textId="77777777" w:rsidR="00281A1B" w:rsidRDefault="00281A1B" w:rsidP="00281A1B">
      <w:pPr>
        <w:jc w:val="both"/>
        <w:rPr>
          <w:rFonts w:asciiTheme="majorBidi" w:hAnsiTheme="majorBidi" w:cstheme="majorBidi"/>
          <w:color w:val="000000" w:themeColor="text1"/>
        </w:rPr>
      </w:pPr>
    </w:p>
    <w:p w14:paraId="4A06BE71" w14:textId="77777777" w:rsidR="00C870F1" w:rsidRPr="00D814D1" w:rsidRDefault="00C870F1" w:rsidP="00D814D1">
      <w:pPr>
        <w:rPr>
          <w:rFonts w:asciiTheme="majorBidi" w:hAnsiTheme="majorBidi" w:cstheme="majorBidi"/>
          <w:color w:val="000000" w:themeColor="text1"/>
        </w:rPr>
      </w:pPr>
    </w:p>
    <w:p w14:paraId="54BC30C8" w14:textId="77777777" w:rsidR="00D814D1" w:rsidRDefault="00D814D1" w:rsidP="00D814D1">
      <w:pPr>
        <w:rPr>
          <w:rFonts w:asciiTheme="majorBidi" w:hAnsiTheme="majorBidi" w:cstheme="majorBidi"/>
          <w:color w:val="000000" w:themeColor="text1"/>
          <w:lang w:val="es-MX"/>
        </w:rPr>
      </w:pPr>
    </w:p>
    <w:p w14:paraId="1DEEBE16" w14:textId="77777777" w:rsidR="00D814D1" w:rsidRDefault="00D814D1" w:rsidP="00D814D1">
      <w:pPr>
        <w:rPr>
          <w:rFonts w:asciiTheme="majorBidi" w:hAnsiTheme="majorBidi" w:cstheme="majorBidi"/>
          <w:color w:val="000000" w:themeColor="text1"/>
          <w:lang w:val="es-MX"/>
        </w:rPr>
      </w:pPr>
    </w:p>
    <w:p w14:paraId="0B9A171A" w14:textId="0E6E30FF" w:rsidR="00D814D1" w:rsidRPr="00D814D1" w:rsidRDefault="00D814D1" w:rsidP="00D814D1">
      <w:pPr>
        <w:rPr>
          <w:rFonts w:asciiTheme="majorBidi" w:hAnsiTheme="majorBidi" w:cstheme="majorBidi"/>
          <w:color w:val="000000" w:themeColor="text1"/>
          <w:lang w:val="es-MX"/>
        </w:rPr>
        <w:sectPr w:rsidR="00D814D1" w:rsidRPr="00D814D1">
          <w:pgSz w:w="12240" w:h="15840"/>
          <w:pgMar w:top="1417" w:right="1701" w:bottom="1417" w:left="1701" w:header="708" w:footer="708" w:gutter="0"/>
          <w:cols w:space="708"/>
          <w:docGrid w:linePitch="360"/>
        </w:sectPr>
      </w:pPr>
    </w:p>
    <w:p w14:paraId="22F17652" w14:textId="6255A7C9" w:rsidR="00AE221F" w:rsidRPr="009E2A0E" w:rsidRDefault="00AE221F" w:rsidP="00197C3D">
      <w:pPr>
        <w:pStyle w:val="Prrafodelista"/>
        <w:numPr>
          <w:ilvl w:val="0"/>
          <w:numId w:val="8"/>
        </w:numPr>
        <w:outlineLvl w:val="0"/>
        <w:rPr>
          <w:rFonts w:asciiTheme="majorBidi" w:hAnsiTheme="majorBidi" w:cstheme="majorBidi"/>
          <w:b/>
          <w:bCs/>
          <w:color w:val="000000" w:themeColor="text1"/>
          <w:lang w:val="es-MX"/>
        </w:rPr>
      </w:pPr>
      <w:bookmarkStart w:id="40" w:name="_Toc204264062"/>
      <w:r w:rsidRPr="009E2A0E">
        <w:rPr>
          <w:rFonts w:asciiTheme="majorBidi" w:hAnsiTheme="majorBidi" w:cstheme="majorBidi"/>
          <w:b/>
          <w:bCs/>
          <w:color w:val="000000" w:themeColor="text1"/>
          <w:lang w:val="es-MX"/>
        </w:rPr>
        <w:lastRenderedPageBreak/>
        <w:t>Acceso a la Justicia (</w:t>
      </w:r>
      <w:r w:rsidR="00B514BC">
        <w:rPr>
          <w:rFonts w:asciiTheme="majorBidi" w:hAnsiTheme="majorBidi" w:cstheme="majorBidi"/>
          <w:b/>
          <w:bCs/>
          <w:color w:val="000000" w:themeColor="text1"/>
          <w:lang w:val="es-MX"/>
        </w:rPr>
        <w:t xml:space="preserve">Párr. </w:t>
      </w:r>
      <w:r w:rsidR="00710351">
        <w:rPr>
          <w:rFonts w:asciiTheme="majorBidi" w:hAnsiTheme="majorBidi" w:cstheme="majorBidi"/>
          <w:b/>
          <w:bCs/>
          <w:color w:val="000000" w:themeColor="text1"/>
          <w:lang w:val="es-MX"/>
        </w:rPr>
        <w:t>26 del Listado de Temas</w:t>
      </w:r>
      <w:r w:rsidRPr="009E2A0E">
        <w:rPr>
          <w:rFonts w:asciiTheme="majorBidi" w:hAnsiTheme="majorBidi" w:cstheme="majorBidi"/>
          <w:b/>
          <w:bCs/>
          <w:color w:val="000000" w:themeColor="text1"/>
          <w:lang w:val="es-MX"/>
        </w:rPr>
        <w:t>)</w:t>
      </w:r>
      <w:bookmarkEnd w:id="40"/>
    </w:p>
    <w:p w14:paraId="15AA99CC" w14:textId="76F21750" w:rsidR="00EA6C89" w:rsidRPr="009E2A0E" w:rsidRDefault="00EA6C89" w:rsidP="00040B4E">
      <w:pPr>
        <w:spacing w:before="120" w:after="120" w:line="276" w:lineRule="auto"/>
        <w:ind w:right="-20"/>
        <w:jc w:val="both"/>
        <w:rPr>
          <w:rFonts w:asciiTheme="majorBidi" w:eastAsia="Calibri Light" w:hAnsiTheme="majorBidi" w:cstheme="majorBidi"/>
          <w:color w:val="000000" w:themeColor="text1"/>
          <w:lang w:val="es-ES"/>
        </w:rPr>
      </w:pPr>
      <w:r w:rsidRPr="009E2A0E">
        <w:rPr>
          <w:rFonts w:asciiTheme="majorBidi" w:eastAsia="Calibri Light" w:hAnsiTheme="majorBidi" w:cstheme="majorBidi"/>
          <w:color w:val="000000" w:themeColor="text1"/>
          <w:lang w:val="es-ES"/>
        </w:rPr>
        <w:t>En 2024 las autoridades y organizaciones indígenas ejercieron un liderazgo activo en el seguimiento a la nominación de magistrados/as para la Corte Suprema de Justicia y Corte de Apelaciones</w:t>
      </w:r>
      <w:r w:rsidRPr="009E2A0E">
        <w:rPr>
          <w:rStyle w:val="Refdenotaalpie"/>
          <w:rFonts w:asciiTheme="majorBidi" w:eastAsia="Calibri Light" w:hAnsiTheme="majorBidi" w:cstheme="majorBidi"/>
          <w:color w:val="000000" w:themeColor="text1"/>
          <w:sz w:val="22"/>
          <w:lang w:val="es-ES"/>
        </w:rPr>
        <w:footnoteReference w:id="109"/>
      </w:r>
      <w:r w:rsidRPr="009E2A0E">
        <w:rPr>
          <w:rFonts w:asciiTheme="majorBidi" w:eastAsia="Calibri Light" w:hAnsiTheme="majorBidi" w:cstheme="majorBidi"/>
          <w:color w:val="000000" w:themeColor="text1"/>
          <w:lang w:val="es-ES"/>
        </w:rPr>
        <w:t xml:space="preserve">, </w:t>
      </w:r>
      <w:r w:rsidR="00040B4E" w:rsidRPr="00040B4E">
        <w:rPr>
          <w:rFonts w:asciiTheme="majorBidi" w:eastAsia="Calibri Light" w:hAnsiTheme="majorBidi" w:cstheme="majorBidi"/>
          <w:color w:val="000000" w:themeColor="text1"/>
          <w:lang w:val="es-ES"/>
        </w:rPr>
        <w:t xml:space="preserve">sin embargo, los pueblos indígenas aún tienen una brecha en </w:t>
      </w:r>
      <w:proofErr w:type="gramStart"/>
      <w:r w:rsidR="00040B4E" w:rsidRPr="00040B4E">
        <w:rPr>
          <w:rFonts w:asciiTheme="majorBidi" w:eastAsia="Calibri Light" w:hAnsiTheme="majorBidi" w:cstheme="majorBidi"/>
          <w:color w:val="000000" w:themeColor="text1"/>
          <w:lang w:val="es-ES"/>
        </w:rPr>
        <w:t>cuanto  a</w:t>
      </w:r>
      <w:proofErr w:type="gramEnd"/>
      <w:r w:rsidR="00040B4E" w:rsidRPr="00040B4E">
        <w:rPr>
          <w:rFonts w:asciiTheme="majorBidi" w:eastAsia="Calibri Light" w:hAnsiTheme="majorBidi" w:cstheme="majorBidi"/>
          <w:color w:val="000000" w:themeColor="text1"/>
          <w:lang w:val="es-ES"/>
        </w:rPr>
        <w:t xml:space="preserve"> poder nominar a magistrados que los representen. </w:t>
      </w:r>
      <w:r w:rsidR="00040B4E">
        <w:rPr>
          <w:rFonts w:asciiTheme="majorBidi" w:eastAsia="Calibri Light" w:hAnsiTheme="majorBidi" w:cstheme="majorBidi"/>
          <w:color w:val="000000" w:themeColor="text1"/>
          <w:lang w:val="es-ES"/>
        </w:rPr>
        <w:t>U</w:t>
      </w:r>
      <w:r w:rsidRPr="009E2A0E">
        <w:rPr>
          <w:rFonts w:asciiTheme="majorBidi" w:eastAsia="Calibri Light" w:hAnsiTheme="majorBidi" w:cstheme="majorBidi"/>
          <w:color w:val="000000" w:themeColor="text1"/>
          <w:lang w:val="es-ES"/>
        </w:rPr>
        <w:t>n proceso complejo para el país</w:t>
      </w:r>
      <w:r w:rsidR="00036647">
        <w:rPr>
          <w:rFonts w:asciiTheme="majorBidi" w:eastAsia="Calibri Light" w:hAnsiTheme="majorBidi" w:cstheme="majorBidi"/>
          <w:color w:val="000000" w:themeColor="text1"/>
          <w:lang w:val="es-ES"/>
        </w:rPr>
        <w:t xml:space="preserve">, </w:t>
      </w:r>
      <w:r w:rsidRPr="009E2A0E">
        <w:rPr>
          <w:rFonts w:asciiTheme="majorBidi" w:eastAsia="Calibri Light" w:hAnsiTheme="majorBidi" w:cstheme="majorBidi"/>
          <w:color w:val="000000" w:themeColor="text1"/>
          <w:lang w:val="es-ES"/>
        </w:rPr>
        <w:t xml:space="preserve">observado por la </w:t>
      </w:r>
      <w:r w:rsidR="00710351">
        <w:rPr>
          <w:rFonts w:asciiTheme="majorBidi" w:eastAsia="Calibri Light" w:hAnsiTheme="majorBidi" w:cstheme="majorBidi"/>
          <w:color w:val="000000" w:themeColor="text1"/>
          <w:lang w:val="es-ES"/>
        </w:rPr>
        <w:t xml:space="preserve">Organización de Estados Americanos </w:t>
      </w:r>
      <w:r w:rsidRPr="009E2A0E">
        <w:rPr>
          <w:rFonts w:asciiTheme="majorBidi" w:eastAsia="Calibri Light" w:hAnsiTheme="majorBidi" w:cstheme="majorBidi"/>
          <w:color w:val="000000" w:themeColor="text1"/>
          <w:lang w:val="es-ES"/>
        </w:rPr>
        <w:t xml:space="preserve">a petición del presidente </w:t>
      </w:r>
      <w:r w:rsidR="006F0492">
        <w:rPr>
          <w:rFonts w:asciiTheme="majorBidi" w:eastAsia="Calibri Light" w:hAnsiTheme="majorBidi" w:cstheme="majorBidi"/>
          <w:color w:val="000000" w:themeColor="text1"/>
          <w:lang w:val="es-ES"/>
        </w:rPr>
        <w:t xml:space="preserve">Bernardo </w:t>
      </w:r>
      <w:r w:rsidRPr="009E2A0E">
        <w:rPr>
          <w:rFonts w:asciiTheme="majorBidi" w:eastAsia="Calibri Light" w:hAnsiTheme="majorBidi" w:cstheme="majorBidi"/>
          <w:color w:val="000000" w:themeColor="text1"/>
          <w:lang w:val="es-ES"/>
        </w:rPr>
        <w:t xml:space="preserve">Arévalo. En su </w:t>
      </w:r>
      <w:hyperlink r:id="rId18" w:history="1">
        <w:r w:rsidRPr="009E2A0E">
          <w:rPr>
            <w:rStyle w:val="Hipervnculo"/>
            <w:rFonts w:asciiTheme="majorBidi" w:eastAsia="Calibri Light" w:hAnsiTheme="majorBidi" w:cstheme="majorBidi"/>
            <w:i/>
            <w:iCs/>
            <w:color w:val="000000" w:themeColor="text1"/>
            <w:lang w:val="es-ES"/>
          </w:rPr>
          <w:t>informe preliminar</w:t>
        </w:r>
      </w:hyperlink>
      <w:r w:rsidRPr="009E2A0E">
        <w:rPr>
          <w:rFonts w:asciiTheme="majorBidi" w:eastAsia="Calibri Light" w:hAnsiTheme="majorBidi" w:cstheme="majorBidi"/>
          <w:color w:val="000000" w:themeColor="text1"/>
          <w:lang w:val="es-ES"/>
        </w:rPr>
        <w:t xml:space="preserve"> </w:t>
      </w:r>
      <w:r w:rsidRPr="009E2A0E">
        <w:rPr>
          <w:rStyle w:val="Refdenotaalpie"/>
          <w:rFonts w:asciiTheme="majorBidi" w:eastAsia="Calibri Light" w:hAnsiTheme="majorBidi" w:cstheme="majorBidi"/>
          <w:color w:val="000000" w:themeColor="text1"/>
          <w:sz w:val="22"/>
          <w:lang w:val="es-ES"/>
        </w:rPr>
        <w:footnoteReference w:id="110"/>
      </w:r>
      <w:r w:rsidRPr="009E2A0E">
        <w:rPr>
          <w:rFonts w:asciiTheme="majorBidi" w:eastAsia="Calibri Light" w:hAnsiTheme="majorBidi" w:cstheme="majorBidi"/>
          <w:color w:val="000000" w:themeColor="text1"/>
          <w:lang w:val="es-ES"/>
        </w:rPr>
        <w:t xml:space="preserve">dicho organismo, </w:t>
      </w:r>
      <w:r w:rsidR="0030709D" w:rsidRPr="009E2A0E">
        <w:rPr>
          <w:rFonts w:asciiTheme="majorBidi" w:eastAsia="Calibri Light" w:hAnsiTheme="majorBidi" w:cstheme="majorBidi"/>
          <w:color w:val="000000" w:themeColor="text1"/>
          <w:lang w:val="es-ES"/>
        </w:rPr>
        <w:t>señala conflictos</w:t>
      </w:r>
      <w:r w:rsidRPr="009E2A0E">
        <w:rPr>
          <w:rFonts w:asciiTheme="majorBidi" w:eastAsia="Calibri Light" w:hAnsiTheme="majorBidi" w:cstheme="majorBidi"/>
          <w:color w:val="000000" w:themeColor="text1"/>
          <w:lang w:val="es-ES"/>
        </w:rPr>
        <w:t xml:space="preserve"> de interés de los integrantes de las comisiones, la nominación de candidatos presuntamente implicados en casos de corrupción o violaciones de derechos humanos y procedimientos inadecuados de evaluación de candidatos.</w:t>
      </w:r>
    </w:p>
    <w:p w14:paraId="71B1C5B0" w14:textId="699FC486" w:rsidR="00ED14B3" w:rsidRPr="003E32E3" w:rsidRDefault="00ED14B3" w:rsidP="00D47ADD">
      <w:pPr>
        <w:autoSpaceDE w:val="0"/>
        <w:autoSpaceDN w:val="0"/>
        <w:adjustRightInd w:val="0"/>
        <w:jc w:val="both"/>
        <w:rPr>
          <w:rFonts w:asciiTheme="majorBidi" w:eastAsia="Arial" w:hAnsiTheme="majorBidi" w:cstheme="majorBidi"/>
        </w:rPr>
      </w:pPr>
      <w:r w:rsidRPr="009E2A0E">
        <w:rPr>
          <w:rFonts w:asciiTheme="majorBidi" w:eastAsia="Arial" w:hAnsiTheme="majorBidi" w:cstheme="majorBidi"/>
          <w:color w:val="000000" w:themeColor="text1"/>
        </w:rPr>
        <w:t>La vigencia del  racismo  en Guatemala y en el  sistema de justicia  es una situación vivida por hombre</w:t>
      </w:r>
      <w:r w:rsidR="0030709D">
        <w:rPr>
          <w:rFonts w:asciiTheme="majorBidi" w:eastAsia="Arial" w:hAnsiTheme="majorBidi" w:cstheme="majorBidi"/>
          <w:color w:val="000000" w:themeColor="text1"/>
        </w:rPr>
        <w:t>s</w:t>
      </w:r>
      <w:r w:rsidRPr="009E2A0E">
        <w:rPr>
          <w:rFonts w:asciiTheme="majorBidi" w:eastAsia="Arial" w:hAnsiTheme="majorBidi" w:cstheme="majorBidi"/>
          <w:color w:val="000000" w:themeColor="text1"/>
        </w:rPr>
        <w:t xml:space="preserve"> y mujeres </w:t>
      </w:r>
      <w:r w:rsidR="0030709D" w:rsidRPr="009E2A0E">
        <w:rPr>
          <w:rFonts w:asciiTheme="majorBidi" w:eastAsia="Arial" w:hAnsiTheme="majorBidi" w:cstheme="majorBidi"/>
          <w:color w:val="000000" w:themeColor="text1"/>
        </w:rPr>
        <w:t>indígenas</w:t>
      </w:r>
      <w:r w:rsidRPr="009E2A0E">
        <w:rPr>
          <w:rFonts w:asciiTheme="majorBidi" w:eastAsia="Arial" w:hAnsiTheme="majorBidi" w:cstheme="majorBidi"/>
          <w:color w:val="000000" w:themeColor="text1"/>
        </w:rPr>
        <w:t xml:space="preserve"> que buscan  justicia, </w:t>
      </w:r>
      <w:r w:rsidR="00D47ADD" w:rsidRPr="00D47ADD">
        <w:rPr>
          <w:rFonts w:asciiTheme="majorBidi" w:eastAsia="Arial" w:hAnsiTheme="majorBidi" w:cstheme="majorBidi"/>
          <w:color w:val="000000" w:themeColor="text1"/>
        </w:rPr>
        <w:t xml:space="preserve">la justicia sigue siendo monolingüe, el sistema de traducción tiene sus carencias y la justicia en los idiomas indígenas siguen siendo una anhelo, </w:t>
      </w:r>
      <w:r w:rsidRPr="009E2A0E">
        <w:rPr>
          <w:rFonts w:asciiTheme="majorBidi" w:eastAsia="Arial" w:hAnsiTheme="majorBidi" w:cstheme="majorBidi"/>
          <w:color w:val="000000" w:themeColor="text1"/>
        </w:rPr>
        <w:t>ante ello se han propuesto varios mecanismo</w:t>
      </w:r>
      <w:r w:rsidR="00F85C8F">
        <w:rPr>
          <w:rFonts w:asciiTheme="majorBidi" w:eastAsia="Arial" w:hAnsiTheme="majorBidi" w:cstheme="majorBidi"/>
          <w:color w:val="000000" w:themeColor="text1"/>
        </w:rPr>
        <w:t>s</w:t>
      </w:r>
      <w:r w:rsidRPr="009E2A0E">
        <w:rPr>
          <w:rFonts w:asciiTheme="majorBidi" w:eastAsia="Arial" w:hAnsiTheme="majorBidi" w:cstheme="majorBidi"/>
          <w:color w:val="000000" w:themeColor="text1"/>
        </w:rPr>
        <w:t xml:space="preserve"> e instrumentos  como lo son el  protocolo de atención a mujeres indígenas del </w:t>
      </w:r>
      <w:r w:rsidR="00684BA3">
        <w:rPr>
          <w:rFonts w:asciiTheme="majorBidi" w:eastAsia="Arial" w:hAnsiTheme="majorBidi" w:cstheme="majorBidi"/>
          <w:color w:val="000000" w:themeColor="text1"/>
        </w:rPr>
        <w:t>O</w:t>
      </w:r>
      <w:r w:rsidRPr="009E2A0E">
        <w:rPr>
          <w:rFonts w:asciiTheme="majorBidi" w:eastAsia="Arial" w:hAnsiTheme="majorBidi" w:cstheme="majorBidi"/>
          <w:color w:val="000000" w:themeColor="text1"/>
        </w:rPr>
        <w:t xml:space="preserve">rganismo </w:t>
      </w:r>
      <w:r w:rsidR="00684BA3">
        <w:rPr>
          <w:rFonts w:asciiTheme="majorBidi" w:eastAsia="Arial" w:hAnsiTheme="majorBidi" w:cstheme="majorBidi"/>
          <w:color w:val="000000" w:themeColor="text1"/>
        </w:rPr>
        <w:t>J</w:t>
      </w:r>
      <w:r w:rsidRPr="009E2A0E">
        <w:rPr>
          <w:rFonts w:asciiTheme="majorBidi" w:eastAsia="Arial" w:hAnsiTheme="majorBidi" w:cstheme="majorBidi"/>
          <w:color w:val="000000" w:themeColor="text1"/>
        </w:rPr>
        <w:t xml:space="preserve">udicial y el protocolo de atención con pertinencia cultural y lingüística para mujeres y niñas indígenas del </w:t>
      </w:r>
      <w:r w:rsidR="00CA5E2A">
        <w:rPr>
          <w:rFonts w:asciiTheme="majorBidi" w:eastAsia="Arial" w:hAnsiTheme="majorBidi" w:cstheme="majorBidi"/>
          <w:color w:val="000000" w:themeColor="text1"/>
        </w:rPr>
        <w:t>M</w:t>
      </w:r>
      <w:r w:rsidRPr="009E2A0E">
        <w:rPr>
          <w:rFonts w:asciiTheme="majorBidi" w:eastAsia="Arial" w:hAnsiTheme="majorBidi" w:cstheme="majorBidi"/>
          <w:color w:val="000000" w:themeColor="text1"/>
        </w:rPr>
        <w:t xml:space="preserve">inisterio </w:t>
      </w:r>
      <w:r w:rsidR="00CA5E2A">
        <w:rPr>
          <w:rFonts w:asciiTheme="majorBidi" w:eastAsia="Arial" w:hAnsiTheme="majorBidi" w:cstheme="majorBidi"/>
          <w:color w:val="000000" w:themeColor="text1"/>
        </w:rPr>
        <w:t>P</w:t>
      </w:r>
      <w:r w:rsidRPr="009E2A0E">
        <w:rPr>
          <w:rFonts w:asciiTheme="majorBidi" w:eastAsia="Arial" w:hAnsiTheme="majorBidi" w:cstheme="majorBidi"/>
          <w:color w:val="000000" w:themeColor="text1"/>
        </w:rPr>
        <w:t xml:space="preserve">úblico, sin embargo estos instrumentos no se ven materializados  en lo cotidiano, </w:t>
      </w:r>
      <w:r w:rsidR="00CA5E2A">
        <w:rPr>
          <w:rFonts w:asciiTheme="majorBidi" w:eastAsia="Arial" w:hAnsiTheme="majorBidi" w:cstheme="majorBidi"/>
          <w:color w:val="000000" w:themeColor="text1"/>
        </w:rPr>
        <w:t>debido a que el</w:t>
      </w:r>
      <w:r w:rsidRPr="009E2A0E">
        <w:rPr>
          <w:rFonts w:asciiTheme="majorBidi" w:eastAsia="Arial" w:hAnsiTheme="majorBidi" w:cstheme="majorBidi"/>
          <w:color w:val="000000" w:themeColor="text1"/>
        </w:rPr>
        <w:t xml:space="preserve"> Estado no garantiza el presupuesto que requiere y las instancias encargadas de su implementación no lo asumen como obligatorio</w:t>
      </w:r>
      <w:r w:rsidR="0075294C">
        <w:rPr>
          <w:rFonts w:asciiTheme="majorBidi" w:eastAsia="Arial" w:hAnsiTheme="majorBidi" w:cstheme="majorBidi"/>
          <w:color w:val="000000" w:themeColor="text1"/>
        </w:rPr>
        <w:t>,</w:t>
      </w:r>
      <w:r w:rsidRPr="009E2A0E">
        <w:rPr>
          <w:rFonts w:asciiTheme="majorBidi" w:eastAsia="Arial" w:hAnsiTheme="majorBidi" w:cstheme="majorBidi"/>
          <w:color w:val="000000" w:themeColor="text1"/>
        </w:rPr>
        <w:t xml:space="preserve"> sino como un componente más que no es relevante. Es por ello </w:t>
      </w:r>
      <w:proofErr w:type="gramStart"/>
      <w:r w:rsidRPr="009E2A0E">
        <w:rPr>
          <w:rFonts w:asciiTheme="majorBidi" w:eastAsia="Arial" w:hAnsiTheme="majorBidi" w:cstheme="majorBidi"/>
          <w:color w:val="000000" w:themeColor="text1"/>
        </w:rPr>
        <w:t>que</w:t>
      </w:r>
      <w:proofErr w:type="gramEnd"/>
      <w:r w:rsidRPr="009E2A0E">
        <w:rPr>
          <w:rFonts w:asciiTheme="majorBidi" w:eastAsia="Arial" w:hAnsiTheme="majorBidi" w:cstheme="majorBidi"/>
          <w:color w:val="000000" w:themeColor="text1"/>
        </w:rPr>
        <w:t xml:space="preserve"> es </w:t>
      </w:r>
      <w:proofErr w:type="gramStart"/>
      <w:r w:rsidRPr="009E2A0E">
        <w:rPr>
          <w:rFonts w:asciiTheme="majorBidi" w:eastAsia="Arial" w:hAnsiTheme="majorBidi" w:cstheme="majorBidi"/>
          <w:color w:val="000000" w:themeColor="text1"/>
        </w:rPr>
        <w:t>necesario  insistir</w:t>
      </w:r>
      <w:proofErr w:type="gramEnd"/>
      <w:r w:rsidRPr="009E2A0E">
        <w:rPr>
          <w:rFonts w:asciiTheme="majorBidi" w:eastAsia="Arial" w:hAnsiTheme="majorBidi" w:cstheme="majorBidi"/>
          <w:color w:val="000000" w:themeColor="text1"/>
        </w:rPr>
        <w:t xml:space="preserve"> y medir c</w:t>
      </w:r>
      <w:r w:rsidR="007219EC">
        <w:rPr>
          <w:rFonts w:asciiTheme="majorBidi" w:eastAsia="Arial" w:hAnsiTheme="majorBidi" w:cstheme="majorBidi"/>
          <w:color w:val="000000" w:themeColor="text1"/>
        </w:rPr>
        <w:t>ó</w:t>
      </w:r>
      <w:r w:rsidRPr="009E2A0E">
        <w:rPr>
          <w:rFonts w:asciiTheme="majorBidi" w:eastAsia="Arial" w:hAnsiTheme="majorBidi" w:cstheme="majorBidi"/>
          <w:color w:val="000000" w:themeColor="text1"/>
        </w:rPr>
        <w:t xml:space="preserve">mo se ha materializado la implementación, difusión y monitoreo de las </w:t>
      </w:r>
      <w:r w:rsidRPr="003E32E3">
        <w:rPr>
          <w:rFonts w:asciiTheme="majorBidi" w:eastAsia="Arial" w:hAnsiTheme="majorBidi" w:cstheme="majorBidi"/>
        </w:rPr>
        <w:t xml:space="preserve">políticas, </w:t>
      </w:r>
      <w:r w:rsidR="00F40164" w:rsidRPr="003E32E3">
        <w:rPr>
          <w:rFonts w:asciiTheme="majorBidi" w:eastAsia="Arial" w:hAnsiTheme="majorBidi" w:cstheme="majorBidi"/>
        </w:rPr>
        <w:t xml:space="preserve">normas, </w:t>
      </w:r>
      <w:r w:rsidRPr="003E32E3">
        <w:rPr>
          <w:rFonts w:asciiTheme="majorBidi" w:eastAsia="Arial" w:hAnsiTheme="majorBidi" w:cstheme="majorBidi"/>
        </w:rPr>
        <w:t>mecanismo</w:t>
      </w:r>
      <w:r w:rsidR="00684BA3" w:rsidRPr="003E32E3">
        <w:rPr>
          <w:rFonts w:asciiTheme="majorBidi" w:eastAsia="Arial" w:hAnsiTheme="majorBidi" w:cstheme="majorBidi"/>
        </w:rPr>
        <w:t>s</w:t>
      </w:r>
      <w:r w:rsidRPr="003E32E3">
        <w:rPr>
          <w:rFonts w:asciiTheme="majorBidi" w:eastAsia="Arial" w:hAnsiTheme="majorBidi" w:cstheme="majorBidi"/>
        </w:rPr>
        <w:t xml:space="preserve"> e instrumentos </w:t>
      </w:r>
      <w:r w:rsidR="005E2D38" w:rsidRPr="003E32E3">
        <w:rPr>
          <w:rFonts w:asciiTheme="majorBidi" w:eastAsia="Arial" w:hAnsiTheme="majorBidi" w:cstheme="majorBidi"/>
        </w:rPr>
        <w:t>que impact</w:t>
      </w:r>
      <w:r w:rsidR="00160EF1" w:rsidRPr="003E32E3">
        <w:rPr>
          <w:rFonts w:asciiTheme="majorBidi" w:eastAsia="Arial" w:hAnsiTheme="majorBidi" w:cstheme="majorBidi"/>
        </w:rPr>
        <w:t>a</w:t>
      </w:r>
      <w:r w:rsidR="005E2D38" w:rsidRPr="003E32E3">
        <w:rPr>
          <w:rFonts w:asciiTheme="majorBidi" w:eastAsia="Arial" w:hAnsiTheme="majorBidi" w:cstheme="majorBidi"/>
        </w:rPr>
        <w:t>n</w:t>
      </w:r>
      <w:r w:rsidRPr="003E32E3">
        <w:rPr>
          <w:rFonts w:asciiTheme="majorBidi" w:eastAsia="Arial" w:hAnsiTheme="majorBidi" w:cstheme="majorBidi"/>
        </w:rPr>
        <w:t xml:space="preserve"> en la vida de </w:t>
      </w:r>
      <w:r w:rsidR="002B2C78">
        <w:rPr>
          <w:rFonts w:asciiTheme="majorBidi" w:eastAsia="Arial" w:hAnsiTheme="majorBidi" w:cstheme="majorBidi"/>
        </w:rPr>
        <w:t>P</w:t>
      </w:r>
      <w:r w:rsidRPr="003E32E3">
        <w:rPr>
          <w:rFonts w:asciiTheme="majorBidi" w:eastAsia="Arial" w:hAnsiTheme="majorBidi" w:cstheme="majorBidi"/>
        </w:rPr>
        <w:t xml:space="preserve">ueblos </w:t>
      </w:r>
      <w:r w:rsidR="002B2C78">
        <w:rPr>
          <w:rFonts w:asciiTheme="majorBidi" w:eastAsia="Arial" w:hAnsiTheme="majorBidi" w:cstheme="majorBidi"/>
        </w:rPr>
        <w:t>I</w:t>
      </w:r>
      <w:r w:rsidRPr="003E32E3">
        <w:rPr>
          <w:rFonts w:asciiTheme="majorBidi" w:eastAsia="Arial" w:hAnsiTheme="majorBidi" w:cstheme="majorBidi"/>
        </w:rPr>
        <w:t>ndígenas</w:t>
      </w:r>
      <w:r w:rsidR="002B2C78">
        <w:rPr>
          <w:rFonts w:asciiTheme="majorBidi" w:eastAsia="Arial" w:hAnsiTheme="majorBidi" w:cstheme="majorBidi"/>
        </w:rPr>
        <w:t xml:space="preserve"> y Afrodescendientes</w:t>
      </w:r>
      <w:r w:rsidRPr="003E32E3">
        <w:rPr>
          <w:rFonts w:asciiTheme="majorBidi" w:eastAsia="Arial" w:hAnsiTheme="majorBidi" w:cstheme="majorBidi"/>
        </w:rPr>
        <w:t xml:space="preserve">, especialmente las mujeres </w:t>
      </w:r>
      <w:proofErr w:type="gramStart"/>
      <w:r w:rsidRPr="003E32E3">
        <w:rPr>
          <w:rFonts w:asciiTheme="majorBidi" w:eastAsia="Arial" w:hAnsiTheme="majorBidi" w:cstheme="majorBidi"/>
        </w:rPr>
        <w:t>que  se</w:t>
      </w:r>
      <w:proofErr w:type="gramEnd"/>
      <w:r w:rsidRPr="003E32E3">
        <w:rPr>
          <w:rFonts w:asciiTheme="majorBidi" w:eastAsia="Arial" w:hAnsiTheme="majorBidi" w:cstheme="majorBidi"/>
        </w:rPr>
        <w:t xml:space="preserve"> encuentran en mayor desventaja. </w:t>
      </w:r>
    </w:p>
    <w:p w14:paraId="6DAACD6E" w14:textId="7379AF79" w:rsidR="000B23D2" w:rsidRPr="003E32E3" w:rsidRDefault="000B23D2" w:rsidP="000B23D2">
      <w:pPr>
        <w:spacing w:before="120" w:after="120" w:line="276" w:lineRule="auto"/>
        <w:ind w:right="-20"/>
        <w:jc w:val="both"/>
        <w:rPr>
          <w:rFonts w:asciiTheme="majorBidi" w:eastAsia="Calibri Light" w:hAnsiTheme="majorBidi" w:cstheme="majorBidi"/>
          <w:lang w:val="es-ES"/>
        </w:rPr>
      </w:pPr>
      <w:r w:rsidRPr="003E32E3">
        <w:rPr>
          <w:rFonts w:asciiTheme="majorBidi" w:eastAsia="Calibri Light" w:hAnsiTheme="majorBidi" w:cstheme="majorBidi"/>
          <w:lang w:val="es-ES"/>
        </w:rPr>
        <w:t>En Guatemala la falta de independencia judicial persiste como un problema crítico</w:t>
      </w:r>
      <w:r w:rsidRPr="003E32E3">
        <w:rPr>
          <w:rStyle w:val="Refdenotaalpie"/>
          <w:rFonts w:asciiTheme="majorBidi" w:eastAsia="Calibri Light" w:hAnsiTheme="majorBidi" w:cstheme="majorBidi"/>
          <w:i/>
          <w:iCs/>
          <w:sz w:val="22"/>
          <w:lang w:val="es-ES"/>
        </w:rPr>
        <w:footnoteReference w:id="111"/>
      </w:r>
      <w:r w:rsidRPr="003E32E3">
        <w:rPr>
          <w:rFonts w:asciiTheme="majorBidi" w:eastAsia="Calibri Light" w:hAnsiTheme="majorBidi" w:cstheme="majorBidi"/>
          <w:lang w:val="es-ES"/>
        </w:rPr>
        <w:t xml:space="preserve"> que se refleja en la instrumentalización de la acción penal que criminaliza a defensores/as de derechos, periodistas, jueces, fiscales y los pueblos indígenas, sobre quienes se emplea una especie de estrategia de “guerra jurídica” basada en prácticas como declarar los casos en reserva, impedir o negar una defensa efectiva a autoridades y defensores de Derechos Humano</w:t>
      </w:r>
      <w:r w:rsidR="00487D5D" w:rsidRPr="003E32E3">
        <w:rPr>
          <w:rFonts w:asciiTheme="majorBidi" w:eastAsia="Calibri Light" w:hAnsiTheme="majorBidi" w:cstheme="majorBidi"/>
          <w:lang w:val="es-ES"/>
        </w:rPr>
        <w:t xml:space="preserve">s. El acceso a la </w:t>
      </w:r>
      <w:proofErr w:type="gramStart"/>
      <w:r w:rsidR="00487D5D" w:rsidRPr="003E32E3">
        <w:rPr>
          <w:rFonts w:asciiTheme="majorBidi" w:eastAsia="Calibri Light" w:hAnsiTheme="majorBidi" w:cstheme="majorBidi"/>
          <w:lang w:val="es-ES"/>
        </w:rPr>
        <w:t>justicia,</w:t>
      </w:r>
      <w:proofErr w:type="gramEnd"/>
      <w:r w:rsidR="00487D5D" w:rsidRPr="003E32E3">
        <w:rPr>
          <w:rFonts w:asciiTheme="majorBidi" w:eastAsia="Calibri Light" w:hAnsiTheme="majorBidi" w:cstheme="majorBidi"/>
          <w:lang w:val="es-ES"/>
        </w:rPr>
        <w:t xml:space="preserve"> ha implicado para los pueblos indígenas</w:t>
      </w:r>
      <w:r w:rsidR="002D23BE" w:rsidRPr="003E32E3">
        <w:rPr>
          <w:rFonts w:asciiTheme="majorBidi" w:eastAsia="Calibri Light" w:hAnsiTheme="majorBidi" w:cstheme="majorBidi"/>
          <w:lang w:val="es-ES"/>
        </w:rPr>
        <w:t xml:space="preserve">, Xinka, garífuna y afrodescendiente agotar procesos legales en los mecanismos nacionales </w:t>
      </w:r>
      <w:r w:rsidR="00BD7A0F" w:rsidRPr="003E32E3">
        <w:rPr>
          <w:rFonts w:asciiTheme="majorBidi" w:eastAsia="Calibri Light" w:hAnsiTheme="majorBidi" w:cstheme="majorBidi"/>
          <w:lang w:val="es-ES"/>
        </w:rPr>
        <w:t xml:space="preserve">y acudir a mecanismos internacionales, </w:t>
      </w:r>
      <w:r w:rsidR="00A701F9" w:rsidRPr="003E32E3">
        <w:rPr>
          <w:rFonts w:asciiTheme="majorBidi" w:eastAsia="Calibri Light" w:hAnsiTheme="majorBidi" w:cstheme="majorBidi"/>
          <w:lang w:val="es-ES"/>
        </w:rPr>
        <w:t xml:space="preserve">lo cual suma una serie de desafíos </w:t>
      </w:r>
      <w:r w:rsidR="00086EEE" w:rsidRPr="003E32E3">
        <w:rPr>
          <w:rFonts w:asciiTheme="majorBidi" w:eastAsia="Calibri Light" w:hAnsiTheme="majorBidi" w:cstheme="majorBidi"/>
          <w:lang w:val="es-ES"/>
        </w:rPr>
        <w:t xml:space="preserve">en labor de defensa y búsqueda de justicia que afecta </w:t>
      </w:r>
      <w:r w:rsidR="006A2511" w:rsidRPr="003E32E3">
        <w:rPr>
          <w:rFonts w:asciiTheme="majorBidi" w:eastAsia="Calibri Light" w:hAnsiTheme="majorBidi" w:cstheme="majorBidi"/>
          <w:lang w:val="es-ES"/>
        </w:rPr>
        <w:t>diversas esferas de su vida comunitaria.</w:t>
      </w:r>
    </w:p>
    <w:p w14:paraId="7D73C2E4" w14:textId="4F82077D" w:rsidR="00ED14B3" w:rsidRPr="009E2A0E" w:rsidRDefault="00ED14B3" w:rsidP="0026075F">
      <w:pPr>
        <w:keepLines/>
        <w:jc w:val="both"/>
        <w:rPr>
          <w:rFonts w:asciiTheme="majorBidi" w:hAnsiTheme="majorBidi" w:cstheme="majorBidi"/>
          <w:color w:val="000000" w:themeColor="text1"/>
        </w:rPr>
      </w:pPr>
      <w:r w:rsidRPr="009E2A0E">
        <w:rPr>
          <w:rFonts w:asciiTheme="majorBidi" w:eastAsia="Cambria" w:hAnsiTheme="majorBidi" w:cstheme="majorBidi"/>
          <w:color w:val="000000" w:themeColor="text1"/>
        </w:rPr>
        <w:lastRenderedPageBreak/>
        <w:t xml:space="preserve">La criminalización </w:t>
      </w:r>
      <w:r w:rsidR="00C06DE3">
        <w:rPr>
          <w:rFonts w:asciiTheme="majorBidi" w:eastAsia="Cambria" w:hAnsiTheme="majorBidi" w:cstheme="majorBidi"/>
          <w:color w:val="000000" w:themeColor="text1"/>
        </w:rPr>
        <w:t>se</w:t>
      </w:r>
      <w:r w:rsidRPr="009E2A0E">
        <w:rPr>
          <w:rFonts w:asciiTheme="majorBidi" w:eastAsia="Cambria" w:hAnsiTheme="majorBidi" w:cstheme="majorBidi"/>
          <w:color w:val="000000" w:themeColor="text1"/>
        </w:rPr>
        <w:t xml:space="preserve"> está aplica</w:t>
      </w:r>
      <w:r w:rsidR="00F20829">
        <w:rPr>
          <w:rFonts w:asciiTheme="majorBidi" w:eastAsia="Cambria" w:hAnsiTheme="majorBidi" w:cstheme="majorBidi"/>
          <w:color w:val="000000" w:themeColor="text1"/>
        </w:rPr>
        <w:t>n</w:t>
      </w:r>
      <w:r w:rsidRPr="009E2A0E">
        <w:rPr>
          <w:rFonts w:asciiTheme="majorBidi" w:eastAsia="Cambria" w:hAnsiTheme="majorBidi" w:cstheme="majorBidi"/>
          <w:color w:val="000000" w:themeColor="text1"/>
        </w:rPr>
        <w:t xml:space="preserve">do alarmantemente </w:t>
      </w:r>
      <w:r w:rsidR="00B714DF">
        <w:rPr>
          <w:rFonts w:asciiTheme="majorBidi" w:eastAsia="Cambria" w:hAnsiTheme="majorBidi" w:cstheme="majorBidi"/>
          <w:color w:val="000000" w:themeColor="text1"/>
        </w:rPr>
        <w:t>contra</w:t>
      </w:r>
      <w:r w:rsidR="00B714DF" w:rsidRPr="009E2A0E">
        <w:rPr>
          <w:rFonts w:asciiTheme="majorBidi" w:eastAsia="Cambria" w:hAnsiTheme="majorBidi" w:cstheme="majorBidi"/>
          <w:color w:val="000000" w:themeColor="text1"/>
        </w:rPr>
        <w:t xml:space="preserve"> </w:t>
      </w:r>
      <w:proofErr w:type="gramStart"/>
      <w:r w:rsidRPr="009E2A0E">
        <w:rPr>
          <w:rFonts w:asciiTheme="majorBidi" w:eastAsia="Cambria" w:hAnsiTheme="majorBidi" w:cstheme="majorBidi"/>
          <w:color w:val="000000" w:themeColor="text1"/>
        </w:rPr>
        <w:t>defensores y defensoras</w:t>
      </w:r>
      <w:proofErr w:type="gramEnd"/>
      <w:r w:rsidRPr="009E2A0E">
        <w:rPr>
          <w:rFonts w:asciiTheme="majorBidi" w:eastAsia="Cambria" w:hAnsiTheme="majorBidi" w:cstheme="majorBidi"/>
          <w:color w:val="000000" w:themeColor="text1"/>
        </w:rPr>
        <w:t xml:space="preserve"> de derechos humanos</w:t>
      </w:r>
      <w:r w:rsidR="00C80B93">
        <w:rPr>
          <w:rFonts w:asciiTheme="majorBidi" w:eastAsia="Cambria" w:hAnsiTheme="majorBidi" w:cstheme="majorBidi"/>
          <w:color w:val="000000" w:themeColor="text1"/>
        </w:rPr>
        <w:t>, de pueblos indígenas</w:t>
      </w:r>
      <w:r w:rsidRPr="009E2A0E">
        <w:rPr>
          <w:rFonts w:asciiTheme="majorBidi" w:eastAsia="Cambria" w:hAnsiTheme="majorBidi" w:cstheme="majorBidi"/>
          <w:color w:val="000000" w:themeColor="text1"/>
        </w:rPr>
        <w:t xml:space="preserve">, </w:t>
      </w:r>
      <w:r w:rsidR="00B714DF">
        <w:rPr>
          <w:rFonts w:asciiTheme="majorBidi" w:eastAsia="Cambria" w:hAnsiTheme="majorBidi" w:cstheme="majorBidi"/>
          <w:color w:val="000000" w:themeColor="text1"/>
        </w:rPr>
        <w:t>catalogándolos como</w:t>
      </w:r>
      <w:r w:rsidRPr="009E2A0E">
        <w:rPr>
          <w:rFonts w:asciiTheme="majorBidi" w:eastAsia="Cambria" w:hAnsiTheme="majorBidi" w:cstheme="majorBidi"/>
          <w:color w:val="000000" w:themeColor="text1"/>
        </w:rPr>
        <w:t xml:space="preserve"> </w:t>
      </w:r>
      <w:r w:rsidR="00032762">
        <w:rPr>
          <w:rFonts w:asciiTheme="majorBidi" w:eastAsia="Cambria" w:hAnsiTheme="majorBidi" w:cstheme="majorBidi"/>
          <w:color w:val="000000" w:themeColor="text1"/>
        </w:rPr>
        <w:t>“</w:t>
      </w:r>
      <w:r w:rsidRPr="009E2A0E">
        <w:rPr>
          <w:rFonts w:asciiTheme="majorBidi" w:eastAsia="Cambria" w:hAnsiTheme="majorBidi" w:cstheme="majorBidi"/>
          <w:color w:val="000000" w:themeColor="text1"/>
        </w:rPr>
        <w:t>delincuentes</w:t>
      </w:r>
      <w:r w:rsidR="00032762">
        <w:rPr>
          <w:rFonts w:asciiTheme="majorBidi" w:eastAsia="Cambria" w:hAnsiTheme="majorBidi" w:cstheme="majorBidi"/>
          <w:color w:val="000000" w:themeColor="text1"/>
        </w:rPr>
        <w:t>”</w:t>
      </w:r>
      <w:r w:rsidRPr="009E2A0E">
        <w:rPr>
          <w:rFonts w:asciiTheme="majorBidi" w:eastAsia="Cambria" w:hAnsiTheme="majorBidi" w:cstheme="majorBidi"/>
          <w:color w:val="000000" w:themeColor="text1"/>
        </w:rPr>
        <w:t xml:space="preserve">, quienes </w:t>
      </w:r>
      <w:r w:rsidR="00B000E5">
        <w:rPr>
          <w:rFonts w:asciiTheme="majorBidi" w:eastAsia="Cambria" w:hAnsiTheme="majorBidi" w:cstheme="majorBidi"/>
          <w:color w:val="000000" w:themeColor="text1"/>
        </w:rPr>
        <w:t>son</w:t>
      </w:r>
      <w:r w:rsidRPr="009E2A0E">
        <w:rPr>
          <w:rFonts w:asciiTheme="majorBidi" w:eastAsia="Cambria" w:hAnsiTheme="majorBidi" w:cstheme="majorBidi"/>
          <w:color w:val="000000" w:themeColor="text1"/>
        </w:rPr>
        <w:t xml:space="preserve"> perseguidos y procesados penalmente.</w:t>
      </w:r>
      <w:r w:rsidR="00B000E5">
        <w:rPr>
          <w:rFonts w:asciiTheme="majorBidi" w:eastAsia="Cambria" w:hAnsiTheme="majorBidi" w:cstheme="majorBidi"/>
          <w:color w:val="000000" w:themeColor="text1"/>
        </w:rPr>
        <w:t xml:space="preserve"> </w:t>
      </w:r>
      <w:r w:rsidRPr="009E2A0E">
        <w:rPr>
          <w:rFonts w:asciiTheme="majorBidi" w:hAnsiTheme="majorBidi" w:cstheme="majorBidi"/>
          <w:color w:val="000000" w:themeColor="text1"/>
        </w:rPr>
        <w:t xml:space="preserve">Ejemplo de ello es el caso de Rigoberto Juárez y Domingo Baltazar –representantes del Gobierno Plurinacional de la Nación Q’anjob’al, Chuj, Akateka, Popti y Mestizo– </w:t>
      </w:r>
      <w:r w:rsidR="00B52E84">
        <w:rPr>
          <w:rFonts w:asciiTheme="majorBidi" w:hAnsiTheme="majorBidi" w:cstheme="majorBidi"/>
          <w:color w:val="000000" w:themeColor="text1"/>
        </w:rPr>
        <w:t xml:space="preserve">quienes </w:t>
      </w:r>
      <w:r w:rsidRPr="009E2A0E">
        <w:rPr>
          <w:rFonts w:asciiTheme="majorBidi" w:hAnsiTheme="majorBidi" w:cstheme="majorBidi"/>
          <w:color w:val="000000" w:themeColor="text1"/>
        </w:rPr>
        <w:t xml:space="preserve">han sido objeto de procesos penales como resultado de su </w:t>
      </w:r>
      <w:proofErr w:type="gramStart"/>
      <w:r w:rsidRPr="009E2A0E">
        <w:rPr>
          <w:rFonts w:asciiTheme="majorBidi" w:hAnsiTheme="majorBidi" w:cstheme="majorBidi"/>
          <w:color w:val="000000" w:themeColor="text1"/>
        </w:rPr>
        <w:t>participación activa</w:t>
      </w:r>
      <w:proofErr w:type="gramEnd"/>
      <w:r w:rsidRPr="009E2A0E">
        <w:rPr>
          <w:rFonts w:asciiTheme="majorBidi" w:hAnsiTheme="majorBidi" w:cstheme="majorBidi"/>
          <w:color w:val="000000" w:themeColor="text1"/>
        </w:rPr>
        <w:t xml:space="preserve"> en la defensa del territorio, los derechos colectivos y el rechazo a proyectos extractivos, particularmente la hidroeléctrica "Hidro Santa Cruz" </w:t>
      </w:r>
      <w:r w:rsidR="0026075F" w:rsidRPr="0026075F">
        <w:rPr>
          <w:rFonts w:asciiTheme="majorBidi" w:hAnsiTheme="majorBidi" w:cstheme="majorBidi"/>
          <w:color w:val="000000" w:themeColor="text1"/>
        </w:rPr>
        <w:t>Barillas</w:t>
      </w:r>
      <w:r w:rsidRPr="009E2A0E">
        <w:rPr>
          <w:rFonts w:asciiTheme="majorBidi" w:hAnsiTheme="majorBidi" w:cstheme="majorBidi"/>
          <w:color w:val="000000" w:themeColor="text1"/>
        </w:rPr>
        <w:t xml:space="preserve">, Huehuetenango. Ambos fueron acusados </w:t>
      </w:r>
      <w:r w:rsidR="009125F5">
        <w:rPr>
          <w:rFonts w:asciiTheme="majorBidi" w:hAnsiTheme="majorBidi" w:cstheme="majorBidi"/>
          <w:color w:val="000000" w:themeColor="text1"/>
        </w:rPr>
        <w:t>por</w:t>
      </w:r>
      <w:r w:rsidRPr="009E2A0E">
        <w:rPr>
          <w:rFonts w:asciiTheme="majorBidi" w:hAnsiTheme="majorBidi" w:cstheme="majorBidi"/>
          <w:color w:val="000000" w:themeColor="text1"/>
        </w:rPr>
        <w:t xml:space="preserve"> delitos como detenciones ilegales, coacción, instigación a delinquir y obstaculización a la acción penal, relacionados con hechos ocurridos entre 2013 y 2015, en el contexto de movilizaciones comunitarias frente a la presencia de dicha empresa y la actuación de operadores de justicia.</w:t>
      </w:r>
    </w:p>
    <w:p w14:paraId="7D89C353" w14:textId="77777777" w:rsidR="009449AE" w:rsidRPr="009449AE" w:rsidRDefault="009449AE" w:rsidP="009449AE">
      <w:pPr>
        <w:keepLines/>
        <w:jc w:val="both"/>
        <w:rPr>
          <w:rFonts w:asciiTheme="majorBidi" w:hAnsiTheme="majorBidi" w:cstheme="majorBidi"/>
          <w:color w:val="000000" w:themeColor="text1"/>
        </w:rPr>
      </w:pPr>
      <w:r w:rsidRPr="009449AE">
        <w:rPr>
          <w:rFonts w:asciiTheme="majorBidi" w:hAnsiTheme="majorBidi" w:cstheme="majorBidi"/>
          <w:color w:val="000000" w:themeColor="text1"/>
        </w:rPr>
        <w:t>Pese a que en primera instancia fueron absueltos de la mayoría de los cargos, en segunda instancia las autoridades judiciales revirtieron parcialmente ese fallo y ordenaron nuevas condenas, sin reconocer adecuadamente –según la defensa– el marco legal que protege los derechos culturales, políticos y organizativos de los pueblos indígenas en Guatemala.</w:t>
      </w:r>
    </w:p>
    <w:p w14:paraId="689FD148" w14:textId="5C8A49A7" w:rsidR="00526B74" w:rsidRPr="00526B74" w:rsidRDefault="00526B74" w:rsidP="00526B74">
      <w:pPr>
        <w:keepLines/>
        <w:jc w:val="both"/>
        <w:rPr>
          <w:rFonts w:asciiTheme="majorBidi" w:hAnsiTheme="majorBidi" w:cstheme="majorBidi"/>
          <w:color w:val="000000" w:themeColor="text1"/>
        </w:rPr>
      </w:pPr>
      <w:r w:rsidRPr="00526B74">
        <w:rPr>
          <w:rFonts w:asciiTheme="majorBidi" w:hAnsiTheme="majorBidi" w:cstheme="majorBidi"/>
          <w:color w:val="000000" w:themeColor="text1"/>
        </w:rPr>
        <w:t>La Sala declaró con lugar parcialmente el recurso del Ministerio Público, al considerar que el tribunal de primera instancia incurrió en errores al no condenar a Bernardo Ermitaño López Reyes por los delitos de detenciones ilegales e instigación a delinquir y a Rigoberto Juárez Mateo por detenciones ilegales en concurso real. Rechazó los argumentos de la defensa, que pedían la anulación de las condenas por coacción y obstaculización, alegando errores en la valoración de pruebas y el desconocimiento de sus funciones como autoridades ancestrales</w:t>
      </w:r>
      <w:r w:rsidR="00E94143" w:rsidRPr="00D36F39">
        <w:rPr>
          <w:rStyle w:val="Refdenotaalpie"/>
          <w:rFonts w:asciiTheme="majorBidi" w:hAnsiTheme="majorBidi" w:cstheme="majorBidi"/>
          <w:color w:val="000000" w:themeColor="text1"/>
          <w:sz w:val="22"/>
        </w:rPr>
        <w:footnoteReference w:id="112"/>
      </w:r>
      <w:r w:rsidRPr="00526B74">
        <w:rPr>
          <w:rFonts w:asciiTheme="majorBidi" w:hAnsiTheme="majorBidi" w:cstheme="majorBidi"/>
          <w:color w:val="000000" w:themeColor="text1"/>
        </w:rPr>
        <w:t>. Como resultado, la Sala ordenó anular parcialmente la sentencia de primera instancia y emitir un nuevo fallo, ampliando la responsabilidad penal de los líderes comunitarios por los hechos ocurridos.</w:t>
      </w:r>
    </w:p>
    <w:p w14:paraId="3CE4F521" w14:textId="50BEA257" w:rsidR="00ED14B3" w:rsidRPr="009E2A0E" w:rsidRDefault="00ED14B3" w:rsidP="00ED14B3">
      <w:pPr>
        <w:keepLines/>
        <w:jc w:val="both"/>
        <w:rPr>
          <w:rFonts w:asciiTheme="majorBidi" w:eastAsia="Cambria" w:hAnsiTheme="majorBidi" w:cstheme="majorBidi"/>
          <w:color w:val="000000" w:themeColor="text1"/>
        </w:rPr>
      </w:pPr>
      <w:r w:rsidRPr="00D36F39">
        <w:rPr>
          <w:rFonts w:asciiTheme="majorBidi" w:hAnsiTheme="majorBidi" w:cstheme="majorBidi"/>
          <w:color w:val="000000" w:themeColor="text1"/>
        </w:rPr>
        <w:t>La decisión de segunda instancia en el proceso penal contra los líderes indígenas Rigoberto Juárez y Bernardo Ermitaño López Reyes constituye un ejemplo de cómo el sistema de justicia</w:t>
      </w:r>
      <w:r w:rsidRPr="009E2A0E">
        <w:rPr>
          <w:rFonts w:asciiTheme="majorBidi" w:hAnsiTheme="majorBidi" w:cstheme="majorBidi"/>
          <w:color w:val="000000" w:themeColor="text1"/>
        </w:rPr>
        <w:t xml:space="preserve"> penal puede reproducir patrones de discriminación estructural hacia los pueblos indígenas. Lejos de garantizar una interpretación contextualizada de la ley, la Sala de Apelaciones desestimó los argumentos basados en la cosmovisión, el rol de las autoridades ancestrales y el ejercicio legítimo del derecho a la protesta frente a la criminalización de la defensa del territorio. Esta actitud judicial contradice lo establecido por la Recomendación General No. 31 del CERD.</w:t>
      </w:r>
    </w:p>
    <w:p w14:paraId="3992C55E" w14:textId="11A46536" w:rsidR="00ED14B3" w:rsidRPr="009E2A0E" w:rsidRDefault="00ED14B3" w:rsidP="00ED14B3">
      <w:pPr>
        <w:keepLines/>
        <w:jc w:val="both"/>
        <w:rPr>
          <w:rFonts w:asciiTheme="majorBidi" w:eastAsia="Cambria" w:hAnsiTheme="majorBidi" w:cstheme="majorBidi"/>
          <w:color w:val="000000" w:themeColor="text1"/>
        </w:rPr>
      </w:pPr>
      <w:r w:rsidRPr="009E2A0E">
        <w:rPr>
          <w:rFonts w:asciiTheme="majorBidi" w:eastAsia="Cambria" w:hAnsiTheme="majorBidi" w:cstheme="majorBidi"/>
          <w:color w:val="000000" w:themeColor="text1"/>
        </w:rPr>
        <w:t xml:space="preserve">La utilización perversa del sistema de justicia se refleja en órdenes de </w:t>
      </w:r>
      <w:proofErr w:type="gramStart"/>
      <w:r w:rsidRPr="009E2A0E">
        <w:rPr>
          <w:rFonts w:asciiTheme="majorBidi" w:eastAsia="Cambria" w:hAnsiTheme="majorBidi" w:cstheme="majorBidi"/>
          <w:color w:val="000000" w:themeColor="text1"/>
        </w:rPr>
        <w:t>detención  a</w:t>
      </w:r>
      <w:proofErr w:type="gramEnd"/>
      <w:r w:rsidRPr="009E2A0E">
        <w:rPr>
          <w:rFonts w:asciiTheme="majorBidi" w:eastAsia="Cambria" w:hAnsiTheme="majorBidi" w:cstheme="majorBidi"/>
          <w:color w:val="000000" w:themeColor="text1"/>
        </w:rPr>
        <w:t xml:space="preserve"> comunidades enteras como lo reporta el bufete para pueblos indígenas en su informe CEDAW 2023, establece que el Comité Campesino del Altiplano reporta 24 comunidades con aproximadamente 1000 órdenes de detención, dentro de ellas, 200 mujeres indígenas, 6 personas privadas de libertad y 12 asesinatos del 2018 a la fecha. El Comité de Unidad Campesina -CUC- reporta 120 capturas, 9 personas condenadas, 25 personas sujetas a proceso penal, una mujer víctima de violencia sexual (Comunidad Aktelá), y la quema de la indumentaria maya; la organización UVOC reporta 100 órdenes de captura, 1 desaparición forzada, 10 asesinatos y 15 heridos. </w:t>
      </w:r>
    </w:p>
    <w:p w14:paraId="1820EA2A" w14:textId="77777777" w:rsidR="0015174B" w:rsidRDefault="00ED14B3" w:rsidP="0015174B">
      <w:pPr>
        <w:keepLines/>
        <w:jc w:val="both"/>
        <w:rPr>
          <w:rFonts w:asciiTheme="majorBidi" w:eastAsia="Cambria" w:hAnsiTheme="majorBidi" w:cstheme="majorBidi"/>
          <w:color w:val="000000" w:themeColor="text1"/>
        </w:rPr>
      </w:pPr>
      <w:proofErr w:type="gramStart"/>
      <w:r w:rsidRPr="009E2A0E">
        <w:rPr>
          <w:rFonts w:asciiTheme="majorBidi" w:eastAsia="Cambria" w:hAnsiTheme="majorBidi" w:cstheme="majorBidi"/>
          <w:color w:val="000000" w:themeColor="text1"/>
        </w:rPr>
        <w:t>En relación a</w:t>
      </w:r>
      <w:proofErr w:type="gramEnd"/>
      <w:r w:rsidRPr="009E2A0E">
        <w:rPr>
          <w:rFonts w:asciiTheme="majorBidi" w:eastAsia="Cambria" w:hAnsiTheme="majorBidi" w:cstheme="majorBidi"/>
          <w:color w:val="000000" w:themeColor="text1"/>
        </w:rPr>
        <w:t xml:space="preserve"> las cauciones económicas como medida sustitutiva en los procesos penales, en muchos de los casos, los jueces fijan fianzas de entre Q2,000, Q. 20,000.00, hasta Q50,000.00 sobre todo cuando se les acusa de usurpación en áreas protegidas; por lo que las comunidades se ven obligadas a incurrir en grandes deudas para poder lograr la libertad de sus miembros.</w:t>
      </w:r>
    </w:p>
    <w:p w14:paraId="0DD4A155" w14:textId="77777777" w:rsidR="0015174B" w:rsidRDefault="0015174B" w:rsidP="0015174B">
      <w:pPr>
        <w:keepLines/>
        <w:jc w:val="both"/>
        <w:rPr>
          <w:rFonts w:asciiTheme="majorBidi" w:eastAsia="Cambria" w:hAnsiTheme="majorBidi" w:cstheme="majorBidi"/>
          <w:color w:val="000000" w:themeColor="text1"/>
        </w:rPr>
      </w:pPr>
      <w:r>
        <w:rPr>
          <w:rFonts w:asciiTheme="majorBidi" w:eastAsia="Cambria" w:hAnsiTheme="majorBidi" w:cstheme="majorBidi"/>
          <w:color w:val="000000" w:themeColor="text1"/>
        </w:rPr>
        <w:lastRenderedPageBreak/>
        <w:t>Asimismo, s</w:t>
      </w:r>
      <w:r w:rsidRPr="0015174B">
        <w:rPr>
          <w:rFonts w:asciiTheme="majorBidi" w:eastAsia="Cambria" w:hAnsiTheme="majorBidi" w:cstheme="majorBidi"/>
          <w:color w:val="000000" w:themeColor="text1"/>
        </w:rPr>
        <w:t xml:space="preserve">e eleva una profunda preocupación por las graves limitaciones que enfrentan los pueblos indígenas y afrodescendientes en el ejercicio efectivo de su derecho de acceso a la justicia en Guatemala. </w:t>
      </w:r>
    </w:p>
    <w:p w14:paraId="2DDC03D9" w14:textId="77777777" w:rsidR="0015174B" w:rsidRDefault="0015174B" w:rsidP="0015174B">
      <w:pPr>
        <w:keepLines/>
        <w:jc w:val="both"/>
        <w:rPr>
          <w:rFonts w:asciiTheme="majorBidi" w:eastAsia="Cambria" w:hAnsiTheme="majorBidi" w:cstheme="majorBidi"/>
          <w:color w:val="000000" w:themeColor="text1"/>
        </w:rPr>
      </w:pPr>
      <w:r w:rsidRPr="0015174B">
        <w:rPr>
          <w:rFonts w:asciiTheme="majorBidi" w:eastAsia="Cambria" w:hAnsiTheme="majorBidi" w:cstheme="majorBidi"/>
          <w:color w:val="000000" w:themeColor="text1"/>
        </w:rPr>
        <w:t xml:space="preserve">En los últimos años, se ha observado con alarma un uso desproporcionado y estigmatizante del derecho penal en contra de personas defensoras indígenas, incluyendo la tipificación de delitos como terrorismo, obstrucción a la justicia y la aplicación indebida de la Ley contra la Delincuencia Organizada, sin que se garanticen las garantías judiciales mínimas ni el debido proceso. </w:t>
      </w:r>
    </w:p>
    <w:p w14:paraId="220F1D42" w14:textId="41E80BFB" w:rsidR="0015174B" w:rsidRPr="009E2A0E" w:rsidRDefault="00C7444E" w:rsidP="00C7444E">
      <w:pPr>
        <w:keepLines/>
        <w:jc w:val="both"/>
        <w:rPr>
          <w:rFonts w:asciiTheme="majorBidi" w:eastAsia="Cambria" w:hAnsiTheme="majorBidi" w:cstheme="majorBidi"/>
          <w:color w:val="000000" w:themeColor="text1"/>
        </w:rPr>
      </w:pPr>
      <w:r w:rsidRPr="00C7444E">
        <w:rPr>
          <w:rFonts w:asciiTheme="majorBidi" w:eastAsia="Cambria" w:hAnsiTheme="majorBidi" w:cstheme="majorBidi"/>
          <w:color w:val="000000" w:themeColor="text1"/>
        </w:rPr>
        <w:t>Este patrón de criminalización se ve agravado por expresiones de odio racial y tratos que constituyen formas de tortura psicológica, como lo evidencian el caso de la defensora maya kaqchikel Nancy Sinto, quien fue detenida, humillada y expuesta públicamente por su participación en protestas pacíficas.  Acusada del delito de depredación de bienes, limitando su proyecto de vida.</w:t>
      </w:r>
      <w:r w:rsidR="00AC13EE">
        <w:rPr>
          <w:rFonts w:asciiTheme="majorBidi" w:eastAsia="Cambria" w:hAnsiTheme="majorBidi" w:cstheme="majorBidi"/>
          <w:color w:val="000000" w:themeColor="text1"/>
        </w:rPr>
        <w:t xml:space="preserve"> Estas</w:t>
      </w:r>
      <w:r w:rsidRPr="00C7444E">
        <w:rPr>
          <w:rFonts w:asciiTheme="majorBidi" w:eastAsia="Cambria" w:hAnsiTheme="majorBidi" w:cstheme="majorBidi"/>
          <w:color w:val="000000" w:themeColor="text1"/>
        </w:rPr>
        <w:t xml:space="preserve"> prácticas no solo vulneran los derechos individuales de las personas afectadas, sino que también envían un mensaje intimidatorio a las comunidades que defienden sus derechos colectivos, debilitando aún más la confianza en el sistema de justicia y perpetuando un clima de discriminación institucionalizada.</w:t>
      </w:r>
    </w:p>
    <w:p w14:paraId="4D452C1C" w14:textId="6605F912" w:rsidR="00EA5F24" w:rsidRPr="009E2A0E" w:rsidRDefault="00EA5F24" w:rsidP="00197C3D">
      <w:pPr>
        <w:pStyle w:val="Prrafodelista"/>
        <w:numPr>
          <w:ilvl w:val="1"/>
          <w:numId w:val="18"/>
        </w:numPr>
        <w:spacing w:line="276" w:lineRule="auto"/>
        <w:jc w:val="both"/>
        <w:outlineLvl w:val="2"/>
        <w:rPr>
          <w:rFonts w:asciiTheme="majorBidi" w:eastAsia="Times New Roman" w:hAnsiTheme="majorBidi" w:cstheme="majorBidi"/>
          <w:b/>
          <w:bCs/>
          <w:color w:val="000000" w:themeColor="text1"/>
        </w:rPr>
      </w:pPr>
      <w:bookmarkStart w:id="41" w:name="_Toc204264063"/>
      <w:r w:rsidRPr="009E2A0E">
        <w:rPr>
          <w:rFonts w:asciiTheme="majorBidi" w:eastAsia="Times New Roman" w:hAnsiTheme="majorBidi" w:cstheme="majorBidi"/>
          <w:b/>
          <w:bCs/>
          <w:color w:val="000000" w:themeColor="text1"/>
        </w:rPr>
        <w:t>Sobre el Caso Cumbre de Alaska</w:t>
      </w:r>
      <w:bookmarkEnd w:id="41"/>
      <w:r w:rsidRPr="009E2A0E">
        <w:rPr>
          <w:rFonts w:asciiTheme="majorBidi" w:eastAsia="Times New Roman" w:hAnsiTheme="majorBidi" w:cstheme="majorBidi"/>
          <w:b/>
          <w:bCs/>
          <w:color w:val="000000" w:themeColor="text1"/>
        </w:rPr>
        <w:t xml:space="preserve"> </w:t>
      </w:r>
    </w:p>
    <w:p w14:paraId="71BA01F0" w14:textId="3E930546" w:rsidR="00EA5F24" w:rsidRPr="009E2A0E" w:rsidRDefault="00EA5F24" w:rsidP="00EA5F24">
      <w:pPr>
        <w:spacing w:line="276" w:lineRule="auto"/>
        <w:jc w:val="both"/>
        <w:rPr>
          <w:rFonts w:asciiTheme="majorBidi" w:eastAsia="Times New Roman" w:hAnsiTheme="majorBidi" w:cstheme="majorBidi"/>
          <w:color w:val="000000" w:themeColor="text1"/>
        </w:rPr>
      </w:pPr>
      <w:r w:rsidRPr="009E2A0E">
        <w:rPr>
          <w:rFonts w:asciiTheme="majorBidi" w:eastAsia="Times New Roman" w:hAnsiTheme="majorBidi" w:cstheme="majorBidi"/>
          <w:color w:val="000000" w:themeColor="text1"/>
        </w:rPr>
        <w:t xml:space="preserve">El 4 de octubre de 2012, una manifestación pacífica convocada por las autoridades indígenas de los 48 Cantones de Totonicapán fue violentamente reprimida por el Ejército de Guatemala en “Cumbre de Alaska”, </w:t>
      </w:r>
      <w:r w:rsidR="0054538E">
        <w:rPr>
          <w:rFonts w:asciiTheme="majorBidi" w:eastAsia="Times New Roman" w:hAnsiTheme="majorBidi" w:cstheme="majorBidi"/>
          <w:color w:val="000000" w:themeColor="text1"/>
        </w:rPr>
        <w:t>durante la cual</w:t>
      </w:r>
      <w:r w:rsidRPr="009E2A0E">
        <w:rPr>
          <w:rFonts w:asciiTheme="majorBidi" w:eastAsia="Times New Roman" w:hAnsiTheme="majorBidi" w:cstheme="majorBidi"/>
          <w:color w:val="000000" w:themeColor="text1"/>
        </w:rPr>
        <w:t xml:space="preserve"> seis personas</w:t>
      </w:r>
      <w:r w:rsidR="00FD30DE">
        <w:rPr>
          <w:rFonts w:asciiTheme="majorBidi" w:eastAsia="Times New Roman" w:hAnsiTheme="majorBidi" w:cstheme="majorBidi"/>
          <w:color w:val="000000" w:themeColor="text1"/>
        </w:rPr>
        <w:t xml:space="preserve"> fueron</w:t>
      </w:r>
      <w:r w:rsidRPr="009E2A0E">
        <w:rPr>
          <w:rFonts w:asciiTheme="majorBidi" w:eastAsia="Times New Roman" w:hAnsiTheme="majorBidi" w:cstheme="majorBidi"/>
          <w:color w:val="000000" w:themeColor="text1"/>
        </w:rPr>
        <w:t xml:space="preserve"> ejecutadas extrajudicialmente y más de 30 heridas. Después, de 10 años, en junio de 2023, inició el juicio en contra de 9 militares que participaron en las ejecuciones extrajudiciales, y 7 meses después, el  28 de febrero de 2024, el Tribunal Primero de Sentencia Penal de Mayor Riesgo “B” dictó sentencia aparentemente condenatoria, bajo una serie de prejuicios y estereotipos profundamente racistas en contra de quienes participaron en la manifestación, calificando a la misma de ilegal, cambiando el tipo penal de ejecución extrajudicial por “lesiones en riña, disparos de arma de fuego y homicidio culposo en grado de tentativa”. En audiencia de reparación digna, el Tribunal negó otorgar medidas de reparación de carácter integral para las viudas y víctimas sobrevivientes, quienes hasta la fecha siguen viviendo impactos psicológicos, físicos y económicos.  </w:t>
      </w:r>
    </w:p>
    <w:p w14:paraId="07E9573E" w14:textId="3402AE2F" w:rsidR="00EA5F24" w:rsidRPr="009E2A0E" w:rsidRDefault="00EA5F24" w:rsidP="00EA5F24">
      <w:pPr>
        <w:spacing w:line="276" w:lineRule="auto"/>
        <w:jc w:val="both"/>
        <w:rPr>
          <w:rFonts w:asciiTheme="majorBidi" w:eastAsia="Times New Roman" w:hAnsiTheme="majorBidi" w:cstheme="majorBidi"/>
          <w:color w:val="000000" w:themeColor="text1"/>
        </w:rPr>
      </w:pPr>
      <w:r w:rsidRPr="009E2A0E">
        <w:rPr>
          <w:rFonts w:asciiTheme="majorBidi" w:eastAsia="Times New Roman" w:hAnsiTheme="majorBidi" w:cstheme="majorBidi"/>
          <w:color w:val="000000" w:themeColor="text1"/>
        </w:rPr>
        <w:t>En su fallo, el tribunal se refirió de forma despectiva y racista a las víctimas, calificando al pueblo Maya K’iche’ de Totonicapán como “violento por naturaleza” y criminalizando su</w:t>
      </w:r>
      <w:r w:rsidR="00C1504F">
        <w:rPr>
          <w:rFonts w:asciiTheme="majorBidi" w:eastAsia="Times New Roman" w:hAnsiTheme="majorBidi" w:cstheme="majorBidi"/>
          <w:color w:val="000000" w:themeColor="text1"/>
        </w:rPr>
        <w:t>s</w:t>
      </w:r>
      <w:r w:rsidRPr="009E2A0E">
        <w:rPr>
          <w:rFonts w:asciiTheme="majorBidi" w:eastAsia="Times New Roman" w:hAnsiTheme="majorBidi" w:cstheme="majorBidi"/>
          <w:color w:val="000000" w:themeColor="text1"/>
        </w:rPr>
        <w:t xml:space="preserve"> formas de organización comunitaria. Desconoció el rol legítimo de las autoridades indígenas, a quienes señaló como instigadores por su identidad, y justificó el uso de la fuerza letal por parte del Ejército alegando que los soldados sintieron “miedo” al estar rodeados de “ese tipo de personas”.</w:t>
      </w:r>
      <w:r w:rsidRPr="009E2A0E">
        <w:rPr>
          <w:rStyle w:val="Refdenotaalpie"/>
          <w:rFonts w:asciiTheme="majorBidi" w:eastAsia="Times New Roman" w:hAnsiTheme="majorBidi" w:cstheme="majorBidi"/>
          <w:color w:val="000000" w:themeColor="text1"/>
        </w:rPr>
        <w:footnoteReference w:id="113"/>
      </w:r>
    </w:p>
    <w:p w14:paraId="0D2D7F70" w14:textId="631A4B51" w:rsidR="00714843" w:rsidRPr="009E2A0E" w:rsidRDefault="00D500A4" w:rsidP="00197C3D">
      <w:pPr>
        <w:pStyle w:val="Prrafodelista"/>
        <w:numPr>
          <w:ilvl w:val="1"/>
          <w:numId w:val="18"/>
        </w:numPr>
        <w:outlineLvl w:val="2"/>
        <w:rPr>
          <w:rFonts w:asciiTheme="majorBidi" w:hAnsiTheme="majorBidi" w:cstheme="majorBidi"/>
          <w:b/>
          <w:bCs/>
          <w:color w:val="000000" w:themeColor="text1"/>
        </w:rPr>
      </w:pPr>
      <w:bookmarkStart w:id="42" w:name="_Toc204264064"/>
      <w:r w:rsidRPr="009E2A0E">
        <w:rPr>
          <w:rFonts w:asciiTheme="majorBidi" w:hAnsiTheme="majorBidi" w:cstheme="majorBidi"/>
          <w:b/>
          <w:bCs/>
          <w:color w:val="000000" w:themeColor="text1"/>
        </w:rPr>
        <w:t>Recomendaciones relacionadas al derecho</w:t>
      </w:r>
      <w:r w:rsidR="00714843" w:rsidRPr="009E2A0E">
        <w:rPr>
          <w:rFonts w:asciiTheme="majorBidi" w:hAnsiTheme="majorBidi" w:cstheme="majorBidi"/>
          <w:b/>
          <w:bCs/>
          <w:color w:val="000000" w:themeColor="text1"/>
        </w:rPr>
        <w:t xml:space="preserve"> Derecho de Acceso a la Justicia:</w:t>
      </w:r>
      <w:bookmarkEnd w:id="42"/>
    </w:p>
    <w:tbl>
      <w:tblPr>
        <w:tblStyle w:val="Tablaconcuadrcula"/>
        <w:tblW w:w="10632" w:type="dxa"/>
        <w:tblInd w:w="-998" w:type="dxa"/>
        <w:shd w:val="clear" w:color="auto" w:fill="FFF2CC" w:themeFill="accent4" w:themeFillTint="33"/>
        <w:tblLook w:val="04A0" w:firstRow="1" w:lastRow="0" w:firstColumn="1" w:lastColumn="0" w:noHBand="0" w:noVBand="1"/>
      </w:tblPr>
      <w:tblGrid>
        <w:gridCol w:w="10632"/>
      </w:tblGrid>
      <w:tr w:rsidR="00FA5BD5" w:rsidRPr="009E2A0E" w14:paraId="1912F795" w14:textId="77777777" w:rsidTr="00C65C44">
        <w:tc>
          <w:tcPr>
            <w:tcW w:w="10632" w:type="dxa"/>
            <w:shd w:val="clear" w:color="auto" w:fill="FFF2CC" w:themeFill="accent4" w:themeFillTint="33"/>
          </w:tcPr>
          <w:p w14:paraId="502AE7FF" w14:textId="6538C7D9" w:rsidR="00FA5BD5" w:rsidRPr="00EB5EEE" w:rsidRDefault="00FA5BD5" w:rsidP="00EB5EEE">
            <w:pPr>
              <w:pStyle w:val="Prrafodelista"/>
              <w:numPr>
                <w:ilvl w:val="2"/>
                <w:numId w:val="1"/>
              </w:numPr>
              <w:spacing w:line="276" w:lineRule="auto"/>
              <w:ind w:left="600"/>
              <w:rPr>
                <w:rFonts w:asciiTheme="majorBidi" w:eastAsia="Times New Roman" w:hAnsiTheme="majorBidi" w:cstheme="majorBidi"/>
                <w:i/>
                <w:iCs/>
                <w:color w:val="000000" w:themeColor="text1"/>
              </w:rPr>
            </w:pPr>
            <w:r w:rsidRPr="00EB5EEE">
              <w:rPr>
                <w:rFonts w:asciiTheme="majorBidi" w:eastAsia="Times New Roman" w:hAnsiTheme="majorBidi" w:cstheme="majorBidi"/>
                <w:i/>
                <w:iCs/>
                <w:color w:val="000000" w:themeColor="text1"/>
              </w:rPr>
              <w:t>El Estado de Guatemala reconozca públicamente que los hechos ocurridos en el caso de “Cumbre de Alaska” constituyeron ejecuciones extrajudiciales y, en consecuencia, establecer un mecanismo de reparación integral, específico y adaptado a las víctimas del caso. Este reconocimiento, es fundamental ante la falta de respuesta del sistema de justicia, cuya sentencia de primera instancia fue ratificada por la Sala de Apelaciones en febrero de 2025, cerrando así la vía judicial para las víctimas. El mecanismo de reparación debe orientarse a restituir el proyecto de vida individual, familiar y comunitario de las personas afectadas.</w:t>
            </w:r>
          </w:p>
        </w:tc>
      </w:tr>
      <w:tr w:rsidR="00FA5BD5" w:rsidRPr="009E2A0E" w14:paraId="251D8F5A" w14:textId="77777777" w:rsidTr="00C65C44">
        <w:tc>
          <w:tcPr>
            <w:tcW w:w="10632" w:type="dxa"/>
            <w:shd w:val="clear" w:color="auto" w:fill="FFF2CC" w:themeFill="accent4" w:themeFillTint="33"/>
          </w:tcPr>
          <w:p w14:paraId="07B0CFB9" w14:textId="0970755A" w:rsidR="00FA5BD5" w:rsidRPr="008F6591" w:rsidRDefault="00FA5BD5" w:rsidP="008F6591">
            <w:pPr>
              <w:pStyle w:val="Prrafodelista"/>
              <w:numPr>
                <w:ilvl w:val="2"/>
                <w:numId w:val="1"/>
              </w:numPr>
              <w:spacing w:line="276" w:lineRule="auto"/>
              <w:ind w:left="600"/>
              <w:rPr>
                <w:rFonts w:asciiTheme="majorBidi" w:eastAsia="Times New Roman" w:hAnsiTheme="majorBidi" w:cstheme="majorBidi"/>
                <w:i/>
                <w:iCs/>
                <w:color w:val="000000" w:themeColor="text1"/>
              </w:rPr>
            </w:pPr>
            <w:r w:rsidRPr="008F6591">
              <w:rPr>
                <w:rFonts w:asciiTheme="majorBidi" w:eastAsia="Times New Roman" w:hAnsiTheme="majorBidi" w:cstheme="majorBidi"/>
                <w:i/>
                <w:iCs/>
                <w:color w:val="000000" w:themeColor="text1"/>
              </w:rPr>
              <w:lastRenderedPageBreak/>
              <w:t xml:space="preserve">El Estado debe garantizar el respeto pleno a los derechos colectivos de los pueblos indígenas, incluyendo sus formas propias de organización social, sus autoridades y su derecho a la libre determinación, y asegurar que las resoluciones judiciales no contengan juicios racistas o discriminatorios. Para ello, se exhorta al Estado a abstenerse, por medio de sus jueces, de emitir criterios subjetivos y basados en estereotipos, y a fortalecer sustancialmente la formación y capacitación de operadores de justicia conforme a los estándares internacionales de derechos de los </w:t>
            </w:r>
            <w:r w:rsidR="002B2C78">
              <w:rPr>
                <w:rFonts w:asciiTheme="majorBidi" w:eastAsia="Times New Roman" w:hAnsiTheme="majorBidi" w:cstheme="majorBidi"/>
                <w:i/>
                <w:iCs/>
                <w:color w:val="000000" w:themeColor="text1"/>
              </w:rPr>
              <w:t>P</w:t>
            </w:r>
            <w:r w:rsidRPr="008F6591">
              <w:rPr>
                <w:rFonts w:asciiTheme="majorBidi" w:eastAsia="Times New Roman" w:hAnsiTheme="majorBidi" w:cstheme="majorBidi"/>
                <w:i/>
                <w:iCs/>
                <w:color w:val="000000" w:themeColor="text1"/>
              </w:rPr>
              <w:t xml:space="preserve">ueblos </w:t>
            </w:r>
            <w:r w:rsidR="002B2C78">
              <w:rPr>
                <w:rFonts w:asciiTheme="majorBidi" w:eastAsia="Times New Roman" w:hAnsiTheme="majorBidi" w:cstheme="majorBidi"/>
                <w:i/>
                <w:iCs/>
                <w:color w:val="000000" w:themeColor="text1"/>
              </w:rPr>
              <w:t>I</w:t>
            </w:r>
            <w:r w:rsidRPr="008F6591">
              <w:rPr>
                <w:rFonts w:asciiTheme="majorBidi" w:eastAsia="Times New Roman" w:hAnsiTheme="majorBidi" w:cstheme="majorBidi"/>
                <w:i/>
                <w:iCs/>
                <w:color w:val="000000" w:themeColor="text1"/>
              </w:rPr>
              <w:t>ndígenas</w:t>
            </w:r>
            <w:r w:rsidR="002B2C78">
              <w:rPr>
                <w:rFonts w:asciiTheme="majorBidi" w:eastAsia="Times New Roman" w:hAnsiTheme="majorBidi" w:cstheme="majorBidi"/>
                <w:i/>
                <w:iCs/>
                <w:color w:val="000000" w:themeColor="text1"/>
              </w:rPr>
              <w:t xml:space="preserve"> y </w:t>
            </w:r>
            <w:r w:rsidR="002B2C78" w:rsidRPr="003F17EF">
              <w:rPr>
                <w:rFonts w:asciiTheme="majorBidi" w:eastAsia="Times New Roman" w:hAnsiTheme="majorBidi" w:cstheme="majorBidi"/>
                <w:i/>
                <w:iCs/>
                <w:color w:val="000000" w:themeColor="text1"/>
              </w:rPr>
              <w:t>Afrodescendientes</w:t>
            </w:r>
            <w:r w:rsidR="008F6591">
              <w:rPr>
                <w:rFonts w:asciiTheme="majorBidi" w:eastAsia="Times New Roman" w:hAnsiTheme="majorBidi" w:cstheme="majorBidi"/>
                <w:i/>
                <w:iCs/>
                <w:color w:val="000000" w:themeColor="text1"/>
              </w:rPr>
              <w:t>.</w:t>
            </w:r>
          </w:p>
        </w:tc>
      </w:tr>
      <w:tr w:rsidR="006F357F" w:rsidRPr="009E2A0E" w14:paraId="2AC38B4F" w14:textId="77777777" w:rsidTr="00C65C44">
        <w:tc>
          <w:tcPr>
            <w:tcW w:w="10632" w:type="dxa"/>
            <w:shd w:val="clear" w:color="auto" w:fill="FFF2CC" w:themeFill="accent4" w:themeFillTint="33"/>
          </w:tcPr>
          <w:p w14:paraId="3CD3F750" w14:textId="25552840" w:rsidR="006F357F" w:rsidRPr="008F6591" w:rsidRDefault="000D3234" w:rsidP="008F6591">
            <w:pPr>
              <w:pStyle w:val="Prrafodelista"/>
              <w:numPr>
                <w:ilvl w:val="2"/>
                <w:numId w:val="1"/>
              </w:numPr>
              <w:spacing w:line="276" w:lineRule="auto"/>
              <w:ind w:left="600"/>
              <w:rPr>
                <w:rFonts w:asciiTheme="majorBidi" w:eastAsia="Times New Roman" w:hAnsiTheme="majorBidi" w:cstheme="majorBidi"/>
                <w:i/>
                <w:iCs/>
                <w:color w:val="000000" w:themeColor="text1"/>
              </w:rPr>
            </w:pPr>
            <w:r>
              <w:rPr>
                <w:rFonts w:asciiTheme="majorBidi" w:eastAsia="Times New Roman" w:hAnsiTheme="majorBidi" w:cstheme="majorBidi"/>
                <w:i/>
                <w:iCs/>
                <w:color w:val="000000" w:themeColor="text1"/>
              </w:rPr>
              <w:t>E</w:t>
            </w:r>
            <w:r w:rsidR="006D6615">
              <w:rPr>
                <w:rFonts w:asciiTheme="majorBidi" w:eastAsia="Times New Roman" w:hAnsiTheme="majorBidi" w:cstheme="majorBidi"/>
                <w:i/>
                <w:iCs/>
                <w:color w:val="000000" w:themeColor="text1"/>
              </w:rPr>
              <w:t>l</w:t>
            </w:r>
            <w:r>
              <w:rPr>
                <w:rFonts w:asciiTheme="majorBidi" w:eastAsia="Times New Roman" w:hAnsiTheme="majorBidi" w:cstheme="majorBidi"/>
                <w:i/>
                <w:iCs/>
                <w:color w:val="000000" w:themeColor="text1"/>
              </w:rPr>
              <w:t xml:space="preserve"> Estado respete</w:t>
            </w:r>
            <w:r w:rsidR="007B79BA">
              <w:rPr>
                <w:rFonts w:asciiTheme="majorBidi" w:eastAsia="Times New Roman" w:hAnsiTheme="majorBidi" w:cstheme="majorBidi"/>
                <w:i/>
                <w:iCs/>
                <w:color w:val="000000" w:themeColor="text1"/>
              </w:rPr>
              <w:t xml:space="preserve"> los derechos de los pueblos indígenas, </w:t>
            </w:r>
            <w:r w:rsidR="009C2A40">
              <w:rPr>
                <w:rFonts w:asciiTheme="majorBidi" w:eastAsia="Times New Roman" w:hAnsiTheme="majorBidi" w:cstheme="majorBidi"/>
                <w:i/>
                <w:iCs/>
                <w:color w:val="000000" w:themeColor="text1"/>
              </w:rPr>
              <w:t>Xinka, garífuna y afrodescendiente a la manifestación pacífica desde sus propias formas de organización y se abstenga del uso</w:t>
            </w:r>
            <w:r w:rsidR="00C1054E">
              <w:rPr>
                <w:rFonts w:asciiTheme="majorBidi" w:eastAsia="Times New Roman" w:hAnsiTheme="majorBidi" w:cstheme="majorBidi"/>
                <w:i/>
                <w:iCs/>
                <w:color w:val="000000" w:themeColor="text1"/>
              </w:rPr>
              <w:t xml:space="preserve"> del ejército para controlar, reprimir</w:t>
            </w:r>
            <w:r w:rsidR="00246D95">
              <w:rPr>
                <w:rFonts w:asciiTheme="majorBidi" w:eastAsia="Times New Roman" w:hAnsiTheme="majorBidi" w:cstheme="majorBidi"/>
                <w:i/>
                <w:iCs/>
                <w:color w:val="000000" w:themeColor="text1"/>
              </w:rPr>
              <w:t xml:space="preserve">les. </w:t>
            </w:r>
            <w:r w:rsidR="006D6615">
              <w:rPr>
                <w:rFonts w:asciiTheme="majorBidi" w:eastAsia="Times New Roman" w:hAnsiTheme="majorBidi" w:cstheme="majorBidi"/>
                <w:i/>
                <w:iCs/>
                <w:color w:val="000000" w:themeColor="text1"/>
              </w:rPr>
              <w:t xml:space="preserve">Asimismo, deberá declarar un </w:t>
            </w:r>
            <w:r w:rsidR="00993E28">
              <w:rPr>
                <w:rFonts w:asciiTheme="majorBidi" w:eastAsia="Times New Roman" w:hAnsiTheme="majorBidi" w:cstheme="majorBidi"/>
                <w:i/>
                <w:iCs/>
                <w:color w:val="000000" w:themeColor="text1"/>
              </w:rPr>
              <w:t xml:space="preserve">día oficial </w:t>
            </w:r>
            <w:r w:rsidR="001B42AC">
              <w:rPr>
                <w:rFonts w:asciiTheme="majorBidi" w:eastAsia="Times New Roman" w:hAnsiTheme="majorBidi" w:cstheme="majorBidi"/>
                <w:i/>
                <w:iCs/>
                <w:color w:val="000000" w:themeColor="text1"/>
              </w:rPr>
              <w:t>conmemora la no repetición de estas acciones y promover su conocimiento en el currículo educativo del país.</w:t>
            </w:r>
          </w:p>
        </w:tc>
      </w:tr>
      <w:tr w:rsidR="00D36F39" w:rsidRPr="009E2A0E" w14:paraId="45665C2C" w14:textId="77777777" w:rsidTr="00C65C44">
        <w:tc>
          <w:tcPr>
            <w:tcW w:w="10632" w:type="dxa"/>
            <w:shd w:val="clear" w:color="auto" w:fill="FFF2CC" w:themeFill="accent4" w:themeFillTint="33"/>
          </w:tcPr>
          <w:p w14:paraId="49F7E058" w14:textId="568315CA" w:rsidR="00D36F39" w:rsidRDefault="00D36F39" w:rsidP="008F6591">
            <w:pPr>
              <w:pStyle w:val="Prrafodelista"/>
              <w:numPr>
                <w:ilvl w:val="2"/>
                <w:numId w:val="1"/>
              </w:numPr>
              <w:spacing w:line="276" w:lineRule="auto"/>
              <w:ind w:left="600"/>
              <w:rPr>
                <w:rFonts w:asciiTheme="majorBidi" w:eastAsia="Times New Roman" w:hAnsiTheme="majorBidi" w:cstheme="majorBidi"/>
                <w:i/>
                <w:iCs/>
                <w:color w:val="000000" w:themeColor="text1"/>
              </w:rPr>
            </w:pPr>
            <w:r>
              <w:rPr>
                <w:rFonts w:asciiTheme="majorBidi" w:eastAsia="Times New Roman" w:hAnsiTheme="majorBidi" w:cstheme="majorBidi"/>
                <w:i/>
                <w:iCs/>
                <w:color w:val="000000" w:themeColor="text1"/>
              </w:rPr>
              <w:t>G</w:t>
            </w:r>
            <w:r w:rsidRPr="00D36F39">
              <w:rPr>
                <w:rFonts w:asciiTheme="majorBidi" w:eastAsia="Times New Roman" w:hAnsiTheme="majorBidi" w:cstheme="majorBidi"/>
                <w:i/>
                <w:iCs/>
                <w:color w:val="000000" w:themeColor="text1"/>
              </w:rPr>
              <w:t xml:space="preserve">arantizar que figuras penales como terrorismo, obstrucción a la justicia o las disposiciones de la Ley contra la Delincuencia Organizada no se apliquen de forma arbitraria ni desproporcionada a líderes y lideresas comunitarias. Asimismo, el Estado debe adoptar medidas urgentes para prevenir y sancionar expresiones de odio racial, actos de tortura psicológica y tratos degradantes en el marco de detenciones o procesos judiciales, como los documentados en el caso de la defensora Nancy Sinto. </w:t>
            </w:r>
          </w:p>
        </w:tc>
      </w:tr>
      <w:tr w:rsidR="00D36F39" w:rsidRPr="009E2A0E" w14:paraId="1FFBB189" w14:textId="77777777" w:rsidTr="00C65C44">
        <w:tc>
          <w:tcPr>
            <w:tcW w:w="10632" w:type="dxa"/>
            <w:shd w:val="clear" w:color="auto" w:fill="FFF2CC" w:themeFill="accent4" w:themeFillTint="33"/>
          </w:tcPr>
          <w:p w14:paraId="3EE2DB16" w14:textId="5E614A50" w:rsidR="00D36F39" w:rsidRDefault="00D36F39" w:rsidP="008F6591">
            <w:pPr>
              <w:pStyle w:val="Prrafodelista"/>
              <w:numPr>
                <w:ilvl w:val="2"/>
                <w:numId w:val="1"/>
              </w:numPr>
              <w:spacing w:line="276" w:lineRule="auto"/>
              <w:ind w:left="600"/>
              <w:rPr>
                <w:rFonts w:asciiTheme="majorBidi" w:eastAsia="Times New Roman" w:hAnsiTheme="majorBidi" w:cstheme="majorBidi"/>
                <w:i/>
                <w:iCs/>
                <w:color w:val="000000" w:themeColor="text1"/>
              </w:rPr>
            </w:pPr>
            <w:r>
              <w:rPr>
                <w:rFonts w:asciiTheme="majorBidi" w:eastAsia="Times New Roman" w:hAnsiTheme="majorBidi" w:cstheme="majorBidi"/>
                <w:i/>
                <w:iCs/>
                <w:color w:val="000000" w:themeColor="text1"/>
              </w:rPr>
              <w:t>F</w:t>
            </w:r>
            <w:r w:rsidRPr="00D36F39">
              <w:rPr>
                <w:rFonts w:asciiTheme="majorBidi" w:eastAsia="Times New Roman" w:hAnsiTheme="majorBidi" w:cstheme="majorBidi"/>
                <w:i/>
                <w:iCs/>
                <w:color w:val="000000" w:themeColor="text1"/>
              </w:rPr>
              <w:t>ortalecer los mecanismos de control interno en el Ministerio Público y el Organismo Judicial, y establecer garantías efectivas de acceso a la justicia con enfoque étnico, cultural y de género, así como asegurar la reparación integral a las víctimas de criminalización.</w:t>
            </w:r>
          </w:p>
        </w:tc>
      </w:tr>
    </w:tbl>
    <w:p w14:paraId="6A99CE36" w14:textId="77777777" w:rsidR="00FA5BD5" w:rsidRPr="009E2A0E" w:rsidRDefault="00FA5BD5" w:rsidP="009042E6">
      <w:pPr>
        <w:rPr>
          <w:rFonts w:asciiTheme="majorBidi" w:hAnsiTheme="majorBidi" w:cstheme="majorBidi"/>
          <w:color w:val="000000" w:themeColor="text1"/>
        </w:rPr>
        <w:sectPr w:rsidR="00FA5BD5" w:rsidRPr="009E2A0E">
          <w:pgSz w:w="12240" w:h="15840"/>
          <w:pgMar w:top="1417" w:right="1701" w:bottom="1417" w:left="1701" w:header="708" w:footer="708" w:gutter="0"/>
          <w:cols w:space="708"/>
          <w:docGrid w:linePitch="360"/>
        </w:sectPr>
      </w:pPr>
    </w:p>
    <w:p w14:paraId="5C4A7BF3" w14:textId="6C43DDDC" w:rsidR="00696B93" w:rsidRPr="009E2A0E" w:rsidRDefault="00F57C49" w:rsidP="004F262A">
      <w:pPr>
        <w:pStyle w:val="Ttulo1"/>
        <w:jc w:val="center"/>
        <w:rPr>
          <w:rFonts w:asciiTheme="majorBidi" w:hAnsiTheme="majorBidi"/>
          <w:b/>
          <w:bCs/>
          <w:color w:val="000000" w:themeColor="text1"/>
          <w:sz w:val="28"/>
          <w:szCs w:val="28"/>
          <w:lang w:val="es-MX"/>
        </w:rPr>
      </w:pPr>
      <w:bookmarkStart w:id="43" w:name="_Toc204264065"/>
      <w:r w:rsidRPr="009E2A0E">
        <w:rPr>
          <w:rFonts w:asciiTheme="majorBidi" w:hAnsiTheme="majorBidi"/>
          <w:b/>
          <w:bCs/>
          <w:color w:val="000000" w:themeColor="text1"/>
          <w:sz w:val="28"/>
          <w:szCs w:val="28"/>
          <w:lang w:val="es-MX"/>
        </w:rPr>
        <w:lastRenderedPageBreak/>
        <w:t>ANEXOS</w:t>
      </w:r>
      <w:bookmarkEnd w:id="43"/>
    </w:p>
    <w:p w14:paraId="2B9F07D6" w14:textId="115CA670" w:rsidR="00D108C1" w:rsidRPr="0070207E" w:rsidRDefault="00E675ED" w:rsidP="0070207E">
      <w:pPr>
        <w:jc w:val="both"/>
        <w:rPr>
          <w:rFonts w:asciiTheme="majorBidi" w:hAnsiTheme="majorBidi" w:cstheme="majorBidi"/>
          <w:color w:val="000000" w:themeColor="text1"/>
          <w:lang w:val="es-MX"/>
        </w:rPr>
      </w:pPr>
      <w:r w:rsidRPr="0070207E">
        <w:rPr>
          <w:rFonts w:asciiTheme="majorBidi" w:hAnsiTheme="majorBidi" w:cstheme="majorBidi"/>
          <w:b/>
          <w:bCs/>
          <w:color w:val="000000" w:themeColor="text1"/>
          <w:lang w:val="es-MX"/>
        </w:rPr>
        <w:t>ANEXO 1:</w:t>
      </w:r>
      <w:r w:rsidR="00D108C1" w:rsidRPr="0070207E">
        <w:rPr>
          <w:rFonts w:asciiTheme="majorBidi" w:hAnsiTheme="majorBidi" w:cstheme="majorBidi"/>
          <w:color w:val="000000" w:themeColor="text1"/>
          <w:lang w:val="es-MX"/>
        </w:rPr>
        <w:t xml:space="preserve"> Detalle sobre los </w:t>
      </w:r>
      <w:r w:rsidRPr="0070207E">
        <w:rPr>
          <w:rFonts w:asciiTheme="majorBidi" w:hAnsiTheme="majorBidi" w:cstheme="majorBidi"/>
          <w:color w:val="000000" w:themeColor="text1"/>
          <w:lang w:val="es-MX"/>
        </w:rPr>
        <w:t>desafíos</w:t>
      </w:r>
      <w:r w:rsidR="00D108C1" w:rsidRPr="0070207E">
        <w:rPr>
          <w:rFonts w:asciiTheme="majorBidi" w:hAnsiTheme="majorBidi" w:cstheme="majorBidi"/>
          <w:color w:val="000000" w:themeColor="text1"/>
          <w:lang w:val="es-MX"/>
        </w:rPr>
        <w:t xml:space="preserve"> y avances en el cumplimiento de las medidas de reparación de la sentencia de la Corte IDH</w:t>
      </w:r>
      <w:r w:rsidR="00802FBA" w:rsidRPr="0070207E">
        <w:rPr>
          <w:rFonts w:asciiTheme="majorBidi" w:hAnsiTheme="majorBidi" w:cstheme="majorBidi"/>
          <w:color w:val="000000" w:themeColor="text1"/>
          <w:lang w:val="es-MX"/>
        </w:rPr>
        <w:t>, Maya Kaqchikel de Sumpango y otros vs. Guatemala</w:t>
      </w:r>
    </w:p>
    <w:p w14:paraId="30E2C205" w14:textId="77777777" w:rsidR="00D108C1" w:rsidRPr="009E2A0E" w:rsidRDefault="00D108C1" w:rsidP="00D108C1">
      <w:pPr>
        <w:pStyle w:val="Prrafodelista"/>
        <w:ind w:left="284"/>
        <w:jc w:val="both"/>
        <w:rPr>
          <w:rFonts w:asciiTheme="majorBidi" w:hAnsiTheme="majorBidi" w:cstheme="majorBidi"/>
          <w:color w:val="000000" w:themeColor="text1"/>
          <w:lang w:val="es-MX"/>
        </w:rPr>
      </w:pPr>
    </w:p>
    <w:tbl>
      <w:tblPr>
        <w:tblStyle w:val="Tablaconcuadrcula"/>
        <w:tblW w:w="0" w:type="auto"/>
        <w:tblLook w:val="04A0" w:firstRow="1" w:lastRow="0" w:firstColumn="1" w:lastColumn="0" w:noHBand="0" w:noVBand="1"/>
      </w:tblPr>
      <w:tblGrid>
        <w:gridCol w:w="8828"/>
      </w:tblGrid>
      <w:tr w:rsidR="00D108C1" w:rsidRPr="009E2A0E" w14:paraId="03BA0986" w14:textId="77777777" w:rsidTr="003A2CAC">
        <w:tc>
          <w:tcPr>
            <w:tcW w:w="8828" w:type="dxa"/>
            <w:shd w:val="clear" w:color="auto" w:fill="auto"/>
          </w:tcPr>
          <w:p w14:paraId="6B9164F6" w14:textId="0BE62683" w:rsidR="00D108C1" w:rsidRPr="004F262A" w:rsidRDefault="00D108C1" w:rsidP="00197C3D">
            <w:pPr>
              <w:pStyle w:val="Prrafodelista"/>
              <w:numPr>
                <w:ilvl w:val="3"/>
                <w:numId w:val="16"/>
              </w:numPr>
              <w:ind w:left="456"/>
              <w:jc w:val="both"/>
              <w:rPr>
                <w:rFonts w:asciiTheme="majorBidi" w:eastAsia="Times New Roman" w:hAnsiTheme="majorBidi" w:cstheme="majorBidi"/>
                <w:b/>
                <w:bCs/>
                <w:color w:val="000000" w:themeColor="text1"/>
              </w:rPr>
            </w:pPr>
            <w:r w:rsidRPr="004F262A">
              <w:rPr>
                <w:rFonts w:asciiTheme="majorBidi" w:eastAsia="Times New Roman" w:hAnsiTheme="majorBidi" w:cstheme="majorBidi"/>
                <w:b/>
                <w:bCs/>
                <w:color w:val="000000" w:themeColor="text1"/>
              </w:rPr>
              <w:t>Sobre la publicación de la sentencia y el pago de compensaciones económicas</w:t>
            </w:r>
          </w:p>
          <w:p w14:paraId="43DB28A7" w14:textId="4B6ED0C4" w:rsidR="00D108C1" w:rsidRPr="009E2A0E" w:rsidRDefault="00D108C1" w:rsidP="00F93D3C">
            <w:pPr>
              <w:jc w:val="both"/>
              <w:rPr>
                <w:rFonts w:asciiTheme="majorBidi" w:eastAsia="Times New Roman" w:hAnsiTheme="majorBidi" w:cstheme="majorBidi"/>
                <w:color w:val="000000" w:themeColor="text1"/>
              </w:rPr>
            </w:pPr>
            <w:r w:rsidRPr="004F262A">
              <w:rPr>
                <w:rFonts w:asciiTheme="majorBidi" w:eastAsia="Times New Roman" w:hAnsiTheme="majorBidi" w:cstheme="majorBidi"/>
                <w:color w:val="000000" w:themeColor="text1"/>
              </w:rPr>
              <w:t>La Corte IDH en su resolución de supervisión de sentencias, ha determinado que “</w:t>
            </w:r>
            <w:r w:rsidR="004F262A" w:rsidRPr="004F262A">
              <w:rPr>
                <w:rFonts w:asciiTheme="majorBidi" w:eastAsia="Times New Roman" w:hAnsiTheme="majorBidi" w:cstheme="majorBidi"/>
                <w:i/>
                <w:iCs/>
                <w:color w:val="000000" w:themeColor="text1"/>
              </w:rPr>
              <w:t>cumplimiento parcial a la medida de reparación dispuesta en el punto resolutivo noveno de la Sentencia, relativa al pago de las cantidades fijadas en la misma por concepto de indemnización por los daños materiales e inmateriales a los pueblos indígenas Maya Kaqchikel de Sumpango y Maya Achí de San Miguel Chicaj, así como la cantidad fijada por concepto de indemnización por el daño inmaterial al pueblo indígena Maya Mam de Todos Santos Cuchumatán. Se encuentra pendiente el pago de la cantidad fijada por concepto de la indemnización por el daño inmaterial al pueblo indígena Maya Mam de Cajolá, y el pago de intereses moratorios a favor de los pueblos indígenas Maya Kaqchikel de Sumpango, Maya Achí de San Miguel Chicaj y Maya Mam de Todos Santos Cuchumatán, en los términos dispuestos en la presente Resolución.</w:t>
            </w:r>
            <w:r w:rsidRPr="004F262A">
              <w:rPr>
                <w:rFonts w:asciiTheme="majorBidi" w:eastAsia="Times New Roman" w:hAnsiTheme="majorBidi" w:cstheme="majorBidi"/>
                <w:i/>
                <w:iCs/>
                <w:color w:val="000000" w:themeColor="text1"/>
              </w:rPr>
              <w:t>”</w:t>
            </w:r>
            <w:r w:rsidR="00E54739" w:rsidRPr="004F262A">
              <w:rPr>
                <w:rStyle w:val="Refdenotaalpie"/>
                <w:rFonts w:asciiTheme="majorBidi" w:eastAsia="Times New Roman" w:hAnsiTheme="majorBidi"/>
                <w:i/>
                <w:iCs/>
                <w:color w:val="000000" w:themeColor="text1"/>
              </w:rPr>
              <w:footnoteReference w:id="114"/>
            </w:r>
          </w:p>
          <w:p w14:paraId="49B36F1A" w14:textId="77777777" w:rsidR="00D108C1" w:rsidRPr="009E2A0E" w:rsidRDefault="00D108C1" w:rsidP="00C65C44">
            <w:pPr>
              <w:pStyle w:val="HTMLconformatoprevio"/>
              <w:contextualSpacing/>
              <w:jc w:val="both"/>
              <w:rPr>
                <w:rFonts w:asciiTheme="majorBidi" w:hAnsiTheme="majorBidi" w:cstheme="majorBidi"/>
                <w:bCs/>
                <w:color w:val="000000" w:themeColor="text1"/>
                <w:sz w:val="22"/>
                <w:szCs w:val="22"/>
                <w:lang w:val="es-GT"/>
              </w:rPr>
            </w:pPr>
          </w:p>
        </w:tc>
      </w:tr>
      <w:tr w:rsidR="00D108C1" w:rsidRPr="009E2A0E" w14:paraId="234B4F4E" w14:textId="77777777" w:rsidTr="003A2CAC">
        <w:tc>
          <w:tcPr>
            <w:tcW w:w="8828" w:type="dxa"/>
            <w:shd w:val="clear" w:color="auto" w:fill="auto"/>
          </w:tcPr>
          <w:p w14:paraId="130BFB53" w14:textId="6AF15106" w:rsidR="00D108C1" w:rsidRPr="009E2A0E" w:rsidRDefault="00D108C1" w:rsidP="00197C3D">
            <w:pPr>
              <w:pStyle w:val="Prrafodelista"/>
              <w:numPr>
                <w:ilvl w:val="3"/>
                <w:numId w:val="16"/>
              </w:numPr>
              <w:ind w:left="456"/>
              <w:jc w:val="both"/>
              <w:rPr>
                <w:rFonts w:asciiTheme="majorBidi" w:eastAsia="Times New Roman" w:hAnsiTheme="majorBidi" w:cstheme="majorBidi"/>
                <w:b/>
                <w:bCs/>
                <w:color w:val="000000" w:themeColor="text1"/>
              </w:rPr>
            </w:pPr>
            <w:r w:rsidRPr="009E2A0E">
              <w:rPr>
                <w:rFonts w:asciiTheme="majorBidi" w:eastAsia="Times New Roman" w:hAnsiTheme="majorBidi" w:cstheme="majorBidi"/>
                <w:b/>
                <w:bCs/>
                <w:color w:val="000000" w:themeColor="text1"/>
              </w:rPr>
              <w:t>Sobre permitir que las estaciones de radio de las cuatro comunidades víctimas operen libremente.</w:t>
            </w:r>
          </w:p>
          <w:p w14:paraId="4DB567FB" w14:textId="77777777" w:rsidR="00D108C1" w:rsidRPr="009E2A0E" w:rsidRDefault="00D108C1" w:rsidP="00C65C44">
            <w:pPr>
              <w:pStyle w:val="HTMLconformatoprevio"/>
              <w:contextualSpacing/>
              <w:jc w:val="both"/>
              <w:rPr>
                <w:rFonts w:asciiTheme="majorBidi" w:hAnsiTheme="majorBidi" w:cstheme="majorBidi"/>
                <w:bCs/>
                <w:color w:val="000000" w:themeColor="text1"/>
                <w:sz w:val="22"/>
                <w:szCs w:val="22"/>
                <w:lang w:val="es-ES"/>
              </w:rPr>
            </w:pPr>
            <w:r w:rsidRPr="009E2A0E">
              <w:rPr>
                <w:rFonts w:asciiTheme="majorBidi" w:hAnsiTheme="majorBidi" w:cstheme="majorBidi"/>
                <w:bCs/>
                <w:color w:val="000000" w:themeColor="text1"/>
                <w:sz w:val="22"/>
                <w:szCs w:val="22"/>
                <w:lang w:val="es-ES"/>
              </w:rPr>
              <w:t xml:space="preserve">La Corte ordenó esta medida para garantizar que al menos las comunidades víctimas tuvieran protección legal mientras se lleva a cabo el proceso de reforma legal para garantizar que todas las comunidades indígenas en Guatemala tengan acceso al espectro radioeléctrico. De esa cuenta en julio de 2024 a solicitud de las comunidades víctimas se llevó a cabo una reunión con el Ministerio de Comunicaciones, el director de la Superintendencia de Telecomunicaciones -SIT- y el actual </w:t>
            </w:r>
            <w:proofErr w:type="gramStart"/>
            <w:r w:rsidRPr="009E2A0E">
              <w:rPr>
                <w:rFonts w:asciiTheme="majorBidi" w:hAnsiTheme="majorBidi" w:cstheme="majorBidi"/>
                <w:bCs/>
                <w:color w:val="000000" w:themeColor="text1"/>
                <w:sz w:val="22"/>
                <w:szCs w:val="22"/>
                <w:lang w:val="es-ES"/>
              </w:rPr>
              <w:t>Director General</w:t>
            </w:r>
            <w:proofErr w:type="gramEnd"/>
            <w:r w:rsidRPr="009E2A0E">
              <w:rPr>
                <w:rFonts w:asciiTheme="majorBidi" w:hAnsiTheme="majorBidi" w:cstheme="majorBidi"/>
                <w:bCs/>
                <w:color w:val="000000" w:themeColor="text1"/>
                <w:sz w:val="22"/>
                <w:szCs w:val="22"/>
                <w:lang w:val="es-ES"/>
              </w:rPr>
              <w:t xml:space="preserve"> de Radiodifusión y Televisión Nacional de Guatemala el Sr. Jorge Molina. Durante la reunión, las Víctimas propusieron un estudio del espectro de frecuencias de radio para identificar las frecuencias disponibles, sin embargo, como ha sido la reacción del Estado en ocasiones anteriores, el Ministerio de Comunicaciones y la SIT se opusieron a esta propuesta, alegando que no era un proyecto factible para que el gobierno asumiera. En su lugar, el Sr. Molina sugirió suscribir un acuerdo entre la TGW Radio y  las comunidades víctimas para otorgar un “derecho de uso” de las frecuencias de la Radio TGW mientras esperan la implementación de una reforma legislativa efectiva, sin embargo, tras meses de reuniones y mesas de trabajo para la redacción de un convenio que resguardara los derechos de las comunidades víctimas contenidos en la sentencia, en mayo de 2025 las comunidades víctimas finalmente decidieron declinar la firma de dicho convenio, toda vez que el plazo de vigencia del propuesto convenio era hasta el 17 de diciembre de 2026, razón por lo que dicho convenio no era aceptable por ser demasiado corto. </w:t>
            </w:r>
          </w:p>
          <w:p w14:paraId="4362F74D" w14:textId="77777777" w:rsidR="00D108C1" w:rsidRPr="009E2A0E" w:rsidRDefault="00D108C1" w:rsidP="00C65C44">
            <w:pPr>
              <w:pStyle w:val="HTMLconformatoprevio"/>
              <w:contextualSpacing/>
              <w:jc w:val="both"/>
              <w:rPr>
                <w:rFonts w:asciiTheme="majorBidi" w:hAnsiTheme="majorBidi" w:cstheme="majorBidi"/>
                <w:bCs/>
                <w:color w:val="000000" w:themeColor="text1"/>
                <w:sz w:val="22"/>
                <w:szCs w:val="22"/>
                <w:lang w:val="es-ES"/>
              </w:rPr>
            </w:pPr>
          </w:p>
          <w:p w14:paraId="46B62D1F" w14:textId="77777777" w:rsidR="00D108C1" w:rsidRPr="009E2A0E" w:rsidRDefault="00D108C1" w:rsidP="00C65C44">
            <w:pPr>
              <w:pStyle w:val="HTMLconformatoprevio"/>
              <w:contextualSpacing/>
              <w:jc w:val="both"/>
              <w:rPr>
                <w:rFonts w:asciiTheme="majorBidi" w:hAnsiTheme="majorBidi" w:cstheme="majorBidi"/>
                <w:bCs/>
                <w:color w:val="000000" w:themeColor="text1"/>
                <w:sz w:val="22"/>
                <w:szCs w:val="22"/>
                <w:lang w:val="es-ES"/>
              </w:rPr>
            </w:pPr>
            <w:r w:rsidRPr="009E2A0E">
              <w:rPr>
                <w:rFonts w:asciiTheme="majorBidi" w:hAnsiTheme="majorBidi" w:cstheme="majorBidi"/>
                <w:bCs/>
                <w:color w:val="000000" w:themeColor="text1"/>
                <w:sz w:val="22"/>
                <w:szCs w:val="22"/>
                <w:lang w:val="es-ES"/>
              </w:rPr>
              <w:t>Si bien las comunidades víctimas comprenden que la fecha de vencimiento propuesta coincide con la fecha de vencimiento del TUF (Titulo de Usufructo) de la TGW, no deja de lado que un plazo así de corto genere demasiada incertidumbre; a esto se sumaba que, la situación que actualmente posee la frecuencia que le iba a ser asignada bajo el propuesto convenio a la comunidad de Todos Santos Cuchumatán, sobre que esta frecuencia se encuentra ocupada por un tercero no autorizado, continúa siendo un obstáculo para que las comunidades victimas puedan aceptar con total seguridad el propuesto convenio.</w:t>
            </w:r>
          </w:p>
          <w:p w14:paraId="55EDEA88" w14:textId="77777777" w:rsidR="00D108C1" w:rsidRPr="009E2A0E" w:rsidRDefault="00D108C1" w:rsidP="00C65C44">
            <w:pPr>
              <w:pStyle w:val="HTMLconformatoprevio"/>
              <w:contextualSpacing/>
              <w:jc w:val="both"/>
              <w:rPr>
                <w:rFonts w:asciiTheme="majorBidi" w:hAnsiTheme="majorBidi" w:cstheme="majorBidi"/>
                <w:bCs/>
                <w:color w:val="000000" w:themeColor="text1"/>
                <w:sz w:val="22"/>
                <w:szCs w:val="22"/>
                <w:lang w:val="es-GT"/>
              </w:rPr>
            </w:pPr>
          </w:p>
        </w:tc>
      </w:tr>
      <w:tr w:rsidR="00D108C1" w:rsidRPr="009E2A0E" w14:paraId="243318A0" w14:textId="77777777" w:rsidTr="003A2CAC">
        <w:tc>
          <w:tcPr>
            <w:tcW w:w="8828" w:type="dxa"/>
            <w:shd w:val="clear" w:color="auto" w:fill="auto"/>
          </w:tcPr>
          <w:p w14:paraId="1B2E2C65" w14:textId="02F233C3" w:rsidR="00D108C1" w:rsidRPr="009E2A0E" w:rsidRDefault="00D108C1" w:rsidP="00197C3D">
            <w:pPr>
              <w:pStyle w:val="Prrafodelista"/>
              <w:numPr>
                <w:ilvl w:val="3"/>
                <w:numId w:val="16"/>
              </w:numPr>
              <w:ind w:left="456"/>
              <w:jc w:val="both"/>
              <w:rPr>
                <w:rFonts w:asciiTheme="majorBidi" w:eastAsia="Times New Roman" w:hAnsiTheme="majorBidi" w:cstheme="majorBidi"/>
                <w:b/>
                <w:bCs/>
                <w:color w:val="000000" w:themeColor="text1"/>
              </w:rPr>
            </w:pPr>
            <w:r w:rsidRPr="009E2A0E">
              <w:rPr>
                <w:rFonts w:asciiTheme="majorBidi" w:eastAsia="Times New Roman" w:hAnsiTheme="majorBidi" w:cstheme="majorBidi"/>
                <w:b/>
                <w:bCs/>
                <w:color w:val="000000" w:themeColor="text1"/>
              </w:rPr>
              <w:t>Sobre la abstención de enjuiciar criminalmente y la eliminación de condenas.</w:t>
            </w:r>
          </w:p>
          <w:p w14:paraId="5569D5FD" w14:textId="77777777" w:rsidR="00D108C1" w:rsidRPr="009E2A0E" w:rsidRDefault="00D108C1" w:rsidP="00C65C44">
            <w:pPr>
              <w:jc w:val="both"/>
              <w:rPr>
                <w:rFonts w:asciiTheme="majorBidi" w:hAnsiTheme="majorBidi" w:cstheme="majorBidi"/>
                <w:color w:val="000000" w:themeColor="text1"/>
              </w:rPr>
            </w:pPr>
            <w:r w:rsidRPr="009E2A0E">
              <w:rPr>
                <w:rFonts w:asciiTheme="majorBidi" w:hAnsiTheme="majorBidi" w:cstheme="majorBidi"/>
                <w:color w:val="000000" w:themeColor="text1"/>
              </w:rPr>
              <w:lastRenderedPageBreak/>
              <w:t>Si bien el Estado trata de argumentar que al no contar con un registro detallado del pueblo de pertenencia de los sindicados que persigue la Fiscalía Contra el Uso Ilegal de Frecuencias, refleja la falta de actos discriminatorios; lo que demuestra realmente es la insistencia sobre todo del Ministerio Público de no acatar sus responsabilidades internacionales en materia de derechos humanos, sobre todo, porque en la sentencia emitida por la Corte Interamericana de Derechos Humanos quedó claramente establecido que el Estado de Guatemala ha hecho uso excesivo del poder punitivo del Estado al  hacer uso de tipos penales que no se encuadran totalmente a la acción que pretenden perseguir, incumpliendo con ello el requisito de estricta legalidad.</w:t>
            </w:r>
            <w:r w:rsidRPr="009E2A0E">
              <w:rPr>
                <w:rStyle w:val="Refdenotaalpie"/>
                <w:rFonts w:asciiTheme="majorBidi" w:hAnsiTheme="majorBidi" w:cstheme="majorBidi"/>
                <w:color w:val="000000" w:themeColor="text1"/>
                <w:sz w:val="22"/>
              </w:rPr>
              <w:footnoteReference w:id="115"/>
            </w:r>
            <w:r w:rsidRPr="009E2A0E">
              <w:rPr>
                <w:rFonts w:asciiTheme="majorBidi" w:hAnsiTheme="majorBidi" w:cstheme="majorBidi"/>
                <w:color w:val="000000" w:themeColor="text1"/>
              </w:rPr>
              <w:t xml:space="preserve"> Por otro lado, si bien no hay informes de que el Estado, desde que se emitió la sentencia, haya procesado penalmente a individuos que operan radios comunitarias indígenas, realizado allanamientos en estas radios o confiscado equipos de transmisión, el Estado tampoco ha establecido su obligación legal en relación con abstenerse de realizar allanamientos y procesos penales de manera formal, siendo necesaria una declaración formal del Estado en este sentido para garantizar que el cumplimiento de este punto resolutivo sea duradero y efectivo en relación con la operación de radios comunitarias indígenas.</w:t>
            </w:r>
          </w:p>
          <w:p w14:paraId="584326B2" w14:textId="77777777" w:rsidR="00D108C1" w:rsidRPr="009E2A0E" w:rsidRDefault="00D108C1" w:rsidP="00C65C44">
            <w:pPr>
              <w:jc w:val="both"/>
              <w:rPr>
                <w:rFonts w:asciiTheme="majorBidi" w:hAnsiTheme="majorBidi" w:cstheme="majorBidi"/>
                <w:color w:val="000000" w:themeColor="text1"/>
              </w:rPr>
            </w:pPr>
            <w:r w:rsidRPr="009E2A0E">
              <w:rPr>
                <w:rFonts w:asciiTheme="majorBidi" w:hAnsiTheme="majorBidi" w:cstheme="majorBidi"/>
                <w:color w:val="000000" w:themeColor="text1"/>
              </w:rPr>
              <w:t>Esto debido a que el Ministerio Público ya ha demostrado como ante diferentes contextos políticos donde pretende callar las voces de las y los defensores de derechos humanos y los medios de comunicación, puede llegar a vulnerar derechos humanos. Por ejemplo, el último allanamiento realizado a una radio comunitaria se dio justo cuando el caso se encontraba en la Corte Interamericana, en esa ocasión la Radio Comunitaria Xyaab' Tzuultaq'a</w:t>
            </w:r>
            <w:r w:rsidRPr="009E2A0E">
              <w:rPr>
                <w:rStyle w:val="Refdenotaalpie"/>
                <w:rFonts w:asciiTheme="majorBidi" w:hAnsiTheme="majorBidi" w:cstheme="majorBidi"/>
                <w:color w:val="000000" w:themeColor="text1"/>
                <w:sz w:val="22"/>
              </w:rPr>
              <w:footnoteReference w:id="116"/>
            </w:r>
            <w:r w:rsidRPr="009E2A0E">
              <w:rPr>
                <w:rFonts w:asciiTheme="majorBidi" w:hAnsiTheme="majorBidi" w:cstheme="majorBidi"/>
                <w:color w:val="000000" w:themeColor="text1"/>
              </w:rPr>
              <w:t xml:space="preserve"> ubicada en el territorio Maya Q'eqchi' del Estor Izabal fue allanada en el año 2019, cuando dicha comunidad se encontraba bajo un estado de sitio por conflictos relacionados a la protección de sus tierras y territorio frente a la empresa minera Fenix; sobre todo porque dicha  radio comunitaria había sido un medio clave para informar sobre tales conflictos territoriales y violaciones a los derechos humanos en el territorio Maya Q'eqchi'.</w:t>
            </w:r>
          </w:p>
          <w:p w14:paraId="23306810" w14:textId="77777777" w:rsidR="00D108C1" w:rsidRPr="009E2A0E" w:rsidRDefault="00D108C1" w:rsidP="00C65C44">
            <w:pPr>
              <w:jc w:val="both"/>
              <w:rPr>
                <w:rFonts w:asciiTheme="majorBidi" w:eastAsia="Times New Roman" w:hAnsiTheme="majorBidi" w:cstheme="majorBidi"/>
                <w:color w:val="000000" w:themeColor="text1"/>
              </w:rPr>
            </w:pPr>
            <w:r w:rsidRPr="009E2A0E">
              <w:rPr>
                <w:rFonts w:asciiTheme="majorBidi" w:hAnsiTheme="majorBidi" w:cstheme="majorBidi"/>
                <w:color w:val="000000" w:themeColor="text1"/>
              </w:rPr>
              <w:t xml:space="preserve">Por otro lado en cuanto a la anulación de sentencias, </w:t>
            </w:r>
            <w:r w:rsidRPr="009E2A0E">
              <w:rPr>
                <w:rFonts w:asciiTheme="majorBidi" w:eastAsia="Times New Roman" w:hAnsiTheme="majorBidi" w:cstheme="majorBidi"/>
                <w:color w:val="000000" w:themeColor="text1"/>
              </w:rPr>
              <w:t>desde mediados del año 2023, las comunidades víctimas han solicitado a través de la mesa de trabajo que se tiene con la Comisión Presidencial Por la Paz y los Derechos Humanos -COPADEH-, la elaboración de una ruta jurídica que permita cumplir con dicho punto resolutivo, a dichas reuniones ha asistido la Secretaría de Pueblos Indígenas del Organismo Judicial, sin embargo, hasta el momento no han brindado ninguna ruta que permita cumplir con dicho punto, alegando no poder tomar decisiones sobre este tema, sin embargo, a pesar de los requerimientos reiterados de las comunidades víctimas, tampoco han facilitado la realización de reuniones con los magistrados de la Cámara Penal de la Corte Suprema de Justicia para abordar este tema.</w:t>
            </w:r>
          </w:p>
          <w:p w14:paraId="1314E8C9" w14:textId="77777777" w:rsidR="00D108C1" w:rsidRPr="009E2A0E" w:rsidRDefault="00D108C1" w:rsidP="00C65C44">
            <w:pPr>
              <w:pStyle w:val="HTMLconformatoprevio"/>
              <w:contextualSpacing/>
              <w:jc w:val="both"/>
              <w:rPr>
                <w:rFonts w:asciiTheme="majorBidi" w:hAnsiTheme="majorBidi" w:cstheme="majorBidi"/>
                <w:bCs/>
                <w:color w:val="000000" w:themeColor="text1"/>
                <w:sz w:val="22"/>
                <w:szCs w:val="22"/>
                <w:lang w:val="es-GT"/>
              </w:rPr>
            </w:pPr>
          </w:p>
        </w:tc>
      </w:tr>
      <w:tr w:rsidR="00D108C1" w:rsidRPr="009E2A0E" w14:paraId="177917DE" w14:textId="77777777" w:rsidTr="003A2CAC">
        <w:tc>
          <w:tcPr>
            <w:tcW w:w="8828" w:type="dxa"/>
            <w:shd w:val="clear" w:color="auto" w:fill="auto"/>
          </w:tcPr>
          <w:p w14:paraId="57446F0A" w14:textId="2D8E0C74" w:rsidR="00D108C1" w:rsidRPr="009E2A0E" w:rsidRDefault="00D108C1" w:rsidP="00197C3D">
            <w:pPr>
              <w:pStyle w:val="Prrafodelista"/>
              <w:numPr>
                <w:ilvl w:val="3"/>
                <w:numId w:val="16"/>
              </w:numPr>
              <w:ind w:left="456"/>
              <w:jc w:val="both"/>
              <w:rPr>
                <w:rFonts w:asciiTheme="majorBidi" w:eastAsia="Times New Roman" w:hAnsiTheme="majorBidi" w:cstheme="majorBidi"/>
                <w:b/>
                <w:bCs/>
                <w:color w:val="000000" w:themeColor="text1"/>
              </w:rPr>
            </w:pPr>
            <w:r w:rsidRPr="009E2A0E">
              <w:rPr>
                <w:rFonts w:asciiTheme="majorBidi" w:eastAsia="Times New Roman" w:hAnsiTheme="majorBidi" w:cstheme="majorBidi"/>
                <w:b/>
                <w:bCs/>
                <w:color w:val="000000" w:themeColor="text1"/>
              </w:rPr>
              <w:lastRenderedPageBreak/>
              <w:t>Sobre la adecuación normativa.</w:t>
            </w:r>
          </w:p>
          <w:p w14:paraId="7764C652" w14:textId="77777777" w:rsidR="00D108C1" w:rsidRPr="009E2A0E" w:rsidRDefault="00D108C1" w:rsidP="00C65C44">
            <w:pPr>
              <w:pStyle w:val="HTMLconformatoprevio"/>
              <w:contextualSpacing/>
              <w:jc w:val="both"/>
              <w:rPr>
                <w:rFonts w:asciiTheme="majorBidi" w:hAnsiTheme="majorBidi" w:cstheme="majorBidi"/>
                <w:bCs/>
                <w:color w:val="000000" w:themeColor="text1"/>
                <w:sz w:val="22"/>
                <w:szCs w:val="22"/>
                <w:lang w:val="es-ES"/>
              </w:rPr>
            </w:pPr>
            <w:r w:rsidRPr="009E2A0E">
              <w:rPr>
                <w:rFonts w:asciiTheme="majorBidi" w:hAnsiTheme="majorBidi" w:cstheme="majorBidi"/>
                <w:bCs/>
                <w:color w:val="000000" w:themeColor="text1"/>
                <w:sz w:val="22"/>
                <w:szCs w:val="22"/>
                <w:lang w:val="es-ES"/>
              </w:rPr>
              <w:t>Si bien el Estado argumenta su buena fe en cumplir con este punto resolutivo al mencionar la presentación de un proyecto de ley relacionado a los medios de comunicación comunitaria, olvidó mencionar que esta no fue socializada ampliamente, motivo por el cual, meses después al ser presentada formalmente bajo la iniciativa de ley 5965, las comunidades víctimas rechazaron</w:t>
            </w:r>
            <w:r w:rsidRPr="009E2A0E">
              <w:rPr>
                <w:rStyle w:val="Refdenotaalpie"/>
                <w:rFonts w:asciiTheme="majorBidi" w:eastAsiaTheme="majorEastAsia" w:hAnsiTheme="majorBidi" w:cstheme="majorBidi"/>
                <w:bCs/>
                <w:color w:val="000000" w:themeColor="text1"/>
                <w:sz w:val="22"/>
                <w:szCs w:val="22"/>
                <w:lang w:val="es-ES"/>
              </w:rPr>
              <w:footnoteReference w:id="117"/>
            </w:r>
            <w:r w:rsidRPr="009E2A0E">
              <w:rPr>
                <w:rFonts w:asciiTheme="majorBidi" w:hAnsiTheme="majorBidi" w:cstheme="majorBidi"/>
                <w:bCs/>
                <w:color w:val="000000" w:themeColor="text1"/>
                <w:sz w:val="22"/>
                <w:szCs w:val="22"/>
                <w:lang w:val="es-ES"/>
              </w:rPr>
              <w:t xml:space="preserve"> tal iniciativa por no contar con los estándares contenidos en la sentencia, así como haber sido creada sin consultar con los pueblos indígenas, incluyendo a las comunidades víctimas. </w:t>
            </w:r>
          </w:p>
          <w:p w14:paraId="70192302" w14:textId="77777777" w:rsidR="00D108C1" w:rsidRPr="009E2A0E" w:rsidRDefault="00D108C1" w:rsidP="00C65C44">
            <w:pPr>
              <w:pStyle w:val="HTMLconformatoprevio"/>
              <w:contextualSpacing/>
              <w:jc w:val="both"/>
              <w:rPr>
                <w:rFonts w:asciiTheme="majorBidi" w:hAnsiTheme="majorBidi" w:cstheme="majorBidi"/>
                <w:bCs/>
                <w:color w:val="000000" w:themeColor="text1"/>
                <w:sz w:val="22"/>
                <w:szCs w:val="22"/>
                <w:lang w:val="es-ES"/>
              </w:rPr>
            </w:pPr>
          </w:p>
          <w:p w14:paraId="0F61013C" w14:textId="77777777" w:rsidR="00D108C1" w:rsidRPr="009E2A0E" w:rsidRDefault="00D108C1" w:rsidP="00C65C44">
            <w:pPr>
              <w:pStyle w:val="HTMLconformatoprevio"/>
              <w:contextualSpacing/>
              <w:jc w:val="both"/>
              <w:rPr>
                <w:rFonts w:asciiTheme="majorBidi" w:hAnsiTheme="majorBidi" w:cstheme="majorBidi"/>
                <w:bCs/>
                <w:color w:val="000000" w:themeColor="text1"/>
                <w:sz w:val="22"/>
                <w:szCs w:val="22"/>
                <w:lang w:val="es-ES"/>
              </w:rPr>
            </w:pPr>
            <w:r w:rsidRPr="009E2A0E">
              <w:rPr>
                <w:rFonts w:asciiTheme="majorBidi" w:hAnsiTheme="majorBidi" w:cstheme="majorBidi"/>
                <w:bCs/>
                <w:color w:val="000000" w:themeColor="text1"/>
                <w:sz w:val="22"/>
                <w:szCs w:val="22"/>
                <w:lang w:val="es-ES"/>
              </w:rPr>
              <w:t xml:space="preserve">Hasta el momento la Iniciativa de Ley 4087 presentada en 2009, ha sido la que ha tenido originalmente el objetivo de lograr el reconocimiento legal de la radio comunitaria, ya que de </w:t>
            </w:r>
            <w:r w:rsidRPr="009E2A0E">
              <w:rPr>
                <w:rFonts w:asciiTheme="majorBidi" w:hAnsiTheme="majorBidi" w:cstheme="majorBidi"/>
                <w:bCs/>
                <w:color w:val="000000" w:themeColor="text1"/>
                <w:sz w:val="22"/>
                <w:szCs w:val="22"/>
                <w:lang w:val="es-ES"/>
              </w:rPr>
              <w:lastRenderedPageBreak/>
              <w:t xml:space="preserve">hecho, fue respaldada por las comunidades indígenas en su momento, por ese motivo desde principios de 2023, las Víctimas, sus representantes y socios de ONG han continuado participando en un proceso de examen y discusión para evaluar la viabilidad de las opciones disponibles en cuanto a la reforma de la ley e iniciativa 4087. </w:t>
            </w:r>
          </w:p>
        </w:tc>
      </w:tr>
    </w:tbl>
    <w:p w14:paraId="49538D5C" w14:textId="77777777" w:rsidR="00BE6B45" w:rsidRPr="009E2A0E" w:rsidRDefault="00BE6B45" w:rsidP="00802FBA">
      <w:pPr>
        <w:jc w:val="both"/>
        <w:rPr>
          <w:rFonts w:asciiTheme="majorBidi" w:hAnsiTheme="majorBidi" w:cstheme="majorBidi"/>
          <w:color w:val="000000" w:themeColor="text1"/>
          <w:lang w:val="es-MX"/>
        </w:rPr>
        <w:sectPr w:rsidR="00BE6B45" w:rsidRPr="009E2A0E" w:rsidSect="00CF265D">
          <w:footerReference w:type="default" r:id="rId19"/>
          <w:pgSz w:w="12240" w:h="15840"/>
          <w:pgMar w:top="1417" w:right="1701" w:bottom="1417" w:left="1701" w:header="708" w:footer="708" w:gutter="0"/>
          <w:pgNumType w:fmt="upperRoman" w:start="1"/>
          <w:cols w:space="708"/>
          <w:docGrid w:linePitch="360"/>
        </w:sectPr>
      </w:pPr>
    </w:p>
    <w:p w14:paraId="52619CA6" w14:textId="77777777" w:rsidR="00CF1058" w:rsidRPr="0070207E" w:rsidRDefault="00CF1058" w:rsidP="0070207E">
      <w:pPr>
        <w:jc w:val="both"/>
        <w:rPr>
          <w:rFonts w:asciiTheme="majorBidi" w:hAnsiTheme="majorBidi" w:cstheme="majorBidi"/>
          <w:b/>
          <w:bCs/>
          <w:color w:val="000000" w:themeColor="text1"/>
          <w:lang w:val="es-MX"/>
        </w:rPr>
      </w:pPr>
      <w:r w:rsidRPr="0070207E">
        <w:rPr>
          <w:rFonts w:asciiTheme="majorBidi" w:hAnsiTheme="majorBidi" w:cstheme="majorBidi"/>
          <w:b/>
          <w:bCs/>
          <w:color w:val="000000" w:themeColor="text1"/>
          <w:lang w:val="es-MX"/>
        </w:rPr>
        <w:lastRenderedPageBreak/>
        <w:t xml:space="preserve">ANEXO 2: Información de casos relacionados al </w:t>
      </w:r>
      <w:r w:rsidR="006A7E4F" w:rsidRPr="0070207E">
        <w:rPr>
          <w:rFonts w:asciiTheme="majorBidi" w:hAnsiTheme="majorBidi" w:cstheme="majorBidi"/>
          <w:b/>
          <w:bCs/>
          <w:color w:val="000000" w:themeColor="text1"/>
          <w:lang w:val="es-MX"/>
        </w:rPr>
        <w:t>derecho de Libertad de pensamiento, creencia y Religión</w:t>
      </w:r>
    </w:p>
    <w:p w14:paraId="70FC97F7" w14:textId="77777777" w:rsidR="006A7E4F" w:rsidRDefault="006A7E4F" w:rsidP="006A7E4F">
      <w:pPr>
        <w:pStyle w:val="Prrafodelista"/>
        <w:jc w:val="both"/>
        <w:rPr>
          <w:rFonts w:asciiTheme="majorBidi" w:hAnsiTheme="majorBidi" w:cstheme="majorBidi"/>
          <w:b/>
          <w:bCs/>
          <w:color w:val="000000" w:themeColor="text1"/>
          <w:lang w:val="es-MX"/>
        </w:rPr>
      </w:pPr>
    </w:p>
    <w:p w14:paraId="5D6EDDBD" w14:textId="0831886C" w:rsidR="006A7E4F" w:rsidRPr="0070207E" w:rsidRDefault="006A7E4F" w:rsidP="0070207E">
      <w:pPr>
        <w:pStyle w:val="Prrafodelista"/>
        <w:numPr>
          <w:ilvl w:val="1"/>
          <w:numId w:val="31"/>
        </w:numPr>
        <w:jc w:val="both"/>
        <w:rPr>
          <w:rFonts w:asciiTheme="majorBidi" w:hAnsiTheme="majorBidi" w:cstheme="majorBidi"/>
          <w:b/>
          <w:bCs/>
          <w:color w:val="000000" w:themeColor="text1"/>
          <w:lang w:val="es-MX"/>
        </w:rPr>
      </w:pPr>
      <w:r w:rsidRPr="0070207E">
        <w:rPr>
          <w:rFonts w:asciiTheme="majorBidi" w:hAnsiTheme="majorBidi" w:cstheme="majorBidi"/>
          <w:b/>
          <w:bCs/>
          <w:color w:val="000000" w:themeColor="text1"/>
          <w:lang w:val="es-MX"/>
        </w:rPr>
        <w:t>Caso guía espiritual Adela Choc:</w:t>
      </w:r>
    </w:p>
    <w:tbl>
      <w:tblPr>
        <w:tblStyle w:val="Tablaconcuadrcula"/>
        <w:tblW w:w="0" w:type="auto"/>
        <w:tblLook w:val="04A0" w:firstRow="1" w:lastRow="0" w:firstColumn="1" w:lastColumn="0" w:noHBand="0" w:noVBand="1"/>
      </w:tblPr>
      <w:tblGrid>
        <w:gridCol w:w="8828"/>
      </w:tblGrid>
      <w:tr w:rsidR="003E32E3" w14:paraId="243BEB7A" w14:textId="77777777" w:rsidTr="006A7E4F">
        <w:tc>
          <w:tcPr>
            <w:tcW w:w="8828" w:type="dxa"/>
          </w:tcPr>
          <w:p w14:paraId="3ED35336" w14:textId="77777777" w:rsidR="003E32E3" w:rsidRPr="003E32E3" w:rsidRDefault="003E32E3" w:rsidP="003E32E3">
            <w:pPr>
              <w:jc w:val="both"/>
              <w:rPr>
                <w:rFonts w:asciiTheme="majorBidi" w:hAnsiTheme="majorBidi" w:cstheme="majorBidi"/>
                <w:b/>
                <w:bCs/>
              </w:rPr>
            </w:pPr>
            <w:r w:rsidRPr="003E32E3">
              <w:rPr>
                <w:rFonts w:asciiTheme="majorBidi" w:hAnsiTheme="majorBidi" w:cstheme="majorBidi"/>
                <w:b/>
                <w:bCs/>
              </w:rPr>
              <w:t>Relación de los hechos:</w:t>
            </w:r>
          </w:p>
          <w:p w14:paraId="4C2C1934" w14:textId="77777777" w:rsidR="003E32E3" w:rsidRPr="003E32E3" w:rsidRDefault="003E32E3" w:rsidP="003E32E3">
            <w:pPr>
              <w:jc w:val="both"/>
              <w:rPr>
                <w:rFonts w:ascii="Times New Roman" w:hAnsi="Times New Roman" w:cs="Times New Roman"/>
              </w:rPr>
            </w:pPr>
            <w:r w:rsidRPr="003E32E3">
              <w:rPr>
                <w:rFonts w:ascii="Times New Roman" w:hAnsi="Times New Roman" w:cs="Times New Roman"/>
              </w:rPr>
              <w:t>Las victimas Adela Choc Cuz y Reginaldo Tec Quib, maya hablantes q’eqchi’, son esposos, y guías espirituales del Pueblo Maya Q´eqchí, tienen su residencia en la Aldea Chichipate, el Estor, Izabal, cerca de una Iglesia evangélica llamada Príncipe de Paz.</w:t>
            </w:r>
            <w:r w:rsidRPr="003E32E3">
              <w:rPr>
                <w:rFonts w:ascii="Times New Roman" w:hAnsi="Times New Roman" w:cs="Times New Roman"/>
                <w:b/>
                <w:bCs/>
              </w:rPr>
              <w:t xml:space="preserve"> </w:t>
            </w:r>
            <w:r w:rsidRPr="003E32E3">
              <w:rPr>
                <w:rFonts w:ascii="Times New Roman" w:hAnsi="Times New Roman" w:cs="Times New Roman"/>
              </w:rPr>
              <w:t>Además,</w:t>
            </w:r>
            <w:r w:rsidRPr="003E32E3">
              <w:rPr>
                <w:rFonts w:ascii="Times New Roman" w:hAnsi="Times New Roman" w:cs="Times New Roman"/>
                <w:b/>
                <w:bCs/>
              </w:rPr>
              <w:t xml:space="preserve"> </w:t>
            </w:r>
            <w:r w:rsidRPr="003E32E3">
              <w:rPr>
                <w:rFonts w:ascii="Times New Roman" w:hAnsi="Times New Roman" w:cs="Times New Roman"/>
              </w:rPr>
              <w:t xml:space="preserve">forman parte del Consejo de Guías Espirituales, </w:t>
            </w:r>
            <w:r w:rsidRPr="003E32E3">
              <w:rPr>
                <w:rFonts w:ascii="Times New Roman" w:hAnsi="Times New Roman" w:cs="Times New Roman"/>
                <w:lang w:val="es-MX"/>
              </w:rPr>
              <w:t>realizando ceremonias mayas a nivel individual y colectivo, son autoridades en la comunidad e impulsan el respeto de otras prácticas espirituales.</w:t>
            </w:r>
          </w:p>
          <w:p w14:paraId="52CFD0E2" w14:textId="77777777" w:rsidR="003E32E3" w:rsidRPr="003E32E3" w:rsidRDefault="003E32E3" w:rsidP="003E32E3">
            <w:pPr>
              <w:jc w:val="both"/>
              <w:rPr>
                <w:rFonts w:ascii="Times New Roman" w:hAnsi="Times New Roman" w:cs="Times New Roman"/>
              </w:rPr>
            </w:pPr>
            <w:r w:rsidRPr="003E32E3">
              <w:rPr>
                <w:rFonts w:ascii="Times New Roman" w:hAnsi="Times New Roman" w:cs="Times New Roman"/>
                <w:lang w:val="es-MX"/>
              </w:rPr>
              <w:t xml:space="preserve">El domingo 15 de mayo de 2022, la ex nuera de la guía espiritual Adela Choc Cuz de nombre Marta Alicia Cortez García, quien reside en la misma Aldea, al regresar a su casa a eso de las veintidós horas, fue interceptada por los integrantes del Consejo Comunitario de Desarrollo -COCODE- quienes la llevaron a la casa </w:t>
            </w:r>
            <w:r w:rsidRPr="003E32E3">
              <w:rPr>
                <w:rFonts w:ascii="Times New Roman" w:hAnsi="Times New Roman" w:cs="Times New Roman"/>
              </w:rPr>
              <w:t xml:space="preserve">de </w:t>
            </w:r>
            <w:r w:rsidRPr="003E32E3">
              <w:rPr>
                <w:rFonts w:ascii="Times New Roman" w:hAnsi="Times New Roman" w:cs="Times New Roman"/>
                <w:lang w:val="es-MX"/>
              </w:rPr>
              <w:t>Mario Antonio Caal Pec. En dicho lugar se encontraba Dina Elizalde Caal Tun, quien le reclamó que por su culpa estaba enferma, a raíz de que un perro propiedad de Caal Pec mató a un cerdo de su familiar. Dina Elizalde en el momento señaló a Adela Choc Cuz como la responsable de hacerle brujerías; en ese instante, Mario Antonio Caal Pec, designó a dos integrantes del COCODE para que fueran a traer a Adela de su casa, y que compraran gasolina para quemarla.</w:t>
            </w:r>
          </w:p>
          <w:p w14:paraId="098D44A6" w14:textId="77777777" w:rsidR="003E32E3" w:rsidRPr="003E32E3" w:rsidRDefault="003E32E3" w:rsidP="003E32E3">
            <w:pPr>
              <w:pStyle w:val="Prrafodelista"/>
              <w:numPr>
                <w:ilvl w:val="0"/>
                <w:numId w:val="21"/>
              </w:numPr>
              <w:ind w:left="598"/>
              <w:jc w:val="both"/>
              <w:rPr>
                <w:rFonts w:ascii="Times New Roman" w:hAnsi="Times New Roman" w:cs="Times New Roman"/>
              </w:rPr>
            </w:pPr>
            <w:r w:rsidRPr="003E32E3">
              <w:rPr>
                <w:rFonts w:ascii="Times New Roman" w:hAnsi="Times New Roman" w:cs="Times New Roman"/>
                <w:lang w:val="es-MX"/>
              </w:rPr>
              <w:t xml:space="preserve">A primera hora del 16 de mayo, llegaron a la casa de la guía Adela, quienes fueron atendidos por su hija Sandra Tec Choc, a quien le indicaron que saliera su señora madre para que fuera a curar a una enferma, a lo que ella respondió que ella no es doctora ni curandera; y que no hicieran bulla porque don Reginaldo estaba dormido. En estos momentos estas personas lanzaron piedras sobre la casa, por lo que la guía espiritual para resguardarse salió por la parte de atrás, ahí fue sorprendida por el señor Simón Tun Sacul, acompañado de una multitud, quien la agarró del pelo,  la arrastró, la tiró al piso y la golpeó en la cara así como en otras partes del cuerpo, además quería decapitarla; y luego la rociaron de gasolina en todo el cuerpo con intenciones de quemarla; mientras tanto, procedieron a incendiar su casa de habitación.  </w:t>
            </w:r>
          </w:p>
          <w:p w14:paraId="0B8F3FEB" w14:textId="77777777" w:rsidR="003E32E3" w:rsidRPr="003E32E3" w:rsidRDefault="003E32E3" w:rsidP="003E32E3">
            <w:pPr>
              <w:pStyle w:val="Prrafodelista"/>
              <w:numPr>
                <w:ilvl w:val="0"/>
                <w:numId w:val="21"/>
              </w:numPr>
              <w:ind w:left="598"/>
              <w:jc w:val="both"/>
              <w:rPr>
                <w:rFonts w:ascii="Times New Roman" w:hAnsi="Times New Roman" w:cs="Times New Roman"/>
              </w:rPr>
            </w:pPr>
            <w:r w:rsidRPr="003E32E3">
              <w:rPr>
                <w:rFonts w:ascii="Times New Roman" w:hAnsi="Times New Roman" w:cs="Times New Roman"/>
                <w:lang w:val="es-MX"/>
              </w:rPr>
              <w:t xml:space="preserve">La Guía Adela Choc sufrió todo tipo de torturas psicológicas y lesiones físicas, mientras que la </w:t>
            </w:r>
            <w:proofErr w:type="gramStart"/>
            <w:r w:rsidRPr="003E32E3">
              <w:rPr>
                <w:rFonts w:ascii="Times New Roman" w:hAnsi="Times New Roman" w:cs="Times New Roman"/>
                <w:lang w:val="es-MX"/>
              </w:rPr>
              <w:t>obligaban  a</w:t>
            </w:r>
            <w:proofErr w:type="gramEnd"/>
            <w:r w:rsidRPr="003E32E3">
              <w:rPr>
                <w:rFonts w:ascii="Times New Roman" w:hAnsi="Times New Roman" w:cs="Times New Roman"/>
                <w:lang w:val="es-MX"/>
              </w:rPr>
              <w:t xml:space="preserve"> que sanara a Dina Elizalde, posteriormente llegó un curandero, quien indicó que no estaba brujeada, luego un pastor evangélico, quien pidió que liberaran a las mujeres.  Seguidamente, obligaron a la abuela Adela a pagarle al curandero la cantidad de Q1,200.00 como honorarios. </w:t>
            </w:r>
          </w:p>
          <w:p w14:paraId="1193C2E9" w14:textId="77777777" w:rsidR="003E32E3" w:rsidRPr="003E32E3" w:rsidRDefault="003E32E3" w:rsidP="003E32E3">
            <w:pPr>
              <w:pStyle w:val="Prrafodelista"/>
              <w:numPr>
                <w:ilvl w:val="0"/>
                <w:numId w:val="21"/>
              </w:numPr>
              <w:ind w:left="598"/>
              <w:jc w:val="both"/>
              <w:rPr>
                <w:rFonts w:ascii="Times New Roman" w:hAnsi="Times New Roman" w:cs="Times New Roman"/>
              </w:rPr>
            </w:pPr>
            <w:r w:rsidRPr="003E32E3">
              <w:rPr>
                <w:rFonts w:ascii="Times New Roman" w:hAnsi="Times New Roman" w:cs="Times New Roman"/>
                <w:lang w:val="es-MX"/>
              </w:rPr>
              <w:t>El COCODE levantó un acta, en el que hizo constar que les daba plazo de cinco días a Adela para que pagara Q22,000.00 por los gastos realizados en curanderos para sanar a la enferma.</w:t>
            </w:r>
          </w:p>
          <w:p w14:paraId="6CA92262" w14:textId="77777777" w:rsidR="003E32E3" w:rsidRPr="003E32E3" w:rsidRDefault="003E32E3" w:rsidP="003E32E3">
            <w:pPr>
              <w:tabs>
                <w:tab w:val="left" w:pos="720"/>
              </w:tabs>
              <w:jc w:val="both"/>
              <w:rPr>
                <w:rFonts w:ascii="Times New Roman" w:hAnsi="Times New Roman" w:cs="Times New Roman"/>
              </w:rPr>
            </w:pPr>
            <w:r w:rsidRPr="003E32E3">
              <w:rPr>
                <w:rFonts w:ascii="Times New Roman" w:hAnsi="Times New Roman" w:cs="Times New Roman"/>
                <w:lang w:val="es-MX"/>
              </w:rPr>
              <w:t>El 17 de mayo a las tres de la mañana finalmente fue liberada junto a su hija Sandra Tec Choc.</w:t>
            </w:r>
            <w:r w:rsidRPr="003E32E3">
              <w:rPr>
                <w:rFonts w:ascii="Times New Roman" w:hAnsi="Times New Roman" w:cs="Times New Roman"/>
              </w:rPr>
              <w:t xml:space="preserve"> </w:t>
            </w:r>
            <w:r w:rsidRPr="003E32E3">
              <w:rPr>
                <w:rFonts w:ascii="Times New Roman" w:hAnsi="Times New Roman" w:cs="Times New Roman"/>
                <w:lang w:val="es-MX"/>
              </w:rPr>
              <w:t xml:space="preserve">Ellas estuvieron prácticamente secuestradas por 18 horas, sin permitirles consumir alimentos ni agua. </w:t>
            </w:r>
          </w:p>
          <w:p w14:paraId="0BF3D4EB" w14:textId="15AAE034" w:rsidR="003E32E3" w:rsidRPr="003E32E3" w:rsidRDefault="003E32E3" w:rsidP="003E32E3">
            <w:pPr>
              <w:tabs>
                <w:tab w:val="left" w:pos="720"/>
              </w:tabs>
              <w:jc w:val="both"/>
              <w:rPr>
                <w:rFonts w:asciiTheme="majorBidi" w:hAnsiTheme="majorBidi" w:cstheme="majorBidi"/>
              </w:rPr>
            </w:pPr>
            <w:r w:rsidRPr="003E32E3">
              <w:rPr>
                <w:rFonts w:ascii="Times New Roman" w:hAnsi="Times New Roman" w:cs="Times New Roman"/>
                <w:lang w:val="es-MX"/>
              </w:rPr>
              <w:t xml:space="preserve">La guía espiritual Adela presentaba golpes y moretones en la frente y otras partes del cuerpo, por lo que una vez que presentó su denuncia al Ministerio Público, fue obligada a desplazarse, optando por refugiarse en Coban, Alta Verapaz (a </w:t>
            </w:r>
            <w:proofErr w:type="gramStart"/>
            <w:r w:rsidRPr="003E32E3">
              <w:rPr>
                <w:rFonts w:ascii="Times New Roman" w:hAnsi="Times New Roman" w:cs="Times New Roman"/>
                <w:lang w:val="es-MX"/>
              </w:rPr>
              <w:t>158  kilómetros</w:t>
            </w:r>
            <w:proofErr w:type="gramEnd"/>
            <w:r w:rsidRPr="003E32E3">
              <w:rPr>
                <w:rFonts w:ascii="Times New Roman" w:hAnsi="Times New Roman" w:cs="Times New Roman"/>
                <w:lang w:val="es-MX"/>
              </w:rPr>
              <w:t xml:space="preserve"> de su casa) pues </w:t>
            </w:r>
            <w:proofErr w:type="gramStart"/>
            <w:r w:rsidRPr="003E32E3">
              <w:rPr>
                <w:rFonts w:ascii="Times New Roman" w:hAnsi="Times New Roman" w:cs="Times New Roman"/>
                <w:lang w:val="es-MX"/>
              </w:rPr>
              <w:t>sus  agresores</w:t>
            </w:r>
            <w:proofErr w:type="gramEnd"/>
            <w:r w:rsidRPr="003E32E3">
              <w:rPr>
                <w:rFonts w:ascii="Times New Roman" w:hAnsi="Times New Roman" w:cs="Times New Roman"/>
                <w:lang w:val="es-MX"/>
              </w:rPr>
              <w:t xml:space="preserve"> le prohibieron que regresara a la comunidad y dijeron que realizarían una asamblea el 18 de mayo, para proponer que sea expulsada del lugar.  </w:t>
            </w:r>
            <w:proofErr w:type="gramStart"/>
            <w:r w:rsidRPr="003E32E3">
              <w:rPr>
                <w:rFonts w:ascii="Times New Roman" w:hAnsi="Times New Roman" w:cs="Times New Roman"/>
                <w:lang w:val="es-MX"/>
              </w:rPr>
              <w:t>A  la</w:t>
            </w:r>
            <w:proofErr w:type="gramEnd"/>
            <w:r w:rsidRPr="003E32E3">
              <w:rPr>
                <w:rFonts w:ascii="Times New Roman" w:hAnsi="Times New Roman" w:cs="Times New Roman"/>
                <w:lang w:val="es-MX"/>
              </w:rPr>
              <w:t xml:space="preserve"> fecha, ella se encuentra en condición de desplazamiento forzado sin ningún apoyo del Estado.</w:t>
            </w:r>
          </w:p>
        </w:tc>
      </w:tr>
      <w:tr w:rsidR="003E32E3" w14:paraId="26469DF2" w14:textId="77777777" w:rsidTr="006A7E4F">
        <w:tc>
          <w:tcPr>
            <w:tcW w:w="8828" w:type="dxa"/>
          </w:tcPr>
          <w:p w14:paraId="5767F0F3" w14:textId="2691AADC" w:rsidR="003E32E3" w:rsidRPr="003E32E3" w:rsidRDefault="003E32E3" w:rsidP="003E32E3">
            <w:pPr>
              <w:jc w:val="both"/>
              <w:rPr>
                <w:rFonts w:ascii="Times New Roman" w:hAnsi="Times New Roman" w:cs="Times New Roman"/>
                <w:b/>
                <w:bCs/>
                <w:lang w:val="es-MX"/>
              </w:rPr>
            </w:pPr>
            <w:r w:rsidRPr="003E32E3">
              <w:rPr>
                <w:rFonts w:ascii="Times New Roman" w:hAnsi="Times New Roman" w:cs="Times New Roman"/>
                <w:b/>
                <w:bCs/>
                <w:lang w:val="es-MX"/>
              </w:rPr>
              <w:t>Rol de defensa de derechos humanos</w:t>
            </w:r>
            <w:r>
              <w:rPr>
                <w:rFonts w:ascii="Times New Roman" w:hAnsi="Times New Roman" w:cs="Times New Roman"/>
                <w:b/>
                <w:bCs/>
                <w:lang w:val="es-MX"/>
              </w:rPr>
              <w:t>:</w:t>
            </w:r>
          </w:p>
          <w:p w14:paraId="49936DBF" w14:textId="77777777" w:rsidR="003E32E3" w:rsidRPr="003E32E3" w:rsidRDefault="003E32E3" w:rsidP="003E32E3">
            <w:pPr>
              <w:jc w:val="both"/>
              <w:rPr>
                <w:rFonts w:ascii="Times New Roman" w:hAnsi="Times New Roman" w:cs="Times New Roman"/>
              </w:rPr>
            </w:pPr>
            <w:r w:rsidRPr="003E32E3">
              <w:rPr>
                <w:rFonts w:ascii="Times New Roman" w:hAnsi="Times New Roman" w:cs="Times New Roman"/>
              </w:rPr>
              <w:t xml:space="preserve">Las victimas Adela Choc Cuz y Reginaldo Tec Quib, en el ejercicio de la espiritualidad promueven y fortalecen la armonía personal y comunitaria, procurando bienestar en la Comunidad. En los últimos años en alianza con otras autoridades indígenas del territorio han estado demandando no </w:t>
            </w:r>
            <w:r w:rsidRPr="003E32E3">
              <w:rPr>
                <w:rFonts w:ascii="Times New Roman" w:hAnsi="Times New Roman" w:cs="Times New Roman"/>
              </w:rPr>
              <w:lastRenderedPageBreak/>
              <w:t>solo la restitución de sus tierras denominadas Barrio La Revolución, sino que también su derecho a la consulta frente al otorgamiento de la licencia minera FENIX, lo que les ha valido sufrir estas represalias y criminalización.</w:t>
            </w:r>
          </w:p>
          <w:p w14:paraId="194FD261" w14:textId="37E61F90" w:rsidR="003E32E3" w:rsidRPr="003E32E3" w:rsidRDefault="003E32E3" w:rsidP="003E32E3">
            <w:pPr>
              <w:jc w:val="both"/>
              <w:rPr>
                <w:rFonts w:asciiTheme="majorBidi" w:hAnsiTheme="majorBidi" w:cstheme="majorBidi"/>
              </w:rPr>
            </w:pPr>
            <w:r w:rsidRPr="003E32E3">
              <w:rPr>
                <w:rFonts w:ascii="Times New Roman" w:hAnsi="Times New Roman" w:cs="Times New Roman"/>
              </w:rPr>
              <w:t>A pesar de que las tensiones en la comunidad han reducido, los integrantes del COCODE han estado presionando para que los guías espirituales Adela y Reginaldo, no retornen a la Comunidad y buscan cerrar el proceso penal el cual estuvo inicialmente a cargo de la Fiscalía Municipal del Estor, Izabal, (MP284-2022-314) donde prestaron declaración el 17 de mayo de 2022. Ese mismo día, les notificaron que el caso se trasladará a la Fiscalía Municipal de Morales, Izabal, a cien kilómetros de donde sucedieron los hechos. Esta fiscalía indicó que no podía avanzar en la investigación debido a que la señora Adela no pudo acreditar la propiedad de su residencia, por lo que la investigación jamás avanzó.</w:t>
            </w:r>
          </w:p>
        </w:tc>
      </w:tr>
      <w:tr w:rsidR="006A7E4F" w14:paraId="4DD37C40" w14:textId="77777777" w:rsidTr="006A7E4F">
        <w:tc>
          <w:tcPr>
            <w:tcW w:w="8828" w:type="dxa"/>
          </w:tcPr>
          <w:p w14:paraId="71E65D6E" w14:textId="70E3A405" w:rsidR="003E32E3" w:rsidRPr="003E32E3" w:rsidRDefault="003E32E3" w:rsidP="003E32E3">
            <w:pPr>
              <w:jc w:val="both"/>
              <w:rPr>
                <w:rFonts w:asciiTheme="majorBidi" w:hAnsiTheme="majorBidi" w:cstheme="majorBidi"/>
                <w:b/>
                <w:bCs/>
              </w:rPr>
            </w:pPr>
            <w:r w:rsidRPr="003E32E3">
              <w:rPr>
                <w:rFonts w:asciiTheme="majorBidi" w:hAnsiTheme="majorBidi" w:cstheme="majorBidi"/>
                <w:b/>
                <w:bCs/>
              </w:rPr>
              <w:lastRenderedPageBreak/>
              <w:t>Sobre la investigación</w:t>
            </w:r>
            <w:r>
              <w:rPr>
                <w:rFonts w:asciiTheme="majorBidi" w:hAnsiTheme="majorBidi" w:cstheme="majorBidi"/>
                <w:b/>
                <w:bCs/>
              </w:rPr>
              <w:t xml:space="preserve">: </w:t>
            </w:r>
          </w:p>
          <w:p w14:paraId="1E51B43B" w14:textId="0F20A1A8" w:rsidR="006A7E4F" w:rsidRPr="003E32E3" w:rsidRDefault="006A7E4F" w:rsidP="003E32E3">
            <w:pPr>
              <w:jc w:val="both"/>
              <w:rPr>
                <w:rFonts w:asciiTheme="majorBidi" w:hAnsiTheme="majorBidi" w:cstheme="majorBidi"/>
              </w:rPr>
            </w:pPr>
            <w:r w:rsidRPr="003E32E3">
              <w:rPr>
                <w:rFonts w:asciiTheme="majorBidi" w:hAnsiTheme="majorBidi" w:cstheme="majorBidi"/>
              </w:rPr>
              <w:t xml:space="preserve">En el caso de la abuela Adela Choc, los hechos sucedieron en el mes de mayo de 2021, han transcurrido 3 años y durante este tiempo no ha habido avance en la investigación, y por el contrario el 8 de marzo de 2023 el caso fue desestimado, es decir que la fiscalía indico que no era posible seguir la investigación por falta de elementos que pudieran aportarse al proceso. </w:t>
            </w:r>
          </w:p>
          <w:p w14:paraId="3F7C0B3C" w14:textId="1974003B" w:rsidR="006A7E4F" w:rsidRPr="003E32E3" w:rsidRDefault="006A7E4F" w:rsidP="003E32E3">
            <w:pPr>
              <w:jc w:val="both"/>
              <w:rPr>
                <w:rFonts w:asciiTheme="majorBidi" w:hAnsiTheme="majorBidi" w:cstheme="majorBidi"/>
              </w:rPr>
            </w:pPr>
            <w:r w:rsidRPr="003E32E3">
              <w:rPr>
                <w:rFonts w:asciiTheme="majorBidi" w:hAnsiTheme="majorBidi" w:cstheme="majorBidi"/>
              </w:rPr>
              <w:t xml:space="preserve">Para los abogados que acompañan a la abuela Adela Choc, esta decisión estuvo revestida tintes de discriminación y falta de debida diligencia, puesto que 10 meses </w:t>
            </w:r>
            <w:r w:rsidR="00C8743B" w:rsidRPr="003E32E3">
              <w:rPr>
                <w:rFonts w:asciiTheme="majorBidi" w:hAnsiTheme="majorBidi" w:cstheme="majorBidi"/>
              </w:rPr>
              <w:t>después</w:t>
            </w:r>
            <w:r w:rsidRPr="003E32E3">
              <w:rPr>
                <w:rFonts w:asciiTheme="majorBidi" w:hAnsiTheme="majorBidi" w:cstheme="majorBidi"/>
              </w:rPr>
              <w:t xml:space="preserve"> del hecho fue desestimado, en 10 meses si hubieron posibilidades de identificar a los agresores de la Abuela Adela Choc, y no se realizó ninguna diligencia más, a diferencia de otros casos en donde solicitan por ser un hecho en flagrancia ordenes de aprehensión y demás, claro, la diferencia social, económica y étnica tuvo mucho que ver para que no realizara una correcta investigación. </w:t>
            </w:r>
          </w:p>
          <w:p w14:paraId="14C7CFD2" w14:textId="52028B5C" w:rsidR="006A7E4F" w:rsidRPr="003E32E3" w:rsidRDefault="006A7E4F" w:rsidP="003E32E3">
            <w:pPr>
              <w:jc w:val="both"/>
              <w:rPr>
                <w:rFonts w:asciiTheme="majorBidi" w:hAnsiTheme="majorBidi" w:cstheme="majorBidi"/>
              </w:rPr>
            </w:pPr>
            <w:r w:rsidRPr="003E32E3">
              <w:rPr>
                <w:rFonts w:asciiTheme="majorBidi" w:hAnsiTheme="majorBidi" w:cstheme="majorBidi"/>
              </w:rPr>
              <w:t>Días posteriores el Estado de Guatemala recibe solicitud de información del caso debido a la comunicación urgente que el 30 de septiembre de 2022 se hace a la relatoría Especial sobre la libertad de religión o de creencias de la Oficina del Alto Comisionado para los Derechos Humanos, y el efecto es que se reactiva el proceso y cambia de auxiliar fiscal a cargo de la investigación.</w:t>
            </w:r>
          </w:p>
          <w:p w14:paraId="507C68A8" w14:textId="7E26221A" w:rsidR="006A7E4F" w:rsidRPr="003E32E3" w:rsidRDefault="006A7E4F" w:rsidP="003E32E3">
            <w:pPr>
              <w:jc w:val="both"/>
              <w:rPr>
                <w:rFonts w:asciiTheme="majorBidi" w:hAnsiTheme="majorBidi" w:cstheme="majorBidi"/>
              </w:rPr>
            </w:pPr>
            <w:r w:rsidRPr="003E32E3">
              <w:rPr>
                <w:rFonts w:asciiTheme="majorBidi" w:hAnsiTheme="majorBidi" w:cstheme="majorBidi"/>
              </w:rPr>
              <w:t xml:space="preserve">Al reactivarse la investigación se mandaron a requerir documentos y el proceso se volvió a detener, en la actualidad se pretende acusar a los involucrados por el delito de violencia psicológica e incendio, pero en ese sentido es improcedente a consideración de los abogados de la abuela Adela Choc, puesto que no es posible asociar las acciones de los sindicados a una violencia </w:t>
            </w:r>
            <w:r w:rsidR="00C8743B" w:rsidRPr="003E32E3">
              <w:rPr>
                <w:rFonts w:asciiTheme="majorBidi" w:hAnsiTheme="majorBidi" w:cstheme="majorBidi"/>
              </w:rPr>
              <w:t>psicológica</w:t>
            </w:r>
            <w:r w:rsidRPr="003E32E3">
              <w:rPr>
                <w:rFonts w:asciiTheme="majorBidi" w:hAnsiTheme="majorBidi" w:cstheme="majorBidi"/>
              </w:rPr>
              <w:t xml:space="preserve">, cuando lo que se pretendió fue darle muerte a la misma, es decir nadie rocia gasolina sobre una persona con el fin de dañarla psicológico, el dolo o intención va más allá de eso, la intención era arrebatarle la vida, eso mismo sucedió en el caso del abuelo Domingo Choc a quien con patrones </w:t>
            </w:r>
            <w:r w:rsidR="00042295" w:rsidRPr="003E32E3">
              <w:rPr>
                <w:rFonts w:asciiTheme="majorBidi" w:hAnsiTheme="majorBidi" w:cstheme="majorBidi"/>
              </w:rPr>
              <w:t>idénticos</w:t>
            </w:r>
            <w:r w:rsidRPr="003E32E3">
              <w:rPr>
                <w:rFonts w:asciiTheme="majorBidi" w:hAnsiTheme="majorBidi" w:cstheme="majorBidi"/>
              </w:rPr>
              <w:t xml:space="preserve"> lo quemaron vivo </w:t>
            </w:r>
            <w:r w:rsidR="00042295" w:rsidRPr="003E32E3">
              <w:rPr>
                <w:rFonts w:asciiTheme="majorBidi" w:hAnsiTheme="majorBidi" w:cstheme="majorBidi"/>
              </w:rPr>
              <w:t>rociándolo</w:t>
            </w:r>
            <w:r w:rsidRPr="003E32E3">
              <w:rPr>
                <w:rFonts w:asciiTheme="majorBidi" w:hAnsiTheme="majorBidi" w:cstheme="majorBidi"/>
              </w:rPr>
              <w:t xml:space="preserve"> también de gasolina. </w:t>
            </w:r>
          </w:p>
          <w:p w14:paraId="4FC7C5CE" w14:textId="77777777" w:rsidR="006A7E4F" w:rsidRPr="003E32E3" w:rsidRDefault="006A7E4F" w:rsidP="003E32E3">
            <w:pPr>
              <w:jc w:val="both"/>
              <w:rPr>
                <w:rFonts w:asciiTheme="majorBidi" w:hAnsiTheme="majorBidi" w:cstheme="majorBidi"/>
              </w:rPr>
            </w:pPr>
            <w:r w:rsidRPr="003E32E3">
              <w:rPr>
                <w:rFonts w:asciiTheme="majorBidi" w:hAnsiTheme="majorBidi" w:cstheme="majorBidi"/>
              </w:rPr>
              <w:t xml:space="preserve">La Abuela Adela Choc, a raíz de lo sucedido tuvo que abandonar el país, su vida, sus conocimientos, su proyecto de vida le fue arrebatado al punto de invisibilizarla para su comunidad y para toda la lucha colectiva comunitaria, es más, ni el mismo estado de Guatemala tuvo la capacidad de resguardarla, y ahora a 3 años de los hechos, es una persona más que se fue para que alguien más la proteja y garantice su existencia. </w:t>
            </w:r>
          </w:p>
          <w:p w14:paraId="3DFC4255" w14:textId="77777777" w:rsidR="006A7E4F" w:rsidRPr="003E32E3" w:rsidRDefault="006A7E4F" w:rsidP="003E32E3">
            <w:pPr>
              <w:jc w:val="both"/>
              <w:rPr>
                <w:rFonts w:asciiTheme="majorBidi" w:hAnsiTheme="majorBidi" w:cstheme="majorBidi"/>
              </w:rPr>
            </w:pPr>
            <w:r w:rsidRPr="003E32E3">
              <w:rPr>
                <w:rFonts w:asciiTheme="majorBidi" w:hAnsiTheme="majorBidi" w:cstheme="majorBidi"/>
              </w:rPr>
              <w:t xml:space="preserve">La Abuela Adela Choc, paso a ser una más de las mujeres mayas, excluida, olvidada e invisibilizada, se le tachó de bruja, se le acusó de forma injustificada, no tuvo acceso a las garantías mínimas de todo ser humano, se repite la historia, una mujer maya para el Estado de Guatemala es nada. Se minimiza a una violencia el intento de asesinato al que estuvo expuesta. Y la justicia ni pronta ni cumplida queda nuevamente en deuda con los pueblos originarios, es que los mayas y sus creencias no caben en un pais diseñado para oprimirles y cuando alguien se atreve a romper ese esquema o </w:t>
            </w:r>
            <w:proofErr w:type="gramStart"/>
            <w:r w:rsidRPr="003E32E3">
              <w:rPr>
                <w:rFonts w:asciiTheme="majorBidi" w:hAnsiTheme="majorBidi" w:cstheme="majorBidi"/>
              </w:rPr>
              <w:t>status</w:t>
            </w:r>
            <w:proofErr w:type="gramEnd"/>
            <w:r w:rsidRPr="003E32E3">
              <w:rPr>
                <w:rFonts w:asciiTheme="majorBidi" w:hAnsiTheme="majorBidi" w:cstheme="majorBidi"/>
              </w:rPr>
              <w:t xml:space="preserve"> quo, tiene el mismo destino de la Abuela Adela Choc, </w:t>
            </w:r>
            <w:proofErr w:type="spellStart"/>
            <w:r w:rsidRPr="003E32E3">
              <w:rPr>
                <w:rFonts w:asciiTheme="majorBidi" w:hAnsiTheme="majorBidi" w:cstheme="majorBidi"/>
              </w:rPr>
              <w:t>mas</w:t>
            </w:r>
            <w:proofErr w:type="spellEnd"/>
            <w:r w:rsidRPr="003E32E3">
              <w:rPr>
                <w:rFonts w:asciiTheme="majorBidi" w:hAnsiTheme="majorBidi" w:cstheme="majorBidi"/>
              </w:rPr>
              <w:t xml:space="preserve"> vale salir y no quedarse a ser reprimido.</w:t>
            </w:r>
          </w:p>
          <w:p w14:paraId="11899032" w14:textId="77777777" w:rsidR="006A7E4F" w:rsidRPr="003E32E3" w:rsidRDefault="006A7E4F" w:rsidP="00553560">
            <w:pPr>
              <w:jc w:val="both"/>
              <w:rPr>
                <w:rFonts w:asciiTheme="majorBidi" w:hAnsiTheme="majorBidi" w:cstheme="majorBidi"/>
              </w:rPr>
            </w:pPr>
            <w:r w:rsidRPr="003E32E3">
              <w:rPr>
                <w:rFonts w:asciiTheme="majorBidi" w:hAnsiTheme="majorBidi" w:cstheme="majorBidi"/>
              </w:rPr>
              <w:t xml:space="preserve">Hasta el momento para la familia de la Abuela Adela Choc, siguen y persisten los ataques, no se ha podido acceder del todo a la justicia, luego de 3 años sin respuesta por el caso que originó todo, no hay confianza para continuar. </w:t>
            </w:r>
          </w:p>
          <w:p w14:paraId="7374404B" w14:textId="77777777" w:rsidR="006A7E4F" w:rsidRPr="003E32E3" w:rsidRDefault="006A7E4F" w:rsidP="006A7E4F">
            <w:pPr>
              <w:ind w:left="360"/>
              <w:jc w:val="both"/>
              <w:rPr>
                <w:rFonts w:asciiTheme="majorBidi" w:hAnsiTheme="majorBidi" w:cstheme="majorBidi"/>
                <w:b/>
                <w:bCs/>
                <w:lang w:val="es-MX"/>
              </w:rPr>
            </w:pPr>
          </w:p>
        </w:tc>
      </w:tr>
    </w:tbl>
    <w:p w14:paraId="29F87697" w14:textId="02226704" w:rsidR="006A7E4F" w:rsidRPr="006A7E4F" w:rsidRDefault="006A7E4F" w:rsidP="006A7E4F">
      <w:pPr>
        <w:jc w:val="both"/>
        <w:rPr>
          <w:rFonts w:asciiTheme="majorBidi" w:hAnsiTheme="majorBidi" w:cstheme="majorBidi"/>
          <w:b/>
          <w:bCs/>
          <w:color w:val="000000" w:themeColor="text1"/>
          <w:lang w:val="es-MX"/>
        </w:rPr>
        <w:sectPr w:rsidR="006A7E4F" w:rsidRPr="006A7E4F" w:rsidSect="00CF265D">
          <w:pgSz w:w="12240" w:h="15840"/>
          <w:pgMar w:top="1417" w:right="1701" w:bottom="1417" w:left="1701" w:header="708" w:footer="708" w:gutter="0"/>
          <w:pgNumType w:fmt="upperRoman" w:start="1"/>
          <w:cols w:space="708"/>
          <w:docGrid w:linePitch="360"/>
        </w:sectPr>
      </w:pPr>
    </w:p>
    <w:p w14:paraId="0CA45611" w14:textId="7DB054B8" w:rsidR="00881257" w:rsidRPr="0070207E" w:rsidRDefault="003A2CAC" w:rsidP="0070207E">
      <w:pPr>
        <w:jc w:val="both"/>
        <w:rPr>
          <w:rFonts w:asciiTheme="majorBidi" w:hAnsiTheme="majorBidi" w:cstheme="majorBidi"/>
          <w:b/>
          <w:bCs/>
          <w:color w:val="000000" w:themeColor="text1"/>
          <w:lang w:val="es-MX"/>
        </w:rPr>
      </w:pPr>
      <w:r w:rsidRPr="0070207E">
        <w:rPr>
          <w:rFonts w:asciiTheme="majorBidi" w:hAnsiTheme="majorBidi" w:cstheme="majorBidi"/>
          <w:b/>
          <w:bCs/>
          <w:color w:val="000000" w:themeColor="text1"/>
          <w:lang w:val="es-MX"/>
        </w:rPr>
        <w:lastRenderedPageBreak/>
        <w:t xml:space="preserve">ANEXO </w:t>
      </w:r>
      <w:r w:rsidR="003E32E3" w:rsidRPr="0070207E">
        <w:rPr>
          <w:rFonts w:asciiTheme="majorBidi" w:hAnsiTheme="majorBidi" w:cstheme="majorBidi"/>
          <w:b/>
          <w:bCs/>
          <w:color w:val="000000" w:themeColor="text1"/>
          <w:lang w:val="es-MX"/>
        </w:rPr>
        <w:t>3</w:t>
      </w:r>
      <w:r w:rsidRPr="0070207E">
        <w:rPr>
          <w:rFonts w:asciiTheme="majorBidi" w:hAnsiTheme="majorBidi" w:cstheme="majorBidi"/>
          <w:b/>
          <w:bCs/>
          <w:color w:val="000000" w:themeColor="text1"/>
          <w:lang w:val="es-MX"/>
        </w:rPr>
        <w:t xml:space="preserve">: </w:t>
      </w:r>
      <w:r w:rsidRPr="0070207E">
        <w:rPr>
          <w:rFonts w:asciiTheme="majorBidi" w:hAnsiTheme="majorBidi" w:cstheme="majorBidi"/>
          <w:color w:val="000000" w:themeColor="text1"/>
          <w:lang w:val="es-MX"/>
        </w:rPr>
        <w:t>Resúmenes de casos relacionados al derecho de consulta libre previa e informada:</w:t>
      </w:r>
    </w:p>
    <w:p w14:paraId="6360A1A5" w14:textId="269001FC" w:rsidR="003A2CAC" w:rsidRPr="00872EEF" w:rsidRDefault="003A2CAC" w:rsidP="00872EEF">
      <w:pPr>
        <w:pStyle w:val="Prrafodelista"/>
        <w:numPr>
          <w:ilvl w:val="1"/>
          <w:numId w:val="26"/>
        </w:numPr>
        <w:jc w:val="both"/>
        <w:rPr>
          <w:rFonts w:asciiTheme="majorBidi" w:hAnsiTheme="majorBidi" w:cstheme="majorBidi"/>
          <w:b/>
          <w:bCs/>
          <w:color w:val="000000" w:themeColor="text1"/>
          <w:lang w:val="es-MX"/>
        </w:rPr>
      </w:pPr>
      <w:r w:rsidRPr="00872EEF">
        <w:rPr>
          <w:rFonts w:asciiTheme="majorBidi" w:hAnsiTheme="majorBidi" w:cstheme="majorBidi"/>
          <w:b/>
          <w:bCs/>
          <w:color w:val="000000" w:themeColor="text1"/>
          <w:lang w:val="es-MX"/>
        </w:rPr>
        <w:t>CASO DE MINA FE</w:t>
      </w:r>
      <w:r w:rsidR="00151CC7" w:rsidRPr="00872EEF">
        <w:rPr>
          <w:rFonts w:asciiTheme="majorBidi" w:hAnsiTheme="majorBidi" w:cstheme="majorBidi"/>
          <w:b/>
          <w:bCs/>
          <w:color w:val="000000" w:themeColor="text1"/>
          <w:lang w:val="es-MX"/>
        </w:rPr>
        <w:t>N</w:t>
      </w:r>
      <w:r w:rsidRPr="00872EEF">
        <w:rPr>
          <w:rFonts w:asciiTheme="majorBidi" w:hAnsiTheme="majorBidi" w:cstheme="majorBidi"/>
          <w:b/>
          <w:bCs/>
          <w:color w:val="000000" w:themeColor="text1"/>
          <w:lang w:val="es-MX"/>
        </w:rPr>
        <w:t>IX:</w:t>
      </w:r>
    </w:p>
    <w:tbl>
      <w:tblPr>
        <w:tblStyle w:val="Tablaconcuadrcula"/>
        <w:tblW w:w="0" w:type="auto"/>
        <w:tblLook w:val="04A0" w:firstRow="1" w:lastRow="0" w:firstColumn="1" w:lastColumn="0" w:noHBand="0" w:noVBand="1"/>
      </w:tblPr>
      <w:tblGrid>
        <w:gridCol w:w="8828"/>
      </w:tblGrid>
      <w:tr w:rsidR="003A2CAC" w:rsidRPr="009E2A0E" w14:paraId="30532E2C" w14:textId="77777777" w:rsidTr="003A2CAC">
        <w:tc>
          <w:tcPr>
            <w:tcW w:w="8828" w:type="dxa"/>
          </w:tcPr>
          <w:p w14:paraId="208A0B91" w14:textId="77777777" w:rsidR="003A2CAC" w:rsidRPr="009E2A0E" w:rsidRDefault="003A2CAC" w:rsidP="003A2CAC">
            <w:pPr>
              <w:jc w:val="both"/>
              <w:rPr>
                <w:rFonts w:asciiTheme="majorBidi" w:hAnsiTheme="majorBidi" w:cstheme="majorBidi"/>
                <w:color w:val="000000" w:themeColor="text1"/>
                <w:lang w:val="es-MX"/>
              </w:rPr>
            </w:pPr>
            <w:r w:rsidRPr="009E2A0E">
              <w:rPr>
                <w:rFonts w:asciiTheme="majorBidi" w:hAnsiTheme="majorBidi" w:cstheme="majorBidi"/>
                <w:color w:val="000000" w:themeColor="text1"/>
                <w:lang w:val="es-MX"/>
              </w:rPr>
              <w:t>En sentencia de 18 de junio de 2020 dentro del expediente 697-2019, siguiendo la línea jurisprudencial asentada al respecto, la Corte de Constitucionalidad confirmó el fallo dictado por la Corte Suprema de Justicia, constituida en Tribunal del Amparo, la cual había otorgado el amparo promovido contra el Ministerio de Energía y Minas, por el otorgamiento de la licencia de explotación minera “Extracción Minera Fénix”, a favor de Compañía Guatemalteca de Níquel, Sociedad Anónima -CGN-</w:t>
            </w:r>
            <w:r w:rsidRPr="009E2A0E">
              <w:rPr>
                <w:rFonts w:asciiTheme="majorBidi" w:hAnsiTheme="majorBidi" w:cstheme="majorBidi"/>
                <w:color w:val="000000" w:themeColor="text1"/>
                <w:vertAlign w:val="superscript"/>
              </w:rPr>
              <w:footnoteReference w:id="118"/>
            </w:r>
            <w:r w:rsidRPr="009E2A0E">
              <w:rPr>
                <w:rFonts w:asciiTheme="majorBidi" w:hAnsiTheme="majorBidi" w:cstheme="majorBidi"/>
                <w:color w:val="000000" w:themeColor="text1"/>
                <w:lang w:val="es-MX"/>
              </w:rPr>
              <w:t xml:space="preserve">. </w:t>
            </w:r>
          </w:p>
          <w:p w14:paraId="6AEA77F0" w14:textId="77777777" w:rsidR="003A2CAC" w:rsidRPr="009E2A0E" w:rsidRDefault="003A2CAC" w:rsidP="003A2CAC">
            <w:pPr>
              <w:jc w:val="both"/>
              <w:rPr>
                <w:rFonts w:asciiTheme="majorBidi" w:hAnsiTheme="majorBidi" w:cstheme="majorBidi"/>
                <w:color w:val="000000" w:themeColor="text1"/>
                <w:lang w:val="es-MX"/>
              </w:rPr>
            </w:pPr>
            <w:r w:rsidRPr="009E2A0E">
              <w:rPr>
                <w:rFonts w:asciiTheme="majorBidi" w:hAnsiTheme="majorBidi" w:cstheme="majorBidi"/>
                <w:color w:val="000000" w:themeColor="text1"/>
                <w:lang w:val="es-MX"/>
              </w:rPr>
              <w:t>En su fallo, la Corte de Constitucionalidad confirmó la orden de realizar el proceso de consulta previsto en Convenio 169 de la OIT, con los pueblos indígenas asentados en el área de influencia del proyecto minero. Asimismo, el Tribunal ordenó reducir el área del proyecto a 6.29 Km2 por ser el área sobre la que se realizó, en forma previa, el Estudio de Evaluación de Impacto Ambiental -requisito exigido por la ley de la materia para ese tipo de autorizaciones</w:t>
            </w:r>
            <w:r w:rsidRPr="009E2A0E">
              <w:rPr>
                <w:rFonts w:asciiTheme="majorBidi" w:hAnsiTheme="majorBidi" w:cstheme="majorBidi"/>
                <w:color w:val="000000" w:themeColor="text1"/>
                <w:vertAlign w:val="superscript"/>
              </w:rPr>
              <w:footnoteReference w:id="119"/>
            </w:r>
            <w:r w:rsidRPr="009E2A0E">
              <w:rPr>
                <w:rFonts w:asciiTheme="majorBidi" w:hAnsiTheme="majorBidi" w:cstheme="majorBidi"/>
                <w:color w:val="000000" w:themeColor="text1"/>
                <w:lang w:val="es-MX"/>
              </w:rPr>
              <w:t>.</w:t>
            </w:r>
          </w:p>
          <w:p w14:paraId="40083038" w14:textId="77777777" w:rsidR="003A2CAC" w:rsidRPr="009E2A0E" w:rsidRDefault="003A2CAC" w:rsidP="003A2CAC">
            <w:pPr>
              <w:jc w:val="both"/>
              <w:rPr>
                <w:rFonts w:asciiTheme="majorBidi" w:hAnsiTheme="majorBidi" w:cstheme="majorBidi"/>
                <w:color w:val="000000" w:themeColor="text1"/>
                <w:lang w:val="es-MX"/>
              </w:rPr>
            </w:pPr>
            <w:r w:rsidRPr="009E2A0E">
              <w:rPr>
                <w:rFonts w:asciiTheme="majorBidi" w:hAnsiTheme="majorBidi" w:cstheme="majorBidi"/>
                <w:color w:val="000000" w:themeColor="text1"/>
                <w:lang w:val="es-MX"/>
              </w:rPr>
              <w:t>Esta sentencia constituye un buen precedente en tanto que reconoce el derecho a la consulta de los pueblos indígenas. Sin embargo, preocupan las actuaciones del Estado seguidas a partir de lo ordenado por la Corte de Constitucionalidad en su decisión de 18 de junio de 2020, que en síntesis se pueden resumir así:</w:t>
            </w:r>
          </w:p>
          <w:p w14:paraId="152E9BE7" w14:textId="77777777" w:rsidR="003A2CAC" w:rsidRPr="009E2A0E" w:rsidRDefault="003A2CAC" w:rsidP="003A2CAC">
            <w:pPr>
              <w:jc w:val="both"/>
              <w:rPr>
                <w:rFonts w:asciiTheme="majorBidi" w:hAnsiTheme="majorBidi" w:cstheme="majorBidi"/>
                <w:color w:val="000000" w:themeColor="text1"/>
                <w:lang w:val="es-MX"/>
              </w:rPr>
            </w:pPr>
            <w:r w:rsidRPr="009E2A0E">
              <w:rPr>
                <w:rFonts w:asciiTheme="majorBidi" w:hAnsiTheme="majorBidi" w:cstheme="majorBidi"/>
                <w:color w:val="000000" w:themeColor="text1"/>
                <w:lang w:val="es-MX"/>
              </w:rPr>
              <w:t>El 25 de enero de 2021, el MEM dictó la resolución MEM-RESOL-66-2021, por medio de la cual suspendió la licencia de explotación minera LEXT-049-05 del derecho minero denominado Extracción Minera Fénix, cuyo titular es la CGN. Asimismo, el 6 de abril de 2021 se redujo a un área de 6.2910 km</w:t>
            </w:r>
            <w:r w:rsidRPr="009E2A0E">
              <w:rPr>
                <w:rFonts w:asciiTheme="majorBidi" w:hAnsiTheme="majorBidi" w:cstheme="majorBidi"/>
                <w:color w:val="000000" w:themeColor="text1"/>
                <w:vertAlign w:val="superscript"/>
                <w:lang w:val="es-MX"/>
              </w:rPr>
              <w:t>2</w:t>
            </w:r>
            <w:r w:rsidRPr="009E2A0E">
              <w:rPr>
                <w:rFonts w:asciiTheme="majorBidi" w:hAnsiTheme="majorBidi" w:cstheme="majorBidi"/>
                <w:color w:val="000000" w:themeColor="text1"/>
                <w:lang w:val="es-MX"/>
              </w:rPr>
              <w:t xml:space="preserve"> el área de explotación del derecho minero de CGN respecto a Extracción Minera Fénix, dando cumplimiento parcial a lo ordenado por la Corte de Constitucionalidad</w:t>
            </w:r>
            <w:r w:rsidRPr="009E2A0E">
              <w:rPr>
                <w:rFonts w:asciiTheme="majorBidi" w:hAnsiTheme="majorBidi" w:cstheme="majorBidi"/>
                <w:color w:val="000000" w:themeColor="text1"/>
                <w:vertAlign w:val="superscript"/>
              </w:rPr>
              <w:footnoteReference w:id="120"/>
            </w:r>
            <w:r w:rsidRPr="009E2A0E">
              <w:rPr>
                <w:rFonts w:asciiTheme="majorBidi" w:hAnsiTheme="majorBidi" w:cstheme="majorBidi"/>
                <w:color w:val="000000" w:themeColor="text1"/>
                <w:lang w:val="es-MX"/>
              </w:rPr>
              <w:t xml:space="preserve">. </w:t>
            </w:r>
          </w:p>
          <w:p w14:paraId="381FB24D" w14:textId="77777777" w:rsidR="003A2CAC" w:rsidRPr="009E2A0E" w:rsidRDefault="003A2CAC" w:rsidP="003A2CAC">
            <w:pPr>
              <w:jc w:val="both"/>
              <w:rPr>
                <w:rFonts w:asciiTheme="majorBidi" w:hAnsiTheme="majorBidi" w:cstheme="majorBidi"/>
                <w:color w:val="000000" w:themeColor="text1"/>
                <w:lang w:val="es-MX"/>
              </w:rPr>
            </w:pPr>
            <w:r w:rsidRPr="009E2A0E">
              <w:rPr>
                <w:rFonts w:asciiTheme="majorBidi" w:hAnsiTheme="majorBidi" w:cstheme="majorBidi"/>
                <w:color w:val="000000" w:themeColor="text1"/>
                <w:lang w:val="es-MX"/>
              </w:rPr>
              <w:t>Posteriormente, el 25 de mayo de 2021 el Ministerio de Energía y Minas aprobó la actualización del Plan de Gestión Ambiental del proyecto minero y a partir de ese momento, se inició un proceso de articulación con las instituciones representativas del pueblo indígena maya q’eqchi’ del área de influencia para que participaran en el proceso de consulta</w:t>
            </w:r>
            <w:r w:rsidRPr="009E2A0E">
              <w:rPr>
                <w:rFonts w:asciiTheme="majorBidi" w:hAnsiTheme="majorBidi" w:cstheme="majorBidi"/>
                <w:color w:val="000000" w:themeColor="text1"/>
                <w:vertAlign w:val="superscript"/>
              </w:rPr>
              <w:footnoteReference w:id="121"/>
            </w:r>
            <w:r w:rsidRPr="009E2A0E">
              <w:rPr>
                <w:rFonts w:asciiTheme="majorBidi" w:hAnsiTheme="majorBidi" w:cstheme="majorBidi"/>
                <w:color w:val="000000" w:themeColor="text1"/>
                <w:lang w:val="es-MX"/>
              </w:rPr>
              <w:t xml:space="preserve">. </w:t>
            </w:r>
          </w:p>
          <w:p w14:paraId="33081575" w14:textId="7B6B34CF" w:rsidR="003A2CAC" w:rsidRPr="009E2A0E" w:rsidRDefault="003A2CAC" w:rsidP="003A2CAC">
            <w:pPr>
              <w:jc w:val="both"/>
              <w:rPr>
                <w:rFonts w:asciiTheme="majorBidi" w:hAnsiTheme="majorBidi" w:cstheme="majorBidi"/>
                <w:color w:val="000000" w:themeColor="text1"/>
                <w:lang w:val="es-MX"/>
              </w:rPr>
            </w:pPr>
            <w:r w:rsidRPr="009E2A0E">
              <w:rPr>
                <w:rFonts w:asciiTheme="majorBidi" w:hAnsiTheme="majorBidi" w:cstheme="majorBidi"/>
                <w:color w:val="000000" w:themeColor="text1"/>
                <w:lang w:val="es-MX"/>
              </w:rPr>
              <w:t xml:space="preserve">Este proceso finalizó con la decisión de aceptar la continuidad del proyecto “Extracción Minera Fénix” que quedó plasmado en un acta firmada el 10 de diciembre de 2021 por el Ministerio de Energías y Minas, el Consejo de Comunidades </w:t>
            </w:r>
            <w:r w:rsidR="000A5771" w:rsidRPr="009E2A0E">
              <w:rPr>
                <w:rFonts w:asciiTheme="majorBidi" w:hAnsiTheme="majorBidi" w:cstheme="majorBidi"/>
                <w:color w:val="000000" w:themeColor="text1"/>
                <w:lang w:val="es-MX"/>
              </w:rPr>
              <w:t>indígenas</w:t>
            </w:r>
            <w:r w:rsidRPr="009E2A0E">
              <w:rPr>
                <w:rFonts w:asciiTheme="majorBidi" w:hAnsiTheme="majorBidi" w:cstheme="majorBidi"/>
                <w:color w:val="000000" w:themeColor="text1"/>
                <w:lang w:val="es-MX"/>
              </w:rPr>
              <w:t xml:space="preserve"> Maya Q’eqchi’ El Estor, Izabal; el Consejo de Comunidades </w:t>
            </w:r>
            <w:r w:rsidR="000A5771" w:rsidRPr="009E2A0E">
              <w:rPr>
                <w:rFonts w:asciiTheme="majorBidi" w:hAnsiTheme="majorBidi" w:cstheme="majorBidi"/>
                <w:color w:val="000000" w:themeColor="text1"/>
                <w:lang w:val="es-MX"/>
              </w:rPr>
              <w:t>Indígenas</w:t>
            </w:r>
            <w:r w:rsidRPr="009E2A0E">
              <w:rPr>
                <w:rFonts w:asciiTheme="majorBidi" w:hAnsiTheme="majorBidi" w:cstheme="majorBidi"/>
                <w:color w:val="000000" w:themeColor="text1"/>
                <w:lang w:val="es-MX"/>
              </w:rPr>
              <w:t xml:space="preserve"> Maya Q’eqchi’ Panzós, Alta Verapaz, y la empresa CGN</w:t>
            </w:r>
            <w:r w:rsidRPr="009E2A0E">
              <w:rPr>
                <w:rFonts w:asciiTheme="majorBidi" w:hAnsiTheme="majorBidi" w:cstheme="majorBidi"/>
                <w:color w:val="000000" w:themeColor="text1"/>
                <w:vertAlign w:val="superscript"/>
              </w:rPr>
              <w:footnoteReference w:id="122"/>
            </w:r>
            <w:r w:rsidRPr="009E2A0E">
              <w:rPr>
                <w:rFonts w:asciiTheme="majorBidi" w:hAnsiTheme="majorBidi" w:cstheme="majorBidi"/>
                <w:color w:val="000000" w:themeColor="text1"/>
                <w:lang w:val="es-MX"/>
              </w:rPr>
              <w:t>. El 28 de diciembre de 2021, el MEM informó a la Corte de Constitucionalidad de la finalización del proceso de consulta por medio de un informe circunstanciado</w:t>
            </w:r>
            <w:r w:rsidRPr="009E2A0E">
              <w:rPr>
                <w:rFonts w:asciiTheme="majorBidi" w:hAnsiTheme="majorBidi" w:cstheme="majorBidi"/>
                <w:color w:val="000000" w:themeColor="text1"/>
                <w:vertAlign w:val="superscript"/>
              </w:rPr>
              <w:footnoteReference w:id="123"/>
            </w:r>
            <w:r w:rsidRPr="009E2A0E">
              <w:rPr>
                <w:rFonts w:asciiTheme="majorBidi" w:hAnsiTheme="majorBidi" w:cstheme="majorBidi"/>
                <w:color w:val="000000" w:themeColor="text1"/>
                <w:lang w:val="es-MX"/>
              </w:rPr>
              <w:t xml:space="preserve">. </w:t>
            </w:r>
          </w:p>
          <w:p w14:paraId="582BE90B" w14:textId="51474B7E" w:rsidR="003A2CAC" w:rsidRPr="009E2A0E" w:rsidRDefault="003A2CAC" w:rsidP="003A2CAC">
            <w:pPr>
              <w:jc w:val="both"/>
              <w:rPr>
                <w:rFonts w:asciiTheme="majorBidi" w:hAnsiTheme="majorBidi" w:cstheme="majorBidi"/>
                <w:color w:val="000000" w:themeColor="text1"/>
                <w:lang w:val="es-MX"/>
              </w:rPr>
            </w:pPr>
            <w:r w:rsidRPr="009E2A0E">
              <w:rPr>
                <w:rFonts w:asciiTheme="majorBidi" w:hAnsiTheme="majorBidi" w:cstheme="majorBidi"/>
                <w:color w:val="000000" w:themeColor="text1"/>
                <w:lang w:val="es-MX"/>
              </w:rPr>
              <w:t>Se desea informar al CERD que, según información disponible en medios de comunicación, dicha consulta se llevó a cabo en este caso bajo un estado de sitio y no se llevó a cabo cumpliendo los estándares internacionales, en forma previa, libre e informada</w:t>
            </w:r>
            <w:r w:rsidRPr="009E2A0E">
              <w:rPr>
                <w:rFonts w:asciiTheme="majorBidi" w:hAnsiTheme="majorBidi" w:cstheme="majorBidi"/>
                <w:color w:val="000000" w:themeColor="text1"/>
                <w:vertAlign w:val="superscript"/>
                <w:lang w:val="es-MX"/>
              </w:rPr>
              <w:footnoteReference w:id="124"/>
            </w:r>
            <w:r w:rsidRPr="009E2A0E">
              <w:rPr>
                <w:rFonts w:asciiTheme="majorBidi" w:hAnsiTheme="majorBidi" w:cstheme="majorBidi"/>
                <w:color w:val="000000" w:themeColor="text1"/>
                <w:lang w:val="es-MX"/>
              </w:rPr>
              <w:t xml:space="preserve">. En ese sentido, consta en el </w:t>
            </w:r>
            <w:r w:rsidRPr="009E2A0E">
              <w:rPr>
                <w:rFonts w:asciiTheme="majorBidi" w:hAnsiTheme="majorBidi" w:cstheme="majorBidi"/>
                <w:color w:val="000000" w:themeColor="text1"/>
                <w:lang w:val="es-MX"/>
              </w:rPr>
              <w:lastRenderedPageBreak/>
              <w:t xml:space="preserve">Acuerdo Gubernativo 9-2021 de fecha 23 de octubre de 2021 emitido por el </w:t>
            </w:r>
            <w:proofErr w:type="gramStart"/>
            <w:r w:rsidRPr="009E2A0E">
              <w:rPr>
                <w:rFonts w:asciiTheme="majorBidi" w:hAnsiTheme="majorBidi" w:cstheme="majorBidi"/>
                <w:color w:val="000000" w:themeColor="text1"/>
                <w:lang w:val="es-MX"/>
              </w:rPr>
              <w:t>Presidente</w:t>
            </w:r>
            <w:proofErr w:type="gramEnd"/>
            <w:r w:rsidRPr="009E2A0E">
              <w:rPr>
                <w:rFonts w:asciiTheme="majorBidi" w:hAnsiTheme="majorBidi" w:cstheme="majorBidi"/>
                <w:color w:val="000000" w:themeColor="text1"/>
                <w:lang w:val="es-MX"/>
              </w:rPr>
              <w:t xml:space="preserve"> de la República en Consejo de </w:t>
            </w:r>
            <w:proofErr w:type="gramStart"/>
            <w:r w:rsidRPr="009E2A0E">
              <w:rPr>
                <w:rFonts w:asciiTheme="majorBidi" w:hAnsiTheme="majorBidi" w:cstheme="majorBidi"/>
                <w:color w:val="000000" w:themeColor="text1"/>
                <w:lang w:val="es-MX"/>
              </w:rPr>
              <w:t>Ministros</w:t>
            </w:r>
            <w:proofErr w:type="gramEnd"/>
            <w:r w:rsidRPr="009E2A0E">
              <w:rPr>
                <w:rFonts w:asciiTheme="majorBidi" w:hAnsiTheme="majorBidi" w:cstheme="majorBidi"/>
                <w:color w:val="000000" w:themeColor="text1"/>
                <w:lang w:val="es-MX"/>
              </w:rPr>
              <w:t xml:space="preserve">, que con esa fecha se declaró Estado de Sitio en el municipio de El Estor, Izabal, por lo que se encontraban suspendidos el derecho de reunión, </w:t>
            </w:r>
            <w:r w:rsidR="006C5737" w:rsidRPr="009E2A0E">
              <w:rPr>
                <w:rFonts w:asciiTheme="majorBidi" w:hAnsiTheme="majorBidi" w:cstheme="majorBidi"/>
                <w:color w:val="000000" w:themeColor="text1"/>
                <w:lang w:val="es-MX"/>
              </w:rPr>
              <w:t>manifestación</w:t>
            </w:r>
            <w:r w:rsidRPr="009E2A0E">
              <w:rPr>
                <w:rFonts w:asciiTheme="majorBidi" w:hAnsiTheme="majorBidi" w:cstheme="majorBidi"/>
                <w:color w:val="000000" w:themeColor="text1"/>
                <w:lang w:val="es-MX"/>
              </w:rPr>
              <w:t>, libre locomoción y en general derechos fundamentales que de ninguna manera permitían que las comunidades se reunieran de forma libre a ejercer su derecho a la consulta</w:t>
            </w:r>
            <w:r w:rsidRPr="009E2A0E">
              <w:rPr>
                <w:rFonts w:asciiTheme="majorBidi" w:hAnsiTheme="majorBidi" w:cstheme="majorBidi"/>
                <w:color w:val="000000" w:themeColor="text1"/>
                <w:vertAlign w:val="superscript"/>
                <w:lang w:val="es-MX"/>
              </w:rPr>
              <w:footnoteReference w:id="125"/>
            </w:r>
            <w:r w:rsidRPr="009E2A0E">
              <w:rPr>
                <w:rFonts w:asciiTheme="majorBidi" w:hAnsiTheme="majorBidi" w:cstheme="majorBidi"/>
                <w:color w:val="000000" w:themeColor="text1"/>
                <w:lang w:val="es-MX"/>
              </w:rPr>
              <w:t>.</w:t>
            </w:r>
          </w:p>
          <w:p w14:paraId="27982609" w14:textId="77777777" w:rsidR="003A2CAC" w:rsidRPr="009E2A0E" w:rsidRDefault="003A2CAC" w:rsidP="003A2CAC">
            <w:pPr>
              <w:jc w:val="both"/>
              <w:rPr>
                <w:rFonts w:asciiTheme="majorBidi" w:hAnsiTheme="majorBidi" w:cstheme="majorBidi"/>
                <w:color w:val="000000" w:themeColor="text1"/>
                <w:lang w:val="es-MX"/>
              </w:rPr>
            </w:pPr>
            <w:r w:rsidRPr="009E2A0E">
              <w:rPr>
                <w:rFonts w:asciiTheme="majorBidi" w:hAnsiTheme="majorBidi" w:cstheme="majorBidi"/>
                <w:color w:val="000000" w:themeColor="text1"/>
                <w:lang w:val="es-MX"/>
              </w:rPr>
              <w:t>Aunado a este contexto de limitación de derechos, la Corte Interamericana de Derechos Humanos emitió sentencia dentro del Caso Comunidad Indígena Maya Q’eqchi’ Agua Caliente Vs. Guatemala el 16 de mayo de 2023. En esta sentencia, el Tribunal Internacional se pronunció respecto del proceso de consulta en el Estor por el proyecto minero Fénix, puesto que la comunidad de Agua Caliente se encuentra dentro de la esfera de afectación de dicho proyecto</w:t>
            </w:r>
            <w:r w:rsidRPr="009E2A0E">
              <w:rPr>
                <w:rFonts w:asciiTheme="majorBidi" w:hAnsiTheme="majorBidi" w:cstheme="majorBidi"/>
                <w:color w:val="000000" w:themeColor="text1"/>
                <w:vertAlign w:val="superscript"/>
              </w:rPr>
              <w:footnoteReference w:id="126"/>
            </w:r>
            <w:r w:rsidRPr="009E2A0E">
              <w:rPr>
                <w:rFonts w:asciiTheme="majorBidi" w:hAnsiTheme="majorBidi" w:cstheme="majorBidi"/>
                <w:color w:val="000000" w:themeColor="text1"/>
                <w:lang w:val="es-MX"/>
              </w:rPr>
              <w:t xml:space="preserve">. </w:t>
            </w:r>
          </w:p>
          <w:p w14:paraId="12F7F559" w14:textId="77777777" w:rsidR="003A2CAC" w:rsidRPr="009E2A0E" w:rsidRDefault="003A2CAC" w:rsidP="003A2CAC">
            <w:pPr>
              <w:jc w:val="both"/>
              <w:rPr>
                <w:rFonts w:asciiTheme="majorBidi" w:hAnsiTheme="majorBidi" w:cstheme="majorBidi"/>
                <w:color w:val="000000" w:themeColor="text1"/>
                <w:lang w:val="es-MX"/>
              </w:rPr>
            </w:pPr>
            <w:r w:rsidRPr="009E2A0E">
              <w:rPr>
                <w:rFonts w:asciiTheme="majorBidi" w:hAnsiTheme="majorBidi" w:cstheme="majorBidi"/>
                <w:color w:val="000000" w:themeColor="text1"/>
                <w:lang w:val="es-MX"/>
              </w:rPr>
              <w:t>En esta decisión se determinó que el proceso de consulta no había sido adecuado, declarándose la violación del derecho a la consulta libre, previa e informada</w:t>
            </w:r>
            <w:r w:rsidRPr="009E2A0E">
              <w:rPr>
                <w:rFonts w:asciiTheme="majorBidi" w:hAnsiTheme="majorBidi" w:cstheme="majorBidi"/>
                <w:color w:val="000000" w:themeColor="text1"/>
                <w:vertAlign w:val="superscript"/>
              </w:rPr>
              <w:footnoteReference w:id="127"/>
            </w:r>
            <w:r w:rsidRPr="009E2A0E">
              <w:rPr>
                <w:rFonts w:asciiTheme="majorBidi" w:hAnsiTheme="majorBidi" w:cstheme="majorBidi"/>
                <w:color w:val="000000" w:themeColor="text1"/>
                <w:lang w:val="es-MX"/>
              </w:rPr>
              <w:t>. En consecuencia, se ordenó al Estado adoptar las medidas legislativas y/o de otro carácter que fueren necesarias para hacer efectivo el derecho a la consulta de los pueblos y comunidades indígenas y tribales</w:t>
            </w:r>
            <w:r w:rsidRPr="009E2A0E">
              <w:rPr>
                <w:rFonts w:asciiTheme="majorBidi" w:hAnsiTheme="majorBidi" w:cstheme="majorBidi"/>
                <w:color w:val="000000" w:themeColor="text1"/>
                <w:vertAlign w:val="superscript"/>
              </w:rPr>
              <w:footnoteReference w:id="128"/>
            </w:r>
            <w:r w:rsidRPr="009E2A0E">
              <w:rPr>
                <w:rFonts w:asciiTheme="majorBidi" w:hAnsiTheme="majorBidi" w:cstheme="majorBidi"/>
                <w:color w:val="000000" w:themeColor="text1"/>
                <w:lang w:val="es-MX"/>
              </w:rPr>
              <w:t>.</w:t>
            </w:r>
          </w:p>
          <w:p w14:paraId="590BAF5B" w14:textId="77777777" w:rsidR="003A2CAC" w:rsidRPr="009E2A0E" w:rsidRDefault="003A2CAC" w:rsidP="003A2CAC">
            <w:pPr>
              <w:jc w:val="both"/>
              <w:rPr>
                <w:rFonts w:asciiTheme="majorBidi" w:hAnsiTheme="majorBidi" w:cstheme="majorBidi"/>
                <w:b/>
                <w:bCs/>
                <w:color w:val="000000" w:themeColor="text1"/>
              </w:rPr>
            </w:pPr>
          </w:p>
        </w:tc>
      </w:tr>
    </w:tbl>
    <w:p w14:paraId="37CEEC1D" w14:textId="77777777" w:rsidR="003A2CAC" w:rsidRPr="009E2A0E" w:rsidRDefault="003A2CAC" w:rsidP="003A2CAC">
      <w:pPr>
        <w:jc w:val="both"/>
        <w:rPr>
          <w:rFonts w:asciiTheme="majorBidi" w:hAnsiTheme="majorBidi" w:cstheme="majorBidi"/>
          <w:b/>
          <w:bCs/>
          <w:color w:val="000000" w:themeColor="text1"/>
          <w:lang w:val="es-MX"/>
        </w:rPr>
      </w:pPr>
    </w:p>
    <w:p w14:paraId="06D33690" w14:textId="0267A0CB" w:rsidR="003A2CAC" w:rsidRPr="00872EEF" w:rsidRDefault="003A2CAC" w:rsidP="00872EEF">
      <w:pPr>
        <w:pStyle w:val="Prrafodelista"/>
        <w:numPr>
          <w:ilvl w:val="1"/>
          <w:numId w:val="26"/>
        </w:numPr>
        <w:rPr>
          <w:rFonts w:asciiTheme="majorBidi" w:hAnsiTheme="majorBidi" w:cstheme="majorBidi"/>
          <w:b/>
          <w:bCs/>
          <w:color w:val="000000" w:themeColor="text1"/>
          <w:lang w:val="es-MX"/>
        </w:rPr>
      </w:pPr>
      <w:r w:rsidRPr="00872EEF">
        <w:rPr>
          <w:rFonts w:asciiTheme="majorBidi" w:hAnsiTheme="majorBidi" w:cstheme="majorBidi"/>
          <w:b/>
          <w:bCs/>
          <w:color w:val="000000" w:themeColor="text1"/>
          <w:lang w:val="es-MX"/>
        </w:rPr>
        <w:t>SENTENCIA EN CASO LA PUYA (PROGRESO VII DERIVADA)</w:t>
      </w:r>
    </w:p>
    <w:tbl>
      <w:tblPr>
        <w:tblStyle w:val="Tablaconcuadrcula"/>
        <w:tblW w:w="0" w:type="auto"/>
        <w:tblLook w:val="04A0" w:firstRow="1" w:lastRow="0" w:firstColumn="1" w:lastColumn="0" w:noHBand="0" w:noVBand="1"/>
      </w:tblPr>
      <w:tblGrid>
        <w:gridCol w:w="8828"/>
      </w:tblGrid>
      <w:tr w:rsidR="003A2CAC" w:rsidRPr="009E2A0E" w14:paraId="4A4D8572" w14:textId="77777777" w:rsidTr="003A2CAC">
        <w:tc>
          <w:tcPr>
            <w:tcW w:w="8828" w:type="dxa"/>
          </w:tcPr>
          <w:p w14:paraId="3CF753A7" w14:textId="77777777" w:rsidR="003A2CAC" w:rsidRPr="009E2A0E" w:rsidRDefault="003A2CAC" w:rsidP="003A2CAC">
            <w:pPr>
              <w:jc w:val="both"/>
              <w:rPr>
                <w:rFonts w:asciiTheme="majorBidi" w:hAnsiTheme="majorBidi" w:cstheme="majorBidi"/>
                <w:color w:val="000000" w:themeColor="text1"/>
                <w:lang w:val="es-MX"/>
              </w:rPr>
            </w:pPr>
            <w:r w:rsidRPr="009E2A0E">
              <w:rPr>
                <w:rFonts w:asciiTheme="majorBidi" w:hAnsiTheme="majorBidi" w:cstheme="majorBidi"/>
                <w:color w:val="000000" w:themeColor="text1"/>
                <w:lang w:val="es-MX"/>
              </w:rPr>
              <w:t>En la sentencia del 11 de junio de 2020, la Corte de Constitucionalidad confirmó la suspensión del proyecto minero Progreso VII Derivada en San José del Golfo y San Pedro Ayampuc, ordenando al Estado garantizar el derecho a la consulta a las comunidades afectadas conforme al Convenio 169 de la OIT. Se estableció un plazo de 12 meses para que el Ministerio de Energía y Minas (MEM) realizara dicha consulta, incluyendo la determinación de datos demográficos y un proceso de preconsulta para definir mecanismos de trabajo y calendarización. Sin embargo, este proceso no se completó por falta de voluntad política, lo que llevó a la Corte Suprema de Justicia (CSJ) a iniciar un procedimiento de ejecución de oficio en mayo de 2023. De esa cuenta, el 31 de julio de 2024, la Cámara de Amparo y Antejuicios de la CSJ emitió una resolución de ejecución de amparo, en la cual dispuso lo siguiente</w:t>
            </w:r>
            <w:r w:rsidRPr="009E2A0E">
              <w:rPr>
                <w:rStyle w:val="Refdenotaalpie"/>
                <w:rFonts w:asciiTheme="majorBidi" w:hAnsiTheme="majorBidi" w:cstheme="majorBidi"/>
                <w:color w:val="000000" w:themeColor="text1"/>
                <w:sz w:val="22"/>
                <w:lang w:val="es-MX"/>
              </w:rPr>
              <w:footnoteReference w:id="129"/>
            </w:r>
            <w:r w:rsidRPr="009E2A0E">
              <w:rPr>
                <w:rFonts w:asciiTheme="majorBidi" w:hAnsiTheme="majorBidi" w:cstheme="majorBidi"/>
                <w:color w:val="000000" w:themeColor="text1"/>
                <w:lang w:val="es-MX"/>
              </w:rPr>
              <w:t>:</w:t>
            </w:r>
          </w:p>
          <w:p w14:paraId="77510CD3" w14:textId="77777777" w:rsidR="003A2CAC" w:rsidRPr="009E2A0E" w:rsidRDefault="003A2CAC" w:rsidP="00197C3D">
            <w:pPr>
              <w:pStyle w:val="Prrafodelista"/>
              <w:numPr>
                <w:ilvl w:val="0"/>
                <w:numId w:val="3"/>
              </w:numPr>
              <w:jc w:val="both"/>
              <w:rPr>
                <w:rFonts w:asciiTheme="majorBidi" w:hAnsiTheme="majorBidi" w:cstheme="majorBidi"/>
                <w:color w:val="000000" w:themeColor="text1"/>
                <w:lang w:val="es-MX"/>
              </w:rPr>
            </w:pPr>
            <w:r w:rsidRPr="009E2A0E">
              <w:rPr>
                <w:rFonts w:asciiTheme="majorBidi" w:hAnsiTheme="majorBidi" w:cstheme="majorBidi"/>
                <w:color w:val="000000" w:themeColor="text1"/>
                <w:lang w:val="es-MX"/>
              </w:rPr>
              <w:t xml:space="preserve">Ordena al Ministerio de Energía y Minas que se presente, en un plazo de 3 meses, un proyecto de agenda de trabajo, incluyendo un cronograma de actividades con calendarización, así como el detalle de las metas para completar todas las etapas del proceso de consulta. </w:t>
            </w:r>
          </w:p>
          <w:p w14:paraId="7B65EEB7" w14:textId="77777777" w:rsidR="003A2CAC" w:rsidRPr="009E2A0E" w:rsidRDefault="003A2CAC" w:rsidP="003A2CAC">
            <w:pPr>
              <w:pStyle w:val="Prrafodelista"/>
              <w:jc w:val="both"/>
              <w:rPr>
                <w:rFonts w:asciiTheme="majorBidi" w:hAnsiTheme="majorBidi" w:cstheme="majorBidi"/>
                <w:color w:val="000000" w:themeColor="text1"/>
                <w:lang w:val="es-MX"/>
              </w:rPr>
            </w:pPr>
          </w:p>
          <w:p w14:paraId="1083CA42" w14:textId="77777777" w:rsidR="003A2CAC" w:rsidRPr="009E2A0E" w:rsidRDefault="003A2CAC" w:rsidP="00197C3D">
            <w:pPr>
              <w:pStyle w:val="Prrafodelista"/>
              <w:numPr>
                <w:ilvl w:val="0"/>
                <w:numId w:val="3"/>
              </w:numPr>
              <w:jc w:val="both"/>
              <w:rPr>
                <w:rFonts w:asciiTheme="majorBidi" w:hAnsiTheme="majorBidi" w:cstheme="majorBidi"/>
                <w:color w:val="000000" w:themeColor="text1"/>
                <w:lang w:val="es-MX"/>
              </w:rPr>
            </w:pPr>
            <w:r w:rsidRPr="009E2A0E">
              <w:rPr>
                <w:rFonts w:asciiTheme="majorBidi" w:hAnsiTheme="majorBidi" w:cstheme="majorBidi"/>
                <w:color w:val="000000" w:themeColor="text1"/>
                <w:lang w:val="es-MX"/>
              </w:rPr>
              <w:t>O</w:t>
            </w:r>
            <w:r w:rsidRPr="009E2A0E">
              <w:rPr>
                <w:rFonts w:asciiTheme="majorBidi" w:hAnsiTheme="majorBidi" w:cstheme="majorBidi"/>
                <w:color w:val="000000" w:themeColor="text1"/>
              </w:rPr>
              <w:t xml:space="preserve">rdena la elaboración de un nuevo estudio demográfico en regiones ya reconocidas y acreditadas dentro del proceso de consulta. </w:t>
            </w:r>
          </w:p>
          <w:p w14:paraId="2AF30F7C" w14:textId="77777777" w:rsidR="003A2CAC" w:rsidRPr="009E2A0E" w:rsidRDefault="003A2CAC" w:rsidP="003A2CAC">
            <w:pPr>
              <w:jc w:val="both"/>
              <w:rPr>
                <w:rStyle w:val="Textoennegrita"/>
                <w:rFonts w:asciiTheme="majorBidi" w:eastAsiaTheme="majorEastAsia" w:hAnsiTheme="majorBidi" w:cstheme="majorBidi"/>
                <w:b w:val="0"/>
                <w:bCs w:val="0"/>
                <w:color w:val="000000" w:themeColor="text1"/>
              </w:rPr>
            </w:pPr>
            <w:r w:rsidRPr="009E2A0E">
              <w:rPr>
                <w:rStyle w:val="Textoennegrita"/>
                <w:rFonts w:asciiTheme="majorBidi" w:eastAsiaTheme="majorEastAsia" w:hAnsiTheme="majorBidi" w:cstheme="majorBidi"/>
                <w:b w:val="0"/>
                <w:bCs w:val="0"/>
                <w:color w:val="000000" w:themeColor="text1"/>
              </w:rPr>
              <w:t>Esta decisión contraria al fallo de la Corte de Constitucionalidad, que ya había reconocido previamente las regiones y actores representativos. Esta imposición unilateral vulnera el derecho a la participación efectiva y al principio de buena fe, pues se pone en duda la existencia misma de pueblos indígenas en la zona, en abierta contradicción con las obligaciones internacionales del Estado.</w:t>
            </w:r>
          </w:p>
          <w:p w14:paraId="49A5C2CA" w14:textId="77777777" w:rsidR="003A2CAC" w:rsidRPr="009E2A0E" w:rsidRDefault="003A2CAC" w:rsidP="003A2CAC">
            <w:pPr>
              <w:jc w:val="both"/>
              <w:rPr>
                <w:rStyle w:val="Textoennegrita"/>
                <w:rFonts w:asciiTheme="majorBidi" w:eastAsiaTheme="majorEastAsia" w:hAnsiTheme="majorBidi" w:cstheme="majorBidi"/>
                <w:b w:val="0"/>
                <w:bCs w:val="0"/>
                <w:color w:val="000000" w:themeColor="text1"/>
              </w:rPr>
            </w:pPr>
            <w:r w:rsidRPr="009E2A0E">
              <w:rPr>
                <w:rStyle w:val="Textoennegrita"/>
                <w:rFonts w:asciiTheme="majorBidi" w:eastAsiaTheme="majorEastAsia" w:hAnsiTheme="majorBidi" w:cstheme="majorBidi"/>
                <w:b w:val="0"/>
                <w:bCs w:val="0"/>
                <w:color w:val="000000" w:themeColor="text1"/>
              </w:rPr>
              <w:lastRenderedPageBreak/>
              <w:t>La sentencia de la Corte de Constitucionalidad de junio de 2020 ya había establecido la necesidad de realizar un diagnóstico demográfico con el fin de identificar a la población indígena potencialmente afectada y así garantizar su participación como titulares del derecho a la consulta. Sin embargo, la decisión de la Corte Suprema de Justicia de ordenar un nuevo estudio demográfico, una vez que el proceso de preconsulta ya había acreditado regiones y actores representativos, parece obedecer a un patrón desde el Poder Judicial que busca deslegitimar la presencia de pueblos indígenas y campesinos previamente reconocida en la sentencia de la Corte de Constitucionalidad. Este tipo de acciones socava los principios de progresividad, reconocimiento y no regresividad en la garantía de los derechos colectivos, y fomenta un clima de desconfianza y exclusión hacia las comunidades.</w:t>
            </w:r>
          </w:p>
          <w:p w14:paraId="772EA8CE" w14:textId="77777777" w:rsidR="003A2CAC" w:rsidRPr="009E2A0E" w:rsidRDefault="003A2CAC" w:rsidP="003A2CAC">
            <w:pPr>
              <w:jc w:val="both"/>
              <w:rPr>
                <w:rStyle w:val="Textoennegrita"/>
                <w:rFonts w:asciiTheme="majorBidi" w:eastAsiaTheme="majorEastAsia" w:hAnsiTheme="majorBidi" w:cstheme="majorBidi"/>
                <w:b w:val="0"/>
                <w:bCs w:val="0"/>
                <w:color w:val="000000" w:themeColor="text1"/>
              </w:rPr>
            </w:pPr>
            <w:r w:rsidRPr="009E2A0E">
              <w:rPr>
                <w:rStyle w:val="Textoennegrita"/>
                <w:rFonts w:asciiTheme="majorBidi" w:eastAsiaTheme="majorEastAsia" w:hAnsiTheme="majorBidi" w:cstheme="majorBidi"/>
                <w:b w:val="0"/>
                <w:bCs w:val="0"/>
                <w:color w:val="000000" w:themeColor="text1"/>
              </w:rPr>
              <w:t xml:space="preserve">Por último, se desea informar al Comité sobre la reciente detención de Luis Pacheco, </w:t>
            </w:r>
            <w:proofErr w:type="gramStart"/>
            <w:r w:rsidRPr="009E2A0E">
              <w:rPr>
                <w:rStyle w:val="Textoennegrita"/>
                <w:rFonts w:asciiTheme="majorBidi" w:eastAsiaTheme="majorEastAsia" w:hAnsiTheme="majorBidi" w:cstheme="majorBidi"/>
                <w:b w:val="0"/>
                <w:bCs w:val="0"/>
                <w:color w:val="000000" w:themeColor="text1"/>
              </w:rPr>
              <w:t>Viceministro</w:t>
            </w:r>
            <w:proofErr w:type="gramEnd"/>
            <w:r w:rsidRPr="009E2A0E">
              <w:rPr>
                <w:rStyle w:val="Textoennegrita"/>
                <w:rFonts w:asciiTheme="majorBidi" w:eastAsiaTheme="majorEastAsia" w:hAnsiTheme="majorBidi" w:cstheme="majorBidi"/>
                <w:b w:val="0"/>
                <w:bCs w:val="0"/>
                <w:color w:val="000000" w:themeColor="text1"/>
              </w:rPr>
              <w:t xml:space="preserve"> de Desarrollo Sostenible del Ministerio de Energía y Minas y exlíder de los 48 Cantones de Totonicapán. Pacheco fue arrestado el 23 de abril de 2025 por el Ministerio Público de Guatemala, bajo acusaciones de terrorismo, asociación ilícita y otros delitos vinculados a su participación en las manifestaciones indígenas de octubre de 2023. Dichas protestas, que incluyeron bloqueos de carreteras a nivel nacional, se llevaron a cabo en defensa de la transición democrática del presidente Bernardo Arévalo y exigían la renuncia de la </w:t>
            </w:r>
            <w:proofErr w:type="gramStart"/>
            <w:r w:rsidRPr="009E2A0E">
              <w:rPr>
                <w:rStyle w:val="Textoennegrita"/>
                <w:rFonts w:asciiTheme="majorBidi" w:eastAsiaTheme="majorEastAsia" w:hAnsiTheme="majorBidi" w:cstheme="majorBidi"/>
                <w:b w:val="0"/>
                <w:bCs w:val="0"/>
                <w:color w:val="000000" w:themeColor="text1"/>
              </w:rPr>
              <w:t>Fiscal General</w:t>
            </w:r>
            <w:proofErr w:type="gramEnd"/>
            <w:r w:rsidRPr="009E2A0E">
              <w:rPr>
                <w:rStyle w:val="Textoennegrita"/>
                <w:rFonts w:asciiTheme="majorBidi" w:eastAsiaTheme="majorEastAsia" w:hAnsiTheme="majorBidi" w:cstheme="majorBidi"/>
                <w:b w:val="0"/>
                <w:bCs w:val="0"/>
                <w:color w:val="000000" w:themeColor="text1"/>
              </w:rPr>
              <w:t>, Consuelo Porras.</w:t>
            </w:r>
          </w:p>
          <w:p w14:paraId="540ED67A" w14:textId="77777777" w:rsidR="003A2CAC" w:rsidRPr="009E2A0E" w:rsidRDefault="003A2CAC" w:rsidP="003A2CAC">
            <w:pPr>
              <w:jc w:val="both"/>
              <w:rPr>
                <w:rStyle w:val="Textoennegrita"/>
                <w:rFonts w:asciiTheme="majorBidi" w:eastAsiaTheme="majorEastAsia" w:hAnsiTheme="majorBidi" w:cstheme="majorBidi"/>
                <w:b w:val="0"/>
                <w:bCs w:val="0"/>
                <w:color w:val="000000" w:themeColor="text1"/>
              </w:rPr>
            </w:pPr>
            <w:r w:rsidRPr="009E2A0E">
              <w:rPr>
                <w:rStyle w:val="Textoennegrita"/>
                <w:rFonts w:asciiTheme="majorBidi" w:eastAsiaTheme="majorEastAsia" w:hAnsiTheme="majorBidi" w:cstheme="majorBidi"/>
                <w:b w:val="0"/>
                <w:bCs w:val="0"/>
                <w:color w:val="000000" w:themeColor="text1"/>
              </w:rPr>
              <w:t xml:space="preserve">Cabe destacar que Luis Pacheco, en su calidad de </w:t>
            </w:r>
            <w:proofErr w:type="gramStart"/>
            <w:r w:rsidRPr="009E2A0E">
              <w:rPr>
                <w:rStyle w:val="Textoennegrita"/>
                <w:rFonts w:asciiTheme="majorBidi" w:eastAsiaTheme="majorEastAsia" w:hAnsiTheme="majorBidi" w:cstheme="majorBidi"/>
                <w:b w:val="0"/>
                <w:bCs w:val="0"/>
                <w:color w:val="000000" w:themeColor="text1"/>
              </w:rPr>
              <w:t>Viceministro</w:t>
            </w:r>
            <w:proofErr w:type="gramEnd"/>
            <w:r w:rsidRPr="009E2A0E">
              <w:rPr>
                <w:rStyle w:val="Textoennegrita"/>
                <w:rFonts w:asciiTheme="majorBidi" w:eastAsiaTheme="majorEastAsia" w:hAnsiTheme="majorBidi" w:cstheme="majorBidi"/>
                <w:b w:val="0"/>
                <w:bCs w:val="0"/>
                <w:color w:val="000000" w:themeColor="text1"/>
              </w:rPr>
              <w:t>, era responsable del seguimiento a los procesos de consulta con pueblos indígenas y campesinos, incluyendo casos emblemáticos como La Puya. Su arresto no solo representa un acto de criminalización contra el liderazgo indígena, sino que también genera un profundo impacto en los procesos de consulta previa, libre e informada, los cuales han enfrentado constantes obstáculos y retrocesos en su implementación. La detención de un funcionario encargado de velar por el cumplimiento de estos derechos colectivos agrava la situación de discriminación estructural que enfrentan las comunidades indígenas en Guatemala, y evidencia un uso del derecho penal para debilitar su capacidad de participación en la toma de decisiones sobre proyectos extractivos en sus territorios.</w:t>
            </w:r>
          </w:p>
          <w:p w14:paraId="5C628322" w14:textId="77777777" w:rsidR="003A2CAC" w:rsidRPr="009E2A0E" w:rsidRDefault="003A2CAC" w:rsidP="003A2CAC">
            <w:pPr>
              <w:jc w:val="both"/>
              <w:rPr>
                <w:rFonts w:asciiTheme="majorBidi" w:hAnsiTheme="majorBidi" w:cstheme="majorBidi"/>
                <w:b/>
                <w:bCs/>
                <w:color w:val="000000" w:themeColor="text1"/>
              </w:rPr>
            </w:pPr>
          </w:p>
        </w:tc>
      </w:tr>
    </w:tbl>
    <w:p w14:paraId="478E4B3D" w14:textId="77777777" w:rsidR="003A2CAC" w:rsidRPr="009E2A0E" w:rsidRDefault="003A2CAC" w:rsidP="003A2CAC">
      <w:pPr>
        <w:jc w:val="both"/>
        <w:rPr>
          <w:rFonts w:asciiTheme="majorBidi" w:hAnsiTheme="majorBidi" w:cstheme="majorBidi"/>
          <w:b/>
          <w:bCs/>
          <w:color w:val="000000" w:themeColor="text1"/>
          <w:lang w:val="es-MX"/>
        </w:rPr>
      </w:pPr>
    </w:p>
    <w:p w14:paraId="795B4F61" w14:textId="29059F5C" w:rsidR="003A2CAC" w:rsidRPr="00872EEF" w:rsidRDefault="003A2CAC" w:rsidP="00872EEF">
      <w:pPr>
        <w:pStyle w:val="Prrafodelista"/>
        <w:numPr>
          <w:ilvl w:val="1"/>
          <w:numId w:val="26"/>
        </w:numPr>
        <w:rPr>
          <w:rFonts w:asciiTheme="majorBidi" w:hAnsiTheme="majorBidi" w:cstheme="majorBidi"/>
          <w:b/>
          <w:bCs/>
          <w:color w:val="000000" w:themeColor="text1"/>
          <w:lang w:val="es-MX"/>
        </w:rPr>
      </w:pPr>
      <w:r w:rsidRPr="00872EEF">
        <w:rPr>
          <w:rFonts w:asciiTheme="majorBidi" w:hAnsiTheme="majorBidi" w:cstheme="majorBidi"/>
          <w:b/>
          <w:bCs/>
          <w:color w:val="000000" w:themeColor="text1"/>
          <w:lang w:val="es-MX"/>
        </w:rPr>
        <w:t>CASO ARENERAS DE CHINAUTLA</w:t>
      </w:r>
    </w:p>
    <w:tbl>
      <w:tblPr>
        <w:tblStyle w:val="Tablaconcuadrcula"/>
        <w:tblW w:w="0" w:type="auto"/>
        <w:tblLook w:val="04A0" w:firstRow="1" w:lastRow="0" w:firstColumn="1" w:lastColumn="0" w:noHBand="0" w:noVBand="1"/>
      </w:tblPr>
      <w:tblGrid>
        <w:gridCol w:w="8828"/>
      </w:tblGrid>
      <w:tr w:rsidR="003A2CAC" w:rsidRPr="009E2A0E" w14:paraId="02F1D86F" w14:textId="77777777" w:rsidTr="003A2CAC">
        <w:tc>
          <w:tcPr>
            <w:tcW w:w="8828" w:type="dxa"/>
          </w:tcPr>
          <w:p w14:paraId="616DC125" w14:textId="77777777" w:rsidR="003A2CAC" w:rsidRPr="009E2A0E" w:rsidRDefault="003A2CAC" w:rsidP="003A2CAC">
            <w:pPr>
              <w:jc w:val="both"/>
              <w:rPr>
                <w:rFonts w:asciiTheme="majorBidi" w:eastAsiaTheme="majorEastAsia" w:hAnsiTheme="majorBidi" w:cstheme="majorBidi"/>
                <w:color w:val="000000" w:themeColor="text1"/>
              </w:rPr>
            </w:pPr>
            <w:r w:rsidRPr="009E2A0E">
              <w:rPr>
                <w:rFonts w:asciiTheme="majorBidi" w:eastAsiaTheme="majorEastAsia" w:hAnsiTheme="majorBidi" w:cstheme="majorBidi"/>
                <w:color w:val="000000" w:themeColor="text1"/>
              </w:rPr>
              <w:t xml:space="preserve">Desde mediados de la década de 1990, empresas como Arenera La Primavera y Piedrinera San Luis han operado en Santa Cruz Chinautla, extrayendo arena y piedrín de los ríos locales. Estas actividades se iniciaron sin haber realizado una consulta previa, libre e informada con las comunidades indígenas maya Poqomam, como lo establece el Convenio 169 de la OIT.  </w:t>
            </w:r>
          </w:p>
          <w:p w14:paraId="4A979935" w14:textId="77777777" w:rsidR="003A2CAC" w:rsidRPr="009E2A0E" w:rsidRDefault="003A2CAC" w:rsidP="003A2CAC">
            <w:pPr>
              <w:jc w:val="both"/>
              <w:rPr>
                <w:rFonts w:asciiTheme="majorBidi" w:eastAsiaTheme="majorEastAsia" w:hAnsiTheme="majorBidi" w:cstheme="majorBidi"/>
                <w:color w:val="000000" w:themeColor="text1"/>
              </w:rPr>
            </w:pPr>
            <w:r w:rsidRPr="009E2A0E">
              <w:rPr>
                <w:rFonts w:asciiTheme="majorBidi" w:eastAsiaTheme="majorEastAsia" w:hAnsiTheme="majorBidi" w:cstheme="majorBidi"/>
                <w:color w:val="000000" w:themeColor="text1"/>
              </w:rPr>
              <w:t>Aunque varias de las licencias de explotación vencieron entre 2021 y 2022, las empresas continúan operando, bajo el argumento de que han presentado solicitudes de prórroga</w:t>
            </w:r>
            <w:r w:rsidRPr="009E2A0E">
              <w:rPr>
                <w:rStyle w:val="Refdenotaalpie"/>
                <w:rFonts w:asciiTheme="majorBidi" w:eastAsiaTheme="majorEastAsia" w:hAnsiTheme="majorBidi" w:cstheme="majorBidi"/>
                <w:color w:val="000000" w:themeColor="text1"/>
                <w:sz w:val="22"/>
              </w:rPr>
              <w:footnoteReference w:id="130"/>
            </w:r>
            <w:r w:rsidRPr="009E2A0E">
              <w:rPr>
                <w:rFonts w:asciiTheme="majorBidi" w:eastAsiaTheme="majorEastAsia" w:hAnsiTheme="majorBidi" w:cstheme="majorBidi"/>
                <w:color w:val="000000" w:themeColor="text1"/>
              </w:rPr>
              <w:t xml:space="preserve">. </w:t>
            </w:r>
          </w:p>
          <w:p w14:paraId="34DD6E41" w14:textId="77777777" w:rsidR="003A2CAC" w:rsidRPr="009E2A0E" w:rsidRDefault="003A2CAC" w:rsidP="003A2CAC">
            <w:pPr>
              <w:jc w:val="both"/>
              <w:rPr>
                <w:rFonts w:asciiTheme="majorBidi" w:eastAsiaTheme="majorEastAsia" w:hAnsiTheme="majorBidi" w:cstheme="majorBidi"/>
                <w:color w:val="000000" w:themeColor="text1"/>
              </w:rPr>
            </w:pPr>
            <w:r w:rsidRPr="009E2A0E">
              <w:rPr>
                <w:rFonts w:asciiTheme="majorBidi" w:eastAsiaTheme="majorEastAsia" w:hAnsiTheme="majorBidi" w:cstheme="majorBidi"/>
                <w:color w:val="000000" w:themeColor="text1"/>
              </w:rPr>
              <w:t>Esta situación ha generado profunda preocupación entre las autoridades indígenas, pues revela una permisividad institucional hacia las empresas extractivas, que contrastan con las barreras que enfrentan las comunidades para hacer valer sus derechos. Mientras a las empresas se les permite seguir explotando recursos sin autorización vigente, las comunidades deben acudir a largos procesos judiciales para lograr la activación de mecanismos de protección, como la consulta. Incluso, nuevas solicitudes de licencias siguen siendo procesadas por el Estado, lo que evidencia una intensificación de la presión sobre los territorios indígenas.</w:t>
            </w:r>
          </w:p>
          <w:p w14:paraId="2DDB91F3" w14:textId="77777777" w:rsidR="003A2CAC" w:rsidRPr="009E2A0E" w:rsidRDefault="003A2CAC" w:rsidP="003A2CAC">
            <w:pPr>
              <w:jc w:val="both"/>
              <w:rPr>
                <w:rFonts w:asciiTheme="majorBidi" w:eastAsiaTheme="majorEastAsia" w:hAnsiTheme="majorBidi" w:cstheme="majorBidi"/>
                <w:color w:val="000000" w:themeColor="text1"/>
              </w:rPr>
            </w:pPr>
            <w:r w:rsidRPr="009E2A0E">
              <w:rPr>
                <w:rFonts w:asciiTheme="majorBidi" w:eastAsiaTheme="majorEastAsia" w:hAnsiTheme="majorBidi" w:cstheme="majorBidi"/>
                <w:color w:val="000000" w:themeColor="text1"/>
              </w:rPr>
              <w:t xml:space="preserve">En respuesta, las comunidades han impulsado una resistencia pacífica liderada por sus autoridades ancestrales, exigiendo el cese de las operaciones extractivas ilegales y el respeto a sus derechos colectivos. No obstante, esta resistencia ha sido respondida con actos de intimidación, amenazas y criminalización. Defensores de derechos humanos han sido objeto de denuncias infundadas, campañas de desprestigio y vigilancia, mientras que se han registrado agresiones directas, </w:t>
            </w:r>
            <w:r w:rsidRPr="009E2A0E">
              <w:rPr>
                <w:rFonts w:asciiTheme="majorBidi" w:eastAsiaTheme="majorEastAsia" w:hAnsiTheme="majorBidi" w:cstheme="majorBidi"/>
                <w:color w:val="000000" w:themeColor="text1"/>
              </w:rPr>
              <w:lastRenderedPageBreak/>
              <w:t>incluyendo ataques armados contra familiares de líderes comunitarios. A manera de ejemplo, en febrero de 2024, el hijo de un defensor de derechos humanos fue asesinado y otro resultó herido en un ataque armado, presuntamente relacionado con su labor en defensa del territorio</w:t>
            </w:r>
            <w:r w:rsidRPr="009E2A0E">
              <w:rPr>
                <w:rStyle w:val="Refdenotaalpie"/>
                <w:rFonts w:asciiTheme="majorBidi" w:eastAsiaTheme="majorEastAsia" w:hAnsiTheme="majorBidi" w:cstheme="majorBidi"/>
                <w:color w:val="000000" w:themeColor="text1"/>
                <w:sz w:val="22"/>
              </w:rPr>
              <w:footnoteReference w:id="131"/>
            </w:r>
            <w:r w:rsidRPr="009E2A0E">
              <w:rPr>
                <w:rFonts w:asciiTheme="majorBidi" w:eastAsiaTheme="majorEastAsia" w:hAnsiTheme="majorBidi" w:cstheme="majorBidi"/>
                <w:color w:val="000000" w:themeColor="text1"/>
              </w:rPr>
              <w:t>. Esta situación refleja no solo una limitación al derecho de asociación y protesta pacífica, sino también un patrón de represión hacia quienes defienden el territorio frente a intereses empresariales.</w:t>
            </w:r>
          </w:p>
          <w:p w14:paraId="5B7AE50D" w14:textId="77777777" w:rsidR="003A2CAC" w:rsidRPr="009E2A0E" w:rsidRDefault="003A2CAC" w:rsidP="003A2CAC">
            <w:pPr>
              <w:jc w:val="both"/>
              <w:rPr>
                <w:rFonts w:asciiTheme="majorBidi" w:eastAsiaTheme="majorEastAsia" w:hAnsiTheme="majorBidi" w:cstheme="majorBidi"/>
                <w:color w:val="000000" w:themeColor="text1"/>
              </w:rPr>
            </w:pPr>
            <w:r w:rsidRPr="009E2A0E">
              <w:rPr>
                <w:rFonts w:asciiTheme="majorBidi" w:eastAsiaTheme="majorEastAsia" w:hAnsiTheme="majorBidi" w:cstheme="majorBidi"/>
                <w:color w:val="000000" w:themeColor="text1"/>
              </w:rPr>
              <w:t>Los impactos diferenciados sobre las mujeres son particularmente graves. Muchas de ellas desarrollan actividades de alfarería tradicional, que dependen del barro extraído localmente, y han visto mermados sus ingresos debido al deterioro de esta materia prima. Al mismo tiempo, asumen un rol activo en la defensa del territorio, lo que las expone a mayores riesgos de violencia y estigmatización. La niñez, por su parte, enfrenta condiciones de inseguridad agravadas por los deslizamientos de tierra provocados por la extracción intensiva, así como afectaciones a su salud por la contaminación ambiental. Todo esto configura un escenario de vulnerabilidad estructural que exige respuestas integrales, urgentes y con enfoque de derechos humanos.</w:t>
            </w:r>
          </w:p>
          <w:p w14:paraId="14B21265" w14:textId="77777777" w:rsidR="003A2CAC" w:rsidRPr="009E2A0E" w:rsidRDefault="003A2CAC" w:rsidP="003A2CAC">
            <w:pPr>
              <w:jc w:val="both"/>
              <w:rPr>
                <w:rFonts w:asciiTheme="majorBidi" w:eastAsiaTheme="majorEastAsia" w:hAnsiTheme="majorBidi" w:cstheme="majorBidi"/>
                <w:color w:val="000000" w:themeColor="text1"/>
              </w:rPr>
            </w:pPr>
            <w:r w:rsidRPr="009E2A0E">
              <w:rPr>
                <w:rFonts w:asciiTheme="majorBidi" w:eastAsiaTheme="majorEastAsia" w:hAnsiTheme="majorBidi" w:cstheme="majorBidi"/>
                <w:color w:val="000000" w:themeColor="text1"/>
              </w:rPr>
              <w:t>Este contraste entre la agilidad con la que se prolongan o admiten nuevas licencias extractivas y la dificultad con que se garantiza el cumplimiento de derechos fundamentales, como la consulta o la protección de las y los defensores, revela un desequilibrio institucional profundamente arraigado. Mientras los intereses privados gozan de un entorno favorable, las comunidades indígenas continúan luchando por el reconocimiento de sus derechos en un contexto marcado por la desprotección, el racismo estructural y la impunidad.</w:t>
            </w:r>
          </w:p>
          <w:p w14:paraId="6C166EF9" w14:textId="77777777" w:rsidR="003A2CAC" w:rsidRDefault="003A2CAC" w:rsidP="003A2CAC">
            <w:pPr>
              <w:jc w:val="both"/>
              <w:rPr>
                <w:rFonts w:asciiTheme="majorBidi" w:hAnsiTheme="majorBidi" w:cstheme="majorBidi"/>
                <w:b/>
                <w:bCs/>
                <w:color w:val="000000" w:themeColor="text1"/>
              </w:rPr>
            </w:pPr>
          </w:p>
          <w:p w14:paraId="7ECA798F" w14:textId="77777777" w:rsidR="00197C3D" w:rsidRDefault="00197C3D" w:rsidP="003A2CAC">
            <w:pPr>
              <w:jc w:val="both"/>
              <w:rPr>
                <w:rFonts w:asciiTheme="majorBidi" w:hAnsiTheme="majorBidi" w:cstheme="majorBidi"/>
                <w:b/>
                <w:bCs/>
                <w:color w:val="000000" w:themeColor="text1"/>
              </w:rPr>
            </w:pPr>
            <w:r>
              <w:rPr>
                <w:rFonts w:asciiTheme="majorBidi" w:hAnsiTheme="majorBidi" w:cstheme="majorBidi"/>
                <w:b/>
                <w:bCs/>
                <w:color w:val="000000" w:themeColor="text1"/>
              </w:rPr>
              <w:t>Sobre el derecho al acceso al agua:</w:t>
            </w:r>
          </w:p>
          <w:p w14:paraId="38A670DD" w14:textId="77777777" w:rsidR="00197C3D" w:rsidRPr="009E2A0E" w:rsidRDefault="00197C3D" w:rsidP="00197C3D">
            <w:pPr>
              <w:jc w:val="both"/>
              <w:rPr>
                <w:rFonts w:asciiTheme="majorBidi" w:hAnsiTheme="majorBidi" w:cstheme="majorBidi"/>
                <w:color w:val="000000" w:themeColor="text1"/>
              </w:rPr>
            </w:pPr>
            <w:r w:rsidRPr="009E2A0E">
              <w:rPr>
                <w:rFonts w:asciiTheme="majorBidi" w:hAnsiTheme="majorBidi" w:cstheme="majorBidi"/>
                <w:color w:val="000000" w:themeColor="text1"/>
              </w:rPr>
              <w:t>En julio de 2020 la Corte de Constitucionalidad, ordenó al Concejo Municipal de Chinautla, departamento de Guatemala, que se tomaran las medidas que sean necesarias para garantizar el suministro continuo y sin interrupciones del servicio de agua potable a los vecinos de la comunidad de Santa Cruz, municipio de Chinautla, departamento de Guatemala.</w:t>
            </w:r>
          </w:p>
          <w:p w14:paraId="6444A952" w14:textId="77777777" w:rsidR="00197C3D" w:rsidRPr="009E2A0E" w:rsidRDefault="00197C3D" w:rsidP="00197C3D">
            <w:pPr>
              <w:jc w:val="both"/>
              <w:rPr>
                <w:rFonts w:asciiTheme="majorBidi" w:hAnsiTheme="majorBidi" w:cstheme="majorBidi"/>
                <w:color w:val="000000" w:themeColor="text1"/>
              </w:rPr>
            </w:pPr>
            <w:r w:rsidRPr="009E2A0E">
              <w:rPr>
                <w:rFonts w:asciiTheme="majorBidi" w:hAnsiTheme="majorBidi" w:cstheme="majorBidi"/>
                <w:color w:val="000000" w:themeColor="text1"/>
              </w:rPr>
              <w:t xml:space="preserve">La Corte desarrolló estándares respecto del reconocimiento y protección del derecho al agua, comenzando con una referencia a la Constitución que establece que todas las aguas son bienes de dominio público, inalienables e imprescriptibles, y que su uso debe ser regulado por ley en función del interés social. En este contexto, la Corte señala </w:t>
            </w:r>
            <w:proofErr w:type="gramStart"/>
            <w:r w:rsidRPr="009E2A0E">
              <w:rPr>
                <w:rFonts w:asciiTheme="majorBidi" w:hAnsiTheme="majorBidi" w:cstheme="majorBidi"/>
                <w:color w:val="000000" w:themeColor="text1"/>
              </w:rPr>
              <w:t>que</w:t>
            </w:r>
            <w:proofErr w:type="gramEnd"/>
            <w:r w:rsidRPr="009E2A0E">
              <w:rPr>
                <w:rFonts w:asciiTheme="majorBidi" w:hAnsiTheme="majorBidi" w:cstheme="majorBidi"/>
                <w:color w:val="000000" w:themeColor="text1"/>
              </w:rPr>
              <w:t xml:space="preserve"> aunque no está explícitamente reconocido en la Declaración Universal de los Derechos Humanos ni en el Pacto Internacional de Derechos Económicos, Sociales y Culturales, diversos instrumentos internacionales sí contemplan la existencia del derecho humano al agua, especialmente en la Observación General número 15 del Comité de Derechos Económicos, Sociales y Culturales. Se destaca en particular que la falta de acceso a agua potable y saneamiento adecuado tiene consecuencias graves para la salud, y que los Estados deben adoptar medidas para garantizar este derecho, priorizando las necesidades personales y domésticas sobre otros usos. Además, se menciona que el derecho al agua incluye tanto libertades (como el derecho a mantener el acceso al agua sin interferencias) como derechos (como el derecho a un sistema de gestión del agua equitativo).</w:t>
            </w:r>
          </w:p>
          <w:p w14:paraId="3920A33A" w14:textId="77777777" w:rsidR="00197C3D" w:rsidRPr="009E2A0E" w:rsidRDefault="00197C3D" w:rsidP="00197C3D">
            <w:pPr>
              <w:jc w:val="both"/>
              <w:rPr>
                <w:rFonts w:asciiTheme="majorBidi" w:hAnsiTheme="majorBidi" w:cstheme="majorBidi"/>
                <w:color w:val="000000" w:themeColor="text1"/>
              </w:rPr>
            </w:pPr>
            <w:r w:rsidRPr="009E2A0E">
              <w:rPr>
                <w:rFonts w:asciiTheme="majorBidi" w:hAnsiTheme="majorBidi" w:cstheme="majorBidi"/>
                <w:color w:val="000000" w:themeColor="text1"/>
              </w:rPr>
              <w:t>A pesar de este reconocimiento, la Corte señala que el hecho de que el derecho al agua sea reconocido no resuelve por sí solo los problemas de acceso. Es necesario que los ciudadanos cuenten con herramientas legales para exigir su cumplimiento, especialmente ante autoridades responsables que deben garantizar el acceso al agua de manera continua y adecuada.</w:t>
            </w:r>
          </w:p>
          <w:p w14:paraId="3422CC40" w14:textId="77777777" w:rsidR="00197C3D" w:rsidRPr="009E2A0E" w:rsidRDefault="00197C3D" w:rsidP="00197C3D">
            <w:pPr>
              <w:jc w:val="both"/>
              <w:rPr>
                <w:rFonts w:asciiTheme="majorBidi" w:hAnsiTheme="majorBidi" w:cstheme="majorBidi"/>
                <w:color w:val="000000" w:themeColor="text1"/>
              </w:rPr>
            </w:pPr>
            <w:r w:rsidRPr="009E2A0E">
              <w:rPr>
                <w:rFonts w:asciiTheme="majorBidi" w:hAnsiTheme="majorBidi" w:cstheme="majorBidi"/>
                <w:color w:val="000000" w:themeColor="text1"/>
              </w:rPr>
              <w:t xml:space="preserve">En el caso concreto de la comunidad de Santa Cruz, Chinautla, la Corte observó que las autoridades locales no han tomado las medidas necesarias para asegurar el abastecimiento de agua potable de manera constante, a pesar de los problemas derivados de la suspensión del servicio. Aunque la autoridad municipal alegó haber realizado inversiones y acuerdos para paliar la falta de agua, el Tribunal Constitucional señaló que no se presentó evidencia suficiente para probar estos esfuerzos, y no se adoptaron las medidas adecuadas para resolver la situación. En consecuencia, esto </w:t>
            </w:r>
            <w:r w:rsidRPr="009E2A0E">
              <w:rPr>
                <w:rFonts w:asciiTheme="majorBidi" w:hAnsiTheme="majorBidi" w:cstheme="majorBidi"/>
                <w:color w:val="000000" w:themeColor="text1"/>
              </w:rPr>
              <w:lastRenderedPageBreak/>
              <w:t>constituyó una violación de los derechos de los habitantes de la comunidad, quienes, debido a la falta de continuidad en el servicio, se vieron expuestos a riesgos para su salud y vida.</w:t>
            </w:r>
          </w:p>
          <w:p w14:paraId="36028778" w14:textId="77777777" w:rsidR="00197C3D" w:rsidRPr="009E2A0E" w:rsidRDefault="00197C3D" w:rsidP="00197C3D">
            <w:pPr>
              <w:jc w:val="both"/>
              <w:rPr>
                <w:rFonts w:asciiTheme="majorBidi" w:hAnsiTheme="majorBidi" w:cstheme="majorBidi"/>
                <w:color w:val="000000" w:themeColor="text1"/>
              </w:rPr>
            </w:pPr>
            <w:r w:rsidRPr="009E2A0E">
              <w:rPr>
                <w:rFonts w:asciiTheme="majorBidi" w:hAnsiTheme="majorBidi" w:cstheme="majorBidi"/>
                <w:color w:val="000000" w:themeColor="text1"/>
              </w:rPr>
              <w:t xml:space="preserve">En conclusión, la Corte determinó que las autoridades responsables no cumplieron con su obligación de garantizar el acceso continuo al agua potable, y por ello se confirma la sentencia de la instancia inferior, desestimando el recurso de apelación presentado. </w:t>
            </w:r>
          </w:p>
          <w:p w14:paraId="59CF5B63" w14:textId="0EA89F94" w:rsidR="00197C3D" w:rsidRPr="00F93D3C" w:rsidRDefault="00197C3D" w:rsidP="00F93D3C">
            <w:pPr>
              <w:jc w:val="both"/>
              <w:rPr>
                <w:rFonts w:asciiTheme="majorBidi" w:hAnsiTheme="majorBidi" w:cstheme="majorBidi"/>
                <w:color w:val="000000" w:themeColor="text1"/>
              </w:rPr>
            </w:pPr>
            <w:r w:rsidRPr="009E2A0E">
              <w:rPr>
                <w:rFonts w:asciiTheme="majorBidi" w:hAnsiTheme="majorBidi" w:cstheme="majorBidi"/>
                <w:color w:val="000000" w:themeColor="text1"/>
              </w:rPr>
              <w:t xml:space="preserve">Se informa al CERD </w:t>
            </w:r>
            <w:proofErr w:type="gramStart"/>
            <w:r w:rsidRPr="009E2A0E">
              <w:rPr>
                <w:rFonts w:asciiTheme="majorBidi" w:hAnsiTheme="majorBidi" w:cstheme="majorBidi"/>
                <w:color w:val="000000" w:themeColor="text1"/>
              </w:rPr>
              <w:t>que</w:t>
            </w:r>
            <w:proofErr w:type="gramEnd"/>
            <w:r w:rsidRPr="009E2A0E">
              <w:rPr>
                <w:rFonts w:asciiTheme="majorBidi" w:hAnsiTheme="majorBidi" w:cstheme="majorBidi"/>
                <w:color w:val="000000" w:themeColor="text1"/>
              </w:rPr>
              <w:t xml:space="preserve"> aunque el caso Chinautla llegó a la Corte de Constitucionalidad, las condiciones en Santa Cruz, cinco años después de la emisión de la sentencia siguen siendo las mismas</w:t>
            </w:r>
            <w:r w:rsidRPr="009E2A0E">
              <w:rPr>
                <w:rStyle w:val="Refdenotaalpie"/>
                <w:rFonts w:asciiTheme="majorBidi" w:hAnsiTheme="majorBidi" w:cstheme="majorBidi"/>
                <w:color w:val="000000" w:themeColor="text1"/>
                <w:sz w:val="22"/>
              </w:rPr>
              <w:footnoteReference w:id="132"/>
            </w:r>
            <w:r w:rsidRPr="009E2A0E">
              <w:rPr>
                <w:rFonts w:asciiTheme="majorBidi" w:hAnsiTheme="majorBidi" w:cstheme="majorBidi"/>
                <w:color w:val="000000" w:themeColor="text1"/>
              </w:rPr>
              <w:t>. Más aún, ya no se trata solamente de un asunto de acceso al agua potable, sino que también existe un problema importante de contaminación de las aguas, situación que repercute en la salud de los pobladores de la localidad</w:t>
            </w:r>
            <w:r w:rsidRPr="009E2A0E">
              <w:rPr>
                <w:rStyle w:val="Refdenotaalpie"/>
                <w:rFonts w:asciiTheme="majorBidi" w:hAnsiTheme="majorBidi" w:cstheme="majorBidi"/>
                <w:color w:val="000000" w:themeColor="text1"/>
                <w:sz w:val="22"/>
              </w:rPr>
              <w:footnoteReference w:id="133"/>
            </w:r>
            <w:r w:rsidRPr="009E2A0E">
              <w:rPr>
                <w:rFonts w:asciiTheme="majorBidi" w:hAnsiTheme="majorBidi" w:cstheme="majorBidi"/>
                <w:color w:val="000000" w:themeColor="text1"/>
              </w:rPr>
              <w:t xml:space="preserve">. </w:t>
            </w:r>
          </w:p>
        </w:tc>
      </w:tr>
    </w:tbl>
    <w:p w14:paraId="707FEF07" w14:textId="77777777" w:rsidR="00200996" w:rsidRPr="009E2A0E" w:rsidRDefault="00200996" w:rsidP="003A2CAC">
      <w:pPr>
        <w:jc w:val="both"/>
        <w:rPr>
          <w:rFonts w:asciiTheme="majorBidi" w:hAnsiTheme="majorBidi" w:cstheme="majorBidi"/>
          <w:b/>
          <w:bCs/>
          <w:color w:val="000000" w:themeColor="text1"/>
          <w:lang w:val="es-MX"/>
        </w:rPr>
        <w:sectPr w:rsidR="00200996" w:rsidRPr="009E2A0E" w:rsidSect="00CF265D">
          <w:pgSz w:w="12240" w:h="15840"/>
          <w:pgMar w:top="1417" w:right="1701" w:bottom="1417" w:left="1701" w:header="708" w:footer="708" w:gutter="0"/>
          <w:pgNumType w:fmt="upperRoman" w:start="1"/>
          <w:cols w:space="708"/>
          <w:docGrid w:linePitch="360"/>
        </w:sectPr>
      </w:pPr>
    </w:p>
    <w:p w14:paraId="54F6FB20" w14:textId="34EAF112" w:rsidR="00490427" w:rsidRPr="00253737" w:rsidRDefault="00490427" w:rsidP="00253737">
      <w:pPr>
        <w:pBdr>
          <w:top w:val="none" w:sz="0" w:space="0" w:color="000000"/>
          <w:left w:val="none" w:sz="0" w:space="0" w:color="000000"/>
          <w:bottom w:val="none" w:sz="0" w:space="0" w:color="000000"/>
          <w:right w:val="none" w:sz="0" w:space="0" w:color="000000"/>
        </w:pBdr>
        <w:suppressAutoHyphens/>
        <w:spacing w:line="240" w:lineRule="auto"/>
        <w:rPr>
          <w:rStyle w:val="Fuentedeprrafopredeter1"/>
          <w:rFonts w:asciiTheme="majorBidi" w:hAnsiTheme="majorBidi" w:cstheme="majorBidi"/>
          <w:b/>
          <w:bCs/>
          <w:color w:val="000000" w:themeColor="text1"/>
          <w:lang w:val="es-MX"/>
        </w:rPr>
      </w:pPr>
      <w:r w:rsidRPr="00253737">
        <w:rPr>
          <w:rStyle w:val="Fuentedeprrafopredeter1"/>
          <w:rFonts w:asciiTheme="majorBidi" w:hAnsiTheme="majorBidi" w:cstheme="majorBidi"/>
          <w:b/>
          <w:bCs/>
          <w:color w:val="000000" w:themeColor="text1"/>
          <w:lang w:val="es-MX"/>
        </w:rPr>
        <w:lastRenderedPageBreak/>
        <w:t>ANEXO 4: CASOS DESALOJO</w:t>
      </w:r>
    </w:p>
    <w:p w14:paraId="15744808" w14:textId="37DF01DB" w:rsidR="00751023" w:rsidRPr="00A83C17" w:rsidRDefault="00872EEF" w:rsidP="000239F7">
      <w:pPr>
        <w:pBdr>
          <w:top w:val="none" w:sz="0" w:space="0" w:color="000000"/>
          <w:left w:val="none" w:sz="0" w:space="0" w:color="000000"/>
          <w:bottom w:val="none" w:sz="0" w:space="0" w:color="000000"/>
          <w:right w:val="none" w:sz="0" w:space="0" w:color="000000"/>
        </w:pBdr>
        <w:suppressAutoHyphens/>
        <w:spacing w:line="240" w:lineRule="auto"/>
        <w:rPr>
          <w:rStyle w:val="Fuentedeprrafopredeter1"/>
          <w:rFonts w:asciiTheme="majorBidi" w:hAnsiTheme="majorBidi" w:cstheme="majorBidi"/>
          <w:b/>
          <w:bCs/>
          <w:color w:val="000000" w:themeColor="text1"/>
          <w:lang w:val="es-MX"/>
        </w:rPr>
      </w:pPr>
      <w:r>
        <w:rPr>
          <w:rStyle w:val="Fuentedeprrafopredeter1"/>
          <w:rFonts w:asciiTheme="majorBidi" w:hAnsiTheme="majorBidi" w:cstheme="majorBidi"/>
          <w:b/>
          <w:bCs/>
          <w:color w:val="000000" w:themeColor="text1"/>
          <w:lang w:val="es-MX"/>
        </w:rPr>
        <w:t xml:space="preserve">4.1. </w:t>
      </w:r>
      <w:r w:rsidR="000239F7" w:rsidRPr="009E2A0E">
        <w:rPr>
          <w:rStyle w:val="Fuentedeprrafopredeter1"/>
          <w:rFonts w:asciiTheme="majorBidi" w:hAnsiTheme="majorBidi" w:cstheme="majorBidi"/>
          <w:b/>
          <w:bCs/>
          <w:color w:val="000000" w:themeColor="text1"/>
          <w:lang w:val="es-MX"/>
        </w:rPr>
        <w:t xml:space="preserve"> </w:t>
      </w:r>
      <w:r>
        <w:rPr>
          <w:rStyle w:val="Fuentedeprrafopredeter1"/>
          <w:rFonts w:asciiTheme="majorBidi" w:hAnsiTheme="majorBidi" w:cstheme="majorBidi"/>
          <w:b/>
          <w:bCs/>
          <w:color w:val="000000" w:themeColor="text1"/>
          <w:lang w:val="es-MX"/>
        </w:rPr>
        <w:t>CASO LAGUNA LARGA</w:t>
      </w:r>
      <w:r w:rsidR="001C11CB" w:rsidRPr="00A83C17">
        <w:rPr>
          <w:rStyle w:val="Fuentedeprrafopredeter1"/>
          <w:rFonts w:asciiTheme="majorBidi" w:hAnsiTheme="majorBidi" w:cstheme="majorBidi"/>
          <w:b/>
          <w:bCs/>
          <w:color w:val="000000" w:themeColor="text1"/>
          <w:lang w:val="es-MX"/>
        </w:rPr>
        <w:t xml:space="preserve"> </w:t>
      </w:r>
    </w:p>
    <w:tbl>
      <w:tblPr>
        <w:tblStyle w:val="Tablaconcuadrcula"/>
        <w:tblW w:w="0" w:type="auto"/>
        <w:tblLook w:val="04A0" w:firstRow="1" w:lastRow="0" w:firstColumn="1" w:lastColumn="0" w:noHBand="0" w:noVBand="1"/>
      </w:tblPr>
      <w:tblGrid>
        <w:gridCol w:w="8828"/>
      </w:tblGrid>
      <w:tr w:rsidR="00365A48" w:rsidRPr="009E2A0E" w14:paraId="7904D781" w14:textId="77777777" w:rsidTr="00365A48">
        <w:tc>
          <w:tcPr>
            <w:tcW w:w="8828" w:type="dxa"/>
          </w:tcPr>
          <w:p w14:paraId="06D2AF2C" w14:textId="77777777" w:rsidR="00365A48" w:rsidRPr="00A83C17" w:rsidRDefault="00365A48" w:rsidP="001C11CB">
            <w:pPr>
              <w:suppressAutoHyphens/>
              <w:jc w:val="both"/>
              <w:rPr>
                <w:rStyle w:val="Fuentedeprrafopredeter1"/>
                <w:rFonts w:asciiTheme="majorBidi" w:hAnsiTheme="majorBidi" w:cstheme="majorBidi"/>
                <w:color w:val="000000" w:themeColor="text1"/>
                <w:lang w:val="es-ES"/>
              </w:rPr>
            </w:pPr>
            <w:r w:rsidRPr="00A83C17">
              <w:rPr>
                <w:rStyle w:val="Fuentedeprrafopredeter1"/>
                <w:rFonts w:asciiTheme="majorBidi" w:hAnsiTheme="majorBidi" w:cstheme="majorBidi"/>
                <w:b/>
                <w:bCs/>
                <w:color w:val="000000" w:themeColor="text1"/>
                <w:lang w:val="es-ES"/>
              </w:rPr>
              <w:t>SENTENCIA DE LA CORTE DE CONSTITUCIONALIDAD EN EL CASO DE LA LAGUNA LARGA:</w:t>
            </w:r>
          </w:p>
          <w:p w14:paraId="5B96E0DB" w14:textId="77777777" w:rsidR="00365A48" w:rsidRPr="00A83C17" w:rsidRDefault="00365A48" w:rsidP="00365A48">
            <w:pPr>
              <w:jc w:val="both"/>
              <w:rPr>
                <w:rFonts w:asciiTheme="majorBidi" w:hAnsiTheme="majorBidi" w:cstheme="majorBidi"/>
                <w:color w:val="000000" w:themeColor="text1"/>
              </w:rPr>
            </w:pPr>
            <w:r w:rsidRPr="00A83C17">
              <w:rPr>
                <w:rStyle w:val="Fuentedeprrafopredeter1"/>
                <w:rFonts w:asciiTheme="majorBidi" w:hAnsiTheme="majorBidi" w:cstheme="majorBidi"/>
                <w:color w:val="000000" w:themeColor="text1"/>
                <w:lang w:val="es-ES"/>
              </w:rPr>
              <w:t xml:space="preserve">El caso del desalojo de la comunidad Laguna Larga se inserta dentro de un </w:t>
            </w:r>
            <w:r w:rsidRPr="00A83C17">
              <w:rPr>
                <w:rFonts w:asciiTheme="majorBidi" w:hAnsiTheme="majorBidi" w:cstheme="majorBidi"/>
                <w:color w:val="000000" w:themeColor="text1"/>
              </w:rPr>
              <w:t xml:space="preserve">contexto sistemático de </w:t>
            </w:r>
            <w:r w:rsidRPr="00A83C17">
              <w:rPr>
                <w:rStyle w:val="Fuentedeprrafopredeter1"/>
                <w:rFonts w:asciiTheme="majorBidi" w:hAnsiTheme="majorBidi" w:cstheme="majorBidi"/>
                <w:color w:val="000000" w:themeColor="text1"/>
              </w:rPr>
              <w:t>desalojos y desplazamientos internos forzados en Guatemala,</w:t>
            </w:r>
            <w:r w:rsidRPr="00A83C17">
              <w:rPr>
                <w:rFonts w:asciiTheme="majorBidi" w:hAnsiTheme="majorBidi" w:cstheme="majorBidi"/>
                <w:color w:val="000000" w:themeColor="text1"/>
              </w:rPr>
              <w:t xml:space="preserve"> como parte de una política estatal de protección del medio ambiente que no ha tenido en cuenta los derechos territoriales ni la autodeterminación de las comunidades indígenas y campesinas. Los pobladores de la comunidad Laguna Larga fueron </w:t>
            </w:r>
            <w:r w:rsidRPr="00A83C17">
              <w:rPr>
                <w:rStyle w:val="Fuentedeprrafopredeter1"/>
                <w:rFonts w:asciiTheme="majorBidi" w:hAnsiTheme="majorBidi" w:cstheme="majorBidi"/>
                <w:color w:val="000000" w:themeColor="text1"/>
              </w:rPr>
              <w:t xml:space="preserve">desplazados de manera forzada de sus tierras el 2 de junio de 2017. </w:t>
            </w:r>
            <w:r w:rsidRPr="00A83C17">
              <w:rPr>
                <w:rFonts w:asciiTheme="majorBidi" w:hAnsiTheme="majorBidi" w:cstheme="majorBidi"/>
                <w:color w:val="000000" w:themeColor="text1"/>
              </w:rPr>
              <w:t xml:space="preserve">El 8 de septiembre de 2017, la Comisión Interamericana de Derechos Humanos – CIDH – otorgó medidas cautelares a favor de las 450 personas, agrupadas en aproximadamente 100 familias, que integraban en ese momento la comunidad. </w:t>
            </w:r>
          </w:p>
          <w:p w14:paraId="463D2267" w14:textId="77777777" w:rsidR="00365A48" w:rsidRPr="00A83C17" w:rsidRDefault="00365A48" w:rsidP="00365A48">
            <w:pPr>
              <w:jc w:val="both"/>
              <w:rPr>
                <w:rFonts w:asciiTheme="majorBidi" w:hAnsiTheme="majorBidi" w:cstheme="majorBidi"/>
                <w:color w:val="000000" w:themeColor="text1"/>
              </w:rPr>
            </w:pPr>
            <w:r w:rsidRPr="00A83C17">
              <w:rPr>
                <w:rFonts w:asciiTheme="majorBidi" w:hAnsiTheme="majorBidi" w:cstheme="majorBidi"/>
                <w:color w:val="000000" w:themeColor="text1"/>
              </w:rPr>
              <w:t>La CIDH solicitó al Estado de Guatemala debía adoptar medidas urgentes para proteger la vida e integridad de las personas afectadas, garantizando condiciones sanitarias, acceso a alimentos, agua potable, alojamiento adecuado, vestimenta, seguridad y acceso a la educación y servicios básicos</w:t>
            </w:r>
            <w:r w:rsidRPr="00A83C17">
              <w:rPr>
                <w:rStyle w:val="Refdenotaalpie"/>
                <w:rFonts w:asciiTheme="majorBidi" w:hAnsiTheme="majorBidi" w:cstheme="majorBidi"/>
                <w:color w:val="000000" w:themeColor="text1"/>
                <w:sz w:val="22"/>
              </w:rPr>
              <w:footnoteReference w:id="134"/>
            </w:r>
            <w:r w:rsidRPr="00A83C17">
              <w:rPr>
                <w:rFonts w:asciiTheme="majorBidi" w:hAnsiTheme="majorBidi" w:cstheme="majorBidi"/>
                <w:color w:val="000000" w:themeColor="text1"/>
              </w:rPr>
              <w:t>.</w:t>
            </w:r>
          </w:p>
          <w:p w14:paraId="325D9206" w14:textId="5B44C993" w:rsidR="00365A48" w:rsidRPr="00A83C17" w:rsidRDefault="00365A48" w:rsidP="00365A48">
            <w:pPr>
              <w:jc w:val="both"/>
              <w:rPr>
                <w:rFonts w:asciiTheme="majorBidi" w:hAnsiTheme="majorBidi" w:cstheme="majorBidi"/>
                <w:color w:val="000000" w:themeColor="text1"/>
              </w:rPr>
            </w:pPr>
            <w:r w:rsidRPr="00A83C17">
              <w:rPr>
                <w:rFonts w:asciiTheme="majorBidi" w:hAnsiTheme="majorBidi" w:cstheme="majorBidi"/>
                <w:color w:val="000000" w:themeColor="text1"/>
              </w:rPr>
              <w:t xml:space="preserve">Frente al incumplimiento de las medidas cautelares por parte del Estado de Guatemala, el Consejo Comunitario de Desarrollo de la comunidad Laguna Larga </w:t>
            </w:r>
            <w:r w:rsidRPr="00A83C17">
              <w:rPr>
                <w:rStyle w:val="Fuentedeprrafopredeter1"/>
                <w:rFonts w:asciiTheme="majorBidi" w:hAnsiTheme="majorBidi" w:cstheme="majorBidi"/>
                <w:color w:val="000000" w:themeColor="text1"/>
              </w:rPr>
              <w:t xml:space="preserve">presentó una acción constitucional de amparo que fue conocida en un primer momento por la Sala Primera del Tribunal de lo Contencioso Administrativo, quien denegó el amparo, </w:t>
            </w:r>
            <w:r w:rsidRPr="00A83C17">
              <w:rPr>
                <w:rFonts w:asciiTheme="majorBidi" w:hAnsiTheme="majorBidi" w:cstheme="majorBidi"/>
                <w:color w:val="000000" w:themeColor="text1"/>
              </w:rPr>
              <w:t xml:space="preserve">y en apelación por la Corte de Constitucionalidad. Mediante sentencia de apelación de amparo del 29 de enero de 2021, dentro del expediente 4647-2018, el máximo tribunal constitucional decidió </w:t>
            </w:r>
            <w:r w:rsidRPr="00A83C17">
              <w:rPr>
                <w:rStyle w:val="Fuentedeprrafopredeter1"/>
                <w:rFonts w:asciiTheme="majorBidi" w:hAnsiTheme="majorBidi" w:cstheme="majorBidi"/>
                <w:color w:val="000000" w:themeColor="text1"/>
              </w:rPr>
              <w:t>otorgar la protección constitucional debido a la persistencia</w:t>
            </w:r>
            <w:r w:rsidRPr="00A83C17">
              <w:rPr>
                <w:rFonts w:asciiTheme="majorBidi" w:hAnsiTheme="majorBidi" w:cstheme="majorBidi"/>
                <w:color w:val="000000" w:themeColor="text1"/>
              </w:rPr>
              <w:t xml:space="preserve"> de condiciones de precariedad en la comunidad. </w:t>
            </w:r>
            <w:r w:rsidR="004C48F4" w:rsidRPr="00A83C17">
              <w:rPr>
                <w:rFonts w:asciiTheme="majorBidi" w:hAnsiTheme="majorBidi" w:cstheme="majorBidi"/>
                <w:color w:val="000000" w:themeColor="text1"/>
              </w:rPr>
              <w:t>Esta sentencia</w:t>
            </w:r>
            <w:r w:rsidRPr="00A83C17">
              <w:rPr>
                <w:rFonts w:asciiTheme="majorBidi" w:hAnsiTheme="majorBidi" w:cstheme="majorBidi"/>
                <w:color w:val="000000" w:themeColor="text1"/>
              </w:rPr>
              <w:t xml:space="preserve"> constituyó un precedente emblemático para la justicia constitucional en Guatemala, ya que se designa al </w:t>
            </w:r>
            <w:proofErr w:type="gramStart"/>
            <w:r w:rsidRPr="00A83C17">
              <w:rPr>
                <w:rFonts w:asciiTheme="majorBidi" w:hAnsiTheme="majorBidi" w:cstheme="majorBidi"/>
                <w:color w:val="000000" w:themeColor="text1"/>
              </w:rPr>
              <w:t>Presidente</w:t>
            </w:r>
            <w:proofErr w:type="gramEnd"/>
            <w:r w:rsidRPr="00A83C17">
              <w:rPr>
                <w:rFonts w:asciiTheme="majorBidi" w:hAnsiTheme="majorBidi" w:cstheme="majorBidi"/>
                <w:color w:val="000000" w:themeColor="text1"/>
              </w:rPr>
              <w:t xml:space="preserve"> de la República y a su Consejo de </w:t>
            </w:r>
            <w:proofErr w:type="gramStart"/>
            <w:r w:rsidRPr="00A83C17">
              <w:rPr>
                <w:rFonts w:asciiTheme="majorBidi" w:hAnsiTheme="majorBidi" w:cstheme="majorBidi"/>
                <w:color w:val="000000" w:themeColor="text1"/>
              </w:rPr>
              <w:t>Ministros</w:t>
            </w:r>
            <w:proofErr w:type="gramEnd"/>
            <w:r w:rsidRPr="00A83C17">
              <w:rPr>
                <w:rFonts w:asciiTheme="majorBidi" w:hAnsiTheme="majorBidi" w:cstheme="majorBidi"/>
                <w:color w:val="000000" w:themeColor="text1"/>
              </w:rPr>
              <w:t xml:space="preserve"> como responsables de la ejecución del fallo</w:t>
            </w:r>
            <w:r w:rsidRPr="00A83C17">
              <w:rPr>
                <w:rStyle w:val="Refdenotaalpie"/>
                <w:rFonts w:asciiTheme="majorBidi" w:hAnsiTheme="majorBidi" w:cstheme="majorBidi"/>
                <w:color w:val="000000" w:themeColor="text1"/>
                <w:sz w:val="22"/>
              </w:rPr>
              <w:footnoteReference w:id="135"/>
            </w:r>
            <w:r w:rsidRPr="00A83C17">
              <w:rPr>
                <w:rFonts w:asciiTheme="majorBidi" w:hAnsiTheme="majorBidi" w:cstheme="majorBidi"/>
                <w:color w:val="000000" w:themeColor="text1"/>
              </w:rPr>
              <w:t xml:space="preserve">. Asimismo, en una innovadora decisión la Corte de Constitucionalidad establece un mecanismo </w:t>
            </w:r>
            <w:r w:rsidRPr="00A83C17">
              <w:rPr>
                <w:rStyle w:val="Fuentedeprrafopredeter1"/>
                <w:rFonts w:asciiTheme="majorBidi" w:hAnsiTheme="majorBidi" w:cstheme="majorBidi"/>
                <w:i/>
                <w:iCs/>
                <w:color w:val="000000" w:themeColor="text1"/>
              </w:rPr>
              <w:t>sui generis</w:t>
            </w:r>
            <w:r w:rsidRPr="00A83C17">
              <w:rPr>
                <w:rFonts w:asciiTheme="majorBidi" w:hAnsiTheme="majorBidi" w:cstheme="majorBidi"/>
                <w:color w:val="000000" w:themeColor="text1"/>
              </w:rPr>
              <w:t xml:space="preserve"> de supervisión del cumplimiento de la sentencia, que incluye la celebración de audiencias periódicas de ejecución – al menos cada noventa días – en las cuales las autoridades obligadas deberán reportar las medidas adoptadas para dar solución al conflicto</w:t>
            </w:r>
            <w:r w:rsidRPr="00A83C17">
              <w:rPr>
                <w:rStyle w:val="Refdenotaalpie"/>
                <w:rFonts w:asciiTheme="majorBidi" w:hAnsiTheme="majorBidi" w:cstheme="majorBidi"/>
                <w:color w:val="000000" w:themeColor="text1"/>
                <w:sz w:val="22"/>
              </w:rPr>
              <w:footnoteReference w:id="136"/>
            </w:r>
            <w:r w:rsidRPr="00A83C17">
              <w:rPr>
                <w:rFonts w:asciiTheme="majorBidi" w:hAnsiTheme="majorBidi" w:cstheme="majorBidi"/>
                <w:color w:val="000000" w:themeColor="text1"/>
              </w:rPr>
              <w:t>.</w:t>
            </w:r>
          </w:p>
          <w:p w14:paraId="4AB7CA65" w14:textId="77777777" w:rsidR="00365A48" w:rsidRPr="00A83C17" w:rsidRDefault="00365A48" w:rsidP="00365A48">
            <w:pPr>
              <w:jc w:val="both"/>
              <w:rPr>
                <w:rFonts w:asciiTheme="majorBidi" w:hAnsiTheme="majorBidi" w:cstheme="majorBidi"/>
                <w:color w:val="000000" w:themeColor="text1"/>
              </w:rPr>
            </w:pPr>
            <w:r w:rsidRPr="00A83C17">
              <w:rPr>
                <w:rFonts w:asciiTheme="majorBidi" w:hAnsiTheme="majorBidi" w:cstheme="majorBidi"/>
                <w:color w:val="000000" w:themeColor="text1"/>
              </w:rPr>
              <w:t>En su sentencia, la Corte de Constitucionalidad desarrolla sendos estándares internacionales como el derecho al mínimo vital y se resalta la importancia de garantizar el derecho a la vivienda adecuada de la comunidad</w:t>
            </w:r>
            <w:r w:rsidRPr="00A83C17">
              <w:rPr>
                <w:rStyle w:val="Refdenotaalpie"/>
                <w:rFonts w:asciiTheme="majorBidi" w:hAnsiTheme="majorBidi" w:cstheme="majorBidi"/>
                <w:color w:val="000000" w:themeColor="text1"/>
                <w:sz w:val="22"/>
              </w:rPr>
              <w:footnoteReference w:id="137"/>
            </w:r>
            <w:r w:rsidRPr="00A83C17">
              <w:rPr>
                <w:rFonts w:asciiTheme="majorBidi" w:hAnsiTheme="majorBidi" w:cstheme="majorBidi"/>
                <w:color w:val="000000" w:themeColor="text1"/>
              </w:rPr>
              <w:t>. El Tribunal también dispuso que, en tanto no se arriba a una solución definitiva del conflicto que permita reubicar a los pobladores en condiciones dignas, las instituciones del Estado deben implementar planes, programas y proyectos que progresivamente logren hacer cesar la vulneración sistemática que padece la comunidad</w:t>
            </w:r>
            <w:r w:rsidRPr="00A83C17">
              <w:rPr>
                <w:rStyle w:val="Refdenotaalpie"/>
                <w:rFonts w:asciiTheme="majorBidi" w:hAnsiTheme="majorBidi" w:cstheme="majorBidi"/>
                <w:color w:val="000000" w:themeColor="text1"/>
                <w:sz w:val="22"/>
              </w:rPr>
              <w:footnoteReference w:id="138"/>
            </w:r>
            <w:r w:rsidRPr="00A83C17">
              <w:rPr>
                <w:rFonts w:asciiTheme="majorBidi" w:hAnsiTheme="majorBidi" w:cstheme="majorBidi"/>
                <w:color w:val="000000" w:themeColor="text1"/>
              </w:rPr>
              <w:t>.</w:t>
            </w:r>
          </w:p>
          <w:p w14:paraId="07DC52D8" w14:textId="77777777" w:rsidR="00365A48" w:rsidRPr="00A83C17" w:rsidRDefault="00365A48" w:rsidP="00365A48">
            <w:pPr>
              <w:jc w:val="both"/>
              <w:rPr>
                <w:rFonts w:asciiTheme="majorBidi" w:hAnsiTheme="majorBidi" w:cstheme="majorBidi"/>
                <w:color w:val="000000" w:themeColor="text1"/>
              </w:rPr>
            </w:pPr>
            <w:r w:rsidRPr="00A83C17">
              <w:rPr>
                <w:rStyle w:val="Fuentedeprrafopredeter1"/>
                <w:rFonts w:asciiTheme="majorBidi" w:hAnsiTheme="majorBidi" w:cstheme="majorBidi"/>
                <w:color w:val="000000" w:themeColor="text1"/>
                <w:lang w:val="es-ES"/>
              </w:rPr>
              <w:t xml:space="preserve">Se hace del conocimiento del CERD que, a pesar de que esta decisión fue emitida hace casi cinco años, la crisis humanitaria en la comunidad Laguna Larga </w:t>
            </w:r>
            <w:r w:rsidRPr="00A83C17">
              <w:rPr>
                <w:rStyle w:val="Fuentedeprrafopredeter1"/>
                <w:rFonts w:asciiTheme="majorBidi" w:hAnsiTheme="majorBidi" w:cstheme="majorBidi"/>
                <w:b/>
                <w:bCs/>
                <w:i/>
                <w:iCs/>
                <w:color w:val="000000" w:themeColor="text1"/>
                <w:lang w:val="es-ES"/>
              </w:rPr>
              <w:t>no ha cesado y, por el contrario, se ha agravado en los últimos años.</w:t>
            </w:r>
            <w:r w:rsidRPr="00A83C17">
              <w:rPr>
                <w:rStyle w:val="Fuentedeprrafopredeter1"/>
                <w:rFonts w:asciiTheme="majorBidi" w:hAnsiTheme="majorBidi" w:cstheme="majorBidi"/>
                <w:color w:val="000000" w:themeColor="text1"/>
                <w:lang w:val="es-ES"/>
              </w:rPr>
              <w:t xml:space="preserve"> Como bien indicó la Corte de Constitucionalidad en su decisión, los desalojos de comunidades indígenas y campesinas bajo la bandera de la protección del medio ambiente es un problema de carácter estructural. </w:t>
            </w:r>
            <w:r w:rsidRPr="00A83C17">
              <w:rPr>
                <w:rFonts w:asciiTheme="majorBidi" w:hAnsiTheme="majorBidi" w:cstheme="majorBidi"/>
                <w:color w:val="000000" w:themeColor="text1"/>
              </w:rPr>
              <w:t xml:space="preserve">El despojo de tierras bajo el pretexto de la protección ambiental no solo expone las desigualdades estructurales existentes contra las </w:t>
            </w:r>
            <w:r w:rsidRPr="00A83C17">
              <w:rPr>
                <w:rFonts w:asciiTheme="majorBidi" w:hAnsiTheme="majorBidi" w:cstheme="majorBidi"/>
                <w:color w:val="000000" w:themeColor="text1"/>
              </w:rPr>
              <w:lastRenderedPageBreak/>
              <w:t>comunidades indígenas y campesinas, sino que también perpetúa su exclusión de los procesos de toma de decisiones sobre su propio futuro.</w:t>
            </w:r>
          </w:p>
          <w:p w14:paraId="2A62ED41" w14:textId="77777777" w:rsidR="00365A48" w:rsidRPr="009E2A0E" w:rsidRDefault="00365A48" w:rsidP="00365A48">
            <w:pPr>
              <w:jc w:val="both"/>
              <w:rPr>
                <w:rFonts w:asciiTheme="majorBidi" w:hAnsiTheme="majorBidi" w:cstheme="majorBidi"/>
                <w:b/>
                <w:bCs/>
                <w:color w:val="000000" w:themeColor="text1"/>
                <w:shd w:val="clear" w:color="auto" w:fill="FFDE59"/>
              </w:rPr>
            </w:pPr>
            <w:r w:rsidRPr="00A83C17">
              <w:rPr>
                <w:rFonts w:asciiTheme="majorBidi" w:hAnsiTheme="majorBidi" w:cstheme="majorBidi"/>
                <w:color w:val="000000" w:themeColor="text1"/>
              </w:rPr>
              <w:t>Este ciclo de desplazamientos forzados y la falta de soluciones adecuadas siguen vulnerando los derechos de la comunidad y agravando la crisis humanitaria que enfrentan. El Estado ha incumplido con las soluciones necesarias para garantizar la restitución de los derechos de la comunidad Laguna Larga, como el acceso a la vivienda adecuada, a la salud, la educación y a condiciones de vida dignas.</w:t>
            </w:r>
            <w:r w:rsidRPr="00A83C17">
              <w:rPr>
                <w:rStyle w:val="Fuentedeprrafopredeter1"/>
                <w:rFonts w:asciiTheme="majorBidi" w:hAnsiTheme="majorBidi" w:cstheme="majorBidi"/>
                <w:color w:val="000000" w:themeColor="text1"/>
                <w:lang w:val="es-ES"/>
              </w:rPr>
              <w:t xml:space="preserve"> </w:t>
            </w:r>
            <w:r w:rsidRPr="00A83C17">
              <w:rPr>
                <w:rFonts w:asciiTheme="majorBidi" w:hAnsiTheme="majorBidi" w:cstheme="majorBidi"/>
                <w:color w:val="000000" w:themeColor="text1"/>
              </w:rPr>
              <w:t>Además, persiste una falta de implementación efectiva de los mecanismos de supervisión que la Corte de Constitucionalidad ordenó, lo que ha dejado a los pobladores en una situación de vulnerabilidad permanente.</w:t>
            </w:r>
          </w:p>
          <w:p w14:paraId="604CAFE5" w14:textId="77777777" w:rsidR="00365A48" w:rsidRPr="009E2A0E" w:rsidRDefault="00365A48" w:rsidP="00365A48">
            <w:pPr>
              <w:suppressAutoHyphens/>
              <w:rPr>
                <w:rStyle w:val="Fuentedeprrafopredeter1"/>
                <w:rFonts w:asciiTheme="majorBidi" w:hAnsiTheme="majorBidi" w:cstheme="majorBidi"/>
                <w:b/>
                <w:bCs/>
                <w:color w:val="000000" w:themeColor="text1"/>
              </w:rPr>
            </w:pPr>
          </w:p>
        </w:tc>
      </w:tr>
    </w:tbl>
    <w:p w14:paraId="12530A9F" w14:textId="77777777" w:rsidR="00490427" w:rsidRDefault="00490427" w:rsidP="00490427">
      <w:pPr>
        <w:rPr>
          <w:rFonts w:asciiTheme="majorBidi" w:hAnsiTheme="majorBidi" w:cstheme="majorBidi"/>
          <w:lang w:val="es-MX"/>
        </w:rPr>
      </w:pPr>
    </w:p>
    <w:p w14:paraId="400F3328" w14:textId="5B6A2D43" w:rsidR="00E524B6" w:rsidRPr="00872EEF" w:rsidRDefault="00E524B6" w:rsidP="00872EEF">
      <w:pPr>
        <w:pStyle w:val="Prrafodelista"/>
        <w:numPr>
          <w:ilvl w:val="1"/>
          <w:numId w:val="28"/>
        </w:numPr>
        <w:rPr>
          <w:rFonts w:asciiTheme="majorBidi" w:hAnsiTheme="majorBidi" w:cstheme="majorBidi"/>
          <w:b/>
          <w:bCs/>
          <w:lang w:val="es-MX"/>
        </w:rPr>
      </w:pPr>
      <w:r w:rsidRPr="00872EEF">
        <w:rPr>
          <w:rFonts w:asciiTheme="majorBidi" w:hAnsiTheme="majorBidi" w:cstheme="majorBidi"/>
          <w:b/>
          <w:bCs/>
          <w:lang w:val="es-MX"/>
        </w:rPr>
        <w:t xml:space="preserve">Detalles del caso de </w:t>
      </w:r>
      <w:r w:rsidR="00F37E65" w:rsidRPr="00872EEF">
        <w:rPr>
          <w:rFonts w:asciiTheme="majorBidi" w:hAnsiTheme="majorBidi" w:cstheme="majorBidi"/>
          <w:b/>
          <w:bCs/>
          <w:lang w:val="es-MX"/>
        </w:rPr>
        <w:t>abogadas Carmela Curup</w:t>
      </w:r>
      <w:r w:rsidR="00A83C17" w:rsidRPr="00872EEF">
        <w:rPr>
          <w:rFonts w:asciiTheme="majorBidi" w:hAnsiTheme="majorBidi" w:cstheme="majorBidi"/>
          <w:b/>
          <w:bCs/>
          <w:lang w:val="es-MX"/>
        </w:rPr>
        <w:t xml:space="preserve"> y Olivia Sian Chávez</w:t>
      </w:r>
    </w:p>
    <w:tbl>
      <w:tblPr>
        <w:tblStyle w:val="Tablaconcuadrcula"/>
        <w:tblW w:w="0" w:type="auto"/>
        <w:tblLook w:val="04A0" w:firstRow="1" w:lastRow="0" w:firstColumn="1" w:lastColumn="0" w:noHBand="0" w:noVBand="1"/>
      </w:tblPr>
      <w:tblGrid>
        <w:gridCol w:w="8828"/>
      </w:tblGrid>
      <w:tr w:rsidR="00F37E65" w14:paraId="4F38080D" w14:textId="77777777">
        <w:tc>
          <w:tcPr>
            <w:tcW w:w="8828" w:type="dxa"/>
          </w:tcPr>
          <w:p w14:paraId="10EC1D2B" w14:textId="32941D62" w:rsidR="00F37E65" w:rsidRPr="00F37E65" w:rsidRDefault="00F37E65" w:rsidP="00093DD5">
            <w:pPr>
              <w:jc w:val="both"/>
              <w:rPr>
                <w:rFonts w:asciiTheme="majorBidi" w:hAnsiTheme="majorBidi" w:cstheme="majorBidi"/>
                <w:b/>
                <w:bCs/>
                <w:lang w:val="es-ES"/>
              </w:rPr>
            </w:pPr>
            <w:r w:rsidRPr="00F37E65">
              <w:rPr>
                <w:rFonts w:asciiTheme="majorBidi" w:hAnsiTheme="majorBidi" w:cstheme="majorBidi"/>
              </w:rPr>
              <w:t xml:space="preserve">La Comunidad Indígena Q`eqchi San Juan El Limonar, ubicado en la Zona Reina del municipio de Uspantán, Quiche, ha posesionado histórica y tradicionalmente el territorio donde habita, sin embargo en 2021, llego el señor: Roberto Asturias Peña, a decirles que realizaría proyectos para beneficio de la comunidad, y les solicito sus Documentos Personales de Identificación; sorprendiendo en su buena fe a sus integrantes,  pues su intención era conseguir la información de la toda la comunidad, para posteriormente, denunciarlos penalmente por el delito de USURPACION AGRAVADA, y luego el Ministerio Publico, solicito ante el Juez, una orden de desalojo contra todos los integrantes de la Comunidad. </w:t>
            </w:r>
          </w:p>
          <w:p w14:paraId="4D27B810" w14:textId="77777777" w:rsidR="00F37E65" w:rsidRPr="00F37E65" w:rsidRDefault="00F37E65" w:rsidP="00093DD5">
            <w:pPr>
              <w:jc w:val="both"/>
              <w:rPr>
                <w:rFonts w:asciiTheme="majorBidi" w:hAnsiTheme="majorBidi" w:cstheme="majorBidi"/>
                <w:b/>
                <w:bCs/>
                <w:lang w:val="es-ES"/>
              </w:rPr>
            </w:pPr>
            <w:r w:rsidRPr="00F37E65">
              <w:rPr>
                <w:rFonts w:asciiTheme="majorBidi" w:hAnsiTheme="majorBidi" w:cstheme="majorBidi"/>
                <w:lang w:val="es-ES"/>
              </w:rPr>
              <w:t xml:space="preserve">El Bufete para Pueblos Indígenas, al llevar la defensa de la Comunidad, como estrategia de defensa, se </w:t>
            </w:r>
            <w:r w:rsidRPr="00F37E65">
              <w:rPr>
                <w:rFonts w:asciiTheme="majorBidi" w:hAnsiTheme="majorBidi" w:cstheme="majorBidi"/>
              </w:rPr>
              <w:t xml:space="preserve">planteo un JUICIO CIVIL denominado SUMARIO DE INTERDICTO DE AMPARO DE POSESION, el cual fue admitido para su trámite por el juzgado de Primera Instancia Civil de El Quiché. </w:t>
            </w:r>
          </w:p>
          <w:p w14:paraId="07CD158F" w14:textId="77777777" w:rsidR="00F37E65" w:rsidRPr="00F37E65" w:rsidRDefault="00F37E65" w:rsidP="00093DD5">
            <w:pPr>
              <w:jc w:val="both"/>
              <w:rPr>
                <w:rFonts w:asciiTheme="majorBidi" w:hAnsiTheme="majorBidi" w:cstheme="majorBidi"/>
                <w:b/>
                <w:bCs/>
                <w:lang w:val="es-ES"/>
              </w:rPr>
            </w:pPr>
            <w:r w:rsidRPr="00F37E65">
              <w:rPr>
                <w:rFonts w:asciiTheme="majorBidi" w:hAnsiTheme="majorBidi" w:cstheme="majorBidi"/>
                <w:lang w:val="es-ES"/>
              </w:rPr>
              <w:t>Frente a la persecución penal en su contra, el</w:t>
            </w:r>
            <w:r w:rsidRPr="00F37E65">
              <w:rPr>
                <w:rFonts w:asciiTheme="majorBidi" w:hAnsiTheme="majorBidi" w:cstheme="majorBidi"/>
              </w:rPr>
              <w:t xml:space="preserve"> 11 de enero de 2024</w:t>
            </w:r>
            <w:r w:rsidRPr="00F37E65">
              <w:rPr>
                <w:rFonts w:asciiTheme="majorBidi" w:hAnsiTheme="majorBidi" w:cstheme="majorBidi"/>
                <w:lang w:val="es-ES"/>
              </w:rPr>
              <w:t xml:space="preserve"> </w:t>
            </w:r>
            <w:r w:rsidRPr="00F37E65">
              <w:rPr>
                <w:rFonts w:asciiTheme="majorBidi" w:hAnsiTheme="majorBidi" w:cstheme="majorBidi"/>
              </w:rPr>
              <w:t>se planteó una Cuestión Prejudicial como obstáculo a la persecución penal dentro de la Causa Penal: 14002-2023-00394, a cargo del Juzgado de Primera Instancia Penal, Narcoactividad y Delitos contra el Ambiente de Santa María Nebaj, Quiche, sobre la base que se encuentra en trámite un proceso civil que conoce el mismo asunto.</w:t>
            </w:r>
          </w:p>
          <w:p w14:paraId="61C0B6F6" w14:textId="77777777" w:rsidR="00F37E65" w:rsidRPr="00F37E65" w:rsidRDefault="00F37E65" w:rsidP="00093DD5">
            <w:pPr>
              <w:jc w:val="both"/>
              <w:rPr>
                <w:rFonts w:asciiTheme="majorBidi" w:hAnsiTheme="majorBidi" w:cstheme="majorBidi"/>
              </w:rPr>
            </w:pPr>
            <w:r w:rsidRPr="00F37E65">
              <w:rPr>
                <w:rFonts w:asciiTheme="majorBidi" w:hAnsiTheme="majorBidi" w:cstheme="majorBidi"/>
              </w:rPr>
              <w:t>El 3 de mayo de 2024  las autoridades ancestrales junto a sus abogadas defensoras, Carmela Curup Chajón y Olivia Sian Chávez, del Bufete para Pueblos Indígenas, evacuaron audiencia de discusión de la Cuestión Prejudicial ante el juez de la causa, siendo la principal argumentación la posesión tradicional y ancestral de las tierras, que la Comunidad cuenta con un justo título, y se tiene en curso un proceso civil, donde el Juez de la causa resolvió con lugar el planteamiento de la Comunidad y suspendió el proceso penal.</w:t>
            </w:r>
          </w:p>
          <w:p w14:paraId="3937D50F" w14:textId="77777777" w:rsidR="00F37E65" w:rsidRPr="00F37E65" w:rsidRDefault="00F37E65" w:rsidP="00093DD5">
            <w:pPr>
              <w:jc w:val="both"/>
              <w:rPr>
                <w:rFonts w:asciiTheme="majorBidi" w:hAnsiTheme="majorBidi" w:cstheme="majorBidi"/>
              </w:rPr>
            </w:pPr>
            <w:r w:rsidRPr="00F37E65">
              <w:rPr>
                <w:rFonts w:asciiTheme="majorBidi" w:hAnsiTheme="majorBidi" w:cstheme="majorBidi"/>
              </w:rPr>
              <w:t>El denunciante Asturias Peña, inconforme con la decisión, apeló la resolución, la cual conoció la Sala Regional Mixta del Quiché, quien confirmó la suspensión del proceso penal.</w:t>
            </w:r>
          </w:p>
          <w:p w14:paraId="2DF56430" w14:textId="77777777" w:rsidR="00F37E65" w:rsidRPr="00F37E65" w:rsidRDefault="00F37E65" w:rsidP="00093DD5">
            <w:pPr>
              <w:jc w:val="both"/>
              <w:rPr>
                <w:rFonts w:asciiTheme="majorBidi" w:hAnsiTheme="majorBidi" w:cstheme="majorBidi"/>
              </w:rPr>
            </w:pPr>
            <w:r w:rsidRPr="00F37E65">
              <w:rPr>
                <w:rFonts w:asciiTheme="majorBidi" w:hAnsiTheme="majorBidi" w:cstheme="majorBidi"/>
              </w:rPr>
              <w:t>El Sr. Asturias, no conforme con el resultado inició acciones de desprestigio y criminalización en contra de las abogadas del BPI, ya que, en el Facebook, las ha desprestigio, señalándolas de pertenecer a una estructura criminal</w:t>
            </w:r>
          </w:p>
          <w:p w14:paraId="3A1140B5" w14:textId="77777777" w:rsidR="00F37E65" w:rsidRPr="00F37E65" w:rsidRDefault="00F37E65" w:rsidP="00093DD5">
            <w:pPr>
              <w:jc w:val="both"/>
              <w:rPr>
                <w:rFonts w:asciiTheme="majorBidi" w:hAnsiTheme="majorBidi" w:cstheme="majorBidi"/>
              </w:rPr>
            </w:pPr>
            <w:r w:rsidRPr="00F37E65">
              <w:rPr>
                <w:rFonts w:asciiTheme="majorBidi" w:hAnsiTheme="majorBidi" w:cstheme="majorBidi"/>
              </w:rPr>
              <w:t xml:space="preserve">Seguidamente el Sr Asturias, el </w:t>
            </w:r>
            <w:bookmarkStart w:id="44" w:name="_Hlk202894638"/>
            <w:r w:rsidRPr="00F37E65">
              <w:rPr>
                <w:rFonts w:asciiTheme="majorBidi" w:hAnsiTheme="majorBidi" w:cstheme="majorBidi"/>
              </w:rPr>
              <w:t xml:space="preserve">24 de agosto de 2024 </w:t>
            </w:r>
            <w:bookmarkEnd w:id="44"/>
            <w:r w:rsidRPr="00F37E65">
              <w:rPr>
                <w:rFonts w:asciiTheme="majorBidi" w:hAnsiTheme="majorBidi" w:cstheme="majorBidi"/>
              </w:rPr>
              <w:t xml:space="preserve">denunció a CARMELA CURUP </w:t>
            </w:r>
            <w:bookmarkStart w:id="45" w:name="_Hlk202894563"/>
            <w:r w:rsidRPr="00F37E65">
              <w:rPr>
                <w:rFonts w:asciiTheme="majorBidi" w:hAnsiTheme="majorBidi" w:cstheme="majorBidi"/>
              </w:rPr>
              <w:t>CHAJON Y OLIVIA SIAN CHAVEZ</w:t>
            </w:r>
            <w:bookmarkEnd w:id="45"/>
            <w:r w:rsidRPr="00F37E65">
              <w:rPr>
                <w:rFonts w:asciiTheme="majorBidi" w:hAnsiTheme="majorBidi" w:cstheme="majorBidi"/>
              </w:rPr>
              <w:t xml:space="preserve">, por el delito de FALSEDAD IDEOLOGICA y PERJURIO, ante la </w:t>
            </w:r>
            <w:r w:rsidRPr="00F37E65">
              <w:rPr>
                <w:rFonts w:asciiTheme="majorBidi" w:hAnsiTheme="majorBidi" w:cstheme="majorBidi"/>
                <w:b/>
                <w:lang w:val="es-ES"/>
              </w:rPr>
              <w:t xml:space="preserve">FISCALÍA MUNICIPAL DE SANTA MARÍA NEBAJ, EL QUICHÉ, </w:t>
            </w:r>
            <w:r w:rsidRPr="00F37E65">
              <w:rPr>
                <w:rFonts w:asciiTheme="majorBidi" w:hAnsiTheme="majorBidi" w:cstheme="majorBidi"/>
              </w:rPr>
              <w:t>expediente</w:t>
            </w:r>
            <w:r w:rsidRPr="00F37E65">
              <w:rPr>
                <w:rFonts w:asciiTheme="majorBidi" w:hAnsiTheme="majorBidi" w:cstheme="majorBidi"/>
                <w:b/>
                <w:bCs/>
              </w:rPr>
              <w:t xml:space="preserve"> MPE01-2024-78218, al señalar que</w:t>
            </w:r>
            <w:r w:rsidRPr="00F37E65">
              <w:rPr>
                <w:rFonts w:asciiTheme="majorBidi" w:hAnsiTheme="majorBidi" w:cstheme="majorBidi"/>
              </w:rPr>
              <w:t xml:space="preserve"> son falsos los hechos planteados en el sumario de interdicto, ya que en el mismo se menciona la existencia de una iglesia católica en la Comunidad El Limonar, la cual no es cierto, además las abogadas utilizaron una escritura pública que contiene hechos falsos, a pesar de saber que la finca en litis es propiedad del señor Asturias, y que ese hecho fue de mala fe.</w:t>
            </w:r>
          </w:p>
          <w:p w14:paraId="42EC2D3B" w14:textId="77777777" w:rsidR="00F37E65" w:rsidRPr="00F37E65" w:rsidRDefault="00F37E65" w:rsidP="00093DD5">
            <w:pPr>
              <w:jc w:val="both"/>
              <w:rPr>
                <w:rFonts w:asciiTheme="majorBidi" w:hAnsiTheme="majorBidi" w:cstheme="majorBidi"/>
              </w:rPr>
            </w:pPr>
            <w:r w:rsidRPr="00F37E65">
              <w:rPr>
                <w:rFonts w:asciiTheme="majorBidi" w:hAnsiTheme="majorBidi" w:cstheme="majorBidi"/>
              </w:rPr>
              <w:lastRenderedPageBreak/>
              <w:t xml:space="preserve">Estando la abogada Carmela Curup </w:t>
            </w:r>
            <w:bookmarkStart w:id="46" w:name="_Hlk202898667_Copia_1"/>
            <w:r w:rsidRPr="00F37E65">
              <w:rPr>
                <w:rFonts w:asciiTheme="majorBidi" w:hAnsiTheme="majorBidi" w:cstheme="majorBidi"/>
              </w:rPr>
              <w:t>postulándose para la magistratura de la Corte de Apelaciones</w:t>
            </w:r>
            <w:bookmarkEnd w:id="46"/>
            <w:r w:rsidRPr="00F37E65">
              <w:rPr>
                <w:rFonts w:asciiTheme="majorBidi" w:hAnsiTheme="majorBidi" w:cstheme="majorBidi"/>
              </w:rPr>
              <w:t>, el Sr. Asturias planteo una tacha ante las Comisiones de Postulación, en contra de dicha profesional, adjuntando la denuncia penal indicada.</w:t>
            </w:r>
          </w:p>
          <w:p w14:paraId="76C06D8F" w14:textId="5F26669F" w:rsidR="00F37E65" w:rsidRPr="00F37E65" w:rsidRDefault="00F37E65" w:rsidP="00093DD5">
            <w:pPr>
              <w:jc w:val="both"/>
              <w:rPr>
                <w:rFonts w:asciiTheme="majorBidi" w:hAnsiTheme="majorBidi" w:cstheme="majorBidi"/>
              </w:rPr>
            </w:pPr>
            <w:r w:rsidRPr="00F37E65">
              <w:rPr>
                <w:rFonts w:asciiTheme="majorBidi" w:hAnsiTheme="majorBidi" w:cstheme="majorBidi"/>
              </w:rPr>
              <w:t xml:space="preserve">A pesar de que se han presentado medios de investigación que conduzcan al archivo de la denuncia, ya que el actuar de las abogadas estuvieron apegadas a la ley, tal como resolvió el juez de la causa, el Ministerio Público insiste en continuar con la investigación en contra de las abogadas. </w:t>
            </w:r>
          </w:p>
        </w:tc>
      </w:tr>
    </w:tbl>
    <w:p w14:paraId="73A9596E" w14:textId="2AB5AA83" w:rsidR="00F37E65" w:rsidRPr="00F37E65" w:rsidRDefault="00F37E65" w:rsidP="00F37E65">
      <w:pPr>
        <w:rPr>
          <w:rFonts w:asciiTheme="majorBidi" w:hAnsiTheme="majorBidi" w:cstheme="majorBidi"/>
          <w:lang w:val="es-MX"/>
        </w:rPr>
        <w:sectPr w:rsidR="00F37E65" w:rsidRPr="00F37E65" w:rsidSect="00CF265D">
          <w:pgSz w:w="12240" w:h="15840"/>
          <w:pgMar w:top="1417" w:right="1701" w:bottom="1417" w:left="1701" w:header="708" w:footer="708" w:gutter="0"/>
          <w:pgNumType w:fmt="upperRoman" w:start="1"/>
          <w:cols w:space="708"/>
          <w:docGrid w:linePitch="360"/>
        </w:sectPr>
      </w:pPr>
    </w:p>
    <w:p w14:paraId="30EA4C49" w14:textId="3DC89306" w:rsidR="00200996" w:rsidRPr="00F55697" w:rsidRDefault="00200996" w:rsidP="00F55697">
      <w:pPr>
        <w:pBdr>
          <w:top w:val="none" w:sz="0" w:space="0" w:color="000000"/>
          <w:left w:val="none" w:sz="0" w:space="0" w:color="000000"/>
          <w:bottom w:val="none" w:sz="0" w:space="0" w:color="000000"/>
          <w:right w:val="none" w:sz="0" w:space="0" w:color="000000"/>
        </w:pBdr>
        <w:suppressAutoHyphens/>
        <w:spacing w:line="240" w:lineRule="auto"/>
        <w:rPr>
          <w:rStyle w:val="Fuentedeprrafopredeter1"/>
          <w:rFonts w:asciiTheme="majorBidi" w:hAnsiTheme="majorBidi" w:cstheme="majorBidi"/>
          <w:b/>
          <w:bCs/>
          <w:color w:val="000000" w:themeColor="text1"/>
          <w:lang w:val="es-MX"/>
        </w:rPr>
      </w:pPr>
      <w:r w:rsidRPr="00F55697">
        <w:rPr>
          <w:rStyle w:val="Fuentedeprrafopredeter1"/>
          <w:rFonts w:asciiTheme="majorBidi" w:hAnsiTheme="majorBidi" w:cstheme="majorBidi"/>
          <w:b/>
          <w:bCs/>
          <w:color w:val="000000" w:themeColor="text1"/>
          <w:lang w:val="es-MX"/>
        </w:rPr>
        <w:lastRenderedPageBreak/>
        <w:t xml:space="preserve">ANEXO </w:t>
      </w:r>
      <w:r w:rsidR="00B9604E" w:rsidRPr="00F55697">
        <w:rPr>
          <w:rStyle w:val="Fuentedeprrafopredeter1"/>
          <w:rFonts w:asciiTheme="majorBidi" w:hAnsiTheme="majorBidi" w:cstheme="majorBidi"/>
          <w:b/>
          <w:bCs/>
          <w:color w:val="000000" w:themeColor="text1"/>
          <w:lang w:val="es-MX"/>
        </w:rPr>
        <w:t>5</w:t>
      </w:r>
      <w:r w:rsidRPr="00F55697">
        <w:rPr>
          <w:rStyle w:val="Fuentedeprrafopredeter1"/>
          <w:rFonts w:asciiTheme="majorBidi" w:hAnsiTheme="majorBidi" w:cstheme="majorBidi"/>
          <w:b/>
          <w:bCs/>
          <w:color w:val="000000" w:themeColor="text1"/>
          <w:lang w:val="es-MX"/>
        </w:rPr>
        <w:t xml:space="preserve">: </w:t>
      </w:r>
      <w:r w:rsidRPr="00F55697">
        <w:rPr>
          <w:rStyle w:val="Fuentedeprrafopredeter1"/>
          <w:rFonts w:asciiTheme="majorBidi" w:hAnsiTheme="majorBidi" w:cstheme="majorBidi"/>
          <w:color w:val="000000" w:themeColor="text1"/>
          <w:lang w:val="es-MX"/>
        </w:rPr>
        <w:t>Resúmenes de casos relacionados al derecho de tierras territorios y recursos naturales</w:t>
      </w:r>
    </w:p>
    <w:p w14:paraId="7701E117" w14:textId="383775CB" w:rsidR="00200996" w:rsidRPr="00872EEF" w:rsidRDefault="00200996" w:rsidP="00872EEF">
      <w:pPr>
        <w:pStyle w:val="Prrafodelista"/>
        <w:numPr>
          <w:ilvl w:val="1"/>
          <w:numId w:val="29"/>
        </w:numPr>
        <w:pBdr>
          <w:top w:val="none" w:sz="0" w:space="0" w:color="000000"/>
          <w:left w:val="none" w:sz="0" w:space="0" w:color="000000"/>
          <w:bottom w:val="none" w:sz="0" w:space="0" w:color="000000"/>
          <w:right w:val="none" w:sz="0" w:space="0" w:color="000000"/>
        </w:pBdr>
        <w:suppressAutoHyphens/>
        <w:spacing w:line="240" w:lineRule="auto"/>
        <w:rPr>
          <w:rStyle w:val="Fuentedeprrafopredeter1"/>
          <w:rFonts w:asciiTheme="majorBidi" w:hAnsiTheme="majorBidi" w:cstheme="majorBidi"/>
          <w:b/>
          <w:bCs/>
          <w:color w:val="000000" w:themeColor="text1"/>
          <w:lang w:val="es-MX"/>
        </w:rPr>
      </w:pPr>
      <w:r w:rsidRPr="00872EEF">
        <w:rPr>
          <w:rStyle w:val="Fuentedeprrafopredeter1"/>
          <w:rFonts w:asciiTheme="majorBidi" w:hAnsiTheme="majorBidi" w:cstheme="majorBidi"/>
          <w:b/>
          <w:bCs/>
          <w:color w:val="000000" w:themeColor="text1"/>
          <w:lang w:val="es-MX"/>
        </w:rPr>
        <w:t>Caso: Sierra Santa Cruz, El Estor y Livingston, Izabal</w:t>
      </w:r>
      <w:r w:rsidRPr="00093DD5">
        <w:rPr>
          <w:rStyle w:val="Refdenotaalpie"/>
          <w:rFonts w:asciiTheme="majorBidi" w:hAnsiTheme="majorBidi" w:cstheme="majorBidi"/>
          <w:b/>
          <w:bCs/>
          <w:color w:val="000000" w:themeColor="text1"/>
          <w:sz w:val="22"/>
          <w:lang w:val="es-MX"/>
        </w:rPr>
        <w:footnoteReference w:id="139"/>
      </w:r>
    </w:p>
    <w:tbl>
      <w:tblPr>
        <w:tblStyle w:val="Tablaconcuadrcula"/>
        <w:tblW w:w="0" w:type="auto"/>
        <w:tblLook w:val="04A0" w:firstRow="1" w:lastRow="0" w:firstColumn="1" w:lastColumn="0" w:noHBand="0" w:noVBand="1"/>
      </w:tblPr>
      <w:tblGrid>
        <w:gridCol w:w="8828"/>
      </w:tblGrid>
      <w:tr w:rsidR="00200996" w:rsidRPr="00093DD5" w14:paraId="66C995B3" w14:textId="77777777" w:rsidTr="00200996">
        <w:tc>
          <w:tcPr>
            <w:tcW w:w="8828" w:type="dxa"/>
          </w:tcPr>
          <w:p w14:paraId="406AEEC4" w14:textId="77777777" w:rsidR="00200996" w:rsidRPr="00093DD5" w:rsidRDefault="00200996" w:rsidP="00200996">
            <w:pPr>
              <w:pStyle w:val="Textonotapie"/>
              <w:suppressLineNumbers/>
              <w:pBdr>
                <w:top w:val="none" w:sz="0" w:space="0" w:color="000000"/>
                <w:left w:val="none" w:sz="0" w:space="0" w:color="000000"/>
                <w:bottom w:val="none" w:sz="0" w:space="0" w:color="000000"/>
                <w:right w:val="none" w:sz="0" w:space="0" w:color="000000"/>
              </w:pBdr>
              <w:suppressAutoHyphens/>
              <w:rPr>
                <w:rFonts w:asciiTheme="majorBidi" w:hAnsiTheme="majorBidi" w:cstheme="majorBidi"/>
                <w:color w:val="000000" w:themeColor="text1"/>
                <w:sz w:val="22"/>
                <w:szCs w:val="22"/>
                <w:lang w:val="es-GT"/>
              </w:rPr>
            </w:pPr>
            <w:r w:rsidRPr="00093DD5">
              <w:rPr>
                <w:rStyle w:val="Fuentedeprrafopredeter1"/>
                <w:rFonts w:asciiTheme="majorBidi" w:eastAsiaTheme="majorEastAsia" w:hAnsiTheme="majorBidi" w:cstheme="majorBidi"/>
                <w:b/>
                <w:bCs/>
                <w:color w:val="000000" w:themeColor="text1"/>
                <w:sz w:val="22"/>
                <w:szCs w:val="22"/>
                <w:lang w:val="es-MX"/>
              </w:rPr>
              <w:t>Sentencia expediente 5955-2013, 28 de noviembre 2015, emitida por la Corte de Constitucionalidad.</w:t>
            </w:r>
          </w:p>
          <w:p w14:paraId="6156A227" w14:textId="77777777" w:rsidR="00200996" w:rsidRPr="00093DD5" w:rsidRDefault="00200996" w:rsidP="00200996">
            <w:pPr>
              <w:pStyle w:val="Textonotapie"/>
              <w:rPr>
                <w:rFonts w:asciiTheme="majorBidi" w:hAnsiTheme="majorBidi" w:cstheme="majorBidi"/>
                <w:color w:val="000000" w:themeColor="text1"/>
                <w:sz w:val="22"/>
                <w:szCs w:val="22"/>
                <w:lang w:val="es-GT"/>
              </w:rPr>
            </w:pPr>
          </w:p>
          <w:p w14:paraId="5397A0E9" w14:textId="77777777" w:rsidR="00200996" w:rsidRPr="00093DD5" w:rsidRDefault="00200996" w:rsidP="00200996">
            <w:pPr>
              <w:jc w:val="both"/>
              <w:rPr>
                <w:rFonts w:asciiTheme="majorBidi" w:hAnsiTheme="majorBidi" w:cstheme="majorBidi"/>
                <w:color w:val="000000" w:themeColor="text1"/>
              </w:rPr>
            </w:pPr>
            <w:r w:rsidRPr="00093DD5">
              <w:rPr>
                <w:rStyle w:val="Fuentedeprrafopredeter1"/>
                <w:rFonts w:asciiTheme="majorBidi" w:hAnsiTheme="majorBidi" w:cstheme="majorBidi"/>
                <w:color w:val="000000" w:themeColor="text1"/>
                <w:lang w:val="es-MX"/>
              </w:rPr>
              <w:t>A pesar de que han transcurrido más de nueve años desde que se confirmó mediante recurso de apelación la sentencia emitida en favor de comunidades indígenas, el Registro General de la Propiedad de la Zona Central no ha procedido a cancelar las inscripciones registrales anómalas que fueron suspendidas por resolución de la Corte de Constitucionalidad. Esta inacción constituye una grave omisión por parte del Estado, que perpetúa la vulneración de los derechos colectivos de los pueblos indígenas, impidiéndoles ejercer plenamente los derechos colectivos a la tierra y territorio que ya han sido reconocidos judicialmente. La persistencia de esta situación mantiene el agravio histórico y legal en contra de las comunidades afectadas, obligándolas a continuar luchando por el cumplimiento efectivo de una sentencia que debería haber sido ejecutada de forma inmediata y sin obstáculos.</w:t>
            </w:r>
          </w:p>
          <w:p w14:paraId="7B04F650" w14:textId="77777777" w:rsidR="00200996" w:rsidRPr="00093DD5" w:rsidRDefault="00200996" w:rsidP="00200996">
            <w:pPr>
              <w:jc w:val="both"/>
              <w:rPr>
                <w:rFonts w:asciiTheme="majorBidi" w:hAnsiTheme="majorBidi" w:cstheme="majorBidi"/>
                <w:color w:val="000000" w:themeColor="text1"/>
              </w:rPr>
            </w:pPr>
            <w:r w:rsidRPr="00093DD5">
              <w:rPr>
                <w:rStyle w:val="Fuentedeprrafopredeter1"/>
                <w:rFonts w:asciiTheme="majorBidi" w:hAnsiTheme="majorBidi" w:cstheme="majorBidi"/>
                <w:color w:val="000000" w:themeColor="text1"/>
                <w:lang w:val="es-MX"/>
              </w:rPr>
              <w:t>Frente a esta negativa institucional, las comunidades indígenas han debido emprender nuevas acciones legales para exigir la debida ejecución de la sentencia, lo cual ha provocado un notable desgaste físico, emocional y económico, a pesar de las condiciones de extrema pobreza en las que viven. En enero de 2025, la Sala de la Corte de Apelaciones del Ramo Civil y Mercantil ordenó finalmente al Registro General de la Propiedad asumir, bajo su costo y responsabilidad, las diligencias voluntarias de reposición de folio e inscripciones registrales. No obstante, la sentencia de amparo no contempla medidas de reparación hacia las comunidades, limitándose a ordenar el cumplimiento formal de lo resuelto. Incluso con la ejecutoria en marcha, las tierras no pasan de manera automática a la administración de las comunidades, por lo que estas deberán continuar los procedimientos legales para obtener el reconocimiento y certeza jurídica sobre sus territorios. Para ello, pueden recurrir a los mecanismos previstos en la Ley del Registro de Información Catastral, como la titulación especial, siempre que la tierra en cuestión carezca de inscripción registral vigente.</w:t>
            </w:r>
          </w:p>
          <w:p w14:paraId="0AE0A293" w14:textId="77777777" w:rsidR="00200996" w:rsidRPr="00093DD5" w:rsidRDefault="00200996" w:rsidP="00200996">
            <w:pPr>
              <w:pStyle w:val="Textonotapie"/>
              <w:suppressLineNumbers/>
              <w:suppressAutoHyphens/>
              <w:rPr>
                <w:rStyle w:val="Fuentedeprrafopredeter1"/>
                <w:rFonts w:asciiTheme="majorBidi" w:eastAsiaTheme="majorEastAsia" w:hAnsiTheme="majorBidi" w:cstheme="majorBidi"/>
                <w:b/>
                <w:bCs/>
                <w:color w:val="000000" w:themeColor="text1"/>
                <w:sz w:val="22"/>
                <w:szCs w:val="22"/>
                <w:lang w:val="es-MX"/>
              </w:rPr>
            </w:pPr>
          </w:p>
        </w:tc>
      </w:tr>
    </w:tbl>
    <w:p w14:paraId="28CC6F43" w14:textId="77777777" w:rsidR="00872EEF" w:rsidRDefault="00872EEF" w:rsidP="00872EEF">
      <w:pPr>
        <w:pBdr>
          <w:top w:val="none" w:sz="0" w:space="0" w:color="000000"/>
          <w:left w:val="none" w:sz="0" w:space="0" w:color="000000"/>
          <w:bottom w:val="none" w:sz="0" w:space="0" w:color="000000"/>
          <w:right w:val="none" w:sz="0" w:space="0" w:color="000000"/>
        </w:pBdr>
        <w:suppressAutoHyphens/>
        <w:spacing w:line="240" w:lineRule="auto"/>
        <w:rPr>
          <w:rStyle w:val="Fuentedeprrafopredeter1"/>
          <w:rFonts w:asciiTheme="majorBidi" w:hAnsiTheme="majorBidi" w:cstheme="majorBidi"/>
          <w:b/>
          <w:bCs/>
          <w:color w:val="000000" w:themeColor="text1"/>
          <w:lang w:val="es-MX"/>
        </w:rPr>
      </w:pPr>
    </w:p>
    <w:p w14:paraId="1E5838B8" w14:textId="2FC999B4" w:rsidR="00200996" w:rsidRPr="00872EEF" w:rsidRDefault="00200996" w:rsidP="00872EEF">
      <w:pPr>
        <w:pStyle w:val="Prrafodelista"/>
        <w:numPr>
          <w:ilvl w:val="1"/>
          <w:numId w:val="29"/>
        </w:numPr>
        <w:pBdr>
          <w:top w:val="none" w:sz="0" w:space="0" w:color="000000"/>
          <w:left w:val="none" w:sz="0" w:space="0" w:color="000000"/>
          <w:bottom w:val="none" w:sz="0" w:space="0" w:color="000000"/>
          <w:right w:val="none" w:sz="0" w:space="0" w:color="000000"/>
        </w:pBdr>
        <w:suppressAutoHyphens/>
        <w:spacing w:line="240" w:lineRule="auto"/>
        <w:rPr>
          <w:rStyle w:val="Fuentedeprrafopredeter1"/>
          <w:rFonts w:asciiTheme="majorBidi" w:hAnsiTheme="majorBidi" w:cstheme="majorBidi"/>
          <w:b/>
          <w:bCs/>
          <w:color w:val="000000" w:themeColor="text1"/>
          <w:lang w:val="es-MX"/>
        </w:rPr>
      </w:pPr>
      <w:r w:rsidRPr="00872EEF">
        <w:rPr>
          <w:rStyle w:val="Fuentedeprrafopredeter1"/>
          <w:rFonts w:asciiTheme="majorBidi" w:hAnsiTheme="majorBidi" w:cstheme="majorBidi"/>
          <w:b/>
          <w:bCs/>
          <w:color w:val="000000" w:themeColor="text1"/>
          <w:lang w:val="es-MX"/>
        </w:rPr>
        <w:t>Caso: Santa Elena Samanzana II, Cobán, Alta Verapaz</w:t>
      </w:r>
      <w:r w:rsidRPr="00093DD5">
        <w:rPr>
          <w:rStyle w:val="Refdenotaalpie"/>
          <w:rFonts w:asciiTheme="majorBidi" w:hAnsiTheme="majorBidi" w:cstheme="majorBidi"/>
          <w:b/>
          <w:bCs/>
          <w:color w:val="000000" w:themeColor="text1"/>
          <w:sz w:val="22"/>
          <w:lang w:val="es-MX"/>
        </w:rPr>
        <w:footnoteReference w:id="140"/>
      </w:r>
    </w:p>
    <w:tbl>
      <w:tblPr>
        <w:tblStyle w:val="Tablaconcuadrcula"/>
        <w:tblW w:w="0" w:type="auto"/>
        <w:tblLook w:val="04A0" w:firstRow="1" w:lastRow="0" w:firstColumn="1" w:lastColumn="0" w:noHBand="0" w:noVBand="1"/>
      </w:tblPr>
      <w:tblGrid>
        <w:gridCol w:w="8828"/>
      </w:tblGrid>
      <w:tr w:rsidR="00200996" w:rsidRPr="00093DD5" w14:paraId="518D3BDE" w14:textId="77777777" w:rsidTr="00200996">
        <w:tc>
          <w:tcPr>
            <w:tcW w:w="8828" w:type="dxa"/>
          </w:tcPr>
          <w:p w14:paraId="7641616E" w14:textId="77777777" w:rsidR="00200996" w:rsidRPr="00093DD5" w:rsidRDefault="00200996" w:rsidP="00200996">
            <w:pPr>
              <w:pStyle w:val="Textonotapie"/>
              <w:suppressLineNumbers/>
              <w:pBdr>
                <w:top w:val="none" w:sz="0" w:space="0" w:color="000000"/>
                <w:left w:val="none" w:sz="0" w:space="0" w:color="000000"/>
                <w:bottom w:val="none" w:sz="0" w:space="0" w:color="000000"/>
                <w:right w:val="none" w:sz="0" w:space="0" w:color="000000"/>
              </w:pBdr>
              <w:suppressAutoHyphens/>
              <w:rPr>
                <w:rFonts w:asciiTheme="majorBidi" w:hAnsiTheme="majorBidi" w:cstheme="majorBidi"/>
                <w:color w:val="000000" w:themeColor="text1"/>
                <w:sz w:val="22"/>
                <w:szCs w:val="22"/>
                <w:lang w:val="es-GT"/>
              </w:rPr>
            </w:pPr>
            <w:r w:rsidRPr="00093DD5">
              <w:rPr>
                <w:rStyle w:val="Fuentedeprrafopredeter1"/>
                <w:rFonts w:asciiTheme="majorBidi" w:eastAsiaTheme="majorEastAsia" w:hAnsiTheme="majorBidi" w:cstheme="majorBidi"/>
                <w:b/>
                <w:bCs/>
                <w:color w:val="000000" w:themeColor="text1"/>
                <w:sz w:val="22"/>
                <w:szCs w:val="22"/>
                <w:lang w:val="es-MX"/>
              </w:rPr>
              <w:t>Sentencia expediente 970-2016, 14 de julio 2016, emitida por la Corte de Constitucionalidad.</w:t>
            </w:r>
          </w:p>
          <w:p w14:paraId="4543B531" w14:textId="77777777" w:rsidR="00200996" w:rsidRPr="00093DD5" w:rsidRDefault="00200996" w:rsidP="00200996">
            <w:pPr>
              <w:pStyle w:val="Textonotapie"/>
              <w:rPr>
                <w:rFonts w:asciiTheme="majorBidi" w:hAnsiTheme="majorBidi" w:cstheme="majorBidi"/>
                <w:color w:val="000000" w:themeColor="text1"/>
                <w:sz w:val="22"/>
                <w:szCs w:val="22"/>
                <w:lang w:val="es-GT"/>
              </w:rPr>
            </w:pPr>
          </w:p>
          <w:p w14:paraId="518AF8EF" w14:textId="77777777" w:rsidR="00200996" w:rsidRPr="00093DD5" w:rsidRDefault="00200996" w:rsidP="00200996">
            <w:pPr>
              <w:jc w:val="both"/>
              <w:rPr>
                <w:rFonts w:asciiTheme="majorBidi" w:hAnsiTheme="majorBidi" w:cstheme="majorBidi"/>
                <w:color w:val="000000" w:themeColor="text1"/>
              </w:rPr>
            </w:pPr>
            <w:r w:rsidRPr="00093DD5">
              <w:rPr>
                <w:rStyle w:val="Fuentedeprrafopredeter1"/>
                <w:rFonts w:asciiTheme="majorBidi" w:hAnsiTheme="majorBidi" w:cstheme="majorBidi"/>
                <w:color w:val="000000" w:themeColor="text1"/>
                <w:lang w:val="es-MX"/>
              </w:rPr>
              <w:t>La comunidad de Santa Elena Samanza II, lleva ocho años a partir de la sentencia, solicitando al Fondo de Tierras que agilice el proceso de saneamiento de la finca en la que se encuentra asentada. A pesar de haberse establecido una mesa técnica con las instituciones agrarias para abordar este y otros casos similares, el proceso sigue enfrentando importantes obstáculos debido a recursos legales interpuestos por actores particulares. Aunque en el caso de la finca dónde se encuentra la comunidad de Santa Elena Samanza II se ha avanzado con la delimitación y demarcación del territorio, el procedimiento de regularización permanece paralizado a la espera de la resolución de dichos recursos. Esta dilación no solo entorpece el acceso a la tierra, sino que también vulnera el derecho de las comunidades indígenas al reconocimiento jurídico de sus territorios ancestrales, derecho que ha sido ampliamente respaldado por la normativa nacional e internacional.</w:t>
            </w:r>
          </w:p>
          <w:p w14:paraId="5B7CC463" w14:textId="77777777" w:rsidR="00200996" w:rsidRPr="00093DD5" w:rsidRDefault="00200996" w:rsidP="00200996">
            <w:pPr>
              <w:jc w:val="both"/>
              <w:rPr>
                <w:rFonts w:asciiTheme="majorBidi" w:hAnsiTheme="majorBidi" w:cstheme="majorBidi"/>
                <w:color w:val="000000" w:themeColor="text1"/>
                <w:lang w:val="es-MX"/>
              </w:rPr>
            </w:pPr>
            <w:r w:rsidRPr="00093DD5">
              <w:rPr>
                <w:rStyle w:val="Fuentedeprrafopredeter1"/>
                <w:rFonts w:asciiTheme="majorBidi" w:hAnsiTheme="majorBidi" w:cstheme="majorBidi"/>
                <w:color w:val="000000" w:themeColor="text1"/>
                <w:lang w:val="es-MX"/>
              </w:rPr>
              <w:lastRenderedPageBreak/>
              <w:t>Como consecuencia directa de esta falta de saneamiento, las autoridades indígenas han sido objeto de criminalización</w:t>
            </w:r>
            <w:r w:rsidRPr="00093DD5">
              <w:rPr>
                <w:rStyle w:val="Refdenotaalpie"/>
                <w:rFonts w:asciiTheme="majorBidi" w:hAnsiTheme="majorBidi" w:cstheme="majorBidi"/>
                <w:color w:val="000000" w:themeColor="text1"/>
                <w:sz w:val="22"/>
                <w:lang w:val="es-MX"/>
              </w:rPr>
              <w:footnoteReference w:id="141"/>
            </w:r>
            <w:r w:rsidRPr="00093DD5">
              <w:rPr>
                <w:rStyle w:val="Fuentedeprrafopredeter1"/>
                <w:rFonts w:asciiTheme="majorBidi" w:hAnsiTheme="majorBidi" w:cstheme="majorBidi"/>
                <w:color w:val="000000" w:themeColor="text1"/>
                <w:lang w:val="es-MX"/>
              </w:rPr>
              <w:t xml:space="preserve"> por ejercer sus funciones comunitarias legítimas en defensa de sus territorios</w:t>
            </w:r>
            <w:r w:rsidRPr="00093DD5">
              <w:rPr>
                <w:rStyle w:val="Refdenotaalpie"/>
                <w:rFonts w:asciiTheme="majorBidi" w:hAnsiTheme="majorBidi" w:cstheme="majorBidi"/>
                <w:color w:val="000000" w:themeColor="text1"/>
                <w:sz w:val="22"/>
                <w:lang w:val="es-MX"/>
              </w:rPr>
              <w:footnoteReference w:id="142"/>
            </w:r>
            <w:r w:rsidRPr="00093DD5">
              <w:rPr>
                <w:rStyle w:val="Fuentedeprrafopredeter1"/>
                <w:rFonts w:asciiTheme="majorBidi" w:hAnsiTheme="majorBidi" w:cstheme="majorBidi"/>
                <w:color w:val="000000" w:themeColor="text1"/>
                <w:lang w:val="es-MX"/>
              </w:rPr>
              <w:t>. En varios casos, se les han impuesto medidas sustitutivas desproporcionadas, como presentaciones periódicas ante el Ministerio Público, cauciones económicas que superan ampliamente sus posibilidades, y arresto domiciliario con restricción de movimiento fuera del departamento, lo que dificulta gravemente su capacidad para dar seguimiento a las diligencias ante la institucionalidad agraria. A pesar de este contexto adverso, se reconoce la apertura y compromiso de la sede Regional del Fondo de Tierras en Cobán, quien ha manifestado su disposición a agilizar los procesos de adjudicación en propiedad colectiva, en consonancia con las necesidades expresadas por las comunidades, siempre y cuando se resuelvan las acciones legales.</w:t>
            </w:r>
          </w:p>
          <w:p w14:paraId="0AA4062A" w14:textId="77777777" w:rsidR="00200996" w:rsidRPr="00093DD5" w:rsidRDefault="00200996" w:rsidP="00200996">
            <w:pPr>
              <w:pStyle w:val="Textonotapie"/>
              <w:suppressLineNumbers/>
              <w:suppressAutoHyphens/>
              <w:rPr>
                <w:rStyle w:val="Fuentedeprrafopredeter1"/>
                <w:rFonts w:asciiTheme="majorBidi" w:eastAsiaTheme="majorEastAsia" w:hAnsiTheme="majorBidi" w:cstheme="majorBidi"/>
                <w:b/>
                <w:bCs/>
                <w:color w:val="000000" w:themeColor="text1"/>
                <w:sz w:val="22"/>
                <w:szCs w:val="22"/>
                <w:lang w:val="es-MX"/>
              </w:rPr>
            </w:pPr>
          </w:p>
        </w:tc>
      </w:tr>
    </w:tbl>
    <w:p w14:paraId="668F65D7" w14:textId="77777777" w:rsidR="00200996" w:rsidRPr="00093DD5" w:rsidRDefault="00200996" w:rsidP="00200996">
      <w:pPr>
        <w:pStyle w:val="Textonotapie"/>
        <w:suppressLineNumbers/>
        <w:pBdr>
          <w:top w:val="none" w:sz="0" w:space="0" w:color="000000"/>
          <w:left w:val="none" w:sz="0" w:space="0" w:color="000000"/>
          <w:bottom w:val="none" w:sz="0" w:space="0" w:color="000000"/>
          <w:right w:val="none" w:sz="0" w:space="0" w:color="000000"/>
        </w:pBdr>
        <w:suppressAutoHyphens/>
        <w:rPr>
          <w:rStyle w:val="Fuentedeprrafopredeter1"/>
          <w:rFonts w:asciiTheme="majorBidi" w:eastAsiaTheme="majorEastAsia" w:hAnsiTheme="majorBidi" w:cstheme="majorBidi"/>
          <w:b/>
          <w:bCs/>
          <w:color w:val="000000" w:themeColor="text1"/>
          <w:sz w:val="22"/>
          <w:szCs w:val="22"/>
          <w:lang w:val="es-MX"/>
        </w:rPr>
      </w:pPr>
    </w:p>
    <w:p w14:paraId="5407518F" w14:textId="6F5FCCB6" w:rsidR="00200996" w:rsidRPr="00872EEF" w:rsidRDefault="00200996" w:rsidP="00872EEF">
      <w:pPr>
        <w:pStyle w:val="Prrafodelista"/>
        <w:numPr>
          <w:ilvl w:val="1"/>
          <w:numId w:val="29"/>
        </w:numPr>
        <w:suppressAutoHyphens/>
        <w:rPr>
          <w:rStyle w:val="Fuentedeprrafopredeter1"/>
          <w:rFonts w:asciiTheme="majorBidi" w:hAnsiTheme="majorBidi" w:cstheme="majorBidi"/>
          <w:b/>
          <w:bCs/>
          <w:color w:val="000000" w:themeColor="text1"/>
          <w:lang w:val="es-MX"/>
        </w:rPr>
      </w:pPr>
      <w:r w:rsidRPr="00872EEF">
        <w:rPr>
          <w:rStyle w:val="Fuentedeprrafopredeter1"/>
          <w:rFonts w:asciiTheme="majorBidi" w:hAnsiTheme="majorBidi" w:cstheme="majorBidi"/>
          <w:b/>
          <w:bCs/>
          <w:color w:val="000000" w:themeColor="text1"/>
          <w:lang w:val="es-MX"/>
        </w:rPr>
        <w:t>Caso: San Pablo Chinaha’, Poptún, Petén</w:t>
      </w:r>
      <w:r w:rsidRPr="00093DD5">
        <w:rPr>
          <w:rStyle w:val="Refdenotaalpie"/>
          <w:rFonts w:asciiTheme="majorBidi" w:hAnsiTheme="majorBidi" w:cstheme="majorBidi"/>
          <w:b/>
          <w:bCs/>
          <w:color w:val="000000" w:themeColor="text1"/>
          <w:sz w:val="22"/>
          <w:lang w:val="es-MX"/>
        </w:rPr>
        <w:footnoteReference w:id="143"/>
      </w:r>
    </w:p>
    <w:tbl>
      <w:tblPr>
        <w:tblStyle w:val="Tablaconcuadrcula"/>
        <w:tblW w:w="0" w:type="auto"/>
        <w:tblLook w:val="04A0" w:firstRow="1" w:lastRow="0" w:firstColumn="1" w:lastColumn="0" w:noHBand="0" w:noVBand="1"/>
      </w:tblPr>
      <w:tblGrid>
        <w:gridCol w:w="8828"/>
      </w:tblGrid>
      <w:tr w:rsidR="00200996" w:rsidRPr="00093DD5" w14:paraId="65A20CE2" w14:textId="77777777" w:rsidTr="00200996">
        <w:tc>
          <w:tcPr>
            <w:tcW w:w="8828" w:type="dxa"/>
          </w:tcPr>
          <w:p w14:paraId="310D845A" w14:textId="77777777" w:rsidR="00200996" w:rsidRPr="00093DD5" w:rsidRDefault="00200996" w:rsidP="00200996">
            <w:pPr>
              <w:suppressAutoHyphens/>
              <w:rPr>
                <w:rFonts w:asciiTheme="majorBidi" w:hAnsiTheme="majorBidi" w:cstheme="majorBidi"/>
                <w:color w:val="000000" w:themeColor="text1"/>
              </w:rPr>
            </w:pPr>
            <w:r w:rsidRPr="00093DD5">
              <w:rPr>
                <w:rStyle w:val="Fuentedeprrafopredeter1"/>
                <w:rFonts w:asciiTheme="majorBidi" w:hAnsiTheme="majorBidi" w:cstheme="majorBidi"/>
                <w:b/>
                <w:bCs/>
                <w:color w:val="000000" w:themeColor="text1"/>
                <w:lang w:val="es-MX"/>
              </w:rPr>
              <w:t>Sentencia expediente 01008-2016-00198, 15 de junio del 2017, Sala Primera de la Corte de Apelaciones del Ramo Civil y Mercantil</w:t>
            </w:r>
          </w:p>
          <w:p w14:paraId="6E9B4E34" w14:textId="77777777" w:rsidR="00200996" w:rsidRPr="00093DD5" w:rsidRDefault="00200996" w:rsidP="00200996">
            <w:pPr>
              <w:pStyle w:val="Textonotapie"/>
              <w:rPr>
                <w:rFonts w:asciiTheme="majorBidi" w:hAnsiTheme="majorBidi" w:cstheme="majorBidi"/>
                <w:color w:val="000000" w:themeColor="text1"/>
                <w:sz w:val="22"/>
                <w:szCs w:val="22"/>
                <w:lang w:val="es-GT"/>
              </w:rPr>
            </w:pPr>
          </w:p>
          <w:p w14:paraId="5714151A" w14:textId="77777777" w:rsidR="00200996" w:rsidRPr="00093DD5" w:rsidRDefault="00200996" w:rsidP="00200996">
            <w:pPr>
              <w:jc w:val="both"/>
              <w:rPr>
                <w:rFonts w:asciiTheme="majorBidi" w:hAnsiTheme="majorBidi" w:cstheme="majorBidi"/>
                <w:color w:val="000000" w:themeColor="text1"/>
              </w:rPr>
            </w:pPr>
            <w:r w:rsidRPr="00093DD5">
              <w:rPr>
                <w:rStyle w:val="Fuentedeprrafopredeter1"/>
                <w:rFonts w:asciiTheme="majorBidi" w:hAnsiTheme="majorBidi" w:cstheme="majorBidi"/>
                <w:color w:val="000000" w:themeColor="text1"/>
                <w:lang w:val="es-MX"/>
              </w:rPr>
              <w:t>Desde el año 1970, la comunidad ha venido gestionando ante las instituciones agrarias del Estado de Guatemala el reconocimiento de su derecho ancestral a la tierra, fundamentado en su posesión histórica, cultural y colectiva del territorio. A pesar de obtener una sentencia favorable en 2017 que reconocía dicho derecho, la comunidad se vio en la necesidad de iniciar un nuevo proceso administrativo ante el Fondo de Tierras con el fin de dar cumplimiento efectivo a la resolución judicial, solicitando su incorporación al programa de regularización de tierras. En 2023, como parte de ese proceso, la comunidad presentó formalmente una solicitud para que la titulación de sus tierras sea adjudicada bajo la figura de propiedad comunal, con las características propias de propiedad comunal: inalienabilidad, indivisibilidad, imprescriptibilidad e inembargabilidad. Esta solicitud refleja no solo su demanda de seguridad jurídica sobre el territorio, sino también el ejercicio de su derecho colectivo al reconocimiento y protección de su identidad como pueblo indígena.</w:t>
            </w:r>
          </w:p>
          <w:p w14:paraId="387A7C29" w14:textId="77777777" w:rsidR="00200996" w:rsidRPr="00093DD5" w:rsidRDefault="00200996" w:rsidP="00200996">
            <w:pPr>
              <w:jc w:val="both"/>
              <w:rPr>
                <w:rFonts w:asciiTheme="majorBidi" w:hAnsiTheme="majorBidi" w:cstheme="majorBidi"/>
                <w:color w:val="000000" w:themeColor="text1"/>
              </w:rPr>
            </w:pPr>
            <w:r w:rsidRPr="00093DD5">
              <w:rPr>
                <w:rStyle w:val="Fuentedeprrafopredeter1"/>
                <w:rFonts w:asciiTheme="majorBidi" w:hAnsiTheme="majorBidi" w:cstheme="majorBidi"/>
                <w:color w:val="000000" w:themeColor="text1"/>
                <w:lang w:val="es-MX"/>
              </w:rPr>
              <w:t>Ese mismo año, el Fondo de Tierras elaboró un cronograma de actividades necesarias para avanzar en el proceso de adjudicación. Sin embargo, el cumplimiento de dicho cronograma ha sido excesivamente lento y se ha visto obstaculizado por los retrasos administrativos en la institucionalidad agraria. Esta dilación institucional representa una grave omisión del Estado en su obligación de garantizar el acceso a la tierra y el respeto a los derechos colectivos de las comunidades indígenas, prolongando así la inseguridad jurídica sobre sus territorios y perpetuando una situación de desprotección histórica. La inacción estatal frente al cumplimiento de la sentencia pone en evidencia la brecha existente entre el reconocimiento formal de derechos y su materialización efectiva, afectando directamente el bienestar, la organización comunitaria y el futuro de la comunidad.</w:t>
            </w:r>
          </w:p>
          <w:p w14:paraId="685A2749" w14:textId="77777777" w:rsidR="00200996" w:rsidRPr="00093DD5" w:rsidRDefault="00200996" w:rsidP="00200996">
            <w:pPr>
              <w:suppressAutoHyphens/>
              <w:rPr>
                <w:rStyle w:val="Fuentedeprrafopredeter1"/>
                <w:rFonts w:asciiTheme="majorBidi" w:hAnsiTheme="majorBidi" w:cstheme="majorBidi"/>
                <w:b/>
                <w:bCs/>
                <w:color w:val="000000" w:themeColor="text1"/>
                <w:lang w:val="es-MX"/>
              </w:rPr>
            </w:pPr>
          </w:p>
        </w:tc>
      </w:tr>
    </w:tbl>
    <w:p w14:paraId="3634FAFA" w14:textId="77777777" w:rsidR="00200996" w:rsidRDefault="00200996" w:rsidP="00200996">
      <w:pPr>
        <w:suppressAutoHyphens/>
        <w:rPr>
          <w:rStyle w:val="Fuentedeprrafopredeter1"/>
          <w:rFonts w:asciiTheme="majorBidi" w:hAnsiTheme="majorBidi" w:cstheme="majorBidi"/>
          <w:b/>
          <w:bCs/>
          <w:color w:val="000000" w:themeColor="text1"/>
          <w:lang w:val="es-MX"/>
        </w:rPr>
      </w:pPr>
    </w:p>
    <w:p w14:paraId="5B2EE489" w14:textId="77777777" w:rsidR="00860418" w:rsidRPr="00093DD5" w:rsidRDefault="00860418" w:rsidP="00200996">
      <w:pPr>
        <w:suppressAutoHyphens/>
        <w:rPr>
          <w:rStyle w:val="Fuentedeprrafopredeter1"/>
          <w:rFonts w:asciiTheme="majorBidi" w:hAnsiTheme="majorBidi" w:cstheme="majorBidi"/>
          <w:b/>
          <w:bCs/>
          <w:color w:val="000000" w:themeColor="text1"/>
          <w:lang w:val="es-MX"/>
        </w:rPr>
      </w:pPr>
    </w:p>
    <w:p w14:paraId="6781A441" w14:textId="196B4630" w:rsidR="00200996" w:rsidRPr="0070207E" w:rsidRDefault="00200996" w:rsidP="0070207E">
      <w:pPr>
        <w:pStyle w:val="Prrafodelista"/>
        <w:numPr>
          <w:ilvl w:val="1"/>
          <w:numId w:val="29"/>
        </w:numPr>
        <w:jc w:val="both"/>
        <w:rPr>
          <w:rStyle w:val="Fuentedeprrafopredeter1"/>
          <w:rFonts w:asciiTheme="majorBidi" w:hAnsiTheme="majorBidi" w:cstheme="majorBidi"/>
          <w:b/>
          <w:bCs/>
          <w:color w:val="000000" w:themeColor="text1"/>
          <w:lang w:val="es-MX"/>
        </w:rPr>
      </w:pPr>
      <w:r w:rsidRPr="0070207E">
        <w:rPr>
          <w:rStyle w:val="Fuentedeprrafopredeter1"/>
          <w:rFonts w:asciiTheme="majorBidi" w:hAnsiTheme="majorBidi" w:cstheme="majorBidi"/>
          <w:b/>
          <w:bCs/>
          <w:color w:val="000000" w:themeColor="text1"/>
          <w:lang w:val="es-MX"/>
        </w:rPr>
        <w:lastRenderedPageBreak/>
        <w:t>Caso: Xaal K’ixche, Sayaxché, Petén</w:t>
      </w:r>
      <w:r w:rsidRPr="00093DD5">
        <w:rPr>
          <w:rStyle w:val="Refdenotaalpie"/>
          <w:rFonts w:asciiTheme="majorBidi" w:hAnsiTheme="majorBidi" w:cstheme="majorBidi"/>
          <w:b/>
          <w:bCs/>
          <w:color w:val="000000" w:themeColor="text1"/>
          <w:sz w:val="22"/>
          <w:lang w:val="es-MX"/>
        </w:rPr>
        <w:footnoteReference w:id="144"/>
      </w:r>
    </w:p>
    <w:tbl>
      <w:tblPr>
        <w:tblStyle w:val="Tablaconcuadrcula"/>
        <w:tblW w:w="0" w:type="auto"/>
        <w:tblLook w:val="04A0" w:firstRow="1" w:lastRow="0" w:firstColumn="1" w:lastColumn="0" w:noHBand="0" w:noVBand="1"/>
      </w:tblPr>
      <w:tblGrid>
        <w:gridCol w:w="8828"/>
      </w:tblGrid>
      <w:tr w:rsidR="00200996" w:rsidRPr="00093DD5" w14:paraId="6930063D" w14:textId="77777777" w:rsidTr="00200996">
        <w:tc>
          <w:tcPr>
            <w:tcW w:w="8828" w:type="dxa"/>
          </w:tcPr>
          <w:p w14:paraId="22B782BA" w14:textId="77777777" w:rsidR="00200996" w:rsidRPr="00093DD5" w:rsidRDefault="00200996" w:rsidP="00200996">
            <w:pPr>
              <w:jc w:val="both"/>
              <w:rPr>
                <w:rFonts w:asciiTheme="majorBidi" w:hAnsiTheme="majorBidi" w:cstheme="majorBidi"/>
                <w:color w:val="000000" w:themeColor="text1"/>
              </w:rPr>
            </w:pPr>
            <w:r w:rsidRPr="00093DD5">
              <w:rPr>
                <w:rStyle w:val="Fuentedeprrafopredeter1"/>
                <w:rFonts w:asciiTheme="majorBidi" w:hAnsiTheme="majorBidi" w:cstheme="majorBidi"/>
                <w:b/>
                <w:bCs/>
                <w:color w:val="000000" w:themeColor="text1"/>
                <w:lang w:val="es-MX"/>
              </w:rPr>
              <w:t>Sentencia expediente 01009-2016-0081, 16 de octubre de 2017, Sala Segunda de la Corte de Apelaciones del Ramo Civil y Mercantil.</w:t>
            </w:r>
          </w:p>
          <w:p w14:paraId="751EEB9D" w14:textId="77777777" w:rsidR="00200996" w:rsidRPr="00093DD5" w:rsidRDefault="00200996" w:rsidP="00200996">
            <w:pPr>
              <w:pStyle w:val="Textonotapie"/>
              <w:rPr>
                <w:rFonts w:asciiTheme="majorBidi" w:hAnsiTheme="majorBidi" w:cstheme="majorBidi"/>
                <w:color w:val="000000" w:themeColor="text1"/>
                <w:sz w:val="22"/>
                <w:szCs w:val="22"/>
                <w:lang w:val="es-GT"/>
              </w:rPr>
            </w:pPr>
          </w:p>
          <w:p w14:paraId="3E41E244" w14:textId="77777777" w:rsidR="00200996" w:rsidRPr="00093DD5" w:rsidRDefault="00200996" w:rsidP="00200996">
            <w:pPr>
              <w:jc w:val="both"/>
              <w:rPr>
                <w:rFonts w:asciiTheme="majorBidi" w:hAnsiTheme="majorBidi" w:cstheme="majorBidi"/>
                <w:color w:val="000000" w:themeColor="text1"/>
              </w:rPr>
            </w:pPr>
            <w:r w:rsidRPr="00093DD5">
              <w:rPr>
                <w:rStyle w:val="Fuentedeprrafopredeter1"/>
                <w:rFonts w:asciiTheme="majorBidi" w:hAnsiTheme="majorBidi" w:cstheme="majorBidi"/>
                <w:color w:val="000000" w:themeColor="text1"/>
                <w:lang w:val="es-MX"/>
              </w:rPr>
              <w:t>La situación de la tierra perteneciente a la comunidad indígena Xaal K’ixche continúa sin resolverse en el ámbito administrativo, a pesar de que el Fondo de Tierras no ha presentado argumentos jurídicos sólidos que justifiquen la negativa a reconocer el derecho colectivo de la comunidad sobre el territorio ancestral. Lejos de garantizar el acceso efectivo a la tierra, el Fondo ha optado por cerrar cualquier posibilidad de avance en el trámite, alegando la existencia de reclamos por parte de terceros con intereses sobre la finca. Esta decisión constituye una clara omisión del deber estatal de asegurar la protección de los derechos territoriales de los pueblos indígenas, tal como lo establecen tanto la legislación nacional como los tratados internacionales en materia de derechos humanos.</w:t>
            </w:r>
          </w:p>
          <w:p w14:paraId="00922AD7" w14:textId="77777777" w:rsidR="00200996" w:rsidRPr="00093DD5" w:rsidRDefault="00200996" w:rsidP="00200996">
            <w:pPr>
              <w:jc w:val="both"/>
              <w:rPr>
                <w:rFonts w:asciiTheme="majorBidi" w:hAnsiTheme="majorBidi" w:cstheme="majorBidi"/>
                <w:b/>
                <w:bCs/>
                <w:color w:val="000000" w:themeColor="text1"/>
                <w:lang w:val="es-MX"/>
              </w:rPr>
            </w:pPr>
            <w:r w:rsidRPr="00093DD5">
              <w:rPr>
                <w:rStyle w:val="Fuentedeprrafopredeter1"/>
                <w:rFonts w:asciiTheme="majorBidi" w:hAnsiTheme="majorBidi" w:cstheme="majorBidi"/>
                <w:color w:val="000000" w:themeColor="text1"/>
                <w:lang w:val="es-MX"/>
              </w:rPr>
              <w:t>El tribunal de amparo ha remitido el caso a la jurisdicción ordinaria, con el fin de que, mediante el debido proceso, se determine si el acto jurídico contenido en el instrumento público impugnado presenta nulidad o falsedad. Este criterio del Tribunal es preocupante, porque establece que los conflictos relacionados con tierras de pueblos indígenas deben resolverse exclusivamente en la vía ordinaria, salvo en aquellos casos donde exista evidencia clara de ilegalidad en los actos registrales del tracto sucesivo. Esta postura no solo prolonga la incertidumbre jurídica que enfrentan las comunidades, sino que también debilita los mecanismos de protección, generando un escenario adverso donde las comunidades indígenas no solo ven obstaculizado el acceso a la justicia, sino que además están siendo condenadas a seguir sufragando las costas procesales y responsabilizando de la carga de la prueba a pesar de la evidente situación de vulnerabilidad en la que se encuentran.</w:t>
            </w:r>
          </w:p>
          <w:p w14:paraId="36C2C5EE" w14:textId="77777777" w:rsidR="00200996" w:rsidRPr="00093DD5" w:rsidRDefault="00200996" w:rsidP="00200996">
            <w:pPr>
              <w:jc w:val="both"/>
              <w:rPr>
                <w:rStyle w:val="Fuentedeprrafopredeter1"/>
                <w:rFonts w:asciiTheme="majorBidi" w:hAnsiTheme="majorBidi" w:cstheme="majorBidi"/>
                <w:b/>
                <w:bCs/>
                <w:color w:val="000000" w:themeColor="text1"/>
                <w:lang w:val="es-MX"/>
              </w:rPr>
            </w:pPr>
          </w:p>
        </w:tc>
      </w:tr>
    </w:tbl>
    <w:p w14:paraId="441C1C8D" w14:textId="77777777" w:rsidR="00200996" w:rsidRPr="00093DD5" w:rsidRDefault="00200996" w:rsidP="00200996">
      <w:pPr>
        <w:jc w:val="both"/>
        <w:rPr>
          <w:rFonts w:asciiTheme="majorBidi" w:hAnsiTheme="majorBidi" w:cstheme="majorBidi"/>
          <w:b/>
          <w:bCs/>
          <w:color w:val="000000" w:themeColor="text1"/>
          <w:lang w:val="es-MX"/>
        </w:rPr>
      </w:pPr>
    </w:p>
    <w:p w14:paraId="0580166E" w14:textId="6927D811" w:rsidR="00200996" w:rsidRPr="0070207E" w:rsidRDefault="00200996" w:rsidP="0070207E">
      <w:pPr>
        <w:pStyle w:val="Prrafodelista"/>
        <w:numPr>
          <w:ilvl w:val="1"/>
          <w:numId w:val="29"/>
        </w:numPr>
        <w:jc w:val="both"/>
        <w:rPr>
          <w:rStyle w:val="Fuentedeprrafopredeter1"/>
          <w:rFonts w:asciiTheme="majorBidi" w:hAnsiTheme="majorBidi" w:cstheme="majorBidi"/>
          <w:b/>
          <w:bCs/>
          <w:color w:val="000000" w:themeColor="text1"/>
          <w:lang w:val="es-MX"/>
        </w:rPr>
      </w:pPr>
      <w:r w:rsidRPr="0070207E">
        <w:rPr>
          <w:rStyle w:val="Fuentedeprrafopredeter1"/>
          <w:rFonts w:asciiTheme="majorBidi" w:hAnsiTheme="majorBidi" w:cstheme="majorBidi"/>
          <w:b/>
          <w:bCs/>
          <w:color w:val="000000" w:themeColor="text1"/>
          <w:lang w:val="es-MX"/>
        </w:rPr>
        <w:t>Caso: Administración ancestral de tierras comunales, Cofradía de San José Poaquil, Chimaltenango</w:t>
      </w:r>
      <w:r w:rsidRPr="00093DD5">
        <w:rPr>
          <w:rStyle w:val="Refdenotaalpie"/>
          <w:rFonts w:asciiTheme="majorBidi" w:hAnsiTheme="majorBidi" w:cstheme="majorBidi"/>
          <w:color w:val="000000" w:themeColor="text1"/>
          <w:sz w:val="22"/>
          <w:lang w:val="es-MX"/>
        </w:rPr>
        <w:footnoteReference w:id="145"/>
      </w:r>
      <w:r w:rsidRPr="0070207E">
        <w:rPr>
          <w:rStyle w:val="Fuentedeprrafopredeter1"/>
          <w:rFonts w:asciiTheme="majorBidi" w:hAnsiTheme="majorBidi" w:cstheme="majorBidi"/>
          <w:color w:val="000000" w:themeColor="text1"/>
          <w:lang w:val="es-MX"/>
        </w:rPr>
        <w:t>.</w:t>
      </w:r>
    </w:p>
    <w:tbl>
      <w:tblPr>
        <w:tblStyle w:val="Tablaconcuadrcula"/>
        <w:tblW w:w="0" w:type="auto"/>
        <w:tblLook w:val="04A0" w:firstRow="1" w:lastRow="0" w:firstColumn="1" w:lastColumn="0" w:noHBand="0" w:noVBand="1"/>
      </w:tblPr>
      <w:tblGrid>
        <w:gridCol w:w="8828"/>
      </w:tblGrid>
      <w:tr w:rsidR="00200996" w:rsidRPr="00093DD5" w14:paraId="17BE9B65" w14:textId="77777777" w:rsidTr="00200996">
        <w:tc>
          <w:tcPr>
            <w:tcW w:w="8828" w:type="dxa"/>
          </w:tcPr>
          <w:p w14:paraId="0283E4A9" w14:textId="77777777" w:rsidR="00200996" w:rsidRPr="00093DD5" w:rsidRDefault="00200996" w:rsidP="00200996">
            <w:pPr>
              <w:pStyle w:val="Textonotapie"/>
              <w:rPr>
                <w:rFonts w:asciiTheme="majorBidi" w:hAnsiTheme="majorBidi" w:cstheme="majorBidi"/>
                <w:color w:val="000000" w:themeColor="text1"/>
                <w:sz w:val="22"/>
                <w:szCs w:val="22"/>
                <w:lang w:val="es-GT"/>
              </w:rPr>
            </w:pPr>
            <w:r w:rsidRPr="00093DD5">
              <w:rPr>
                <w:rStyle w:val="Fuentedeprrafopredeter1"/>
                <w:rFonts w:asciiTheme="majorBidi" w:eastAsiaTheme="majorEastAsia" w:hAnsiTheme="majorBidi" w:cstheme="majorBidi"/>
                <w:b/>
                <w:bCs/>
                <w:color w:val="000000" w:themeColor="text1"/>
                <w:sz w:val="22"/>
                <w:szCs w:val="22"/>
                <w:lang w:val="es-MX"/>
              </w:rPr>
              <w:t>Sentencia expediente No. 2275-2014, 06 de junio de 2016, Corte de Constitucionalidad</w:t>
            </w:r>
          </w:p>
          <w:p w14:paraId="18E7E151" w14:textId="77777777" w:rsidR="00200996" w:rsidRPr="00093DD5" w:rsidRDefault="00200996" w:rsidP="00200996">
            <w:pPr>
              <w:jc w:val="both"/>
              <w:rPr>
                <w:rFonts w:asciiTheme="majorBidi" w:hAnsiTheme="majorBidi" w:cstheme="majorBidi"/>
                <w:color w:val="000000" w:themeColor="text1"/>
              </w:rPr>
            </w:pPr>
          </w:p>
          <w:p w14:paraId="12BBA391" w14:textId="77777777" w:rsidR="00200996" w:rsidRPr="00093DD5" w:rsidRDefault="00200996" w:rsidP="00200996">
            <w:pPr>
              <w:jc w:val="both"/>
              <w:rPr>
                <w:rStyle w:val="Fuentedeprrafopredeter1"/>
                <w:rFonts w:asciiTheme="majorBidi" w:hAnsiTheme="majorBidi" w:cstheme="majorBidi"/>
                <w:color w:val="000000" w:themeColor="text1"/>
                <w:lang w:val="es-MX"/>
              </w:rPr>
            </w:pPr>
            <w:r w:rsidRPr="00093DD5">
              <w:rPr>
                <w:rStyle w:val="Fuentedeprrafopredeter1"/>
                <w:rFonts w:asciiTheme="majorBidi" w:hAnsiTheme="majorBidi" w:cstheme="majorBidi"/>
                <w:color w:val="000000" w:themeColor="text1"/>
                <w:lang w:val="es-MX"/>
              </w:rPr>
              <w:t>En la sentencia correspondiente, la Corte reconoció expresamente el carácter ancestral de la organización comunitaria, así como su rol fundamental en el cuidado y resguardo del territorio, la administración de las tierras comunales y la preservación de los títulos colectivos. No obstante, a pesar de dicho reconocimiento judicial, las comunidades indígenas han enfrentado múltiples obstáculos para ejercer plenamente su derecho a la administración autónoma de sus tierras. Entre ellos, destaca la negativa de diversas instituciones estatales a reconocer la autoridad legítima de las estructuras tradicionales, llegando incluso a desacreditar públicamente su labor y a presentar denuncias penales</w:t>
            </w:r>
            <w:r w:rsidRPr="00093DD5">
              <w:rPr>
                <w:rStyle w:val="Refdenotaalpie"/>
                <w:rFonts w:asciiTheme="majorBidi" w:hAnsiTheme="majorBidi" w:cstheme="majorBidi"/>
                <w:color w:val="000000" w:themeColor="text1"/>
                <w:sz w:val="22"/>
                <w:lang w:val="es-MX"/>
              </w:rPr>
              <w:footnoteReference w:id="146"/>
            </w:r>
            <w:r w:rsidRPr="00093DD5">
              <w:rPr>
                <w:rStyle w:val="Fuentedeprrafopredeter1"/>
                <w:rFonts w:asciiTheme="majorBidi" w:hAnsiTheme="majorBidi" w:cstheme="majorBidi"/>
                <w:color w:val="000000" w:themeColor="text1"/>
                <w:lang w:val="es-MX"/>
              </w:rPr>
              <w:t xml:space="preserve"> en contra de las autoridades ancestrales debido a su ejercicio autónomo de conservación y cuidado de los recursos naturales, lo cual constituye una clara vulneración de sus derechos colectivos.</w:t>
            </w:r>
          </w:p>
          <w:p w14:paraId="437EB290" w14:textId="77777777" w:rsidR="00200996" w:rsidRPr="00093DD5" w:rsidRDefault="00200996" w:rsidP="00200996">
            <w:pPr>
              <w:jc w:val="both"/>
              <w:rPr>
                <w:rFonts w:asciiTheme="majorBidi" w:hAnsiTheme="majorBidi" w:cstheme="majorBidi"/>
                <w:color w:val="000000" w:themeColor="text1"/>
                <w:lang w:val="es-MX"/>
              </w:rPr>
            </w:pPr>
            <w:r w:rsidRPr="00093DD5">
              <w:rPr>
                <w:rStyle w:val="Fuentedeprrafopredeter1"/>
                <w:rFonts w:asciiTheme="majorBidi" w:hAnsiTheme="majorBidi" w:cstheme="majorBidi"/>
                <w:color w:val="000000" w:themeColor="text1"/>
                <w:lang w:val="es-MX"/>
              </w:rPr>
              <w:t>Además, esta falta de reconocimiento institucional ha impedido que la comunidad acceda a proyectos de inversión pública y a programas de incentivos, especialmente en el ámbito ambiental. Las entidades estatales argumentan que, al no figurar las tierras a nombre del Estado</w:t>
            </w:r>
            <w:r w:rsidRPr="00093DD5">
              <w:rPr>
                <w:rStyle w:val="Refdenotaalpie"/>
                <w:rFonts w:asciiTheme="majorBidi" w:hAnsiTheme="majorBidi" w:cstheme="majorBidi"/>
                <w:color w:val="000000" w:themeColor="text1"/>
                <w:sz w:val="22"/>
                <w:lang w:val="es-MX"/>
              </w:rPr>
              <w:footnoteReference w:id="147"/>
            </w:r>
            <w:r w:rsidRPr="00093DD5">
              <w:rPr>
                <w:rStyle w:val="Fuentedeprrafopredeter1"/>
                <w:rFonts w:asciiTheme="majorBidi" w:hAnsiTheme="majorBidi" w:cstheme="majorBidi"/>
                <w:color w:val="000000" w:themeColor="text1"/>
                <w:lang w:val="es-MX"/>
              </w:rPr>
              <w:t xml:space="preserve">, la </w:t>
            </w:r>
            <w:r w:rsidRPr="00093DD5">
              <w:rPr>
                <w:rStyle w:val="Fuentedeprrafopredeter1"/>
                <w:rFonts w:asciiTheme="majorBidi" w:hAnsiTheme="majorBidi" w:cstheme="majorBidi"/>
                <w:color w:val="000000" w:themeColor="text1"/>
                <w:lang w:val="es-MX"/>
              </w:rPr>
              <w:lastRenderedPageBreak/>
              <w:t>comunidad no puede ser beneficiaria de programas como los incentivos forestales, que serían clave para fortalecer sus esfuerzos en la protección de bosques comunales, fuentes de agua y bienes naturales. Esta exclusión no solo representa una omisión del Estado en garantizar los derechos colectivos de los pueblos indígenas, sino que también limita oportunidades de desarrollo sostenible y generación de empleo, en particular para mujeres y jóvenes del pueblo Kaqchikel.</w:t>
            </w:r>
          </w:p>
          <w:p w14:paraId="6E9523B0" w14:textId="77777777" w:rsidR="00200996" w:rsidRPr="00093DD5" w:rsidRDefault="00200996" w:rsidP="00200996">
            <w:pPr>
              <w:jc w:val="both"/>
              <w:rPr>
                <w:rFonts w:asciiTheme="majorBidi" w:hAnsiTheme="majorBidi" w:cstheme="majorBidi"/>
                <w:b/>
                <w:bCs/>
                <w:color w:val="000000" w:themeColor="text1"/>
                <w:lang w:val="es-MX"/>
              </w:rPr>
            </w:pPr>
          </w:p>
          <w:p w14:paraId="12A67AB8" w14:textId="77777777" w:rsidR="00200996" w:rsidRPr="00093DD5" w:rsidRDefault="00200996" w:rsidP="00200996">
            <w:pPr>
              <w:pStyle w:val="Textonotapie"/>
              <w:rPr>
                <w:rStyle w:val="Fuentedeprrafopredeter1"/>
                <w:rFonts w:asciiTheme="majorBidi" w:eastAsiaTheme="majorEastAsia" w:hAnsiTheme="majorBidi" w:cstheme="majorBidi"/>
                <w:b/>
                <w:bCs/>
                <w:color w:val="000000" w:themeColor="text1"/>
                <w:sz w:val="22"/>
                <w:szCs w:val="22"/>
                <w:lang w:val="es-MX"/>
              </w:rPr>
            </w:pPr>
          </w:p>
        </w:tc>
      </w:tr>
    </w:tbl>
    <w:p w14:paraId="2DB645D1" w14:textId="77777777" w:rsidR="00B17FCE" w:rsidRDefault="00B17FCE" w:rsidP="00200996">
      <w:pPr>
        <w:pStyle w:val="Textonotapie"/>
        <w:rPr>
          <w:rStyle w:val="Fuentedeprrafopredeter1"/>
          <w:rFonts w:asciiTheme="majorBidi" w:eastAsiaTheme="majorEastAsia" w:hAnsiTheme="majorBidi" w:cstheme="majorBidi"/>
          <w:b/>
          <w:bCs/>
          <w:color w:val="000000" w:themeColor="text1"/>
          <w:sz w:val="22"/>
          <w:szCs w:val="22"/>
          <w:lang w:val="es-MX"/>
        </w:rPr>
        <w:sectPr w:rsidR="00B17FCE" w:rsidSect="00CF265D">
          <w:pgSz w:w="12240" w:h="15840"/>
          <w:pgMar w:top="1417" w:right="1701" w:bottom="1417" w:left="1701" w:header="708" w:footer="708" w:gutter="0"/>
          <w:pgNumType w:fmt="upperRoman" w:start="1"/>
          <w:cols w:space="708"/>
          <w:docGrid w:linePitch="360"/>
        </w:sectPr>
      </w:pPr>
    </w:p>
    <w:p w14:paraId="1362DDC6" w14:textId="1D7C15D3" w:rsidR="004D5734" w:rsidRPr="00F93D3C" w:rsidRDefault="00D66EAB" w:rsidP="00D66EAB">
      <w:pPr>
        <w:pStyle w:val="Textonotapie"/>
        <w:rPr>
          <w:rStyle w:val="Fuentedeprrafopredeter1"/>
          <w:rFonts w:asciiTheme="majorBidi" w:eastAsiaTheme="majorEastAsia" w:hAnsiTheme="majorBidi" w:cstheme="majorBidi"/>
          <w:b/>
          <w:bCs/>
          <w:sz w:val="22"/>
          <w:szCs w:val="22"/>
          <w:lang w:val="es-MX"/>
        </w:rPr>
      </w:pPr>
      <w:r>
        <w:rPr>
          <w:rStyle w:val="Fuentedeprrafopredeter1"/>
          <w:rFonts w:asciiTheme="majorBidi" w:eastAsiaTheme="majorEastAsia" w:hAnsiTheme="majorBidi" w:cstheme="majorBidi"/>
          <w:b/>
          <w:bCs/>
          <w:sz w:val="22"/>
          <w:szCs w:val="22"/>
          <w:lang w:val="es-MX"/>
        </w:rPr>
        <w:lastRenderedPageBreak/>
        <w:t>A</w:t>
      </w:r>
      <w:r w:rsidR="004D5734" w:rsidRPr="00F93D3C">
        <w:rPr>
          <w:rStyle w:val="Fuentedeprrafopredeter1"/>
          <w:rFonts w:asciiTheme="majorBidi" w:eastAsiaTheme="majorEastAsia" w:hAnsiTheme="majorBidi" w:cstheme="majorBidi"/>
          <w:b/>
          <w:bCs/>
          <w:sz w:val="22"/>
          <w:szCs w:val="22"/>
          <w:lang w:val="es-MX"/>
        </w:rPr>
        <w:t>NEXO 6: Información relacionada a los DESCA</w:t>
      </w:r>
    </w:p>
    <w:p w14:paraId="7C4B8C9C" w14:textId="77777777" w:rsidR="004D5734" w:rsidRPr="00F93D3C" w:rsidRDefault="004D5734" w:rsidP="004D5734">
      <w:pPr>
        <w:pStyle w:val="Textonotapie"/>
        <w:rPr>
          <w:rStyle w:val="Fuentedeprrafopredeter1"/>
          <w:rFonts w:asciiTheme="majorBidi" w:eastAsiaTheme="majorEastAsia" w:hAnsiTheme="majorBidi" w:cstheme="majorBidi"/>
          <w:b/>
          <w:bCs/>
          <w:sz w:val="22"/>
          <w:szCs w:val="22"/>
          <w:lang w:val="es-MX"/>
        </w:rPr>
      </w:pPr>
    </w:p>
    <w:p w14:paraId="2C5B5144" w14:textId="2DCA26AB" w:rsidR="004D5734" w:rsidRPr="00F93D3C" w:rsidRDefault="004D5734" w:rsidP="0070207E">
      <w:pPr>
        <w:pStyle w:val="Textonotapie"/>
        <w:numPr>
          <w:ilvl w:val="1"/>
          <w:numId w:val="30"/>
        </w:numPr>
        <w:rPr>
          <w:rStyle w:val="Fuentedeprrafopredeter1"/>
          <w:rFonts w:asciiTheme="majorBidi" w:eastAsiaTheme="majorEastAsia" w:hAnsiTheme="majorBidi" w:cstheme="majorBidi"/>
          <w:b/>
          <w:bCs/>
          <w:sz w:val="22"/>
          <w:szCs w:val="22"/>
          <w:lang w:val="es-MX"/>
        </w:rPr>
      </w:pPr>
      <w:r w:rsidRPr="00F93D3C">
        <w:rPr>
          <w:rStyle w:val="Fuentedeprrafopredeter1"/>
          <w:rFonts w:asciiTheme="majorBidi" w:eastAsiaTheme="majorEastAsia" w:hAnsiTheme="majorBidi" w:cstheme="majorBidi"/>
          <w:b/>
          <w:bCs/>
          <w:sz w:val="22"/>
          <w:szCs w:val="22"/>
          <w:lang w:val="es-MX"/>
        </w:rPr>
        <w:t>Expansión</w:t>
      </w:r>
      <w:r w:rsidR="00F10290" w:rsidRPr="00F93D3C">
        <w:rPr>
          <w:rStyle w:val="Fuentedeprrafopredeter1"/>
          <w:rFonts w:asciiTheme="majorBidi" w:eastAsiaTheme="majorEastAsia" w:hAnsiTheme="majorBidi" w:cstheme="majorBidi"/>
          <w:b/>
          <w:bCs/>
          <w:sz w:val="22"/>
          <w:szCs w:val="22"/>
          <w:lang w:val="es-MX"/>
        </w:rPr>
        <w:t xml:space="preserve"> </w:t>
      </w:r>
      <w:r w:rsidR="00F10290" w:rsidRPr="00C46B5A">
        <w:rPr>
          <w:rFonts w:asciiTheme="majorBidi" w:hAnsiTheme="majorBidi" w:cstheme="majorBidi"/>
          <w:b/>
          <w:bCs/>
          <w:lang w:val="es-GT"/>
        </w:rPr>
        <w:t>expansión de la palma aceitera en las Tierras Bajas del Norte de Guatemala</w:t>
      </w:r>
      <w:r w:rsidR="00F10290" w:rsidRPr="00C46B5A">
        <w:rPr>
          <w:rFonts w:asciiTheme="majorBidi" w:eastAsiaTheme="majorEastAsia" w:hAnsiTheme="majorBidi" w:cstheme="majorBidi"/>
          <w:b/>
          <w:bCs/>
          <w:vertAlign w:val="superscript"/>
        </w:rPr>
        <w:footnoteReference w:id="148"/>
      </w:r>
    </w:p>
    <w:tbl>
      <w:tblPr>
        <w:tblStyle w:val="Tablaconcuadrcula"/>
        <w:tblW w:w="0" w:type="auto"/>
        <w:tblLook w:val="04A0" w:firstRow="1" w:lastRow="0" w:firstColumn="1" w:lastColumn="0" w:noHBand="0" w:noVBand="1"/>
      </w:tblPr>
      <w:tblGrid>
        <w:gridCol w:w="8828"/>
      </w:tblGrid>
      <w:tr w:rsidR="00F93D3C" w:rsidRPr="00F93D3C" w14:paraId="22599CE2" w14:textId="77777777">
        <w:tc>
          <w:tcPr>
            <w:tcW w:w="8828" w:type="dxa"/>
          </w:tcPr>
          <w:p w14:paraId="58B4DCAF" w14:textId="77777777" w:rsidR="004D5734" w:rsidRPr="00F93D3C" w:rsidRDefault="004D5734" w:rsidP="004D5734">
            <w:pPr>
              <w:tabs>
                <w:tab w:val="left" w:pos="1529"/>
              </w:tabs>
              <w:spacing w:before="240"/>
              <w:jc w:val="both"/>
              <w:rPr>
                <w:rFonts w:asciiTheme="majorBidi" w:hAnsiTheme="majorBidi" w:cstheme="majorBidi"/>
              </w:rPr>
            </w:pPr>
            <w:r w:rsidRPr="00F93D3C">
              <w:rPr>
                <w:rFonts w:asciiTheme="majorBidi" w:hAnsiTheme="majorBidi" w:cstheme="majorBidi"/>
              </w:rPr>
              <w:t>La pérdida de acceso al agua, la reducción de los caudales, el deterioro de la calidad del agua y la creciente contaminación de los ríos, arroyos y manantiales para consumo de sus habitantes han sido objeto de reiteradas denuncias por parte de las comunidades maya q’eqchi’ de desde el año 2015. Un breve recuento de las denuncias presentadas por comunidades de cinco municipios de esta región (Chisec, Raxruhá, Sayaxché, Panzós y El Estor) señala que al menos 22 fuentes de agua se encuentran contaminadas y se deterioran progresivamente, comprometiendo sus medios de vida y su salud.  El deterioro de las condiciones de vida de la población local ocurre en un contexto de expansión de las plantaciones de palma aceitera.  Este monocultivo se ha incrementado a nivel nacional, alcanzando en 2020 una extensión aproximada de 175,692 hectáreas.  En la década comprendida entre 2010 y 2020, el cultivo de palma africana experimentó una expansión estimada de 92,636 hectáreas, expansión que corresponde a una tasa de crecimiento de 111. 53 % en 10 años. Esta expansión se ha concentrado principalmente en los departamentos de Petén, Izabal y Alta Verapaz, particularmente durante el período 2011-2015, cubriendo al año 2020 el 77 % del área total dedicada a palma a nivel nacional, equivalente a 134,274 hectáreas</w:t>
            </w:r>
            <w:r w:rsidRPr="00F93D3C">
              <w:rPr>
                <w:vertAlign w:val="superscript"/>
              </w:rPr>
              <w:footnoteReference w:id="149"/>
            </w:r>
            <w:r w:rsidRPr="00F93D3C">
              <w:rPr>
                <w:rFonts w:asciiTheme="majorBidi" w:hAnsiTheme="majorBidi" w:cstheme="majorBidi"/>
              </w:rPr>
              <w:t>.</w:t>
            </w:r>
          </w:p>
          <w:p w14:paraId="5044A2F8" w14:textId="77777777" w:rsidR="004D5734" w:rsidRPr="00F93D3C" w:rsidRDefault="004D5734" w:rsidP="004D5734">
            <w:pPr>
              <w:tabs>
                <w:tab w:val="left" w:pos="1529"/>
              </w:tabs>
              <w:spacing w:before="240"/>
              <w:jc w:val="both"/>
              <w:rPr>
                <w:rFonts w:asciiTheme="majorBidi" w:hAnsiTheme="majorBidi" w:cstheme="majorBidi"/>
              </w:rPr>
            </w:pPr>
            <w:r w:rsidRPr="00F93D3C">
              <w:rPr>
                <w:rFonts w:asciiTheme="majorBidi" w:hAnsiTheme="majorBidi" w:cstheme="majorBidi"/>
              </w:rPr>
              <w:t>De acuerdo con las denuncias de las comunidades locales, la continua deforestación y el cambio de uso del suelo para plantaciones de palma en la región han mermado el caudal de agua y deteriorado su calidad. La disponibilidad de agua es un factor central para el rendimiento de la palma aceitera</w:t>
            </w:r>
            <w:r w:rsidRPr="00F93D3C">
              <w:rPr>
                <w:vertAlign w:val="superscript"/>
              </w:rPr>
              <w:footnoteReference w:id="150"/>
            </w:r>
            <w:r w:rsidRPr="00F93D3C">
              <w:rPr>
                <w:rFonts w:asciiTheme="majorBidi" w:hAnsiTheme="majorBidi" w:cstheme="majorBidi"/>
              </w:rPr>
              <w:t>.  Desde 2015, las denuncias de contaminación de las fuentes de agua por parte de las comunidades locales no han cesado; estas se han dirigido principalmente a las autoridades municipales y nacionales competentes</w:t>
            </w:r>
            <w:r w:rsidRPr="00F93D3C">
              <w:rPr>
                <w:vertAlign w:val="superscript"/>
              </w:rPr>
              <w:footnoteReference w:id="151"/>
            </w:r>
            <w:r w:rsidRPr="00F93D3C">
              <w:rPr>
                <w:rFonts w:asciiTheme="majorBidi" w:hAnsiTheme="majorBidi" w:cstheme="majorBidi"/>
              </w:rPr>
              <w:t>.  Las denuncias de las comunidades señalan que en cinco municipios de las Tierras Bajas del Norte (Chisec, Raxruhá, Sayaxché, Panzós y El Estor) al menos 18 ríos y dos arroyos han presentado características de contaminación.  Las denuncias han sido presentadas ante las instituciones competentes –entre ellas al Ministerio de Ambiente y Recursos Naturales (MARN), Ministerio Público (MP), Gobernación Departamental de Petén y Alcaldías Municipales (de Sayaxché e Ixcán)– o bien han participado en Mesas de Diálogo con empresas palmeras para intentar resolver los problemas, sin haber logrado resultados a la fecha</w:t>
            </w:r>
            <w:r w:rsidRPr="00F93D3C">
              <w:rPr>
                <w:vertAlign w:val="superscript"/>
              </w:rPr>
              <w:footnoteReference w:id="152"/>
            </w:r>
            <w:r w:rsidRPr="00F93D3C">
              <w:rPr>
                <w:rFonts w:asciiTheme="majorBidi" w:hAnsiTheme="majorBidi" w:cstheme="majorBidi"/>
              </w:rPr>
              <w:t>.</w:t>
            </w:r>
          </w:p>
          <w:p w14:paraId="170BA5FB" w14:textId="56428066" w:rsidR="004D5734" w:rsidRPr="00F93D3C" w:rsidRDefault="004D5734" w:rsidP="004D5734">
            <w:pPr>
              <w:tabs>
                <w:tab w:val="left" w:pos="1529"/>
              </w:tabs>
              <w:spacing w:before="240"/>
              <w:jc w:val="both"/>
              <w:rPr>
                <w:rFonts w:asciiTheme="majorBidi" w:hAnsiTheme="majorBidi" w:cstheme="majorBidi"/>
              </w:rPr>
            </w:pPr>
            <w:r w:rsidRPr="00F93D3C">
              <w:rPr>
                <w:rFonts w:asciiTheme="majorBidi" w:hAnsiTheme="majorBidi" w:cstheme="majorBidi"/>
              </w:rPr>
              <w:t>Las mujeres de las Tierras Bajas del Norte señalan que son ellas las que cargan el peso del deterioro, escasez y contaminación de los ríos, arroyos y manantiales. Cada vez deben caminar mayores distancias para obtener el agua necesaria para el diario vivir de las familias y la comunidad</w:t>
            </w:r>
            <w:r w:rsidRPr="00F93D3C">
              <w:rPr>
                <w:vertAlign w:val="superscript"/>
              </w:rPr>
              <w:footnoteReference w:id="153"/>
            </w:r>
            <w:r w:rsidRPr="00F93D3C">
              <w:rPr>
                <w:rFonts w:asciiTheme="majorBidi" w:hAnsiTheme="majorBidi" w:cstheme="majorBidi"/>
              </w:rPr>
              <w:t xml:space="preserve">.  Las mujeres señalan que, a raíz del establecimiento de las plantaciones de palma y extractoras de aceite en la vecindad de sus comunidades, el agua de los ríos y de los arroyos se ha contaminado, está perceptiblemente sucia, tiene color café y mal olor, y presenta sedimentos cafés. Las mujeres también señalan que, asociadas al mal estado de las fuentes de agua, se han incrementado las enfermedades en </w:t>
            </w:r>
            <w:proofErr w:type="gramStart"/>
            <w:r w:rsidRPr="00F93D3C">
              <w:rPr>
                <w:rFonts w:asciiTheme="majorBidi" w:hAnsiTheme="majorBidi" w:cstheme="majorBidi"/>
              </w:rPr>
              <w:t>los niños y niñas</w:t>
            </w:r>
            <w:proofErr w:type="gramEnd"/>
            <w:r w:rsidRPr="00F93D3C">
              <w:rPr>
                <w:rFonts w:asciiTheme="majorBidi" w:hAnsiTheme="majorBidi" w:cstheme="majorBidi"/>
              </w:rPr>
              <w:t xml:space="preserve"> y en los ancianos, con lo cual también se hace más pesada la carga del trabajo de cuidado para las mujeres</w:t>
            </w:r>
            <w:r w:rsidRPr="00F93D3C">
              <w:rPr>
                <w:vertAlign w:val="superscript"/>
              </w:rPr>
              <w:footnoteReference w:id="154"/>
            </w:r>
            <w:r w:rsidRPr="00F93D3C">
              <w:rPr>
                <w:rFonts w:asciiTheme="majorBidi" w:hAnsiTheme="majorBidi" w:cstheme="majorBidi"/>
              </w:rPr>
              <w:t xml:space="preserve">. Agregan que la contaminación del agua también </w:t>
            </w:r>
            <w:r w:rsidRPr="00F93D3C">
              <w:rPr>
                <w:rFonts w:asciiTheme="majorBidi" w:hAnsiTheme="majorBidi" w:cstheme="majorBidi"/>
              </w:rPr>
              <w:lastRenderedPageBreak/>
              <w:t>ha impactado en la economía y seguridad alimentaria de las familias, pues los animales de patio para el consumo familiar también se enferman y ya no pueden pescar como lo hacían antes</w:t>
            </w:r>
            <w:r w:rsidRPr="00F93D3C">
              <w:rPr>
                <w:vertAlign w:val="superscript"/>
              </w:rPr>
              <w:footnoteReference w:id="155"/>
            </w:r>
            <w:r w:rsidRPr="00F93D3C">
              <w:rPr>
                <w:rFonts w:asciiTheme="majorBidi" w:hAnsiTheme="majorBidi" w:cstheme="majorBidi"/>
              </w:rPr>
              <w:t>.</w:t>
            </w:r>
          </w:p>
          <w:p w14:paraId="15A62802" w14:textId="7662A1F1" w:rsidR="004D5734" w:rsidRPr="00F93D3C" w:rsidRDefault="004D5734" w:rsidP="004D5734">
            <w:pPr>
              <w:jc w:val="both"/>
              <w:rPr>
                <w:rStyle w:val="Fuentedeprrafopredeter1"/>
                <w:rFonts w:asciiTheme="majorBidi" w:hAnsiTheme="majorBidi" w:cstheme="majorBidi"/>
              </w:rPr>
            </w:pPr>
            <w:r w:rsidRPr="00F93D3C">
              <w:rPr>
                <w:rFonts w:asciiTheme="majorBidi" w:hAnsiTheme="majorBidi" w:cstheme="majorBidi"/>
              </w:rPr>
              <w:t>La PDH documentó la contaminación y el secamiento de ríos en la comunidad Las Muñecas, en el municipio de Ixcán, Quiché; a la vez que constató que las comunidades Esperancita del Río, Las Mercedes I, Tzulutlán II, Carolina, Tierra Negra I y San Francisco las Mercedes, todas del municipio de Chisec, Alta Verapaz, no cuentan con abastecimiento de agua potable ni servicio de alcantarillado y dependen de ríos y arroyos. La comunidad Sonora, de Chisec, y el caserío Santa Elena Río Salinas, de Sayaxché, también carecen de agua potable y se abastecen de pozos artesanales y arroyos en las proximidades de la comunidad. La PDH encontró que no existen esfuerzos de parte de las autoridades municipales ni de los Consejos Municipales de Desarrollo (Comude) para atender esta situación, así como tampoco del Ministerio de Ambiente y Recursos Naturales (MARN) para hacerse presente en las comunidades denunciantes y realizar análisis de la calidad del agua. Agregó que tampoco se ejerce ninguna acción institucional para regular el uso de las fuentes de agua, normar la construcción de quineles o autorizar o desautorizar la desviación de ríos por parte de las empresas palmeras</w:t>
            </w:r>
            <w:r w:rsidRPr="00F93D3C">
              <w:rPr>
                <w:vertAlign w:val="superscript"/>
              </w:rPr>
              <w:footnoteReference w:id="156"/>
            </w:r>
            <w:r w:rsidRPr="00F93D3C">
              <w:rPr>
                <w:rFonts w:asciiTheme="majorBidi" w:hAnsiTheme="majorBidi" w:cstheme="majorBidi"/>
              </w:rPr>
              <w:t>.  Finalmente, los estudios constataron que las áreas postpalma observan la peor calidad del agua, con variaciones significativas durante la época lluviosa por la presencia de más oxígeno disuelto y menor cantidad de sólidos en suspensión</w:t>
            </w:r>
            <w:r w:rsidRPr="00F93D3C">
              <w:rPr>
                <w:vertAlign w:val="superscript"/>
              </w:rPr>
              <w:footnoteReference w:id="157"/>
            </w:r>
          </w:p>
        </w:tc>
      </w:tr>
    </w:tbl>
    <w:p w14:paraId="761D6768" w14:textId="77777777" w:rsidR="004D5734" w:rsidRPr="00F93D3C" w:rsidRDefault="004D5734" w:rsidP="004D5734">
      <w:pPr>
        <w:pStyle w:val="Textonotapie"/>
        <w:rPr>
          <w:rStyle w:val="Fuentedeprrafopredeter1"/>
          <w:rFonts w:asciiTheme="majorBidi" w:eastAsiaTheme="majorEastAsia" w:hAnsiTheme="majorBidi" w:cstheme="majorBidi"/>
          <w:b/>
          <w:bCs/>
          <w:sz w:val="22"/>
          <w:szCs w:val="22"/>
          <w:lang w:val="es-MX"/>
        </w:rPr>
      </w:pPr>
    </w:p>
    <w:p w14:paraId="714EE161" w14:textId="77777777" w:rsidR="00200996" w:rsidRPr="009E2A0E" w:rsidRDefault="00200996">
      <w:pPr>
        <w:jc w:val="both"/>
        <w:rPr>
          <w:rFonts w:asciiTheme="majorBidi" w:hAnsiTheme="majorBidi" w:cstheme="majorBidi"/>
          <w:b/>
          <w:bCs/>
          <w:color w:val="000000" w:themeColor="text1"/>
          <w:lang w:val="es-MX"/>
        </w:rPr>
      </w:pPr>
    </w:p>
    <w:sectPr w:rsidR="00200996" w:rsidRPr="009E2A0E" w:rsidSect="00CF265D">
      <w:pgSz w:w="12240" w:h="15840"/>
      <w:pgMar w:top="1417" w:right="1701" w:bottom="1417" w:left="1701" w:header="708" w:footer="708" w:gutter="0"/>
      <w:pgNumType w:fmt="upperRoman"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51C9AF" w14:textId="77777777" w:rsidR="002E620A" w:rsidRDefault="002E620A" w:rsidP="00544DD4">
      <w:pPr>
        <w:spacing w:after="0" w:line="240" w:lineRule="auto"/>
      </w:pPr>
      <w:r>
        <w:separator/>
      </w:r>
    </w:p>
  </w:endnote>
  <w:endnote w:type="continuationSeparator" w:id="0">
    <w:p w14:paraId="4513AD5C" w14:textId="77777777" w:rsidR="002E620A" w:rsidRDefault="002E620A" w:rsidP="00544DD4">
      <w:pPr>
        <w:spacing w:after="0" w:line="240" w:lineRule="auto"/>
      </w:pPr>
      <w:r>
        <w:continuationSeparator/>
      </w:r>
    </w:p>
  </w:endnote>
  <w:endnote w:type="continuationNotice" w:id="1">
    <w:p w14:paraId="3EDF9F7A" w14:textId="77777777" w:rsidR="002E620A" w:rsidRDefault="002E620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1AD19" w14:textId="77777777" w:rsidR="00A9542F" w:rsidRDefault="00A9542F">
    <w:pPr>
      <w:pBdr>
        <w:left w:val="single" w:sz="12" w:space="11" w:color="4472C4" w:themeColor="accent1"/>
      </w:pBdr>
      <w:tabs>
        <w:tab w:val="left" w:pos="622"/>
      </w:tabs>
      <w:spacing w:after="0"/>
      <w:rPr>
        <w:rFonts w:asciiTheme="majorHAnsi" w:eastAsiaTheme="majorEastAsia" w:hAnsiTheme="majorHAnsi" w:cstheme="majorBidi"/>
        <w:color w:val="2F5496" w:themeColor="accent1" w:themeShade="BF"/>
        <w:sz w:val="26"/>
        <w:szCs w:val="26"/>
      </w:rPr>
    </w:pPr>
    <w:r>
      <w:rPr>
        <w:rFonts w:asciiTheme="majorHAnsi" w:eastAsiaTheme="majorEastAsia" w:hAnsiTheme="majorHAnsi" w:cstheme="majorBidi"/>
        <w:color w:val="2F5496" w:themeColor="accent1" w:themeShade="BF"/>
        <w:sz w:val="26"/>
        <w:szCs w:val="26"/>
      </w:rPr>
      <w:fldChar w:fldCharType="begin"/>
    </w:r>
    <w:r>
      <w:rPr>
        <w:rFonts w:asciiTheme="majorHAnsi" w:eastAsiaTheme="majorEastAsia" w:hAnsiTheme="majorHAnsi" w:cstheme="majorBidi"/>
        <w:color w:val="2F5496" w:themeColor="accent1" w:themeShade="BF"/>
        <w:sz w:val="26"/>
        <w:szCs w:val="26"/>
      </w:rPr>
      <w:instrText>PAGE   \* MERGEFORMAT</w:instrText>
    </w:r>
    <w:r>
      <w:rPr>
        <w:rFonts w:asciiTheme="majorHAnsi" w:eastAsiaTheme="majorEastAsia" w:hAnsiTheme="majorHAnsi" w:cstheme="majorBidi"/>
        <w:color w:val="2F5496" w:themeColor="accent1" w:themeShade="BF"/>
        <w:sz w:val="26"/>
        <w:szCs w:val="26"/>
      </w:rPr>
      <w:fldChar w:fldCharType="separate"/>
    </w:r>
    <w:r>
      <w:rPr>
        <w:rFonts w:asciiTheme="majorHAnsi" w:eastAsiaTheme="majorEastAsia" w:hAnsiTheme="majorHAnsi" w:cstheme="majorBidi"/>
        <w:color w:val="2F5496" w:themeColor="accent1" w:themeShade="BF"/>
        <w:sz w:val="26"/>
        <w:szCs w:val="26"/>
        <w:lang w:val="es-ES"/>
      </w:rPr>
      <w:t>2</w:t>
    </w:r>
    <w:r>
      <w:rPr>
        <w:rFonts w:asciiTheme="majorHAnsi" w:eastAsiaTheme="majorEastAsia" w:hAnsiTheme="majorHAnsi" w:cstheme="majorBidi"/>
        <w:color w:val="2F5496" w:themeColor="accent1" w:themeShade="BF"/>
        <w:sz w:val="26"/>
        <w:szCs w:val="26"/>
      </w:rPr>
      <w:fldChar w:fldCharType="end"/>
    </w:r>
  </w:p>
  <w:p w14:paraId="012BB949" w14:textId="77777777" w:rsidR="00A9542F" w:rsidRDefault="00A9542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8664B" w14:textId="77777777" w:rsidR="00C97B3C" w:rsidRDefault="00C97B3C">
    <w:pPr>
      <w:pBdr>
        <w:left w:val="single" w:sz="12" w:space="11" w:color="4472C4" w:themeColor="accent1"/>
      </w:pBdr>
      <w:tabs>
        <w:tab w:val="left" w:pos="622"/>
      </w:tabs>
      <w:spacing w:after="0"/>
      <w:rPr>
        <w:rFonts w:asciiTheme="majorHAnsi" w:eastAsiaTheme="majorEastAsia" w:hAnsiTheme="majorHAnsi" w:cstheme="majorBidi"/>
        <w:color w:val="2F5496" w:themeColor="accent1" w:themeShade="BF"/>
        <w:sz w:val="26"/>
        <w:szCs w:val="26"/>
      </w:rPr>
    </w:pPr>
    <w:r>
      <w:rPr>
        <w:rFonts w:asciiTheme="majorHAnsi" w:eastAsiaTheme="majorEastAsia" w:hAnsiTheme="majorHAnsi" w:cstheme="majorBidi"/>
        <w:color w:val="2F5496" w:themeColor="accent1" w:themeShade="BF"/>
        <w:sz w:val="26"/>
        <w:szCs w:val="26"/>
      </w:rPr>
      <w:fldChar w:fldCharType="begin"/>
    </w:r>
    <w:r>
      <w:rPr>
        <w:rFonts w:asciiTheme="majorHAnsi" w:eastAsiaTheme="majorEastAsia" w:hAnsiTheme="majorHAnsi" w:cstheme="majorBidi"/>
        <w:color w:val="2F5496" w:themeColor="accent1" w:themeShade="BF"/>
        <w:sz w:val="26"/>
        <w:szCs w:val="26"/>
      </w:rPr>
      <w:instrText>PAGE   \* MERGEFORMAT</w:instrText>
    </w:r>
    <w:r>
      <w:rPr>
        <w:rFonts w:asciiTheme="majorHAnsi" w:eastAsiaTheme="majorEastAsia" w:hAnsiTheme="majorHAnsi" w:cstheme="majorBidi"/>
        <w:color w:val="2F5496" w:themeColor="accent1" w:themeShade="BF"/>
        <w:sz w:val="26"/>
        <w:szCs w:val="26"/>
      </w:rPr>
      <w:fldChar w:fldCharType="separate"/>
    </w:r>
    <w:r>
      <w:rPr>
        <w:rFonts w:asciiTheme="majorHAnsi" w:eastAsiaTheme="majorEastAsia" w:hAnsiTheme="majorHAnsi" w:cstheme="majorBidi"/>
        <w:color w:val="2F5496" w:themeColor="accent1" w:themeShade="BF"/>
        <w:sz w:val="26"/>
        <w:szCs w:val="26"/>
        <w:lang w:val="es-ES"/>
      </w:rPr>
      <w:t>2</w:t>
    </w:r>
    <w:r>
      <w:rPr>
        <w:rFonts w:asciiTheme="majorHAnsi" w:eastAsiaTheme="majorEastAsia" w:hAnsiTheme="majorHAnsi" w:cstheme="majorBidi"/>
        <w:color w:val="2F5496" w:themeColor="accent1" w:themeShade="BF"/>
        <w:sz w:val="26"/>
        <w:szCs w:val="26"/>
      </w:rPr>
      <w:fldChar w:fldCharType="end"/>
    </w:r>
  </w:p>
  <w:p w14:paraId="56092D2D" w14:textId="77777777" w:rsidR="00C97B3C" w:rsidRDefault="00C97B3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E2E433" w14:textId="77777777" w:rsidR="00CF265D" w:rsidRDefault="00CF265D">
    <w:pPr>
      <w:pBdr>
        <w:left w:val="single" w:sz="12" w:space="11" w:color="4472C4" w:themeColor="accent1"/>
      </w:pBdr>
      <w:tabs>
        <w:tab w:val="left" w:pos="622"/>
      </w:tabs>
      <w:spacing w:after="0"/>
      <w:rPr>
        <w:rFonts w:asciiTheme="majorHAnsi" w:eastAsiaTheme="majorEastAsia" w:hAnsiTheme="majorHAnsi" w:cstheme="majorBidi"/>
        <w:color w:val="2F5496" w:themeColor="accent1" w:themeShade="BF"/>
        <w:sz w:val="26"/>
        <w:szCs w:val="26"/>
      </w:rPr>
    </w:pPr>
    <w:r>
      <w:rPr>
        <w:rFonts w:asciiTheme="majorHAnsi" w:eastAsiaTheme="majorEastAsia" w:hAnsiTheme="majorHAnsi" w:cstheme="majorBidi"/>
        <w:color w:val="2F5496" w:themeColor="accent1" w:themeShade="BF"/>
        <w:sz w:val="26"/>
        <w:szCs w:val="26"/>
      </w:rPr>
      <w:fldChar w:fldCharType="begin"/>
    </w:r>
    <w:r>
      <w:rPr>
        <w:rFonts w:asciiTheme="majorHAnsi" w:eastAsiaTheme="majorEastAsia" w:hAnsiTheme="majorHAnsi" w:cstheme="majorBidi"/>
        <w:color w:val="2F5496" w:themeColor="accent1" w:themeShade="BF"/>
        <w:sz w:val="26"/>
        <w:szCs w:val="26"/>
      </w:rPr>
      <w:instrText>PAGE   \* MERGEFORMAT</w:instrText>
    </w:r>
    <w:r>
      <w:rPr>
        <w:rFonts w:asciiTheme="majorHAnsi" w:eastAsiaTheme="majorEastAsia" w:hAnsiTheme="majorHAnsi" w:cstheme="majorBidi"/>
        <w:color w:val="2F5496" w:themeColor="accent1" w:themeShade="BF"/>
        <w:sz w:val="26"/>
        <w:szCs w:val="26"/>
      </w:rPr>
      <w:fldChar w:fldCharType="separate"/>
    </w:r>
    <w:r>
      <w:rPr>
        <w:rFonts w:asciiTheme="majorHAnsi" w:eastAsiaTheme="majorEastAsia" w:hAnsiTheme="majorHAnsi" w:cstheme="majorBidi"/>
        <w:color w:val="2F5496" w:themeColor="accent1" w:themeShade="BF"/>
        <w:sz w:val="26"/>
        <w:szCs w:val="26"/>
        <w:lang w:val="es-ES"/>
      </w:rPr>
      <w:t>2</w:t>
    </w:r>
    <w:r>
      <w:rPr>
        <w:rFonts w:asciiTheme="majorHAnsi" w:eastAsiaTheme="majorEastAsia" w:hAnsiTheme="majorHAnsi" w:cstheme="majorBidi"/>
        <w:color w:val="2F5496" w:themeColor="accent1" w:themeShade="BF"/>
        <w:sz w:val="26"/>
        <w:szCs w:val="26"/>
      </w:rPr>
      <w:fldChar w:fldCharType="end"/>
    </w:r>
  </w:p>
  <w:p w14:paraId="588B8868" w14:textId="77777777" w:rsidR="00CF265D" w:rsidRDefault="00CF265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4E3538" w14:textId="77777777" w:rsidR="002E620A" w:rsidRDefault="002E620A" w:rsidP="00544DD4">
      <w:pPr>
        <w:spacing w:after="0" w:line="240" w:lineRule="auto"/>
      </w:pPr>
      <w:r>
        <w:separator/>
      </w:r>
    </w:p>
  </w:footnote>
  <w:footnote w:type="continuationSeparator" w:id="0">
    <w:p w14:paraId="01DE105C" w14:textId="77777777" w:rsidR="002E620A" w:rsidRDefault="002E620A" w:rsidP="00544DD4">
      <w:pPr>
        <w:spacing w:after="0" w:line="240" w:lineRule="auto"/>
      </w:pPr>
      <w:r>
        <w:continuationSeparator/>
      </w:r>
    </w:p>
  </w:footnote>
  <w:footnote w:type="continuationNotice" w:id="1">
    <w:p w14:paraId="3C8EB7A6" w14:textId="77777777" w:rsidR="002E620A" w:rsidRDefault="002E620A">
      <w:pPr>
        <w:spacing w:after="0" w:line="240" w:lineRule="auto"/>
      </w:pPr>
    </w:p>
  </w:footnote>
  <w:footnote w:id="2">
    <w:p w14:paraId="0707E302" w14:textId="77777777" w:rsidR="00544DD4" w:rsidRPr="00BE720D" w:rsidRDefault="00544DD4" w:rsidP="00013274">
      <w:pPr>
        <w:pStyle w:val="Textonotapie"/>
        <w:jc w:val="both"/>
        <w:rPr>
          <w:rFonts w:asciiTheme="majorBidi" w:hAnsiTheme="majorBidi" w:cstheme="majorBidi"/>
          <w:color w:val="000000" w:themeColor="text1"/>
          <w:lang w:val="es-ES"/>
        </w:rPr>
      </w:pPr>
      <w:r w:rsidRPr="00BE720D">
        <w:rPr>
          <w:rStyle w:val="Refdenotaalpie"/>
          <w:rFonts w:asciiTheme="majorBidi" w:eastAsiaTheme="majorEastAsia" w:hAnsiTheme="majorBidi" w:cstheme="majorBidi"/>
          <w:color w:val="000000" w:themeColor="text1"/>
          <w:sz w:val="20"/>
        </w:rPr>
        <w:footnoteRef/>
      </w:r>
      <w:r w:rsidRPr="00BE720D">
        <w:rPr>
          <w:rFonts w:asciiTheme="majorBidi" w:hAnsiTheme="majorBidi" w:cstheme="majorBidi"/>
          <w:color w:val="000000" w:themeColor="text1"/>
          <w:lang w:val="es-ES"/>
        </w:rPr>
        <w:t xml:space="preserve"> INE (2025) Proyecciones Nacionales 1950-2050 disponible en </w:t>
      </w:r>
      <w:hyperlink r:id="rId1" w:history="1">
        <w:r w:rsidRPr="00BE720D">
          <w:rPr>
            <w:rStyle w:val="Hipervnculo"/>
            <w:rFonts w:asciiTheme="majorBidi" w:hAnsiTheme="majorBidi" w:cstheme="majorBidi"/>
            <w:color w:val="000000" w:themeColor="text1"/>
            <w:lang w:val="es-ES"/>
          </w:rPr>
          <w:t>https://www.ine.gob.gt/proyecciones/</w:t>
        </w:r>
      </w:hyperlink>
      <w:r w:rsidRPr="00BE720D">
        <w:rPr>
          <w:rFonts w:asciiTheme="majorBidi" w:hAnsiTheme="majorBidi" w:cstheme="majorBidi"/>
          <w:color w:val="000000" w:themeColor="text1"/>
          <w:lang w:val="es-ES"/>
        </w:rPr>
        <w:t xml:space="preserve"> </w:t>
      </w:r>
    </w:p>
  </w:footnote>
  <w:footnote w:id="3">
    <w:p w14:paraId="549C8942" w14:textId="77777777" w:rsidR="00544DD4" w:rsidRPr="00BE720D" w:rsidRDefault="00544DD4" w:rsidP="00013274">
      <w:pPr>
        <w:pStyle w:val="Textonotapie"/>
        <w:jc w:val="both"/>
        <w:rPr>
          <w:rFonts w:asciiTheme="majorBidi" w:hAnsiTheme="majorBidi" w:cstheme="majorBidi"/>
          <w:color w:val="000000" w:themeColor="text1"/>
          <w:lang w:val="es-ES"/>
        </w:rPr>
      </w:pPr>
      <w:r w:rsidRPr="00BE720D">
        <w:rPr>
          <w:rStyle w:val="Refdenotaalpie"/>
          <w:rFonts w:asciiTheme="majorBidi" w:hAnsiTheme="majorBidi" w:cstheme="majorBidi"/>
          <w:color w:val="000000" w:themeColor="text1"/>
          <w:sz w:val="20"/>
        </w:rPr>
        <w:footnoteRef/>
      </w:r>
      <w:r w:rsidRPr="00BE720D">
        <w:rPr>
          <w:rFonts w:asciiTheme="majorBidi" w:hAnsiTheme="majorBidi" w:cstheme="majorBidi"/>
          <w:color w:val="000000" w:themeColor="text1"/>
          <w:lang w:val="es-ES"/>
        </w:rPr>
        <w:t xml:space="preserve"> UNFPA, OACNUDH y PNUD (2022) Nuestras Voces por Nuestros Derechos. Caracterización de la Situación de los Pueblos Indígenas en Guatemala con base en estadísticas oficiales Pág.20</w:t>
      </w:r>
    </w:p>
  </w:footnote>
  <w:footnote w:id="4">
    <w:p w14:paraId="079D11F1" w14:textId="77777777" w:rsidR="00696B93" w:rsidRPr="00BE720D" w:rsidRDefault="00696B93" w:rsidP="00013274">
      <w:pPr>
        <w:pStyle w:val="Textonotapie"/>
        <w:jc w:val="both"/>
        <w:rPr>
          <w:rFonts w:asciiTheme="majorBidi" w:hAnsiTheme="majorBidi" w:cstheme="majorBidi"/>
          <w:color w:val="000000" w:themeColor="text1"/>
          <w:lang w:val="es-ES"/>
        </w:rPr>
      </w:pPr>
      <w:r w:rsidRPr="00BE720D">
        <w:rPr>
          <w:rStyle w:val="Refdenotaalpie"/>
          <w:rFonts w:asciiTheme="majorBidi" w:eastAsiaTheme="majorEastAsia" w:hAnsiTheme="majorBidi" w:cstheme="majorBidi"/>
          <w:color w:val="000000" w:themeColor="text1"/>
          <w:sz w:val="20"/>
        </w:rPr>
        <w:footnoteRef/>
      </w:r>
      <w:r w:rsidRPr="00BE720D">
        <w:rPr>
          <w:rFonts w:asciiTheme="majorBidi" w:hAnsiTheme="majorBidi" w:cstheme="majorBidi"/>
          <w:color w:val="000000" w:themeColor="text1"/>
          <w:lang w:val="es-ES"/>
        </w:rPr>
        <w:t xml:space="preserve"> INE (2023) Encuesta Nacional de condiciones de vida 2023. Principales resultados de pobreza y desigualdad. Disponible en </w:t>
      </w:r>
      <w:hyperlink r:id="rId2" w:history="1">
        <w:r w:rsidRPr="00BE720D">
          <w:rPr>
            <w:rStyle w:val="Hipervnculo"/>
            <w:rFonts w:asciiTheme="majorBidi" w:hAnsiTheme="majorBidi" w:cstheme="majorBidi"/>
            <w:color w:val="000000" w:themeColor="text1"/>
            <w:lang w:val="es-ES"/>
          </w:rPr>
          <w:t>https://www.ine.gob.gt/sistema/uploads/2024/08/22/20240822115045oP9hz3bt6r44qxs2amGK6YQqIpGhNdg0.pdf</w:t>
        </w:r>
      </w:hyperlink>
      <w:r w:rsidRPr="00BE720D">
        <w:rPr>
          <w:rFonts w:asciiTheme="majorBidi" w:hAnsiTheme="majorBidi" w:cstheme="majorBidi"/>
          <w:color w:val="000000" w:themeColor="text1"/>
          <w:lang w:val="es-ES"/>
        </w:rPr>
        <w:t xml:space="preserve"> </w:t>
      </w:r>
    </w:p>
  </w:footnote>
  <w:footnote w:id="5">
    <w:p w14:paraId="2FC5F39D" w14:textId="77777777" w:rsidR="00696B93" w:rsidRPr="00BE720D" w:rsidRDefault="00696B93" w:rsidP="00013274">
      <w:pPr>
        <w:pStyle w:val="Textonotapie"/>
        <w:jc w:val="both"/>
        <w:rPr>
          <w:rFonts w:asciiTheme="majorBidi" w:hAnsiTheme="majorBidi" w:cstheme="majorBidi"/>
          <w:color w:val="000000" w:themeColor="text1"/>
          <w:lang w:val="es-ES"/>
        </w:rPr>
      </w:pPr>
      <w:r w:rsidRPr="00BE720D">
        <w:rPr>
          <w:rStyle w:val="Refdenotaalpie"/>
          <w:rFonts w:asciiTheme="majorBidi" w:eastAsiaTheme="majorEastAsia" w:hAnsiTheme="majorBidi" w:cstheme="majorBidi"/>
          <w:color w:val="000000" w:themeColor="text1"/>
          <w:sz w:val="20"/>
        </w:rPr>
        <w:footnoteRef/>
      </w:r>
      <w:r w:rsidRPr="00BE720D">
        <w:rPr>
          <w:rFonts w:asciiTheme="majorBidi" w:hAnsiTheme="majorBidi" w:cstheme="majorBidi"/>
          <w:color w:val="000000" w:themeColor="text1"/>
          <w:lang w:val="es-ES"/>
        </w:rPr>
        <w:t xml:space="preserve"> INE (2024) Cifras de pobreza en Guatemala. Disponible en </w:t>
      </w:r>
      <w:hyperlink r:id="rId3" w:history="1">
        <w:r w:rsidRPr="00BE720D">
          <w:rPr>
            <w:rStyle w:val="Hipervnculo"/>
            <w:rFonts w:asciiTheme="majorBidi" w:hAnsiTheme="majorBidi" w:cstheme="majorBidi"/>
            <w:color w:val="000000" w:themeColor="text1"/>
            <w:lang w:val="es-ES"/>
          </w:rPr>
          <w:t>https://www.ine.gob.gt/2024/08/21/el-ine-presenta-cifras-de-pobreza-en-guatemala/</w:t>
        </w:r>
      </w:hyperlink>
      <w:r w:rsidRPr="00BE720D">
        <w:rPr>
          <w:rFonts w:asciiTheme="majorBidi" w:hAnsiTheme="majorBidi" w:cstheme="majorBidi"/>
          <w:color w:val="000000" w:themeColor="text1"/>
          <w:lang w:val="es-ES"/>
        </w:rPr>
        <w:t xml:space="preserve"> Consultado el 31/03/25</w:t>
      </w:r>
    </w:p>
  </w:footnote>
  <w:footnote w:id="6">
    <w:p w14:paraId="581F9631" w14:textId="77777777" w:rsidR="00696B93" w:rsidRPr="00BE720D" w:rsidRDefault="00696B93" w:rsidP="00013274">
      <w:pPr>
        <w:pStyle w:val="Textonotapie"/>
        <w:jc w:val="both"/>
        <w:rPr>
          <w:rFonts w:asciiTheme="majorBidi" w:hAnsiTheme="majorBidi" w:cstheme="majorBidi"/>
          <w:color w:val="000000" w:themeColor="text1"/>
          <w:lang w:val="es-ES"/>
        </w:rPr>
      </w:pPr>
      <w:r w:rsidRPr="00BE720D">
        <w:rPr>
          <w:rStyle w:val="Refdenotaalpie"/>
          <w:rFonts w:asciiTheme="majorBidi" w:eastAsiaTheme="majorEastAsia" w:hAnsiTheme="majorBidi" w:cstheme="majorBidi"/>
          <w:color w:val="000000" w:themeColor="text1"/>
          <w:sz w:val="20"/>
        </w:rPr>
        <w:footnoteRef/>
      </w:r>
      <w:r w:rsidRPr="00BE720D">
        <w:rPr>
          <w:rFonts w:asciiTheme="majorBidi" w:hAnsiTheme="majorBidi" w:cstheme="majorBidi"/>
          <w:color w:val="000000" w:themeColor="text1"/>
          <w:lang w:val="es-ES"/>
        </w:rPr>
        <w:t xml:space="preserve"> INE (2023) Op.cit.  Pág.31 </w:t>
      </w:r>
      <w:hyperlink r:id="rId4" w:history="1">
        <w:r w:rsidRPr="00BE720D">
          <w:rPr>
            <w:rStyle w:val="Hipervnculo"/>
            <w:rFonts w:asciiTheme="majorBidi" w:hAnsiTheme="majorBidi" w:cstheme="majorBidi"/>
            <w:color w:val="000000" w:themeColor="text1"/>
            <w:lang w:val="es-ES"/>
          </w:rPr>
          <w:t>https://www.ine.gob.gt/sistema/uploads/2024/08/22/20240822115045oP9hz3bt6r44qxs2amGK6YQqIpGhNdg0.pdf</w:t>
        </w:r>
      </w:hyperlink>
      <w:r w:rsidRPr="00BE720D">
        <w:rPr>
          <w:rFonts w:asciiTheme="majorBidi" w:hAnsiTheme="majorBidi" w:cstheme="majorBidi"/>
          <w:color w:val="000000" w:themeColor="text1"/>
          <w:lang w:val="es-ES"/>
        </w:rPr>
        <w:t xml:space="preserve"> </w:t>
      </w:r>
    </w:p>
  </w:footnote>
  <w:footnote w:id="7">
    <w:p w14:paraId="3BCB1F7D" w14:textId="77777777" w:rsidR="007F28B1" w:rsidRPr="00BE720D" w:rsidRDefault="007F28B1" w:rsidP="00013274">
      <w:pPr>
        <w:pStyle w:val="Textonotapie"/>
        <w:jc w:val="both"/>
        <w:rPr>
          <w:rFonts w:asciiTheme="majorBidi" w:hAnsiTheme="majorBidi" w:cstheme="majorBidi"/>
          <w:color w:val="000000" w:themeColor="text1"/>
          <w:lang w:val="es-ES"/>
        </w:rPr>
      </w:pPr>
      <w:r w:rsidRPr="00BE720D">
        <w:rPr>
          <w:rStyle w:val="Refdenotaalpie"/>
          <w:rFonts w:asciiTheme="majorBidi" w:hAnsiTheme="majorBidi" w:cstheme="majorBidi"/>
          <w:color w:val="000000" w:themeColor="text1"/>
          <w:sz w:val="20"/>
        </w:rPr>
        <w:footnoteRef/>
      </w:r>
      <w:r w:rsidRPr="00BE720D">
        <w:rPr>
          <w:rFonts w:asciiTheme="majorBidi" w:hAnsiTheme="majorBidi" w:cstheme="majorBidi"/>
          <w:color w:val="000000" w:themeColor="text1"/>
          <w:lang w:val="es-ES"/>
        </w:rPr>
        <w:t xml:space="preserve"> Plaza Pública (2023) 2023 Año de los obstáculos. Consultado el 4/05/25 Disponible en </w:t>
      </w:r>
      <w:hyperlink r:id="rId5" w:history="1">
        <w:r w:rsidRPr="00BE720D">
          <w:rPr>
            <w:rStyle w:val="Hipervnculo"/>
            <w:rFonts w:asciiTheme="majorBidi" w:hAnsiTheme="majorBidi" w:cstheme="majorBidi"/>
            <w:color w:val="000000" w:themeColor="text1"/>
            <w:lang w:val="es-ES"/>
          </w:rPr>
          <w:t>https://www.plazapublica.com.gt/especial/informacion/2023-ano-de-los-obstaculos</w:t>
        </w:r>
      </w:hyperlink>
      <w:r w:rsidRPr="00BE720D">
        <w:rPr>
          <w:rFonts w:asciiTheme="majorBidi" w:hAnsiTheme="majorBidi" w:cstheme="majorBidi"/>
          <w:color w:val="000000" w:themeColor="text1"/>
          <w:lang w:val="es-ES"/>
        </w:rPr>
        <w:t xml:space="preserve"> </w:t>
      </w:r>
    </w:p>
  </w:footnote>
  <w:footnote w:id="8">
    <w:p w14:paraId="7E5C4AA1" w14:textId="77777777" w:rsidR="00EF3DAA" w:rsidRPr="00BE720D" w:rsidRDefault="00EF3DAA" w:rsidP="00013274">
      <w:pPr>
        <w:pStyle w:val="Textonotapie"/>
        <w:jc w:val="both"/>
        <w:rPr>
          <w:rFonts w:asciiTheme="majorBidi" w:hAnsiTheme="majorBidi" w:cstheme="majorBidi"/>
          <w:color w:val="000000" w:themeColor="text1"/>
          <w:lang w:val="es-GT"/>
        </w:rPr>
      </w:pPr>
      <w:r w:rsidRPr="00BE720D">
        <w:rPr>
          <w:rStyle w:val="Refdenotaalpie"/>
          <w:rFonts w:asciiTheme="majorBidi" w:hAnsiTheme="majorBidi" w:cstheme="majorBidi"/>
          <w:color w:val="000000" w:themeColor="text1"/>
          <w:sz w:val="20"/>
        </w:rPr>
        <w:footnoteRef/>
      </w:r>
      <w:r w:rsidRPr="00BE720D">
        <w:rPr>
          <w:rFonts w:asciiTheme="majorBidi" w:hAnsiTheme="majorBidi" w:cstheme="majorBidi"/>
          <w:color w:val="000000" w:themeColor="text1"/>
          <w:lang w:val="es-GT"/>
        </w:rPr>
        <w:t xml:space="preserve"> Referencias de informes OACNUDH.</w:t>
      </w:r>
    </w:p>
  </w:footnote>
  <w:footnote w:id="9">
    <w:p w14:paraId="35A800E5" w14:textId="77777777" w:rsidR="00EF3DAA" w:rsidRPr="00BE720D" w:rsidRDefault="00EF3DAA" w:rsidP="00013274">
      <w:pPr>
        <w:pStyle w:val="Textonotapie"/>
        <w:jc w:val="both"/>
        <w:rPr>
          <w:rFonts w:asciiTheme="majorBidi" w:hAnsiTheme="majorBidi" w:cstheme="majorBidi"/>
          <w:color w:val="000000" w:themeColor="text1"/>
          <w:lang w:val="es-MX"/>
        </w:rPr>
      </w:pPr>
      <w:r w:rsidRPr="00BE720D">
        <w:rPr>
          <w:rStyle w:val="Refdenotaalpie"/>
          <w:rFonts w:asciiTheme="majorBidi" w:hAnsiTheme="majorBidi" w:cstheme="majorBidi"/>
          <w:color w:val="000000" w:themeColor="text1"/>
          <w:sz w:val="20"/>
        </w:rPr>
        <w:footnoteRef/>
      </w:r>
      <w:r w:rsidRPr="00BE720D">
        <w:rPr>
          <w:rFonts w:asciiTheme="majorBidi" w:hAnsiTheme="majorBidi" w:cstheme="majorBidi"/>
          <w:color w:val="000000" w:themeColor="text1"/>
          <w:lang w:val="es-GT"/>
        </w:rPr>
        <w:t xml:space="preserve"> </w:t>
      </w:r>
      <w:hyperlink r:id="rId6" w:history="1">
        <w:r w:rsidRPr="00BE720D">
          <w:rPr>
            <w:rStyle w:val="Hipervnculo"/>
            <w:rFonts w:asciiTheme="majorBidi" w:hAnsiTheme="majorBidi" w:cstheme="majorBidi"/>
            <w:color w:val="000000" w:themeColor="text1"/>
            <w:lang w:val="es-GT"/>
          </w:rPr>
          <w:t>https://www.wola.org/es/2025/04/organizaciones-internacionales-condenan-la-criminalizacion-de-autoridadesindigenas-de-guatemala/?utm_source=chatgpt.com</w:t>
        </w:r>
      </w:hyperlink>
      <w:r w:rsidRPr="00BE720D">
        <w:rPr>
          <w:rFonts w:asciiTheme="majorBidi" w:hAnsiTheme="majorBidi" w:cstheme="majorBidi"/>
          <w:color w:val="000000" w:themeColor="text1"/>
          <w:lang w:val="es-GT"/>
        </w:rPr>
        <w:t xml:space="preserve"> </w:t>
      </w:r>
    </w:p>
  </w:footnote>
  <w:footnote w:id="10">
    <w:p w14:paraId="4B21BA61" w14:textId="77777777" w:rsidR="000B2EDD" w:rsidRPr="00BE720D" w:rsidRDefault="000B2EDD" w:rsidP="00013274">
      <w:pPr>
        <w:pStyle w:val="Textonotapie"/>
        <w:jc w:val="both"/>
        <w:rPr>
          <w:rFonts w:asciiTheme="majorBidi" w:hAnsiTheme="majorBidi" w:cstheme="majorBidi"/>
          <w:color w:val="000000" w:themeColor="text1"/>
          <w:lang w:val="es-ES"/>
        </w:rPr>
      </w:pPr>
      <w:r w:rsidRPr="00BE720D">
        <w:rPr>
          <w:rStyle w:val="Refdenotaalpie"/>
          <w:rFonts w:asciiTheme="majorBidi" w:hAnsiTheme="majorBidi" w:cstheme="majorBidi"/>
          <w:color w:val="000000" w:themeColor="text1"/>
          <w:sz w:val="20"/>
        </w:rPr>
        <w:footnoteRef/>
      </w:r>
      <w:r w:rsidRPr="00BE720D">
        <w:rPr>
          <w:rFonts w:asciiTheme="majorBidi" w:hAnsiTheme="majorBidi" w:cstheme="majorBidi"/>
          <w:color w:val="000000" w:themeColor="text1"/>
          <w:lang w:val="es-ES"/>
        </w:rPr>
        <w:t xml:space="preserve"> Gobierno de Guatemala (2024)   Informe Presidencial Pp. 87 Disponible en </w:t>
      </w:r>
      <w:hyperlink r:id="rId7" w:history="1">
        <w:r w:rsidRPr="00BE720D">
          <w:rPr>
            <w:rStyle w:val="Hipervnculo"/>
            <w:rFonts w:asciiTheme="majorBidi" w:hAnsiTheme="majorBidi" w:cstheme="majorBidi"/>
            <w:color w:val="000000" w:themeColor="text1"/>
            <w:lang w:val="es-ES"/>
          </w:rPr>
          <w:t>https://guatemala.gob.gt/wp-content/uploads/2025/01/Informe%20Presidencial%202024%20-%20La%20Primera%20Cosecha%202024-2025.pdf</w:t>
        </w:r>
      </w:hyperlink>
      <w:r w:rsidRPr="00BE720D">
        <w:rPr>
          <w:rFonts w:asciiTheme="majorBidi" w:hAnsiTheme="majorBidi" w:cstheme="majorBidi"/>
          <w:color w:val="000000" w:themeColor="text1"/>
          <w:lang w:val="es-ES"/>
        </w:rPr>
        <w:t xml:space="preserve"> </w:t>
      </w:r>
    </w:p>
  </w:footnote>
  <w:footnote w:id="11">
    <w:p w14:paraId="51BED5C6" w14:textId="77777777" w:rsidR="006C6C41" w:rsidRPr="00BE720D" w:rsidRDefault="006C6C41" w:rsidP="00013274">
      <w:pPr>
        <w:pStyle w:val="Textonotapie"/>
        <w:jc w:val="both"/>
        <w:rPr>
          <w:rFonts w:asciiTheme="majorBidi" w:hAnsiTheme="majorBidi" w:cstheme="majorBidi"/>
          <w:color w:val="000000" w:themeColor="text1"/>
          <w:lang w:val="es-GT"/>
        </w:rPr>
      </w:pPr>
      <w:r w:rsidRPr="00BE720D">
        <w:rPr>
          <w:rStyle w:val="Refdenotaalpie"/>
          <w:rFonts w:asciiTheme="majorBidi" w:hAnsiTheme="majorBidi" w:cstheme="majorBidi"/>
          <w:color w:val="000000" w:themeColor="text1"/>
          <w:sz w:val="20"/>
        </w:rPr>
        <w:footnoteRef/>
      </w:r>
      <w:r w:rsidRPr="00BE720D">
        <w:rPr>
          <w:rFonts w:asciiTheme="majorBidi" w:hAnsiTheme="majorBidi" w:cstheme="majorBidi"/>
          <w:color w:val="000000" w:themeColor="text1"/>
          <w:lang w:val="es-ES"/>
        </w:rPr>
        <w:t xml:space="preserve"> OEA (2023) Derechos económicos, sociales, culturales y ambientales de pueblos indígenas y afrodescendientes tribales. </w:t>
      </w:r>
      <w:r w:rsidRPr="00BE720D">
        <w:rPr>
          <w:rFonts w:asciiTheme="majorBidi" w:hAnsiTheme="majorBidi" w:cstheme="majorBidi"/>
          <w:color w:val="000000" w:themeColor="text1"/>
          <w:lang w:val="es-GT"/>
        </w:rPr>
        <w:t xml:space="preserve">Pp. 149 Disponible en </w:t>
      </w:r>
      <w:hyperlink r:id="rId8" w:history="1">
        <w:r w:rsidRPr="00BE720D">
          <w:rPr>
            <w:rStyle w:val="Hipervnculo"/>
            <w:rFonts w:asciiTheme="majorBidi" w:hAnsiTheme="majorBidi" w:cstheme="majorBidi"/>
            <w:color w:val="000000" w:themeColor="text1"/>
            <w:lang w:val="es-GT"/>
          </w:rPr>
          <w:t>https://www.oas.org/es/cidh/informes/pdfs/2023/nortecentroamerica_desca_es.pdf</w:t>
        </w:r>
      </w:hyperlink>
      <w:r w:rsidRPr="00BE720D">
        <w:rPr>
          <w:rFonts w:asciiTheme="majorBidi" w:hAnsiTheme="majorBidi" w:cstheme="majorBidi"/>
          <w:color w:val="000000" w:themeColor="text1"/>
          <w:lang w:val="es-GT"/>
        </w:rPr>
        <w:t xml:space="preserve"> </w:t>
      </w:r>
    </w:p>
  </w:footnote>
  <w:footnote w:id="12">
    <w:p w14:paraId="7A7CA46F" w14:textId="2B0B3441" w:rsidR="009A72DB" w:rsidRPr="00BE720D" w:rsidRDefault="009A72DB" w:rsidP="00013274">
      <w:pPr>
        <w:pStyle w:val="Textonotapie"/>
        <w:jc w:val="both"/>
        <w:rPr>
          <w:rFonts w:asciiTheme="majorBidi" w:hAnsiTheme="majorBidi" w:cstheme="majorBidi"/>
          <w:lang w:val="es-GT"/>
        </w:rPr>
      </w:pPr>
      <w:r w:rsidRPr="00BE720D">
        <w:rPr>
          <w:rStyle w:val="Refdenotaalpie"/>
          <w:rFonts w:asciiTheme="majorBidi" w:hAnsiTheme="majorBidi" w:cstheme="majorBidi"/>
          <w:sz w:val="20"/>
        </w:rPr>
        <w:footnoteRef/>
      </w:r>
      <w:r w:rsidRPr="00BE720D">
        <w:rPr>
          <w:rFonts w:asciiTheme="majorBidi" w:hAnsiTheme="majorBidi" w:cstheme="majorBidi"/>
          <w:lang w:val="es-GT"/>
        </w:rPr>
        <w:t xml:space="preserve"> PNUD (2022</w:t>
      </w:r>
      <w:proofErr w:type="gramStart"/>
      <w:r w:rsidRPr="00BE720D">
        <w:rPr>
          <w:rFonts w:asciiTheme="majorBidi" w:hAnsiTheme="majorBidi" w:cstheme="majorBidi"/>
          <w:lang w:val="es-GT"/>
        </w:rPr>
        <w:t xml:space="preserve">) </w:t>
      </w:r>
      <w:r w:rsidR="004739FE" w:rsidRPr="00BE720D">
        <w:rPr>
          <w:rFonts w:asciiTheme="majorBidi" w:hAnsiTheme="majorBidi" w:cstheme="majorBidi"/>
          <w:lang w:val="es-GT"/>
        </w:rPr>
        <w:t xml:space="preserve"> Informe</w:t>
      </w:r>
      <w:proofErr w:type="gramEnd"/>
      <w:r w:rsidR="004739FE" w:rsidRPr="00BE720D">
        <w:rPr>
          <w:rFonts w:asciiTheme="majorBidi" w:hAnsiTheme="majorBidi" w:cstheme="majorBidi"/>
          <w:lang w:val="es-GT"/>
        </w:rPr>
        <w:t xml:space="preserve"> </w:t>
      </w:r>
      <w:r w:rsidRPr="00BE720D">
        <w:rPr>
          <w:rFonts w:asciiTheme="majorBidi" w:hAnsiTheme="majorBidi" w:cstheme="majorBidi"/>
          <w:lang w:val="es-GT"/>
        </w:rPr>
        <w:t>Nuestras voces por Nuestros Derechos. Pág. 44.</w:t>
      </w:r>
    </w:p>
  </w:footnote>
  <w:footnote w:id="13">
    <w:p w14:paraId="51443271" w14:textId="4940E516" w:rsidR="00B056B0" w:rsidRPr="00BE720D" w:rsidRDefault="00B056B0" w:rsidP="00013274">
      <w:pPr>
        <w:pStyle w:val="Textonotapie"/>
        <w:jc w:val="both"/>
        <w:rPr>
          <w:rFonts w:asciiTheme="majorBidi" w:hAnsiTheme="majorBidi" w:cstheme="majorBidi"/>
          <w:lang w:val="es-GT"/>
        </w:rPr>
      </w:pPr>
      <w:r w:rsidRPr="00BE720D">
        <w:rPr>
          <w:rStyle w:val="Refdenotaalpie"/>
          <w:rFonts w:asciiTheme="majorBidi" w:hAnsiTheme="majorBidi" w:cstheme="majorBidi"/>
          <w:sz w:val="20"/>
        </w:rPr>
        <w:footnoteRef/>
      </w:r>
      <w:r w:rsidRPr="00BE720D">
        <w:rPr>
          <w:rFonts w:asciiTheme="majorBidi" w:hAnsiTheme="majorBidi" w:cstheme="majorBidi"/>
          <w:lang w:val="es-GT"/>
        </w:rPr>
        <w:t xml:space="preserve"> Idem.  Pág. 52.</w:t>
      </w:r>
    </w:p>
  </w:footnote>
  <w:footnote w:id="14">
    <w:p w14:paraId="41B7E1B6" w14:textId="4216D560" w:rsidR="000903DD" w:rsidRPr="00BE720D" w:rsidRDefault="000903DD" w:rsidP="00013274">
      <w:pPr>
        <w:pStyle w:val="Textonotapie"/>
        <w:jc w:val="both"/>
        <w:rPr>
          <w:rFonts w:asciiTheme="majorBidi" w:hAnsiTheme="majorBidi" w:cstheme="majorBidi"/>
          <w:lang w:val="es-GT"/>
        </w:rPr>
      </w:pPr>
      <w:r w:rsidRPr="00BE720D">
        <w:rPr>
          <w:rStyle w:val="Refdenotaalpie"/>
          <w:rFonts w:asciiTheme="majorBidi" w:hAnsiTheme="majorBidi" w:cstheme="majorBidi"/>
          <w:sz w:val="20"/>
        </w:rPr>
        <w:footnoteRef/>
      </w:r>
      <w:r w:rsidRPr="00BE720D">
        <w:rPr>
          <w:rFonts w:asciiTheme="majorBidi" w:hAnsiTheme="majorBidi" w:cstheme="majorBidi"/>
          <w:lang w:val="es-GT"/>
        </w:rPr>
        <w:t xml:space="preserve"> Idem pág. 75.</w:t>
      </w:r>
    </w:p>
  </w:footnote>
  <w:footnote w:id="15">
    <w:p w14:paraId="5F83A5A8" w14:textId="77777777" w:rsidR="00EE0BFD" w:rsidRPr="00BE720D" w:rsidRDefault="00EE0BFD" w:rsidP="00013274">
      <w:pPr>
        <w:pStyle w:val="Textonotapie"/>
        <w:jc w:val="both"/>
        <w:rPr>
          <w:rFonts w:asciiTheme="majorBidi" w:hAnsiTheme="majorBidi" w:cstheme="majorBidi"/>
          <w:lang w:val="es-GT"/>
        </w:rPr>
      </w:pPr>
      <w:r w:rsidRPr="00BE720D">
        <w:rPr>
          <w:rStyle w:val="Refdenotaalpie"/>
          <w:rFonts w:asciiTheme="majorBidi" w:hAnsiTheme="majorBidi" w:cstheme="majorBidi"/>
          <w:sz w:val="20"/>
        </w:rPr>
        <w:footnoteRef/>
      </w:r>
      <w:r w:rsidRPr="00BE720D">
        <w:rPr>
          <w:rFonts w:asciiTheme="majorBidi" w:hAnsiTheme="majorBidi" w:cstheme="majorBidi"/>
          <w:lang w:val="es-GT"/>
        </w:rPr>
        <w:t xml:space="preserve"> Idem pág. 80.</w:t>
      </w:r>
    </w:p>
  </w:footnote>
  <w:footnote w:id="16">
    <w:p w14:paraId="439072C4" w14:textId="0B38764E" w:rsidR="00ED1B13" w:rsidRPr="00BE720D" w:rsidRDefault="00ED1B13" w:rsidP="00013274">
      <w:pPr>
        <w:pStyle w:val="Textonotapie"/>
        <w:jc w:val="both"/>
        <w:rPr>
          <w:rFonts w:asciiTheme="majorBidi" w:hAnsiTheme="majorBidi" w:cstheme="majorBidi"/>
          <w:lang w:val="es-GT"/>
        </w:rPr>
      </w:pPr>
      <w:r w:rsidRPr="00BE720D">
        <w:rPr>
          <w:rStyle w:val="Refdenotaalpie"/>
          <w:rFonts w:asciiTheme="majorBidi" w:hAnsiTheme="majorBidi" w:cstheme="majorBidi"/>
          <w:sz w:val="20"/>
        </w:rPr>
        <w:footnoteRef/>
      </w:r>
      <w:r w:rsidRPr="00BE720D">
        <w:rPr>
          <w:rFonts w:asciiTheme="majorBidi" w:hAnsiTheme="majorBidi" w:cstheme="majorBidi"/>
          <w:lang w:val="es-GT"/>
        </w:rPr>
        <w:t xml:space="preserve"> Idem pág. 100</w:t>
      </w:r>
    </w:p>
  </w:footnote>
  <w:footnote w:id="17">
    <w:p w14:paraId="583B3B49" w14:textId="07E478BA" w:rsidR="00873265" w:rsidRPr="00BE720D" w:rsidRDefault="00873265" w:rsidP="00013274">
      <w:pPr>
        <w:pStyle w:val="Textonotapie"/>
        <w:jc w:val="both"/>
        <w:rPr>
          <w:rFonts w:asciiTheme="majorBidi" w:hAnsiTheme="majorBidi" w:cstheme="majorBidi"/>
          <w:lang w:val="es-GT"/>
        </w:rPr>
      </w:pPr>
      <w:r w:rsidRPr="00BE720D">
        <w:rPr>
          <w:rStyle w:val="Refdenotaalpie"/>
          <w:rFonts w:asciiTheme="majorBidi" w:hAnsiTheme="majorBidi" w:cstheme="majorBidi"/>
          <w:sz w:val="20"/>
        </w:rPr>
        <w:footnoteRef/>
      </w:r>
      <w:r w:rsidRPr="00BE720D">
        <w:rPr>
          <w:rFonts w:asciiTheme="majorBidi" w:hAnsiTheme="majorBidi" w:cstheme="majorBidi"/>
          <w:lang w:val="es-GT"/>
        </w:rPr>
        <w:t xml:space="preserve"> Idem pág. 106</w:t>
      </w:r>
    </w:p>
  </w:footnote>
  <w:footnote w:id="18">
    <w:p w14:paraId="73E944B0" w14:textId="71A5D294" w:rsidR="005E0664" w:rsidRPr="00BE720D" w:rsidRDefault="005E0664" w:rsidP="00013274">
      <w:pPr>
        <w:pStyle w:val="Textonotapie"/>
        <w:jc w:val="both"/>
        <w:rPr>
          <w:rFonts w:asciiTheme="majorBidi" w:hAnsiTheme="majorBidi" w:cstheme="majorBidi"/>
          <w:lang w:val="es-GT"/>
        </w:rPr>
      </w:pPr>
      <w:r w:rsidRPr="00BE720D">
        <w:rPr>
          <w:rStyle w:val="Refdenotaalpie"/>
          <w:rFonts w:asciiTheme="majorBidi" w:hAnsiTheme="majorBidi" w:cstheme="majorBidi"/>
          <w:sz w:val="20"/>
        </w:rPr>
        <w:footnoteRef/>
      </w:r>
      <w:r w:rsidRPr="00BE720D">
        <w:rPr>
          <w:rFonts w:asciiTheme="majorBidi" w:hAnsiTheme="majorBidi" w:cstheme="majorBidi"/>
          <w:lang w:val="es-GT"/>
        </w:rPr>
        <w:t xml:space="preserve"> Idem pág 119.</w:t>
      </w:r>
    </w:p>
  </w:footnote>
  <w:footnote w:id="19">
    <w:p w14:paraId="768CBFD5" w14:textId="547AD911" w:rsidR="00FD3A57" w:rsidRPr="00BE720D" w:rsidRDefault="00FD3A57" w:rsidP="00013274">
      <w:pPr>
        <w:pStyle w:val="Textonotapie"/>
        <w:jc w:val="both"/>
        <w:rPr>
          <w:rFonts w:asciiTheme="majorBidi" w:hAnsiTheme="majorBidi" w:cstheme="majorBidi"/>
          <w:lang w:val="es-GT"/>
        </w:rPr>
      </w:pPr>
      <w:r w:rsidRPr="00BE720D">
        <w:rPr>
          <w:rStyle w:val="Refdenotaalpie"/>
          <w:rFonts w:asciiTheme="majorBidi" w:hAnsiTheme="majorBidi" w:cstheme="majorBidi"/>
          <w:sz w:val="20"/>
        </w:rPr>
        <w:footnoteRef/>
      </w:r>
      <w:r w:rsidRPr="00BE720D">
        <w:rPr>
          <w:rFonts w:asciiTheme="majorBidi" w:hAnsiTheme="majorBidi" w:cstheme="majorBidi"/>
          <w:lang w:val="es-GT"/>
        </w:rPr>
        <w:t xml:space="preserve"> Idem pág. 155</w:t>
      </w:r>
    </w:p>
  </w:footnote>
  <w:footnote w:id="20">
    <w:p w14:paraId="1D0C15D8" w14:textId="40C57B6C" w:rsidR="00B537F6" w:rsidRPr="00BE720D" w:rsidRDefault="00B537F6" w:rsidP="00013274">
      <w:pPr>
        <w:pStyle w:val="Textonotapie"/>
        <w:jc w:val="both"/>
        <w:rPr>
          <w:rFonts w:asciiTheme="majorBidi" w:hAnsiTheme="majorBidi" w:cstheme="majorBidi"/>
          <w:lang w:val="es-GT"/>
        </w:rPr>
      </w:pPr>
      <w:r w:rsidRPr="00BE720D">
        <w:rPr>
          <w:rStyle w:val="Refdenotaalpie"/>
          <w:rFonts w:asciiTheme="majorBidi" w:hAnsiTheme="majorBidi" w:cstheme="majorBidi"/>
          <w:sz w:val="20"/>
        </w:rPr>
        <w:footnoteRef/>
      </w:r>
      <w:r w:rsidRPr="00BE720D">
        <w:rPr>
          <w:rFonts w:asciiTheme="majorBidi" w:hAnsiTheme="majorBidi" w:cstheme="majorBidi"/>
          <w:lang w:val="es-GT"/>
        </w:rPr>
        <w:t xml:space="preserve"> Idem pág. 157</w:t>
      </w:r>
    </w:p>
  </w:footnote>
  <w:footnote w:id="21">
    <w:p w14:paraId="6C2A7E7C" w14:textId="7CCDA19E" w:rsidR="002167B8" w:rsidRPr="008905F5" w:rsidRDefault="002167B8" w:rsidP="00013274">
      <w:pPr>
        <w:pStyle w:val="Textonotapie"/>
        <w:jc w:val="both"/>
        <w:rPr>
          <w:rFonts w:asciiTheme="majorBidi" w:hAnsiTheme="majorBidi" w:cstheme="majorBidi"/>
          <w:color w:val="000000" w:themeColor="text1"/>
          <w:lang w:val="es-GT"/>
        </w:rPr>
      </w:pPr>
      <w:r w:rsidRPr="00BE720D">
        <w:rPr>
          <w:rStyle w:val="Refdenotaalpie"/>
          <w:rFonts w:asciiTheme="majorBidi" w:hAnsiTheme="majorBidi" w:cstheme="majorBidi"/>
          <w:color w:val="000000" w:themeColor="text1"/>
          <w:sz w:val="20"/>
        </w:rPr>
        <w:footnoteRef/>
      </w:r>
      <w:r w:rsidRPr="008905F5">
        <w:rPr>
          <w:rFonts w:asciiTheme="majorBidi" w:hAnsiTheme="majorBidi" w:cstheme="majorBidi"/>
          <w:color w:val="000000" w:themeColor="text1"/>
          <w:lang w:val="es-GT"/>
        </w:rPr>
        <w:t xml:space="preserve"> </w:t>
      </w:r>
      <w:r w:rsidR="00BE720D" w:rsidRPr="008905F5">
        <w:rPr>
          <w:rFonts w:asciiTheme="majorBidi" w:hAnsiTheme="majorBidi" w:cstheme="majorBidi"/>
          <w:color w:val="000000" w:themeColor="text1"/>
          <w:lang w:val="es-GT"/>
        </w:rPr>
        <w:t xml:space="preserve">Véase: </w:t>
      </w:r>
      <w:hyperlink r:id="rId9" w:history="1">
        <w:r w:rsidR="00BE720D" w:rsidRPr="008905F5">
          <w:rPr>
            <w:rStyle w:val="Hipervnculo"/>
            <w:rFonts w:asciiTheme="majorBidi" w:hAnsiTheme="majorBidi" w:cstheme="majorBidi"/>
            <w:lang w:val="es-GT"/>
          </w:rPr>
          <w:t>https://cnnespanol.cnn.com/2023/10/10/giammattei-manifestantes-grupos-choque-ordenes-arresto-guatemala-orix</w:t>
        </w:r>
      </w:hyperlink>
      <w:r w:rsidRPr="008905F5">
        <w:rPr>
          <w:rFonts w:asciiTheme="majorBidi" w:hAnsiTheme="majorBidi" w:cstheme="majorBidi"/>
          <w:color w:val="000000" w:themeColor="text1"/>
          <w:lang w:val="es-GT"/>
        </w:rPr>
        <w:t xml:space="preserve"> </w:t>
      </w:r>
    </w:p>
  </w:footnote>
  <w:footnote w:id="22">
    <w:p w14:paraId="3543587A" w14:textId="77777777" w:rsidR="002167B8" w:rsidRPr="00BE720D" w:rsidRDefault="002167B8" w:rsidP="00013274">
      <w:pPr>
        <w:pStyle w:val="Textonotapie"/>
        <w:jc w:val="both"/>
        <w:rPr>
          <w:rFonts w:asciiTheme="majorBidi" w:hAnsiTheme="majorBidi" w:cstheme="majorBidi"/>
          <w:color w:val="000000" w:themeColor="text1"/>
          <w:lang w:val="es-MX"/>
        </w:rPr>
      </w:pPr>
      <w:r w:rsidRPr="00BE720D">
        <w:rPr>
          <w:rStyle w:val="Refdenotaalpie"/>
          <w:rFonts w:asciiTheme="majorBidi" w:hAnsiTheme="majorBidi" w:cstheme="majorBidi"/>
          <w:color w:val="000000" w:themeColor="text1"/>
          <w:sz w:val="20"/>
        </w:rPr>
        <w:footnoteRef/>
      </w:r>
      <w:r w:rsidRPr="00BE720D">
        <w:rPr>
          <w:rFonts w:asciiTheme="majorBidi" w:hAnsiTheme="majorBidi" w:cstheme="majorBidi"/>
          <w:color w:val="000000" w:themeColor="text1"/>
          <w:lang w:val="es-ES"/>
        </w:rPr>
        <w:t xml:space="preserve"> </w:t>
      </w:r>
      <w:hyperlink r:id="rId10" w:history="1">
        <w:r w:rsidRPr="00BE720D">
          <w:rPr>
            <w:rStyle w:val="Hipervnculo"/>
            <w:rFonts w:asciiTheme="majorBidi" w:hAnsiTheme="majorBidi" w:cstheme="majorBidi"/>
            <w:color w:val="000000" w:themeColor="text1"/>
            <w:lang w:val="es-ES"/>
          </w:rPr>
          <w:t>https://spcommreports.ohchr.org/TMResultsBase/DownLoadPublicCommunicationFile?gId=28586</w:t>
        </w:r>
      </w:hyperlink>
      <w:r w:rsidRPr="00BE720D">
        <w:rPr>
          <w:rFonts w:asciiTheme="majorBidi" w:hAnsiTheme="majorBidi" w:cstheme="majorBidi"/>
          <w:color w:val="000000" w:themeColor="text1"/>
          <w:lang w:val="es-ES"/>
        </w:rPr>
        <w:t xml:space="preserve"> </w:t>
      </w:r>
    </w:p>
  </w:footnote>
  <w:footnote w:id="23">
    <w:p w14:paraId="56DB25D1" w14:textId="3200F686" w:rsidR="00742586" w:rsidRPr="00BE720D" w:rsidRDefault="00742586" w:rsidP="00013274">
      <w:pPr>
        <w:pStyle w:val="Textonotapie"/>
        <w:jc w:val="both"/>
        <w:rPr>
          <w:rFonts w:asciiTheme="majorBidi" w:hAnsiTheme="majorBidi" w:cstheme="majorBidi"/>
          <w:lang w:val="es-GT"/>
        </w:rPr>
      </w:pPr>
      <w:r w:rsidRPr="00BE720D">
        <w:rPr>
          <w:rStyle w:val="Refdenotaalpie"/>
          <w:rFonts w:asciiTheme="majorBidi" w:hAnsiTheme="majorBidi" w:cstheme="majorBidi"/>
          <w:sz w:val="20"/>
        </w:rPr>
        <w:footnoteRef/>
      </w:r>
      <w:r w:rsidRPr="00BE720D">
        <w:rPr>
          <w:rFonts w:asciiTheme="majorBidi" w:hAnsiTheme="majorBidi" w:cstheme="majorBidi"/>
          <w:lang w:val="es-GT"/>
        </w:rPr>
        <w:t xml:space="preserve"> </w:t>
      </w:r>
      <w:hyperlink r:id="rId11" w:history="1">
        <w:r w:rsidR="00466FB5" w:rsidRPr="00BE720D">
          <w:rPr>
            <w:rStyle w:val="Hipervnculo"/>
            <w:rFonts w:asciiTheme="majorBidi" w:hAnsiTheme="majorBidi" w:cstheme="majorBidi"/>
            <w:lang w:val="es-GT"/>
          </w:rPr>
          <w:t>Decretos Gubernativos</w:t>
        </w:r>
      </w:hyperlink>
      <w:r w:rsidR="00466FB5" w:rsidRPr="00BE720D">
        <w:rPr>
          <w:rFonts w:asciiTheme="majorBidi" w:hAnsiTheme="majorBidi" w:cstheme="majorBidi"/>
          <w:lang w:val="es-GT"/>
        </w:rPr>
        <w:t xml:space="preserve"> que declaran estados de sitio en</w:t>
      </w:r>
      <w:r w:rsidR="00291C1A" w:rsidRPr="00BE720D">
        <w:rPr>
          <w:rFonts w:asciiTheme="majorBidi" w:hAnsiTheme="majorBidi" w:cstheme="majorBidi"/>
          <w:lang w:val="es-GT"/>
        </w:rPr>
        <w:t xml:space="preserve"> los </w:t>
      </w:r>
      <w:r w:rsidR="004056A7" w:rsidRPr="00BE720D">
        <w:rPr>
          <w:rFonts w:asciiTheme="majorBidi" w:hAnsiTheme="majorBidi" w:cstheme="majorBidi"/>
          <w:lang w:val="es-GT"/>
        </w:rPr>
        <w:t xml:space="preserve">departamentos y </w:t>
      </w:r>
      <w:r w:rsidR="00291C1A" w:rsidRPr="00BE720D">
        <w:rPr>
          <w:rFonts w:asciiTheme="majorBidi" w:hAnsiTheme="majorBidi" w:cstheme="majorBidi"/>
          <w:lang w:val="es-GT"/>
        </w:rPr>
        <w:t>municipios de</w:t>
      </w:r>
      <w:r w:rsidR="00466FB5" w:rsidRPr="00BE720D">
        <w:rPr>
          <w:rFonts w:asciiTheme="majorBidi" w:hAnsiTheme="majorBidi" w:cstheme="majorBidi"/>
          <w:lang w:val="es-GT"/>
        </w:rPr>
        <w:t>:</w:t>
      </w:r>
      <w:r w:rsidR="00A7581B" w:rsidRPr="00BE720D">
        <w:rPr>
          <w:rFonts w:asciiTheme="majorBidi" w:hAnsiTheme="majorBidi" w:cstheme="majorBidi"/>
          <w:lang w:val="es-GT"/>
        </w:rPr>
        <w:t xml:space="preserve"> 10-2020, aprobado por el Decreto No. 23-2020 del Congreso de la República de Guatemala y11-2020 en Nahualá, Santa Catarina Ixtahuacán y Santa Lucía Utatlán;</w:t>
      </w:r>
      <w:r w:rsidR="004056A7" w:rsidRPr="00BE720D">
        <w:rPr>
          <w:rFonts w:asciiTheme="majorBidi" w:hAnsiTheme="majorBidi" w:cstheme="majorBidi"/>
          <w:lang w:val="es-GT"/>
        </w:rPr>
        <w:t xml:space="preserve"> </w:t>
      </w:r>
      <w:r w:rsidR="00F306EE" w:rsidRPr="00BE720D">
        <w:rPr>
          <w:rFonts w:asciiTheme="majorBidi" w:hAnsiTheme="majorBidi" w:cstheme="majorBidi"/>
          <w:lang w:val="es-GT"/>
        </w:rPr>
        <w:t>13-2020 en  El Estor, Morales y Livingston del Departamento de Izabal, y en los municipios de Panzós y Santa Catalina La Tinta del departamento de Alta Verapaz; 14-2020</w:t>
      </w:r>
      <w:r w:rsidR="006618FC" w:rsidRPr="00BE720D">
        <w:rPr>
          <w:rFonts w:asciiTheme="majorBidi" w:hAnsiTheme="majorBidi" w:cstheme="majorBidi"/>
          <w:lang w:val="es-GT"/>
        </w:rPr>
        <w:t xml:space="preserve"> y 16-2020</w:t>
      </w:r>
      <w:r w:rsidR="00F306EE" w:rsidRPr="00BE720D">
        <w:rPr>
          <w:rFonts w:asciiTheme="majorBidi" w:hAnsiTheme="majorBidi" w:cstheme="majorBidi"/>
          <w:lang w:val="es-GT"/>
        </w:rPr>
        <w:t xml:space="preserve"> en El Estor, Morales y Livingston del Departamento de Izabal, y en los municipios de Panzós y Santa Catalina La Tinta del departamento de Alta Verapaz;</w:t>
      </w:r>
      <w:r w:rsidR="004056A7" w:rsidRPr="00BE720D">
        <w:rPr>
          <w:rFonts w:asciiTheme="majorBidi" w:hAnsiTheme="majorBidi" w:cstheme="majorBidi"/>
          <w:lang w:val="es-GT"/>
        </w:rPr>
        <w:t>1-2021 en los departamentos de Izabal, Zacapa, Chiquimula, Jutiapa, El Progreso, Petén y Santa Rosa;</w:t>
      </w:r>
      <w:r w:rsidR="00466FB5" w:rsidRPr="00BE720D">
        <w:rPr>
          <w:rFonts w:asciiTheme="majorBidi" w:hAnsiTheme="majorBidi" w:cstheme="majorBidi"/>
          <w:lang w:val="es-GT"/>
        </w:rPr>
        <w:t xml:space="preserve"> </w:t>
      </w:r>
      <w:r w:rsidR="004056A7" w:rsidRPr="00BE720D">
        <w:rPr>
          <w:rFonts w:asciiTheme="majorBidi" w:hAnsiTheme="majorBidi" w:cstheme="majorBidi"/>
          <w:lang w:val="es-GT"/>
        </w:rPr>
        <w:t xml:space="preserve">3-2021 en los departamentos de Izabal, Zacapa, Chiquimula, El Progreso; y, Petén; </w:t>
      </w:r>
      <w:r w:rsidR="004056A7" w:rsidRPr="00BE720D">
        <w:rPr>
          <w:rFonts w:asciiTheme="majorBidi" w:hAnsiTheme="majorBidi" w:cstheme="majorBidi"/>
          <w:lang w:val="es-ES"/>
        </w:rPr>
        <w:t>9-2021</w:t>
      </w:r>
      <w:r w:rsidR="00291C1A" w:rsidRPr="00BE720D">
        <w:rPr>
          <w:rFonts w:asciiTheme="majorBidi" w:hAnsiTheme="majorBidi" w:cstheme="majorBidi"/>
          <w:lang w:val="es-GT"/>
        </w:rPr>
        <w:t xml:space="preserve">, </w:t>
      </w:r>
      <w:r w:rsidR="004056A7" w:rsidRPr="00BE720D">
        <w:rPr>
          <w:rFonts w:asciiTheme="majorBidi" w:hAnsiTheme="majorBidi" w:cstheme="majorBidi"/>
          <w:lang w:val="es-ES"/>
        </w:rPr>
        <w:t>10-2021</w:t>
      </w:r>
      <w:r w:rsidR="00466FB5" w:rsidRPr="00BE720D">
        <w:rPr>
          <w:rFonts w:asciiTheme="majorBidi" w:hAnsiTheme="majorBidi" w:cstheme="majorBidi"/>
          <w:lang w:val="es-GT"/>
        </w:rPr>
        <w:t xml:space="preserve"> en el Estor Izabal, </w:t>
      </w:r>
      <w:r w:rsidR="004056A7" w:rsidRPr="00BE720D">
        <w:rPr>
          <w:rFonts w:asciiTheme="majorBidi" w:hAnsiTheme="majorBidi" w:cstheme="majorBidi"/>
          <w:lang w:val="es-ES"/>
        </w:rPr>
        <w:t>11-2021</w:t>
      </w:r>
      <w:r w:rsidR="00466FB5" w:rsidRPr="00BE720D">
        <w:rPr>
          <w:rFonts w:asciiTheme="majorBidi" w:hAnsiTheme="majorBidi" w:cstheme="majorBidi"/>
          <w:lang w:val="es-GT"/>
        </w:rPr>
        <w:t xml:space="preserve">, </w:t>
      </w:r>
      <w:r w:rsidR="004056A7" w:rsidRPr="00BE720D">
        <w:rPr>
          <w:rFonts w:asciiTheme="majorBidi" w:hAnsiTheme="majorBidi" w:cstheme="majorBidi"/>
          <w:lang w:val="es-ES"/>
        </w:rPr>
        <w:t>1-2022</w:t>
      </w:r>
      <w:r w:rsidR="00291C1A" w:rsidRPr="00BE720D">
        <w:rPr>
          <w:rFonts w:asciiTheme="majorBidi" w:hAnsiTheme="majorBidi" w:cstheme="majorBidi"/>
          <w:lang w:val="es-GT"/>
        </w:rPr>
        <w:t xml:space="preserve">, </w:t>
      </w:r>
      <w:r w:rsidR="00466FB5" w:rsidRPr="00BE720D">
        <w:rPr>
          <w:rFonts w:asciiTheme="majorBidi" w:hAnsiTheme="majorBidi" w:cstheme="majorBidi"/>
          <w:lang w:val="es-GT"/>
        </w:rPr>
        <w:t xml:space="preserve"> en Nahualá y Santa Catarina Ixtahuacán; </w:t>
      </w:r>
    </w:p>
  </w:footnote>
  <w:footnote w:id="24">
    <w:p w14:paraId="73A61CDB" w14:textId="1F6C5EA9" w:rsidR="002167B8" w:rsidRPr="00BE720D" w:rsidRDefault="002167B8" w:rsidP="00013274">
      <w:pPr>
        <w:pStyle w:val="Textonotapie"/>
        <w:jc w:val="both"/>
        <w:rPr>
          <w:rFonts w:asciiTheme="majorBidi" w:hAnsiTheme="majorBidi" w:cstheme="majorBidi"/>
          <w:color w:val="000000" w:themeColor="text1"/>
          <w:lang w:val="es-MX"/>
        </w:rPr>
      </w:pPr>
      <w:r w:rsidRPr="00BE720D">
        <w:rPr>
          <w:rStyle w:val="Refdenotaalpie"/>
          <w:rFonts w:asciiTheme="majorBidi" w:hAnsiTheme="majorBidi" w:cstheme="majorBidi"/>
          <w:color w:val="000000" w:themeColor="text1"/>
          <w:sz w:val="20"/>
        </w:rPr>
        <w:footnoteRef/>
      </w:r>
      <w:r w:rsidRPr="00BE720D">
        <w:rPr>
          <w:rFonts w:asciiTheme="majorBidi" w:hAnsiTheme="majorBidi" w:cstheme="majorBidi"/>
          <w:color w:val="000000" w:themeColor="text1"/>
          <w:lang w:val="es-GT"/>
        </w:rPr>
        <w:t xml:space="preserve"> Véase</w:t>
      </w:r>
      <w:r w:rsidR="00BE720D" w:rsidRPr="00BE720D">
        <w:rPr>
          <w:rFonts w:asciiTheme="majorBidi" w:hAnsiTheme="majorBidi" w:cstheme="majorBidi"/>
          <w:color w:val="000000" w:themeColor="text1"/>
          <w:lang w:val="es-GT"/>
        </w:rPr>
        <w:t xml:space="preserve">: </w:t>
      </w:r>
      <w:r w:rsidRPr="00BE720D">
        <w:rPr>
          <w:rFonts w:asciiTheme="majorBidi" w:hAnsiTheme="majorBidi" w:cstheme="majorBidi"/>
          <w:color w:val="000000" w:themeColor="text1"/>
          <w:lang w:val="es-GT"/>
        </w:rPr>
        <w:t xml:space="preserve"> </w:t>
      </w:r>
      <w:hyperlink r:id="rId12" w:history="1">
        <w:r w:rsidR="00BE720D" w:rsidRPr="00BE720D">
          <w:rPr>
            <w:rStyle w:val="Hipervnculo"/>
            <w:rFonts w:asciiTheme="majorBidi" w:hAnsiTheme="majorBidi" w:cstheme="majorBidi"/>
            <w:lang w:val="es-GT"/>
          </w:rPr>
          <w:t>https://oas.org/es/cidh/expresion/publicaciones/ProtestayDerechosHumanos.pdf</w:t>
        </w:r>
      </w:hyperlink>
      <w:r w:rsidR="00BE720D" w:rsidRPr="00BE720D">
        <w:rPr>
          <w:rFonts w:asciiTheme="majorBidi" w:hAnsiTheme="majorBidi" w:cstheme="majorBidi"/>
          <w:color w:val="000000" w:themeColor="text1"/>
          <w:lang w:val="es-GT"/>
        </w:rPr>
        <w:t xml:space="preserve"> </w:t>
      </w:r>
      <w:r w:rsidRPr="00BE720D">
        <w:rPr>
          <w:rFonts w:asciiTheme="majorBidi" w:hAnsiTheme="majorBidi" w:cstheme="majorBidi"/>
          <w:color w:val="000000" w:themeColor="text1"/>
          <w:lang w:val="es-GT"/>
        </w:rPr>
        <w:t>, párr. 86.</w:t>
      </w:r>
    </w:p>
  </w:footnote>
  <w:footnote w:id="25">
    <w:p w14:paraId="46ADE3E9" w14:textId="6F9F6773" w:rsidR="002167B8" w:rsidRPr="00BE720D" w:rsidRDefault="002167B8" w:rsidP="00013274">
      <w:pPr>
        <w:pStyle w:val="Textonotapie"/>
        <w:spacing w:before="240" w:after="240"/>
        <w:jc w:val="both"/>
        <w:rPr>
          <w:rFonts w:asciiTheme="majorBidi" w:hAnsiTheme="majorBidi" w:cstheme="majorBidi"/>
          <w:color w:val="000000" w:themeColor="text1"/>
        </w:rPr>
      </w:pPr>
      <w:r w:rsidRPr="00BE720D">
        <w:rPr>
          <w:rStyle w:val="Refdenotaalpie"/>
          <w:rFonts w:asciiTheme="majorBidi" w:hAnsiTheme="majorBidi" w:cstheme="majorBidi"/>
          <w:color w:val="000000" w:themeColor="text1"/>
          <w:sz w:val="20"/>
        </w:rPr>
        <w:footnoteRef/>
      </w:r>
      <w:r w:rsidRPr="00BE720D">
        <w:rPr>
          <w:rFonts w:asciiTheme="majorBidi" w:hAnsiTheme="majorBidi" w:cstheme="majorBidi"/>
          <w:color w:val="000000" w:themeColor="text1"/>
          <w:lang w:val="es-GT"/>
        </w:rPr>
        <w:t xml:space="preserve"> </w:t>
      </w:r>
      <w:r w:rsidR="00BE720D" w:rsidRPr="00013274">
        <w:rPr>
          <w:rFonts w:asciiTheme="majorBidi" w:hAnsiTheme="majorBidi" w:cstheme="majorBidi"/>
          <w:color w:val="000000" w:themeColor="text1"/>
          <w:lang w:val="es-GT"/>
        </w:rPr>
        <w:t xml:space="preserve">Véase </w:t>
      </w:r>
      <w:r w:rsidRPr="00BE720D">
        <w:rPr>
          <w:rFonts w:asciiTheme="majorBidi" w:hAnsiTheme="majorBidi" w:cstheme="majorBidi"/>
          <w:color w:val="000000" w:themeColor="text1"/>
          <w:lang w:val="es-GT"/>
        </w:rPr>
        <w:t xml:space="preserve">Red Social X, 19 de octubre del 2021. </w:t>
      </w:r>
      <w:hyperlink r:id="rId13">
        <w:r w:rsidRPr="00BE720D">
          <w:rPr>
            <w:rStyle w:val="Hipervnculo"/>
            <w:rFonts w:asciiTheme="majorBidi" w:hAnsiTheme="majorBidi" w:cstheme="majorBidi"/>
            <w:color w:val="000000" w:themeColor="text1"/>
          </w:rPr>
          <w:t>https://x.com/lahoragt/status/1450597858747555844?ref_src=twsrc%5Etfw%7Ctwcamp%5Etweetembed%7Ctwterm%5E1450597858747555844%7Ctwgr%5Eb9493b0dae279f2e11c9f5d1005036c1d2a17b38%7Ctwcon%5Es1_&amp;ref_url=https%3A%2F%2Fmonitor.civicus.org%2Fexplore%2Fguatemala-siege-municipality-prevent-anti-mining-protests-indigenous-groups-98e6%2F</w:t>
        </w:r>
      </w:hyperlink>
      <w:r w:rsidR="00BE720D">
        <w:rPr>
          <w:rFonts w:asciiTheme="majorBidi" w:hAnsiTheme="majorBidi" w:cstheme="majorBidi"/>
        </w:rPr>
        <w:t xml:space="preserve"> </w:t>
      </w:r>
    </w:p>
  </w:footnote>
  <w:footnote w:id="26">
    <w:p w14:paraId="180D4048" w14:textId="771195E6" w:rsidR="002167B8" w:rsidRPr="00BE720D" w:rsidRDefault="002167B8" w:rsidP="00013274">
      <w:pPr>
        <w:pStyle w:val="Textonotapie"/>
        <w:spacing w:before="240" w:after="240"/>
        <w:jc w:val="both"/>
        <w:rPr>
          <w:rFonts w:asciiTheme="majorBidi" w:hAnsiTheme="majorBidi" w:cstheme="majorBidi"/>
          <w:color w:val="000000" w:themeColor="text1"/>
          <w:lang w:val="es-GT"/>
        </w:rPr>
      </w:pPr>
      <w:r w:rsidRPr="00BE720D">
        <w:rPr>
          <w:rStyle w:val="Refdenotaalpie"/>
          <w:rFonts w:asciiTheme="majorBidi" w:hAnsiTheme="majorBidi" w:cstheme="majorBidi"/>
          <w:color w:val="000000" w:themeColor="text1"/>
          <w:sz w:val="20"/>
        </w:rPr>
        <w:footnoteRef/>
      </w:r>
      <w:r w:rsidRPr="00BE720D">
        <w:rPr>
          <w:rFonts w:asciiTheme="majorBidi" w:hAnsiTheme="majorBidi" w:cstheme="majorBidi"/>
          <w:color w:val="000000" w:themeColor="text1"/>
          <w:lang w:val="es-GT"/>
        </w:rPr>
        <w:t xml:space="preserve"> </w:t>
      </w:r>
      <w:r w:rsidR="00BE720D" w:rsidRPr="00013274">
        <w:rPr>
          <w:rFonts w:asciiTheme="majorBidi" w:hAnsiTheme="majorBidi" w:cstheme="majorBidi"/>
          <w:color w:val="000000" w:themeColor="text1"/>
          <w:lang w:val="es-GT"/>
        </w:rPr>
        <w:t>Véase</w:t>
      </w:r>
      <w:r w:rsidR="00BE720D">
        <w:rPr>
          <w:rFonts w:asciiTheme="majorBidi" w:hAnsiTheme="majorBidi" w:cstheme="majorBidi"/>
          <w:color w:val="000000" w:themeColor="text1"/>
          <w:lang w:val="es-GT"/>
        </w:rPr>
        <w:t xml:space="preserve">: </w:t>
      </w:r>
      <w:r w:rsidRPr="00BE720D">
        <w:rPr>
          <w:rFonts w:asciiTheme="majorBidi" w:hAnsiTheme="majorBidi" w:cstheme="majorBidi"/>
          <w:color w:val="000000" w:themeColor="text1"/>
          <w:lang w:val="es-GT"/>
        </w:rPr>
        <w:t xml:space="preserve">Red social X, 27 de septiembre del 2021 </w:t>
      </w:r>
      <w:hyperlink r:id="rId14">
        <w:r w:rsidRPr="00BE720D">
          <w:rPr>
            <w:rStyle w:val="Hipervnculo"/>
            <w:rFonts w:asciiTheme="majorBidi" w:hAnsiTheme="majorBidi" w:cstheme="majorBidi"/>
            <w:color w:val="000000" w:themeColor="text1"/>
            <w:lang w:val="es-GT"/>
          </w:rPr>
          <w:t>https://x.com/ElRebeldeGt1/status/1442655635963789312?ref_src=twsrc%5Etfw%7Ctwcamp%5Etweetembed%7Ctwterm%5E1442664779034865665%7Ctwgr%5E7249e608bdae797faed29bae8de89b7a57ac1efe%7Ctwcon%5Es3_&amp;ref_url=https%3A%2F%2Fwww.prensalibre.com%2Fciudades%2Fsuchitepequez%2Fpnc-libera-el-paso-en-cuyotenango-y-se-desatan-enfrentamientos-con-pobladores-breaking%2F</w:t>
        </w:r>
      </w:hyperlink>
      <w:r w:rsidR="00BE720D" w:rsidRPr="00BE720D">
        <w:rPr>
          <w:rFonts w:asciiTheme="majorBidi" w:hAnsiTheme="majorBidi" w:cstheme="majorBidi"/>
          <w:lang w:val="es-GT"/>
        </w:rPr>
        <w:t xml:space="preserve"> </w:t>
      </w:r>
    </w:p>
  </w:footnote>
  <w:footnote w:id="27">
    <w:p w14:paraId="4F67CD71" w14:textId="0BB05DDB" w:rsidR="002167B8" w:rsidRPr="00BE720D" w:rsidRDefault="002167B8" w:rsidP="00013274">
      <w:pPr>
        <w:pStyle w:val="Textonotapie"/>
        <w:jc w:val="both"/>
        <w:rPr>
          <w:rFonts w:asciiTheme="majorBidi" w:hAnsiTheme="majorBidi" w:cstheme="majorBidi"/>
          <w:color w:val="000000" w:themeColor="text1"/>
          <w:lang w:val="fr-FR"/>
        </w:rPr>
      </w:pPr>
      <w:r w:rsidRPr="00BE720D">
        <w:rPr>
          <w:rStyle w:val="Refdenotaalpie"/>
          <w:rFonts w:asciiTheme="majorBidi" w:hAnsiTheme="majorBidi" w:cstheme="majorBidi"/>
          <w:color w:val="000000" w:themeColor="text1"/>
          <w:sz w:val="20"/>
        </w:rPr>
        <w:footnoteRef/>
      </w:r>
      <w:r w:rsidRPr="00BE720D">
        <w:rPr>
          <w:rFonts w:asciiTheme="majorBidi" w:hAnsiTheme="majorBidi" w:cstheme="majorBidi"/>
          <w:color w:val="000000" w:themeColor="text1"/>
          <w:lang w:val="fr-FR"/>
        </w:rPr>
        <w:t xml:space="preserve"> </w:t>
      </w:r>
      <w:proofErr w:type="gramStart"/>
      <w:r w:rsidR="00BE720D" w:rsidRPr="00BE720D">
        <w:rPr>
          <w:rFonts w:asciiTheme="majorBidi" w:hAnsiTheme="majorBidi" w:cstheme="majorBidi"/>
          <w:color w:val="000000" w:themeColor="text1"/>
          <w:lang w:val="fr-FR"/>
        </w:rPr>
        <w:t>Véase:</w:t>
      </w:r>
      <w:proofErr w:type="gramEnd"/>
      <w:r w:rsidR="00BE720D" w:rsidRPr="00BE720D">
        <w:rPr>
          <w:rFonts w:asciiTheme="majorBidi" w:hAnsiTheme="majorBidi" w:cstheme="majorBidi"/>
          <w:color w:val="000000" w:themeColor="text1"/>
          <w:lang w:val="fr-FR"/>
        </w:rPr>
        <w:t xml:space="preserve"> </w:t>
      </w:r>
      <w:hyperlink r:id="rId15" w:history="1">
        <w:r w:rsidR="00BE720D" w:rsidRPr="009230BD">
          <w:rPr>
            <w:rStyle w:val="Hipervnculo"/>
            <w:rFonts w:asciiTheme="majorBidi" w:hAnsiTheme="majorBidi" w:cstheme="majorBidi"/>
            <w:lang w:val="fr-FR"/>
          </w:rPr>
          <w:t>https://prensacomunitaria.org/2021/12/la-noticia-de-2021-la-toma-de-el-estor-por-la-minera-suizo-rusa-solway/</w:t>
        </w:r>
      </w:hyperlink>
      <w:r w:rsidRPr="00BE720D">
        <w:rPr>
          <w:rFonts w:asciiTheme="majorBidi" w:hAnsiTheme="majorBidi" w:cstheme="majorBidi"/>
          <w:color w:val="000000" w:themeColor="text1"/>
          <w:lang w:val="fr-FR"/>
        </w:rPr>
        <w:t xml:space="preserve"> </w:t>
      </w:r>
    </w:p>
  </w:footnote>
  <w:footnote w:id="28">
    <w:p w14:paraId="5C41463C" w14:textId="77777777" w:rsidR="002167B8" w:rsidRPr="00BE720D" w:rsidRDefault="002167B8" w:rsidP="00013274">
      <w:pPr>
        <w:pStyle w:val="Textonotapie"/>
        <w:jc w:val="both"/>
        <w:rPr>
          <w:rFonts w:asciiTheme="majorBidi" w:hAnsiTheme="majorBidi" w:cstheme="majorBidi"/>
          <w:color w:val="000000" w:themeColor="text1"/>
          <w:lang w:val="es-GT"/>
        </w:rPr>
      </w:pPr>
      <w:r w:rsidRPr="00BE720D">
        <w:rPr>
          <w:rStyle w:val="Refdenotaalpie"/>
          <w:rFonts w:asciiTheme="majorBidi" w:hAnsiTheme="majorBidi" w:cstheme="majorBidi"/>
          <w:color w:val="000000" w:themeColor="text1"/>
          <w:sz w:val="20"/>
        </w:rPr>
        <w:footnoteRef/>
      </w:r>
      <w:r w:rsidRPr="00BE720D">
        <w:rPr>
          <w:rFonts w:asciiTheme="majorBidi" w:hAnsiTheme="majorBidi" w:cstheme="majorBidi"/>
          <w:color w:val="000000" w:themeColor="text1"/>
          <w:lang w:val="es-GT"/>
        </w:rPr>
        <w:t xml:space="preserve"> Informe OACNUDH 2021.</w:t>
      </w:r>
    </w:p>
  </w:footnote>
  <w:footnote w:id="29">
    <w:p w14:paraId="4F305200" w14:textId="77777777" w:rsidR="002167B8" w:rsidRPr="00BE720D" w:rsidRDefault="002167B8" w:rsidP="00013274">
      <w:pPr>
        <w:pStyle w:val="Textonotapie"/>
        <w:jc w:val="both"/>
        <w:rPr>
          <w:rFonts w:asciiTheme="majorBidi" w:hAnsiTheme="majorBidi" w:cstheme="majorBidi"/>
          <w:color w:val="000000" w:themeColor="text1"/>
          <w:lang w:val="es-GT"/>
        </w:rPr>
      </w:pPr>
      <w:r w:rsidRPr="00BE720D">
        <w:rPr>
          <w:rStyle w:val="Refdenotaalpie"/>
          <w:rFonts w:asciiTheme="majorBidi" w:hAnsiTheme="majorBidi" w:cstheme="majorBidi"/>
          <w:color w:val="000000" w:themeColor="text1"/>
          <w:sz w:val="20"/>
        </w:rPr>
        <w:footnoteRef/>
      </w:r>
      <w:r w:rsidRPr="00BE720D">
        <w:rPr>
          <w:rFonts w:asciiTheme="majorBidi" w:hAnsiTheme="majorBidi" w:cstheme="majorBidi"/>
          <w:color w:val="000000" w:themeColor="text1"/>
          <w:lang w:val="es-GT"/>
        </w:rPr>
        <w:t xml:space="preserve">  </w:t>
      </w:r>
      <w:r w:rsidRPr="00BE720D">
        <w:rPr>
          <w:rFonts w:asciiTheme="majorBidi" w:eastAsia="Calibri" w:hAnsiTheme="majorBidi" w:cstheme="majorBidi"/>
          <w:color w:val="000000" w:themeColor="text1"/>
          <w:lang w:val="es-GT"/>
        </w:rPr>
        <w:t>Comité de Derechos Humanos, CCPR/C/GC/37, Observación general 37, párr. 15</w:t>
      </w:r>
    </w:p>
  </w:footnote>
  <w:footnote w:id="30">
    <w:p w14:paraId="0BC69A8D" w14:textId="77777777" w:rsidR="002167B8" w:rsidRPr="00BE720D" w:rsidRDefault="002167B8" w:rsidP="00013274">
      <w:pPr>
        <w:spacing w:after="0" w:line="240" w:lineRule="auto"/>
        <w:jc w:val="both"/>
        <w:rPr>
          <w:rFonts w:asciiTheme="majorBidi" w:hAnsiTheme="majorBidi" w:cstheme="majorBidi"/>
          <w:color w:val="000000" w:themeColor="text1"/>
          <w:sz w:val="20"/>
          <w:szCs w:val="20"/>
        </w:rPr>
      </w:pPr>
      <w:r w:rsidRPr="00BE720D">
        <w:rPr>
          <w:rStyle w:val="Refdenotaalpie"/>
          <w:rFonts w:asciiTheme="majorBidi" w:hAnsiTheme="majorBidi" w:cstheme="majorBidi"/>
          <w:color w:val="000000" w:themeColor="text1"/>
          <w:sz w:val="20"/>
          <w:szCs w:val="20"/>
        </w:rPr>
        <w:footnoteRef/>
      </w:r>
      <w:r w:rsidRPr="00BE720D">
        <w:rPr>
          <w:rFonts w:asciiTheme="majorBidi" w:hAnsiTheme="majorBidi" w:cstheme="majorBidi"/>
          <w:color w:val="000000" w:themeColor="text1"/>
          <w:sz w:val="20"/>
          <w:szCs w:val="20"/>
        </w:rPr>
        <w:t xml:space="preserve"> Protesta y Derechos Humanos, CIDH </w:t>
      </w:r>
      <w:hyperlink r:id="rId16" w:history="1">
        <w:r w:rsidRPr="00BE720D">
          <w:rPr>
            <w:rStyle w:val="Hipervnculo"/>
            <w:rFonts w:asciiTheme="majorBidi" w:hAnsiTheme="majorBidi" w:cstheme="majorBidi"/>
            <w:color w:val="000000" w:themeColor="text1"/>
            <w:sz w:val="20"/>
            <w:szCs w:val="20"/>
          </w:rPr>
          <w:t>https://www.oas.org/es/cidh/expresion/publicaciones/ProtestayDerechosHumanos.pdf</w:t>
        </w:r>
      </w:hyperlink>
      <w:r w:rsidRPr="00BE720D">
        <w:rPr>
          <w:rFonts w:asciiTheme="majorBidi" w:hAnsiTheme="majorBidi" w:cstheme="majorBidi"/>
          <w:color w:val="000000" w:themeColor="text1"/>
          <w:sz w:val="20"/>
          <w:szCs w:val="20"/>
        </w:rPr>
        <w:t xml:space="preserve"> parr. 22</w:t>
      </w:r>
    </w:p>
  </w:footnote>
  <w:footnote w:id="31">
    <w:p w14:paraId="6FD5CB87" w14:textId="77777777" w:rsidR="00603868" w:rsidRPr="00BE720D" w:rsidRDefault="00603868" w:rsidP="00013274">
      <w:pPr>
        <w:pStyle w:val="Textonotapie"/>
        <w:jc w:val="both"/>
        <w:rPr>
          <w:rFonts w:asciiTheme="majorBidi" w:hAnsiTheme="majorBidi" w:cstheme="majorBidi"/>
          <w:color w:val="000000" w:themeColor="text1"/>
          <w:lang w:val="es-GT"/>
        </w:rPr>
      </w:pPr>
      <w:r w:rsidRPr="00BE720D">
        <w:rPr>
          <w:rStyle w:val="Refdenotaalpie"/>
          <w:rFonts w:asciiTheme="majorBidi" w:hAnsiTheme="majorBidi" w:cstheme="majorBidi"/>
          <w:color w:val="000000" w:themeColor="text1"/>
          <w:sz w:val="20"/>
        </w:rPr>
        <w:footnoteRef/>
      </w:r>
      <w:r w:rsidRPr="00BE720D">
        <w:rPr>
          <w:rFonts w:asciiTheme="majorBidi" w:hAnsiTheme="majorBidi" w:cstheme="majorBidi"/>
          <w:color w:val="000000" w:themeColor="text1"/>
          <w:lang w:val="es-GT"/>
        </w:rPr>
        <w:t xml:space="preserve"> </w:t>
      </w:r>
      <w:hyperlink r:id="rId17" w:history="1">
        <w:r w:rsidRPr="00BE720D">
          <w:rPr>
            <w:rStyle w:val="Hipervnculo"/>
            <w:rFonts w:asciiTheme="majorBidi" w:hAnsiTheme="majorBidi" w:cstheme="majorBidi"/>
            <w:color w:val="000000" w:themeColor="text1"/>
            <w:lang w:val="es-GT"/>
          </w:rPr>
          <w:t>https://cacif.org.gt/comunicado-cacif-27-de-abril-del-2025/</w:t>
        </w:r>
      </w:hyperlink>
      <w:r w:rsidRPr="00BE720D">
        <w:rPr>
          <w:rFonts w:asciiTheme="majorBidi" w:hAnsiTheme="majorBidi" w:cstheme="majorBidi"/>
          <w:color w:val="000000" w:themeColor="text1"/>
          <w:lang w:val="es-GT"/>
        </w:rPr>
        <w:t xml:space="preserve"> </w:t>
      </w:r>
    </w:p>
  </w:footnote>
  <w:footnote w:id="32">
    <w:p w14:paraId="77EDE88F" w14:textId="77777777" w:rsidR="00603868" w:rsidRPr="00BE720D" w:rsidRDefault="00603868" w:rsidP="00013274">
      <w:pPr>
        <w:pStyle w:val="Textonotapie"/>
        <w:jc w:val="both"/>
        <w:rPr>
          <w:rFonts w:asciiTheme="majorBidi" w:hAnsiTheme="majorBidi" w:cstheme="majorBidi"/>
          <w:color w:val="000000" w:themeColor="text1"/>
          <w:lang w:val="es-GT"/>
        </w:rPr>
      </w:pPr>
      <w:r w:rsidRPr="00BE720D">
        <w:rPr>
          <w:rStyle w:val="Refdenotaalpie"/>
          <w:rFonts w:asciiTheme="majorBidi" w:hAnsiTheme="majorBidi" w:cstheme="majorBidi"/>
          <w:color w:val="000000" w:themeColor="text1"/>
          <w:sz w:val="20"/>
        </w:rPr>
        <w:footnoteRef/>
      </w:r>
      <w:r w:rsidRPr="00BE720D">
        <w:rPr>
          <w:rFonts w:asciiTheme="majorBidi" w:hAnsiTheme="majorBidi" w:cstheme="majorBidi"/>
          <w:color w:val="000000" w:themeColor="text1"/>
          <w:lang w:val="es-GT"/>
        </w:rPr>
        <w:t xml:space="preserve"> Loc. Cit.</w:t>
      </w:r>
    </w:p>
  </w:footnote>
  <w:footnote w:id="33">
    <w:p w14:paraId="7CFFB327" w14:textId="77777777" w:rsidR="00603868" w:rsidRPr="00BE720D" w:rsidRDefault="00603868" w:rsidP="00013274">
      <w:pPr>
        <w:pStyle w:val="Textonotapie"/>
        <w:jc w:val="both"/>
        <w:rPr>
          <w:rFonts w:asciiTheme="majorBidi" w:hAnsiTheme="majorBidi" w:cstheme="majorBidi"/>
          <w:color w:val="000000" w:themeColor="text1"/>
          <w:lang w:val="es-MX"/>
        </w:rPr>
      </w:pPr>
      <w:r w:rsidRPr="00BE720D">
        <w:rPr>
          <w:rStyle w:val="Refdenotaalpie"/>
          <w:rFonts w:asciiTheme="majorBidi" w:hAnsiTheme="majorBidi" w:cstheme="majorBidi"/>
          <w:color w:val="000000" w:themeColor="text1"/>
          <w:sz w:val="20"/>
        </w:rPr>
        <w:footnoteRef/>
      </w:r>
      <w:r w:rsidRPr="00BE720D">
        <w:rPr>
          <w:rFonts w:asciiTheme="majorBidi" w:hAnsiTheme="majorBidi" w:cstheme="majorBidi"/>
          <w:color w:val="000000" w:themeColor="text1"/>
          <w:lang w:val="es-GT"/>
        </w:rPr>
        <w:t xml:space="preserve"> </w:t>
      </w:r>
      <w:r w:rsidRPr="00BE720D">
        <w:rPr>
          <w:rStyle w:val="normaltextrun"/>
          <w:rFonts w:asciiTheme="majorBidi" w:hAnsiTheme="majorBidi" w:cstheme="majorBidi"/>
          <w:color w:val="000000" w:themeColor="text1"/>
          <w:shd w:val="clear" w:color="auto" w:fill="FFFFFF"/>
          <w:lang w:val="es-MX"/>
        </w:rPr>
        <w:t>Informe CIDH “Criminalización de la labor de las Defensoras y Defensores de Derechos Humanos”</w:t>
      </w:r>
      <w:r w:rsidRPr="00BE720D">
        <w:rPr>
          <w:rStyle w:val="eop"/>
          <w:rFonts w:asciiTheme="majorBidi" w:hAnsiTheme="majorBidi" w:cstheme="majorBidi"/>
          <w:color w:val="000000" w:themeColor="text1"/>
          <w:shd w:val="clear" w:color="auto" w:fill="FFFFFF"/>
          <w:lang w:val="es-GT"/>
        </w:rPr>
        <w:t> Parr. 125</w:t>
      </w:r>
    </w:p>
  </w:footnote>
  <w:footnote w:id="34">
    <w:p w14:paraId="1CB34B93" w14:textId="77777777" w:rsidR="002167B8" w:rsidRPr="00BE720D" w:rsidRDefault="002167B8" w:rsidP="00013274">
      <w:pPr>
        <w:pStyle w:val="Textonotapie"/>
        <w:jc w:val="both"/>
        <w:rPr>
          <w:rFonts w:asciiTheme="majorBidi" w:hAnsiTheme="majorBidi" w:cstheme="majorBidi"/>
          <w:color w:val="000000" w:themeColor="text1"/>
          <w:lang w:val="es-MX"/>
        </w:rPr>
      </w:pPr>
      <w:r w:rsidRPr="00BE720D">
        <w:rPr>
          <w:rStyle w:val="Refdenotaalpie"/>
          <w:rFonts w:asciiTheme="majorBidi" w:hAnsiTheme="majorBidi" w:cstheme="majorBidi"/>
          <w:color w:val="000000" w:themeColor="text1"/>
          <w:sz w:val="20"/>
        </w:rPr>
        <w:footnoteRef/>
      </w:r>
      <w:r w:rsidRPr="00BE720D">
        <w:rPr>
          <w:rFonts w:asciiTheme="majorBidi" w:hAnsiTheme="majorBidi" w:cstheme="majorBidi"/>
          <w:color w:val="000000" w:themeColor="text1"/>
          <w:lang w:val="es-GT"/>
        </w:rPr>
        <w:t xml:space="preserve"> OSCE, Directrices sobre la libertad de reunión pacífica, segunda edición, 2010.</w:t>
      </w:r>
    </w:p>
  </w:footnote>
  <w:footnote w:id="35">
    <w:p w14:paraId="25670406" w14:textId="77777777" w:rsidR="002167B8" w:rsidRPr="00BE720D" w:rsidRDefault="002167B8" w:rsidP="00013274">
      <w:pPr>
        <w:pStyle w:val="Textonotapie"/>
        <w:jc w:val="both"/>
        <w:rPr>
          <w:rFonts w:asciiTheme="majorBidi" w:hAnsiTheme="majorBidi" w:cstheme="majorBidi"/>
          <w:color w:val="000000" w:themeColor="text1"/>
          <w:lang w:val="es-GT"/>
        </w:rPr>
      </w:pPr>
      <w:r w:rsidRPr="00BE720D">
        <w:rPr>
          <w:rStyle w:val="Refdenotaalpie"/>
          <w:rFonts w:asciiTheme="majorBidi" w:hAnsiTheme="majorBidi" w:cstheme="majorBidi"/>
          <w:color w:val="000000" w:themeColor="text1"/>
          <w:sz w:val="20"/>
        </w:rPr>
        <w:footnoteRef/>
      </w:r>
      <w:r w:rsidRPr="00BE720D">
        <w:rPr>
          <w:rFonts w:asciiTheme="majorBidi" w:hAnsiTheme="majorBidi" w:cstheme="majorBidi"/>
          <w:color w:val="000000" w:themeColor="text1"/>
          <w:lang w:val="es-GT"/>
        </w:rPr>
        <w:t xml:space="preserve"> CCPR/C/GC/37.  Observación general núm. </w:t>
      </w:r>
      <w:proofErr w:type="gramStart"/>
      <w:r w:rsidRPr="00BE720D">
        <w:rPr>
          <w:rFonts w:asciiTheme="majorBidi" w:hAnsiTheme="majorBidi" w:cstheme="majorBidi"/>
          <w:color w:val="000000" w:themeColor="text1"/>
          <w:lang w:val="es-GT"/>
        </w:rPr>
        <w:t>37 .Parr</w:t>
      </w:r>
      <w:proofErr w:type="gramEnd"/>
      <w:r w:rsidRPr="00BE720D">
        <w:rPr>
          <w:rFonts w:asciiTheme="majorBidi" w:hAnsiTheme="majorBidi" w:cstheme="majorBidi"/>
          <w:color w:val="000000" w:themeColor="text1"/>
          <w:lang w:val="es-GT"/>
        </w:rPr>
        <w:t>. 27 y 52.</w:t>
      </w:r>
    </w:p>
  </w:footnote>
  <w:footnote w:id="36">
    <w:p w14:paraId="4E4A23DD" w14:textId="339FD7DB" w:rsidR="002167B8" w:rsidRPr="00BE720D" w:rsidRDefault="002167B8" w:rsidP="00013274">
      <w:pPr>
        <w:pStyle w:val="Textonotapie"/>
        <w:jc w:val="both"/>
        <w:rPr>
          <w:rFonts w:asciiTheme="majorBidi" w:hAnsiTheme="majorBidi" w:cstheme="majorBidi"/>
          <w:color w:val="000000" w:themeColor="text1"/>
          <w:lang w:val="fr-FR"/>
        </w:rPr>
      </w:pPr>
      <w:r w:rsidRPr="00BE720D">
        <w:rPr>
          <w:rStyle w:val="Refdenotaalpie"/>
          <w:rFonts w:asciiTheme="majorBidi" w:hAnsiTheme="majorBidi" w:cstheme="majorBidi"/>
          <w:color w:val="000000" w:themeColor="text1"/>
          <w:sz w:val="20"/>
        </w:rPr>
        <w:footnoteRef/>
      </w:r>
      <w:r w:rsidRPr="00BE720D">
        <w:rPr>
          <w:rFonts w:asciiTheme="majorBidi" w:hAnsiTheme="majorBidi" w:cstheme="majorBidi"/>
          <w:color w:val="000000" w:themeColor="text1"/>
          <w:lang w:val="fr-FR"/>
        </w:rPr>
        <w:t xml:space="preserve"> </w:t>
      </w:r>
      <w:proofErr w:type="gramStart"/>
      <w:r w:rsidR="00BE720D" w:rsidRPr="00BE720D">
        <w:rPr>
          <w:rFonts w:asciiTheme="majorBidi" w:hAnsiTheme="majorBidi" w:cstheme="majorBidi"/>
          <w:color w:val="000000" w:themeColor="text1"/>
          <w:lang w:val="fr-FR"/>
        </w:rPr>
        <w:t>Véase:</w:t>
      </w:r>
      <w:proofErr w:type="gramEnd"/>
      <w:r w:rsidR="00BE720D" w:rsidRPr="00BE720D">
        <w:rPr>
          <w:rFonts w:asciiTheme="majorBidi" w:hAnsiTheme="majorBidi" w:cstheme="majorBidi"/>
          <w:color w:val="000000" w:themeColor="text1"/>
          <w:lang w:val="fr-FR"/>
        </w:rPr>
        <w:t xml:space="preserve"> </w:t>
      </w:r>
      <w:hyperlink r:id="rId18" w:history="1">
        <w:r w:rsidR="00BE720D" w:rsidRPr="009230BD">
          <w:rPr>
            <w:rStyle w:val="Hipervnculo"/>
            <w:rFonts w:asciiTheme="majorBidi" w:hAnsiTheme="majorBidi" w:cstheme="majorBidi"/>
            <w:lang w:val="fr-FR"/>
          </w:rPr>
          <w:t>https://prensacomunitaria.org/2021/11/el-estor-las-dos-caras-del-estado-de-sitio/</w:t>
        </w:r>
      </w:hyperlink>
      <w:r w:rsidRPr="00BE720D">
        <w:rPr>
          <w:rFonts w:asciiTheme="majorBidi" w:hAnsiTheme="majorBidi" w:cstheme="majorBidi"/>
          <w:color w:val="000000" w:themeColor="text1"/>
          <w:lang w:val="fr-FR"/>
        </w:rPr>
        <w:t xml:space="preserve"> </w:t>
      </w:r>
    </w:p>
  </w:footnote>
  <w:footnote w:id="37">
    <w:p w14:paraId="036C9CB8" w14:textId="68F3B2BB" w:rsidR="002167B8" w:rsidRPr="00BE720D" w:rsidRDefault="002167B8" w:rsidP="00013274">
      <w:pPr>
        <w:pStyle w:val="Textonotapie"/>
        <w:jc w:val="both"/>
        <w:rPr>
          <w:rFonts w:asciiTheme="majorBidi" w:hAnsiTheme="majorBidi" w:cstheme="majorBidi"/>
          <w:color w:val="000000" w:themeColor="text1"/>
          <w:lang w:val="fr-FR"/>
        </w:rPr>
      </w:pPr>
      <w:r w:rsidRPr="00BE720D">
        <w:rPr>
          <w:rStyle w:val="Refdenotaalpie"/>
          <w:rFonts w:asciiTheme="majorBidi" w:hAnsiTheme="majorBidi" w:cstheme="majorBidi"/>
          <w:color w:val="000000" w:themeColor="text1"/>
          <w:sz w:val="20"/>
        </w:rPr>
        <w:footnoteRef/>
      </w:r>
      <w:proofErr w:type="gramStart"/>
      <w:r w:rsidR="00BE720D" w:rsidRPr="00BE720D">
        <w:rPr>
          <w:rFonts w:asciiTheme="majorBidi" w:hAnsiTheme="majorBidi" w:cstheme="majorBidi"/>
          <w:color w:val="000000" w:themeColor="text1"/>
          <w:lang w:val="fr-FR"/>
        </w:rPr>
        <w:t>Véase:</w:t>
      </w:r>
      <w:proofErr w:type="gramEnd"/>
      <w:r w:rsidR="00BE720D" w:rsidRPr="00BE720D">
        <w:rPr>
          <w:rFonts w:asciiTheme="majorBidi" w:hAnsiTheme="majorBidi" w:cstheme="majorBidi"/>
          <w:color w:val="000000" w:themeColor="text1"/>
          <w:lang w:val="fr-FR"/>
        </w:rPr>
        <w:t xml:space="preserve"> </w:t>
      </w:r>
      <w:hyperlink r:id="rId19" w:history="1">
        <w:r w:rsidR="00BE720D" w:rsidRPr="009230BD">
          <w:rPr>
            <w:rStyle w:val="Hipervnculo"/>
            <w:rFonts w:asciiTheme="majorBidi" w:hAnsiTheme="majorBidi" w:cstheme="majorBidi"/>
            <w:lang w:val="fr-FR"/>
          </w:rPr>
          <w:t>https://elpais.com/america/2025-04-23/arrestado-en-guatemala-un-viceministro-critico-de-la-fiscal-general.html?utm_source=chatgpt.com</w:t>
        </w:r>
      </w:hyperlink>
      <w:r w:rsidRPr="00BE720D">
        <w:rPr>
          <w:rFonts w:asciiTheme="majorBidi" w:hAnsiTheme="majorBidi" w:cstheme="majorBidi"/>
          <w:color w:val="000000" w:themeColor="text1"/>
          <w:lang w:val="fr-FR"/>
        </w:rPr>
        <w:t xml:space="preserve"> </w:t>
      </w:r>
    </w:p>
  </w:footnote>
  <w:footnote w:id="38">
    <w:p w14:paraId="2AEB72D0" w14:textId="6E9323DB" w:rsidR="00961C2C" w:rsidRPr="00BE720D" w:rsidRDefault="00961C2C" w:rsidP="00013274">
      <w:pPr>
        <w:pStyle w:val="Textonotapie"/>
        <w:jc w:val="both"/>
        <w:rPr>
          <w:rFonts w:asciiTheme="majorBidi" w:hAnsiTheme="majorBidi" w:cstheme="majorBidi"/>
          <w:lang w:val="es-GT"/>
        </w:rPr>
      </w:pPr>
      <w:r w:rsidRPr="00BE720D">
        <w:rPr>
          <w:rStyle w:val="Refdenotaalpie"/>
          <w:rFonts w:asciiTheme="majorBidi" w:hAnsiTheme="majorBidi" w:cstheme="majorBidi"/>
          <w:sz w:val="20"/>
        </w:rPr>
        <w:footnoteRef/>
      </w:r>
      <w:r w:rsidRPr="00BE720D">
        <w:rPr>
          <w:rFonts w:asciiTheme="majorBidi" w:hAnsiTheme="majorBidi" w:cstheme="majorBidi"/>
          <w:lang w:val="es-GT"/>
        </w:rPr>
        <w:t xml:space="preserve"> Altamente cuestionada por temas de corrupción: </w:t>
      </w:r>
      <w:hyperlink r:id="rId20" w:history="1">
        <w:r w:rsidR="00F83A1A" w:rsidRPr="00BE720D">
          <w:rPr>
            <w:rStyle w:val="Hipervnculo"/>
            <w:rFonts w:asciiTheme="majorBidi" w:hAnsiTheme="majorBidi" w:cstheme="majorBidi"/>
            <w:lang w:val="es-GT"/>
          </w:rPr>
          <w:t>https://www.prensalibre.com/guatemala/justicia/estados-unidos-incluye-a-la-fiscal-general-consuelo-porras-y-al-secretario-general-del-mp-angel-pineda-entre-lista-de-actores-corruptos-breaking/</w:t>
        </w:r>
      </w:hyperlink>
      <w:r w:rsidR="00F83A1A" w:rsidRPr="00BE720D">
        <w:rPr>
          <w:rFonts w:asciiTheme="majorBidi" w:hAnsiTheme="majorBidi" w:cstheme="majorBidi"/>
          <w:lang w:val="es-GT"/>
        </w:rPr>
        <w:t xml:space="preserve"> </w:t>
      </w:r>
    </w:p>
  </w:footnote>
  <w:footnote w:id="39">
    <w:p w14:paraId="391D7C2C" w14:textId="1533B860" w:rsidR="003C3D7A" w:rsidRPr="00BE720D" w:rsidRDefault="00961C2C" w:rsidP="00013274">
      <w:pPr>
        <w:pStyle w:val="Textonotapie"/>
        <w:jc w:val="both"/>
        <w:rPr>
          <w:rFonts w:asciiTheme="majorBidi" w:hAnsiTheme="majorBidi" w:cstheme="majorBidi"/>
          <w:color w:val="000000" w:themeColor="text1"/>
          <w:lang w:val="es-GT"/>
        </w:rPr>
      </w:pPr>
      <w:r w:rsidRPr="00BE720D">
        <w:rPr>
          <w:rStyle w:val="Refdenotaalpie"/>
          <w:rFonts w:asciiTheme="majorBidi" w:hAnsiTheme="majorBidi" w:cstheme="majorBidi"/>
          <w:sz w:val="20"/>
        </w:rPr>
        <w:footnoteRef/>
      </w:r>
      <w:r w:rsidRPr="00BE720D">
        <w:rPr>
          <w:rFonts w:asciiTheme="majorBidi" w:hAnsiTheme="majorBidi" w:cstheme="majorBidi"/>
          <w:lang w:val="es-GT"/>
        </w:rPr>
        <w:t xml:space="preserve"> </w:t>
      </w:r>
      <w:hyperlink r:id="rId21" w:history="1">
        <w:r w:rsidR="00B96265" w:rsidRPr="00BE720D">
          <w:rPr>
            <w:rStyle w:val="Hipervnculo"/>
            <w:rFonts w:asciiTheme="majorBidi" w:hAnsiTheme="majorBidi" w:cstheme="majorBidi"/>
            <w:lang w:val="es-GT"/>
          </w:rPr>
          <w:t>https://x.com/ImpunityWatchGt/status/1915928476114117001</w:t>
        </w:r>
      </w:hyperlink>
      <w:r w:rsidR="00B96265" w:rsidRPr="00BE720D">
        <w:rPr>
          <w:rFonts w:asciiTheme="majorBidi" w:hAnsiTheme="majorBidi" w:cstheme="majorBidi"/>
          <w:lang w:val="es-GT"/>
        </w:rPr>
        <w:t xml:space="preserve"> </w:t>
      </w:r>
      <w:r w:rsidR="003C3D7A" w:rsidRPr="00BE720D">
        <w:rPr>
          <w:rFonts w:asciiTheme="majorBidi" w:hAnsiTheme="majorBidi" w:cstheme="majorBidi"/>
          <w:color w:val="000000" w:themeColor="text1"/>
          <w:lang w:val="es-GT"/>
        </w:rPr>
        <w:t xml:space="preserve"> </w:t>
      </w:r>
    </w:p>
    <w:p w14:paraId="3B317B5A" w14:textId="7C34FFA8" w:rsidR="003C3D7A" w:rsidRPr="00BE720D" w:rsidRDefault="003C3D7A" w:rsidP="00013274">
      <w:pPr>
        <w:pStyle w:val="Textonotapie"/>
        <w:jc w:val="both"/>
        <w:rPr>
          <w:rFonts w:asciiTheme="majorBidi" w:hAnsiTheme="majorBidi" w:cstheme="majorBidi"/>
          <w:color w:val="000000" w:themeColor="text1"/>
          <w:lang w:val="es-GT"/>
        </w:rPr>
      </w:pPr>
      <w:hyperlink r:id="rId22" w:history="1">
        <w:r w:rsidRPr="00BE720D">
          <w:rPr>
            <w:rStyle w:val="Hipervnculo"/>
            <w:rFonts w:asciiTheme="majorBidi" w:hAnsiTheme="majorBidi" w:cstheme="majorBidi"/>
            <w:color w:val="000000" w:themeColor="text1"/>
            <w:lang w:val="es-GT"/>
          </w:rPr>
          <w:t>https://x.com/noruegamexca/status/1915208039621181494?s=46</w:t>
        </w:r>
      </w:hyperlink>
      <w:r w:rsidR="00B96265" w:rsidRPr="00BE720D">
        <w:rPr>
          <w:rFonts w:asciiTheme="majorBidi" w:hAnsiTheme="majorBidi" w:cstheme="majorBidi"/>
          <w:lang w:val="es-GT"/>
        </w:rPr>
        <w:t xml:space="preserve">  </w:t>
      </w:r>
      <w:r w:rsidRPr="00BE720D">
        <w:rPr>
          <w:rFonts w:asciiTheme="majorBidi" w:hAnsiTheme="majorBidi" w:cstheme="majorBidi"/>
          <w:lang w:val="es-GT"/>
        </w:rPr>
        <w:t xml:space="preserve"> </w:t>
      </w:r>
    </w:p>
    <w:p w14:paraId="237E753A" w14:textId="1840C67F" w:rsidR="00961C2C" w:rsidRPr="00BE720D" w:rsidRDefault="003C3D7A" w:rsidP="00013274">
      <w:pPr>
        <w:pStyle w:val="Textonotapie"/>
        <w:jc w:val="both"/>
        <w:rPr>
          <w:rFonts w:asciiTheme="majorBidi" w:hAnsiTheme="majorBidi" w:cstheme="majorBidi"/>
          <w:color w:val="000000" w:themeColor="text1"/>
          <w:lang w:val="es-GT"/>
        </w:rPr>
      </w:pPr>
      <w:hyperlink r:id="rId23" w:history="1">
        <w:r w:rsidRPr="00BE720D">
          <w:rPr>
            <w:rStyle w:val="Hipervnculo"/>
            <w:rFonts w:asciiTheme="majorBidi" w:hAnsiTheme="majorBidi" w:cstheme="majorBidi"/>
            <w:color w:val="000000" w:themeColor="text1"/>
            <w:lang w:val="es-GT"/>
          </w:rPr>
          <w:t>https://x.com/AmnistiaOnline/status/1915796562858410180</w:t>
        </w:r>
      </w:hyperlink>
      <w:r w:rsidR="00B96265" w:rsidRPr="00BE720D">
        <w:rPr>
          <w:rFonts w:asciiTheme="majorBidi" w:hAnsiTheme="majorBidi" w:cstheme="majorBidi"/>
          <w:lang w:val="es-GT"/>
        </w:rPr>
        <w:t xml:space="preserve">  </w:t>
      </w:r>
      <w:r w:rsidRPr="00BE720D">
        <w:rPr>
          <w:rFonts w:asciiTheme="majorBidi" w:hAnsiTheme="majorBidi" w:cstheme="majorBidi"/>
          <w:lang w:val="es-GT"/>
        </w:rPr>
        <w:t xml:space="preserve"> </w:t>
      </w:r>
      <w:r w:rsidRPr="00BE720D">
        <w:rPr>
          <w:rFonts w:asciiTheme="majorBidi" w:hAnsiTheme="majorBidi" w:cstheme="majorBidi"/>
          <w:color w:val="000000" w:themeColor="text1"/>
          <w:lang w:val="es-GT"/>
        </w:rPr>
        <w:t xml:space="preserve">  </w:t>
      </w:r>
    </w:p>
  </w:footnote>
  <w:footnote w:id="40">
    <w:p w14:paraId="66E8E330" w14:textId="0823AEC3" w:rsidR="00961C2C" w:rsidRPr="00BE720D" w:rsidRDefault="00961C2C" w:rsidP="00013274">
      <w:pPr>
        <w:pStyle w:val="Textonotapie"/>
        <w:jc w:val="both"/>
        <w:rPr>
          <w:rFonts w:asciiTheme="majorBidi" w:hAnsiTheme="majorBidi" w:cstheme="majorBidi"/>
          <w:lang w:val="es-MX"/>
        </w:rPr>
      </w:pPr>
      <w:r w:rsidRPr="00BE720D">
        <w:rPr>
          <w:rStyle w:val="Refdenotaalpie"/>
          <w:rFonts w:asciiTheme="majorBidi" w:hAnsiTheme="majorBidi" w:cstheme="majorBidi"/>
          <w:sz w:val="20"/>
        </w:rPr>
        <w:footnoteRef/>
      </w:r>
      <w:r w:rsidRPr="00BE720D">
        <w:rPr>
          <w:rFonts w:asciiTheme="majorBidi" w:hAnsiTheme="majorBidi" w:cstheme="majorBidi"/>
          <w:lang w:val="es-GT"/>
        </w:rPr>
        <w:t xml:space="preserve"> </w:t>
      </w:r>
      <w:r w:rsidR="00236439" w:rsidRPr="00BE720D">
        <w:rPr>
          <w:rFonts w:asciiTheme="majorBidi" w:hAnsiTheme="majorBidi" w:cstheme="majorBidi"/>
          <w:lang w:val="es-GT"/>
        </w:rPr>
        <w:t xml:space="preserve">Publicación en plataforma X: </w:t>
      </w:r>
      <w:hyperlink r:id="rId24" w:history="1">
        <w:r w:rsidR="00236439" w:rsidRPr="00BE720D">
          <w:rPr>
            <w:rStyle w:val="Hipervnculo"/>
            <w:rFonts w:asciiTheme="majorBidi" w:hAnsiTheme="majorBidi" w:cstheme="majorBidi"/>
            <w:lang w:val="es-GT"/>
          </w:rPr>
          <w:t>https://x.com/volker_turk/status/1915785307405877724</w:t>
        </w:r>
      </w:hyperlink>
      <w:r w:rsidR="00236439" w:rsidRPr="00BE720D">
        <w:rPr>
          <w:rFonts w:asciiTheme="majorBidi" w:hAnsiTheme="majorBidi" w:cstheme="majorBidi"/>
          <w:lang w:val="es-GT"/>
        </w:rPr>
        <w:t xml:space="preserve"> </w:t>
      </w:r>
    </w:p>
  </w:footnote>
  <w:footnote w:id="41">
    <w:p w14:paraId="2D40C6A6" w14:textId="25161E59" w:rsidR="00961C2C" w:rsidRPr="00BE720D" w:rsidRDefault="00961C2C" w:rsidP="00013274">
      <w:pPr>
        <w:pStyle w:val="Textonotapie"/>
        <w:jc w:val="both"/>
        <w:rPr>
          <w:rFonts w:asciiTheme="majorBidi" w:hAnsiTheme="majorBidi" w:cstheme="majorBidi"/>
          <w:vertAlign w:val="superscript"/>
          <w:lang w:val="es-GT"/>
        </w:rPr>
      </w:pPr>
      <w:r w:rsidRPr="00BE720D">
        <w:rPr>
          <w:rStyle w:val="Refdenotaalpie"/>
          <w:rFonts w:asciiTheme="majorBidi" w:hAnsiTheme="majorBidi" w:cstheme="majorBidi"/>
          <w:sz w:val="20"/>
        </w:rPr>
        <w:footnoteRef/>
      </w:r>
      <w:r w:rsidR="00D25D19" w:rsidRPr="00BE720D">
        <w:rPr>
          <w:rFonts w:asciiTheme="majorBidi" w:hAnsiTheme="majorBidi" w:cstheme="majorBidi"/>
          <w:lang w:val="es-GT"/>
        </w:rPr>
        <w:t>Publicación en plataforma X:</w:t>
      </w:r>
      <w:r w:rsidR="00D25D19" w:rsidRPr="00BE720D">
        <w:rPr>
          <w:rFonts w:asciiTheme="majorBidi" w:hAnsiTheme="majorBidi" w:cstheme="majorBidi"/>
          <w:vertAlign w:val="superscript"/>
          <w:lang w:val="es-GT"/>
        </w:rPr>
        <w:t xml:space="preserve"> </w:t>
      </w:r>
      <w:r w:rsidRPr="00BE720D">
        <w:rPr>
          <w:rFonts w:asciiTheme="majorBidi" w:hAnsiTheme="majorBidi" w:cstheme="majorBidi"/>
          <w:vertAlign w:val="superscript"/>
          <w:lang w:val="es-GT"/>
        </w:rPr>
        <w:t xml:space="preserve"> </w:t>
      </w:r>
      <w:hyperlink r:id="rId25" w:history="1">
        <w:r w:rsidR="00D25D19" w:rsidRPr="00BE720D">
          <w:rPr>
            <w:rStyle w:val="Hipervnculo"/>
            <w:rFonts w:asciiTheme="majorBidi" w:hAnsiTheme="majorBidi" w:cstheme="majorBidi"/>
            <w:lang w:val="es-GT"/>
          </w:rPr>
          <w:t>https://x.com/Ginitastar/status/1916969535984328768</w:t>
        </w:r>
      </w:hyperlink>
      <w:r w:rsidR="00D25D19" w:rsidRPr="00BE720D">
        <w:rPr>
          <w:rFonts w:asciiTheme="majorBidi" w:hAnsiTheme="majorBidi" w:cstheme="majorBidi"/>
          <w:vertAlign w:val="superscript"/>
          <w:lang w:val="es-GT"/>
        </w:rPr>
        <w:t xml:space="preserve"> </w:t>
      </w:r>
    </w:p>
  </w:footnote>
  <w:footnote w:id="42">
    <w:p w14:paraId="46CF2D77" w14:textId="0C6C9464" w:rsidR="00BC7B1D" w:rsidRPr="00BE720D" w:rsidRDefault="00BC7B1D" w:rsidP="00013274">
      <w:pPr>
        <w:pStyle w:val="Textonotapie"/>
        <w:jc w:val="both"/>
        <w:rPr>
          <w:rFonts w:asciiTheme="majorBidi" w:hAnsiTheme="majorBidi" w:cstheme="majorBidi"/>
          <w:lang w:val="es-GT"/>
        </w:rPr>
      </w:pPr>
      <w:r w:rsidRPr="00BE720D">
        <w:rPr>
          <w:rStyle w:val="Refdenotaalpie"/>
          <w:rFonts w:asciiTheme="majorBidi" w:hAnsiTheme="majorBidi" w:cstheme="majorBidi"/>
          <w:sz w:val="20"/>
        </w:rPr>
        <w:footnoteRef/>
      </w:r>
      <w:r w:rsidRPr="00BE720D">
        <w:rPr>
          <w:rFonts w:asciiTheme="majorBidi" w:hAnsiTheme="majorBidi" w:cstheme="majorBidi"/>
          <w:lang w:val="es-GT"/>
        </w:rPr>
        <w:t xml:space="preserve"> Ver </w:t>
      </w:r>
      <w:r w:rsidR="00AF228D" w:rsidRPr="00BE720D">
        <w:rPr>
          <w:rFonts w:asciiTheme="majorBidi" w:hAnsiTheme="majorBidi" w:cstheme="majorBidi"/>
          <w:lang w:val="es-GT"/>
        </w:rPr>
        <w:t>apartado del derecho de Acceso a la Justicia.</w:t>
      </w:r>
    </w:p>
  </w:footnote>
  <w:footnote w:id="43">
    <w:p w14:paraId="30ECE85B" w14:textId="3BD33563" w:rsidR="002822BC" w:rsidRPr="00BE720D" w:rsidRDefault="002822BC" w:rsidP="00013274">
      <w:pPr>
        <w:pStyle w:val="Textonotapie"/>
        <w:jc w:val="both"/>
        <w:rPr>
          <w:rFonts w:asciiTheme="majorBidi" w:hAnsiTheme="majorBidi" w:cstheme="majorBidi"/>
          <w:lang w:val="es-GT"/>
        </w:rPr>
      </w:pPr>
      <w:r w:rsidRPr="00BE720D">
        <w:rPr>
          <w:rStyle w:val="Refdenotaalpie"/>
          <w:rFonts w:asciiTheme="majorBidi" w:hAnsiTheme="majorBidi" w:cstheme="majorBidi"/>
          <w:sz w:val="20"/>
        </w:rPr>
        <w:footnoteRef/>
      </w:r>
      <w:r w:rsidRPr="00BE720D">
        <w:rPr>
          <w:rFonts w:asciiTheme="majorBidi" w:hAnsiTheme="majorBidi" w:cstheme="majorBidi"/>
          <w:lang w:val="es-GT"/>
        </w:rPr>
        <w:t xml:space="preserve"> </w:t>
      </w:r>
      <w:hyperlink r:id="rId26" w:tgtFrame="_blank" w:tooltip="https://monitor.civicus.org/" w:history="1">
        <w:r w:rsidR="00C61A73" w:rsidRPr="00BE720D">
          <w:rPr>
            <w:rStyle w:val="Hipervnculo"/>
            <w:rFonts w:asciiTheme="majorBidi" w:hAnsiTheme="majorBidi" w:cstheme="majorBidi"/>
            <w:lang w:val="es-GT"/>
          </w:rPr>
          <w:t>https://monitor.civicus.org/</w:t>
        </w:r>
      </w:hyperlink>
      <w:r w:rsidR="00C61A73" w:rsidRPr="00BE720D">
        <w:rPr>
          <w:rFonts w:asciiTheme="majorBidi" w:hAnsiTheme="majorBidi" w:cstheme="majorBidi"/>
          <w:lang w:val="es-GT"/>
        </w:rPr>
        <w:t xml:space="preserve"> </w:t>
      </w:r>
    </w:p>
  </w:footnote>
  <w:footnote w:id="44">
    <w:p w14:paraId="1624D7A9" w14:textId="77777777" w:rsidR="00933BE6" w:rsidRPr="00BE720D" w:rsidRDefault="00933BE6" w:rsidP="00013274">
      <w:pPr>
        <w:pStyle w:val="Textonotapie"/>
        <w:jc w:val="both"/>
        <w:rPr>
          <w:rFonts w:asciiTheme="majorBidi" w:hAnsiTheme="majorBidi" w:cstheme="majorBidi"/>
          <w:color w:val="000000" w:themeColor="text1"/>
          <w:lang w:val="es-GT"/>
        </w:rPr>
      </w:pPr>
      <w:r w:rsidRPr="00BE720D">
        <w:rPr>
          <w:rStyle w:val="Refdenotaalpie"/>
          <w:rFonts w:asciiTheme="majorBidi" w:eastAsiaTheme="majorEastAsia" w:hAnsiTheme="majorBidi" w:cstheme="majorBidi"/>
          <w:color w:val="000000" w:themeColor="text1"/>
          <w:sz w:val="20"/>
        </w:rPr>
        <w:footnoteRef/>
      </w:r>
      <w:r w:rsidRPr="00BE720D">
        <w:rPr>
          <w:rFonts w:asciiTheme="majorBidi" w:hAnsiTheme="majorBidi" w:cstheme="majorBidi"/>
          <w:color w:val="000000" w:themeColor="text1"/>
          <w:lang w:val="es-GT"/>
        </w:rPr>
        <w:t xml:space="preserve"> Informe del Grupo de Trabajo Sobre el Examen Periódico Universal recomendaciones 90.186 y 90.194 del 26 de abril de 2023 (A/HRC/53/9)</w:t>
      </w:r>
    </w:p>
  </w:footnote>
  <w:footnote w:id="45">
    <w:p w14:paraId="4C427137" w14:textId="72CF47B8" w:rsidR="00920879" w:rsidRPr="00BE720D" w:rsidRDefault="00920879" w:rsidP="00013274">
      <w:pPr>
        <w:pStyle w:val="Textonotapie"/>
        <w:jc w:val="both"/>
        <w:rPr>
          <w:rFonts w:asciiTheme="majorBidi" w:hAnsiTheme="majorBidi" w:cstheme="majorBidi"/>
          <w:color w:val="000000" w:themeColor="text1"/>
          <w:lang w:val="es-GT"/>
        </w:rPr>
      </w:pPr>
      <w:r w:rsidRPr="00BE720D">
        <w:rPr>
          <w:rStyle w:val="Refdenotaalpie"/>
          <w:rFonts w:asciiTheme="majorBidi" w:eastAsiaTheme="majorEastAsia" w:hAnsiTheme="majorBidi" w:cstheme="majorBidi"/>
          <w:color w:val="000000" w:themeColor="text1"/>
          <w:sz w:val="20"/>
        </w:rPr>
        <w:footnoteRef/>
      </w:r>
      <w:r w:rsidRPr="00BE720D">
        <w:rPr>
          <w:rFonts w:asciiTheme="majorBidi" w:hAnsiTheme="majorBidi" w:cstheme="majorBidi"/>
          <w:color w:val="000000" w:themeColor="text1"/>
          <w:lang w:val="es-GT"/>
        </w:rPr>
        <w:t xml:space="preserve"> Ver anexo </w:t>
      </w:r>
      <w:r w:rsidR="000F1052" w:rsidRPr="00BE720D">
        <w:rPr>
          <w:rFonts w:asciiTheme="majorBidi" w:hAnsiTheme="majorBidi" w:cstheme="majorBidi"/>
          <w:color w:val="000000" w:themeColor="text1"/>
          <w:lang w:val="es-GT"/>
        </w:rPr>
        <w:t>2.</w:t>
      </w:r>
    </w:p>
  </w:footnote>
  <w:footnote w:id="46">
    <w:p w14:paraId="13F77C56" w14:textId="77777777" w:rsidR="00215E7A" w:rsidRPr="00BE720D" w:rsidRDefault="00215E7A" w:rsidP="00013274">
      <w:pPr>
        <w:pStyle w:val="Textonotapie"/>
        <w:jc w:val="both"/>
        <w:rPr>
          <w:rFonts w:asciiTheme="majorBidi" w:hAnsiTheme="majorBidi" w:cstheme="majorBidi"/>
          <w:color w:val="000000" w:themeColor="text1"/>
          <w:lang w:val="es-GT"/>
        </w:rPr>
      </w:pPr>
      <w:r w:rsidRPr="00BE720D">
        <w:rPr>
          <w:rStyle w:val="Refdenotaalpie"/>
          <w:rFonts w:asciiTheme="majorBidi" w:eastAsiaTheme="majorEastAsia" w:hAnsiTheme="majorBidi" w:cstheme="majorBidi"/>
          <w:color w:val="000000" w:themeColor="text1"/>
          <w:sz w:val="20"/>
        </w:rPr>
        <w:footnoteRef/>
      </w:r>
      <w:r w:rsidRPr="00BE720D">
        <w:rPr>
          <w:rFonts w:asciiTheme="majorBidi" w:hAnsiTheme="majorBidi" w:cstheme="majorBidi"/>
          <w:color w:val="000000" w:themeColor="text1"/>
          <w:lang w:val="es-GT"/>
        </w:rPr>
        <w:t xml:space="preserve"> </w:t>
      </w:r>
      <w:hyperlink r:id="rId27" w:history="1">
        <w:r w:rsidRPr="00BE720D">
          <w:rPr>
            <w:rStyle w:val="Hipervnculo"/>
            <w:rFonts w:asciiTheme="majorBidi" w:eastAsiaTheme="majorEastAsia" w:hAnsiTheme="majorBidi" w:cstheme="majorBidi"/>
            <w:color w:val="000000" w:themeColor="text1"/>
            <w:lang w:val="es-GT"/>
          </w:rPr>
          <w:t>https://www.culturalsurvival.org/es/news/guatemala-acepta-dos-recomendaciones-sobre-radio-comunitaria-indigena-en-la-adopcion-de-su</w:t>
        </w:r>
      </w:hyperlink>
      <w:r w:rsidRPr="00BE720D">
        <w:rPr>
          <w:rFonts w:asciiTheme="majorBidi" w:hAnsiTheme="majorBidi" w:cstheme="majorBidi"/>
          <w:color w:val="000000" w:themeColor="text1"/>
          <w:lang w:val="es-GT"/>
        </w:rPr>
        <w:t xml:space="preserve"> </w:t>
      </w:r>
    </w:p>
  </w:footnote>
  <w:footnote w:id="47">
    <w:p w14:paraId="4ADF3295" w14:textId="5EEEA42C" w:rsidR="008030CF" w:rsidRPr="00BE720D" w:rsidRDefault="008030CF" w:rsidP="00013274">
      <w:pPr>
        <w:pStyle w:val="Textonotapie"/>
        <w:jc w:val="both"/>
        <w:rPr>
          <w:rFonts w:asciiTheme="majorBidi" w:hAnsiTheme="majorBidi" w:cstheme="majorBidi"/>
          <w:lang w:val="es-MX"/>
        </w:rPr>
      </w:pPr>
      <w:r w:rsidRPr="00BE720D">
        <w:rPr>
          <w:rStyle w:val="Refdenotaalpie"/>
          <w:rFonts w:asciiTheme="majorBidi" w:hAnsiTheme="majorBidi" w:cstheme="majorBidi"/>
          <w:sz w:val="20"/>
        </w:rPr>
        <w:footnoteRef/>
      </w:r>
      <w:r w:rsidRPr="00BE720D">
        <w:rPr>
          <w:rFonts w:asciiTheme="majorBidi" w:hAnsiTheme="majorBidi" w:cstheme="majorBidi"/>
          <w:lang w:val="es-GT"/>
        </w:rPr>
        <w:t xml:space="preserve"> </w:t>
      </w:r>
      <w:r w:rsidRPr="00BE720D">
        <w:rPr>
          <w:rFonts w:asciiTheme="majorBidi" w:hAnsiTheme="majorBidi" w:cstheme="majorBidi"/>
          <w:color w:val="000000" w:themeColor="text1"/>
          <w:lang w:val="es-GT"/>
        </w:rPr>
        <w:t>https://epinvestiga.com/actualidad/radio-nakoj-senala-a-la-comuna-de-santo-domingo-xenacoj-por-intimidaciones/</w:t>
      </w:r>
    </w:p>
  </w:footnote>
  <w:footnote w:id="48">
    <w:p w14:paraId="36B0565F" w14:textId="578BF20C" w:rsidR="008030CF" w:rsidRPr="00BE720D" w:rsidRDefault="008030CF" w:rsidP="00013274">
      <w:pPr>
        <w:pStyle w:val="Textonotapie"/>
        <w:jc w:val="both"/>
        <w:rPr>
          <w:rFonts w:asciiTheme="majorBidi" w:hAnsiTheme="majorBidi" w:cstheme="majorBidi"/>
          <w:lang w:val="es-GT"/>
        </w:rPr>
      </w:pPr>
      <w:r w:rsidRPr="00BE720D">
        <w:rPr>
          <w:rStyle w:val="Refdenotaalpie"/>
          <w:rFonts w:asciiTheme="majorBidi" w:hAnsiTheme="majorBidi" w:cstheme="majorBidi"/>
          <w:sz w:val="20"/>
        </w:rPr>
        <w:footnoteRef/>
      </w:r>
      <w:r w:rsidRPr="00BE720D">
        <w:rPr>
          <w:rFonts w:asciiTheme="majorBidi" w:hAnsiTheme="majorBidi" w:cstheme="majorBidi"/>
          <w:lang w:val="es-GT"/>
        </w:rPr>
        <w:t xml:space="preserve"> Ver </w:t>
      </w:r>
      <w:r w:rsidR="001D3AAB" w:rsidRPr="00BE720D">
        <w:rPr>
          <w:rFonts w:asciiTheme="majorBidi" w:hAnsiTheme="majorBidi" w:cstheme="majorBidi"/>
          <w:lang w:val="es-GT"/>
        </w:rPr>
        <w:t xml:space="preserve">derecho a la manifestación y asociación. </w:t>
      </w:r>
    </w:p>
  </w:footnote>
  <w:footnote w:id="49">
    <w:p w14:paraId="7BFFFB99" w14:textId="77777777" w:rsidR="00AC0D4D" w:rsidRPr="00BE720D" w:rsidRDefault="00AC0D4D" w:rsidP="00013274">
      <w:pPr>
        <w:pStyle w:val="Textonotapie"/>
        <w:jc w:val="both"/>
        <w:rPr>
          <w:rFonts w:asciiTheme="majorBidi" w:hAnsiTheme="majorBidi" w:cstheme="majorBidi"/>
          <w:lang w:val="es-GT"/>
        </w:rPr>
      </w:pPr>
      <w:r w:rsidRPr="00BE720D">
        <w:rPr>
          <w:rStyle w:val="Refdenotaalpie"/>
          <w:rFonts w:asciiTheme="majorBidi" w:eastAsiaTheme="majorEastAsia" w:hAnsiTheme="majorBidi" w:cstheme="majorBidi"/>
          <w:sz w:val="20"/>
        </w:rPr>
        <w:footnoteRef/>
      </w:r>
      <w:r w:rsidRPr="00BE720D">
        <w:rPr>
          <w:rFonts w:asciiTheme="majorBidi" w:hAnsiTheme="majorBidi" w:cstheme="majorBidi"/>
          <w:lang w:val="es-GT"/>
        </w:rPr>
        <w:t xml:space="preserve"> Ver más en: https://x.com/nonoscallarangt/status/1890591246055346342?s=61</w:t>
      </w:r>
    </w:p>
  </w:footnote>
  <w:footnote w:id="50">
    <w:p w14:paraId="26640F73" w14:textId="77777777" w:rsidR="00AC0D4D" w:rsidRPr="00BE720D" w:rsidRDefault="00AC0D4D" w:rsidP="00013274">
      <w:pPr>
        <w:pStyle w:val="Textonotapie"/>
        <w:jc w:val="both"/>
        <w:rPr>
          <w:rFonts w:asciiTheme="majorBidi" w:hAnsiTheme="majorBidi" w:cstheme="majorBidi"/>
          <w:lang w:val="es-GT"/>
        </w:rPr>
      </w:pPr>
      <w:r w:rsidRPr="00BE720D">
        <w:rPr>
          <w:rStyle w:val="Refdenotaalpie"/>
          <w:rFonts w:asciiTheme="majorBidi" w:eastAsiaTheme="majorEastAsia" w:hAnsiTheme="majorBidi" w:cstheme="majorBidi"/>
          <w:sz w:val="20"/>
        </w:rPr>
        <w:footnoteRef/>
      </w:r>
      <w:r w:rsidRPr="00BE720D">
        <w:rPr>
          <w:rFonts w:asciiTheme="majorBidi" w:hAnsiTheme="majorBidi" w:cstheme="majorBidi"/>
          <w:lang w:val="es-GT"/>
        </w:rPr>
        <w:t xml:space="preserve"> Ver más en: https://prensacomunitaria.org/2021/10/exparamilitares-agreden-a-periodista-simon-antonio-de-prensa-comunitaria-y-otros-siete-reporteros/</w:t>
      </w:r>
    </w:p>
  </w:footnote>
  <w:footnote w:id="51">
    <w:p w14:paraId="33D09998" w14:textId="2C6AE837" w:rsidR="000C11D0" w:rsidRPr="00BE720D" w:rsidRDefault="000C11D0" w:rsidP="00013274">
      <w:pPr>
        <w:pStyle w:val="Textonotapie"/>
        <w:jc w:val="both"/>
        <w:rPr>
          <w:rFonts w:asciiTheme="majorBidi" w:hAnsiTheme="majorBidi" w:cstheme="majorBidi"/>
          <w:lang w:val="es-MX"/>
        </w:rPr>
      </w:pPr>
      <w:r w:rsidRPr="00BE720D">
        <w:rPr>
          <w:rStyle w:val="Refdenotaalpie"/>
          <w:rFonts w:asciiTheme="majorBidi" w:hAnsiTheme="majorBidi" w:cstheme="majorBidi"/>
          <w:sz w:val="20"/>
        </w:rPr>
        <w:footnoteRef/>
      </w:r>
      <w:r w:rsidRPr="00BE720D">
        <w:rPr>
          <w:rFonts w:asciiTheme="majorBidi" w:hAnsiTheme="majorBidi" w:cstheme="majorBidi"/>
          <w:lang w:val="es-GT"/>
        </w:rPr>
        <w:t xml:space="preserve"> </w:t>
      </w:r>
      <w:r w:rsidRPr="00BE720D">
        <w:rPr>
          <w:rFonts w:asciiTheme="majorBidi" w:hAnsiTheme="majorBidi" w:cstheme="majorBidi"/>
          <w:lang w:val="es-MX"/>
        </w:rPr>
        <w:t xml:space="preserve">Comunicado de Relatorias Especiales de Naciones Unidas, </w:t>
      </w:r>
      <w:r w:rsidR="00184E16" w:rsidRPr="00BE720D">
        <w:rPr>
          <w:rFonts w:asciiTheme="majorBidi" w:hAnsiTheme="majorBidi" w:cstheme="majorBidi"/>
          <w:lang w:val="es-MX"/>
        </w:rPr>
        <w:t xml:space="preserve">6 de noviembre 2023: </w:t>
      </w:r>
      <w:hyperlink r:id="rId28" w:history="1">
        <w:r w:rsidR="00184E16" w:rsidRPr="00BE720D">
          <w:rPr>
            <w:rStyle w:val="Hipervnculo"/>
            <w:rFonts w:asciiTheme="majorBidi" w:hAnsiTheme="majorBidi" w:cstheme="majorBidi"/>
            <w:lang w:val="es-MX"/>
          </w:rPr>
          <w:t>https://spcommreports.ohchr.org/TMResultsBase/DownLoadPublicCommunicationFile?gId=28492</w:t>
        </w:r>
      </w:hyperlink>
      <w:r w:rsidR="00184E16" w:rsidRPr="00BE720D">
        <w:rPr>
          <w:rFonts w:asciiTheme="majorBidi" w:hAnsiTheme="majorBidi" w:cstheme="majorBidi"/>
          <w:lang w:val="es-MX"/>
        </w:rPr>
        <w:t xml:space="preserve"> </w:t>
      </w:r>
    </w:p>
  </w:footnote>
  <w:footnote w:id="52">
    <w:p w14:paraId="779402CE" w14:textId="2FB0AF83" w:rsidR="00933BE6" w:rsidRPr="00BE720D" w:rsidRDefault="00933BE6" w:rsidP="00013274">
      <w:pPr>
        <w:pStyle w:val="Textonotapie"/>
        <w:jc w:val="both"/>
        <w:rPr>
          <w:rFonts w:asciiTheme="majorBidi" w:hAnsiTheme="majorBidi" w:cstheme="majorBidi"/>
          <w:color w:val="000000" w:themeColor="text1"/>
          <w:lang w:val="es-GT"/>
        </w:rPr>
      </w:pPr>
      <w:r w:rsidRPr="00BE720D">
        <w:rPr>
          <w:rStyle w:val="Refdenotaalpie"/>
          <w:rFonts w:asciiTheme="majorBidi" w:eastAsiaTheme="majorEastAsia" w:hAnsiTheme="majorBidi" w:cstheme="majorBidi"/>
          <w:color w:val="000000" w:themeColor="text1"/>
          <w:sz w:val="20"/>
        </w:rPr>
        <w:footnoteRef/>
      </w:r>
      <w:r w:rsidRPr="00BE720D">
        <w:rPr>
          <w:rFonts w:asciiTheme="majorBidi" w:hAnsiTheme="majorBidi" w:cstheme="majorBidi"/>
          <w:color w:val="000000" w:themeColor="text1"/>
          <w:lang w:val="es-GT"/>
        </w:rPr>
        <w:t xml:space="preserve"> </w:t>
      </w:r>
      <w:r w:rsidR="00BE720D" w:rsidRPr="00BE720D">
        <w:rPr>
          <w:rFonts w:asciiTheme="majorBidi" w:hAnsiTheme="majorBidi" w:cstheme="majorBidi"/>
          <w:color w:val="000000" w:themeColor="text1"/>
          <w:lang w:val="es-GT"/>
        </w:rPr>
        <w:t xml:space="preserve">Véase: </w:t>
      </w:r>
      <w:hyperlink r:id="rId29" w:history="1">
        <w:r w:rsidRPr="00BE720D">
          <w:rPr>
            <w:rStyle w:val="Hipervnculo"/>
            <w:rFonts w:asciiTheme="majorBidi" w:eastAsiaTheme="majorEastAsia" w:hAnsiTheme="majorBidi" w:cstheme="majorBidi"/>
            <w:color w:val="000000" w:themeColor="text1"/>
            <w:lang w:val="es-GT"/>
          </w:rPr>
          <w:t>https://redrompeelmiedoguatemala.org/2024/10/informe-de-agresiones-contra-la-prensa-en-guatemala-resultados-del-primer-semestre-de-2024/</w:t>
        </w:r>
      </w:hyperlink>
      <w:r w:rsidRPr="00BE720D">
        <w:rPr>
          <w:rFonts w:asciiTheme="majorBidi" w:hAnsiTheme="majorBidi" w:cstheme="majorBidi"/>
          <w:color w:val="000000" w:themeColor="text1"/>
          <w:lang w:val="es-GT"/>
        </w:rPr>
        <w:t xml:space="preserve"> Ver página 12.</w:t>
      </w:r>
    </w:p>
  </w:footnote>
  <w:footnote w:id="53">
    <w:p w14:paraId="4055F7F6" w14:textId="77777777" w:rsidR="00715CE4" w:rsidRPr="00BE720D" w:rsidRDefault="00715CE4" w:rsidP="00013274">
      <w:pPr>
        <w:pStyle w:val="Textonotapie"/>
        <w:jc w:val="both"/>
        <w:rPr>
          <w:rFonts w:asciiTheme="majorBidi" w:hAnsiTheme="majorBidi" w:cstheme="majorBidi"/>
          <w:lang w:val="es-GT"/>
        </w:rPr>
      </w:pPr>
      <w:r w:rsidRPr="00BE720D">
        <w:rPr>
          <w:rStyle w:val="Refdenotaalpie"/>
          <w:rFonts w:asciiTheme="majorBidi" w:eastAsiaTheme="majorEastAsia" w:hAnsiTheme="majorBidi" w:cstheme="majorBidi"/>
          <w:sz w:val="20"/>
        </w:rPr>
        <w:footnoteRef/>
      </w:r>
      <w:r w:rsidRPr="00BE720D">
        <w:rPr>
          <w:rFonts w:asciiTheme="majorBidi" w:hAnsiTheme="majorBidi" w:cstheme="majorBidi"/>
          <w:lang w:val="es-GT"/>
        </w:rPr>
        <w:t xml:space="preserve"> CIDH. Informe Preliminar, Visita In Loco a Guatemala 22 al 26 de julio de 2024, OEA/Ser.L/V/II.doc.124/24, 15 de agosto de 2024, párrafo 15.</w:t>
      </w:r>
    </w:p>
  </w:footnote>
  <w:footnote w:id="54">
    <w:p w14:paraId="3D1663AC" w14:textId="77777777" w:rsidR="00715CE4" w:rsidRPr="00BE720D" w:rsidRDefault="00715CE4" w:rsidP="00013274">
      <w:pPr>
        <w:pStyle w:val="Textonotapie"/>
        <w:jc w:val="both"/>
        <w:rPr>
          <w:rFonts w:asciiTheme="majorBidi" w:hAnsiTheme="majorBidi" w:cstheme="majorBidi"/>
          <w:lang w:val="es-GT"/>
        </w:rPr>
      </w:pPr>
      <w:r w:rsidRPr="00BE720D">
        <w:rPr>
          <w:rStyle w:val="Refdenotaalpie"/>
          <w:rFonts w:asciiTheme="majorBidi" w:eastAsiaTheme="majorEastAsia" w:hAnsiTheme="majorBidi" w:cstheme="majorBidi"/>
          <w:sz w:val="20"/>
        </w:rPr>
        <w:footnoteRef/>
      </w:r>
      <w:r w:rsidRPr="00BE720D">
        <w:rPr>
          <w:rFonts w:asciiTheme="majorBidi" w:hAnsiTheme="majorBidi" w:cstheme="majorBidi"/>
          <w:lang w:val="es-GT"/>
        </w:rPr>
        <w:t xml:space="preserve"> Ibíd., párrafo 37.</w:t>
      </w:r>
    </w:p>
  </w:footnote>
  <w:footnote w:id="55">
    <w:p w14:paraId="363B6682" w14:textId="7003BED7" w:rsidR="0080713B" w:rsidRPr="00BE720D" w:rsidRDefault="0080713B" w:rsidP="00013274">
      <w:pPr>
        <w:pStyle w:val="Textonotapie"/>
        <w:jc w:val="both"/>
        <w:rPr>
          <w:rFonts w:asciiTheme="majorBidi" w:hAnsiTheme="majorBidi" w:cstheme="majorBidi"/>
          <w:color w:val="000000" w:themeColor="text1"/>
          <w:lang w:val="es-GT"/>
        </w:rPr>
      </w:pPr>
      <w:r w:rsidRPr="00BE720D">
        <w:rPr>
          <w:rStyle w:val="Refdenotaalpie"/>
          <w:rFonts w:asciiTheme="majorBidi" w:eastAsiaTheme="majorEastAsia" w:hAnsiTheme="majorBidi" w:cstheme="majorBidi"/>
          <w:color w:val="000000" w:themeColor="text1"/>
          <w:sz w:val="20"/>
        </w:rPr>
        <w:footnoteRef/>
      </w:r>
      <w:r w:rsidRPr="00BE720D">
        <w:rPr>
          <w:rFonts w:asciiTheme="majorBidi" w:hAnsiTheme="majorBidi" w:cstheme="majorBidi"/>
          <w:color w:val="000000" w:themeColor="text1"/>
          <w:lang w:val="es-GT"/>
        </w:rPr>
        <w:t xml:space="preserve"> </w:t>
      </w:r>
      <w:r w:rsidR="006B4BF3" w:rsidRPr="006B4BF3">
        <w:rPr>
          <w:rFonts w:asciiTheme="majorBidi" w:hAnsiTheme="majorBidi" w:cstheme="majorBidi"/>
          <w:color w:val="000000" w:themeColor="text1"/>
          <w:lang w:val="es-GT"/>
        </w:rPr>
        <w:t xml:space="preserve">Véase: </w:t>
      </w:r>
      <w:hyperlink r:id="rId30" w:history="1">
        <w:r w:rsidR="00C9583E" w:rsidRPr="00BE720D">
          <w:rPr>
            <w:rStyle w:val="Hipervnculo"/>
            <w:rFonts w:asciiTheme="majorBidi" w:hAnsiTheme="majorBidi" w:cstheme="majorBidi"/>
            <w:lang w:val="es-GT"/>
          </w:rPr>
          <w:t>https://redrompeelmiedoguatemala.org/2024/10/informe-de-agresiones-contra-la-prensa-en-guatemala-resultados-del-primer-semestre-de-2024/</w:t>
        </w:r>
      </w:hyperlink>
      <w:r w:rsidR="00C9583E" w:rsidRPr="00BE720D">
        <w:rPr>
          <w:rFonts w:asciiTheme="majorBidi" w:hAnsiTheme="majorBidi" w:cstheme="majorBidi"/>
          <w:color w:val="000000" w:themeColor="text1"/>
          <w:lang w:val="es-GT"/>
        </w:rPr>
        <w:t xml:space="preserve"> , </w:t>
      </w:r>
      <w:r w:rsidRPr="00BE720D">
        <w:rPr>
          <w:rFonts w:asciiTheme="majorBidi" w:hAnsiTheme="majorBidi" w:cstheme="majorBidi"/>
          <w:color w:val="000000" w:themeColor="text1"/>
          <w:lang w:val="es-GT"/>
        </w:rPr>
        <w:t>Ver página 17.</w:t>
      </w:r>
    </w:p>
  </w:footnote>
  <w:footnote w:id="56">
    <w:p w14:paraId="51A22FF4" w14:textId="77777777" w:rsidR="00BD14F3" w:rsidRPr="00BE720D" w:rsidRDefault="00BD14F3" w:rsidP="00013274">
      <w:pPr>
        <w:pStyle w:val="Textonotapie"/>
        <w:jc w:val="both"/>
        <w:rPr>
          <w:rFonts w:asciiTheme="majorBidi" w:hAnsiTheme="majorBidi" w:cstheme="majorBidi"/>
          <w:color w:val="000000" w:themeColor="text1"/>
          <w:lang w:val="es-ES"/>
        </w:rPr>
      </w:pPr>
      <w:r w:rsidRPr="00BE720D">
        <w:rPr>
          <w:rStyle w:val="Refdenotaalpie"/>
          <w:rFonts w:asciiTheme="majorBidi" w:hAnsiTheme="majorBidi" w:cstheme="majorBidi"/>
          <w:color w:val="000000" w:themeColor="text1"/>
          <w:sz w:val="20"/>
        </w:rPr>
        <w:footnoteRef/>
      </w:r>
      <w:r w:rsidRPr="00BE720D">
        <w:rPr>
          <w:rFonts w:asciiTheme="majorBidi" w:hAnsiTheme="majorBidi" w:cstheme="majorBidi"/>
          <w:color w:val="000000" w:themeColor="text1"/>
          <w:lang w:val="es-ES"/>
        </w:rPr>
        <w:t xml:space="preserve">  Foro El Patrimonio Cultural de los Pueblos Originarios no es Mercancía. </w:t>
      </w:r>
    </w:p>
    <w:p w14:paraId="5616880B" w14:textId="36A88A6F" w:rsidR="00BD14F3" w:rsidRPr="00BE720D" w:rsidRDefault="00BD14F3" w:rsidP="00013274">
      <w:pPr>
        <w:pStyle w:val="Textonotapie"/>
        <w:jc w:val="both"/>
        <w:rPr>
          <w:rFonts w:asciiTheme="majorBidi" w:hAnsiTheme="majorBidi" w:cstheme="majorBidi"/>
          <w:color w:val="000000" w:themeColor="text1"/>
          <w:lang w:val="es-ES"/>
        </w:rPr>
      </w:pPr>
      <w:r w:rsidRPr="00BE720D">
        <w:rPr>
          <w:rFonts w:asciiTheme="majorBidi" w:hAnsiTheme="majorBidi" w:cstheme="majorBidi"/>
          <w:color w:val="000000" w:themeColor="text1"/>
          <w:lang w:val="es-ES"/>
        </w:rPr>
        <w:t xml:space="preserve">No se vende, se defiende </w:t>
      </w:r>
      <w:hyperlink r:id="rId31" w:history="1">
        <w:r w:rsidR="00BF606B" w:rsidRPr="00BE720D">
          <w:rPr>
            <w:rStyle w:val="Hipervnculo"/>
            <w:rFonts w:asciiTheme="majorBidi" w:hAnsiTheme="majorBidi" w:cstheme="majorBidi"/>
            <w:lang w:val="es-ES"/>
          </w:rPr>
          <w:t>https://www.facebook.com/maria.ukux.5/videos/872579253825372</w:t>
        </w:r>
      </w:hyperlink>
      <w:r w:rsidRPr="00BE720D">
        <w:rPr>
          <w:rFonts w:asciiTheme="majorBidi" w:hAnsiTheme="majorBidi" w:cstheme="majorBidi"/>
          <w:color w:val="000000" w:themeColor="text1"/>
          <w:lang w:val="es-ES"/>
        </w:rPr>
        <w:t xml:space="preserve"> , </w:t>
      </w:r>
      <w:hyperlink r:id="rId32" w:history="1">
        <w:r w:rsidRPr="00BE720D">
          <w:rPr>
            <w:rStyle w:val="Hipervnculo"/>
            <w:rFonts w:asciiTheme="majorBidi" w:hAnsiTheme="majorBidi" w:cstheme="majorBidi"/>
            <w:color w:val="000000" w:themeColor="text1"/>
            <w:lang w:val="es-ES"/>
          </w:rPr>
          <w:t>https://www.ohchr.org/sites/default/files/documents/issues/indigenouspeoples/sr/cfis/indigenous-freedom-religion/subm-indigenous-freedom-religion-cso-international-indian-treaty-council-input-2.pdf</w:t>
        </w:r>
      </w:hyperlink>
      <w:r w:rsidR="00BF606B" w:rsidRPr="00BE720D">
        <w:rPr>
          <w:rFonts w:asciiTheme="majorBidi" w:hAnsiTheme="majorBidi" w:cstheme="majorBidi"/>
          <w:lang w:val="es-GT"/>
        </w:rPr>
        <w:t xml:space="preserve"> </w:t>
      </w:r>
      <w:r w:rsidR="00BF606B" w:rsidRPr="00BE720D">
        <w:rPr>
          <w:rFonts w:asciiTheme="majorBidi" w:hAnsiTheme="majorBidi" w:cstheme="majorBidi"/>
          <w:color w:val="000000" w:themeColor="text1"/>
          <w:lang w:val="es-GT"/>
        </w:rPr>
        <w:t xml:space="preserve"> </w:t>
      </w:r>
      <w:r w:rsidRPr="00BE720D">
        <w:rPr>
          <w:rFonts w:asciiTheme="majorBidi" w:hAnsiTheme="majorBidi" w:cstheme="majorBidi"/>
          <w:color w:val="000000" w:themeColor="text1"/>
          <w:lang w:val="es-ES"/>
        </w:rPr>
        <w:t xml:space="preserve"> </w:t>
      </w:r>
    </w:p>
  </w:footnote>
  <w:footnote w:id="57">
    <w:p w14:paraId="4EC2D9DE" w14:textId="5ABD3D8F" w:rsidR="00173BB9" w:rsidRPr="006B4BF3" w:rsidRDefault="00173BB9" w:rsidP="00013274">
      <w:pPr>
        <w:pStyle w:val="Textonotapie"/>
        <w:jc w:val="both"/>
        <w:rPr>
          <w:rFonts w:asciiTheme="majorBidi" w:hAnsiTheme="majorBidi" w:cstheme="majorBidi"/>
          <w:color w:val="000000" w:themeColor="text1"/>
          <w:lang w:val="fr-FR"/>
        </w:rPr>
      </w:pPr>
      <w:r w:rsidRPr="00BE720D">
        <w:rPr>
          <w:rStyle w:val="Refdenotaalpie"/>
          <w:rFonts w:asciiTheme="majorBidi" w:eastAsiaTheme="majorEastAsia" w:hAnsiTheme="majorBidi" w:cstheme="majorBidi"/>
          <w:color w:val="000000" w:themeColor="text1"/>
          <w:sz w:val="20"/>
        </w:rPr>
        <w:footnoteRef/>
      </w:r>
      <w:r w:rsidRPr="006B4BF3">
        <w:rPr>
          <w:rFonts w:asciiTheme="majorBidi" w:hAnsiTheme="majorBidi" w:cstheme="majorBidi"/>
          <w:color w:val="000000" w:themeColor="text1"/>
          <w:lang w:val="fr-FR"/>
        </w:rPr>
        <w:t xml:space="preserve"> </w:t>
      </w:r>
      <w:proofErr w:type="gramStart"/>
      <w:r w:rsidR="006B4BF3" w:rsidRPr="00BE720D">
        <w:rPr>
          <w:rFonts w:asciiTheme="majorBidi" w:hAnsiTheme="majorBidi" w:cstheme="majorBidi"/>
          <w:color w:val="000000" w:themeColor="text1"/>
          <w:lang w:val="fr-FR"/>
        </w:rPr>
        <w:t>Véase:</w:t>
      </w:r>
      <w:proofErr w:type="gramEnd"/>
      <w:r w:rsidR="006B4BF3" w:rsidRPr="00BE720D">
        <w:rPr>
          <w:rFonts w:asciiTheme="majorBidi" w:hAnsiTheme="majorBidi" w:cstheme="majorBidi"/>
          <w:color w:val="000000" w:themeColor="text1"/>
          <w:lang w:val="fr-FR"/>
        </w:rPr>
        <w:t xml:space="preserve"> </w:t>
      </w:r>
      <w:hyperlink r:id="rId33" w:history="1">
        <w:r w:rsidR="00BF606B" w:rsidRPr="006B4BF3">
          <w:rPr>
            <w:rStyle w:val="Hipervnculo"/>
            <w:rFonts w:asciiTheme="majorBidi" w:hAnsiTheme="majorBidi" w:cstheme="majorBidi"/>
            <w:lang w:val="fr-FR"/>
          </w:rPr>
          <w:t>https://agn.gt/lideres-religiosos-expresan-gratitud-por-la-libertad-de-religion-en-guatemala/</w:t>
        </w:r>
      </w:hyperlink>
      <w:r w:rsidR="00BF606B" w:rsidRPr="006B4BF3">
        <w:rPr>
          <w:rFonts w:asciiTheme="majorBidi" w:hAnsiTheme="majorBidi" w:cstheme="majorBidi"/>
          <w:color w:val="000000" w:themeColor="text1"/>
          <w:lang w:val="fr-FR"/>
        </w:rPr>
        <w:t xml:space="preserve"> </w:t>
      </w:r>
    </w:p>
  </w:footnote>
  <w:footnote w:id="58">
    <w:p w14:paraId="0E59C289" w14:textId="5E410312" w:rsidR="00B74CF5" w:rsidRPr="006B4BF3" w:rsidRDefault="00B74CF5" w:rsidP="00013274">
      <w:pPr>
        <w:pStyle w:val="Textonotapie"/>
        <w:jc w:val="both"/>
        <w:rPr>
          <w:rFonts w:asciiTheme="majorBidi" w:hAnsiTheme="majorBidi" w:cstheme="majorBidi"/>
          <w:color w:val="000000" w:themeColor="text1"/>
          <w:lang w:val="fr-FR"/>
        </w:rPr>
      </w:pPr>
      <w:r w:rsidRPr="00BE720D">
        <w:rPr>
          <w:rStyle w:val="Refdenotaalpie"/>
          <w:rFonts w:asciiTheme="majorBidi" w:eastAsiaTheme="majorEastAsia" w:hAnsiTheme="majorBidi" w:cstheme="majorBidi"/>
          <w:color w:val="000000" w:themeColor="text1"/>
          <w:sz w:val="20"/>
        </w:rPr>
        <w:footnoteRef/>
      </w:r>
      <w:r w:rsidRPr="006B4BF3">
        <w:rPr>
          <w:rFonts w:asciiTheme="majorBidi" w:hAnsiTheme="majorBidi" w:cstheme="majorBidi"/>
          <w:color w:val="000000" w:themeColor="text1"/>
          <w:lang w:val="fr-FR"/>
        </w:rPr>
        <w:t xml:space="preserve"> </w:t>
      </w:r>
      <w:proofErr w:type="gramStart"/>
      <w:r w:rsidR="006B4BF3" w:rsidRPr="00BE720D">
        <w:rPr>
          <w:rFonts w:asciiTheme="majorBidi" w:hAnsiTheme="majorBidi" w:cstheme="majorBidi"/>
          <w:color w:val="000000" w:themeColor="text1"/>
          <w:lang w:val="fr-FR"/>
        </w:rPr>
        <w:t>Véase:</w:t>
      </w:r>
      <w:proofErr w:type="gramEnd"/>
      <w:r w:rsidR="006B4BF3">
        <w:rPr>
          <w:rFonts w:asciiTheme="majorBidi" w:hAnsiTheme="majorBidi" w:cstheme="majorBidi"/>
          <w:color w:val="000000" w:themeColor="text1"/>
          <w:lang w:val="fr-FR"/>
        </w:rPr>
        <w:t xml:space="preserve"> </w:t>
      </w:r>
      <w:hyperlink r:id="rId34" w:history="1">
        <w:r w:rsidR="00DD0F25" w:rsidRPr="009230BD">
          <w:rPr>
            <w:rStyle w:val="Hipervnculo"/>
            <w:rFonts w:asciiTheme="majorBidi" w:hAnsiTheme="majorBidi" w:cstheme="majorBidi"/>
            <w:lang w:val="fr-FR"/>
          </w:rPr>
          <w:t>https://nimajpu.org/ajqijab-y-autoridades-indigenas-y-ancestrales-rechazan-iniciativa-de-ley-que-pretende-privatizar-lugares-sagrados-y-prehispanicos/</w:t>
        </w:r>
      </w:hyperlink>
      <w:r w:rsidR="00BF606B" w:rsidRPr="006B4BF3">
        <w:rPr>
          <w:rFonts w:asciiTheme="majorBidi" w:hAnsiTheme="majorBidi" w:cstheme="majorBidi"/>
          <w:color w:val="000000" w:themeColor="text1"/>
          <w:lang w:val="fr-FR"/>
        </w:rPr>
        <w:t xml:space="preserve"> </w:t>
      </w:r>
    </w:p>
  </w:footnote>
  <w:footnote w:id="59">
    <w:p w14:paraId="2488C5A8" w14:textId="5597DB9E" w:rsidR="00B74CF5" w:rsidRPr="008905F5" w:rsidRDefault="00B74CF5" w:rsidP="00013274">
      <w:pPr>
        <w:pStyle w:val="Textonotapie"/>
        <w:jc w:val="both"/>
        <w:rPr>
          <w:rFonts w:asciiTheme="majorBidi" w:hAnsiTheme="majorBidi" w:cstheme="majorBidi"/>
          <w:color w:val="000000" w:themeColor="text1"/>
          <w:lang w:val="fr-FR"/>
        </w:rPr>
      </w:pPr>
      <w:r w:rsidRPr="00BE720D">
        <w:rPr>
          <w:rStyle w:val="Refdenotaalpie"/>
          <w:rFonts w:asciiTheme="majorBidi" w:eastAsiaTheme="majorEastAsia" w:hAnsiTheme="majorBidi" w:cstheme="majorBidi"/>
          <w:color w:val="000000" w:themeColor="text1"/>
          <w:sz w:val="20"/>
        </w:rPr>
        <w:footnoteRef/>
      </w:r>
      <w:r w:rsidRPr="008905F5">
        <w:rPr>
          <w:rFonts w:asciiTheme="majorBidi" w:hAnsiTheme="majorBidi" w:cstheme="majorBidi"/>
          <w:color w:val="000000" w:themeColor="text1"/>
          <w:lang w:val="fr-FR"/>
        </w:rPr>
        <w:t xml:space="preserve"> </w:t>
      </w:r>
      <w:hyperlink r:id="rId35" w:history="1">
        <w:r w:rsidR="00BF606B" w:rsidRPr="008905F5">
          <w:rPr>
            <w:rStyle w:val="Hipervnculo"/>
            <w:rFonts w:asciiTheme="majorBidi" w:hAnsiTheme="majorBidi" w:cstheme="majorBidi"/>
            <w:lang w:val="fr-FR"/>
          </w:rPr>
          <w:t>https://www.tramites.gob.gt/servicio/1094/</w:t>
        </w:r>
      </w:hyperlink>
      <w:r w:rsidR="00BF606B" w:rsidRPr="008905F5">
        <w:rPr>
          <w:rFonts w:asciiTheme="majorBidi" w:hAnsiTheme="majorBidi" w:cstheme="majorBidi"/>
          <w:color w:val="000000" w:themeColor="text1"/>
          <w:lang w:val="fr-FR"/>
        </w:rPr>
        <w:t xml:space="preserve"> </w:t>
      </w:r>
    </w:p>
  </w:footnote>
  <w:footnote w:id="60">
    <w:p w14:paraId="66F27733" w14:textId="5D63145A" w:rsidR="00887832" w:rsidRPr="008905F5" w:rsidRDefault="00887832" w:rsidP="00013274">
      <w:pPr>
        <w:pStyle w:val="Textonotapie"/>
        <w:jc w:val="both"/>
        <w:rPr>
          <w:rFonts w:asciiTheme="majorBidi" w:hAnsiTheme="majorBidi" w:cstheme="majorBidi"/>
          <w:lang w:val="fr-FR"/>
        </w:rPr>
      </w:pPr>
      <w:r w:rsidRPr="00BE720D">
        <w:rPr>
          <w:rStyle w:val="Refdenotaalpie"/>
          <w:rFonts w:asciiTheme="majorBidi" w:hAnsiTheme="majorBidi" w:cstheme="majorBidi"/>
          <w:sz w:val="20"/>
        </w:rPr>
        <w:footnoteRef/>
      </w:r>
      <w:r w:rsidRPr="008905F5">
        <w:rPr>
          <w:rFonts w:asciiTheme="majorBidi" w:hAnsiTheme="majorBidi" w:cstheme="majorBidi"/>
          <w:lang w:val="fr-FR"/>
        </w:rPr>
        <w:t xml:space="preserve">   </w:t>
      </w:r>
      <w:hyperlink r:id="rId36" w:history="1">
        <w:r w:rsidRPr="008905F5">
          <w:rPr>
            <w:rStyle w:val="Hipervnculo"/>
            <w:rFonts w:asciiTheme="majorBidi" w:hAnsiTheme="majorBidi" w:cstheme="majorBidi"/>
            <w:lang w:val="fr-FR"/>
          </w:rPr>
          <w:t>https://www.getty.edu/publications/cultural-heritage-mass-atrocities/part-2/15-montejo/</w:t>
        </w:r>
      </w:hyperlink>
      <w:r w:rsidRPr="008905F5">
        <w:rPr>
          <w:rFonts w:asciiTheme="majorBidi" w:hAnsiTheme="majorBidi" w:cstheme="majorBidi"/>
          <w:lang w:val="fr-FR"/>
        </w:rPr>
        <w:t xml:space="preserve"> </w:t>
      </w:r>
    </w:p>
    <w:p w14:paraId="7ED3DCE1" w14:textId="31AD7A1B" w:rsidR="00887832" w:rsidRPr="008905F5" w:rsidRDefault="00887832" w:rsidP="00013274">
      <w:pPr>
        <w:pStyle w:val="Textonotapie"/>
        <w:jc w:val="both"/>
        <w:rPr>
          <w:rFonts w:asciiTheme="majorBidi" w:hAnsiTheme="majorBidi" w:cstheme="majorBidi"/>
          <w:lang w:val="fr-FR"/>
        </w:rPr>
      </w:pPr>
      <w:r w:rsidRPr="008905F5">
        <w:rPr>
          <w:rFonts w:asciiTheme="majorBidi" w:hAnsiTheme="majorBidi" w:cstheme="majorBidi"/>
          <w:lang w:val="fr-FR"/>
        </w:rPr>
        <w:t xml:space="preserve">  </w:t>
      </w:r>
      <w:hyperlink r:id="rId37" w:history="1">
        <w:r w:rsidRPr="008905F5">
          <w:rPr>
            <w:rStyle w:val="Hipervnculo"/>
            <w:rFonts w:asciiTheme="majorBidi" w:hAnsiTheme="majorBidi" w:cstheme="majorBidi"/>
            <w:lang w:val="fr-FR"/>
          </w:rPr>
          <w:t>https://www.facebook.com/cpogt/posts/solol%C3%A1-lugar-sagrado-para-el-pueblo-maya-kiche-en-proceso-de-destrucci%C3%B3nautorida/5742261875818008/</w:t>
        </w:r>
      </w:hyperlink>
      <w:r w:rsidRPr="008905F5">
        <w:rPr>
          <w:rFonts w:asciiTheme="majorBidi" w:hAnsiTheme="majorBidi" w:cstheme="majorBidi"/>
          <w:lang w:val="fr-FR"/>
        </w:rPr>
        <w:t xml:space="preserve"> </w:t>
      </w:r>
    </w:p>
    <w:p w14:paraId="710F5E49" w14:textId="348EE734" w:rsidR="00887832" w:rsidRPr="008905F5" w:rsidRDefault="00887832" w:rsidP="00013274">
      <w:pPr>
        <w:pStyle w:val="Textonotapie"/>
        <w:jc w:val="both"/>
        <w:rPr>
          <w:rFonts w:asciiTheme="majorBidi" w:hAnsiTheme="majorBidi" w:cstheme="majorBidi"/>
          <w:lang w:val="fr-FR"/>
        </w:rPr>
      </w:pPr>
      <w:r w:rsidRPr="008905F5">
        <w:rPr>
          <w:rFonts w:asciiTheme="majorBidi" w:hAnsiTheme="majorBidi" w:cstheme="majorBidi"/>
          <w:lang w:val="fr-FR"/>
        </w:rPr>
        <w:t xml:space="preserve">  </w:t>
      </w:r>
      <w:hyperlink r:id="rId38" w:history="1">
        <w:r w:rsidRPr="008905F5">
          <w:rPr>
            <w:rStyle w:val="Hipervnculo"/>
            <w:rFonts w:asciiTheme="majorBidi" w:hAnsiTheme="majorBidi" w:cstheme="majorBidi"/>
            <w:lang w:val="fr-FR"/>
          </w:rPr>
          <w:t>https://prensacomunitaria.org/2021/05/piden-respetar-la-cultura-qanjobal-y-los-lugares-sagrados-de-jolom-konob/</w:t>
        </w:r>
      </w:hyperlink>
      <w:r w:rsidRPr="008905F5">
        <w:rPr>
          <w:rFonts w:asciiTheme="majorBidi" w:hAnsiTheme="majorBidi" w:cstheme="majorBidi"/>
          <w:lang w:val="fr-FR"/>
        </w:rPr>
        <w:t xml:space="preserve"> </w:t>
      </w:r>
    </w:p>
  </w:footnote>
  <w:footnote w:id="61">
    <w:p w14:paraId="2D4E6DED" w14:textId="245435A6" w:rsidR="00887832" w:rsidRPr="00BE720D" w:rsidRDefault="00887832" w:rsidP="00013274">
      <w:pPr>
        <w:pStyle w:val="Textonotapie"/>
        <w:jc w:val="both"/>
        <w:rPr>
          <w:rFonts w:asciiTheme="majorBidi" w:hAnsiTheme="majorBidi" w:cstheme="majorBidi"/>
          <w:color w:val="000000" w:themeColor="text1"/>
          <w:lang w:val="es-ES_tradnl"/>
        </w:rPr>
      </w:pPr>
      <w:r w:rsidRPr="00BE720D">
        <w:rPr>
          <w:rStyle w:val="Refdenotaalpie"/>
          <w:rFonts w:asciiTheme="majorBidi" w:eastAsiaTheme="majorEastAsia" w:hAnsiTheme="majorBidi" w:cstheme="majorBidi"/>
          <w:color w:val="000000" w:themeColor="text1"/>
          <w:sz w:val="20"/>
        </w:rPr>
        <w:footnoteRef/>
      </w:r>
      <w:r w:rsidRPr="00BE720D">
        <w:rPr>
          <w:rFonts w:asciiTheme="majorBidi" w:hAnsiTheme="majorBidi" w:cstheme="majorBidi"/>
          <w:color w:val="000000" w:themeColor="text1"/>
          <w:lang w:val="es-GT"/>
        </w:rPr>
        <w:t xml:space="preserve"> </w:t>
      </w:r>
      <w:hyperlink r:id="rId39" w:history="1">
        <w:r w:rsidRPr="00BE720D">
          <w:rPr>
            <w:rStyle w:val="Hipervnculo"/>
            <w:rFonts w:asciiTheme="majorBidi" w:eastAsiaTheme="majorEastAsia" w:hAnsiTheme="majorBidi" w:cstheme="majorBidi"/>
            <w:color w:val="000000" w:themeColor="text1"/>
            <w:lang w:val="es-GT"/>
          </w:rPr>
          <w:t>http://www.acdip.org/uploads/1/2/9/9/129956954/estrategia_lugares_sagrados_vr_2020.pdf</w:t>
        </w:r>
      </w:hyperlink>
      <w:r w:rsidR="00BF606B" w:rsidRPr="00BE720D">
        <w:rPr>
          <w:rFonts w:asciiTheme="majorBidi" w:hAnsiTheme="majorBidi" w:cstheme="majorBidi"/>
          <w:lang w:val="es-GT"/>
        </w:rPr>
        <w:t xml:space="preserve"> </w:t>
      </w:r>
      <w:r w:rsidRPr="00BE720D">
        <w:rPr>
          <w:rFonts w:asciiTheme="majorBidi" w:hAnsiTheme="majorBidi" w:cstheme="majorBidi"/>
          <w:color w:val="000000" w:themeColor="text1"/>
          <w:lang w:val="es-GT"/>
        </w:rPr>
        <w:t>, página 17 párrafo</w:t>
      </w:r>
      <w:r w:rsidR="00BF606B" w:rsidRPr="00BE720D">
        <w:rPr>
          <w:rFonts w:asciiTheme="majorBidi" w:hAnsiTheme="majorBidi" w:cstheme="majorBidi"/>
          <w:color w:val="000000" w:themeColor="text1"/>
          <w:lang w:val="es-GT"/>
        </w:rPr>
        <w:t xml:space="preserve">  </w:t>
      </w:r>
    </w:p>
  </w:footnote>
  <w:footnote w:id="62">
    <w:p w14:paraId="7E098219" w14:textId="77777777" w:rsidR="00887832" w:rsidRPr="00BE720D" w:rsidRDefault="00887832" w:rsidP="00013274">
      <w:pPr>
        <w:pStyle w:val="Textonotapie"/>
        <w:jc w:val="both"/>
        <w:rPr>
          <w:rFonts w:asciiTheme="majorBidi" w:hAnsiTheme="majorBidi" w:cstheme="majorBidi"/>
          <w:color w:val="000000" w:themeColor="text1"/>
          <w:lang w:val="es-ES_tradnl"/>
        </w:rPr>
      </w:pPr>
      <w:r w:rsidRPr="00BE720D">
        <w:rPr>
          <w:rStyle w:val="Refdenotaalpie"/>
          <w:rFonts w:asciiTheme="majorBidi" w:eastAsiaTheme="majorEastAsia" w:hAnsiTheme="majorBidi" w:cstheme="majorBidi"/>
          <w:color w:val="000000" w:themeColor="text1"/>
          <w:sz w:val="20"/>
        </w:rPr>
        <w:footnoteRef/>
      </w:r>
      <w:r w:rsidRPr="00BE720D">
        <w:rPr>
          <w:rFonts w:asciiTheme="majorBidi" w:hAnsiTheme="majorBidi" w:cstheme="majorBidi"/>
          <w:color w:val="000000" w:themeColor="text1"/>
          <w:lang w:val="es-ES_tradnl"/>
        </w:rPr>
        <w:t xml:space="preserve"> https://www.fger.org/la-lucha-por-los-lugares-sagrados/</w:t>
      </w:r>
    </w:p>
  </w:footnote>
  <w:footnote w:id="63">
    <w:p w14:paraId="78EB4D39" w14:textId="49491E2A" w:rsidR="00B74CF5" w:rsidRPr="00BE720D" w:rsidRDefault="00B74CF5" w:rsidP="00013274">
      <w:pPr>
        <w:pStyle w:val="Textonotapie"/>
        <w:jc w:val="both"/>
        <w:rPr>
          <w:rFonts w:asciiTheme="majorBidi" w:hAnsiTheme="majorBidi" w:cstheme="majorBidi"/>
          <w:color w:val="000000" w:themeColor="text1"/>
          <w:lang w:val="es-ES_tradnl"/>
        </w:rPr>
      </w:pPr>
      <w:r w:rsidRPr="00BE720D">
        <w:rPr>
          <w:rStyle w:val="Refdenotaalpie"/>
          <w:rFonts w:asciiTheme="majorBidi" w:eastAsiaTheme="majorEastAsia" w:hAnsiTheme="majorBidi" w:cstheme="majorBidi"/>
          <w:color w:val="000000" w:themeColor="text1"/>
          <w:sz w:val="20"/>
        </w:rPr>
        <w:footnoteRef/>
      </w:r>
      <w:r w:rsidRPr="00BE720D">
        <w:rPr>
          <w:rFonts w:asciiTheme="majorBidi" w:hAnsiTheme="majorBidi" w:cstheme="majorBidi"/>
          <w:color w:val="000000" w:themeColor="text1"/>
          <w:lang w:val="es-GT"/>
        </w:rPr>
        <w:t xml:space="preserve"> </w:t>
      </w:r>
      <w:hyperlink r:id="rId40" w:history="1">
        <w:r w:rsidRPr="00BE720D">
          <w:rPr>
            <w:rStyle w:val="Hipervnculo"/>
            <w:rFonts w:asciiTheme="majorBidi" w:eastAsiaTheme="majorEastAsia" w:hAnsiTheme="majorBidi" w:cstheme="majorBidi"/>
            <w:color w:val="000000" w:themeColor="text1"/>
            <w:lang w:val="es-GT"/>
          </w:rPr>
          <w:t>https://www.facebook.com/watch/?v=1862308517893725</w:t>
        </w:r>
      </w:hyperlink>
      <w:r w:rsidRPr="00BE720D">
        <w:rPr>
          <w:rFonts w:asciiTheme="majorBidi" w:hAnsiTheme="majorBidi" w:cstheme="majorBidi"/>
          <w:color w:val="000000" w:themeColor="text1"/>
          <w:lang w:val="es-GT"/>
        </w:rPr>
        <w:t xml:space="preserve"> video. </w:t>
      </w:r>
    </w:p>
  </w:footnote>
  <w:footnote w:id="64">
    <w:p w14:paraId="75FE6ABB" w14:textId="77777777" w:rsidR="00B74CF5" w:rsidRPr="00BE720D" w:rsidRDefault="00B74CF5" w:rsidP="00013274">
      <w:pPr>
        <w:pStyle w:val="Textonotapie"/>
        <w:jc w:val="both"/>
        <w:rPr>
          <w:rFonts w:asciiTheme="majorBidi" w:hAnsiTheme="majorBidi" w:cstheme="majorBidi"/>
          <w:color w:val="000000" w:themeColor="text1"/>
          <w:lang w:val="es-GT"/>
        </w:rPr>
      </w:pPr>
      <w:r w:rsidRPr="00BE720D">
        <w:rPr>
          <w:rStyle w:val="Refdenotaalpie"/>
          <w:rFonts w:asciiTheme="majorBidi" w:eastAsiaTheme="majorEastAsia" w:hAnsiTheme="majorBidi" w:cstheme="majorBidi"/>
          <w:color w:val="000000" w:themeColor="text1"/>
          <w:sz w:val="20"/>
        </w:rPr>
        <w:footnoteRef/>
      </w:r>
      <w:r w:rsidRPr="00BE720D">
        <w:rPr>
          <w:rFonts w:asciiTheme="majorBidi" w:hAnsiTheme="majorBidi" w:cstheme="majorBidi"/>
          <w:color w:val="000000" w:themeColor="text1"/>
          <w:lang w:val="es-ES_tradnl"/>
        </w:rPr>
        <w:t xml:space="preserve"> https://prensacomunitaria.org/2025/03/guias-espirituales-piden-que-cese-criminalizacion-por-transportar-materiales-ceremoniales-mayas/</w:t>
      </w:r>
    </w:p>
  </w:footnote>
  <w:footnote w:id="65">
    <w:p w14:paraId="3C517ED8" w14:textId="1516FA3E" w:rsidR="00B74CF5" w:rsidRPr="00BE720D" w:rsidRDefault="00B74CF5" w:rsidP="00013274">
      <w:pPr>
        <w:pStyle w:val="Textonotapie"/>
        <w:jc w:val="both"/>
        <w:rPr>
          <w:rFonts w:asciiTheme="majorBidi" w:hAnsiTheme="majorBidi" w:cstheme="majorBidi"/>
          <w:color w:val="000000" w:themeColor="text1"/>
          <w:lang w:val="es-GT"/>
        </w:rPr>
      </w:pPr>
      <w:r w:rsidRPr="00BE720D">
        <w:rPr>
          <w:rStyle w:val="Refdenotaalpie"/>
          <w:rFonts w:asciiTheme="majorBidi" w:eastAsiaTheme="majorEastAsia" w:hAnsiTheme="majorBidi" w:cstheme="majorBidi"/>
          <w:color w:val="000000" w:themeColor="text1"/>
          <w:sz w:val="20"/>
        </w:rPr>
        <w:footnoteRef/>
      </w:r>
      <w:r w:rsidRPr="00BE720D">
        <w:rPr>
          <w:rFonts w:asciiTheme="majorBidi" w:hAnsiTheme="majorBidi" w:cstheme="majorBidi"/>
          <w:color w:val="000000" w:themeColor="text1"/>
          <w:lang w:val="es-GT"/>
        </w:rPr>
        <w:t xml:space="preserve"> </w:t>
      </w:r>
      <w:hyperlink r:id="rId41" w:history="1">
        <w:r w:rsidRPr="00BE720D">
          <w:rPr>
            <w:rStyle w:val="Hipervnculo"/>
            <w:rFonts w:asciiTheme="majorBidi" w:eastAsiaTheme="majorEastAsia" w:hAnsiTheme="majorBidi" w:cstheme="majorBidi"/>
            <w:color w:val="000000" w:themeColor="text1"/>
            <w:lang w:val="es-GT"/>
          </w:rPr>
          <w:t>https://www.plazapublica.com.gt/content/el-fuego-que-nunca-se-apaga-momostenango-sus-altares-y-las-espiritualidades-amenazadas</w:t>
        </w:r>
      </w:hyperlink>
      <w:r w:rsidR="00BF606B" w:rsidRPr="00BE720D">
        <w:rPr>
          <w:rFonts w:asciiTheme="majorBidi" w:hAnsiTheme="majorBidi" w:cstheme="majorBidi"/>
          <w:lang w:val="es-GT"/>
        </w:rPr>
        <w:t xml:space="preserve"> </w:t>
      </w:r>
    </w:p>
    <w:p w14:paraId="1D7C0880" w14:textId="77777777" w:rsidR="00B74CF5" w:rsidRPr="00BE720D" w:rsidRDefault="00B74CF5" w:rsidP="00013274">
      <w:pPr>
        <w:pStyle w:val="Textonotapie"/>
        <w:jc w:val="both"/>
        <w:rPr>
          <w:rFonts w:asciiTheme="majorBidi" w:hAnsiTheme="majorBidi" w:cstheme="majorBidi"/>
          <w:color w:val="000000" w:themeColor="text1"/>
          <w:lang w:val="es-ES_tradnl"/>
        </w:rPr>
      </w:pPr>
    </w:p>
  </w:footnote>
  <w:footnote w:id="66">
    <w:p w14:paraId="3A5EDCC9" w14:textId="2D8ACCDB" w:rsidR="00B74CF5" w:rsidRPr="00BE720D" w:rsidRDefault="00B74CF5" w:rsidP="00013274">
      <w:pPr>
        <w:pStyle w:val="Textonotapie"/>
        <w:jc w:val="both"/>
        <w:rPr>
          <w:rFonts w:asciiTheme="majorBidi" w:hAnsiTheme="majorBidi" w:cstheme="majorBidi"/>
          <w:color w:val="000000" w:themeColor="text1"/>
          <w:lang w:val="es-ES_tradnl"/>
        </w:rPr>
      </w:pPr>
      <w:r w:rsidRPr="00BE720D">
        <w:rPr>
          <w:rStyle w:val="Refdenotaalpie"/>
          <w:rFonts w:asciiTheme="majorBidi" w:eastAsiaTheme="majorEastAsia" w:hAnsiTheme="majorBidi" w:cstheme="majorBidi"/>
          <w:color w:val="000000" w:themeColor="text1"/>
          <w:sz w:val="20"/>
        </w:rPr>
        <w:footnoteRef/>
      </w:r>
      <w:r w:rsidRPr="00BE720D">
        <w:rPr>
          <w:rFonts w:asciiTheme="majorBidi" w:hAnsiTheme="majorBidi" w:cstheme="majorBidi"/>
          <w:color w:val="000000" w:themeColor="text1"/>
          <w:lang w:val="es-ES_tradnl"/>
        </w:rPr>
        <w:t xml:space="preserve"> </w:t>
      </w:r>
      <w:hyperlink r:id="rId42" w:history="1">
        <w:r w:rsidRPr="00BE720D">
          <w:rPr>
            <w:rStyle w:val="Hipervnculo"/>
            <w:rFonts w:asciiTheme="majorBidi" w:eastAsiaTheme="majorEastAsia" w:hAnsiTheme="majorBidi" w:cstheme="majorBidi"/>
            <w:color w:val="000000" w:themeColor="text1"/>
            <w:lang w:val="es-ES_tradnl"/>
          </w:rPr>
          <w:t>https://ollantayitzamna.com/2020/06/08/cristianos-queman-vivo-a-un-guia-espiritual-y-medico-maya-en-guatemala/</w:t>
        </w:r>
      </w:hyperlink>
      <w:r w:rsidR="00BF606B" w:rsidRPr="00BE720D">
        <w:rPr>
          <w:rFonts w:asciiTheme="majorBidi" w:hAnsiTheme="majorBidi" w:cstheme="majorBidi"/>
          <w:lang w:val="es-ES_tradnl"/>
        </w:rPr>
        <w:t xml:space="preserve"> </w:t>
      </w:r>
    </w:p>
    <w:p w14:paraId="6448CD08" w14:textId="77777777" w:rsidR="00B74CF5" w:rsidRPr="00BE720D" w:rsidRDefault="00B74CF5" w:rsidP="00013274">
      <w:pPr>
        <w:pStyle w:val="Textonotapie"/>
        <w:jc w:val="both"/>
        <w:rPr>
          <w:rFonts w:asciiTheme="majorBidi" w:hAnsiTheme="majorBidi" w:cstheme="majorBidi"/>
          <w:color w:val="000000" w:themeColor="text1"/>
          <w:lang w:val="es-ES_tradnl"/>
        </w:rPr>
      </w:pPr>
    </w:p>
  </w:footnote>
  <w:footnote w:id="67">
    <w:p w14:paraId="613BCDB7" w14:textId="04CE89C5" w:rsidR="00DD0F25" w:rsidRPr="00DD0F25" w:rsidRDefault="00DD0F25">
      <w:pPr>
        <w:pStyle w:val="Textonotapie"/>
        <w:rPr>
          <w:lang w:val="es-GT"/>
        </w:rPr>
      </w:pPr>
      <w:r>
        <w:rPr>
          <w:rStyle w:val="Refdenotaalpie"/>
        </w:rPr>
        <w:footnoteRef/>
      </w:r>
      <w:r w:rsidRPr="00DD0F25">
        <w:rPr>
          <w:lang w:val="es-GT"/>
        </w:rPr>
        <w:t xml:space="preserve"> </w:t>
      </w:r>
      <w:r>
        <w:rPr>
          <w:lang w:val="es-GT"/>
        </w:rPr>
        <w:t xml:space="preserve">Ver detalle del caso en </w:t>
      </w:r>
      <w:r w:rsidRPr="00DE3AB4">
        <w:rPr>
          <w:b/>
          <w:bCs/>
          <w:u w:val="single"/>
          <w:lang w:val="es-GT"/>
        </w:rPr>
        <w:t>A</w:t>
      </w:r>
      <w:r w:rsidR="00DE3AB4" w:rsidRPr="00DE3AB4">
        <w:rPr>
          <w:b/>
          <w:bCs/>
          <w:u w:val="single"/>
          <w:lang w:val="es-GT"/>
        </w:rPr>
        <w:t>nexo 2.1.</w:t>
      </w:r>
    </w:p>
  </w:footnote>
  <w:footnote w:id="68">
    <w:p w14:paraId="5D9A0434" w14:textId="74DC78F4" w:rsidR="00074944" w:rsidRPr="00BE720D" w:rsidRDefault="00074944" w:rsidP="00013274">
      <w:pPr>
        <w:pStyle w:val="Textonotapie"/>
        <w:jc w:val="both"/>
        <w:rPr>
          <w:rFonts w:asciiTheme="majorBidi" w:hAnsiTheme="majorBidi" w:cstheme="majorBidi"/>
          <w:lang w:val="es-GT"/>
        </w:rPr>
      </w:pPr>
      <w:r w:rsidRPr="00BE720D">
        <w:rPr>
          <w:rStyle w:val="Refdenotaalpie"/>
          <w:rFonts w:asciiTheme="majorBidi" w:hAnsiTheme="majorBidi" w:cstheme="majorBidi"/>
          <w:sz w:val="20"/>
        </w:rPr>
        <w:footnoteRef/>
      </w:r>
      <w:r w:rsidRPr="00BE720D">
        <w:rPr>
          <w:rFonts w:asciiTheme="majorBidi" w:hAnsiTheme="majorBidi" w:cstheme="majorBidi"/>
          <w:lang w:val="es-GT"/>
        </w:rPr>
        <w:t xml:space="preserve"> </w:t>
      </w:r>
      <w:r w:rsidR="003635AC" w:rsidRPr="00BE720D">
        <w:rPr>
          <w:rFonts w:asciiTheme="majorBidi" w:hAnsiTheme="majorBidi" w:cstheme="majorBidi"/>
          <w:lang w:val="es-GT"/>
        </w:rPr>
        <w:t>Comunicado al Estado</w:t>
      </w:r>
      <w:r w:rsidR="00CA3FC8" w:rsidRPr="00BE720D">
        <w:rPr>
          <w:rFonts w:asciiTheme="majorBidi" w:hAnsiTheme="majorBidi" w:cstheme="majorBidi"/>
          <w:lang w:val="es-GT"/>
        </w:rPr>
        <w:t xml:space="preserve"> de Guatemala, 16 de enero del 2023: </w:t>
      </w:r>
      <w:hyperlink r:id="rId43" w:history="1">
        <w:r w:rsidR="00CA3FC8" w:rsidRPr="00BE720D">
          <w:rPr>
            <w:rStyle w:val="Hipervnculo"/>
            <w:rFonts w:asciiTheme="majorBidi" w:hAnsiTheme="majorBidi" w:cstheme="majorBidi"/>
            <w:lang w:val="es-GT"/>
          </w:rPr>
          <w:t>https://spcommreports.ohchr.org/TMResultsBase/DownLoadPublicCommunicationFile?gId=27784</w:t>
        </w:r>
      </w:hyperlink>
      <w:r w:rsidR="00CA3FC8" w:rsidRPr="00BE720D">
        <w:rPr>
          <w:rFonts w:asciiTheme="majorBidi" w:hAnsiTheme="majorBidi" w:cstheme="majorBidi"/>
          <w:lang w:val="es-GT"/>
        </w:rPr>
        <w:t xml:space="preserve"> </w:t>
      </w:r>
    </w:p>
  </w:footnote>
  <w:footnote w:id="69">
    <w:p w14:paraId="6514290D" w14:textId="341315B9" w:rsidR="00505E0F" w:rsidRPr="00DE3AB4" w:rsidRDefault="00505E0F" w:rsidP="00013274">
      <w:pPr>
        <w:pStyle w:val="Textonotapie"/>
        <w:jc w:val="both"/>
        <w:rPr>
          <w:rFonts w:asciiTheme="majorBidi" w:hAnsiTheme="majorBidi" w:cstheme="majorBidi"/>
          <w:lang w:val="fr-FR"/>
        </w:rPr>
      </w:pPr>
      <w:r w:rsidRPr="00BE720D">
        <w:rPr>
          <w:rStyle w:val="Refdenotaalpie"/>
          <w:rFonts w:asciiTheme="majorBidi" w:hAnsiTheme="majorBidi" w:cstheme="majorBidi"/>
          <w:sz w:val="20"/>
        </w:rPr>
        <w:footnoteRef/>
      </w:r>
      <w:r w:rsidRPr="00DE3AB4">
        <w:rPr>
          <w:rFonts w:asciiTheme="majorBidi" w:hAnsiTheme="majorBidi" w:cstheme="majorBidi"/>
          <w:lang w:val="fr-FR"/>
        </w:rPr>
        <w:t xml:space="preserve"> </w:t>
      </w:r>
      <w:proofErr w:type="gramStart"/>
      <w:r w:rsidR="00DE3AB4" w:rsidRPr="00BE720D">
        <w:rPr>
          <w:rFonts w:asciiTheme="majorBidi" w:hAnsiTheme="majorBidi" w:cstheme="majorBidi"/>
          <w:color w:val="000000" w:themeColor="text1"/>
          <w:lang w:val="fr-FR"/>
        </w:rPr>
        <w:t>Véase:</w:t>
      </w:r>
      <w:r w:rsidR="00A34692" w:rsidRPr="00DE3AB4">
        <w:rPr>
          <w:rFonts w:asciiTheme="majorBidi" w:hAnsiTheme="majorBidi" w:cstheme="majorBidi"/>
          <w:lang w:val="fr-FR"/>
        </w:rPr>
        <w:t>:</w:t>
      </w:r>
      <w:proofErr w:type="gramEnd"/>
      <w:r w:rsidR="00A34692" w:rsidRPr="00DE3AB4">
        <w:rPr>
          <w:rFonts w:asciiTheme="majorBidi" w:hAnsiTheme="majorBidi" w:cstheme="majorBidi"/>
          <w:lang w:val="fr-FR"/>
        </w:rPr>
        <w:t xml:space="preserve"> </w:t>
      </w:r>
      <w:hyperlink r:id="rId44" w:history="1">
        <w:r w:rsidR="00A34692" w:rsidRPr="00DE3AB4">
          <w:rPr>
            <w:rStyle w:val="Hipervnculo"/>
            <w:rFonts w:asciiTheme="majorBidi" w:hAnsiTheme="majorBidi" w:cstheme="majorBidi"/>
            <w:lang w:val="fr-FR"/>
          </w:rPr>
          <w:t>https://www.ituc-csi.org/IMG/pdf/Informe_PCGIG.pdf</w:t>
        </w:r>
      </w:hyperlink>
      <w:r w:rsidR="00A34692" w:rsidRPr="00DE3AB4">
        <w:rPr>
          <w:rFonts w:asciiTheme="majorBidi" w:hAnsiTheme="majorBidi" w:cstheme="majorBidi"/>
          <w:lang w:val="fr-FR"/>
        </w:rPr>
        <w:t xml:space="preserve"> </w:t>
      </w:r>
    </w:p>
  </w:footnote>
  <w:footnote w:id="70">
    <w:p w14:paraId="3C4ACFB7" w14:textId="1C1611FA" w:rsidR="006C24F7" w:rsidRPr="00BE720D" w:rsidRDefault="006C24F7" w:rsidP="00013274">
      <w:pPr>
        <w:pStyle w:val="Textonotapie"/>
        <w:jc w:val="both"/>
        <w:rPr>
          <w:rFonts w:asciiTheme="majorBidi" w:hAnsiTheme="majorBidi" w:cstheme="majorBidi"/>
          <w:lang w:val="es-GT"/>
        </w:rPr>
      </w:pPr>
      <w:r w:rsidRPr="00BE720D">
        <w:rPr>
          <w:rStyle w:val="Refdenotaalpie"/>
          <w:rFonts w:asciiTheme="majorBidi" w:hAnsiTheme="majorBidi" w:cstheme="majorBidi"/>
          <w:sz w:val="20"/>
        </w:rPr>
        <w:footnoteRef/>
      </w:r>
      <w:r w:rsidRPr="00BE720D">
        <w:rPr>
          <w:rFonts w:asciiTheme="majorBidi" w:hAnsiTheme="majorBidi" w:cstheme="majorBidi"/>
          <w:lang w:val="es-ES"/>
        </w:rPr>
        <w:t xml:space="preserve"> </w:t>
      </w:r>
      <w:r w:rsidRPr="00BE720D">
        <w:rPr>
          <w:rFonts w:asciiTheme="majorBidi" w:hAnsiTheme="majorBidi" w:cstheme="majorBidi"/>
          <w:lang w:val="es-GT"/>
        </w:rPr>
        <w:t xml:space="preserve">Corte de constitucionalidad. Expediente disponible en </w:t>
      </w:r>
      <w:hyperlink r:id="rId45" w:history="1">
        <w:r w:rsidRPr="00BE720D">
          <w:rPr>
            <w:rStyle w:val="Hipervnculo"/>
            <w:rFonts w:asciiTheme="majorBidi" w:hAnsiTheme="majorBidi" w:cstheme="majorBidi"/>
            <w:lang w:val="es-GT"/>
          </w:rPr>
          <w:t>http://138.94.255.164/Sentencias/849668.4791-2019.pdf</w:t>
        </w:r>
      </w:hyperlink>
      <w:r w:rsidRPr="00BE720D">
        <w:rPr>
          <w:rFonts w:asciiTheme="majorBidi" w:hAnsiTheme="majorBidi" w:cstheme="majorBidi"/>
          <w:lang w:val="es-GT"/>
        </w:rPr>
        <w:t xml:space="preserve"> </w:t>
      </w:r>
    </w:p>
  </w:footnote>
  <w:footnote w:id="71">
    <w:p w14:paraId="6FA06E64" w14:textId="39164CD7" w:rsidR="006C24F7" w:rsidRPr="00BE720D" w:rsidRDefault="006C24F7" w:rsidP="00013274">
      <w:pPr>
        <w:pStyle w:val="Textonotapie"/>
        <w:jc w:val="both"/>
        <w:rPr>
          <w:rFonts w:asciiTheme="majorBidi" w:hAnsiTheme="majorBidi" w:cstheme="majorBidi"/>
          <w:lang w:val="es-GT"/>
        </w:rPr>
      </w:pPr>
      <w:r w:rsidRPr="00BE720D">
        <w:rPr>
          <w:rStyle w:val="Refdenotaalpie"/>
          <w:rFonts w:asciiTheme="majorBidi" w:hAnsiTheme="majorBidi" w:cstheme="majorBidi"/>
          <w:sz w:val="20"/>
        </w:rPr>
        <w:footnoteRef/>
      </w:r>
      <w:r w:rsidRPr="00BE720D">
        <w:rPr>
          <w:rFonts w:asciiTheme="majorBidi" w:hAnsiTheme="majorBidi" w:cstheme="majorBidi"/>
          <w:lang w:val="es-ES"/>
        </w:rPr>
        <w:t xml:space="preserve"> </w:t>
      </w:r>
      <w:r w:rsidRPr="00BE720D">
        <w:rPr>
          <w:rFonts w:asciiTheme="majorBidi" w:hAnsiTheme="majorBidi" w:cstheme="majorBidi"/>
          <w:lang w:val="es-GT"/>
        </w:rPr>
        <w:t xml:space="preserve">Idem. Expediente disponible en </w:t>
      </w:r>
      <w:hyperlink r:id="rId46" w:history="1">
        <w:r w:rsidRPr="00BE720D">
          <w:rPr>
            <w:rStyle w:val="Hipervnculo"/>
            <w:rFonts w:asciiTheme="majorBidi" w:hAnsiTheme="majorBidi" w:cstheme="majorBidi"/>
            <w:lang w:val="es-GT"/>
          </w:rPr>
          <w:t>http://138.94.255.164/Sentencias/845263.697-2019.pdf</w:t>
        </w:r>
      </w:hyperlink>
      <w:r w:rsidRPr="00BE720D">
        <w:rPr>
          <w:rFonts w:asciiTheme="majorBidi" w:hAnsiTheme="majorBidi" w:cstheme="majorBidi"/>
          <w:lang w:val="es-GT"/>
        </w:rPr>
        <w:t xml:space="preserve"> </w:t>
      </w:r>
    </w:p>
  </w:footnote>
  <w:footnote w:id="72">
    <w:p w14:paraId="4C8A32C5" w14:textId="77777777" w:rsidR="00A34692" w:rsidRPr="00BE720D" w:rsidRDefault="00A34692" w:rsidP="00013274">
      <w:pPr>
        <w:pStyle w:val="Textonotapie"/>
        <w:jc w:val="both"/>
        <w:rPr>
          <w:rFonts w:asciiTheme="majorBidi" w:hAnsiTheme="majorBidi" w:cstheme="majorBidi"/>
          <w:lang w:val="es-GT"/>
        </w:rPr>
      </w:pPr>
      <w:r w:rsidRPr="00BE720D">
        <w:rPr>
          <w:rStyle w:val="Refdenotaalpie"/>
          <w:rFonts w:asciiTheme="majorBidi" w:hAnsiTheme="majorBidi" w:cstheme="majorBidi"/>
          <w:sz w:val="20"/>
        </w:rPr>
        <w:footnoteRef/>
      </w:r>
      <w:r w:rsidRPr="00BE720D">
        <w:rPr>
          <w:rFonts w:asciiTheme="majorBidi" w:hAnsiTheme="majorBidi" w:cstheme="majorBidi"/>
          <w:lang w:val="es-ES"/>
        </w:rPr>
        <w:t xml:space="preserve"> Corte de constitucionalidad. </w:t>
      </w:r>
      <w:r w:rsidRPr="00BE720D">
        <w:rPr>
          <w:rFonts w:asciiTheme="majorBidi" w:hAnsiTheme="majorBidi" w:cstheme="majorBidi"/>
          <w:lang w:val="es-GT"/>
        </w:rPr>
        <w:t xml:space="preserve">Expediente 4785-2017 disponible en </w:t>
      </w:r>
      <w:hyperlink r:id="rId47" w:history="1">
        <w:r w:rsidRPr="00BE720D">
          <w:rPr>
            <w:rStyle w:val="Hipervnculo"/>
            <w:rFonts w:asciiTheme="majorBidi" w:hAnsiTheme="majorBidi" w:cstheme="majorBidi"/>
            <w:lang w:val="es-GT"/>
          </w:rPr>
          <w:t>http://138.94.255.164/Sentencias/840212.4785-2017.pdf</w:t>
        </w:r>
      </w:hyperlink>
      <w:r w:rsidRPr="00BE720D">
        <w:rPr>
          <w:rFonts w:asciiTheme="majorBidi" w:hAnsiTheme="majorBidi" w:cstheme="majorBidi"/>
          <w:lang w:val="es-GT"/>
        </w:rPr>
        <w:t xml:space="preserve"> </w:t>
      </w:r>
    </w:p>
  </w:footnote>
  <w:footnote w:id="73">
    <w:p w14:paraId="6CCA9671" w14:textId="77777777" w:rsidR="00A34692" w:rsidRPr="00BE720D" w:rsidRDefault="00A34692" w:rsidP="00013274">
      <w:pPr>
        <w:pStyle w:val="Textonotapie"/>
        <w:jc w:val="both"/>
        <w:rPr>
          <w:rFonts w:asciiTheme="majorBidi" w:hAnsiTheme="majorBidi" w:cstheme="majorBidi"/>
          <w:lang w:val="es-MX"/>
        </w:rPr>
      </w:pPr>
      <w:r w:rsidRPr="00BE720D">
        <w:rPr>
          <w:rStyle w:val="Refdenotaalpie"/>
          <w:rFonts w:asciiTheme="majorBidi" w:hAnsiTheme="majorBidi" w:cstheme="majorBidi"/>
          <w:sz w:val="20"/>
        </w:rPr>
        <w:footnoteRef/>
      </w:r>
      <w:r w:rsidRPr="00BE720D">
        <w:rPr>
          <w:rFonts w:asciiTheme="majorBidi" w:hAnsiTheme="majorBidi" w:cstheme="majorBidi"/>
          <w:lang w:val="es-GT"/>
        </w:rPr>
        <w:t xml:space="preserve"> </w:t>
      </w:r>
      <w:r w:rsidRPr="00BE720D">
        <w:rPr>
          <w:rFonts w:asciiTheme="majorBidi" w:hAnsiTheme="majorBidi" w:cstheme="majorBidi"/>
          <w:lang w:val="es-MX"/>
        </w:rPr>
        <w:t>Caso que detallará el Pueblo Xinka en su informe Alternativo.</w:t>
      </w:r>
    </w:p>
  </w:footnote>
  <w:footnote w:id="74">
    <w:p w14:paraId="2A28E156" w14:textId="4D6C5F41" w:rsidR="0048226E" w:rsidRPr="00BE720D" w:rsidRDefault="0048226E" w:rsidP="00013274">
      <w:pPr>
        <w:pStyle w:val="Textonotapie"/>
        <w:jc w:val="both"/>
        <w:rPr>
          <w:rFonts w:asciiTheme="majorBidi" w:hAnsiTheme="majorBidi" w:cstheme="majorBidi"/>
          <w:lang w:val="es-GT"/>
        </w:rPr>
      </w:pPr>
      <w:r w:rsidRPr="00BE720D">
        <w:rPr>
          <w:rStyle w:val="Refdenotaalpie"/>
          <w:rFonts w:asciiTheme="majorBidi" w:hAnsiTheme="majorBidi" w:cstheme="majorBidi"/>
          <w:sz w:val="20"/>
        </w:rPr>
        <w:footnoteRef/>
      </w:r>
      <w:r w:rsidRPr="00BE720D">
        <w:rPr>
          <w:rFonts w:asciiTheme="majorBidi" w:hAnsiTheme="majorBidi" w:cstheme="majorBidi"/>
          <w:lang w:val="es-GT"/>
        </w:rPr>
        <w:t xml:space="preserve"> </w:t>
      </w:r>
      <w:r w:rsidR="00744981" w:rsidRPr="00BE720D">
        <w:rPr>
          <w:rFonts w:asciiTheme="majorBidi" w:hAnsiTheme="majorBidi" w:cstheme="majorBidi"/>
          <w:lang w:val="es-GT"/>
        </w:rPr>
        <w:t>Resolución</w:t>
      </w:r>
      <w:r w:rsidR="004F573D" w:rsidRPr="00BE720D">
        <w:rPr>
          <w:rFonts w:asciiTheme="majorBidi" w:hAnsiTheme="majorBidi" w:cstheme="majorBidi"/>
          <w:lang w:val="es-GT"/>
        </w:rPr>
        <w:t xml:space="preserve"> </w:t>
      </w:r>
      <w:r w:rsidR="003757E3" w:rsidRPr="00BE720D">
        <w:rPr>
          <w:rFonts w:asciiTheme="majorBidi" w:hAnsiTheme="majorBidi" w:cstheme="majorBidi"/>
          <w:lang w:val="es-GT"/>
        </w:rPr>
        <w:t xml:space="preserve">de la Corte Suprema de Justicia, </w:t>
      </w:r>
      <w:r w:rsidR="006934EC" w:rsidRPr="00BE720D">
        <w:rPr>
          <w:rFonts w:asciiTheme="majorBidi" w:hAnsiTheme="majorBidi" w:cstheme="majorBidi"/>
          <w:lang w:val="es-GT"/>
        </w:rPr>
        <w:t>constituida en tribunal de Amparo, 31 de julio del 2024.</w:t>
      </w:r>
    </w:p>
  </w:footnote>
  <w:footnote w:id="75">
    <w:p w14:paraId="52425319" w14:textId="77777777" w:rsidR="00B16876" w:rsidRPr="00BE720D" w:rsidRDefault="00B16876" w:rsidP="00013274">
      <w:pPr>
        <w:pStyle w:val="Textonotapie"/>
        <w:jc w:val="both"/>
        <w:rPr>
          <w:rFonts w:asciiTheme="majorBidi" w:hAnsiTheme="majorBidi" w:cstheme="majorBidi"/>
          <w:color w:val="0D0D0D" w:themeColor="text1" w:themeTint="F2"/>
          <w:lang w:val="en-GB"/>
        </w:rPr>
      </w:pPr>
      <w:r w:rsidRPr="00BE720D">
        <w:rPr>
          <w:rStyle w:val="Refdenotaalpie"/>
          <w:rFonts w:asciiTheme="majorBidi" w:hAnsiTheme="majorBidi" w:cstheme="majorBidi"/>
          <w:sz w:val="20"/>
        </w:rPr>
        <w:footnoteRef/>
      </w:r>
      <w:r w:rsidRPr="00BE720D">
        <w:rPr>
          <w:rFonts w:asciiTheme="majorBidi" w:hAnsiTheme="majorBidi" w:cstheme="majorBidi"/>
          <w:lang w:val="es-GT"/>
        </w:rPr>
        <w:t xml:space="preserve"> </w:t>
      </w:r>
      <w:r w:rsidRPr="00BE720D">
        <w:rPr>
          <w:rFonts w:asciiTheme="majorBidi" w:hAnsiTheme="majorBidi" w:cstheme="majorBidi"/>
          <w:color w:val="0D0D0D" w:themeColor="text1" w:themeTint="F2"/>
          <w:lang w:val="es-GT"/>
        </w:rPr>
        <w:t xml:space="preserve">Corte IDH. Caso de la Comunidad Mayagna (Sumo) Awas Tingni Vs. Nicaragua. Sentencia de 31 de agosto de 2001. (Fondo, Reparaciones y Costas). </w:t>
      </w:r>
      <w:r w:rsidRPr="00BE720D">
        <w:rPr>
          <w:rFonts w:asciiTheme="majorBidi" w:hAnsiTheme="majorBidi" w:cstheme="majorBidi"/>
          <w:color w:val="0D0D0D" w:themeColor="text1" w:themeTint="F2"/>
          <w:lang w:val="en-GB"/>
        </w:rPr>
        <w:t xml:space="preserve">Párr. 149. </w:t>
      </w:r>
    </w:p>
  </w:footnote>
  <w:footnote w:id="76">
    <w:p w14:paraId="276E7881" w14:textId="77777777" w:rsidR="00C4183E" w:rsidRPr="00BE720D" w:rsidRDefault="00C4183E" w:rsidP="00013274">
      <w:pPr>
        <w:pStyle w:val="Textonotapie"/>
        <w:jc w:val="both"/>
        <w:rPr>
          <w:rFonts w:asciiTheme="majorBidi" w:hAnsiTheme="majorBidi" w:cstheme="majorBidi"/>
          <w:color w:val="000000" w:themeColor="text1"/>
          <w:lang w:val="en-GB"/>
        </w:rPr>
      </w:pPr>
      <w:r w:rsidRPr="00BE720D">
        <w:rPr>
          <w:rStyle w:val="Refdenotaalpie"/>
          <w:rFonts w:asciiTheme="majorBidi" w:eastAsiaTheme="majorEastAsia" w:hAnsiTheme="majorBidi" w:cstheme="majorBidi"/>
          <w:color w:val="000000" w:themeColor="text1"/>
          <w:sz w:val="20"/>
        </w:rPr>
        <w:footnoteRef/>
      </w:r>
      <w:r w:rsidRPr="00BE720D">
        <w:rPr>
          <w:rFonts w:asciiTheme="majorBidi" w:hAnsiTheme="majorBidi" w:cstheme="majorBidi"/>
          <w:color w:val="000000" w:themeColor="text1"/>
          <w:lang w:val="en-GB"/>
        </w:rPr>
        <w:t xml:space="preserve"> Grupo Banco Mundial (2025</w:t>
      </w:r>
      <w:proofErr w:type="gramStart"/>
      <w:r w:rsidRPr="00BE720D">
        <w:rPr>
          <w:rFonts w:asciiTheme="majorBidi" w:hAnsiTheme="majorBidi" w:cstheme="majorBidi"/>
          <w:color w:val="000000" w:themeColor="text1"/>
          <w:lang w:val="en-GB"/>
        </w:rPr>
        <w:t>) .</w:t>
      </w:r>
      <w:proofErr w:type="gramEnd"/>
      <w:r w:rsidRPr="00BE720D">
        <w:rPr>
          <w:rFonts w:asciiTheme="majorBidi" w:hAnsiTheme="majorBidi" w:cstheme="majorBidi"/>
          <w:color w:val="000000" w:themeColor="text1"/>
          <w:lang w:val="en-GB"/>
        </w:rPr>
        <w:t xml:space="preserve"> The role of indigenous Peoples in Biodiversity Conservation  </w:t>
      </w:r>
      <w:hyperlink r:id="rId48" w:history="1">
        <w:r w:rsidRPr="00BE720D">
          <w:rPr>
            <w:rStyle w:val="Hipervnculo"/>
            <w:rFonts w:asciiTheme="majorBidi" w:hAnsiTheme="majorBidi" w:cstheme="majorBidi"/>
            <w:color w:val="000000" w:themeColor="text1"/>
            <w:lang w:val="en-GB"/>
          </w:rPr>
          <w:t>https://documents1.worldbank.org/curated/en/995271468177530126/pdf/443000WP0BOX321onservation01PUBLIC1.pdf</w:t>
        </w:r>
      </w:hyperlink>
      <w:r w:rsidRPr="00BE720D">
        <w:rPr>
          <w:rFonts w:asciiTheme="majorBidi" w:hAnsiTheme="majorBidi" w:cstheme="majorBidi"/>
          <w:color w:val="000000" w:themeColor="text1"/>
          <w:lang w:val="en-GB"/>
        </w:rPr>
        <w:t xml:space="preserve">  Pág. 102</w:t>
      </w:r>
    </w:p>
  </w:footnote>
  <w:footnote w:id="77">
    <w:p w14:paraId="25A3EACA" w14:textId="57D78036" w:rsidR="000276AD" w:rsidRPr="00BE720D" w:rsidRDefault="000276AD" w:rsidP="00013274">
      <w:pPr>
        <w:pStyle w:val="Textonotapie"/>
        <w:jc w:val="both"/>
        <w:rPr>
          <w:rFonts w:asciiTheme="majorBidi" w:hAnsiTheme="majorBidi" w:cstheme="majorBidi"/>
          <w:color w:val="000000" w:themeColor="text1"/>
          <w:lang w:val="es-GT"/>
        </w:rPr>
      </w:pPr>
      <w:r w:rsidRPr="00BE720D">
        <w:rPr>
          <w:rStyle w:val="Caracteresdenotaalpie"/>
          <w:rFonts w:asciiTheme="majorBidi" w:hAnsiTheme="majorBidi" w:cstheme="majorBidi"/>
          <w:color w:val="000000" w:themeColor="text1"/>
        </w:rPr>
        <w:footnoteRef/>
      </w:r>
      <w:r w:rsidRPr="00BE720D">
        <w:rPr>
          <w:rFonts w:asciiTheme="majorBidi" w:hAnsiTheme="majorBidi" w:cstheme="majorBidi"/>
          <w:color w:val="000000" w:themeColor="text1"/>
          <w:lang w:val="es-GT"/>
        </w:rPr>
        <w:tab/>
        <w:t>Estándares internacionales sobre derechos de los</w:t>
      </w:r>
      <w:r w:rsidR="00620CB2">
        <w:rPr>
          <w:rFonts w:asciiTheme="majorBidi" w:hAnsiTheme="majorBidi" w:cstheme="majorBidi"/>
          <w:color w:val="000000" w:themeColor="text1"/>
          <w:lang w:val="es-GT"/>
        </w:rPr>
        <w:t xml:space="preserve"> </w:t>
      </w:r>
      <w:r w:rsidRPr="00BE720D">
        <w:rPr>
          <w:rFonts w:asciiTheme="majorBidi" w:hAnsiTheme="majorBidi" w:cstheme="majorBidi"/>
          <w:color w:val="000000" w:themeColor="text1"/>
          <w:lang w:val="es-GT"/>
        </w:rPr>
        <w:t xml:space="preserve">pueblos indígenas a las tierras </w:t>
      </w:r>
      <w:r w:rsidR="00620CB2" w:rsidRPr="00BE720D">
        <w:rPr>
          <w:rFonts w:asciiTheme="majorBidi" w:hAnsiTheme="majorBidi" w:cstheme="majorBidi"/>
          <w:color w:val="000000" w:themeColor="text1"/>
          <w:lang w:val="es-GT"/>
        </w:rPr>
        <w:t>territorios</w:t>
      </w:r>
      <w:r w:rsidRPr="00BE720D">
        <w:rPr>
          <w:rFonts w:asciiTheme="majorBidi" w:hAnsiTheme="majorBidi" w:cstheme="majorBidi"/>
          <w:color w:val="000000" w:themeColor="text1"/>
          <w:lang w:val="es-GT"/>
        </w:rPr>
        <w:t xml:space="preserve"> y recursos naturales.  OACNUDH 2022</w:t>
      </w:r>
    </w:p>
  </w:footnote>
  <w:footnote w:id="78">
    <w:p w14:paraId="7EFA56C9" w14:textId="0EBE195D" w:rsidR="00626849" w:rsidRPr="00BE720D" w:rsidRDefault="00626849" w:rsidP="00013274">
      <w:pPr>
        <w:pStyle w:val="Textonotapie"/>
        <w:jc w:val="both"/>
        <w:rPr>
          <w:rFonts w:asciiTheme="majorBidi" w:hAnsiTheme="majorBidi" w:cstheme="majorBidi"/>
          <w:color w:val="C00000"/>
          <w:highlight w:val="yellow"/>
          <w:lang w:val="es-GT"/>
        </w:rPr>
      </w:pPr>
      <w:r w:rsidRPr="00BE720D">
        <w:rPr>
          <w:rStyle w:val="Refdenotaalpie"/>
          <w:rFonts w:asciiTheme="majorBidi" w:hAnsiTheme="majorBidi" w:cstheme="majorBidi"/>
          <w:sz w:val="20"/>
        </w:rPr>
        <w:footnoteRef/>
      </w:r>
      <w:r w:rsidRPr="00BE720D">
        <w:rPr>
          <w:rFonts w:asciiTheme="majorBidi" w:hAnsiTheme="majorBidi" w:cstheme="majorBidi"/>
          <w:lang w:val="es-GT"/>
        </w:rPr>
        <w:t xml:space="preserve"> Sentencias Corte de Constitucionalidad: Caso Santo Tomás Chichicastenango exp. 1101-2010; Caso Sierra Santa Cruz exp. 5955-2013; caso </w:t>
      </w:r>
      <w:proofErr w:type="gramStart"/>
      <w:r w:rsidRPr="00BE720D">
        <w:rPr>
          <w:rFonts w:asciiTheme="majorBidi" w:hAnsiTheme="majorBidi" w:cstheme="majorBidi"/>
          <w:lang w:val="es-GT"/>
        </w:rPr>
        <w:t>Alcaldes</w:t>
      </w:r>
      <w:proofErr w:type="gramEnd"/>
      <w:r w:rsidRPr="00BE720D">
        <w:rPr>
          <w:rFonts w:asciiTheme="majorBidi" w:hAnsiTheme="majorBidi" w:cstheme="majorBidi"/>
          <w:lang w:val="es-GT"/>
        </w:rPr>
        <w:t xml:space="preserve"> Maya Mam exp. 2567-2015; caso </w:t>
      </w:r>
      <w:r w:rsidR="008D667E" w:rsidRPr="00BE720D">
        <w:rPr>
          <w:rFonts w:asciiTheme="majorBidi" w:hAnsiTheme="majorBidi" w:cstheme="majorBidi"/>
          <w:lang w:val="es-GT"/>
        </w:rPr>
        <w:t xml:space="preserve">Santa Elena </w:t>
      </w:r>
      <w:r w:rsidRPr="00BE720D">
        <w:rPr>
          <w:rFonts w:asciiTheme="majorBidi" w:hAnsiTheme="majorBidi" w:cstheme="majorBidi"/>
          <w:lang w:val="es-GT"/>
        </w:rPr>
        <w:t>S</w:t>
      </w:r>
      <w:r w:rsidR="00DE5445" w:rsidRPr="00BE720D">
        <w:rPr>
          <w:rFonts w:asciiTheme="majorBidi" w:hAnsiTheme="majorBidi" w:cstheme="majorBidi"/>
          <w:lang w:val="es-GT"/>
        </w:rPr>
        <w:t>a</w:t>
      </w:r>
      <w:r w:rsidRPr="00BE720D">
        <w:rPr>
          <w:rFonts w:asciiTheme="majorBidi" w:hAnsiTheme="majorBidi" w:cstheme="majorBidi"/>
          <w:lang w:val="es-GT"/>
        </w:rPr>
        <w:t>manzana</w:t>
      </w:r>
      <w:r w:rsidR="00E3344E" w:rsidRPr="00BE720D">
        <w:rPr>
          <w:rFonts w:asciiTheme="majorBidi" w:hAnsiTheme="majorBidi" w:cstheme="majorBidi"/>
          <w:lang w:val="es-GT"/>
        </w:rPr>
        <w:t xml:space="preserve"> II</w:t>
      </w:r>
      <w:r w:rsidRPr="00BE720D">
        <w:rPr>
          <w:rFonts w:asciiTheme="majorBidi" w:hAnsiTheme="majorBidi" w:cstheme="majorBidi"/>
          <w:lang w:val="es-GT"/>
        </w:rPr>
        <w:t xml:space="preserve"> 970-2016; caso Vecinos de Chuarrancho exp. 1052-2017, caso San José Poaquil 2275-2014; caso Pueblo Maya Ixil exp. 3883-2017; caso com</w:t>
      </w:r>
      <w:r w:rsidRPr="00BE720D">
        <w:rPr>
          <w:rFonts w:asciiTheme="majorBidi" w:hAnsiTheme="majorBidi" w:cstheme="majorBidi"/>
          <w:color w:val="000000" w:themeColor="text1"/>
          <w:lang w:val="es-GT"/>
        </w:rPr>
        <w:t>unidades Maya Chortí exp. 4420-2017; caso Pueblo Ixil de Nebaj exp. 4408-2017; caso Morola exp. 3353-2018. Caso San Pablo Chinaha</w:t>
      </w:r>
      <w:r w:rsidR="003F6572" w:rsidRPr="00BE720D">
        <w:rPr>
          <w:rFonts w:asciiTheme="majorBidi" w:hAnsiTheme="majorBidi" w:cstheme="majorBidi"/>
          <w:color w:val="000000" w:themeColor="text1"/>
          <w:lang w:val="es-GT"/>
        </w:rPr>
        <w:t>’, Sentencia expediente 01008-2016-00198, 15 de junio del 2017, Sala Primera de la Corte de Apelaciones del Ramo Civil y Mercantil;</w:t>
      </w:r>
      <w:r w:rsidRPr="00BE720D">
        <w:rPr>
          <w:rFonts w:asciiTheme="majorBidi" w:hAnsiTheme="majorBidi" w:cstheme="majorBidi"/>
          <w:color w:val="000000" w:themeColor="text1"/>
          <w:lang w:val="es-GT"/>
        </w:rPr>
        <w:t xml:space="preserve"> y caso Xaal Kiche’</w:t>
      </w:r>
      <w:r w:rsidR="00F54626" w:rsidRPr="00BE720D">
        <w:rPr>
          <w:rFonts w:asciiTheme="majorBidi" w:hAnsiTheme="majorBidi" w:cstheme="majorBidi"/>
          <w:color w:val="000000" w:themeColor="text1"/>
          <w:lang w:val="es-GT"/>
        </w:rPr>
        <w:t>, Sentencia expediente 01009-2016-0081, 16 de octubre de 2017, Sala Segunda de la Corte de Apelaciones del Ramo Civil y Mercantil.</w:t>
      </w:r>
      <w:r w:rsidR="00F057CE">
        <w:rPr>
          <w:rFonts w:asciiTheme="majorBidi" w:hAnsiTheme="majorBidi" w:cstheme="majorBidi"/>
          <w:color w:val="000000" w:themeColor="text1"/>
          <w:lang w:val="es-GT"/>
        </w:rPr>
        <w:t xml:space="preserve"> </w:t>
      </w:r>
    </w:p>
  </w:footnote>
  <w:footnote w:id="79">
    <w:p w14:paraId="365B2D3E" w14:textId="77C5CF68" w:rsidR="00C75B1F" w:rsidRPr="00BE720D" w:rsidRDefault="00C75B1F" w:rsidP="00013274">
      <w:pPr>
        <w:pStyle w:val="Textonotapie"/>
        <w:jc w:val="both"/>
        <w:rPr>
          <w:rFonts w:asciiTheme="majorBidi" w:hAnsiTheme="majorBidi" w:cstheme="majorBidi"/>
          <w:lang w:val="es-GT"/>
        </w:rPr>
      </w:pPr>
      <w:r w:rsidRPr="00BE720D">
        <w:rPr>
          <w:rStyle w:val="Refdenotaalpie"/>
          <w:rFonts w:asciiTheme="majorBidi" w:hAnsiTheme="majorBidi" w:cstheme="majorBidi"/>
          <w:sz w:val="20"/>
        </w:rPr>
        <w:footnoteRef/>
      </w:r>
      <w:r w:rsidRPr="00BE720D">
        <w:rPr>
          <w:rFonts w:asciiTheme="majorBidi" w:hAnsiTheme="majorBidi" w:cstheme="majorBidi"/>
          <w:lang w:val="es-GT"/>
        </w:rPr>
        <w:t xml:space="preserve"> </w:t>
      </w:r>
      <w:r w:rsidR="00D87D25" w:rsidRPr="00BE720D">
        <w:rPr>
          <w:rFonts w:asciiTheme="majorBidi" w:hAnsiTheme="majorBidi" w:cstheme="majorBidi"/>
          <w:lang w:val="es-GT"/>
        </w:rPr>
        <w:t xml:space="preserve">CERD/C/GTM/18-20, Informes periódicos 18º y 20º combinados que Guatemala debía presentar en 2022 en virtud del artículo 9 de la Convención. </w:t>
      </w:r>
    </w:p>
  </w:footnote>
  <w:footnote w:id="80">
    <w:p w14:paraId="1C7300B5" w14:textId="77777777" w:rsidR="000276AD" w:rsidRPr="00BE720D" w:rsidRDefault="000276AD" w:rsidP="00013274">
      <w:pPr>
        <w:pStyle w:val="Textonotapie"/>
        <w:jc w:val="both"/>
        <w:rPr>
          <w:rFonts w:asciiTheme="majorBidi" w:hAnsiTheme="majorBidi" w:cstheme="majorBidi"/>
          <w:color w:val="000000" w:themeColor="text1"/>
          <w:lang w:val="es-GT"/>
        </w:rPr>
      </w:pPr>
      <w:r w:rsidRPr="00BE720D">
        <w:rPr>
          <w:rStyle w:val="Caracteresdenotaalpie"/>
          <w:rFonts w:asciiTheme="majorBidi" w:hAnsiTheme="majorBidi" w:cstheme="majorBidi"/>
          <w:color w:val="000000" w:themeColor="text1"/>
        </w:rPr>
        <w:footnoteRef/>
      </w:r>
      <w:r w:rsidRPr="00BE720D">
        <w:rPr>
          <w:rFonts w:asciiTheme="majorBidi" w:hAnsiTheme="majorBidi" w:cstheme="majorBidi"/>
          <w:color w:val="000000" w:themeColor="text1"/>
          <w:lang w:val="es-GT"/>
        </w:rPr>
        <w:tab/>
        <w:t xml:space="preserve"> Sentencias Corte de Constitucionalidad: Caso Santo Tomás Chichicastenango exp. 1101-2010; Caso Sierra Santa Cruz exp. 5955-2013; caso </w:t>
      </w:r>
      <w:proofErr w:type="gramStart"/>
      <w:r w:rsidRPr="00BE720D">
        <w:rPr>
          <w:rFonts w:asciiTheme="majorBidi" w:hAnsiTheme="majorBidi" w:cstheme="majorBidi"/>
          <w:color w:val="000000" w:themeColor="text1"/>
          <w:lang w:val="es-GT"/>
        </w:rPr>
        <w:t>Alcaldes</w:t>
      </w:r>
      <w:proofErr w:type="gramEnd"/>
      <w:r w:rsidRPr="00BE720D">
        <w:rPr>
          <w:rFonts w:asciiTheme="majorBidi" w:hAnsiTheme="majorBidi" w:cstheme="majorBidi"/>
          <w:color w:val="000000" w:themeColor="text1"/>
          <w:lang w:val="es-GT"/>
        </w:rPr>
        <w:t xml:space="preserve"> Maya Mam exp. 2567-2015; caso Semanzana 970-2016; caso Vecinos de Chuarrancho exp. 1052-2017, caso San José Poaquil 2275-2014; caso Pueblo Maya Ixil exp. 3883-2017; caso comunidades Maya Chortí exp. 4420-2017; caso Pueblo Ixil de Nebaj exp. 4408-2017; caso Morola exp. 3353-2018.</w:t>
      </w:r>
    </w:p>
  </w:footnote>
  <w:footnote w:id="81">
    <w:p w14:paraId="02EED183" w14:textId="77777777" w:rsidR="000276AD" w:rsidRPr="00BE720D" w:rsidRDefault="000276AD" w:rsidP="00013274">
      <w:pPr>
        <w:pStyle w:val="Textonotapie"/>
        <w:jc w:val="both"/>
        <w:rPr>
          <w:rFonts w:asciiTheme="majorBidi" w:hAnsiTheme="majorBidi" w:cstheme="majorBidi"/>
          <w:color w:val="000000" w:themeColor="text1"/>
          <w:lang w:val="es-GT"/>
        </w:rPr>
      </w:pPr>
      <w:r w:rsidRPr="00BE720D">
        <w:rPr>
          <w:rStyle w:val="Caracteresdenotaalpie"/>
          <w:rFonts w:asciiTheme="majorBidi" w:hAnsiTheme="majorBidi" w:cstheme="majorBidi"/>
          <w:color w:val="000000" w:themeColor="text1"/>
        </w:rPr>
        <w:footnoteRef/>
      </w:r>
      <w:r w:rsidRPr="00BE720D">
        <w:rPr>
          <w:rFonts w:asciiTheme="majorBidi" w:hAnsiTheme="majorBidi" w:cstheme="majorBidi"/>
          <w:color w:val="000000" w:themeColor="text1"/>
          <w:lang w:val="es-GT"/>
        </w:rPr>
        <w:tab/>
        <w:t xml:space="preserve"> El </w:t>
      </w:r>
      <w:r w:rsidRPr="00BE720D">
        <w:rPr>
          <w:rStyle w:val="Fuentedeprrafopredeter1"/>
          <w:rFonts w:asciiTheme="majorBidi" w:eastAsiaTheme="majorEastAsia" w:hAnsiTheme="majorBidi" w:cstheme="majorBidi"/>
          <w:color w:val="000000" w:themeColor="text1"/>
          <w:lang w:val="es-MX"/>
        </w:rPr>
        <w:t xml:space="preserve">Observatorio de la propiedad Privada y la Cámara del Agro impulsan acciones de registro, capacitación a magistrados e incidencia política ante Cortes y magistrados </w:t>
      </w:r>
      <w:hyperlink r:id="rId49" w:anchor="_blank" w:history="1">
        <w:r w:rsidRPr="00BE720D">
          <w:rPr>
            <w:rStyle w:val="Hipervnculo"/>
            <w:rFonts w:asciiTheme="majorBidi" w:hAnsiTheme="majorBidi" w:cstheme="majorBidi"/>
            <w:color w:val="000000" w:themeColor="text1"/>
            <w:lang w:val="es-MX"/>
          </w:rPr>
          <w:t>https://www.observatoriopropiedad.org/</w:t>
        </w:r>
      </w:hyperlink>
    </w:p>
  </w:footnote>
  <w:footnote w:id="82">
    <w:p w14:paraId="1EE83315" w14:textId="77777777" w:rsidR="000276AD" w:rsidRPr="00BE720D" w:rsidRDefault="000276AD" w:rsidP="00013274">
      <w:pPr>
        <w:pStyle w:val="Textonotapie"/>
        <w:jc w:val="both"/>
        <w:rPr>
          <w:rFonts w:asciiTheme="majorBidi" w:hAnsiTheme="majorBidi" w:cstheme="majorBidi"/>
          <w:color w:val="000000" w:themeColor="text1"/>
          <w:lang w:val="es-GT"/>
        </w:rPr>
      </w:pPr>
      <w:r w:rsidRPr="00BE720D">
        <w:rPr>
          <w:rStyle w:val="Caracteresdenotaalpie"/>
          <w:rFonts w:asciiTheme="majorBidi" w:hAnsiTheme="majorBidi" w:cstheme="majorBidi"/>
          <w:color w:val="000000" w:themeColor="text1"/>
        </w:rPr>
        <w:footnoteRef/>
      </w:r>
      <w:r w:rsidRPr="00BE720D">
        <w:rPr>
          <w:rFonts w:asciiTheme="majorBidi" w:hAnsiTheme="majorBidi" w:cstheme="majorBidi"/>
          <w:color w:val="000000" w:themeColor="text1"/>
          <w:lang w:val="es-GT"/>
        </w:rPr>
        <w:tab/>
        <w:t xml:space="preserve"> </w:t>
      </w:r>
      <w:r w:rsidRPr="00BE720D">
        <w:rPr>
          <w:rStyle w:val="Fuentedeprrafopredeter1"/>
          <w:rFonts w:asciiTheme="majorBidi" w:eastAsiaTheme="majorEastAsia" w:hAnsiTheme="majorBidi" w:cstheme="majorBidi"/>
          <w:bCs/>
          <w:color w:val="000000" w:themeColor="text1"/>
          <w:lang w:val="es-GT"/>
        </w:rPr>
        <w:t>Situación de los pueblos indígenas en Guatemala e incumplimiento de la tutela constitucional en los procesos de reivindicación de Territorios históricos y ancestrales. Informe temático ante la Comisión interamericana de derechos humanos. Noviembre 2022</w:t>
      </w:r>
    </w:p>
    <w:p w14:paraId="4CFC71B7" w14:textId="77777777" w:rsidR="000276AD" w:rsidRPr="00BE720D" w:rsidRDefault="000276AD" w:rsidP="00013274">
      <w:pPr>
        <w:pStyle w:val="Textonotapie"/>
        <w:jc w:val="both"/>
        <w:rPr>
          <w:rFonts w:asciiTheme="majorBidi" w:hAnsiTheme="majorBidi" w:cstheme="majorBidi"/>
          <w:color w:val="000000" w:themeColor="text1"/>
          <w:lang w:val="es-GT"/>
        </w:rPr>
      </w:pPr>
    </w:p>
  </w:footnote>
  <w:footnote w:id="83">
    <w:p w14:paraId="438CCE5E" w14:textId="6F140B48" w:rsidR="005E2D38" w:rsidRPr="00846127" w:rsidRDefault="005E2D38" w:rsidP="00013274">
      <w:pPr>
        <w:pStyle w:val="Textonotapie"/>
        <w:jc w:val="both"/>
        <w:rPr>
          <w:rFonts w:asciiTheme="majorBidi" w:hAnsiTheme="majorBidi" w:cstheme="majorBidi"/>
          <w:lang w:val="fr-FR"/>
        </w:rPr>
      </w:pPr>
      <w:r w:rsidRPr="00BE720D">
        <w:rPr>
          <w:rStyle w:val="Refdenotaalpie"/>
          <w:rFonts w:asciiTheme="majorBidi" w:hAnsiTheme="majorBidi" w:cstheme="majorBidi"/>
          <w:sz w:val="20"/>
        </w:rPr>
        <w:footnoteRef/>
      </w:r>
      <w:r w:rsidR="007E480B" w:rsidRPr="00846127">
        <w:rPr>
          <w:rFonts w:asciiTheme="majorBidi" w:hAnsiTheme="majorBidi" w:cstheme="majorBidi"/>
          <w:lang w:val="fr-FR"/>
        </w:rPr>
        <w:t xml:space="preserve"> </w:t>
      </w:r>
      <w:r w:rsidR="00846127" w:rsidRPr="00846127">
        <w:rPr>
          <w:rFonts w:asciiTheme="majorBidi" w:hAnsiTheme="majorBidi" w:cstheme="majorBidi"/>
          <w:lang w:val="fr-FR"/>
        </w:rPr>
        <w:t>Vé</w:t>
      </w:r>
      <w:r w:rsidR="00846127">
        <w:rPr>
          <w:rFonts w:asciiTheme="majorBidi" w:hAnsiTheme="majorBidi" w:cstheme="majorBidi"/>
          <w:lang w:val="fr-FR"/>
        </w:rPr>
        <w:t>ase :</w:t>
      </w:r>
      <w:r w:rsidR="003E22A5" w:rsidRPr="00846127">
        <w:rPr>
          <w:rFonts w:asciiTheme="majorBidi" w:hAnsiTheme="majorBidi" w:cstheme="majorBidi"/>
          <w:lang w:val="fr-FR"/>
        </w:rPr>
        <w:t xml:space="preserve"> </w:t>
      </w:r>
      <w:hyperlink r:id="rId50" w:anchor=":~:text=Falta%20de%20vivienda%2C%20indigencia%20y,minor%C3%ADas%20y%20los%20pueblos%20ind%C3%ADgenas" w:history="1">
        <w:r w:rsidR="003E22A5" w:rsidRPr="00846127">
          <w:rPr>
            <w:rStyle w:val="Hipervnculo"/>
            <w:rFonts w:asciiTheme="majorBidi" w:hAnsiTheme="majorBidi" w:cstheme="majorBidi"/>
            <w:lang w:val="fr-FR"/>
          </w:rPr>
          <w:t>https://www.ohchr.org/en/special-procedures/sr-housing/forced-evictions#:~:text=Falta%20de%20vivienda%2C%20indigencia%20y,minor%C3%ADas%20y%20los%20pueblos%20ind%C3%ADgenas</w:t>
        </w:r>
      </w:hyperlink>
      <w:r w:rsidR="003E22A5" w:rsidRPr="00846127">
        <w:rPr>
          <w:rFonts w:asciiTheme="majorBidi" w:hAnsiTheme="majorBidi" w:cstheme="majorBidi"/>
          <w:lang w:val="fr-FR"/>
        </w:rPr>
        <w:t xml:space="preserve">. </w:t>
      </w:r>
    </w:p>
  </w:footnote>
  <w:footnote w:id="84">
    <w:p w14:paraId="0B43EDCB" w14:textId="6AB808A8" w:rsidR="00EE3F93" w:rsidRPr="00846127" w:rsidRDefault="00EE3F93" w:rsidP="00013274">
      <w:pPr>
        <w:pStyle w:val="Textonotapie"/>
        <w:jc w:val="both"/>
        <w:rPr>
          <w:rFonts w:asciiTheme="majorBidi" w:hAnsiTheme="majorBidi" w:cstheme="majorBidi"/>
          <w:color w:val="000000" w:themeColor="text1"/>
          <w:lang w:val="fr-FR"/>
        </w:rPr>
      </w:pPr>
      <w:r w:rsidRPr="00BE720D">
        <w:rPr>
          <w:rStyle w:val="Caracteresdenotaalpie"/>
          <w:rFonts w:asciiTheme="majorBidi" w:hAnsiTheme="majorBidi" w:cstheme="majorBidi"/>
          <w:color w:val="000000" w:themeColor="text1"/>
        </w:rPr>
        <w:footnoteRef/>
      </w:r>
      <w:r w:rsidRPr="00BE720D">
        <w:rPr>
          <w:rFonts w:asciiTheme="majorBidi" w:hAnsiTheme="majorBidi" w:cstheme="majorBidi"/>
          <w:color w:val="000000" w:themeColor="text1"/>
          <w:lang w:val="es-GT"/>
        </w:rPr>
        <w:tab/>
        <w:t xml:space="preserve"> </w:t>
      </w:r>
      <w:r w:rsidRPr="00BE720D">
        <w:rPr>
          <w:rStyle w:val="Fuentedeprrafopredeter1"/>
          <w:rFonts w:asciiTheme="majorBidi" w:eastAsiaTheme="majorEastAsia" w:hAnsiTheme="majorBidi" w:cstheme="majorBidi"/>
          <w:color w:val="000000" w:themeColor="text1"/>
          <w:lang w:val="es-ES"/>
        </w:rPr>
        <w:t xml:space="preserve">Ver texto íntegro de la propuesta alternativa. </w:t>
      </w:r>
      <w:proofErr w:type="gramStart"/>
      <w:r w:rsidR="00846127" w:rsidRPr="00846127">
        <w:rPr>
          <w:rFonts w:asciiTheme="majorBidi" w:hAnsiTheme="majorBidi" w:cstheme="majorBidi"/>
          <w:lang w:val="fr-FR"/>
        </w:rPr>
        <w:t>Vé</w:t>
      </w:r>
      <w:r w:rsidR="00846127">
        <w:rPr>
          <w:rFonts w:asciiTheme="majorBidi" w:hAnsiTheme="majorBidi" w:cstheme="majorBidi"/>
          <w:lang w:val="fr-FR"/>
        </w:rPr>
        <w:t>ase :</w:t>
      </w:r>
      <w:r w:rsidRPr="00846127">
        <w:rPr>
          <w:rStyle w:val="Fuentedeprrafopredeter1"/>
          <w:rFonts w:asciiTheme="majorBidi" w:eastAsiaTheme="majorEastAsia" w:hAnsiTheme="majorBidi" w:cstheme="majorBidi"/>
          <w:color w:val="000000" w:themeColor="text1"/>
          <w:lang w:val="fr-FR"/>
        </w:rPr>
        <w:t>:</w:t>
      </w:r>
      <w:proofErr w:type="gramEnd"/>
      <w:r w:rsidRPr="00846127">
        <w:rPr>
          <w:rStyle w:val="Fuentedeprrafopredeter1"/>
          <w:rFonts w:asciiTheme="majorBidi" w:eastAsiaTheme="majorEastAsia" w:hAnsiTheme="majorBidi" w:cstheme="majorBidi"/>
          <w:color w:val="000000" w:themeColor="text1"/>
          <w:lang w:val="fr-FR"/>
        </w:rPr>
        <w:t xml:space="preserve">  </w:t>
      </w:r>
      <w:hyperlink r:id="rId51" w:anchor="_blank" w:history="1">
        <w:r w:rsidRPr="00846127">
          <w:rPr>
            <w:rStyle w:val="Hipervnculo"/>
            <w:rFonts w:asciiTheme="majorBidi" w:hAnsiTheme="majorBidi" w:cstheme="majorBidi"/>
            <w:color w:val="000000" w:themeColor="text1"/>
            <w:lang w:val="fr-FR"/>
          </w:rPr>
          <w:t>https://prensacomunitaria.org/2016/10/por-que-las-comunidades-asentadas-en-la-laguna-del-tigre-y-sierra-lacandon-construyeron-una-propuesta-alternativa-de-desarrollo/</w:t>
        </w:r>
      </w:hyperlink>
    </w:p>
  </w:footnote>
  <w:footnote w:id="85">
    <w:p w14:paraId="41EFD036" w14:textId="77777777" w:rsidR="000276AD" w:rsidRPr="00BE720D" w:rsidRDefault="000276AD" w:rsidP="00013274">
      <w:pPr>
        <w:pStyle w:val="Textonotapie"/>
        <w:jc w:val="both"/>
        <w:rPr>
          <w:rFonts w:asciiTheme="majorBidi" w:hAnsiTheme="majorBidi" w:cstheme="majorBidi"/>
          <w:color w:val="000000" w:themeColor="text1"/>
          <w:lang w:val="es-GT"/>
        </w:rPr>
      </w:pPr>
      <w:r w:rsidRPr="00BE720D">
        <w:rPr>
          <w:rStyle w:val="Caracteresdenotaalpie"/>
          <w:rFonts w:asciiTheme="majorBidi" w:hAnsiTheme="majorBidi" w:cstheme="majorBidi"/>
          <w:color w:val="000000" w:themeColor="text1"/>
        </w:rPr>
        <w:footnoteRef/>
      </w:r>
      <w:r w:rsidRPr="00BE720D">
        <w:rPr>
          <w:rFonts w:asciiTheme="majorBidi" w:hAnsiTheme="majorBidi" w:cstheme="majorBidi"/>
          <w:color w:val="000000" w:themeColor="text1"/>
          <w:lang w:val="es-GT"/>
        </w:rPr>
        <w:tab/>
        <w:t xml:space="preserve"> </w:t>
      </w:r>
      <w:r w:rsidRPr="00BE720D">
        <w:rPr>
          <w:rStyle w:val="Fuentedeprrafopredeter1"/>
          <w:rFonts w:asciiTheme="majorBidi" w:eastAsiaTheme="majorEastAsia" w:hAnsiTheme="majorBidi" w:cstheme="majorBidi"/>
          <w:color w:val="000000" w:themeColor="text1"/>
          <w:lang w:val="es-ES"/>
        </w:rPr>
        <w:t xml:space="preserve">CERD. Observación General No. 23. Disponible en: </w:t>
      </w:r>
      <w:hyperlink r:id="rId52" w:anchor="_blank" w:history="1">
        <w:r w:rsidRPr="00BE720D">
          <w:rPr>
            <w:rStyle w:val="Hipervnculo"/>
            <w:rFonts w:asciiTheme="majorBidi" w:hAnsiTheme="majorBidi" w:cstheme="majorBidi"/>
            <w:color w:val="000000" w:themeColor="text1"/>
            <w:lang w:val="es-ES"/>
          </w:rPr>
          <w:t>https://www.refworld.org/es/leg/coment/cerd/1997/es/130362</w:t>
        </w:r>
      </w:hyperlink>
    </w:p>
  </w:footnote>
  <w:footnote w:id="86">
    <w:p w14:paraId="5F0E0B33" w14:textId="77777777" w:rsidR="00C46B5A" w:rsidRPr="00BE720D" w:rsidRDefault="00C46B5A" w:rsidP="00013274">
      <w:pPr>
        <w:spacing w:after="0" w:line="240" w:lineRule="auto"/>
        <w:jc w:val="both"/>
        <w:rPr>
          <w:rFonts w:asciiTheme="majorBidi" w:hAnsiTheme="majorBidi" w:cstheme="majorBidi"/>
          <w:sz w:val="20"/>
          <w:szCs w:val="20"/>
        </w:rPr>
      </w:pPr>
      <w:r w:rsidRPr="00BE720D">
        <w:rPr>
          <w:rStyle w:val="Refdenotaalpie"/>
          <w:rFonts w:asciiTheme="majorBidi" w:eastAsia="Times New Roman" w:hAnsiTheme="majorBidi" w:cstheme="majorBidi"/>
          <w:kern w:val="0"/>
          <w:sz w:val="20"/>
          <w:szCs w:val="20"/>
          <w:lang w:val="en-US" w:eastAsia="en-US"/>
          <w14:ligatures w14:val="none"/>
        </w:rPr>
        <w:footnoteRef/>
      </w:r>
      <w:r w:rsidRPr="00BE720D">
        <w:rPr>
          <w:rStyle w:val="Refdenotaalpie"/>
          <w:rFonts w:asciiTheme="majorBidi" w:eastAsia="Times New Roman" w:hAnsiTheme="majorBidi" w:cstheme="majorBidi"/>
          <w:kern w:val="0"/>
          <w:sz w:val="20"/>
          <w:szCs w:val="20"/>
          <w:lang w:eastAsia="en-US"/>
          <w14:ligatures w14:val="none"/>
        </w:rPr>
        <w:t xml:space="preserve"> </w:t>
      </w:r>
      <w:r w:rsidRPr="00BE720D">
        <w:rPr>
          <w:rFonts w:asciiTheme="majorBidi" w:hAnsiTheme="majorBidi" w:cstheme="majorBidi"/>
          <w:sz w:val="20"/>
          <w:szCs w:val="20"/>
        </w:rPr>
        <w:t>MEM. Plan de Expansión Indicativo del Sistema de Generación 2024 -2054</w:t>
      </w:r>
    </w:p>
  </w:footnote>
  <w:footnote w:id="87">
    <w:p w14:paraId="1BACE351" w14:textId="77777777" w:rsidR="00F27949" w:rsidRPr="00BE720D" w:rsidRDefault="00F27949" w:rsidP="00013274">
      <w:pPr>
        <w:pStyle w:val="Textonotapie"/>
        <w:jc w:val="both"/>
        <w:rPr>
          <w:rFonts w:asciiTheme="majorBidi" w:hAnsiTheme="majorBidi" w:cstheme="majorBidi"/>
          <w:lang w:val="es-MX"/>
        </w:rPr>
      </w:pPr>
      <w:r w:rsidRPr="00BE720D">
        <w:rPr>
          <w:rStyle w:val="Refdenotaalpie"/>
          <w:rFonts w:asciiTheme="majorBidi" w:hAnsiTheme="majorBidi" w:cstheme="majorBidi"/>
          <w:sz w:val="20"/>
        </w:rPr>
        <w:footnoteRef/>
      </w:r>
      <w:r w:rsidRPr="00BE720D">
        <w:rPr>
          <w:rFonts w:asciiTheme="majorBidi" w:hAnsiTheme="majorBidi" w:cstheme="majorBidi"/>
          <w:lang w:val="es-GT"/>
        </w:rPr>
        <w:t xml:space="preserve"> </w:t>
      </w:r>
      <w:r w:rsidRPr="00BE720D">
        <w:rPr>
          <w:rFonts w:asciiTheme="majorBidi" w:hAnsiTheme="majorBidi" w:cstheme="majorBidi"/>
          <w:lang w:val="es-MX"/>
        </w:rPr>
        <w:t xml:space="preserve">Ver publicación: </w:t>
      </w:r>
      <w:hyperlink r:id="rId53" w:history="1">
        <w:r w:rsidRPr="00BE720D">
          <w:rPr>
            <w:rStyle w:val="Hipervnculo"/>
            <w:rFonts w:asciiTheme="majorBidi" w:hAnsiTheme="majorBidi" w:cstheme="majorBidi"/>
            <w:lang w:val="es-MX"/>
          </w:rPr>
          <w:t>https://www.amnesty.org/es/latest/news/2022/03/guatemala-bernardo-caal-xol-should-never-have-spent-a-day-in-prison/</w:t>
        </w:r>
      </w:hyperlink>
      <w:r w:rsidRPr="00BE720D">
        <w:rPr>
          <w:rFonts w:asciiTheme="majorBidi" w:hAnsiTheme="majorBidi" w:cstheme="majorBidi"/>
          <w:lang w:val="es-MX"/>
        </w:rPr>
        <w:t xml:space="preserve"> </w:t>
      </w:r>
    </w:p>
  </w:footnote>
  <w:footnote w:id="88">
    <w:p w14:paraId="57958303" w14:textId="0B9BCF9C" w:rsidR="001E7EE1" w:rsidRPr="00BE720D" w:rsidRDefault="001E7EE1" w:rsidP="00013274">
      <w:pPr>
        <w:pStyle w:val="Textonotapie"/>
        <w:jc w:val="both"/>
        <w:rPr>
          <w:rFonts w:asciiTheme="majorBidi" w:hAnsiTheme="majorBidi" w:cstheme="majorBidi"/>
          <w:lang w:val="es-GT"/>
        </w:rPr>
      </w:pPr>
      <w:r w:rsidRPr="00BE720D">
        <w:rPr>
          <w:rStyle w:val="Refdenotaalpie"/>
          <w:rFonts w:asciiTheme="majorBidi" w:hAnsiTheme="majorBidi" w:cstheme="majorBidi"/>
          <w:sz w:val="20"/>
        </w:rPr>
        <w:footnoteRef/>
      </w:r>
      <w:r w:rsidRPr="00BE720D">
        <w:rPr>
          <w:rFonts w:asciiTheme="majorBidi" w:hAnsiTheme="majorBidi" w:cstheme="majorBidi"/>
          <w:lang w:val="es-GT"/>
        </w:rPr>
        <w:t xml:space="preserve"> Comunicación al Estado de Guatemala</w:t>
      </w:r>
      <w:r w:rsidR="007A6C7C" w:rsidRPr="00BE720D">
        <w:rPr>
          <w:rFonts w:asciiTheme="majorBidi" w:hAnsiTheme="majorBidi" w:cstheme="majorBidi"/>
          <w:lang w:val="es-GT"/>
        </w:rPr>
        <w:t xml:space="preserve">, 17 de diciembre 2018: </w:t>
      </w:r>
      <w:hyperlink r:id="rId54" w:history="1">
        <w:r w:rsidR="007A6C7C" w:rsidRPr="00BE720D">
          <w:rPr>
            <w:rStyle w:val="Hipervnculo"/>
            <w:rFonts w:asciiTheme="majorBidi" w:hAnsiTheme="majorBidi" w:cstheme="majorBidi"/>
            <w:lang w:val="es-GT"/>
          </w:rPr>
          <w:t>https://spcommreports.ohchr.org/TMResultsBase/DownLoadPublicCommunicationFile?gId=24260</w:t>
        </w:r>
      </w:hyperlink>
      <w:r w:rsidR="007A6C7C" w:rsidRPr="00BE720D">
        <w:rPr>
          <w:rFonts w:asciiTheme="majorBidi" w:hAnsiTheme="majorBidi" w:cstheme="majorBidi"/>
          <w:lang w:val="es-GT"/>
        </w:rPr>
        <w:t xml:space="preserve"> </w:t>
      </w:r>
    </w:p>
  </w:footnote>
  <w:footnote w:id="89">
    <w:p w14:paraId="4F096B4D" w14:textId="3D2910C9" w:rsidR="00BA1400" w:rsidRPr="00BE720D" w:rsidRDefault="00BA1400" w:rsidP="00013274">
      <w:pPr>
        <w:pStyle w:val="Textonotapie"/>
        <w:jc w:val="both"/>
        <w:rPr>
          <w:rFonts w:asciiTheme="majorBidi" w:hAnsiTheme="majorBidi" w:cstheme="majorBidi"/>
          <w:lang w:val="es-GT"/>
        </w:rPr>
      </w:pPr>
      <w:r w:rsidRPr="00BE720D">
        <w:rPr>
          <w:rStyle w:val="Refdenotaalpie"/>
          <w:rFonts w:asciiTheme="majorBidi" w:hAnsiTheme="majorBidi" w:cstheme="majorBidi"/>
          <w:sz w:val="20"/>
        </w:rPr>
        <w:footnoteRef/>
      </w:r>
      <w:r w:rsidRPr="00BE720D">
        <w:rPr>
          <w:rFonts w:asciiTheme="majorBidi" w:hAnsiTheme="majorBidi" w:cstheme="majorBidi"/>
          <w:lang w:val="es-GT"/>
        </w:rPr>
        <w:t xml:space="preserve"> Comunicación al Estado de Guatema</w:t>
      </w:r>
      <w:r w:rsidR="00554DB9" w:rsidRPr="00BE720D">
        <w:rPr>
          <w:rFonts w:asciiTheme="majorBidi" w:hAnsiTheme="majorBidi" w:cstheme="majorBidi"/>
          <w:lang w:val="es-GT"/>
        </w:rPr>
        <w:t xml:space="preserve">la, 21 de junio 2021: </w:t>
      </w:r>
      <w:hyperlink r:id="rId55" w:history="1">
        <w:r w:rsidR="00554DB9" w:rsidRPr="00BE720D">
          <w:rPr>
            <w:rStyle w:val="Hipervnculo"/>
            <w:rFonts w:asciiTheme="majorBidi" w:hAnsiTheme="majorBidi" w:cstheme="majorBidi"/>
            <w:lang w:val="es-GT"/>
          </w:rPr>
          <w:t>https://spcommreports.ohchr.org/TMResultsBase/DownLoadPublicCommunicationFile?gId=26479</w:t>
        </w:r>
      </w:hyperlink>
      <w:r w:rsidR="00554DB9" w:rsidRPr="00BE720D">
        <w:rPr>
          <w:rFonts w:asciiTheme="majorBidi" w:hAnsiTheme="majorBidi" w:cstheme="majorBidi"/>
          <w:lang w:val="es-GT"/>
        </w:rPr>
        <w:t xml:space="preserve"> </w:t>
      </w:r>
    </w:p>
  </w:footnote>
  <w:footnote w:id="90">
    <w:p w14:paraId="3159ADF7" w14:textId="2564EC04" w:rsidR="00971BDA" w:rsidRPr="00BE720D" w:rsidRDefault="00971BDA" w:rsidP="00013274">
      <w:pPr>
        <w:pStyle w:val="Textonotapie"/>
        <w:jc w:val="both"/>
        <w:rPr>
          <w:rFonts w:asciiTheme="majorBidi" w:hAnsiTheme="majorBidi" w:cstheme="majorBidi"/>
          <w:lang w:val="es-GT"/>
        </w:rPr>
      </w:pPr>
      <w:r w:rsidRPr="00BE720D">
        <w:rPr>
          <w:rStyle w:val="Refdenotaalpie"/>
          <w:rFonts w:asciiTheme="majorBidi" w:hAnsiTheme="majorBidi" w:cstheme="majorBidi"/>
          <w:sz w:val="20"/>
        </w:rPr>
        <w:footnoteRef/>
      </w:r>
      <w:r w:rsidRPr="00BE720D">
        <w:rPr>
          <w:rFonts w:asciiTheme="majorBidi" w:hAnsiTheme="majorBidi" w:cstheme="majorBidi"/>
          <w:lang w:val="es-GT"/>
        </w:rPr>
        <w:t xml:space="preserve"> Ver publicación en Facebook: </w:t>
      </w:r>
      <w:hyperlink r:id="rId56" w:history="1">
        <w:r w:rsidRPr="00BE720D">
          <w:rPr>
            <w:rStyle w:val="Hipervnculo"/>
            <w:rFonts w:asciiTheme="majorBidi" w:hAnsiTheme="majorBidi" w:cstheme="majorBidi"/>
            <w:lang w:val="es-GT"/>
          </w:rPr>
          <w:t>http://facebook.com/permalink.php?story_fbid=122203442900106222&amp;id=61553186685709</w:t>
        </w:r>
      </w:hyperlink>
      <w:r w:rsidRPr="00BE720D">
        <w:rPr>
          <w:rFonts w:asciiTheme="majorBidi" w:hAnsiTheme="majorBidi" w:cstheme="majorBidi"/>
          <w:lang w:val="es-GT"/>
        </w:rPr>
        <w:t xml:space="preserve"> </w:t>
      </w:r>
    </w:p>
    <w:p w14:paraId="2618DC45" w14:textId="15D302FE" w:rsidR="006B68E7" w:rsidRPr="00BE720D" w:rsidRDefault="006B68E7" w:rsidP="00013274">
      <w:pPr>
        <w:pStyle w:val="Textonotapie"/>
        <w:jc w:val="both"/>
        <w:rPr>
          <w:rFonts w:asciiTheme="majorBidi" w:hAnsiTheme="majorBidi" w:cstheme="majorBidi"/>
          <w:lang w:val="es-GT"/>
        </w:rPr>
      </w:pPr>
      <w:hyperlink r:id="rId57" w:history="1">
        <w:r w:rsidRPr="00BE720D">
          <w:rPr>
            <w:rStyle w:val="Hipervnculo"/>
            <w:rFonts w:asciiTheme="majorBidi" w:hAnsiTheme="majorBidi" w:cstheme="majorBidi"/>
            <w:lang w:val="es-GT"/>
          </w:rPr>
          <w:t>https://www.facebook.com/permalink.php?story_fbid=548228468309973&amp;id=100093684734459</w:t>
        </w:r>
      </w:hyperlink>
      <w:r w:rsidRPr="00BE720D">
        <w:rPr>
          <w:rFonts w:asciiTheme="majorBidi" w:hAnsiTheme="majorBidi" w:cstheme="majorBidi"/>
          <w:lang w:val="es-GT"/>
        </w:rPr>
        <w:t xml:space="preserve"> </w:t>
      </w:r>
    </w:p>
  </w:footnote>
  <w:footnote w:id="91">
    <w:p w14:paraId="4F347FFA" w14:textId="691323DF" w:rsidR="00C24D98" w:rsidRPr="00BE720D" w:rsidRDefault="00C24D98" w:rsidP="00013274">
      <w:pPr>
        <w:pStyle w:val="Textonotapie"/>
        <w:jc w:val="both"/>
        <w:rPr>
          <w:rFonts w:asciiTheme="majorBidi" w:hAnsiTheme="majorBidi" w:cstheme="majorBidi"/>
          <w:lang w:val="es-ES"/>
        </w:rPr>
      </w:pPr>
      <w:r w:rsidRPr="00BE720D">
        <w:rPr>
          <w:rStyle w:val="Refdenotaalpie"/>
          <w:rFonts w:asciiTheme="majorBidi" w:hAnsiTheme="majorBidi" w:cstheme="majorBidi"/>
          <w:sz w:val="20"/>
        </w:rPr>
        <w:footnoteRef/>
      </w:r>
      <w:r w:rsidRPr="00BE720D">
        <w:rPr>
          <w:rFonts w:asciiTheme="majorBidi" w:hAnsiTheme="majorBidi" w:cstheme="majorBidi"/>
          <w:lang w:val="es-ES"/>
        </w:rPr>
        <w:t xml:space="preserve"> </w:t>
      </w:r>
      <w:r w:rsidR="00427FE1" w:rsidRPr="00BE720D">
        <w:rPr>
          <w:rFonts w:asciiTheme="majorBidi" w:hAnsiTheme="majorBidi" w:cstheme="majorBidi"/>
          <w:lang w:val="es-ES"/>
        </w:rPr>
        <w:t>MSPAS/SESAN Informe de situación epidemiológica</w:t>
      </w:r>
      <w:r w:rsidR="0020778D" w:rsidRPr="00BE720D">
        <w:rPr>
          <w:rFonts w:asciiTheme="majorBidi" w:hAnsiTheme="majorBidi" w:cstheme="majorBidi"/>
          <w:lang w:val="es-ES"/>
        </w:rPr>
        <w:t xml:space="preserve"> de desnutrición aguda en menores de 5 años. Disponible en </w:t>
      </w:r>
      <w:hyperlink r:id="rId58" w:history="1">
        <w:r w:rsidR="0020778D" w:rsidRPr="00BE720D">
          <w:rPr>
            <w:rStyle w:val="Hipervnculo"/>
            <w:rFonts w:asciiTheme="majorBidi" w:hAnsiTheme="majorBidi" w:cstheme="majorBidi"/>
            <w:lang w:val="es-ES"/>
          </w:rPr>
          <w:t>https://portal.siinsan.gob.gt/desnutricion-aguda/</w:t>
        </w:r>
      </w:hyperlink>
      <w:r w:rsidR="0020778D" w:rsidRPr="00BE720D">
        <w:rPr>
          <w:rFonts w:asciiTheme="majorBidi" w:hAnsiTheme="majorBidi" w:cstheme="majorBidi"/>
          <w:lang w:val="es-ES"/>
        </w:rPr>
        <w:t xml:space="preserve"> </w:t>
      </w:r>
    </w:p>
  </w:footnote>
  <w:footnote w:id="92">
    <w:p w14:paraId="36F1640B" w14:textId="60B3BA9E" w:rsidR="001036D9" w:rsidRPr="00BE720D" w:rsidRDefault="001036D9" w:rsidP="00013274">
      <w:pPr>
        <w:pStyle w:val="Textonotapie"/>
        <w:jc w:val="both"/>
        <w:rPr>
          <w:rFonts w:asciiTheme="majorBidi" w:hAnsiTheme="majorBidi" w:cstheme="majorBidi"/>
          <w:lang w:val="en-GB"/>
        </w:rPr>
      </w:pPr>
      <w:r w:rsidRPr="00BE720D">
        <w:rPr>
          <w:rStyle w:val="Refdenotaalpie"/>
          <w:rFonts w:asciiTheme="majorBidi" w:hAnsiTheme="majorBidi" w:cstheme="majorBidi"/>
          <w:sz w:val="20"/>
        </w:rPr>
        <w:footnoteRef/>
      </w:r>
      <w:r w:rsidRPr="00BE720D">
        <w:rPr>
          <w:rFonts w:asciiTheme="majorBidi" w:hAnsiTheme="majorBidi" w:cstheme="majorBidi"/>
          <w:lang w:val="es-ES"/>
        </w:rPr>
        <w:t xml:space="preserve"> MSPAS/SESAN Quinto censo nacional de talla. </w:t>
      </w:r>
      <w:r w:rsidRPr="00BE720D">
        <w:rPr>
          <w:rFonts w:asciiTheme="majorBidi" w:hAnsiTheme="majorBidi" w:cstheme="majorBidi"/>
          <w:lang w:val="en-GB"/>
        </w:rPr>
        <w:t xml:space="preserve">Disponible en </w:t>
      </w:r>
      <w:hyperlink r:id="rId59" w:history="1">
        <w:r w:rsidRPr="00BE720D">
          <w:rPr>
            <w:rStyle w:val="Hipervnculo"/>
            <w:rFonts w:asciiTheme="majorBidi" w:hAnsiTheme="majorBidi" w:cstheme="majorBidi"/>
            <w:lang w:val="en-GB"/>
          </w:rPr>
          <w:t>https://portal.siinsan.gob.gt/wp-content/uploads/Presentacion-Quinto-Censo__13mayo2025_v9.0_rev.pdf</w:t>
        </w:r>
      </w:hyperlink>
      <w:r w:rsidRPr="00BE720D">
        <w:rPr>
          <w:rFonts w:asciiTheme="majorBidi" w:hAnsiTheme="majorBidi" w:cstheme="majorBidi"/>
          <w:lang w:val="en-GB"/>
        </w:rPr>
        <w:t xml:space="preserve"> </w:t>
      </w:r>
    </w:p>
  </w:footnote>
  <w:footnote w:id="93">
    <w:p w14:paraId="3531AD3C" w14:textId="18CB1F62" w:rsidR="00225F7A" w:rsidRPr="00BE720D" w:rsidRDefault="00225F7A" w:rsidP="00013274">
      <w:pPr>
        <w:pStyle w:val="Textonotapie"/>
        <w:jc w:val="both"/>
        <w:rPr>
          <w:rFonts w:asciiTheme="majorBidi" w:hAnsiTheme="majorBidi" w:cstheme="majorBidi"/>
          <w:lang w:val="en-GB"/>
        </w:rPr>
      </w:pPr>
      <w:r w:rsidRPr="00BE720D">
        <w:rPr>
          <w:rStyle w:val="Refdenotaalpie"/>
          <w:rFonts w:asciiTheme="majorBidi" w:hAnsiTheme="majorBidi" w:cstheme="majorBidi"/>
          <w:sz w:val="20"/>
        </w:rPr>
        <w:footnoteRef/>
      </w:r>
      <w:r w:rsidRPr="00BE720D">
        <w:rPr>
          <w:rFonts w:asciiTheme="majorBidi" w:hAnsiTheme="majorBidi" w:cstheme="majorBidi"/>
          <w:lang w:val="en-GB"/>
        </w:rPr>
        <w:t xml:space="preserve"> Idem, pág.23</w:t>
      </w:r>
    </w:p>
  </w:footnote>
  <w:footnote w:id="94">
    <w:p w14:paraId="263C76CE" w14:textId="77777777" w:rsidR="00296E20" w:rsidRPr="00BE720D" w:rsidRDefault="00296E20" w:rsidP="00013274">
      <w:pPr>
        <w:pStyle w:val="Textonotapie"/>
        <w:jc w:val="both"/>
        <w:rPr>
          <w:rFonts w:asciiTheme="majorBidi" w:hAnsiTheme="majorBidi" w:cstheme="majorBidi"/>
          <w:color w:val="000000" w:themeColor="text1"/>
          <w:lang w:val="en-GB"/>
        </w:rPr>
      </w:pPr>
      <w:r w:rsidRPr="00BE720D">
        <w:rPr>
          <w:rStyle w:val="Refdenotaalpie"/>
          <w:rFonts w:asciiTheme="majorBidi" w:eastAsiaTheme="majorEastAsia" w:hAnsiTheme="majorBidi" w:cstheme="majorBidi"/>
          <w:color w:val="000000" w:themeColor="text1"/>
          <w:sz w:val="20"/>
        </w:rPr>
        <w:footnoteRef/>
      </w:r>
      <w:r w:rsidRPr="00BE720D">
        <w:rPr>
          <w:rFonts w:asciiTheme="majorBidi" w:hAnsiTheme="majorBidi" w:cstheme="majorBidi"/>
          <w:color w:val="000000" w:themeColor="text1"/>
          <w:lang w:val="en-GB"/>
        </w:rPr>
        <w:t xml:space="preserve"> Human Rights Watch (2025) Informe Mundial 2025: Guatemala </w:t>
      </w:r>
      <w:hyperlink r:id="rId60" w:history="1">
        <w:r w:rsidRPr="00BE720D">
          <w:rPr>
            <w:rStyle w:val="Hipervnculo"/>
            <w:rFonts w:asciiTheme="majorBidi" w:hAnsiTheme="majorBidi" w:cstheme="majorBidi"/>
            <w:color w:val="000000" w:themeColor="text1"/>
            <w:lang w:val="en-GB"/>
          </w:rPr>
          <w:t>https://www.hrw.org/es/world-report/2025/country-chapters/guatemala</w:t>
        </w:r>
      </w:hyperlink>
      <w:r w:rsidRPr="00BE720D">
        <w:rPr>
          <w:rFonts w:asciiTheme="majorBidi" w:hAnsiTheme="majorBidi" w:cstheme="majorBidi"/>
          <w:color w:val="000000" w:themeColor="text1"/>
          <w:lang w:val="en-GB"/>
        </w:rPr>
        <w:t xml:space="preserve"> </w:t>
      </w:r>
    </w:p>
  </w:footnote>
  <w:footnote w:id="95">
    <w:p w14:paraId="5F0CECE9" w14:textId="77777777" w:rsidR="00C870F1" w:rsidRPr="00BE720D" w:rsidRDefault="00C870F1" w:rsidP="00013274">
      <w:pPr>
        <w:pStyle w:val="Textonotapie"/>
        <w:jc w:val="both"/>
        <w:rPr>
          <w:rFonts w:asciiTheme="majorBidi" w:hAnsiTheme="majorBidi" w:cstheme="majorBidi"/>
          <w:color w:val="000000" w:themeColor="text1"/>
          <w:lang w:val="es-ES"/>
        </w:rPr>
      </w:pPr>
      <w:r w:rsidRPr="00BE720D">
        <w:rPr>
          <w:rStyle w:val="Refdenotaalpie"/>
          <w:rFonts w:asciiTheme="majorBidi" w:hAnsiTheme="majorBidi" w:cstheme="majorBidi"/>
          <w:color w:val="000000" w:themeColor="text1"/>
          <w:sz w:val="20"/>
        </w:rPr>
        <w:footnoteRef/>
      </w:r>
      <w:r w:rsidRPr="00BE720D">
        <w:rPr>
          <w:rFonts w:asciiTheme="majorBidi" w:hAnsiTheme="majorBidi" w:cstheme="majorBidi"/>
          <w:color w:val="000000" w:themeColor="text1"/>
          <w:lang w:val="es-ES"/>
        </w:rPr>
        <w:t xml:space="preserve"> SNU (2022) Nuestras voces por nuestros derechos. Pp.310 Disponible en    </w:t>
      </w:r>
      <w:hyperlink r:id="rId61" w:history="1">
        <w:r w:rsidRPr="00BE720D">
          <w:rPr>
            <w:rStyle w:val="Hipervnculo"/>
            <w:rFonts w:asciiTheme="majorBidi" w:hAnsiTheme="majorBidi" w:cstheme="majorBidi"/>
            <w:color w:val="000000" w:themeColor="text1"/>
            <w:lang w:val="es-ES"/>
          </w:rPr>
          <w:t>https://guatemala.unfpa.org/sites/default/files/pub-pdf/2024-08/final_nuestras_voces_por_nuestros_derechos_completo_web.pdf</w:t>
        </w:r>
      </w:hyperlink>
      <w:r w:rsidRPr="00BE720D">
        <w:rPr>
          <w:rFonts w:asciiTheme="majorBidi" w:hAnsiTheme="majorBidi" w:cstheme="majorBidi"/>
          <w:color w:val="000000" w:themeColor="text1"/>
          <w:lang w:val="es-ES"/>
        </w:rPr>
        <w:t xml:space="preserve"> </w:t>
      </w:r>
    </w:p>
  </w:footnote>
  <w:footnote w:id="96">
    <w:p w14:paraId="0DE9A221" w14:textId="77777777" w:rsidR="00C870F1" w:rsidRPr="00BE720D" w:rsidRDefault="00C870F1" w:rsidP="00013274">
      <w:pPr>
        <w:pStyle w:val="Textonotapie"/>
        <w:jc w:val="both"/>
        <w:rPr>
          <w:rFonts w:asciiTheme="majorBidi" w:hAnsiTheme="majorBidi" w:cstheme="majorBidi"/>
          <w:color w:val="000000" w:themeColor="text1"/>
          <w:lang w:val="es-ES"/>
        </w:rPr>
      </w:pPr>
      <w:r w:rsidRPr="00BE720D">
        <w:rPr>
          <w:rStyle w:val="Refdenotaalpie"/>
          <w:rFonts w:asciiTheme="majorBidi" w:eastAsiaTheme="majorEastAsia" w:hAnsiTheme="majorBidi" w:cstheme="majorBidi"/>
          <w:color w:val="000000" w:themeColor="text1"/>
          <w:sz w:val="20"/>
        </w:rPr>
        <w:footnoteRef/>
      </w:r>
      <w:r w:rsidRPr="00BE720D">
        <w:rPr>
          <w:rFonts w:asciiTheme="majorBidi" w:hAnsiTheme="majorBidi" w:cstheme="majorBidi"/>
          <w:color w:val="000000" w:themeColor="text1"/>
          <w:lang w:val="es-ES"/>
        </w:rPr>
        <w:t xml:space="preserve"> CEPAL (2018) Educación intercultural bilingüe y enfoque de interculturalidad en los sistemas educativos latinoamericanos Disponible en </w:t>
      </w:r>
      <w:hyperlink r:id="rId62" w:history="1">
        <w:r w:rsidRPr="00BE720D">
          <w:rPr>
            <w:rStyle w:val="Hipervnculo"/>
            <w:rFonts w:asciiTheme="majorBidi" w:eastAsiaTheme="majorEastAsia" w:hAnsiTheme="majorBidi" w:cstheme="majorBidi"/>
            <w:color w:val="000000" w:themeColor="text1"/>
            <w:lang w:val="es-ES"/>
          </w:rPr>
          <w:t>https://repositorio.cepal.org/bitstream/handle/11362/44269/1/S1800949_es.pdf</w:t>
        </w:r>
      </w:hyperlink>
      <w:r w:rsidRPr="00BE720D">
        <w:rPr>
          <w:rFonts w:asciiTheme="majorBidi" w:hAnsiTheme="majorBidi" w:cstheme="majorBidi"/>
          <w:color w:val="000000" w:themeColor="text1"/>
          <w:lang w:val="es-ES"/>
        </w:rPr>
        <w:t xml:space="preserve"> págs 18 y 19.</w:t>
      </w:r>
    </w:p>
  </w:footnote>
  <w:footnote w:id="97">
    <w:p w14:paraId="01DD91CF" w14:textId="77777777" w:rsidR="00CD79CF" w:rsidRPr="00BE720D" w:rsidRDefault="00CD79CF" w:rsidP="00013274">
      <w:pPr>
        <w:pStyle w:val="Textonotapie"/>
        <w:jc w:val="both"/>
        <w:rPr>
          <w:rFonts w:asciiTheme="majorBidi" w:hAnsiTheme="majorBidi" w:cstheme="majorBidi"/>
          <w:color w:val="000000" w:themeColor="text1"/>
          <w:lang w:val="es-ES"/>
        </w:rPr>
      </w:pPr>
      <w:r w:rsidRPr="00BE720D">
        <w:rPr>
          <w:rStyle w:val="Refdenotaalpie"/>
          <w:rFonts w:asciiTheme="majorBidi" w:hAnsiTheme="majorBidi" w:cstheme="majorBidi"/>
          <w:color w:val="000000" w:themeColor="text1"/>
          <w:sz w:val="20"/>
        </w:rPr>
        <w:footnoteRef/>
      </w:r>
      <w:r w:rsidRPr="00BE720D">
        <w:rPr>
          <w:rFonts w:asciiTheme="majorBidi" w:hAnsiTheme="majorBidi" w:cstheme="majorBidi"/>
          <w:color w:val="000000" w:themeColor="text1"/>
          <w:lang w:val="es-GT"/>
        </w:rPr>
        <w:t xml:space="preserve"> CIDH. Resolución 36/2017, Medida cautelar No. 412-17. 8 de septiembre de 2017. Disponible en: </w:t>
      </w:r>
      <w:hyperlink r:id="rId63" w:history="1">
        <w:r w:rsidRPr="00BE720D">
          <w:rPr>
            <w:rStyle w:val="Hipervnculo"/>
            <w:rFonts w:asciiTheme="majorBidi" w:hAnsiTheme="majorBidi" w:cstheme="majorBidi"/>
            <w:color w:val="000000" w:themeColor="text1"/>
            <w:lang w:val="es-GT"/>
          </w:rPr>
          <w:t>https://www.oas.org/es/cidh/decisiones/pdf/2017/36-17mc412-17gu.pdf</w:t>
        </w:r>
      </w:hyperlink>
      <w:r w:rsidRPr="00BE720D">
        <w:rPr>
          <w:rFonts w:asciiTheme="majorBidi" w:hAnsiTheme="majorBidi" w:cstheme="majorBidi"/>
          <w:color w:val="000000" w:themeColor="text1"/>
          <w:lang w:val="es-GT"/>
        </w:rPr>
        <w:t xml:space="preserve"> </w:t>
      </w:r>
    </w:p>
  </w:footnote>
  <w:footnote w:id="98">
    <w:p w14:paraId="3E42C5B5" w14:textId="77777777" w:rsidR="00BA2BC3" w:rsidRPr="00BE720D" w:rsidRDefault="00BA2BC3" w:rsidP="00013274">
      <w:pPr>
        <w:pStyle w:val="Textonotapie"/>
        <w:jc w:val="both"/>
        <w:rPr>
          <w:rFonts w:asciiTheme="majorBidi" w:hAnsiTheme="majorBidi" w:cstheme="majorBidi"/>
          <w:color w:val="000000" w:themeColor="text1"/>
          <w:lang w:val="es-ES"/>
        </w:rPr>
      </w:pPr>
      <w:r w:rsidRPr="00BE720D">
        <w:rPr>
          <w:rStyle w:val="Refdenotaalpie"/>
          <w:rFonts w:asciiTheme="majorBidi" w:hAnsiTheme="majorBidi" w:cstheme="majorBidi"/>
          <w:color w:val="000000" w:themeColor="text1"/>
          <w:sz w:val="20"/>
        </w:rPr>
        <w:footnoteRef/>
      </w:r>
      <w:r w:rsidRPr="00BE720D">
        <w:rPr>
          <w:rFonts w:asciiTheme="majorBidi" w:hAnsiTheme="majorBidi" w:cstheme="majorBidi"/>
          <w:color w:val="000000" w:themeColor="text1"/>
          <w:lang w:val="es-GT"/>
        </w:rPr>
        <w:t xml:space="preserve"> Corte de Constitucionalidad. Apelación de Sentencia de amparo. Expediente 4647-2018, página 50.</w:t>
      </w:r>
    </w:p>
  </w:footnote>
  <w:footnote w:id="99">
    <w:p w14:paraId="22A77C95" w14:textId="77777777" w:rsidR="00BA2BC3" w:rsidRPr="00BE720D" w:rsidRDefault="00BA2BC3" w:rsidP="00013274">
      <w:pPr>
        <w:pStyle w:val="Textonotapie"/>
        <w:jc w:val="both"/>
        <w:rPr>
          <w:rFonts w:asciiTheme="majorBidi" w:hAnsiTheme="majorBidi" w:cstheme="majorBidi"/>
          <w:color w:val="0D0D0D" w:themeColor="text1" w:themeTint="F2"/>
          <w:lang w:val="es-ES"/>
        </w:rPr>
      </w:pPr>
      <w:r w:rsidRPr="00BE720D">
        <w:rPr>
          <w:rStyle w:val="Refdenotaalpie"/>
          <w:rFonts w:asciiTheme="majorBidi" w:hAnsiTheme="majorBidi" w:cstheme="majorBidi"/>
          <w:color w:val="000000" w:themeColor="text1"/>
          <w:sz w:val="20"/>
        </w:rPr>
        <w:footnoteRef/>
      </w:r>
      <w:r w:rsidRPr="00BE720D">
        <w:rPr>
          <w:rFonts w:asciiTheme="majorBidi" w:hAnsiTheme="majorBidi" w:cstheme="majorBidi"/>
          <w:color w:val="000000" w:themeColor="text1"/>
          <w:lang w:val="es-GT"/>
        </w:rPr>
        <w:t xml:space="preserve"> Corte de </w:t>
      </w:r>
      <w:r w:rsidRPr="00BE720D">
        <w:rPr>
          <w:rFonts w:asciiTheme="majorBidi" w:hAnsiTheme="majorBidi" w:cstheme="majorBidi"/>
          <w:color w:val="0D0D0D" w:themeColor="text1" w:themeTint="F2"/>
          <w:lang w:val="es-GT"/>
        </w:rPr>
        <w:t>Constitucionalidad. Apelación de Sentencia de amparo. Expediente 4647-2018, página 50.</w:t>
      </w:r>
    </w:p>
  </w:footnote>
  <w:footnote w:id="100">
    <w:p w14:paraId="5D61CCB5" w14:textId="77777777" w:rsidR="00801842" w:rsidRPr="00BE720D" w:rsidRDefault="00801842" w:rsidP="00013274">
      <w:pPr>
        <w:pStyle w:val="Sinespaciado"/>
        <w:jc w:val="both"/>
        <w:rPr>
          <w:rFonts w:asciiTheme="majorBidi" w:hAnsiTheme="majorBidi" w:cstheme="majorBidi"/>
          <w:sz w:val="20"/>
          <w:szCs w:val="20"/>
          <w:lang w:val="es-ES_tradnl" w:eastAsia="es-ES_tradnl"/>
        </w:rPr>
      </w:pPr>
      <w:r w:rsidRPr="00BE720D">
        <w:rPr>
          <w:rStyle w:val="Refdenotaalpie"/>
          <w:rFonts w:asciiTheme="majorBidi" w:hAnsiTheme="majorBidi" w:cstheme="majorBidi"/>
          <w:color w:val="0D0D0D" w:themeColor="text1" w:themeTint="F2"/>
          <w:sz w:val="20"/>
          <w:szCs w:val="20"/>
        </w:rPr>
        <w:footnoteRef/>
      </w:r>
      <w:r w:rsidRPr="00BE720D">
        <w:rPr>
          <w:rFonts w:asciiTheme="majorBidi" w:hAnsiTheme="majorBidi" w:cstheme="majorBidi"/>
          <w:color w:val="0D0D0D" w:themeColor="text1" w:themeTint="F2"/>
          <w:sz w:val="20"/>
          <w:szCs w:val="20"/>
        </w:rPr>
        <w:t xml:space="preserve"> </w:t>
      </w:r>
      <w:r w:rsidRPr="00BE720D">
        <w:rPr>
          <w:rFonts w:asciiTheme="majorBidi" w:hAnsiTheme="majorBidi" w:cstheme="majorBidi"/>
          <w:color w:val="0D0D0D" w:themeColor="text1" w:themeTint="F2"/>
          <w:sz w:val="20"/>
          <w:szCs w:val="20"/>
          <w:lang w:val="es-ES_tradnl" w:eastAsia="es-ES_tradnl"/>
        </w:rPr>
        <w:t>Comisión Interamericana De Derechos Humanos Resolución 3/2018, Medida cautelar No. 860-17 Familias indígenas de la Comunidad Chaab´il Ch´och’ respecto de Guatemala.</w:t>
      </w:r>
    </w:p>
  </w:footnote>
  <w:footnote w:id="101">
    <w:p w14:paraId="0E633314" w14:textId="77777777" w:rsidR="00BA2BC3" w:rsidRPr="00BE720D" w:rsidRDefault="00BA2BC3" w:rsidP="00013274">
      <w:pPr>
        <w:pStyle w:val="Textonotapie"/>
        <w:jc w:val="both"/>
        <w:rPr>
          <w:rFonts w:asciiTheme="majorBidi" w:hAnsiTheme="majorBidi" w:cstheme="majorBidi"/>
          <w:color w:val="000000" w:themeColor="text1"/>
          <w:lang w:val="es-GT"/>
        </w:rPr>
      </w:pPr>
      <w:r w:rsidRPr="00BE720D">
        <w:rPr>
          <w:rStyle w:val="Refdenotaalpie"/>
          <w:rFonts w:asciiTheme="majorBidi" w:hAnsiTheme="majorBidi" w:cstheme="majorBidi"/>
          <w:color w:val="000000" w:themeColor="text1"/>
          <w:sz w:val="20"/>
        </w:rPr>
        <w:footnoteRef/>
      </w:r>
      <w:r w:rsidRPr="00BE720D">
        <w:rPr>
          <w:rFonts w:asciiTheme="majorBidi" w:hAnsiTheme="majorBidi" w:cstheme="majorBidi"/>
          <w:color w:val="000000" w:themeColor="text1"/>
          <w:lang w:val="es-GT"/>
        </w:rPr>
        <w:t xml:space="preserve"> Organización Internacional del Trabajo -OIT- 2013. La economía informal y el trabajo decente: Una guía de recursos sobre políticas, apoyando la transición hacia la formalidad</w:t>
      </w:r>
    </w:p>
  </w:footnote>
  <w:footnote w:id="102">
    <w:p w14:paraId="5A431AA6" w14:textId="3FCE458B" w:rsidR="00BA2BC3" w:rsidRPr="00BE720D" w:rsidRDefault="00BA2BC3" w:rsidP="00013274">
      <w:pPr>
        <w:pStyle w:val="Textonotapie"/>
        <w:jc w:val="both"/>
        <w:rPr>
          <w:rFonts w:asciiTheme="majorBidi" w:hAnsiTheme="majorBidi" w:cstheme="majorBidi"/>
          <w:color w:val="000000" w:themeColor="text1"/>
          <w:lang w:val="es-GT"/>
        </w:rPr>
      </w:pPr>
      <w:r w:rsidRPr="00BE720D">
        <w:rPr>
          <w:rStyle w:val="Refdenotaalpie"/>
          <w:rFonts w:asciiTheme="majorBidi" w:hAnsiTheme="majorBidi" w:cstheme="majorBidi"/>
          <w:color w:val="000000" w:themeColor="text1"/>
          <w:sz w:val="20"/>
        </w:rPr>
        <w:footnoteRef/>
      </w:r>
      <w:r w:rsidRPr="00BE720D">
        <w:rPr>
          <w:rFonts w:asciiTheme="majorBidi" w:hAnsiTheme="majorBidi" w:cstheme="majorBidi"/>
          <w:color w:val="000000" w:themeColor="text1"/>
          <w:lang w:val="es-GT"/>
        </w:rPr>
        <w:t xml:space="preserve">Informe Temático del Relator Especial sobre tóxicos y derechos humanos:  La repercusión de las sustancias tóxicas en los derechos humanos de los pueblos indígenas, 2022. </w:t>
      </w:r>
    </w:p>
  </w:footnote>
  <w:footnote w:id="103">
    <w:p w14:paraId="5B624ACA" w14:textId="77777777" w:rsidR="00BA2BC3" w:rsidRPr="00BE720D" w:rsidRDefault="00BA2BC3" w:rsidP="00013274">
      <w:pPr>
        <w:pStyle w:val="Textonotapie"/>
        <w:jc w:val="both"/>
        <w:rPr>
          <w:rFonts w:asciiTheme="majorBidi" w:hAnsiTheme="majorBidi" w:cstheme="majorBidi"/>
          <w:color w:val="000000" w:themeColor="text1"/>
          <w:lang w:val="es-ES"/>
        </w:rPr>
      </w:pPr>
      <w:r w:rsidRPr="00BE720D">
        <w:rPr>
          <w:rStyle w:val="Refdenotaalpie"/>
          <w:rFonts w:asciiTheme="majorBidi" w:hAnsiTheme="majorBidi" w:cstheme="majorBidi"/>
          <w:color w:val="000000" w:themeColor="text1"/>
          <w:sz w:val="20"/>
        </w:rPr>
        <w:footnoteRef/>
      </w:r>
      <w:r w:rsidRPr="00BE720D">
        <w:rPr>
          <w:rFonts w:asciiTheme="majorBidi" w:hAnsiTheme="majorBidi" w:cstheme="majorBidi"/>
          <w:color w:val="000000" w:themeColor="text1"/>
          <w:lang w:val="es-ES"/>
        </w:rPr>
        <w:t xml:space="preserve"> </w:t>
      </w:r>
      <w:hyperlink r:id="rId64" w:history="1">
        <w:r w:rsidRPr="00BE720D">
          <w:rPr>
            <w:rStyle w:val="Hipervnculo"/>
            <w:rFonts w:asciiTheme="majorBidi" w:hAnsiTheme="majorBidi" w:cstheme="majorBidi"/>
            <w:color w:val="000000" w:themeColor="text1"/>
            <w:lang w:val="es-ES"/>
          </w:rPr>
          <w:t>https://news.un.org/es/story/2022/10/1516297</w:t>
        </w:r>
      </w:hyperlink>
      <w:r w:rsidRPr="00BE720D">
        <w:rPr>
          <w:rFonts w:asciiTheme="majorBidi" w:hAnsiTheme="majorBidi" w:cstheme="majorBidi"/>
          <w:color w:val="000000" w:themeColor="text1"/>
          <w:lang w:val="es-ES"/>
        </w:rPr>
        <w:t xml:space="preserve"> </w:t>
      </w:r>
    </w:p>
  </w:footnote>
  <w:footnote w:id="104">
    <w:p w14:paraId="64DC0438" w14:textId="77777777" w:rsidR="00BA2BC3" w:rsidRPr="00BE720D" w:rsidRDefault="00BA2BC3" w:rsidP="00013274">
      <w:pPr>
        <w:pStyle w:val="Textonotapie"/>
        <w:jc w:val="both"/>
        <w:rPr>
          <w:rFonts w:asciiTheme="majorBidi" w:hAnsiTheme="majorBidi" w:cstheme="majorBidi"/>
          <w:color w:val="000000" w:themeColor="text1"/>
          <w:lang w:val="es-ES"/>
        </w:rPr>
      </w:pPr>
      <w:r w:rsidRPr="00BE720D">
        <w:rPr>
          <w:rStyle w:val="Refdenotaalpie"/>
          <w:rFonts w:asciiTheme="majorBidi" w:hAnsiTheme="majorBidi" w:cstheme="majorBidi"/>
          <w:color w:val="000000" w:themeColor="text1"/>
          <w:sz w:val="20"/>
        </w:rPr>
        <w:footnoteRef/>
      </w:r>
      <w:r w:rsidRPr="00BE720D">
        <w:rPr>
          <w:rFonts w:asciiTheme="majorBidi" w:hAnsiTheme="majorBidi" w:cstheme="majorBidi"/>
          <w:color w:val="000000" w:themeColor="text1"/>
          <w:lang w:val="es-ES"/>
        </w:rPr>
        <w:t xml:space="preserve"> </w:t>
      </w:r>
      <w:hyperlink r:id="rId65" w:history="1">
        <w:r w:rsidRPr="00BE720D">
          <w:rPr>
            <w:rStyle w:val="Hipervnculo"/>
            <w:rFonts w:asciiTheme="majorBidi" w:hAnsiTheme="majorBidi" w:cstheme="majorBidi"/>
            <w:color w:val="000000" w:themeColor="text1"/>
            <w:lang w:val="es-ES"/>
          </w:rPr>
          <w:t>https://no-ficcion.com/comunitarios-valle-de-palajunoj-xela/</w:t>
        </w:r>
      </w:hyperlink>
      <w:r w:rsidRPr="00BE720D">
        <w:rPr>
          <w:rFonts w:asciiTheme="majorBidi" w:hAnsiTheme="majorBidi" w:cstheme="majorBidi"/>
          <w:color w:val="000000" w:themeColor="text1"/>
          <w:lang w:val="es-ES"/>
        </w:rPr>
        <w:t xml:space="preserve"> </w:t>
      </w:r>
    </w:p>
  </w:footnote>
  <w:footnote w:id="105">
    <w:p w14:paraId="4DB09178" w14:textId="6C4FB990" w:rsidR="000259E1" w:rsidRPr="00BE720D" w:rsidRDefault="000259E1">
      <w:pPr>
        <w:pStyle w:val="Textonotapie"/>
        <w:rPr>
          <w:rFonts w:asciiTheme="majorBidi" w:hAnsiTheme="majorBidi" w:cstheme="majorBidi"/>
          <w:lang w:val="es-GT"/>
        </w:rPr>
      </w:pPr>
      <w:r w:rsidRPr="00BE720D">
        <w:rPr>
          <w:rStyle w:val="Refdenotaalpie"/>
          <w:rFonts w:asciiTheme="majorBidi" w:hAnsiTheme="majorBidi" w:cstheme="majorBidi"/>
        </w:rPr>
        <w:footnoteRef/>
      </w:r>
      <w:r w:rsidRPr="00BE720D">
        <w:rPr>
          <w:rFonts w:asciiTheme="majorBidi" w:hAnsiTheme="majorBidi" w:cstheme="majorBidi"/>
          <w:lang w:val="es-GT"/>
        </w:rPr>
        <w:t xml:space="preserve"> Expediente 5764-2019, del 10 de </w:t>
      </w:r>
      <w:proofErr w:type="gramStart"/>
      <w:r w:rsidRPr="00BE720D">
        <w:rPr>
          <w:rFonts w:asciiTheme="majorBidi" w:hAnsiTheme="majorBidi" w:cstheme="majorBidi"/>
          <w:lang w:val="es-GT"/>
        </w:rPr>
        <w:t>Junio</w:t>
      </w:r>
      <w:proofErr w:type="gramEnd"/>
      <w:r w:rsidRPr="00BE720D">
        <w:rPr>
          <w:rFonts w:asciiTheme="majorBidi" w:hAnsiTheme="majorBidi" w:cstheme="majorBidi"/>
          <w:lang w:val="es-GT"/>
        </w:rPr>
        <w:t xml:space="preserve"> del 2020.</w:t>
      </w:r>
    </w:p>
  </w:footnote>
  <w:footnote w:id="106">
    <w:p w14:paraId="615551D3" w14:textId="77777777" w:rsidR="00BA2BC3" w:rsidRPr="00BE720D" w:rsidRDefault="00BA2BC3" w:rsidP="00013274">
      <w:pPr>
        <w:pStyle w:val="Textonotapie"/>
        <w:jc w:val="both"/>
        <w:rPr>
          <w:rFonts w:asciiTheme="majorBidi" w:hAnsiTheme="majorBidi" w:cstheme="majorBidi"/>
          <w:color w:val="000000" w:themeColor="text1"/>
          <w:lang w:val="es-GT"/>
        </w:rPr>
      </w:pPr>
      <w:r w:rsidRPr="00BE720D">
        <w:rPr>
          <w:rStyle w:val="Refdenotaalpie"/>
          <w:rFonts w:asciiTheme="majorBidi" w:hAnsiTheme="majorBidi" w:cstheme="majorBidi"/>
          <w:color w:val="000000" w:themeColor="text1"/>
          <w:sz w:val="20"/>
        </w:rPr>
        <w:footnoteRef/>
      </w:r>
      <w:r w:rsidRPr="00BE720D">
        <w:rPr>
          <w:rFonts w:asciiTheme="majorBidi" w:hAnsiTheme="majorBidi" w:cstheme="majorBidi"/>
          <w:color w:val="000000" w:themeColor="text1"/>
          <w:lang w:val="es-GT"/>
        </w:rPr>
        <w:t xml:space="preserve"> Ver Nota de No Ficción sobre la situación actual en Santa Cruz Chinautla. Disponible en: </w:t>
      </w:r>
      <w:hyperlink r:id="rId66" w:history="1">
        <w:r w:rsidRPr="00BE720D">
          <w:rPr>
            <w:rStyle w:val="Hipervnculo"/>
            <w:rFonts w:asciiTheme="majorBidi" w:hAnsiTheme="majorBidi" w:cstheme="majorBidi"/>
            <w:color w:val="000000" w:themeColor="text1"/>
            <w:lang w:val="es-GT"/>
          </w:rPr>
          <w:t>https://no-ficcion.com/chinautla-y-el-desplazamiento-del-pueblo-maya-poqomam/</w:t>
        </w:r>
      </w:hyperlink>
      <w:r w:rsidRPr="00BE720D">
        <w:rPr>
          <w:rFonts w:asciiTheme="majorBidi" w:hAnsiTheme="majorBidi" w:cstheme="majorBidi"/>
          <w:color w:val="000000" w:themeColor="text1"/>
          <w:lang w:val="es-GT"/>
        </w:rPr>
        <w:t xml:space="preserve"> </w:t>
      </w:r>
    </w:p>
  </w:footnote>
  <w:footnote w:id="107">
    <w:p w14:paraId="460F086E" w14:textId="59494064" w:rsidR="00E4100F" w:rsidRPr="00BE720D" w:rsidRDefault="00E4100F" w:rsidP="00E4100F">
      <w:pPr>
        <w:spacing w:after="0" w:line="240" w:lineRule="auto"/>
        <w:jc w:val="both"/>
        <w:rPr>
          <w:rFonts w:asciiTheme="majorBidi" w:hAnsiTheme="majorBidi" w:cstheme="majorBidi"/>
          <w:sz w:val="20"/>
          <w:szCs w:val="20"/>
        </w:rPr>
      </w:pPr>
      <w:r w:rsidRPr="00BE720D">
        <w:rPr>
          <w:rStyle w:val="Refdenotaalpie"/>
          <w:rFonts w:asciiTheme="majorBidi" w:eastAsia="Times New Roman" w:hAnsiTheme="majorBidi" w:cstheme="majorBidi"/>
          <w:color w:val="000000" w:themeColor="text1"/>
          <w:kern w:val="0"/>
          <w:sz w:val="20"/>
          <w:lang w:val="en-US" w:eastAsia="en-US"/>
          <w14:ligatures w14:val="none"/>
        </w:rPr>
        <w:footnoteRef/>
      </w:r>
      <w:r w:rsidRPr="00BE720D">
        <w:rPr>
          <w:rFonts w:asciiTheme="majorBidi" w:hAnsiTheme="majorBidi" w:cstheme="majorBidi"/>
          <w:sz w:val="20"/>
          <w:szCs w:val="20"/>
        </w:rPr>
        <w:t xml:space="preserve"> Hurtado Paz y Paz, L., &amp; Prado Córdova, J. P. (2024). El agua en el contexto de la expansión de palma aceitera en las Tierras Bajas del Norte de Guatemala. </w:t>
      </w:r>
      <w:r w:rsidRPr="00BE720D">
        <w:rPr>
          <w:rFonts w:asciiTheme="majorBidi" w:hAnsiTheme="majorBidi" w:cstheme="majorBidi"/>
          <w:i/>
          <w:sz w:val="20"/>
          <w:szCs w:val="20"/>
        </w:rPr>
        <w:t>LiminaR. Estudios Sociales Y Humanísticos</w:t>
      </w:r>
      <w:r w:rsidRPr="00BE720D">
        <w:rPr>
          <w:rFonts w:asciiTheme="majorBidi" w:hAnsiTheme="majorBidi" w:cstheme="majorBidi"/>
          <w:sz w:val="20"/>
          <w:szCs w:val="20"/>
        </w:rPr>
        <w:t xml:space="preserve">, </w:t>
      </w:r>
      <w:r w:rsidRPr="00BE720D">
        <w:rPr>
          <w:rFonts w:asciiTheme="majorBidi" w:hAnsiTheme="majorBidi" w:cstheme="majorBidi"/>
          <w:i/>
          <w:sz w:val="20"/>
          <w:szCs w:val="20"/>
        </w:rPr>
        <w:t>22</w:t>
      </w:r>
      <w:r w:rsidRPr="00BE720D">
        <w:rPr>
          <w:rFonts w:asciiTheme="majorBidi" w:hAnsiTheme="majorBidi" w:cstheme="majorBidi"/>
          <w:sz w:val="20"/>
          <w:szCs w:val="20"/>
        </w:rPr>
        <w:t xml:space="preserve">(1), 17. Ver:  </w:t>
      </w:r>
      <w:hyperlink r:id="rId67" w:history="1">
        <w:r w:rsidRPr="00BE720D">
          <w:rPr>
            <w:rStyle w:val="Hipervnculo"/>
            <w:rFonts w:asciiTheme="majorBidi" w:hAnsiTheme="majorBidi" w:cstheme="majorBidi"/>
            <w:color w:val="657C9C" w:themeColor="text2" w:themeTint="BF"/>
            <w:sz w:val="20"/>
            <w:szCs w:val="20"/>
          </w:rPr>
          <w:t>https://doi.org/10.29043/liminar.v22i1.1020</w:t>
        </w:r>
      </w:hyperlink>
    </w:p>
  </w:footnote>
  <w:footnote w:id="108">
    <w:p w14:paraId="50C30024" w14:textId="269D9974" w:rsidR="00F93D3C" w:rsidRPr="00BE720D" w:rsidRDefault="00F93D3C" w:rsidP="00F93D3C">
      <w:pPr>
        <w:pStyle w:val="Textonotapie"/>
        <w:rPr>
          <w:rFonts w:asciiTheme="majorBidi" w:hAnsiTheme="majorBidi" w:cstheme="majorBidi"/>
          <w:lang w:val="es-GT"/>
        </w:rPr>
      </w:pPr>
      <w:r w:rsidRPr="00BE720D">
        <w:rPr>
          <w:rStyle w:val="Refdenotaalpie"/>
          <w:rFonts w:asciiTheme="majorBidi" w:hAnsiTheme="majorBidi" w:cstheme="majorBidi"/>
          <w:color w:val="000000" w:themeColor="text1"/>
          <w:sz w:val="20"/>
          <w:szCs w:val="22"/>
        </w:rPr>
        <w:footnoteRef/>
      </w:r>
      <w:r w:rsidRPr="00BE720D">
        <w:rPr>
          <w:rStyle w:val="Refdenotaalpie"/>
          <w:rFonts w:asciiTheme="majorBidi" w:hAnsiTheme="majorBidi" w:cstheme="majorBidi"/>
          <w:color w:val="000000" w:themeColor="text1"/>
          <w:sz w:val="20"/>
          <w:szCs w:val="22"/>
          <w:lang w:val="es-GT"/>
        </w:rPr>
        <w:t xml:space="preserve"> </w:t>
      </w:r>
      <w:r w:rsidRPr="00BE720D">
        <w:rPr>
          <w:rFonts w:asciiTheme="majorBidi" w:hAnsiTheme="majorBidi" w:cstheme="majorBidi"/>
          <w:lang w:val="es-GT"/>
        </w:rPr>
        <w:t xml:space="preserve">Ver publicación: </w:t>
      </w:r>
      <w:hyperlink r:id="rId68" w:history="1">
        <w:r w:rsidRPr="00BE720D">
          <w:rPr>
            <w:rStyle w:val="Hipervnculo"/>
            <w:rFonts w:asciiTheme="majorBidi" w:hAnsiTheme="majorBidi" w:cstheme="majorBidi"/>
            <w:lang w:val="es-GT"/>
          </w:rPr>
          <w:t>“Sin agua, no somos nada”: Por qué Guatemala necesita una ley de aguas | HRW</w:t>
        </w:r>
      </w:hyperlink>
      <w:r w:rsidRPr="00BE720D">
        <w:rPr>
          <w:rFonts w:asciiTheme="majorBidi" w:hAnsiTheme="majorBidi" w:cstheme="majorBidi"/>
          <w:lang w:val="es-GT"/>
        </w:rPr>
        <w:t xml:space="preserve"> </w:t>
      </w:r>
    </w:p>
  </w:footnote>
  <w:footnote w:id="109">
    <w:p w14:paraId="0339FB95" w14:textId="77777777" w:rsidR="00EA6C89" w:rsidRPr="00BE720D" w:rsidRDefault="00EA6C89" w:rsidP="00013274">
      <w:pPr>
        <w:pStyle w:val="Textonotapie"/>
        <w:jc w:val="both"/>
        <w:rPr>
          <w:rFonts w:asciiTheme="majorBidi" w:hAnsiTheme="majorBidi" w:cstheme="majorBidi"/>
          <w:color w:val="000000" w:themeColor="text1"/>
          <w:lang w:val="es-ES"/>
        </w:rPr>
      </w:pPr>
      <w:r w:rsidRPr="00BE720D">
        <w:rPr>
          <w:rStyle w:val="Refdenotaalpie"/>
          <w:rFonts w:asciiTheme="majorBidi" w:eastAsiaTheme="majorEastAsia" w:hAnsiTheme="majorBidi" w:cstheme="majorBidi"/>
          <w:color w:val="000000" w:themeColor="text1"/>
          <w:sz w:val="20"/>
        </w:rPr>
        <w:footnoteRef/>
      </w:r>
      <w:r w:rsidRPr="00BE720D">
        <w:rPr>
          <w:rFonts w:asciiTheme="majorBidi" w:hAnsiTheme="majorBidi" w:cstheme="majorBidi"/>
          <w:color w:val="000000" w:themeColor="text1"/>
          <w:lang w:val="es-ES"/>
        </w:rPr>
        <w:t xml:space="preserve"> Diario de Centro América (2024) </w:t>
      </w:r>
      <w:hyperlink r:id="rId69" w:history="1">
        <w:r w:rsidRPr="00BE720D">
          <w:rPr>
            <w:rStyle w:val="Hipervnculo"/>
            <w:rFonts w:asciiTheme="majorBidi" w:hAnsiTheme="majorBidi" w:cstheme="majorBidi"/>
            <w:color w:val="000000" w:themeColor="text1"/>
            <w:lang w:val="es-ES"/>
          </w:rPr>
          <w:t>https://dca.gob.gt/noticias-guatemala-diario-centro-america/autoridades-indigenas-piden-transparencia-en-la-eleccion-a-magistrados-de-la-csj/</w:t>
        </w:r>
      </w:hyperlink>
      <w:r w:rsidRPr="00BE720D">
        <w:rPr>
          <w:rFonts w:asciiTheme="majorBidi" w:hAnsiTheme="majorBidi" w:cstheme="majorBidi"/>
          <w:color w:val="000000" w:themeColor="text1"/>
          <w:lang w:val="es-ES"/>
        </w:rPr>
        <w:t xml:space="preserve"> </w:t>
      </w:r>
    </w:p>
  </w:footnote>
  <w:footnote w:id="110">
    <w:p w14:paraId="62753075" w14:textId="77777777" w:rsidR="00EA6C89" w:rsidRPr="00BE720D" w:rsidRDefault="00EA6C89" w:rsidP="00013274">
      <w:pPr>
        <w:pStyle w:val="Textonotapie"/>
        <w:jc w:val="both"/>
        <w:rPr>
          <w:rFonts w:asciiTheme="majorBidi" w:hAnsiTheme="majorBidi" w:cstheme="majorBidi"/>
          <w:color w:val="000000" w:themeColor="text1"/>
          <w:lang w:val="es-GT"/>
        </w:rPr>
      </w:pPr>
      <w:r w:rsidRPr="00BE720D">
        <w:rPr>
          <w:rStyle w:val="Refdenotaalpie"/>
          <w:rFonts w:asciiTheme="majorBidi" w:hAnsiTheme="majorBidi" w:cstheme="majorBidi"/>
          <w:color w:val="000000" w:themeColor="text1"/>
          <w:sz w:val="20"/>
        </w:rPr>
        <w:footnoteRef/>
      </w:r>
      <w:r w:rsidRPr="00BE720D">
        <w:rPr>
          <w:rFonts w:asciiTheme="majorBidi" w:hAnsiTheme="majorBidi" w:cstheme="majorBidi"/>
          <w:color w:val="000000" w:themeColor="text1"/>
          <w:lang w:val="es-GT"/>
        </w:rPr>
        <w:t xml:space="preserve"> </w:t>
      </w:r>
      <w:hyperlink r:id="rId70" w:history="1">
        <w:r w:rsidRPr="00BE720D">
          <w:rPr>
            <w:rStyle w:val="Hipervnculo"/>
            <w:rFonts w:asciiTheme="majorBidi" w:hAnsiTheme="majorBidi" w:cstheme="majorBidi"/>
            <w:color w:val="000000" w:themeColor="text1"/>
            <w:lang w:val="es-GT"/>
          </w:rPr>
          <w:t>https://www.oas.org/fpdb/press/Informe-preliminar-Mision-Guatemala.pdf</w:t>
        </w:r>
      </w:hyperlink>
      <w:r w:rsidRPr="00BE720D">
        <w:rPr>
          <w:rFonts w:asciiTheme="majorBidi" w:hAnsiTheme="majorBidi" w:cstheme="majorBidi"/>
          <w:color w:val="000000" w:themeColor="text1"/>
          <w:lang w:val="es-GT"/>
        </w:rPr>
        <w:t xml:space="preserve"> </w:t>
      </w:r>
    </w:p>
  </w:footnote>
  <w:footnote w:id="111">
    <w:p w14:paraId="4C97DF22" w14:textId="77777777" w:rsidR="000B23D2" w:rsidRPr="00BE720D" w:rsidRDefault="000B23D2" w:rsidP="00013274">
      <w:pPr>
        <w:pStyle w:val="Textonotapie"/>
        <w:jc w:val="both"/>
        <w:rPr>
          <w:rFonts w:asciiTheme="majorBidi" w:hAnsiTheme="majorBidi" w:cstheme="majorBidi"/>
          <w:color w:val="000000" w:themeColor="text1"/>
          <w:lang w:val="es-ES"/>
        </w:rPr>
      </w:pPr>
      <w:r w:rsidRPr="00BE720D">
        <w:rPr>
          <w:rStyle w:val="Refdenotaalpie"/>
          <w:rFonts w:asciiTheme="majorBidi" w:eastAsiaTheme="majorEastAsia" w:hAnsiTheme="majorBidi" w:cstheme="majorBidi"/>
          <w:color w:val="000000" w:themeColor="text1"/>
          <w:sz w:val="20"/>
        </w:rPr>
        <w:footnoteRef/>
      </w:r>
      <w:r w:rsidRPr="00BE720D">
        <w:rPr>
          <w:rFonts w:asciiTheme="majorBidi" w:hAnsiTheme="majorBidi" w:cstheme="majorBidi"/>
          <w:color w:val="000000" w:themeColor="text1"/>
          <w:lang w:val="en-GB"/>
        </w:rPr>
        <w:t xml:space="preserve"> Human Rights Watch (2025) Informe Mundial 2025: </w:t>
      </w:r>
      <w:proofErr w:type="gramStart"/>
      <w:r w:rsidRPr="00BE720D">
        <w:rPr>
          <w:rFonts w:asciiTheme="majorBidi" w:hAnsiTheme="majorBidi" w:cstheme="majorBidi"/>
          <w:color w:val="000000" w:themeColor="text1"/>
          <w:lang w:val="en-GB"/>
        </w:rPr>
        <w:t>Guatemala .</w:t>
      </w:r>
      <w:proofErr w:type="gramEnd"/>
      <w:r w:rsidRPr="00BE720D">
        <w:rPr>
          <w:rFonts w:asciiTheme="majorBidi" w:hAnsiTheme="majorBidi" w:cstheme="majorBidi"/>
          <w:color w:val="000000" w:themeColor="text1"/>
          <w:lang w:val="en-GB"/>
        </w:rPr>
        <w:t xml:space="preserve"> </w:t>
      </w:r>
      <w:r w:rsidRPr="00BE720D">
        <w:rPr>
          <w:rFonts w:asciiTheme="majorBidi" w:hAnsiTheme="majorBidi" w:cstheme="majorBidi"/>
          <w:color w:val="000000" w:themeColor="text1"/>
          <w:lang w:val="es-ES"/>
        </w:rPr>
        <w:t xml:space="preserve">Disponible en </w:t>
      </w:r>
      <w:hyperlink r:id="rId71" w:history="1">
        <w:r w:rsidRPr="00BE720D">
          <w:rPr>
            <w:rStyle w:val="Hipervnculo"/>
            <w:rFonts w:asciiTheme="majorBidi" w:hAnsiTheme="majorBidi" w:cstheme="majorBidi"/>
            <w:color w:val="000000" w:themeColor="text1"/>
            <w:lang w:val="es-ES"/>
          </w:rPr>
          <w:t>https://www.hrw.org/es/world-report/2025/country-chapters/guatemala</w:t>
        </w:r>
      </w:hyperlink>
      <w:r w:rsidRPr="00BE720D">
        <w:rPr>
          <w:rFonts w:asciiTheme="majorBidi" w:hAnsiTheme="majorBidi" w:cstheme="majorBidi"/>
          <w:color w:val="000000" w:themeColor="text1"/>
          <w:lang w:val="es-ES"/>
        </w:rPr>
        <w:t xml:space="preserve"> </w:t>
      </w:r>
    </w:p>
  </w:footnote>
  <w:footnote w:id="112">
    <w:p w14:paraId="40387205" w14:textId="77777777" w:rsidR="00E94143" w:rsidRPr="00BE720D" w:rsidRDefault="00E94143" w:rsidP="00E94143">
      <w:pPr>
        <w:pStyle w:val="Textonotapie"/>
        <w:jc w:val="both"/>
        <w:rPr>
          <w:rFonts w:asciiTheme="majorBidi" w:hAnsiTheme="majorBidi" w:cstheme="majorBidi"/>
          <w:color w:val="000000" w:themeColor="text1"/>
          <w:lang w:val="es-ES"/>
        </w:rPr>
      </w:pPr>
      <w:r w:rsidRPr="00BE720D">
        <w:rPr>
          <w:rStyle w:val="Refdenotaalpie"/>
          <w:rFonts w:asciiTheme="majorBidi" w:hAnsiTheme="majorBidi" w:cstheme="majorBidi"/>
          <w:color w:val="000000" w:themeColor="text1"/>
          <w:sz w:val="20"/>
        </w:rPr>
        <w:footnoteRef/>
      </w:r>
      <w:r w:rsidRPr="00BE720D">
        <w:rPr>
          <w:rFonts w:asciiTheme="majorBidi" w:hAnsiTheme="majorBidi" w:cstheme="majorBidi"/>
          <w:color w:val="000000" w:themeColor="text1"/>
          <w:lang w:val="es-GT"/>
        </w:rPr>
        <w:t xml:space="preserve"> </w:t>
      </w:r>
      <w:r w:rsidRPr="00BE720D">
        <w:rPr>
          <w:rFonts w:asciiTheme="majorBidi" w:hAnsiTheme="majorBidi" w:cstheme="majorBidi"/>
          <w:color w:val="000000" w:themeColor="text1"/>
          <w:lang w:val="es-ES"/>
        </w:rPr>
        <w:t>Sentencia de segunda instancia del 30 de mayo de 2018, emitida por la Sala Primera de la Corte de Apelaciones del Ramo Penal de Procesos de Mayor Riesgo y Extinción de Dominio.</w:t>
      </w:r>
    </w:p>
  </w:footnote>
  <w:footnote w:id="113">
    <w:p w14:paraId="1DC48D2A" w14:textId="77777777" w:rsidR="00EA5F24" w:rsidRPr="00BE720D" w:rsidRDefault="00EA5F24" w:rsidP="00013274">
      <w:pPr>
        <w:pStyle w:val="Textonotapie"/>
        <w:jc w:val="both"/>
        <w:rPr>
          <w:rFonts w:asciiTheme="majorBidi" w:hAnsiTheme="majorBidi" w:cstheme="majorBidi"/>
          <w:lang w:val="es-GT"/>
        </w:rPr>
      </w:pPr>
      <w:r w:rsidRPr="00BE720D">
        <w:rPr>
          <w:rStyle w:val="Refdenotaalpie"/>
          <w:rFonts w:asciiTheme="majorBidi" w:hAnsiTheme="majorBidi" w:cstheme="majorBidi"/>
          <w:sz w:val="20"/>
        </w:rPr>
        <w:footnoteRef/>
      </w:r>
      <w:r w:rsidRPr="00BE720D">
        <w:rPr>
          <w:rFonts w:asciiTheme="majorBidi" w:hAnsiTheme="majorBidi" w:cstheme="majorBidi"/>
          <w:lang w:val="es-GT"/>
        </w:rPr>
        <w:t xml:space="preserve"> Análisis del equipo Jurídico de las víctimas y sobrevivientes del caso Cumbre de Alaska. </w:t>
      </w:r>
    </w:p>
  </w:footnote>
  <w:footnote w:id="114">
    <w:p w14:paraId="1F410F4A" w14:textId="750FB9B4" w:rsidR="00E54739" w:rsidRPr="00BE720D" w:rsidRDefault="00E54739" w:rsidP="00013274">
      <w:pPr>
        <w:pStyle w:val="Textonotapie"/>
        <w:jc w:val="both"/>
        <w:rPr>
          <w:rFonts w:asciiTheme="majorBidi" w:hAnsiTheme="majorBidi" w:cstheme="majorBidi"/>
          <w:lang w:val="es-MX"/>
        </w:rPr>
      </w:pPr>
      <w:r w:rsidRPr="00BE720D">
        <w:rPr>
          <w:rStyle w:val="Refdenotaalpie"/>
          <w:rFonts w:asciiTheme="majorBidi" w:hAnsiTheme="majorBidi" w:cstheme="majorBidi"/>
          <w:sz w:val="20"/>
        </w:rPr>
        <w:footnoteRef/>
      </w:r>
      <w:r w:rsidRPr="00BE720D">
        <w:rPr>
          <w:rFonts w:asciiTheme="majorBidi" w:hAnsiTheme="majorBidi" w:cstheme="majorBidi"/>
          <w:lang w:val="es-GT"/>
        </w:rPr>
        <w:t xml:space="preserve"> </w:t>
      </w:r>
      <w:r w:rsidRPr="00BE720D">
        <w:rPr>
          <w:rFonts w:asciiTheme="majorBidi" w:hAnsiTheme="majorBidi" w:cstheme="majorBidi"/>
          <w:lang w:val="es-MX"/>
        </w:rPr>
        <w:t>Resolución de Supervisión de sentencia de la Corte IDH</w:t>
      </w:r>
      <w:r w:rsidR="00967132" w:rsidRPr="00BE720D">
        <w:rPr>
          <w:rFonts w:asciiTheme="majorBidi" w:hAnsiTheme="majorBidi" w:cstheme="majorBidi"/>
          <w:lang w:val="es-MX"/>
        </w:rPr>
        <w:t>, de fecha27 de marzo del 2025:</w:t>
      </w:r>
      <w:r w:rsidR="00967132" w:rsidRPr="00BE720D">
        <w:rPr>
          <w:rFonts w:asciiTheme="majorBidi" w:hAnsiTheme="majorBidi" w:cstheme="majorBidi"/>
          <w:lang w:val="es-GT"/>
        </w:rPr>
        <w:t xml:space="preserve"> </w:t>
      </w:r>
      <w:hyperlink r:id="rId72" w:history="1">
        <w:r w:rsidR="00967132" w:rsidRPr="00BE720D">
          <w:rPr>
            <w:rStyle w:val="Hipervnculo"/>
            <w:rFonts w:asciiTheme="majorBidi" w:hAnsiTheme="majorBidi" w:cstheme="majorBidi"/>
            <w:lang w:val="es-MX"/>
          </w:rPr>
          <w:t>https://corteidh.or.cr/docs/supervisiones/maya_sumpango_27_03_25.pdf</w:t>
        </w:r>
      </w:hyperlink>
      <w:r w:rsidR="00967132" w:rsidRPr="00BE720D">
        <w:rPr>
          <w:rFonts w:asciiTheme="majorBidi" w:hAnsiTheme="majorBidi" w:cstheme="majorBidi"/>
          <w:lang w:val="es-MX"/>
        </w:rPr>
        <w:t xml:space="preserve"> </w:t>
      </w:r>
    </w:p>
  </w:footnote>
  <w:footnote w:id="115">
    <w:p w14:paraId="1B95548D" w14:textId="77777777" w:rsidR="00D108C1" w:rsidRPr="00BE720D" w:rsidRDefault="00D108C1" w:rsidP="00013274">
      <w:pPr>
        <w:pStyle w:val="Textonotapie"/>
        <w:jc w:val="both"/>
        <w:rPr>
          <w:rFonts w:asciiTheme="majorBidi" w:hAnsiTheme="majorBidi" w:cstheme="majorBidi"/>
          <w:color w:val="000000" w:themeColor="text1"/>
          <w:lang w:val="es-GT"/>
        </w:rPr>
      </w:pPr>
      <w:r w:rsidRPr="00BE720D">
        <w:rPr>
          <w:rStyle w:val="Refdenotaalpie"/>
          <w:rFonts w:asciiTheme="majorBidi" w:eastAsiaTheme="majorEastAsia" w:hAnsiTheme="majorBidi" w:cstheme="majorBidi"/>
          <w:color w:val="000000" w:themeColor="text1"/>
          <w:sz w:val="20"/>
        </w:rPr>
        <w:footnoteRef/>
      </w:r>
      <w:r w:rsidRPr="00BE720D">
        <w:rPr>
          <w:rFonts w:asciiTheme="majorBidi" w:hAnsiTheme="majorBidi" w:cstheme="majorBidi"/>
          <w:color w:val="000000" w:themeColor="text1"/>
          <w:lang w:val="es-GT"/>
        </w:rPr>
        <w:t xml:space="preserve"> Sentencia del Caso Pueblos Indígenas Maya Kaqchikel de Sumpango y Otros vs. Guatemala, de fecha 6 de octubre de 2021. Párrafo 165</w:t>
      </w:r>
    </w:p>
  </w:footnote>
  <w:footnote w:id="116">
    <w:p w14:paraId="4AD961D7" w14:textId="77777777" w:rsidR="00D108C1" w:rsidRPr="00BE720D" w:rsidRDefault="00D108C1" w:rsidP="00013274">
      <w:pPr>
        <w:pStyle w:val="Textonotapie"/>
        <w:jc w:val="both"/>
        <w:rPr>
          <w:rFonts w:asciiTheme="majorBidi" w:hAnsiTheme="majorBidi" w:cstheme="majorBidi"/>
          <w:color w:val="000000" w:themeColor="text1"/>
          <w:lang w:val="es-GT"/>
        </w:rPr>
      </w:pPr>
      <w:r w:rsidRPr="00BE720D">
        <w:rPr>
          <w:rStyle w:val="Refdenotaalpie"/>
          <w:rFonts w:asciiTheme="majorBidi" w:eastAsiaTheme="majorEastAsia" w:hAnsiTheme="majorBidi" w:cstheme="majorBidi"/>
          <w:color w:val="000000" w:themeColor="text1"/>
          <w:sz w:val="20"/>
        </w:rPr>
        <w:footnoteRef/>
      </w:r>
      <w:r w:rsidRPr="00BE720D">
        <w:rPr>
          <w:rFonts w:asciiTheme="majorBidi" w:hAnsiTheme="majorBidi" w:cstheme="majorBidi"/>
          <w:color w:val="000000" w:themeColor="text1"/>
          <w:lang w:val="es-GT"/>
        </w:rPr>
        <w:t xml:space="preserve"> </w:t>
      </w:r>
      <w:hyperlink r:id="rId73" w:history="1">
        <w:r w:rsidRPr="00BE720D">
          <w:rPr>
            <w:rStyle w:val="Hipervnculo"/>
            <w:rFonts w:asciiTheme="majorBidi" w:eastAsiaTheme="majorEastAsia" w:hAnsiTheme="majorBidi" w:cstheme="majorBidi"/>
            <w:color w:val="000000" w:themeColor="text1"/>
            <w:lang w:val="es-GT"/>
          </w:rPr>
          <w:t>https://cpj.org/es/2019/10/la-policia-allana-la-radioemisora-maya-xyaab-tzuul/</w:t>
        </w:r>
      </w:hyperlink>
    </w:p>
  </w:footnote>
  <w:footnote w:id="117">
    <w:p w14:paraId="108B4CED" w14:textId="77777777" w:rsidR="00D108C1" w:rsidRPr="00BE720D" w:rsidRDefault="00D108C1" w:rsidP="00013274">
      <w:pPr>
        <w:pStyle w:val="Textonotapie"/>
        <w:jc w:val="both"/>
        <w:rPr>
          <w:rFonts w:asciiTheme="majorBidi" w:hAnsiTheme="majorBidi" w:cstheme="majorBidi"/>
          <w:color w:val="000000" w:themeColor="text1"/>
          <w:lang w:val="es-GT"/>
        </w:rPr>
      </w:pPr>
      <w:r w:rsidRPr="00BE720D">
        <w:rPr>
          <w:rStyle w:val="Refdenotaalpie"/>
          <w:rFonts w:asciiTheme="majorBidi" w:eastAsiaTheme="majorEastAsia" w:hAnsiTheme="majorBidi" w:cstheme="majorBidi"/>
          <w:color w:val="000000" w:themeColor="text1"/>
          <w:sz w:val="20"/>
        </w:rPr>
        <w:footnoteRef/>
      </w:r>
      <w:r w:rsidRPr="00BE720D">
        <w:rPr>
          <w:rFonts w:asciiTheme="majorBidi" w:hAnsiTheme="majorBidi" w:cstheme="majorBidi"/>
          <w:color w:val="000000" w:themeColor="text1"/>
          <w:lang w:val="es-GT"/>
        </w:rPr>
        <w:t xml:space="preserve"> </w:t>
      </w:r>
      <w:hyperlink r:id="rId74" w:history="1">
        <w:r w:rsidRPr="00BE720D">
          <w:rPr>
            <w:rStyle w:val="Hipervnculo"/>
            <w:rFonts w:asciiTheme="majorBidi" w:eastAsiaTheme="majorEastAsia" w:hAnsiTheme="majorBidi" w:cstheme="majorBidi"/>
            <w:color w:val="000000" w:themeColor="text1"/>
            <w:lang w:val="es-GT"/>
          </w:rPr>
          <w:t>https://www.culturalsurvival.org/es/news/la-opinion-publica-nacional-e-internacional-sobre-la-iniciativa-de-ley-5965</w:t>
        </w:r>
      </w:hyperlink>
      <w:r w:rsidRPr="00BE720D">
        <w:rPr>
          <w:rFonts w:asciiTheme="majorBidi" w:hAnsiTheme="majorBidi" w:cstheme="majorBidi"/>
          <w:color w:val="000000" w:themeColor="text1"/>
          <w:lang w:val="es-GT"/>
        </w:rPr>
        <w:t xml:space="preserve"> </w:t>
      </w:r>
    </w:p>
  </w:footnote>
  <w:footnote w:id="118">
    <w:p w14:paraId="10191300" w14:textId="47DDD1DD" w:rsidR="003A2CAC" w:rsidRPr="00BE720D" w:rsidRDefault="003A2CAC" w:rsidP="00013274">
      <w:pPr>
        <w:pStyle w:val="Textonotapie"/>
        <w:ind w:right="-1227"/>
        <w:jc w:val="both"/>
        <w:rPr>
          <w:rFonts w:asciiTheme="majorBidi" w:hAnsiTheme="majorBidi" w:cstheme="majorBidi"/>
          <w:color w:val="000000" w:themeColor="text1"/>
          <w:lang w:val="es-ES"/>
        </w:rPr>
      </w:pPr>
      <w:r w:rsidRPr="00BE720D">
        <w:rPr>
          <w:rStyle w:val="Refdenotaalpie"/>
          <w:rFonts w:asciiTheme="majorBidi" w:hAnsiTheme="majorBidi" w:cstheme="majorBidi"/>
          <w:color w:val="000000" w:themeColor="text1"/>
          <w:sz w:val="20"/>
        </w:rPr>
        <w:footnoteRef/>
      </w:r>
      <w:r w:rsidRPr="00BE720D">
        <w:rPr>
          <w:rFonts w:asciiTheme="majorBidi" w:hAnsiTheme="majorBidi" w:cstheme="majorBidi"/>
          <w:color w:val="000000" w:themeColor="text1"/>
          <w:lang w:val="es-GT"/>
        </w:rPr>
        <w:t xml:space="preserve"> Corte de Constitucionalidad. Comunicado de Prensa, Caso Mina </w:t>
      </w:r>
      <w:r w:rsidR="006C5737" w:rsidRPr="00BE720D">
        <w:rPr>
          <w:rFonts w:asciiTheme="majorBidi" w:hAnsiTheme="majorBidi" w:cstheme="majorBidi"/>
          <w:color w:val="000000" w:themeColor="text1"/>
          <w:lang w:val="es-GT"/>
        </w:rPr>
        <w:t>Fé</w:t>
      </w:r>
      <w:r w:rsidR="006C5737">
        <w:rPr>
          <w:rFonts w:asciiTheme="majorBidi" w:hAnsiTheme="majorBidi" w:cstheme="majorBidi"/>
          <w:color w:val="000000" w:themeColor="text1"/>
          <w:lang w:val="es-GT"/>
        </w:rPr>
        <w:t>n</w:t>
      </w:r>
      <w:r w:rsidR="006C5737" w:rsidRPr="00BE720D">
        <w:rPr>
          <w:rFonts w:asciiTheme="majorBidi" w:hAnsiTheme="majorBidi" w:cstheme="majorBidi"/>
          <w:color w:val="000000" w:themeColor="text1"/>
          <w:lang w:val="es-GT"/>
        </w:rPr>
        <w:t>ix</w:t>
      </w:r>
      <w:r w:rsidRPr="00BE720D">
        <w:rPr>
          <w:rFonts w:asciiTheme="majorBidi" w:hAnsiTheme="majorBidi" w:cstheme="majorBidi"/>
          <w:color w:val="000000" w:themeColor="text1"/>
          <w:lang w:val="es-GT"/>
        </w:rPr>
        <w:t xml:space="preserve">. Expediente 697-2019. Disponible en:  </w:t>
      </w:r>
      <w:hyperlink r:id="rId75" w:history="1">
        <w:r w:rsidRPr="00BE720D">
          <w:rPr>
            <w:rStyle w:val="Hipervnculo"/>
            <w:rFonts w:asciiTheme="majorBidi" w:hAnsiTheme="majorBidi" w:cstheme="majorBidi"/>
            <w:color w:val="000000" w:themeColor="text1"/>
            <w:lang w:val="es-GT"/>
          </w:rPr>
          <w:t>https://cc.gob.gt/wp-content/uploads/2023/10/COM-07-2021.pdf</w:t>
        </w:r>
      </w:hyperlink>
    </w:p>
  </w:footnote>
  <w:footnote w:id="119">
    <w:p w14:paraId="2CFAAE8F" w14:textId="7600D801" w:rsidR="003A2CAC" w:rsidRPr="00BE720D" w:rsidRDefault="003A2CAC" w:rsidP="00013274">
      <w:pPr>
        <w:pStyle w:val="Textonotapie"/>
        <w:ind w:left="-851" w:right="-1227"/>
        <w:jc w:val="both"/>
        <w:rPr>
          <w:rFonts w:asciiTheme="majorBidi" w:hAnsiTheme="majorBidi" w:cstheme="majorBidi"/>
          <w:color w:val="000000" w:themeColor="text1"/>
          <w:lang w:val="es-ES"/>
        </w:rPr>
      </w:pPr>
      <w:r w:rsidRPr="00BE720D">
        <w:rPr>
          <w:rStyle w:val="Refdenotaalpie"/>
          <w:rFonts w:asciiTheme="majorBidi" w:hAnsiTheme="majorBidi" w:cstheme="majorBidi"/>
          <w:color w:val="000000" w:themeColor="text1"/>
          <w:sz w:val="20"/>
        </w:rPr>
        <w:footnoteRef/>
      </w:r>
      <w:r w:rsidRPr="00BE720D">
        <w:rPr>
          <w:rFonts w:asciiTheme="majorBidi" w:hAnsiTheme="majorBidi" w:cstheme="majorBidi"/>
          <w:color w:val="000000" w:themeColor="text1"/>
          <w:lang w:val="es-GT"/>
        </w:rPr>
        <w:t xml:space="preserve"> Corte de Constitucionalidad. Comunicado de Prensa, Caso Mina </w:t>
      </w:r>
      <w:r w:rsidR="006C5737" w:rsidRPr="00BE720D">
        <w:rPr>
          <w:rFonts w:asciiTheme="majorBidi" w:hAnsiTheme="majorBidi" w:cstheme="majorBidi"/>
          <w:color w:val="000000" w:themeColor="text1"/>
          <w:lang w:val="es-GT"/>
        </w:rPr>
        <w:t>Fé</w:t>
      </w:r>
      <w:r w:rsidR="006C5737">
        <w:rPr>
          <w:rFonts w:asciiTheme="majorBidi" w:hAnsiTheme="majorBidi" w:cstheme="majorBidi"/>
          <w:color w:val="000000" w:themeColor="text1"/>
          <w:lang w:val="es-GT"/>
        </w:rPr>
        <w:t>n</w:t>
      </w:r>
      <w:r w:rsidR="006C5737" w:rsidRPr="00BE720D">
        <w:rPr>
          <w:rFonts w:asciiTheme="majorBidi" w:hAnsiTheme="majorBidi" w:cstheme="majorBidi"/>
          <w:color w:val="000000" w:themeColor="text1"/>
          <w:lang w:val="es-GT"/>
        </w:rPr>
        <w:t>ix</w:t>
      </w:r>
      <w:r w:rsidRPr="00BE720D">
        <w:rPr>
          <w:rFonts w:asciiTheme="majorBidi" w:hAnsiTheme="majorBidi" w:cstheme="majorBidi"/>
          <w:color w:val="000000" w:themeColor="text1"/>
          <w:lang w:val="es-GT"/>
        </w:rPr>
        <w:t xml:space="preserve">. Expediente 697-2019. Disponible en:  </w:t>
      </w:r>
      <w:hyperlink r:id="rId76" w:history="1">
        <w:r w:rsidRPr="00BE720D">
          <w:rPr>
            <w:rStyle w:val="Hipervnculo"/>
            <w:rFonts w:asciiTheme="majorBidi" w:hAnsiTheme="majorBidi" w:cstheme="majorBidi"/>
            <w:color w:val="000000" w:themeColor="text1"/>
            <w:lang w:val="es-GT"/>
          </w:rPr>
          <w:t>https://cc.gob.gt/wp-content/uploads/2023/10/COM-07-2021.pdf</w:t>
        </w:r>
      </w:hyperlink>
      <w:r w:rsidRPr="00BE720D">
        <w:rPr>
          <w:rFonts w:asciiTheme="majorBidi" w:hAnsiTheme="majorBidi" w:cstheme="majorBidi"/>
          <w:color w:val="000000" w:themeColor="text1"/>
          <w:lang w:val="es-GT"/>
        </w:rPr>
        <w:t xml:space="preserve"> </w:t>
      </w:r>
    </w:p>
  </w:footnote>
  <w:footnote w:id="120">
    <w:p w14:paraId="28076956" w14:textId="77777777" w:rsidR="003A2CAC" w:rsidRPr="00BE720D" w:rsidRDefault="003A2CAC" w:rsidP="00013274">
      <w:pPr>
        <w:pStyle w:val="Textonotapie"/>
        <w:ind w:left="-851" w:right="-1227"/>
        <w:jc w:val="both"/>
        <w:rPr>
          <w:rFonts w:asciiTheme="majorBidi" w:hAnsiTheme="majorBidi" w:cstheme="majorBidi"/>
          <w:color w:val="000000" w:themeColor="text1"/>
          <w:lang w:val="es-ES"/>
        </w:rPr>
      </w:pPr>
      <w:r w:rsidRPr="00BE720D">
        <w:rPr>
          <w:rStyle w:val="Refdenotaalpie"/>
          <w:rFonts w:asciiTheme="majorBidi" w:hAnsiTheme="majorBidi" w:cstheme="majorBidi"/>
          <w:color w:val="000000" w:themeColor="text1"/>
          <w:sz w:val="20"/>
        </w:rPr>
        <w:footnoteRef/>
      </w:r>
      <w:r w:rsidRPr="00BE720D">
        <w:rPr>
          <w:rFonts w:asciiTheme="majorBidi" w:hAnsiTheme="majorBidi" w:cstheme="majorBidi"/>
          <w:color w:val="000000" w:themeColor="text1"/>
          <w:lang w:val="es-GT"/>
        </w:rPr>
        <w:t xml:space="preserve"> Ver Publicación en sitio web del Ministerio de Energía y Minas, denominada “CONSULTA AL PUEBLO Q`EQCHI`POR LA EXTRACCIÓN MINERA FÉNIX”. Disponible en: </w:t>
      </w:r>
      <w:hyperlink r:id="rId77" w:history="1">
        <w:r w:rsidRPr="00BE720D">
          <w:rPr>
            <w:rStyle w:val="Hipervnculo"/>
            <w:rFonts w:asciiTheme="majorBidi" w:hAnsiTheme="majorBidi" w:cstheme="majorBidi"/>
            <w:color w:val="000000" w:themeColor="text1"/>
            <w:lang w:val="es-GT"/>
          </w:rPr>
          <w:t>https://mem.gob.gt/proyecto-extraccion-minera-fenix/</w:t>
        </w:r>
      </w:hyperlink>
      <w:r w:rsidRPr="00BE720D">
        <w:rPr>
          <w:rFonts w:asciiTheme="majorBidi" w:hAnsiTheme="majorBidi" w:cstheme="majorBidi"/>
          <w:color w:val="000000" w:themeColor="text1"/>
          <w:lang w:val="es-GT"/>
        </w:rPr>
        <w:t xml:space="preserve"> </w:t>
      </w:r>
    </w:p>
  </w:footnote>
  <w:footnote w:id="121">
    <w:p w14:paraId="3F60C35C" w14:textId="77777777" w:rsidR="003A2CAC" w:rsidRPr="00BE720D" w:rsidRDefault="003A2CAC" w:rsidP="00013274">
      <w:pPr>
        <w:pStyle w:val="Textonotapie"/>
        <w:ind w:left="-851" w:right="-1227"/>
        <w:jc w:val="both"/>
        <w:rPr>
          <w:rFonts w:asciiTheme="majorBidi" w:hAnsiTheme="majorBidi" w:cstheme="majorBidi"/>
          <w:color w:val="000000" w:themeColor="text1"/>
          <w:lang w:val="es-ES"/>
        </w:rPr>
      </w:pPr>
      <w:r w:rsidRPr="00BE720D">
        <w:rPr>
          <w:rStyle w:val="Refdenotaalpie"/>
          <w:rFonts w:asciiTheme="majorBidi" w:hAnsiTheme="majorBidi" w:cstheme="majorBidi"/>
          <w:color w:val="000000" w:themeColor="text1"/>
          <w:sz w:val="20"/>
        </w:rPr>
        <w:footnoteRef/>
      </w:r>
      <w:r w:rsidRPr="00BE720D">
        <w:rPr>
          <w:rFonts w:asciiTheme="majorBidi" w:hAnsiTheme="majorBidi" w:cstheme="majorBidi"/>
          <w:color w:val="000000" w:themeColor="text1"/>
          <w:lang w:val="es-GT"/>
        </w:rPr>
        <w:t xml:space="preserve"> Ver Publicación en sitio web del Ministerio de Energía y Minas, denominada “CONSULTA AL PUEBLO Q`EQCHI`POR LA EXTRACCIÓN MINERA FÉNIX”. Disponible en: </w:t>
      </w:r>
      <w:hyperlink r:id="rId78" w:history="1">
        <w:r w:rsidRPr="00BE720D">
          <w:rPr>
            <w:rStyle w:val="Hipervnculo"/>
            <w:rFonts w:asciiTheme="majorBidi" w:hAnsiTheme="majorBidi" w:cstheme="majorBidi"/>
            <w:color w:val="000000" w:themeColor="text1"/>
            <w:lang w:val="es-GT"/>
          </w:rPr>
          <w:t>https://mem.gob.gt/proyecto-extraccion-minera-fenix/</w:t>
        </w:r>
      </w:hyperlink>
    </w:p>
  </w:footnote>
  <w:footnote w:id="122">
    <w:p w14:paraId="7E338652" w14:textId="77777777" w:rsidR="003A2CAC" w:rsidRPr="00BE720D" w:rsidRDefault="003A2CAC" w:rsidP="00013274">
      <w:pPr>
        <w:pStyle w:val="Textonotapie"/>
        <w:ind w:left="-851" w:right="-1227"/>
        <w:jc w:val="both"/>
        <w:rPr>
          <w:rFonts w:asciiTheme="majorBidi" w:hAnsiTheme="majorBidi" w:cstheme="majorBidi"/>
          <w:color w:val="000000" w:themeColor="text1"/>
          <w:lang w:val="es-GT"/>
        </w:rPr>
      </w:pPr>
      <w:r w:rsidRPr="00BE720D">
        <w:rPr>
          <w:rFonts w:asciiTheme="majorBidi" w:hAnsiTheme="majorBidi" w:cstheme="majorBidi"/>
          <w:color w:val="000000" w:themeColor="text1"/>
          <w:vertAlign w:val="superscript"/>
        </w:rPr>
        <w:footnoteRef/>
      </w:r>
      <w:r w:rsidRPr="00BE720D">
        <w:rPr>
          <w:rFonts w:asciiTheme="majorBidi" w:hAnsiTheme="majorBidi" w:cstheme="majorBidi"/>
          <w:color w:val="000000" w:themeColor="text1"/>
          <w:lang w:val="es-GT"/>
        </w:rPr>
        <w:t xml:space="preserve"> Corte IDH. Caso Comunidad Indígena Maya Q’eqchi’ Agua Caliente Vs. Guatemala. Fondo, Reparaciones y Costas. Sentencia de 16 de mayo de 2023. Serie C No. 488, párr. 169. Disponible en: </w:t>
      </w:r>
      <w:hyperlink r:id="rId79" w:history="1">
        <w:r w:rsidRPr="00BE720D">
          <w:rPr>
            <w:rStyle w:val="Hipervnculo"/>
            <w:rFonts w:asciiTheme="majorBidi" w:hAnsiTheme="majorBidi" w:cstheme="majorBidi"/>
            <w:color w:val="000000" w:themeColor="text1"/>
            <w:lang w:val="es-GT"/>
          </w:rPr>
          <w:t>https://www.corteidh.or.cr/docs/casos/articulos/seriec_488_esp.pdf</w:t>
        </w:r>
      </w:hyperlink>
      <w:r w:rsidRPr="00BE720D">
        <w:rPr>
          <w:rFonts w:asciiTheme="majorBidi" w:hAnsiTheme="majorBidi" w:cstheme="majorBidi"/>
          <w:color w:val="000000" w:themeColor="text1"/>
          <w:lang w:val="es-GT"/>
        </w:rPr>
        <w:t xml:space="preserve"> </w:t>
      </w:r>
    </w:p>
  </w:footnote>
  <w:footnote w:id="123">
    <w:p w14:paraId="19B4F931" w14:textId="77777777" w:rsidR="003A2CAC" w:rsidRPr="00BE720D" w:rsidRDefault="003A2CAC" w:rsidP="00013274">
      <w:pPr>
        <w:pStyle w:val="Textonotapie"/>
        <w:ind w:left="-851" w:right="-1227"/>
        <w:jc w:val="both"/>
        <w:rPr>
          <w:rFonts w:asciiTheme="majorBidi" w:hAnsiTheme="majorBidi" w:cstheme="majorBidi"/>
          <w:color w:val="000000" w:themeColor="text1"/>
          <w:lang w:val="es-ES"/>
        </w:rPr>
      </w:pPr>
      <w:r w:rsidRPr="00BE720D">
        <w:rPr>
          <w:rStyle w:val="Refdenotaalpie"/>
          <w:rFonts w:asciiTheme="majorBidi" w:hAnsiTheme="majorBidi" w:cstheme="majorBidi"/>
          <w:color w:val="000000" w:themeColor="text1"/>
          <w:sz w:val="20"/>
        </w:rPr>
        <w:footnoteRef/>
      </w:r>
      <w:r w:rsidRPr="00BE720D">
        <w:rPr>
          <w:rFonts w:asciiTheme="majorBidi" w:hAnsiTheme="majorBidi" w:cstheme="majorBidi"/>
          <w:color w:val="000000" w:themeColor="text1"/>
          <w:lang w:val="es-GT"/>
        </w:rPr>
        <w:t xml:space="preserve"> Ver Publicación en sitio web del Ministerio de Energía y Minas, denominada “CONSULTA AL PUEBLO Q`EQCHI`POR LA EXTRACCIÓN MINERA FÉNIX”. Disponible en: </w:t>
      </w:r>
      <w:hyperlink r:id="rId80" w:history="1">
        <w:r w:rsidRPr="00BE720D">
          <w:rPr>
            <w:rStyle w:val="Hipervnculo"/>
            <w:rFonts w:asciiTheme="majorBidi" w:hAnsiTheme="majorBidi" w:cstheme="majorBidi"/>
            <w:color w:val="000000" w:themeColor="text1"/>
            <w:lang w:val="es-GT"/>
          </w:rPr>
          <w:t>https://mem.gob.gt/proyecto-extraccion-minera-fenix/</w:t>
        </w:r>
      </w:hyperlink>
    </w:p>
  </w:footnote>
  <w:footnote w:id="124">
    <w:p w14:paraId="4EC89AF3" w14:textId="77777777" w:rsidR="003A2CAC" w:rsidRPr="00BE720D" w:rsidRDefault="003A2CAC" w:rsidP="00013274">
      <w:pPr>
        <w:pStyle w:val="Textonotapie"/>
        <w:ind w:left="-851" w:right="-1227"/>
        <w:jc w:val="both"/>
        <w:rPr>
          <w:rFonts w:asciiTheme="majorBidi" w:hAnsiTheme="majorBidi" w:cstheme="majorBidi"/>
          <w:color w:val="000000" w:themeColor="text1"/>
          <w:lang w:val="es-GT"/>
        </w:rPr>
      </w:pPr>
      <w:r w:rsidRPr="00BE720D">
        <w:rPr>
          <w:rStyle w:val="Refdenotaalpie"/>
          <w:rFonts w:asciiTheme="majorBidi" w:hAnsiTheme="majorBidi" w:cstheme="majorBidi"/>
          <w:color w:val="000000" w:themeColor="text1"/>
          <w:sz w:val="20"/>
        </w:rPr>
        <w:footnoteRef/>
      </w:r>
      <w:r w:rsidRPr="00BE720D">
        <w:rPr>
          <w:rFonts w:asciiTheme="majorBidi" w:hAnsiTheme="majorBidi" w:cstheme="majorBidi"/>
          <w:color w:val="000000" w:themeColor="text1"/>
          <w:lang w:val="es-GT"/>
        </w:rPr>
        <w:t xml:space="preserve"> Ver notas de Plaza Pública y Prensa Comunitaria, disponibles en </w:t>
      </w:r>
      <w:hyperlink r:id="rId81" w:history="1">
        <w:r w:rsidRPr="00BE720D">
          <w:rPr>
            <w:rStyle w:val="Hipervnculo"/>
            <w:rFonts w:asciiTheme="majorBidi" w:hAnsiTheme="majorBidi" w:cstheme="majorBidi"/>
            <w:color w:val="000000" w:themeColor="text1"/>
            <w:lang w:val="es-GT"/>
          </w:rPr>
          <w:t>https://www.plazapublica.com.gt/content/el-estor-la-consulta-comunitaria-apunta-la-reactivacion-de-la-mina-fenix</w:t>
        </w:r>
      </w:hyperlink>
      <w:r w:rsidRPr="00BE720D">
        <w:rPr>
          <w:rFonts w:asciiTheme="majorBidi" w:hAnsiTheme="majorBidi" w:cstheme="majorBidi"/>
          <w:color w:val="000000" w:themeColor="text1"/>
          <w:lang w:val="es-GT"/>
        </w:rPr>
        <w:t xml:space="preserve"> y </w:t>
      </w:r>
      <w:hyperlink r:id="rId82" w:history="1">
        <w:r w:rsidRPr="00BE720D">
          <w:rPr>
            <w:rStyle w:val="Hipervnculo"/>
            <w:rFonts w:asciiTheme="majorBidi" w:hAnsiTheme="majorBidi" w:cstheme="majorBidi"/>
            <w:color w:val="000000" w:themeColor="text1"/>
            <w:lang w:val="es-GT"/>
          </w:rPr>
          <w:t>https://prensacomunitaria.org/2024/11/comunidades-de-el-estor-denuncian-posible-otorgamiento-de-licencia-a-minas-del-norte-s-a/</w:t>
        </w:r>
      </w:hyperlink>
      <w:r w:rsidRPr="00BE720D">
        <w:rPr>
          <w:rFonts w:asciiTheme="majorBidi" w:hAnsiTheme="majorBidi" w:cstheme="majorBidi"/>
          <w:color w:val="000000" w:themeColor="text1"/>
          <w:lang w:val="es-GT"/>
        </w:rPr>
        <w:t xml:space="preserve"> </w:t>
      </w:r>
    </w:p>
  </w:footnote>
  <w:footnote w:id="125">
    <w:p w14:paraId="00ED476E" w14:textId="77777777" w:rsidR="003A2CAC" w:rsidRPr="00BE720D" w:rsidRDefault="003A2CAC" w:rsidP="00013274">
      <w:pPr>
        <w:pStyle w:val="Textonotapie"/>
        <w:ind w:left="-851" w:right="-1227"/>
        <w:jc w:val="both"/>
        <w:rPr>
          <w:rFonts w:asciiTheme="majorBidi" w:hAnsiTheme="majorBidi" w:cstheme="majorBidi"/>
          <w:color w:val="000000" w:themeColor="text1"/>
          <w:lang w:val="es-GT"/>
        </w:rPr>
      </w:pPr>
      <w:r w:rsidRPr="00BE720D">
        <w:rPr>
          <w:rStyle w:val="Refdenotaalpie"/>
          <w:rFonts w:asciiTheme="majorBidi" w:hAnsiTheme="majorBidi" w:cstheme="majorBidi"/>
          <w:color w:val="000000" w:themeColor="text1"/>
          <w:sz w:val="20"/>
        </w:rPr>
        <w:footnoteRef/>
      </w:r>
      <w:r w:rsidRPr="00BE720D">
        <w:rPr>
          <w:rFonts w:asciiTheme="majorBidi" w:hAnsiTheme="majorBidi" w:cstheme="majorBidi"/>
          <w:color w:val="000000" w:themeColor="text1"/>
          <w:lang w:val="es-GT"/>
        </w:rPr>
        <w:t xml:space="preserve"> Presidente de la República en Consejo de </w:t>
      </w:r>
      <w:proofErr w:type="gramStart"/>
      <w:r w:rsidRPr="00BE720D">
        <w:rPr>
          <w:rFonts w:asciiTheme="majorBidi" w:hAnsiTheme="majorBidi" w:cstheme="majorBidi"/>
          <w:color w:val="000000" w:themeColor="text1"/>
          <w:lang w:val="es-GT"/>
        </w:rPr>
        <w:t>Ministros</w:t>
      </w:r>
      <w:proofErr w:type="gramEnd"/>
      <w:r w:rsidRPr="00BE720D">
        <w:rPr>
          <w:rFonts w:asciiTheme="majorBidi" w:hAnsiTheme="majorBidi" w:cstheme="majorBidi"/>
          <w:color w:val="000000" w:themeColor="text1"/>
          <w:lang w:val="es-GT"/>
        </w:rPr>
        <w:t>. Decreto Gubernativo 9-2021. 22 de octubre de 2021.</w:t>
      </w:r>
    </w:p>
  </w:footnote>
  <w:footnote w:id="126">
    <w:p w14:paraId="29D9F0B3" w14:textId="77777777" w:rsidR="003A2CAC" w:rsidRPr="00BE720D" w:rsidRDefault="003A2CAC" w:rsidP="00013274">
      <w:pPr>
        <w:pStyle w:val="Textonotapie"/>
        <w:ind w:left="-851" w:right="-1227"/>
        <w:jc w:val="both"/>
        <w:rPr>
          <w:rFonts w:asciiTheme="majorBidi" w:hAnsiTheme="majorBidi" w:cstheme="majorBidi"/>
          <w:color w:val="000000" w:themeColor="text1"/>
          <w:lang w:val="es-GT"/>
        </w:rPr>
      </w:pPr>
      <w:r w:rsidRPr="00BE720D">
        <w:rPr>
          <w:rStyle w:val="Refdenotaalpie"/>
          <w:rFonts w:asciiTheme="majorBidi" w:hAnsiTheme="majorBidi" w:cstheme="majorBidi"/>
          <w:color w:val="000000" w:themeColor="text1"/>
          <w:sz w:val="20"/>
        </w:rPr>
        <w:footnoteRef/>
      </w:r>
      <w:r w:rsidRPr="00BE720D">
        <w:rPr>
          <w:rFonts w:asciiTheme="majorBidi" w:hAnsiTheme="majorBidi" w:cstheme="majorBidi"/>
          <w:color w:val="000000" w:themeColor="text1"/>
          <w:lang w:val="es-GT"/>
        </w:rPr>
        <w:t xml:space="preserve"> Corte IDH. Caso Comunidad Indígena Maya Q’eqchi’ Agua Caliente Vs. Guatemala. Fondo, Reparaciones y Costas. Sentencia de 16 de mayo de 2023. Serie C No. 488, párr. 104. Disponible en: </w:t>
      </w:r>
      <w:hyperlink r:id="rId83" w:history="1">
        <w:r w:rsidRPr="00BE720D">
          <w:rPr>
            <w:rStyle w:val="Hipervnculo"/>
            <w:rFonts w:asciiTheme="majorBidi" w:hAnsiTheme="majorBidi" w:cstheme="majorBidi"/>
            <w:color w:val="000000" w:themeColor="text1"/>
            <w:lang w:val="es-GT"/>
          </w:rPr>
          <w:t>https://www.corteidh.or.cr/docs/casos/articulos/seriec_488_esp.pdf</w:t>
        </w:r>
      </w:hyperlink>
      <w:r w:rsidRPr="00BE720D">
        <w:rPr>
          <w:rFonts w:asciiTheme="majorBidi" w:hAnsiTheme="majorBidi" w:cstheme="majorBidi"/>
          <w:color w:val="000000" w:themeColor="text1"/>
          <w:lang w:val="es-GT"/>
        </w:rPr>
        <w:t xml:space="preserve"> </w:t>
      </w:r>
    </w:p>
  </w:footnote>
  <w:footnote w:id="127">
    <w:p w14:paraId="28F3BD2D" w14:textId="77777777" w:rsidR="003A2CAC" w:rsidRPr="00BE720D" w:rsidRDefault="003A2CAC" w:rsidP="00013274">
      <w:pPr>
        <w:pStyle w:val="Textonotapie"/>
        <w:ind w:left="-851" w:right="-1227"/>
        <w:jc w:val="both"/>
        <w:rPr>
          <w:rFonts w:asciiTheme="majorBidi" w:hAnsiTheme="majorBidi" w:cstheme="majorBidi"/>
          <w:color w:val="000000" w:themeColor="text1"/>
          <w:lang w:val="es-GT"/>
        </w:rPr>
      </w:pPr>
      <w:r w:rsidRPr="00BE720D">
        <w:rPr>
          <w:rStyle w:val="Refdenotaalpie"/>
          <w:rFonts w:asciiTheme="majorBidi" w:hAnsiTheme="majorBidi" w:cstheme="majorBidi"/>
          <w:color w:val="000000" w:themeColor="text1"/>
          <w:sz w:val="20"/>
        </w:rPr>
        <w:footnoteRef/>
      </w:r>
      <w:r w:rsidRPr="00BE720D">
        <w:rPr>
          <w:rFonts w:asciiTheme="majorBidi" w:hAnsiTheme="majorBidi" w:cstheme="majorBidi"/>
          <w:color w:val="000000" w:themeColor="text1"/>
          <w:lang w:val="es-GT"/>
        </w:rPr>
        <w:t xml:space="preserve"> Corte IDH. Caso Comunidad Indígena Maya Q’eqchi’ Agua Caliente Vs. Guatemala. Fondo, Reparaciones y Costas. Sentencia de 16 de mayo de 2023. Serie C No. 488, párr. 283. Disponible en: </w:t>
      </w:r>
      <w:hyperlink r:id="rId84" w:history="1">
        <w:r w:rsidRPr="00BE720D">
          <w:rPr>
            <w:rStyle w:val="Hipervnculo"/>
            <w:rFonts w:asciiTheme="majorBidi" w:hAnsiTheme="majorBidi" w:cstheme="majorBidi"/>
            <w:color w:val="000000" w:themeColor="text1"/>
            <w:lang w:val="es-GT"/>
          </w:rPr>
          <w:t>https://www.corteidh.or.cr/docs/casos/articulos/seriec_488_esp.pdf</w:t>
        </w:r>
      </w:hyperlink>
      <w:r w:rsidRPr="00BE720D">
        <w:rPr>
          <w:rFonts w:asciiTheme="majorBidi" w:hAnsiTheme="majorBidi" w:cstheme="majorBidi"/>
          <w:color w:val="000000" w:themeColor="text1"/>
          <w:lang w:val="es-GT"/>
        </w:rPr>
        <w:t xml:space="preserve"> </w:t>
      </w:r>
    </w:p>
  </w:footnote>
  <w:footnote w:id="128">
    <w:p w14:paraId="29AD2487" w14:textId="77777777" w:rsidR="003A2CAC" w:rsidRPr="00BE720D" w:rsidRDefault="003A2CAC" w:rsidP="00013274">
      <w:pPr>
        <w:pStyle w:val="Textonotapie"/>
        <w:ind w:left="-851" w:right="-1227"/>
        <w:jc w:val="both"/>
        <w:rPr>
          <w:rFonts w:asciiTheme="majorBidi" w:hAnsiTheme="majorBidi" w:cstheme="majorBidi"/>
          <w:color w:val="000000" w:themeColor="text1"/>
          <w:lang w:val="es-GT"/>
        </w:rPr>
      </w:pPr>
      <w:r w:rsidRPr="00BE720D">
        <w:rPr>
          <w:rStyle w:val="Refdenotaalpie"/>
          <w:rFonts w:asciiTheme="majorBidi" w:hAnsiTheme="majorBidi" w:cstheme="majorBidi"/>
          <w:color w:val="000000" w:themeColor="text1"/>
          <w:sz w:val="20"/>
        </w:rPr>
        <w:footnoteRef/>
      </w:r>
      <w:r w:rsidRPr="00BE720D">
        <w:rPr>
          <w:rFonts w:asciiTheme="majorBidi" w:hAnsiTheme="majorBidi" w:cstheme="majorBidi"/>
          <w:color w:val="000000" w:themeColor="text1"/>
          <w:lang w:val="es-GT"/>
        </w:rPr>
        <w:t xml:space="preserve"> Corte IDH. Caso Comunidad Indígena Maya Q’eqchi’ Agua Caliente Vs. Guatemala. Fondo, Reparaciones y Costas. Sentencia de 16 de mayo de 2023. Serie C No. 488, Punto Resolutivo 10. Disponible en: </w:t>
      </w:r>
      <w:hyperlink r:id="rId85" w:history="1">
        <w:r w:rsidRPr="00BE720D">
          <w:rPr>
            <w:rStyle w:val="Hipervnculo"/>
            <w:rFonts w:asciiTheme="majorBidi" w:hAnsiTheme="majorBidi" w:cstheme="majorBidi"/>
            <w:color w:val="000000" w:themeColor="text1"/>
            <w:lang w:val="es-GT"/>
          </w:rPr>
          <w:t>https://www.corteidh.or.cr/docs/casos/articulos/seriec_488_esp.pdf</w:t>
        </w:r>
      </w:hyperlink>
      <w:r w:rsidRPr="00BE720D">
        <w:rPr>
          <w:rFonts w:asciiTheme="majorBidi" w:hAnsiTheme="majorBidi" w:cstheme="majorBidi"/>
          <w:color w:val="000000" w:themeColor="text1"/>
          <w:lang w:val="es-GT"/>
        </w:rPr>
        <w:t xml:space="preserve"> </w:t>
      </w:r>
    </w:p>
  </w:footnote>
  <w:footnote w:id="129">
    <w:p w14:paraId="74C17A3D" w14:textId="77777777" w:rsidR="003A2CAC" w:rsidRPr="00BE720D" w:rsidRDefault="003A2CAC" w:rsidP="00013274">
      <w:pPr>
        <w:pStyle w:val="Textonotapie"/>
        <w:ind w:left="-851" w:right="-1227"/>
        <w:jc w:val="both"/>
        <w:rPr>
          <w:rFonts w:asciiTheme="majorBidi" w:hAnsiTheme="majorBidi" w:cstheme="majorBidi"/>
          <w:color w:val="000000" w:themeColor="text1"/>
          <w:lang w:val="es-ES"/>
        </w:rPr>
      </w:pPr>
      <w:r w:rsidRPr="00BE720D">
        <w:rPr>
          <w:rStyle w:val="Refdenotaalpie"/>
          <w:rFonts w:asciiTheme="majorBidi" w:hAnsiTheme="majorBidi" w:cstheme="majorBidi"/>
          <w:color w:val="000000" w:themeColor="text1"/>
          <w:sz w:val="20"/>
        </w:rPr>
        <w:footnoteRef/>
      </w:r>
      <w:r w:rsidRPr="00BE720D">
        <w:rPr>
          <w:rFonts w:asciiTheme="majorBidi" w:hAnsiTheme="majorBidi" w:cstheme="majorBidi"/>
          <w:color w:val="000000" w:themeColor="text1"/>
          <w:lang w:val="es-GT"/>
        </w:rPr>
        <w:t xml:space="preserve"> Corte Suprema de Justicia, Cámara de Amparo y Antejuicio. Resolución de ejecución de amparo del 31 de julio de 2024, pág. 12.</w:t>
      </w:r>
    </w:p>
  </w:footnote>
  <w:footnote w:id="130">
    <w:p w14:paraId="0E786B09" w14:textId="77777777" w:rsidR="003A2CAC" w:rsidRPr="00BE720D" w:rsidRDefault="003A2CAC" w:rsidP="00013274">
      <w:pPr>
        <w:pStyle w:val="Textonotapie"/>
        <w:ind w:left="-851" w:right="-1227"/>
        <w:jc w:val="both"/>
        <w:rPr>
          <w:rFonts w:asciiTheme="majorBidi" w:hAnsiTheme="majorBidi" w:cstheme="majorBidi"/>
          <w:color w:val="000000" w:themeColor="text1"/>
          <w:lang w:val="es-GT"/>
        </w:rPr>
      </w:pPr>
      <w:r w:rsidRPr="00BE720D">
        <w:rPr>
          <w:rStyle w:val="Refdenotaalpie"/>
          <w:rFonts w:asciiTheme="majorBidi" w:hAnsiTheme="majorBidi" w:cstheme="majorBidi"/>
          <w:color w:val="000000" w:themeColor="text1"/>
          <w:sz w:val="20"/>
        </w:rPr>
        <w:footnoteRef/>
      </w:r>
      <w:r w:rsidRPr="00BE720D">
        <w:rPr>
          <w:rFonts w:asciiTheme="majorBidi" w:hAnsiTheme="majorBidi" w:cstheme="majorBidi"/>
          <w:color w:val="000000" w:themeColor="text1"/>
          <w:lang w:val="es-GT"/>
        </w:rPr>
        <w:t xml:space="preserve"> Ver ANEXO: Listado de licencias mineras en operación en Chinautla, departamento de Guatemala, Guatemala.</w:t>
      </w:r>
    </w:p>
  </w:footnote>
  <w:footnote w:id="131">
    <w:p w14:paraId="3CAEF08B" w14:textId="77777777" w:rsidR="003A2CAC" w:rsidRPr="00BE720D" w:rsidRDefault="003A2CAC" w:rsidP="00013274">
      <w:pPr>
        <w:pStyle w:val="Textonotapie"/>
        <w:ind w:left="-851" w:right="-1227"/>
        <w:jc w:val="both"/>
        <w:rPr>
          <w:rFonts w:asciiTheme="majorBidi" w:hAnsiTheme="majorBidi" w:cstheme="majorBidi"/>
          <w:color w:val="000000" w:themeColor="text1"/>
          <w:lang w:val="es-ES"/>
        </w:rPr>
      </w:pPr>
      <w:r w:rsidRPr="00BE720D">
        <w:rPr>
          <w:rStyle w:val="Refdenotaalpie"/>
          <w:rFonts w:asciiTheme="majorBidi" w:hAnsiTheme="majorBidi" w:cstheme="majorBidi"/>
          <w:color w:val="000000" w:themeColor="text1"/>
          <w:sz w:val="20"/>
        </w:rPr>
        <w:footnoteRef/>
      </w:r>
      <w:r w:rsidRPr="00BE720D">
        <w:rPr>
          <w:rFonts w:asciiTheme="majorBidi" w:hAnsiTheme="majorBidi" w:cstheme="majorBidi"/>
          <w:color w:val="000000" w:themeColor="text1"/>
          <w:lang w:val="es-GT"/>
        </w:rPr>
        <w:t xml:space="preserve"> Ver </w:t>
      </w:r>
      <w:hyperlink r:id="rId86" w:history="1">
        <w:r w:rsidRPr="00BE720D">
          <w:rPr>
            <w:rStyle w:val="Hipervnculo"/>
            <w:rFonts w:asciiTheme="majorBidi" w:hAnsiTheme="majorBidi" w:cstheme="majorBidi"/>
            <w:color w:val="000000" w:themeColor="text1"/>
            <w:lang w:val="es-GT"/>
          </w:rPr>
          <w:t>https://srdefenders.org/guatemala-muerte-violenta-del-hijo-de-un-defensor-de-los-derechos-humanos-indigena-y-lesiones-fisicas-a-su-otro-hijo-en-un-ataque-armado-comunicacion-conjunta/?utm_source=chatgpt.com</w:t>
        </w:r>
      </w:hyperlink>
      <w:r w:rsidRPr="00BE720D">
        <w:rPr>
          <w:rFonts w:asciiTheme="majorBidi" w:hAnsiTheme="majorBidi" w:cstheme="majorBidi"/>
          <w:color w:val="000000" w:themeColor="text1"/>
          <w:lang w:val="es-GT"/>
        </w:rPr>
        <w:t xml:space="preserve"> </w:t>
      </w:r>
    </w:p>
  </w:footnote>
  <w:footnote w:id="132">
    <w:p w14:paraId="490D75D7" w14:textId="77777777" w:rsidR="00197C3D" w:rsidRPr="00BE720D" w:rsidRDefault="00197C3D" w:rsidP="00013274">
      <w:pPr>
        <w:pStyle w:val="Textonotapie"/>
        <w:jc w:val="both"/>
        <w:rPr>
          <w:rFonts w:asciiTheme="majorBidi" w:hAnsiTheme="majorBidi" w:cstheme="majorBidi"/>
          <w:color w:val="000000" w:themeColor="text1"/>
          <w:lang w:val="es-ES"/>
        </w:rPr>
      </w:pPr>
      <w:r w:rsidRPr="00BE720D">
        <w:rPr>
          <w:rStyle w:val="Refdenotaalpie"/>
          <w:rFonts w:asciiTheme="majorBidi" w:hAnsiTheme="majorBidi" w:cstheme="majorBidi"/>
          <w:color w:val="000000" w:themeColor="text1"/>
          <w:sz w:val="20"/>
        </w:rPr>
        <w:footnoteRef/>
      </w:r>
      <w:r w:rsidRPr="00BE720D">
        <w:rPr>
          <w:rFonts w:asciiTheme="majorBidi" w:hAnsiTheme="majorBidi" w:cstheme="majorBidi"/>
          <w:color w:val="000000" w:themeColor="text1"/>
          <w:lang w:val="es-GT"/>
        </w:rPr>
        <w:t xml:space="preserve"> </w:t>
      </w:r>
      <w:r w:rsidRPr="00BE720D">
        <w:rPr>
          <w:rFonts w:asciiTheme="majorBidi" w:hAnsiTheme="majorBidi" w:cstheme="majorBidi"/>
          <w:color w:val="000000" w:themeColor="text1"/>
          <w:lang w:val="es-ES"/>
        </w:rPr>
        <w:t xml:space="preserve">Ver Notas de La Cuerda y Agencia Ocote. Disponibles en: </w:t>
      </w:r>
      <w:hyperlink r:id="rId87" w:history="1">
        <w:r w:rsidRPr="00BE720D">
          <w:rPr>
            <w:rStyle w:val="Hipervnculo"/>
            <w:rFonts w:asciiTheme="majorBidi" w:hAnsiTheme="majorBidi" w:cstheme="majorBidi"/>
            <w:color w:val="000000" w:themeColor="text1"/>
            <w:lang w:val="es-ES"/>
          </w:rPr>
          <w:t>https://lacuerda.gt/2021/08/20/ley-de-agua-deuda-historica-en-guatemala-y-el-salvador/</w:t>
        </w:r>
      </w:hyperlink>
      <w:r w:rsidRPr="00BE720D">
        <w:rPr>
          <w:rFonts w:asciiTheme="majorBidi" w:hAnsiTheme="majorBidi" w:cstheme="majorBidi"/>
          <w:color w:val="000000" w:themeColor="text1"/>
          <w:lang w:val="es-ES"/>
        </w:rPr>
        <w:t xml:space="preserve"> y </w:t>
      </w:r>
      <w:hyperlink r:id="rId88" w:history="1">
        <w:r w:rsidRPr="00BE720D">
          <w:rPr>
            <w:rStyle w:val="Hipervnculo"/>
            <w:rFonts w:asciiTheme="majorBidi" w:hAnsiTheme="majorBidi" w:cstheme="majorBidi"/>
            <w:color w:val="000000" w:themeColor="text1"/>
            <w:lang w:val="es-ES"/>
          </w:rPr>
          <w:t>https://www.agenciaocote.com/blog/2023/08/30/asi-fue-como-la-corrupcion-dejo-sin-agua-a-una-comunidad/</w:t>
        </w:r>
      </w:hyperlink>
      <w:r w:rsidRPr="00BE720D">
        <w:rPr>
          <w:rFonts w:asciiTheme="majorBidi" w:hAnsiTheme="majorBidi" w:cstheme="majorBidi"/>
          <w:color w:val="000000" w:themeColor="text1"/>
          <w:lang w:val="es-ES"/>
        </w:rPr>
        <w:t xml:space="preserve"> </w:t>
      </w:r>
    </w:p>
  </w:footnote>
  <w:footnote w:id="133">
    <w:p w14:paraId="246EA6CD" w14:textId="77777777" w:rsidR="00197C3D" w:rsidRPr="00BE720D" w:rsidRDefault="00197C3D" w:rsidP="00013274">
      <w:pPr>
        <w:pStyle w:val="Textonotapie"/>
        <w:jc w:val="both"/>
        <w:rPr>
          <w:rFonts w:asciiTheme="majorBidi" w:hAnsiTheme="majorBidi" w:cstheme="majorBidi"/>
          <w:color w:val="000000" w:themeColor="text1"/>
          <w:lang w:val="es-ES"/>
        </w:rPr>
      </w:pPr>
      <w:r w:rsidRPr="00BE720D">
        <w:rPr>
          <w:rStyle w:val="Refdenotaalpie"/>
          <w:rFonts w:asciiTheme="majorBidi" w:hAnsiTheme="majorBidi" w:cstheme="majorBidi"/>
          <w:color w:val="000000" w:themeColor="text1"/>
          <w:sz w:val="20"/>
        </w:rPr>
        <w:footnoteRef/>
      </w:r>
      <w:r w:rsidRPr="00BE720D">
        <w:rPr>
          <w:rFonts w:asciiTheme="majorBidi" w:hAnsiTheme="majorBidi" w:cstheme="majorBidi"/>
          <w:color w:val="000000" w:themeColor="text1"/>
          <w:lang w:val="es-GT"/>
        </w:rPr>
        <w:t xml:space="preserve"> Ver Nota de Prensa de la Procuraduría de los Derechos Humanos del 15 de marzo de 2024. Disponible en: </w:t>
      </w:r>
      <w:hyperlink r:id="rId89" w:history="1">
        <w:r w:rsidRPr="00BE720D">
          <w:rPr>
            <w:rStyle w:val="Hipervnculo"/>
            <w:rFonts w:asciiTheme="majorBidi" w:hAnsiTheme="majorBidi" w:cstheme="majorBidi"/>
            <w:color w:val="000000" w:themeColor="text1"/>
            <w:lang w:val="es-GT"/>
          </w:rPr>
          <w:t>https://www.pdh.org.gt/prensa/noticias/verifican-fuentes-de-agua-en-chinautla.html</w:t>
        </w:r>
      </w:hyperlink>
      <w:r w:rsidRPr="00BE720D">
        <w:rPr>
          <w:rFonts w:asciiTheme="majorBidi" w:hAnsiTheme="majorBidi" w:cstheme="majorBidi"/>
          <w:color w:val="000000" w:themeColor="text1"/>
          <w:lang w:val="es-GT"/>
        </w:rPr>
        <w:t xml:space="preserve"> </w:t>
      </w:r>
    </w:p>
  </w:footnote>
  <w:footnote w:id="134">
    <w:p w14:paraId="3034A6B7" w14:textId="77777777" w:rsidR="00365A48" w:rsidRPr="00BE720D" w:rsidRDefault="00365A48" w:rsidP="00013274">
      <w:pPr>
        <w:pStyle w:val="Textonotapie"/>
        <w:jc w:val="both"/>
        <w:rPr>
          <w:rFonts w:asciiTheme="majorBidi" w:hAnsiTheme="majorBidi" w:cstheme="majorBidi"/>
          <w:color w:val="000000" w:themeColor="text1"/>
          <w:lang w:val="es-GT"/>
        </w:rPr>
      </w:pPr>
      <w:r w:rsidRPr="00BE720D">
        <w:rPr>
          <w:rStyle w:val="Caracteresdenotaalpie"/>
          <w:rFonts w:asciiTheme="majorBidi" w:hAnsiTheme="majorBidi" w:cstheme="majorBidi"/>
          <w:color w:val="000000" w:themeColor="text1"/>
        </w:rPr>
        <w:footnoteRef/>
      </w:r>
      <w:r w:rsidRPr="00BE720D">
        <w:rPr>
          <w:rFonts w:asciiTheme="majorBidi" w:hAnsiTheme="majorBidi" w:cstheme="majorBidi"/>
          <w:color w:val="000000" w:themeColor="text1"/>
          <w:lang w:val="es-GT"/>
        </w:rPr>
        <w:tab/>
        <w:t xml:space="preserve"> CIDH. Resolución 36/2017, Medida cautelar No. 412-17. 8 de septiembre de 2017. Disponible en: </w:t>
      </w:r>
      <w:hyperlink r:id="rId90" w:anchor="_blank" w:history="1">
        <w:r w:rsidRPr="00BE720D">
          <w:rPr>
            <w:rStyle w:val="Hipervnculo"/>
            <w:rFonts w:asciiTheme="majorBidi" w:hAnsiTheme="majorBidi" w:cstheme="majorBidi"/>
            <w:color w:val="000000" w:themeColor="text1"/>
            <w:lang w:val="es-GT"/>
          </w:rPr>
          <w:t>https://www.oas.org/es/cidh/decisiones/pdf/2017/36-17mc412-17gu.pdf</w:t>
        </w:r>
      </w:hyperlink>
    </w:p>
  </w:footnote>
  <w:footnote w:id="135">
    <w:p w14:paraId="6EEC749F" w14:textId="77777777" w:rsidR="00365A48" w:rsidRPr="00BE720D" w:rsidRDefault="00365A48" w:rsidP="00013274">
      <w:pPr>
        <w:pStyle w:val="Textonotapie"/>
        <w:jc w:val="both"/>
        <w:rPr>
          <w:rFonts w:asciiTheme="majorBidi" w:hAnsiTheme="majorBidi" w:cstheme="majorBidi"/>
          <w:color w:val="000000" w:themeColor="text1"/>
          <w:lang w:val="es-GT"/>
        </w:rPr>
      </w:pPr>
      <w:r w:rsidRPr="00BE720D">
        <w:rPr>
          <w:rStyle w:val="Caracteresdenotaalpie"/>
          <w:rFonts w:asciiTheme="majorBidi" w:hAnsiTheme="majorBidi" w:cstheme="majorBidi"/>
          <w:color w:val="000000" w:themeColor="text1"/>
        </w:rPr>
        <w:footnoteRef/>
      </w:r>
      <w:r w:rsidRPr="00BE720D">
        <w:rPr>
          <w:rFonts w:asciiTheme="majorBidi" w:hAnsiTheme="majorBidi" w:cstheme="majorBidi"/>
          <w:color w:val="000000" w:themeColor="text1"/>
          <w:lang w:val="es-GT"/>
        </w:rPr>
        <w:tab/>
        <w:t xml:space="preserve"> Corte de Constitucionalidad. Apelación de Sentencia de amparo. Expediente 4647-2018, página 50.</w:t>
      </w:r>
    </w:p>
  </w:footnote>
  <w:footnote w:id="136">
    <w:p w14:paraId="0042F62C" w14:textId="77777777" w:rsidR="00365A48" w:rsidRPr="00BE720D" w:rsidRDefault="00365A48" w:rsidP="00013274">
      <w:pPr>
        <w:pStyle w:val="Textonotapie"/>
        <w:jc w:val="both"/>
        <w:rPr>
          <w:rFonts w:asciiTheme="majorBidi" w:hAnsiTheme="majorBidi" w:cstheme="majorBidi"/>
          <w:color w:val="000000" w:themeColor="text1"/>
          <w:lang w:val="es-GT"/>
        </w:rPr>
      </w:pPr>
      <w:r w:rsidRPr="00BE720D">
        <w:rPr>
          <w:rStyle w:val="Caracteresdenotaalpie"/>
          <w:rFonts w:asciiTheme="majorBidi" w:hAnsiTheme="majorBidi" w:cstheme="majorBidi"/>
          <w:color w:val="000000" w:themeColor="text1"/>
        </w:rPr>
        <w:footnoteRef/>
      </w:r>
      <w:r w:rsidRPr="00BE720D">
        <w:rPr>
          <w:rFonts w:asciiTheme="majorBidi" w:hAnsiTheme="majorBidi" w:cstheme="majorBidi"/>
          <w:color w:val="000000" w:themeColor="text1"/>
          <w:lang w:val="es-GT"/>
        </w:rPr>
        <w:tab/>
        <w:t xml:space="preserve"> Corte de Constitucionalidad. Apelación de Sentencia de amparo. Expediente 4647-2018, página 50.</w:t>
      </w:r>
    </w:p>
  </w:footnote>
  <w:footnote w:id="137">
    <w:p w14:paraId="23EA9395" w14:textId="77777777" w:rsidR="00365A48" w:rsidRPr="00BE720D" w:rsidRDefault="00365A48" w:rsidP="00013274">
      <w:pPr>
        <w:pStyle w:val="Textonotapie"/>
        <w:jc w:val="both"/>
        <w:rPr>
          <w:rFonts w:asciiTheme="majorBidi" w:hAnsiTheme="majorBidi" w:cstheme="majorBidi"/>
          <w:color w:val="000000" w:themeColor="text1"/>
          <w:lang w:val="es-GT"/>
        </w:rPr>
      </w:pPr>
      <w:r w:rsidRPr="00BE720D">
        <w:rPr>
          <w:rStyle w:val="Caracteresdenotaalpie"/>
          <w:rFonts w:asciiTheme="majorBidi" w:hAnsiTheme="majorBidi" w:cstheme="majorBidi"/>
          <w:color w:val="000000" w:themeColor="text1"/>
        </w:rPr>
        <w:footnoteRef/>
      </w:r>
      <w:r w:rsidRPr="00BE720D">
        <w:rPr>
          <w:rFonts w:asciiTheme="majorBidi" w:hAnsiTheme="majorBidi" w:cstheme="majorBidi"/>
          <w:color w:val="000000" w:themeColor="text1"/>
          <w:lang w:val="es-GT"/>
        </w:rPr>
        <w:tab/>
        <w:t xml:space="preserve"> Corte de Constitucionalidad. Apelación de Sentencia de amparo. Expediente 4647-2018, páginas 44 a 47</w:t>
      </w:r>
    </w:p>
  </w:footnote>
  <w:footnote w:id="138">
    <w:p w14:paraId="792C8B4D" w14:textId="77777777" w:rsidR="00365A48" w:rsidRPr="00BE720D" w:rsidRDefault="00365A48" w:rsidP="00013274">
      <w:pPr>
        <w:pStyle w:val="Textonotapie"/>
        <w:jc w:val="both"/>
        <w:rPr>
          <w:rFonts w:asciiTheme="majorBidi" w:hAnsiTheme="majorBidi" w:cstheme="majorBidi"/>
          <w:color w:val="000000" w:themeColor="text1"/>
          <w:lang w:val="es-GT"/>
        </w:rPr>
      </w:pPr>
      <w:r w:rsidRPr="00BE720D">
        <w:rPr>
          <w:rStyle w:val="Caracteresdenotaalpie"/>
          <w:rFonts w:asciiTheme="majorBidi" w:hAnsiTheme="majorBidi" w:cstheme="majorBidi"/>
          <w:color w:val="000000" w:themeColor="text1"/>
        </w:rPr>
        <w:footnoteRef/>
      </w:r>
      <w:r w:rsidRPr="00BE720D">
        <w:rPr>
          <w:rFonts w:asciiTheme="majorBidi" w:hAnsiTheme="majorBidi" w:cstheme="majorBidi"/>
          <w:color w:val="000000" w:themeColor="text1"/>
          <w:lang w:val="es-GT"/>
        </w:rPr>
        <w:tab/>
        <w:t xml:space="preserve"> Corte de Constitucionalidad. Apelación de Sentencia de amparo. Expediente 4647-2018, página 49.</w:t>
      </w:r>
    </w:p>
  </w:footnote>
  <w:footnote w:id="139">
    <w:p w14:paraId="65E1D996" w14:textId="77777777" w:rsidR="00200996" w:rsidRPr="00BE720D" w:rsidRDefault="00200996" w:rsidP="00013274">
      <w:pPr>
        <w:pStyle w:val="Textonotapie"/>
        <w:jc w:val="both"/>
        <w:rPr>
          <w:rFonts w:asciiTheme="majorBidi" w:hAnsiTheme="majorBidi" w:cstheme="majorBidi"/>
          <w:color w:val="000000" w:themeColor="text1"/>
          <w:lang w:val="es-GT"/>
        </w:rPr>
      </w:pPr>
      <w:r w:rsidRPr="00BE720D">
        <w:rPr>
          <w:rStyle w:val="Caracteresdenotaalpie"/>
          <w:rFonts w:asciiTheme="majorBidi" w:hAnsiTheme="majorBidi" w:cstheme="majorBidi"/>
          <w:color w:val="000000" w:themeColor="text1"/>
          <w:vertAlign w:val="superscript"/>
        </w:rPr>
        <w:footnoteRef/>
      </w:r>
      <w:r w:rsidRPr="00BE720D">
        <w:rPr>
          <w:rStyle w:val="Fuentedeprrafopredeter1"/>
          <w:rFonts w:asciiTheme="majorBidi" w:eastAsiaTheme="majorEastAsia" w:hAnsiTheme="majorBidi" w:cstheme="majorBidi"/>
          <w:color w:val="000000" w:themeColor="text1"/>
          <w:lang w:val="es-GT"/>
        </w:rPr>
        <w:t xml:space="preserve"> </w:t>
      </w:r>
      <w:r w:rsidRPr="00BE720D">
        <w:rPr>
          <w:rStyle w:val="Fuentedeprrafopredeter1"/>
          <w:rFonts w:asciiTheme="majorBidi" w:eastAsiaTheme="majorEastAsia" w:hAnsiTheme="majorBidi" w:cstheme="majorBidi"/>
          <w:color w:val="000000" w:themeColor="text1"/>
          <w:lang w:val="es-MX"/>
        </w:rPr>
        <w:t>Sentencia expediente 5955-2013, 28 de noviembre 2015, emitida por la Corte de Constitucionalidad.</w:t>
      </w:r>
    </w:p>
  </w:footnote>
  <w:footnote w:id="140">
    <w:p w14:paraId="24653685" w14:textId="77777777" w:rsidR="00200996" w:rsidRPr="00BE720D" w:rsidRDefault="00200996" w:rsidP="00013274">
      <w:pPr>
        <w:pStyle w:val="Textonotapie"/>
        <w:jc w:val="both"/>
        <w:rPr>
          <w:rFonts w:asciiTheme="majorBidi" w:hAnsiTheme="majorBidi" w:cstheme="majorBidi"/>
          <w:color w:val="000000" w:themeColor="text1"/>
          <w:lang w:val="es-GT"/>
        </w:rPr>
      </w:pPr>
      <w:r w:rsidRPr="00BE720D">
        <w:rPr>
          <w:rStyle w:val="Caracteresdenotaalpie"/>
          <w:rFonts w:asciiTheme="majorBidi" w:hAnsiTheme="majorBidi" w:cstheme="majorBidi"/>
          <w:color w:val="000000" w:themeColor="text1"/>
        </w:rPr>
        <w:footnoteRef/>
      </w:r>
      <w:r w:rsidRPr="00BE720D">
        <w:rPr>
          <w:rStyle w:val="Fuentedeprrafopredeter1"/>
          <w:rFonts w:asciiTheme="majorBidi" w:eastAsiaTheme="majorEastAsia" w:hAnsiTheme="majorBidi" w:cstheme="majorBidi"/>
          <w:color w:val="000000" w:themeColor="text1"/>
          <w:lang w:val="es-GT"/>
        </w:rPr>
        <w:tab/>
        <w:t xml:space="preserve"> Sentencia expediente 970-2016, 14 de julio 2016, </w:t>
      </w:r>
      <w:r w:rsidRPr="00BE720D">
        <w:rPr>
          <w:rStyle w:val="Fuentedeprrafopredeter1"/>
          <w:rFonts w:asciiTheme="majorBidi" w:eastAsiaTheme="majorEastAsia" w:hAnsiTheme="majorBidi" w:cstheme="majorBidi"/>
          <w:color w:val="000000" w:themeColor="text1"/>
          <w:lang w:val="es-MX"/>
        </w:rPr>
        <w:t>emitida por la Corte de Constitucionalidad.</w:t>
      </w:r>
    </w:p>
  </w:footnote>
  <w:footnote w:id="141">
    <w:p w14:paraId="5C86E274" w14:textId="77777777" w:rsidR="00200996" w:rsidRPr="00BE720D" w:rsidRDefault="00200996" w:rsidP="00013274">
      <w:pPr>
        <w:pStyle w:val="Textonotapie"/>
        <w:jc w:val="both"/>
        <w:rPr>
          <w:rFonts w:asciiTheme="majorBidi" w:hAnsiTheme="majorBidi" w:cstheme="majorBidi"/>
          <w:color w:val="000000" w:themeColor="text1"/>
          <w:lang w:val="es-GT"/>
        </w:rPr>
      </w:pPr>
      <w:r w:rsidRPr="00BE720D">
        <w:rPr>
          <w:rStyle w:val="Caracteresdenotaalpie"/>
          <w:rFonts w:asciiTheme="majorBidi" w:hAnsiTheme="majorBidi" w:cstheme="majorBidi"/>
          <w:color w:val="000000" w:themeColor="text1"/>
        </w:rPr>
        <w:footnoteRef/>
      </w:r>
      <w:r w:rsidRPr="00BE720D">
        <w:rPr>
          <w:rStyle w:val="Fuentedeprrafopredeter1"/>
          <w:rFonts w:asciiTheme="majorBidi" w:eastAsiaTheme="majorEastAsia" w:hAnsiTheme="majorBidi" w:cstheme="majorBidi"/>
          <w:color w:val="000000" w:themeColor="text1"/>
          <w:lang w:val="es-GT"/>
        </w:rPr>
        <w:tab/>
        <w:t xml:space="preserve"> Expediente MP 255-2013-7491, 29 de diciembre de 2020. Fiscalía de Distrito de Alta Verapaz</w:t>
      </w:r>
    </w:p>
  </w:footnote>
  <w:footnote w:id="142">
    <w:p w14:paraId="3DAA69D6" w14:textId="77777777" w:rsidR="00200996" w:rsidRPr="00BE720D" w:rsidRDefault="00200996" w:rsidP="00013274">
      <w:pPr>
        <w:pStyle w:val="Textonotapie"/>
        <w:jc w:val="both"/>
        <w:rPr>
          <w:rFonts w:asciiTheme="majorBidi" w:hAnsiTheme="majorBidi" w:cstheme="majorBidi"/>
          <w:color w:val="000000" w:themeColor="text1"/>
          <w:lang w:val="es-GT"/>
        </w:rPr>
      </w:pPr>
      <w:r w:rsidRPr="00BE720D">
        <w:rPr>
          <w:rStyle w:val="Caracteresdenotaalpie"/>
          <w:rFonts w:asciiTheme="majorBidi" w:hAnsiTheme="majorBidi" w:cstheme="majorBidi"/>
          <w:color w:val="000000" w:themeColor="text1"/>
        </w:rPr>
        <w:footnoteRef/>
      </w:r>
      <w:r w:rsidRPr="00BE720D">
        <w:rPr>
          <w:rStyle w:val="Fuentedeprrafopredeter1"/>
          <w:rFonts w:asciiTheme="majorBidi" w:eastAsiaTheme="majorEastAsia" w:hAnsiTheme="majorBidi" w:cstheme="majorBidi"/>
          <w:color w:val="000000" w:themeColor="text1"/>
          <w:lang w:val="es-GT"/>
        </w:rPr>
        <w:tab/>
        <w:t xml:space="preserve"> Expediente MP255-2012-2598, 1 de enero 2016, Fiscalía de Distrito de Alta Verapaz</w:t>
      </w:r>
    </w:p>
  </w:footnote>
  <w:footnote w:id="143">
    <w:p w14:paraId="65F795F2" w14:textId="77777777" w:rsidR="00200996" w:rsidRPr="00BE720D" w:rsidRDefault="00200996" w:rsidP="00013274">
      <w:pPr>
        <w:pStyle w:val="Textonotapie"/>
        <w:jc w:val="both"/>
        <w:rPr>
          <w:rFonts w:asciiTheme="majorBidi" w:hAnsiTheme="majorBidi" w:cstheme="majorBidi"/>
          <w:color w:val="000000" w:themeColor="text1"/>
          <w:lang w:val="es-GT"/>
        </w:rPr>
      </w:pPr>
      <w:r w:rsidRPr="00BE720D">
        <w:rPr>
          <w:rStyle w:val="Caracteresdenotaalpie"/>
          <w:rFonts w:asciiTheme="majorBidi" w:hAnsiTheme="majorBidi" w:cstheme="majorBidi"/>
          <w:color w:val="000000" w:themeColor="text1"/>
        </w:rPr>
        <w:footnoteRef/>
      </w:r>
      <w:r w:rsidRPr="00BE720D">
        <w:rPr>
          <w:rStyle w:val="Fuentedeprrafopredeter1"/>
          <w:rFonts w:asciiTheme="majorBidi" w:eastAsiaTheme="majorEastAsia" w:hAnsiTheme="majorBidi" w:cstheme="majorBidi"/>
          <w:color w:val="000000" w:themeColor="text1"/>
          <w:lang w:val="es-GT"/>
        </w:rPr>
        <w:tab/>
        <w:t xml:space="preserve"> Sentencia expediente 01008-2016-00198, 15 de junio del 2017, Sala Primera de la Corte de Apelaciones del Ramo Civil y Mercantil</w:t>
      </w:r>
    </w:p>
  </w:footnote>
  <w:footnote w:id="144">
    <w:p w14:paraId="66405109" w14:textId="77777777" w:rsidR="00200996" w:rsidRPr="00BE720D" w:rsidRDefault="00200996" w:rsidP="00013274">
      <w:pPr>
        <w:pStyle w:val="Textonotapie"/>
        <w:jc w:val="both"/>
        <w:rPr>
          <w:rFonts w:asciiTheme="majorBidi" w:hAnsiTheme="majorBidi" w:cstheme="majorBidi"/>
          <w:color w:val="000000" w:themeColor="text1"/>
          <w:lang w:val="es-GT"/>
        </w:rPr>
      </w:pPr>
      <w:r w:rsidRPr="00BE720D">
        <w:rPr>
          <w:rStyle w:val="Caracteresdenotaalpie"/>
          <w:rFonts w:asciiTheme="majorBidi" w:hAnsiTheme="majorBidi" w:cstheme="majorBidi"/>
          <w:color w:val="000000" w:themeColor="text1"/>
        </w:rPr>
        <w:footnoteRef/>
      </w:r>
      <w:r w:rsidRPr="00BE720D">
        <w:rPr>
          <w:rStyle w:val="Fuentedeprrafopredeter1"/>
          <w:rFonts w:asciiTheme="majorBidi" w:eastAsiaTheme="majorEastAsia" w:hAnsiTheme="majorBidi" w:cstheme="majorBidi"/>
          <w:color w:val="000000" w:themeColor="text1"/>
          <w:lang w:val="es-GT"/>
        </w:rPr>
        <w:tab/>
        <w:t xml:space="preserve"> Sentencia expediente 01009-2016-0081, 16 de octubre de 2017, Sala Segunda de la Corte de Apelaciones del Ramo Civil y Mercantil.</w:t>
      </w:r>
    </w:p>
  </w:footnote>
  <w:footnote w:id="145">
    <w:p w14:paraId="4C71A43B" w14:textId="77777777" w:rsidR="00200996" w:rsidRPr="00BE720D" w:rsidRDefault="00200996" w:rsidP="00013274">
      <w:pPr>
        <w:pStyle w:val="Textonotapie"/>
        <w:jc w:val="both"/>
        <w:rPr>
          <w:rFonts w:asciiTheme="majorBidi" w:hAnsiTheme="majorBidi" w:cstheme="majorBidi"/>
          <w:color w:val="000000" w:themeColor="text1"/>
          <w:lang w:val="es-GT"/>
        </w:rPr>
      </w:pPr>
      <w:r w:rsidRPr="00BE720D">
        <w:rPr>
          <w:rStyle w:val="Caracteresdenotaalpie"/>
          <w:rFonts w:asciiTheme="majorBidi" w:hAnsiTheme="majorBidi" w:cstheme="majorBidi"/>
          <w:color w:val="000000" w:themeColor="text1"/>
        </w:rPr>
        <w:footnoteRef/>
      </w:r>
      <w:r w:rsidRPr="00BE720D">
        <w:rPr>
          <w:rStyle w:val="Fuentedeprrafopredeter1"/>
          <w:rFonts w:asciiTheme="majorBidi" w:eastAsiaTheme="majorEastAsia" w:hAnsiTheme="majorBidi" w:cstheme="majorBidi"/>
          <w:color w:val="000000" w:themeColor="text1"/>
          <w:lang w:val="es-GT"/>
        </w:rPr>
        <w:tab/>
        <w:t xml:space="preserve"> Sentencia e</w:t>
      </w:r>
      <w:r w:rsidRPr="00BE720D">
        <w:rPr>
          <w:rStyle w:val="Fuentedeprrafopredeter1"/>
          <w:rFonts w:asciiTheme="majorBidi" w:eastAsiaTheme="majorEastAsia" w:hAnsiTheme="majorBidi" w:cstheme="majorBidi"/>
          <w:color w:val="000000" w:themeColor="text1"/>
          <w:lang w:val="es-MX"/>
        </w:rPr>
        <w:t>expediente No. 2275-2014, 06 de junio de 2016, Corte de Constitucionalidad</w:t>
      </w:r>
    </w:p>
  </w:footnote>
  <w:footnote w:id="146">
    <w:p w14:paraId="6A870DEC" w14:textId="77777777" w:rsidR="00200996" w:rsidRPr="00BE720D" w:rsidRDefault="00200996" w:rsidP="00013274">
      <w:pPr>
        <w:pStyle w:val="Textonotapie"/>
        <w:jc w:val="both"/>
        <w:rPr>
          <w:rFonts w:asciiTheme="majorBidi" w:hAnsiTheme="majorBidi" w:cstheme="majorBidi"/>
          <w:color w:val="000000" w:themeColor="text1"/>
          <w:lang w:val="es-GT"/>
        </w:rPr>
      </w:pPr>
      <w:r w:rsidRPr="00BE720D">
        <w:rPr>
          <w:rStyle w:val="Caracteresdenotaalpie"/>
          <w:rFonts w:asciiTheme="majorBidi" w:hAnsiTheme="majorBidi" w:cstheme="majorBidi"/>
          <w:color w:val="000000" w:themeColor="text1"/>
        </w:rPr>
        <w:footnoteRef/>
      </w:r>
      <w:r w:rsidRPr="00BE720D">
        <w:rPr>
          <w:rStyle w:val="Fuentedeprrafopredeter1"/>
          <w:rFonts w:asciiTheme="majorBidi" w:eastAsiaTheme="majorEastAsia" w:hAnsiTheme="majorBidi" w:cstheme="majorBidi"/>
          <w:color w:val="000000" w:themeColor="text1"/>
          <w:lang w:val="es-GT"/>
        </w:rPr>
        <w:tab/>
        <w:t xml:space="preserve"> </w:t>
      </w:r>
      <w:r w:rsidRPr="00BE720D">
        <w:rPr>
          <w:rStyle w:val="Fuentedeprrafopredeter1"/>
          <w:rFonts w:asciiTheme="majorBidi" w:eastAsiaTheme="majorEastAsia" w:hAnsiTheme="majorBidi" w:cstheme="majorBidi"/>
          <w:color w:val="000000" w:themeColor="text1"/>
          <w:lang w:val="es-MX"/>
        </w:rPr>
        <w:t>Expediente MP044-2024-181, 27 de septiembre del 2024, Agencia Fiscal del Municipio de San José Poaquil.</w:t>
      </w:r>
    </w:p>
  </w:footnote>
  <w:footnote w:id="147">
    <w:p w14:paraId="5A2E01A8" w14:textId="77777777" w:rsidR="00200996" w:rsidRPr="00BE720D" w:rsidRDefault="00200996" w:rsidP="00013274">
      <w:pPr>
        <w:pStyle w:val="Textonotapie"/>
        <w:jc w:val="both"/>
        <w:rPr>
          <w:rFonts w:asciiTheme="majorBidi" w:hAnsiTheme="majorBidi" w:cstheme="majorBidi"/>
          <w:color w:val="000000" w:themeColor="text1"/>
          <w:lang w:val="es-GT"/>
        </w:rPr>
      </w:pPr>
      <w:r w:rsidRPr="00BE720D">
        <w:rPr>
          <w:rStyle w:val="Caracteresdenotaalpie"/>
          <w:rFonts w:asciiTheme="majorBidi" w:hAnsiTheme="majorBidi" w:cstheme="majorBidi"/>
          <w:color w:val="000000" w:themeColor="text1"/>
        </w:rPr>
        <w:footnoteRef/>
      </w:r>
      <w:r w:rsidRPr="00BE720D">
        <w:rPr>
          <w:rStyle w:val="Fuentedeprrafopredeter1"/>
          <w:rFonts w:asciiTheme="majorBidi" w:eastAsiaTheme="majorEastAsia" w:hAnsiTheme="majorBidi" w:cstheme="majorBidi"/>
          <w:color w:val="000000" w:themeColor="text1"/>
          <w:lang w:val="es-GT"/>
        </w:rPr>
        <w:tab/>
        <w:t xml:space="preserve"> Ley Orgánica del Presupuesto y su Reglamento, art. 30 bis.</w:t>
      </w:r>
      <w:r w:rsidRPr="00BE720D">
        <w:rPr>
          <w:rFonts w:asciiTheme="majorBidi" w:hAnsiTheme="majorBidi" w:cstheme="majorBidi"/>
          <w:color w:val="000000" w:themeColor="text1"/>
          <w:lang w:val="es-GT"/>
        </w:rPr>
        <w:t xml:space="preserve">  </w:t>
      </w:r>
    </w:p>
  </w:footnote>
  <w:footnote w:id="148">
    <w:p w14:paraId="3492AC23" w14:textId="77777777" w:rsidR="00F10290" w:rsidRPr="00BE720D" w:rsidRDefault="00F10290" w:rsidP="00F10290">
      <w:pPr>
        <w:spacing w:after="0" w:line="240" w:lineRule="auto"/>
        <w:jc w:val="both"/>
        <w:rPr>
          <w:rFonts w:asciiTheme="majorBidi" w:hAnsiTheme="majorBidi" w:cstheme="majorBidi"/>
          <w:sz w:val="20"/>
          <w:szCs w:val="20"/>
        </w:rPr>
      </w:pPr>
      <w:r w:rsidRPr="00BE720D">
        <w:rPr>
          <w:rFonts w:asciiTheme="majorBidi" w:hAnsiTheme="majorBidi" w:cstheme="majorBidi"/>
          <w:sz w:val="20"/>
          <w:szCs w:val="20"/>
        </w:rPr>
        <w:footnoteRef/>
      </w:r>
      <w:r w:rsidRPr="00BE720D">
        <w:rPr>
          <w:rFonts w:asciiTheme="majorBidi" w:hAnsiTheme="majorBidi" w:cstheme="majorBidi"/>
          <w:sz w:val="20"/>
          <w:szCs w:val="20"/>
        </w:rPr>
        <w:t xml:space="preserve"> Hurtado Paz y Paz, L., &amp; Prado Córdova, J. P. (2024). El agua en el contexto de la expansión de palma aceitera en las Tierras Bajas del Norte de Guatemala. </w:t>
      </w:r>
      <w:r w:rsidRPr="00BE720D">
        <w:rPr>
          <w:rFonts w:asciiTheme="majorBidi" w:hAnsiTheme="majorBidi" w:cstheme="majorBidi"/>
          <w:i/>
          <w:sz w:val="20"/>
          <w:szCs w:val="20"/>
        </w:rPr>
        <w:t>LiminaR. Estudios Sociales Y Humanísticos</w:t>
      </w:r>
      <w:r w:rsidRPr="00BE720D">
        <w:rPr>
          <w:rFonts w:asciiTheme="majorBidi" w:hAnsiTheme="majorBidi" w:cstheme="majorBidi"/>
          <w:sz w:val="20"/>
          <w:szCs w:val="20"/>
        </w:rPr>
        <w:t xml:space="preserve">, </w:t>
      </w:r>
      <w:r w:rsidRPr="00BE720D">
        <w:rPr>
          <w:rFonts w:asciiTheme="majorBidi" w:hAnsiTheme="majorBidi" w:cstheme="majorBidi"/>
          <w:i/>
          <w:sz w:val="20"/>
          <w:szCs w:val="20"/>
        </w:rPr>
        <w:t>22</w:t>
      </w:r>
      <w:r w:rsidRPr="00BE720D">
        <w:rPr>
          <w:rFonts w:asciiTheme="majorBidi" w:hAnsiTheme="majorBidi" w:cstheme="majorBidi"/>
          <w:sz w:val="20"/>
          <w:szCs w:val="20"/>
        </w:rPr>
        <w:t xml:space="preserve">(1), 17. Ver:  </w:t>
      </w:r>
      <w:hyperlink r:id="rId91" w:history="1">
        <w:r w:rsidRPr="00BE720D">
          <w:rPr>
            <w:rStyle w:val="Hipervnculo"/>
            <w:rFonts w:asciiTheme="majorBidi" w:hAnsiTheme="majorBidi" w:cstheme="majorBidi"/>
            <w:color w:val="657C9C" w:themeColor="text2" w:themeTint="BF"/>
            <w:sz w:val="20"/>
            <w:szCs w:val="20"/>
          </w:rPr>
          <w:t>https://doi.org/10.29043/liminar.v22i1.1020</w:t>
        </w:r>
      </w:hyperlink>
    </w:p>
  </w:footnote>
  <w:footnote w:id="149">
    <w:p w14:paraId="444AB3A3" w14:textId="77777777" w:rsidR="004D5734" w:rsidRPr="00BE720D" w:rsidRDefault="004D5734" w:rsidP="004D5734">
      <w:pPr>
        <w:spacing w:after="0" w:line="240" w:lineRule="auto"/>
        <w:jc w:val="both"/>
        <w:rPr>
          <w:rFonts w:asciiTheme="majorBidi" w:hAnsiTheme="majorBidi" w:cstheme="majorBidi"/>
          <w:sz w:val="20"/>
          <w:szCs w:val="20"/>
        </w:rPr>
      </w:pPr>
      <w:r w:rsidRPr="00BE720D">
        <w:rPr>
          <w:rFonts w:asciiTheme="majorBidi" w:hAnsiTheme="majorBidi" w:cstheme="majorBidi"/>
          <w:sz w:val="20"/>
          <w:szCs w:val="20"/>
        </w:rPr>
        <w:footnoteRef/>
      </w:r>
      <w:r w:rsidRPr="00BE720D">
        <w:rPr>
          <w:rFonts w:asciiTheme="majorBidi" w:hAnsiTheme="majorBidi" w:cstheme="majorBidi"/>
          <w:sz w:val="20"/>
          <w:szCs w:val="20"/>
        </w:rPr>
        <w:t xml:space="preserve"> Ibíd. pág. 2.</w:t>
      </w:r>
    </w:p>
  </w:footnote>
  <w:footnote w:id="150">
    <w:p w14:paraId="00DA5E51" w14:textId="77777777" w:rsidR="004D5734" w:rsidRPr="00BE720D" w:rsidRDefault="004D5734" w:rsidP="004D5734">
      <w:pPr>
        <w:spacing w:after="0" w:line="240" w:lineRule="auto"/>
        <w:jc w:val="both"/>
        <w:rPr>
          <w:rFonts w:asciiTheme="majorBidi" w:hAnsiTheme="majorBidi" w:cstheme="majorBidi"/>
          <w:sz w:val="20"/>
          <w:szCs w:val="20"/>
        </w:rPr>
      </w:pPr>
      <w:r w:rsidRPr="00BE720D">
        <w:rPr>
          <w:rFonts w:asciiTheme="majorBidi" w:hAnsiTheme="majorBidi" w:cstheme="majorBidi"/>
          <w:sz w:val="20"/>
          <w:szCs w:val="20"/>
        </w:rPr>
        <w:footnoteRef/>
      </w:r>
      <w:r w:rsidRPr="00BE720D">
        <w:rPr>
          <w:rFonts w:asciiTheme="majorBidi" w:hAnsiTheme="majorBidi" w:cstheme="majorBidi"/>
          <w:sz w:val="20"/>
          <w:szCs w:val="20"/>
        </w:rPr>
        <w:t xml:space="preserve">  Ibíd. pág. 5.</w:t>
      </w:r>
    </w:p>
  </w:footnote>
  <w:footnote w:id="151">
    <w:p w14:paraId="546104B1" w14:textId="77777777" w:rsidR="004D5734" w:rsidRPr="00BE720D" w:rsidRDefault="004D5734" w:rsidP="004D5734">
      <w:pPr>
        <w:spacing w:after="0" w:line="240" w:lineRule="auto"/>
        <w:jc w:val="both"/>
        <w:rPr>
          <w:rFonts w:asciiTheme="majorBidi" w:hAnsiTheme="majorBidi" w:cstheme="majorBidi"/>
          <w:sz w:val="20"/>
          <w:szCs w:val="20"/>
        </w:rPr>
      </w:pPr>
      <w:r w:rsidRPr="00BE720D">
        <w:rPr>
          <w:rFonts w:asciiTheme="majorBidi" w:hAnsiTheme="majorBidi" w:cstheme="majorBidi"/>
          <w:sz w:val="20"/>
          <w:szCs w:val="20"/>
        </w:rPr>
        <w:footnoteRef/>
      </w:r>
      <w:r w:rsidRPr="00BE720D">
        <w:rPr>
          <w:rFonts w:asciiTheme="majorBidi" w:hAnsiTheme="majorBidi" w:cstheme="majorBidi"/>
          <w:sz w:val="20"/>
          <w:szCs w:val="20"/>
        </w:rPr>
        <w:t xml:space="preserve"> Ibíd. pág. 6.</w:t>
      </w:r>
    </w:p>
  </w:footnote>
  <w:footnote w:id="152">
    <w:p w14:paraId="28FDEE25" w14:textId="77777777" w:rsidR="004D5734" w:rsidRPr="00BE720D" w:rsidRDefault="004D5734" w:rsidP="004D5734">
      <w:pPr>
        <w:spacing w:after="0" w:line="240" w:lineRule="auto"/>
        <w:jc w:val="both"/>
        <w:rPr>
          <w:rFonts w:asciiTheme="majorBidi" w:hAnsiTheme="majorBidi" w:cstheme="majorBidi"/>
          <w:sz w:val="20"/>
          <w:szCs w:val="20"/>
        </w:rPr>
      </w:pPr>
      <w:r w:rsidRPr="00BE720D">
        <w:rPr>
          <w:rFonts w:asciiTheme="majorBidi" w:hAnsiTheme="majorBidi" w:cstheme="majorBidi"/>
          <w:sz w:val="20"/>
          <w:szCs w:val="20"/>
        </w:rPr>
        <w:footnoteRef/>
      </w:r>
      <w:r w:rsidRPr="00BE720D">
        <w:rPr>
          <w:rFonts w:asciiTheme="majorBidi" w:hAnsiTheme="majorBidi" w:cstheme="majorBidi"/>
          <w:sz w:val="20"/>
          <w:szCs w:val="20"/>
        </w:rPr>
        <w:t xml:space="preserve">  Ibíd. pág. 9.</w:t>
      </w:r>
    </w:p>
  </w:footnote>
  <w:footnote w:id="153">
    <w:p w14:paraId="30A5B957" w14:textId="77777777" w:rsidR="004D5734" w:rsidRPr="00BE720D" w:rsidRDefault="004D5734" w:rsidP="004D5734">
      <w:pPr>
        <w:spacing w:after="0" w:line="240" w:lineRule="auto"/>
        <w:jc w:val="both"/>
        <w:rPr>
          <w:rFonts w:asciiTheme="majorBidi" w:hAnsiTheme="majorBidi" w:cstheme="majorBidi"/>
          <w:sz w:val="20"/>
          <w:szCs w:val="20"/>
        </w:rPr>
      </w:pPr>
      <w:r w:rsidRPr="00BE720D">
        <w:rPr>
          <w:rFonts w:asciiTheme="majorBidi" w:hAnsiTheme="majorBidi" w:cstheme="majorBidi"/>
          <w:sz w:val="20"/>
          <w:szCs w:val="20"/>
        </w:rPr>
        <w:footnoteRef/>
      </w:r>
      <w:r w:rsidRPr="00BE720D">
        <w:rPr>
          <w:rFonts w:asciiTheme="majorBidi" w:hAnsiTheme="majorBidi" w:cstheme="majorBidi"/>
          <w:sz w:val="20"/>
          <w:szCs w:val="20"/>
        </w:rPr>
        <w:t xml:space="preserve"> Ibíd. pág. 7.</w:t>
      </w:r>
    </w:p>
  </w:footnote>
  <w:footnote w:id="154">
    <w:p w14:paraId="60C40569" w14:textId="77777777" w:rsidR="004D5734" w:rsidRPr="00BE720D" w:rsidRDefault="004D5734" w:rsidP="004D5734">
      <w:pPr>
        <w:spacing w:after="0" w:line="240" w:lineRule="auto"/>
        <w:jc w:val="both"/>
        <w:rPr>
          <w:rFonts w:asciiTheme="majorBidi" w:hAnsiTheme="majorBidi" w:cstheme="majorBidi"/>
          <w:sz w:val="20"/>
          <w:szCs w:val="20"/>
        </w:rPr>
      </w:pPr>
      <w:r w:rsidRPr="00BE720D">
        <w:rPr>
          <w:rFonts w:asciiTheme="majorBidi" w:hAnsiTheme="majorBidi" w:cstheme="majorBidi"/>
          <w:sz w:val="20"/>
          <w:szCs w:val="20"/>
        </w:rPr>
        <w:footnoteRef/>
      </w:r>
      <w:r w:rsidRPr="00BE720D">
        <w:rPr>
          <w:rFonts w:asciiTheme="majorBidi" w:hAnsiTheme="majorBidi" w:cstheme="majorBidi"/>
          <w:sz w:val="20"/>
          <w:szCs w:val="20"/>
        </w:rPr>
        <w:t xml:space="preserve"> Ibíd. pág. 8.</w:t>
      </w:r>
    </w:p>
  </w:footnote>
  <w:footnote w:id="155">
    <w:p w14:paraId="5B107FEF" w14:textId="77777777" w:rsidR="004D5734" w:rsidRPr="00BE720D" w:rsidRDefault="004D5734" w:rsidP="004D5734">
      <w:pPr>
        <w:spacing w:after="0" w:line="240" w:lineRule="auto"/>
        <w:jc w:val="both"/>
        <w:rPr>
          <w:rFonts w:asciiTheme="majorBidi" w:hAnsiTheme="majorBidi" w:cstheme="majorBidi"/>
          <w:sz w:val="20"/>
          <w:szCs w:val="20"/>
        </w:rPr>
      </w:pPr>
      <w:r w:rsidRPr="00BE720D">
        <w:rPr>
          <w:rFonts w:asciiTheme="majorBidi" w:hAnsiTheme="majorBidi" w:cstheme="majorBidi"/>
          <w:sz w:val="20"/>
          <w:szCs w:val="20"/>
        </w:rPr>
        <w:footnoteRef/>
      </w:r>
      <w:r w:rsidRPr="00BE720D">
        <w:rPr>
          <w:rFonts w:asciiTheme="majorBidi" w:hAnsiTheme="majorBidi" w:cstheme="majorBidi"/>
          <w:sz w:val="20"/>
          <w:szCs w:val="20"/>
        </w:rPr>
        <w:t xml:space="preserve"> Ibíd. </w:t>
      </w:r>
    </w:p>
  </w:footnote>
  <w:footnote w:id="156">
    <w:p w14:paraId="2308D828" w14:textId="77777777" w:rsidR="004D5734" w:rsidRPr="00BE720D" w:rsidRDefault="004D5734" w:rsidP="004D5734">
      <w:pPr>
        <w:spacing w:after="0" w:line="240" w:lineRule="auto"/>
        <w:jc w:val="both"/>
        <w:rPr>
          <w:rFonts w:asciiTheme="majorBidi" w:hAnsiTheme="majorBidi" w:cstheme="majorBidi"/>
          <w:sz w:val="20"/>
          <w:szCs w:val="20"/>
        </w:rPr>
      </w:pPr>
      <w:r w:rsidRPr="00BE720D">
        <w:rPr>
          <w:rFonts w:asciiTheme="majorBidi" w:hAnsiTheme="majorBidi" w:cstheme="majorBidi"/>
          <w:sz w:val="20"/>
          <w:szCs w:val="20"/>
        </w:rPr>
        <w:footnoteRef/>
      </w:r>
      <w:r w:rsidRPr="00BE720D">
        <w:rPr>
          <w:rFonts w:asciiTheme="majorBidi" w:hAnsiTheme="majorBidi" w:cstheme="majorBidi"/>
          <w:sz w:val="20"/>
          <w:szCs w:val="20"/>
        </w:rPr>
        <w:t xml:space="preserve"> Ibíd.</w:t>
      </w:r>
    </w:p>
  </w:footnote>
  <w:footnote w:id="157">
    <w:p w14:paraId="25593253" w14:textId="77777777" w:rsidR="004D5734" w:rsidRPr="00BE720D" w:rsidRDefault="004D5734" w:rsidP="004D5734">
      <w:pPr>
        <w:spacing w:after="0" w:line="240" w:lineRule="auto"/>
        <w:jc w:val="both"/>
        <w:rPr>
          <w:rFonts w:asciiTheme="majorBidi" w:hAnsiTheme="majorBidi" w:cstheme="majorBidi"/>
          <w:sz w:val="20"/>
          <w:szCs w:val="20"/>
        </w:rPr>
      </w:pPr>
      <w:r w:rsidRPr="00BE720D">
        <w:rPr>
          <w:rFonts w:asciiTheme="majorBidi" w:hAnsiTheme="majorBidi" w:cstheme="majorBidi"/>
          <w:sz w:val="20"/>
          <w:szCs w:val="20"/>
        </w:rPr>
        <w:footnoteRef/>
      </w:r>
      <w:r w:rsidRPr="00BE720D">
        <w:rPr>
          <w:rFonts w:asciiTheme="majorBidi" w:hAnsiTheme="majorBidi" w:cstheme="majorBidi"/>
          <w:sz w:val="20"/>
          <w:szCs w:val="20"/>
        </w:rPr>
        <w:t xml:space="preserve">  Ibíd.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74B19" w14:textId="58AEA852" w:rsidR="00BA2BC3" w:rsidRDefault="00BA2BC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Num9"/>
    <w:lvl w:ilvl="0">
      <w:start w:val="1"/>
      <w:numFmt w:val="bullet"/>
      <w:lvlText w:val="-"/>
      <w:lvlJc w:val="left"/>
      <w:pPr>
        <w:tabs>
          <w:tab w:val="num" w:pos="0"/>
        </w:tabs>
        <w:ind w:left="720" w:hanging="360"/>
      </w:pPr>
      <w:rPr>
        <w:rFonts w:ascii="Calibri" w:hAnsi="Calibri" w:cs="Calibri"/>
      </w:rPr>
    </w:lvl>
    <w:lvl w:ilvl="1">
      <w:start w:val="1"/>
      <w:numFmt w:val="bullet"/>
      <w:lvlText w:val="o"/>
      <w:lvlJc w:val="left"/>
      <w:pPr>
        <w:tabs>
          <w:tab w:val="num" w:pos="0"/>
        </w:tabs>
        <w:ind w:left="1440" w:hanging="360"/>
      </w:pPr>
      <w:rPr>
        <w:rFonts w:ascii="Calibri" w:hAnsi="Calibri"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alibri" w:hAnsi="Calibri"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alibri" w:hAnsi="Calibri" w:cs="Courier New"/>
      </w:rPr>
    </w:lvl>
    <w:lvl w:ilvl="8">
      <w:start w:val="1"/>
      <w:numFmt w:val="bullet"/>
      <w:lvlText w:val=""/>
      <w:lvlJc w:val="left"/>
      <w:pPr>
        <w:tabs>
          <w:tab w:val="num" w:pos="0"/>
        </w:tabs>
        <w:ind w:left="6480" w:hanging="360"/>
      </w:pPr>
      <w:rPr>
        <w:rFonts w:ascii="Wingdings" w:hAnsi="Wingdings" w:cs="Wingdings"/>
      </w:rPr>
    </w:lvl>
  </w:abstractNum>
  <w:abstractNum w:abstractNumId="1" w15:restartNumberingAfterBreak="0">
    <w:nsid w:val="00000003"/>
    <w:multiLevelType w:val="multilevel"/>
    <w:tmpl w:val="00000003"/>
    <w:name w:val="WWNum2"/>
    <w:lvl w:ilvl="0">
      <w:start w:val="1"/>
      <w:numFmt w:val="bullet"/>
      <w:lvlText w:val=""/>
      <w:lvlJc w:val="left"/>
      <w:pPr>
        <w:tabs>
          <w:tab w:val="num" w:pos="0"/>
        </w:tabs>
        <w:ind w:left="720" w:hanging="360"/>
      </w:pPr>
      <w:rPr>
        <w:rFonts w:ascii="Symbol" w:hAnsi="Symbol"/>
        <w:sz w:val="20"/>
      </w:rPr>
    </w:lvl>
    <w:lvl w:ilvl="1">
      <w:start w:val="1"/>
      <w:numFmt w:val="bullet"/>
      <w:lvlText w:val="o"/>
      <w:lvlJc w:val="left"/>
      <w:pPr>
        <w:tabs>
          <w:tab w:val="num" w:pos="0"/>
        </w:tabs>
        <w:ind w:left="1440" w:hanging="360"/>
      </w:pPr>
      <w:rPr>
        <w:rFonts w:ascii="Aptos" w:hAnsi="Aptos"/>
        <w:sz w:val="20"/>
      </w:rPr>
    </w:lvl>
    <w:lvl w:ilvl="2">
      <w:start w:val="1"/>
      <w:numFmt w:val="bullet"/>
      <w:lvlText w:val=""/>
      <w:lvlJc w:val="left"/>
      <w:pPr>
        <w:tabs>
          <w:tab w:val="num" w:pos="0"/>
        </w:tabs>
        <w:ind w:left="2160" w:hanging="360"/>
      </w:pPr>
      <w:rPr>
        <w:rFonts w:ascii="Wingdings" w:hAnsi="Wingdings"/>
        <w:sz w:val="20"/>
      </w:rPr>
    </w:lvl>
    <w:lvl w:ilvl="3">
      <w:start w:val="1"/>
      <w:numFmt w:val="bullet"/>
      <w:lvlText w:val=""/>
      <w:lvlJc w:val="left"/>
      <w:pPr>
        <w:tabs>
          <w:tab w:val="num" w:pos="0"/>
        </w:tabs>
        <w:ind w:left="2880" w:hanging="360"/>
      </w:pPr>
      <w:rPr>
        <w:rFonts w:ascii="Wingdings" w:hAnsi="Wingdings"/>
        <w:sz w:val="20"/>
      </w:rPr>
    </w:lvl>
    <w:lvl w:ilvl="4">
      <w:start w:val="1"/>
      <w:numFmt w:val="bullet"/>
      <w:lvlText w:val=""/>
      <w:lvlJc w:val="left"/>
      <w:pPr>
        <w:tabs>
          <w:tab w:val="num" w:pos="0"/>
        </w:tabs>
        <w:ind w:left="3600" w:hanging="360"/>
      </w:pPr>
      <w:rPr>
        <w:rFonts w:ascii="Wingdings" w:hAnsi="Wingdings"/>
        <w:sz w:val="20"/>
      </w:rPr>
    </w:lvl>
    <w:lvl w:ilvl="5">
      <w:start w:val="1"/>
      <w:numFmt w:val="bullet"/>
      <w:lvlText w:val=""/>
      <w:lvlJc w:val="left"/>
      <w:pPr>
        <w:tabs>
          <w:tab w:val="num" w:pos="0"/>
        </w:tabs>
        <w:ind w:left="4320" w:hanging="360"/>
      </w:pPr>
      <w:rPr>
        <w:rFonts w:ascii="Wingdings" w:hAnsi="Wingdings"/>
        <w:sz w:val="20"/>
      </w:rPr>
    </w:lvl>
    <w:lvl w:ilvl="6">
      <w:start w:val="1"/>
      <w:numFmt w:val="bullet"/>
      <w:lvlText w:val=""/>
      <w:lvlJc w:val="left"/>
      <w:pPr>
        <w:tabs>
          <w:tab w:val="num" w:pos="0"/>
        </w:tabs>
        <w:ind w:left="5040" w:hanging="360"/>
      </w:pPr>
      <w:rPr>
        <w:rFonts w:ascii="Wingdings" w:hAnsi="Wingdings"/>
        <w:sz w:val="20"/>
      </w:rPr>
    </w:lvl>
    <w:lvl w:ilvl="7">
      <w:start w:val="1"/>
      <w:numFmt w:val="bullet"/>
      <w:lvlText w:val=""/>
      <w:lvlJc w:val="left"/>
      <w:pPr>
        <w:tabs>
          <w:tab w:val="num" w:pos="0"/>
        </w:tabs>
        <w:ind w:left="5760" w:hanging="360"/>
      </w:pPr>
      <w:rPr>
        <w:rFonts w:ascii="Wingdings" w:hAnsi="Wingdings"/>
        <w:sz w:val="20"/>
      </w:rPr>
    </w:lvl>
    <w:lvl w:ilvl="8">
      <w:start w:val="1"/>
      <w:numFmt w:val="bullet"/>
      <w:lvlText w:val=""/>
      <w:lvlJc w:val="left"/>
      <w:pPr>
        <w:tabs>
          <w:tab w:val="num" w:pos="0"/>
        </w:tabs>
        <w:ind w:left="6480" w:hanging="360"/>
      </w:pPr>
      <w:rPr>
        <w:rFonts w:ascii="Wingdings" w:hAnsi="Wingdings"/>
        <w:sz w:val="20"/>
      </w:rPr>
    </w:lvl>
  </w:abstractNum>
  <w:abstractNum w:abstractNumId="2" w15:restartNumberingAfterBreak="0">
    <w:nsid w:val="00000004"/>
    <w:multiLevelType w:val="multilevel"/>
    <w:tmpl w:val="00000004"/>
    <w:name w:val="WWNum3"/>
    <w:lvl w:ilvl="0">
      <w:start w:val="1"/>
      <w:numFmt w:val="bullet"/>
      <w:lvlText w:val=""/>
      <w:lvlJc w:val="left"/>
      <w:pPr>
        <w:tabs>
          <w:tab w:val="num" w:pos="0"/>
        </w:tabs>
        <w:ind w:left="720" w:hanging="360"/>
      </w:pPr>
      <w:rPr>
        <w:rFonts w:ascii="Symbol" w:hAnsi="Symbol"/>
        <w:sz w:val="20"/>
      </w:rPr>
    </w:lvl>
    <w:lvl w:ilvl="1">
      <w:start w:val="1"/>
      <w:numFmt w:val="bullet"/>
      <w:lvlText w:val="o"/>
      <w:lvlJc w:val="left"/>
      <w:pPr>
        <w:tabs>
          <w:tab w:val="num" w:pos="0"/>
        </w:tabs>
        <w:ind w:left="1440" w:hanging="360"/>
      </w:pPr>
      <w:rPr>
        <w:rFonts w:ascii="Aptos" w:hAnsi="Aptos"/>
        <w:sz w:val="20"/>
      </w:rPr>
    </w:lvl>
    <w:lvl w:ilvl="2">
      <w:start w:val="1"/>
      <w:numFmt w:val="bullet"/>
      <w:lvlText w:val=""/>
      <w:lvlJc w:val="left"/>
      <w:pPr>
        <w:tabs>
          <w:tab w:val="num" w:pos="0"/>
        </w:tabs>
        <w:ind w:left="2160" w:hanging="360"/>
      </w:pPr>
      <w:rPr>
        <w:rFonts w:ascii="Wingdings" w:hAnsi="Wingdings"/>
        <w:sz w:val="20"/>
      </w:rPr>
    </w:lvl>
    <w:lvl w:ilvl="3">
      <w:start w:val="1"/>
      <w:numFmt w:val="bullet"/>
      <w:lvlText w:val=""/>
      <w:lvlJc w:val="left"/>
      <w:pPr>
        <w:tabs>
          <w:tab w:val="num" w:pos="0"/>
        </w:tabs>
        <w:ind w:left="2880" w:hanging="360"/>
      </w:pPr>
      <w:rPr>
        <w:rFonts w:ascii="Wingdings" w:hAnsi="Wingdings"/>
        <w:sz w:val="20"/>
      </w:rPr>
    </w:lvl>
    <w:lvl w:ilvl="4">
      <w:start w:val="1"/>
      <w:numFmt w:val="bullet"/>
      <w:lvlText w:val=""/>
      <w:lvlJc w:val="left"/>
      <w:pPr>
        <w:tabs>
          <w:tab w:val="num" w:pos="0"/>
        </w:tabs>
        <w:ind w:left="3600" w:hanging="360"/>
      </w:pPr>
      <w:rPr>
        <w:rFonts w:ascii="Wingdings" w:hAnsi="Wingdings"/>
        <w:sz w:val="20"/>
      </w:rPr>
    </w:lvl>
    <w:lvl w:ilvl="5">
      <w:start w:val="1"/>
      <w:numFmt w:val="bullet"/>
      <w:lvlText w:val=""/>
      <w:lvlJc w:val="left"/>
      <w:pPr>
        <w:tabs>
          <w:tab w:val="num" w:pos="0"/>
        </w:tabs>
        <w:ind w:left="4320" w:hanging="360"/>
      </w:pPr>
      <w:rPr>
        <w:rFonts w:ascii="Wingdings" w:hAnsi="Wingdings"/>
        <w:sz w:val="20"/>
      </w:rPr>
    </w:lvl>
    <w:lvl w:ilvl="6">
      <w:start w:val="1"/>
      <w:numFmt w:val="bullet"/>
      <w:lvlText w:val=""/>
      <w:lvlJc w:val="left"/>
      <w:pPr>
        <w:tabs>
          <w:tab w:val="num" w:pos="0"/>
        </w:tabs>
        <w:ind w:left="5040" w:hanging="360"/>
      </w:pPr>
      <w:rPr>
        <w:rFonts w:ascii="Wingdings" w:hAnsi="Wingdings"/>
        <w:sz w:val="20"/>
      </w:rPr>
    </w:lvl>
    <w:lvl w:ilvl="7">
      <w:start w:val="1"/>
      <w:numFmt w:val="bullet"/>
      <w:lvlText w:val=""/>
      <w:lvlJc w:val="left"/>
      <w:pPr>
        <w:tabs>
          <w:tab w:val="num" w:pos="0"/>
        </w:tabs>
        <w:ind w:left="5760" w:hanging="360"/>
      </w:pPr>
      <w:rPr>
        <w:rFonts w:ascii="Wingdings" w:hAnsi="Wingdings"/>
        <w:sz w:val="20"/>
      </w:rPr>
    </w:lvl>
    <w:lvl w:ilvl="8">
      <w:start w:val="1"/>
      <w:numFmt w:val="bullet"/>
      <w:lvlText w:val=""/>
      <w:lvlJc w:val="left"/>
      <w:pPr>
        <w:tabs>
          <w:tab w:val="num" w:pos="0"/>
        </w:tabs>
        <w:ind w:left="6480" w:hanging="360"/>
      </w:pPr>
      <w:rPr>
        <w:rFonts w:ascii="Wingdings" w:hAnsi="Wingdings"/>
        <w:sz w:val="20"/>
      </w:rPr>
    </w:lvl>
  </w:abstractNum>
  <w:abstractNum w:abstractNumId="3" w15:restartNumberingAfterBreak="0">
    <w:nsid w:val="00000005"/>
    <w:multiLevelType w:val="multilevel"/>
    <w:tmpl w:val="00000005"/>
    <w:name w:val="WWNum8"/>
    <w:lvl w:ilvl="0">
      <w:start w:val="1"/>
      <w:numFmt w:val="bullet"/>
      <w:lvlText w:val=""/>
      <w:lvlJc w:val="left"/>
      <w:pPr>
        <w:tabs>
          <w:tab w:val="num" w:pos="0"/>
        </w:tabs>
        <w:ind w:left="720" w:hanging="360"/>
      </w:pPr>
      <w:rPr>
        <w:rFonts w:ascii="Symbol" w:hAnsi="Symbol"/>
        <w:sz w:val="20"/>
      </w:rPr>
    </w:lvl>
    <w:lvl w:ilvl="1">
      <w:start w:val="1"/>
      <w:numFmt w:val="bullet"/>
      <w:lvlText w:val="o"/>
      <w:lvlJc w:val="left"/>
      <w:pPr>
        <w:tabs>
          <w:tab w:val="num" w:pos="0"/>
        </w:tabs>
        <w:ind w:left="1440" w:hanging="360"/>
      </w:pPr>
      <w:rPr>
        <w:rFonts w:ascii="Aptos" w:hAnsi="Aptos"/>
        <w:sz w:val="20"/>
      </w:rPr>
    </w:lvl>
    <w:lvl w:ilvl="2">
      <w:start w:val="1"/>
      <w:numFmt w:val="bullet"/>
      <w:lvlText w:val=""/>
      <w:lvlJc w:val="left"/>
      <w:pPr>
        <w:tabs>
          <w:tab w:val="num" w:pos="0"/>
        </w:tabs>
        <w:ind w:left="2160" w:hanging="360"/>
      </w:pPr>
      <w:rPr>
        <w:rFonts w:ascii="Wingdings" w:hAnsi="Wingdings"/>
        <w:sz w:val="20"/>
      </w:rPr>
    </w:lvl>
    <w:lvl w:ilvl="3">
      <w:start w:val="1"/>
      <w:numFmt w:val="bullet"/>
      <w:lvlText w:val=""/>
      <w:lvlJc w:val="left"/>
      <w:pPr>
        <w:tabs>
          <w:tab w:val="num" w:pos="0"/>
        </w:tabs>
        <w:ind w:left="2880" w:hanging="360"/>
      </w:pPr>
      <w:rPr>
        <w:rFonts w:ascii="Wingdings" w:hAnsi="Wingdings"/>
        <w:sz w:val="20"/>
      </w:rPr>
    </w:lvl>
    <w:lvl w:ilvl="4">
      <w:start w:val="1"/>
      <w:numFmt w:val="bullet"/>
      <w:lvlText w:val=""/>
      <w:lvlJc w:val="left"/>
      <w:pPr>
        <w:tabs>
          <w:tab w:val="num" w:pos="0"/>
        </w:tabs>
        <w:ind w:left="3600" w:hanging="360"/>
      </w:pPr>
      <w:rPr>
        <w:rFonts w:ascii="Wingdings" w:hAnsi="Wingdings"/>
        <w:sz w:val="20"/>
      </w:rPr>
    </w:lvl>
    <w:lvl w:ilvl="5">
      <w:start w:val="1"/>
      <w:numFmt w:val="bullet"/>
      <w:lvlText w:val=""/>
      <w:lvlJc w:val="left"/>
      <w:pPr>
        <w:tabs>
          <w:tab w:val="num" w:pos="0"/>
        </w:tabs>
        <w:ind w:left="4320" w:hanging="360"/>
      </w:pPr>
      <w:rPr>
        <w:rFonts w:ascii="Wingdings" w:hAnsi="Wingdings"/>
        <w:sz w:val="20"/>
      </w:rPr>
    </w:lvl>
    <w:lvl w:ilvl="6">
      <w:start w:val="1"/>
      <w:numFmt w:val="bullet"/>
      <w:lvlText w:val=""/>
      <w:lvlJc w:val="left"/>
      <w:pPr>
        <w:tabs>
          <w:tab w:val="num" w:pos="0"/>
        </w:tabs>
        <w:ind w:left="5040" w:hanging="360"/>
      </w:pPr>
      <w:rPr>
        <w:rFonts w:ascii="Wingdings" w:hAnsi="Wingdings"/>
        <w:sz w:val="20"/>
      </w:rPr>
    </w:lvl>
    <w:lvl w:ilvl="7">
      <w:start w:val="1"/>
      <w:numFmt w:val="bullet"/>
      <w:lvlText w:val=""/>
      <w:lvlJc w:val="left"/>
      <w:pPr>
        <w:tabs>
          <w:tab w:val="num" w:pos="0"/>
        </w:tabs>
        <w:ind w:left="5760" w:hanging="360"/>
      </w:pPr>
      <w:rPr>
        <w:rFonts w:ascii="Wingdings" w:hAnsi="Wingdings"/>
        <w:sz w:val="20"/>
      </w:rPr>
    </w:lvl>
    <w:lvl w:ilvl="8">
      <w:start w:val="1"/>
      <w:numFmt w:val="bullet"/>
      <w:lvlText w:val=""/>
      <w:lvlJc w:val="left"/>
      <w:pPr>
        <w:tabs>
          <w:tab w:val="num" w:pos="0"/>
        </w:tabs>
        <w:ind w:left="6480" w:hanging="360"/>
      </w:pPr>
      <w:rPr>
        <w:rFonts w:ascii="Wingdings" w:hAnsi="Wingdings"/>
        <w:sz w:val="20"/>
      </w:rPr>
    </w:lvl>
  </w:abstractNum>
  <w:abstractNum w:abstractNumId="4" w15:restartNumberingAfterBreak="0">
    <w:nsid w:val="0451542E"/>
    <w:multiLevelType w:val="hybridMultilevel"/>
    <w:tmpl w:val="B6148A7A"/>
    <w:lvl w:ilvl="0" w:tplc="56BCD418">
      <w:start w:val="1"/>
      <w:numFmt w:val="upp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5" w15:restartNumberingAfterBreak="0">
    <w:nsid w:val="0634162B"/>
    <w:multiLevelType w:val="hybridMultilevel"/>
    <w:tmpl w:val="1BEEE6E2"/>
    <w:lvl w:ilvl="0" w:tplc="100A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9ED7390"/>
    <w:multiLevelType w:val="multilevel"/>
    <w:tmpl w:val="3A2037B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C4A173D"/>
    <w:multiLevelType w:val="hybridMultilevel"/>
    <w:tmpl w:val="807214EA"/>
    <w:lvl w:ilvl="0" w:tplc="100A001B">
      <w:start w:val="1"/>
      <w:numFmt w:val="lowerRoman"/>
      <w:lvlText w:val="%1."/>
      <w:lvlJc w:val="righ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8" w15:restartNumberingAfterBreak="0">
    <w:nsid w:val="141E6DA9"/>
    <w:multiLevelType w:val="hybridMultilevel"/>
    <w:tmpl w:val="816A48B8"/>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9" w15:restartNumberingAfterBreak="0">
    <w:nsid w:val="1CFA4A81"/>
    <w:multiLevelType w:val="multilevel"/>
    <w:tmpl w:val="F6FA877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DDC32CB"/>
    <w:multiLevelType w:val="hybridMultilevel"/>
    <w:tmpl w:val="B2A28270"/>
    <w:lvl w:ilvl="0" w:tplc="100A0019">
      <w:start w:val="1"/>
      <w:numFmt w:val="lowerLetter"/>
      <w:lvlText w:val="%1."/>
      <w:lvlJc w:val="left"/>
      <w:pPr>
        <w:ind w:left="720" w:hanging="360"/>
      </w:pPr>
      <w:rPr>
        <w:rFonts w:hint="default"/>
      </w:rPr>
    </w:lvl>
    <w:lvl w:ilvl="1" w:tplc="100A0019">
      <w:start w:val="1"/>
      <w:numFmt w:val="lowerLetter"/>
      <w:lvlText w:val="%2."/>
      <w:lvlJc w:val="left"/>
      <w:pPr>
        <w:ind w:left="1440" w:hanging="360"/>
      </w:pPr>
    </w:lvl>
    <w:lvl w:ilvl="2" w:tplc="100A001B">
      <w:start w:val="1"/>
      <w:numFmt w:val="lowerRoman"/>
      <w:lvlText w:val="%3."/>
      <w:lvlJc w:val="right"/>
      <w:pPr>
        <w:ind w:left="2160" w:hanging="180"/>
      </w:pPr>
    </w:lvl>
    <w:lvl w:ilvl="3" w:tplc="100A000F">
      <w:start w:val="1"/>
      <w:numFmt w:val="decimal"/>
      <w:lvlText w:val="%4."/>
      <w:lvlJc w:val="left"/>
      <w:pPr>
        <w:ind w:left="2880" w:hanging="360"/>
      </w:pPr>
    </w:lvl>
    <w:lvl w:ilvl="4" w:tplc="56BCD418">
      <w:start w:val="1"/>
      <w:numFmt w:val="upperLetter"/>
      <w:lvlText w:val="%5."/>
      <w:lvlJc w:val="left"/>
      <w:pPr>
        <w:ind w:left="3600" w:hanging="360"/>
      </w:pPr>
      <w:rPr>
        <w:rFonts w:hint="default"/>
      </w:r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1" w15:restartNumberingAfterBreak="0">
    <w:nsid w:val="23B04A01"/>
    <w:multiLevelType w:val="multilevel"/>
    <w:tmpl w:val="696EFAF6"/>
    <w:lvl w:ilvl="0">
      <w:start w:val="1"/>
      <w:numFmt w:val="decimal"/>
      <w:lvlText w:val="%1."/>
      <w:lvlJc w:val="left"/>
      <w:pPr>
        <w:ind w:left="360" w:hanging="360"/>
      </w:pPr>
      <w:rPr>
        <w:rFonts w:hint="default"/>
      </w:rPr>
    </w:lvl>
    <w:lvl w:ilvl="1">
      <w:start w:val="1"/>
      <w:numFmt w:val="upperRoman"/>
      <w:lvlText w:val="%2."/>
      <w:lvlJc w:val="left"/>
      <w:pPr>
        <w:ind w:left="360" w:hanging="360"/>
      </w:pPr>
      <w:rPr>
        <w:rFonts w:asciiTheme="majorBidi" w:eastAsiaTheme="minorEastAsia" w:hAnsiTheme="majorBidi" w:cstheme="majorBidi"/>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6111462"/>
    <w:multiLevelType w:val="multilevel"/>
    <w:tmpl w:val="26111462"/>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3" w15:restartNumberingAfterBreak="0">
    <w:nsid w:val="29AE321C"/>
    <w:multiLevelType w:val="hybridMultilevel"/>
    <w:tmpl w:val="B2A28270"/>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upperLetter"/>
      <w:lvlText w:val="%5."/>
      <w:lvlJc w:val="left"/>
      <w:pPr>
        <w:ind w:left="3600" w:hanging="360"/>
      </w:pPr>
      <w:rPr>
        <w:rFonts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9DA4B48"/>
    <w:multiLevelType w:val="multilevel"/>
    <w:tmpl w:val="E4842FF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C7709FE"/>
    <w:multiLevelType w:val="multilevel"/>
    <w:tmpl w:val="222405F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2E163197"/>
    <w:multiLevelType w:val="hybridMultilevel"/>
    <w:tmpl w:val="ECA62754"/>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4345AEB"/>
    <w:multiLevelType w:val="hybridMultilevel"/>
    <w:tmpl w:val="1D1C3952"/>
    <w:lvl w:ilvl="0" w:tplc="260044E2">
      <w:start w:val="1"/>
      <w:numFmt w:val="low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8" w15:restartNumberingAfterBreak="0">
    <w:nsid w:val="3C430715"/>
    <w:multiLevelType w:val="multilevel"/>
    <w:tmpl w:val="A0CE7DB0"/>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E5C17ED"/>
    <w:multiLevelType w:val="multilevel"/>
    <w:tmpl w:val="0A0E1316"/>
    <w:lvl w:ilvl="0">
      <w:start w:val="4"/>
      <w:numFmt w:val="bullet"/>
      <w:lvlText w:val="-"/>
      <w:lvlJc w:val="left"/>
      <w:pPr>
        <w:tabs>
          <w:tab w:val="num" w:pos="0"/>
        </w:tabs>
        <w:ind w:left="720" w:hanging="360"/>
      </w:pPr>
      <w:rPr>
        <w:rFonts w:ascii="Calibri Light" w:eastAsiaTheme="minorEastAsia" w:hAnsi="Calibri Light" w:cs="Calibri Light"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3F184A7B"/>
    <w:multiLevelType w:val="multilevel"/>
    <w:tmpl w:val="696EFAF6"/>
    <w:lvl w:ilvl="0">
      <w:start w:val="1"/>
      <w:numFmt w:val="decimal"/>
      <w:lvlText w:val="%1."/>
      <w:lvlJc w:val="left"/>
      <w:pPr>
        <w:ind w:left="360" w:hanging="360"/>
      </w:pPr>
      <w:rPr>
        <w:rFonts w:hint="default"/>
      </w:rPr>
    </w:lvl>
    <w:lvl w:ilvl="1">
      <w:start w:val="1"/>
      <w:numFmt w:val="upperRoman"/>
      <w:lvlText w:val="%2."/>
      <w:lvlJc w:val="left"/>
      <w:pPr>
        <w:ind w:left="360" w:hanging="360"/>
      </w:pPr>
      <w:rPr>
        <w:rFonts w:asciiTheme="majorBidi" w:eastAsiaTheme="minorEastAsia" w:hAnsiTheme="majorBidi" w:cstheme="majorBidi"/>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0F5299F"/>
    <w:multiLevelType w:val="hybridMultilevel"/>
    <w:tmpl w:val="0A966278"/>
    <w:lvl w:ilvl="0" w:tplc="13B6AAF4">
      <w:start w:val="4"/>
      <w:numFmt w:val="bullet"/>
      <w:lvlText w:val="-"/>
      <w:lvlJc w:val="left"/>
      <w:pPr>
        <w:ind w:left="720" w:hanging="360"/>
      </w:pPr>
      <w:rPr>
        <w:rFonts w:ascii="Calibri Light" w:eastAsiaTheme="minorEastAsia" w:hAnsi="Calibri Light" w:cs="Calibri Light" w:hint="default"/>
      </w:rPr>
    </w:lvl>
    <w:lvl w:ilvl="1" w:tplc="100A0003">
      <w:start w:val="1"/>
      <w:numFmt w:val="bullet"/>
      <w:lvlText w:val="o"/>
      <w:lvlJc w:val="left"/>
      <w:pPr>
        <w:ind w:left="1440" w:hanging="360"/>
      </w:pPr>
      <w:rPr>
        <w:rFonts w:ascii="Courier New" w:hAnsi="Courier New" w:cs="Courier New" w:hint="default"/>
      </w:rPr>
    </w:lvl>
    <w:lvl w:ilvl="2" w:tplc="100A0005">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2" w15:restartNumberingAfterBreak="0">
    <w:nsid w:val="420D245C"/>
    <w:multiLevelType w:val="multilevel"/>
    <w:tmpl w:val="420D245C"/>
    <w:lvl w:ilvl="0">
      <w:start w:val="1"/>
      <w:numFmt w:val="bullet"/>
      <w:lvlText w:val=""/>
      <w:lvlJc w:val="left"/>
      <w:pPr>
        <w:tabs>
          <w:tab w:val="left" w:pos="720"/>
        </w:tabs>
        <w:ind w:left="720" w:hanging="360"/>
      </w:pPr>
      <w:rPr>
        <w:rFonts w:ascii="Wingdings 3" w:hAnsi="Wingdings 3" w:hint="default"/>
      </w:rPr>
    </w:lvl>
    <w:lvl w:ilvl="1">
      <w:start w:val="1"/>
      <w:numFmt w:val="bullet"/>
      <w:lvlText w:val=""/>
      <w:lvlJc w:val="left"/>
      <w:pPr>
        <w:tabs>
          <w:tab w:val="left" w:pos="1440"/>
        </w:tabs>
        <w:ind w:left="1440" w:hanging="360"/>
      </w:pPr>
      <w:rPr>
        <w:rFonts w:ascii="Wingdings 3" w:hAnsi="Wingdings 3" w:hint="default"/>
      </w:rPr>
    </w:lvl>
    <w:lvl w:ilvl="2">
      <w:start w:val="1"/>
      <w:numFmt w:val="bullet"/>
      <w:lvlText w:val=""/>
      <w:lvlJc w:val="left"/>
      <w:pPr>
        <w:tabs>
          <w:tab w:val="left" w:pos="2160"/>
        </w:tabs>
        <w:ind w:left="2160" w:hanging="360"/>
      </w:pPr>
      <w:rPr>
        <w:rFonts w:ascii="Wingdings 3" w:hAnsi="Wingdings 3" w:hint="default"/>
      </w:rPr>
    </w:lvl>
    <w:lvl w:ilvl="3">
      <w:start w:val="1"/>
      <w:numFmt w:val="bullet"/>
      <w:lvlText w:val=""/>
      <w:lvlJc w:val="left"/>
      <w:pPr>
        <w:tabs>
          <w:tab w:val="left" w:pos="2880"/>
        </w:tabs>
        <w:ind w:left="2880" w:hanging="360"/>
      </w:pPr>
      <w:rPr>
        <w:rFonts w:ascii="Wingdings 3" w:hAnsi="Wingdings 3" w:hint="default"/>
      </w:rPr>
    </w:lvl>
    <w:lvl w:ilvl="4">
      <w:start w:val="1"/>
      <w:numFmt w:val="bullet"/>
      <w:lvlText w:val=""/>
      <w:lvlJc w:val="left"/>
      <w:pPr>
        <w:tabs>
          <w:tab w:val="left" w:pos="3600"/>
        </w:tabs>
        <w:ind w:left="3600" w:hanging="360"/>
      </w:pPr>
      <w:rPr>
        <w:rFonts w:ascii="Wingdings 3" w:hAnsi="Wingdings 3" w:hint="default"/>
      </w:rPr>
    </w:lvl>
    <w:lvl w:ilvl="5">
      <w:start w:val="1"/>
      <w:numFmt w:val="bullet"/>
      <w:lvlText w:val=""/>
      <w:lvlJc w:val="left"/>
      <w:pPr>
        <w:tabs>
          <w:tab w:val="left" w:pos="4320"/>
        </w:tabs>
        <w:ind w:left="4320" w:hanging="360"/>
      </w:pPr>
      <w:rPr>
        <w:rFonts w:ascii="Wingdings 3" w:hAnsi="Wingdings 3" w:hint="default"/>
      </w:rPr>
    </w:lvl>
    <w:lvl w:ilvl="6">
      <w:start w:val="1"/>
      <w:numFmt w:val="bullet"/>
      <w:lvlText w:val=""/>
      <w:lvlJc w:val="left"/>
      <w:pPr>
        <w:tabs>
          <w:tab w:val="left" w:pos="5040"/>
        </w:tabs>
        <w:ind w:left="5040" w:hanging="360"/>
      </w:pPr>
      <w:rPr>
        <w:rFonts w:ascii="Wingdings 3" w:hAnsi="Wingdings 3" w:hint="default"/>
      </w:rPr>
    </w:lvl>
    <w:lvl w:ilvl="7">
      <w:start w:val="1"/>
      <w:numFmt w:val="bullet"/>
      <w:lvlText w:val=""/>
      <w:lvlJc w:val="left"/>
      <w:pPr>
        <w:tabs>
          <w:tab w:val="left" w:pos="5760"/>
        </w:tabs>
        <w:ind w:left="5760" w:hanging="360"/>
      </w:pPr>
      <w:rPr>
        <w:rFonts w:ascii="Wingdings 3" w:hAnsi="Wingdings 3" w:hint="default"/>
      </w:rPr>
    </w:lvl>
    <w:lvl w:ilvl="8">
      <w:start w:val="1"/>
      <w:numFmt w:val="bullet"/>
      <w:lvlText w:val=""/>
      <w:lvlJc w:val="left"/>
      <w:pPr>
        <w:tabs>
          <w:tab w:val="left" w:pos="6480"/>
        </w:tabs>
        <w:ind w:left="6480" w:hanging="360"/>
      </w:pPr>
      <w:rPr>
        <w:rFonts w:ascii="Wingdings 3" w:hAnsi="Wingdings 3" w:hint="default"/>
      </w:rPr>
    </w:lvl>
  </w:abstractNum>
  <w:abstractNum w:abstractNumId="23" w15:restartNumberingAfterBreak="0">
    <w:nsid w:val="474305D7"/>
    <w:multiLevelType w:val="multilevel"/>
    <w:tmpl w:val="9420FCB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BFC4024"/>
    <w:multiLevelType w:val="hybridMultilevel"/>
    <w:tmpl w:val="ECA62754"/>
    <w:lvl w:ilvl="0" w:tplc="100A001B">
      <w:start w:val="1"/>
      <w:numFmt w:val="lowerRoman"/>
      <w:lvlText w:val="%1."/>
      <w:lvlJc w:val="righ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5" w15:restartNumberingAfterBreak="0">
    <w:nsid w:val="4C4D73C6"/>
    <w:multiLevelType w:val="multilevel"/>
    <w:tmpl w:val="94E8025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C76210E"/>
    <w:multiLevelType w:val="multilevel"/>
    <w:tmpl w:val="9014D14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65B3930"/>
    <w:multiLevelType w:val="hybridMultilevel"/>
    <w:tmpl w:val="ECA62754"/>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C7112FB"/>
    <w:multiLevelType w:val="hybridMultilevel"/>
    <w:tmpl w:val="0B2C1C42"/>
    <w:lvl w:ilvl="0" w:tplc="E4E6E658">
      <w:numFmt w:val="bullet"/>
      <w:lvlText w:val="-"/>
      <w:lvlJc w:val="left"/>
      <w:pPr>
        <w:ind w:left="720" w:hanging="360"/>
      </w:pPr>
      <w:rPr>
        <w:rFonts w:ascii="Calibri Light" w:eastAsia="Times New Roman" w:hAnsi="Calibri Light" w:cs="Calibri Light" w:hint="default"/>
      </w:rPr>
    </w:lvl>
    <w:lvl w:ilvl="1" w:tplc="100A0003">
      <w:start w:val="1"/>
      <w:numFmt w:val="bullet"/>
      <w:lvlText w:val="o"/>
      <w:lvlJc w:val="left"/>
      <w:pPr>
        <w:ind w:left="1440" w:hanging="360"/>
      </w:pPr>
      <w:rPr>
        <w:rFonts w:ascii="Courier New" w:hAnsi="Courier New" w:cs="Courier New" w:hint="default"/>
      </w:rPr>
    </w:lvl>
    <w:lvl w:ilvl="2" w:tplc="100A0005">
      <w:start w:val="1"/>
      <w:numFmt w:val="bullet"/>
      <w:lvlText w:val=""/>
      <w:lvlJc w:val="left"/>
      <w:pPr>
        <w:ind w:left="2160" w:hanging="360"/>
      </w:pPr>
      <w:rPr>
        <w:rFonts w:ascii="Wingdings" w:hAnsi="Wingdings" w:hint="default"/>
      </w:rPr>
    </w:lvl>
    <w:lvl w:ilvl="3" w:tplc="100A0001">
      <w:start w:val="1"/>
      <w:numFmt w:val="bullet"/>
      <w:lvlText w:val=""/>
      <w:lvlJc w:val="left"/>
      <w:pPr>
        <w:ind w:left="2880" w:hanging="360"/>
      </w:pPr>
      <w:rPr>
        <w:rFonts w:ascii="Symbol" w:hAnsi="Symbol" w:hint="default"/>
      </w:rPr>
    </w:lvl>
    <w:lvl w:ilvl="4" w:tplc="100A0003">
      <w:start w:val="1"/>
      <w:numFmt w:val="bullet"/>
      <w:lvlText w:val="o"/>
      <w:lvlJc w:val="left"/>
      <w:pPr>
        <w:ind w:left="3600" w:hanging="360"/>
      </w:pPr>
      <w:rPr>
        <w:rFonts w:ascii="Courier New" w:hAnsi="Courier New" w:cs="Courier New" w:hint="default"/>
      </w:rPr>
    </w:lvl>
    <w:lvl w:ilvl="5" w:tplc="100A0005">
      <w:start w:val="1"/>
      <w:numFmt w:val="bullet"/>
      <w:lvlText w:val=""/>
      <w:lvlJc w:val="left"/>
      <w:pPr>
        <w:ind w:left="4320" w:hanging="360"/>
      </w:pPr>
      <w:rPr>
        <w:rFonts w:ascii="Wingdings" w:hAnsi="Wingdings" w:hint="default"/>
      </w:rPr>
    </w:lvl>
    <w:lvl w:ilvl="6" w:tplc="100A0001">
      <w:start w:val="1"/>
      <w:numFmt w:val="bullet"/>
      <w:lvlText w:val=""/>
      <w:lvlJc w:val="left"/>
      <w:pPr>
        <w:ind w:left="5040" w:hanging="360"/>
      </w:pPr>
      <w:rPr>
        <w:rFonts w:ascii="Symbol" w:hAnsi="Symbol" w:hint="default"/>
      </w:rPr>
    </w:lvl>
    <w:lvl w:ilvl="7" w:tplc="100A0003">
      <w:start w:val="1"/>
      <w:numFmt w:val="bullet"/>
      <w:lvlText w:val="o"/>
      <w:lvlJc w:val="left"/>
      <w:pPr>
        <w:ind w:left="5760" w:hanging="360"/>
      </w:pPr>
      <w:rPr>
        <w:rFonts w:ascii="Courier New" w:hAnsi="Courier New" w:cs="Courier New" w:hint="default"/>
      </w:rPr>
    </w:lvl>
    <w:lvl w:ilvl="8" w:tplc="100A0005">
      <w:start w:val="1"/>
      <w:numFmt w:val="bullet"/>
      <w:lvlText w:val=""/>
      <w:lvlJc w:val="left"/>
      <w:pPr>
        <w:ind w:left="6480" w:hanging="360"/>
      </w:pPr>
      <w:rPr>
        <w:rFonts w:ascii="Wingdings" w:hAnsi="Wingdings" w:hint="default"/>
      </w:rPr>
    </w:lvl>
  </w:abstractNum>
  <w:abstractNum w:abstractNumId="29" w15:restartNumberingAfterBreak="0">
    <w:nsid w:val="5D776BBE"/>
    <w:multiLevelType w:val="hybridMultilevel"/>
    <w:tmpl w:val="8736C60C"/>
    <w:lvl w:ilvl="0" w:tplc="F7C28310">
      <w:start w:val="1"/>
      <w:numFmt w:val="bullet"/>
      <w:lvlText w:val="-"/>
      <w:lvlJc w:val="left"/>
      <w:pPr>
        <w:ind w:left="720" w:hanging="360"/>
      </w:pPr>
      <w:rPr>
        <w:rFonts w:ascii="Times New Roman" w:eastAsia="Times New Roman" w:hAnsi="Times New Roman" w:cs="Times New Roman"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5FFA3FC7"/>
    <w:multiLevelType w:val="multilevel"/>
    <w:tmpl w:val="5FFA3FC7"/>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31" w15:restartNumberingAfterBreak="0">
    <w:nsid w:val="62E23B95"/>
    <w:multiLevelType w:val="multilevel"/>
    <w:tmpl w:val="EC96E770"/>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7333B07"/>
    <w:multiLevelType w:val="multilevel"/>
    <w:tmpl w:val="E4842FF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79352B67"/>
    <w:multiLevelType w:val="multilevel"/>
    <w:tmpl w:val="896EA3F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9975A86"/>
    <w:multiLevelType w:val="multilevel"/>
    <w:tmpl w:val="42927100"/>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308218743">
    <w:abstractNumId w:val="15"/>
  </w:num>
  <w:num w:numId="2" w16cid:durableId="779109962">
    <w:abstractNumId w:val="28"/>
  </w:num>
  <w:num w:numId="3" w16cid:durableId="8140193">
    <w:abstractNumId w:val="29"/>
  </w:num>
  <w:num w:numId="4" w16cid:durableId="969821026">
    <w:abstractNumId w:val="21"/>
  </w:num>
  <w:num w:numId="5" w16cid:durableId="70391111">
    <w:abstractNumId w:val="20"/>
  </w:num>
  <w:num w:numId="6" w16cid:durableId="1286541498">
    <w:abstractNumId w:val="11"/>
  </w:num>
  <w:num w:numId="7" w16cid:durableId="364405224">
    <w:abstractNumId w:val="32"/>
  </w:num>
  <w:num w:numId="8" w16cid:durableId="1375421875">
    <w:abstractNumId w:val="34"/>
  </w:num>
  <w:num w:numId="9" w16cid:durableId="616643869">
    <w:abstractNumId w:val="10"/>
  </w:num>
  <w:num w:numId="10" w16cid:durableId="798425253">
    <w:abstractNumId w:val="31"/>
  </w:num>
  <w:num w:numId="11" w16cid:durableId="309672406">
    <w:abstractNumId w:val="5"/>
  </w:num>
  <w:num w:numId="12" w16cid:durableId="970207820">
    <w:abstractNumId w:val="24"/>
  </w:num>
  <w:num w:numId="13" w16cid:durableId="1233393745">
    <w:abstractNumId w:val="17"/>
  </w:num>
  <w:num w:numId="14" w16cid:durableId="204683838">
    <w:abstractNumId w:val="7"/>
  </w:num>
  <w:num w:numId="15" w16cid:durableId="232589645">
    <w:abstractNumId w:val="4"/>
  </w:num>
  <w:num w:numId="16" w16cid:durableId="742726361">
    <w:abstractNumId w:val="13"/>
  </w:num>
  <w:num w:numId="17" w16cid:durableId="500892032">
    <w:abstractNumId w:val="16"/>
  </w:num>
  <w:num w:numId="18" w16cid:durableId="54742484">
    <w:abstractNumId w:val="6"/>
  </w:num>
  <w:num w:numId="19" w16cid:durableId="1759476961">
    <w:abstractNumId w:val="8"/>
  </w:num>
  <w:num w:numId="20" w16cid:durableId="377515542">
    <w:abstractNumId w:val="27"/>
  </w:num>
  <w:num w:numId="21" w16cid:durableId="1056852279">
    <w:abstractNumId w:val="30"/>
  </w:num>
  <w:num w:numId="22" w16cid:durableId="988217601">
    <w:abstractNumId w:val="22"/>
  </w:num>
  <w:num w:numId="23" w16cid:durableId="708843818">
    <w:abstractNumId w:val="12"/>
  </w:num>
  <w:num w:numId="24" w16cid:durableId="1511214053">
    <w:abstractNumId w:val="14"/>
  </w:num>
  <w:num w:numId="25" w16cid:durableId="1787505345">
    <w:abstractNumId w:val="19"/>
  </w:num>
  <w:num w:numId="26" w16cid:durableId="778137683">
    <w:abstractNumId w:val="9"/>
  </w:num>
  <w:num w:numId="27" w16cid:durableId="1041783463">
    <w:abstractNumId w:val="25"/>
  </w:num>
  <w:num w:numId="28" w16cid:durableId="553733451">
    <w:abstractNumId w:val="18"/>
  </w:num>
  <w:num w:numId="29" w16cid:durableId="2039350112">
    <w:abstractNumId w:val="33"/>
  </w:num>
  <w:num w:numId="30" w16cid:durableId="619339680">
    <w:abstractNumId w:val="23"/>
  </w:num>
  <w:num w:numId="31" w16cid:durableId="876701428">
    <w:abstractNumId w:val="2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2E6"/>
    <w:rsid w:val="0000239B"/>
    <w:rsid w:val="000054B3"/>
    <w:rsid w:val="00010CE8"/>
    <w:rsid w:val="00010F69"/>
    <w:rsid w:val="00013274"/>
    <w:rsid w:val="00015EB2"/>
    <w:rsid w:val="00020760"/>
    <w:rsid w:val="000239F7"/>
    <w:rsid w:val="000259E1"/>
    <w:rsid w:val="000276AD"/>
    <w:rsid w:val="00032762"/>
    <w:rsid w:val="00036647"/>
    <w:rsid w:val="00036B07"/>
    <w:rsid w:val="00036DEF"/>
    <w:rsid w:val="0004018D"/>
    <w:rsid w:val="00040B4E"/>
    <w:rsid w:val="000416C2"/>
    <w:rsid w:val="00042074"/>
    <w:rsid w:val="00042295"/>
    <w:rsid w:val="00043C35"/>
    <w:rsid w:val="00044B2C"/>
    <w:rsid w:val="00044F74"/>
    <w:rsid w:val="00046C56"/>
    <w:rsid w:val="00050518"/>
    <w:rsid w:val="000529A8"/>
    <w:rsid w:val="00054EBE"/>
    <w:rsid w:val="00060C3E"/>
    <w:rsid w:val="000612EE"/>
    <w:rsid w:val="0006738B"/>
    <w:rsid w:val="00071995"/>
    <w:rsid w:val="000724F0"/>
    <w:rsid w:val="000745ED"/>
    <w:rsid w:val="00074944"/>
    <w:rsid w:val="0007541D"/>
    <w:rsid w:val="00080AD9"/>
    <w:rsid w:val="000842FA"/>
    <w:rsid w:val="00084304"/>
    <w:rsid w:val="000861E2"/>
    <w:rsid w:val="00086495"/>
    <w:rsid w:val="00086EEE"/>
    <w:rsid w:val="000903DD"/>
    <w:rsid w:val="000926A4"/>
    <w:rsid w:val="00093DD5"/>
    <w:rsid w:val="00094E4F"/>
    <w:rsid w:val="000975C0"/>
    <w:rsid w:val="000A3C66"/>
    <w:rsid w:val="000A5771"/>
    <w:rsid w:val="000A71B5"/>
    <w:rsid w:val="000B18A9"/>
    <w:rsid w:val="000B23D2"/>
    <w:rsid w:val="000B2EDD"/>
    <w:rsid w:val="000B302A"/>
    <w:rsid w:val="000C004C"/>
    <w:rsid w:val="000C11D0"/>
    <w:rsid w:val="000C48A6"/>
    <w:rsid w:val="000C5107"/>
    <w:rsid w:val="000C5ADA"/>
    <w:rsid w:val="000D0F6C"/>
    <w:rsid w:val="000D2D59"/>
    <w:rsid w:val="000D3234"/>
    <w:rsid w:val="000D566E"/>
    <w:rsid w:val="000D6BED"/>
    <w:rsid w:val="000E2231"/>
    <w:rsid w:val="000E3689"/>
    <w:rsid w:val="000E71FD"/>
    <w:rsid w:val="000E7DFE"/>
    <w:rsid w:val="000F043B"/>
    <w:rsid w:val="000F097D"/>
    <w:rsid w:val="000F0EBA"/>
    <w:rsid w:val="000F1052"/>
    <w:rsid w:val="000F10D8"/>
    <w:rsid w:val="000F13BA"/>
    <w:rsid w:val="000F57AD"/>
    <w:rsid w:val="000F7D8D"/>
    <w:rsid w:val="00100355"/>
    <w:rsid w:val="00100801"/>
    <w:rsid w:val="001016FF"/>
    <w:rsid w:val="001036D9"/>
    <w:rsid w:val="00103CC3"/>
    <w:rsid w:val="001045CB"/>
    <w:rsid w:val="00105693"/>
    <w:rsid w:val="00107CC4"/>
    <w:rsid w:val="001142E1"/>
    <w:rsid w:val="00117BD0"/>
    <w:rsid w:val="00120CBD"/>
    <w:rsid w:val="001232C4"/>
    <w:rsid w:val="00126E2C"/>
    <w:rsid w:val="001275BC"/>
    <w:rsid w:val="0013006C"/>
    <w:rsid w:val="00137AA3"/>
    <w:rsid w:val="001417D8"/>
    <w:rsid w:val="00141EC5"/>
    <w:rsid w:val="0014469A"/>
    <w:rsid w:val="00144A11"/>
    <w:rsid w:val="00144CA5"/>
    <w:rsid w:val="001460AA"/>
    <w:rsid w:val="001474E2"/>
    <w:rsid w:val="0015174B"/>
    <w:rsid w:val="00151CC7"/>
    <w:rsid w:val="00156098"/>
    <w:rsid w:val="00160EF1"/>
    <w:rsid w:val="00164C7C"/>
    <w:rsid w:val="00170935"/>
    <w:rsid w:val="0017155D"/>
    <w:rsid w:val="00173BB9"/>
    <w:rsid w:val="001745B4"/>
    <w:rsid w:val="001831E9"/>
    <w:rsid w:val="00184E16"/>
    <w:rsid w:val="001850FE"/>
    <w:rsid w:val="00190A61"/>
    <w:rsid w:val="00192D38"/>
    <w:rsid w:val="00197C3D"/>
    <w:rsid w:val="00197C70"/>
    <w:rsid w:val="001A0DED"/>
    <w:rsid w:val="001A30A0"/>
    <w:rsid w:val="001A4E4F"/>
    <w:rsid w:val="001A5EEB"/>
    <w:rsid w:val="001B03C9"/>
    <w:rsid w:val="001B15A8"/>
    <w:rsid w:val="001B1704"/>
    <w:rsid w:val="001B246F"/>
    <w:rsid w:val="001B38B9"/>
    <w:rsid w:val="001B42AC"/>
    <w:rsid w:val="001B61EE"/>
    <w:rsid w:val="001C0E71"/>
    <w:rsid w:val="001C11CB"/>
    <w:rsid w:val="001C31B5"/>
    <w:rsid w:val="001C4A4A"/>
    <w:rsid w:val="001C5C04"/>
    <w:rsid w:val="001C7144"/>
    <w:rsid w:val="001D3AAB"/>
    <w:rsid w:val="001D6C9B"/>
    <w:rsid w:val="001D6DFA"/>
    <w:rsid w:val="001E2458"/>
    <w:rsid w:val="001E2B02"/>
    <w:rsid w:val="001E2F62"/>
    <w:rsid w:val="001E336E"/>
    <w:rsid w:val="001E541A"/>
    <w:rsid w:val="001E7EE1"/>
    <w:rsid w:val="001F2903"/>
    <w:rsid w:val="001F2AB7"/>
    <w:rsid w:val="001F43CC"/>
    <w:rsid w:val="00200996"/>
    <w:rsid w:val="0020507A"/>
    <w:rsid w:val="0020778D"/>
    <w:rsid w:val="00210879"/>
    <w:rsid w:val="002145D3"/>
    <w:rsid w:val="00215E7A"/>
    <w:rsid w:val="002167B8"/>
    <w:rsid w:val="00225F7A"/>
    <w:rsid w:val="00232802"/>
    <w:rsid w:val="00236439"/>
    <w:rsid w:val="00240B45"/>
    <w:rsid w:val="00241866"/>
    <w:rsid w:val="00241E36"/>
    <w:rsid w:val="00242174"/>
    <w:rsid w:val="00246C64"/>
    <w:rsid w:val="00246D95"/>
    <w:rsid w:val="00247342"/>
    <w:rsid w:val="002529E5"/>
    <w:rsid w:val="00253737"/>
    <w:rsid w:val="00253D07"/>
    <w:rsid w:val="002543D9"/>
    <w:rsid w:val="00254894"/>
    <w:rsid w:val="00255F70"/>
    <w:rsid w:val="0026075F"/>
    <w:rsid w:val="00260EA8"/>
    <w:rsid w:val="002610C2"/>
    <w:rsid w:val="00261914"/>
    <w:rsid w:val="002630CE"/>
    <w:rsid w:val="002663EE"/>
    <w:rsid w:val="00266704"/>
    <w:rsid w:val="00270DCE"/>
    <w:rsid w:val="00270E86"/>
    <w:rsid w:val="00271A49"/>
    <w:rsid w:val="0027316B"/>
    <w:rsid w:val="00274BE4"/>
    <w:rsid w:val="002765EE"/>
    <w:rsid w:val="00276FB3"/>
    <w:rsid w:val="00280CCF"/>
    <w:rsid w:val="00281A1B"/>
    <w:rsid w:val="0028216F"/>
    <w:rsid w:val="002821CF"/>
    <w:rsid w:val="002822BC"/>
    <w:rsid w:val="00283539"/>
    <w:rsid w:val="002876FA"/>
    <w:rsid w:val="00290A4C"/>
    <w:rsid w:val="00291C1A"/>
    <w:rsid w:val="00293DA0"/>
    <w:rsid w:val="0029419B"/>
    <w:rsid w:val="00295337"/>
    <w:rsid w:val="00296E20"/>
    <w:rsid w:val="00297131"/>
    <w:rsid w:val="002A5CE9"/>
    <w:rsid w:val="002A6AD2"/>
    <w:rsid w:val="002B2C78"/>
    <w:rsid w:val="002B3C01"/>
    <w:rsid w:val="002C1381"/>
    <w:rsid w:val="002C4EBF"/>
    <w:rsid w:val="002C7F3F"/>
    <w:rsid w:val="002D01CF"/>
    <w:rsid w:val="002D23BE"/>
    <w:rsid w:val="002D29B9"/>
    <w:rsid w:val="002D5500"/>
    <w:rsid w:val="002D6E0C"/>
    <w:rsid w:val="002D723D"/>
    <w:rsid w:val="002E323E"/>
    <w:rsid w:val="002E3951"/>
    <w:rsid w:val="002E620A"/>
    <w:rsid w:val="002F0F2B"/>
    <w:rsid w:val="002F1BB1"/>
    <w:rsid w:val="002F3796"/>
    <w:rsid w:val="002F5B7A"/>
    <w:rsid w:val="002F5C85"/>
    <w:rsid w:val="00303FFA"/>
    <w:rsid w:val="003063FA"/>
    <w:rsid w:val="0030709D"/>
    <w:rsid w:val="0031002B"/>
    <w:rsid w:val="00310F11"/>
    <w:rsid w:val="003128EC"/>
    <w:rsid w:val="00313821"/>
    <w:rsid w:val="0031402E"/>
    <w:rsid w:val="00316141"/>
    <w:rsid w:val="00321753"/>
    <w:rsid w:val="00323334"/>
    <w:rsid w:val="0032389E"/>
    <w:rsid w:val="0032763D"/>
    <w:rsid w:val="00330926"/>
    <w:rsid w:val="00333BB6"/>
    <w:rsid w:val="00334C33"/>
    <w:rsid w:val="003355F0"/>
    <w:rsid w:val="00342243"/>
    <w:rsid w:val="003431DD"/>
    <w:rsid w:val="0035101A"/>
    <w:rsid w:val="00352A3E"/>
    <w:rsid w:val="00353383"/>
    <w:rsid w:val="003542A0"/>
    <w:rsid w:val="00361931"/>
    <w:rsid w:val="003635AC"/>
    <w:rsid w:val="00363B90"/>
    <w:rsid w:val="00365A48"/>
    <w:rsid w:val="003663E7"/>
    <w:rsid w:val="00371DB7"/>
    <w:rsid w:val="00372ED7"/>
    <w:rsid w:val="00374613"/>
    <w:rsid w:val="00374E56"/>
    <w:rsid w:val="00375339"/>
    <w:rsid w:val="003757E3"/>
    <w:rsid w:val="00375C3A"/>
    <w:rsid w:val="003816C0"/>
    <w:rsid w:val="00385424"/>
    <w:rsid w:val="00385C97"/>
    <w:rsid w:val="00385D52"/>
    <w:rsid w:val="00387D41"/>
    <w:rsid w:val="003900C7"/>
    <w:rsid w:val="003906D7"/>
    <w:rsid w:val="0039761F"/>
    <w:rsid w:val="003A05ED"/>
    <w:rsid w:val="003A150E"/>
    <w:rsid w:val="003A2CAC"/>
    <w:rsid w:val="003A30E6"/>
    <w:rsid w:val="003A3DC7"/>
    <w:rsid w:val="003A3F0A"/>
    <w:rsid w:val="003A5EAF"/>
    <w:rsid w:val="003B1E3E"/>
    <w:rsid w:val="003B76C4"/>
    <w:rsid w:val="003C1509"/>
    <w:rsid w:val="003C1D00"/>
    <w:rsid w:val="003C3D7A"/>
    <w:rsid w:val="003D0426"/>
    <w:rsid w:val="003D0C16"/>
    <w:rsid w:val="003D7C96"/>
    <w:rsid w:val="003E21BE"/>
    <w:rsid w:val="003E22A5"/>
    <w:rsid w:val="003E32E3"/>
    <w:rsid w:val="003E6BBB"/>
    <w:rsid w:val="003E6EF4"/>
    <w:rsid w:val="003F17EF"/>
    <w:rsid w:val="003F57EF"/>
    <w:rsid w:val="003F6572"/>
    <w:rsid w:val="003F7420"/>
    <w:rsid w:val="003F766E"/>
    <w:rsid w:val="003F78CD"/>
    <w:rsid w:val="0040033A"/>
    <w:rsid w:val="004056A7"/>
    <w:rsid w:val="00410C75"/>
    <w:rsid w:val="004120E9"/>
    <w:rsid w:val="00415BB8"/>
    <w:rsid w:val="00415C84"/>
    <w:rsid w:val="004177E3"/>
    <w:rsid w:val="00417E7A"/>
    <w:rsid w:val="00422CCF"/>
    <w:rsid w:val="00424C33"/>
    <w:rsid w:val="00427FE1"/>
    <w:rsid w:val="004304AF"/>
    <w:rsid w:val="00433C6C"/>
    <w:rsid w:val="004340DA"/>
    <w:rsid w:val="00434EA1"/>
    <w:rsid w:val="00443C25"/>
    <w:rsid w:val="00445573"/>
    <w:rsid w:val="00445BEA"/>
    <w:rsid w:val="00446A70"/>
    <w:rsid w:val="00453063"/>
    <w:rsid w:val="004536B2"/>
    <w:rsid w:val="0046376D"/>
    <w:rsid w:val="004653C5"/>
    <w:rsid w:val="00466FB5"/>
    <w:rsid w:val="00467EFA"/>
    <w:rsid w:val="00471497"/>
    <w:rsid w:val="00473796"/>
    <w:rsid w:val="004739FE"/>
    <w:rsid w:val="00474454"/>
    <w:rsid w:val="00475E10"/>
    <w:rsid w:val="00476F5D"/>
    <w:rsid w:val="004777D8"/>
    <w:rsid w:val="0048023F"/>
    <w:rsid w:val="0048226E"/>
    <w:rsid w:val="004835B1"/>
    <w:rsid w:val="00484B96"/>
    <w:rsid w:val="00486973"/>
    <w:rsid w:val="00486D86"/>
    <w:rsid w:val="00487D5D"/>
    <w:rsid w:val="00487FF9"/>
    <w:rsid w:val="004902CA"/>
    <w:rsid w:val="00490427"/>
    <w:rsid w:val="00493C8C"/>
    <w:rsid w:val="00494D61"/>
    <w:rsid w:val="004A1CEA"/>
    <w:rsid w:val="004B0ADD"/>
    <w:rsid w:val="004B49C9"/>
    <w:rsid w:val="004C0361"/>
    <w:rsid w:val="004C0EBE"/>
    <w:rsid w:val="004C20A4"/>
    <w:rsid w:val="004C278C"/>
    <w:rsid w:val="004C48F4"/>
    <w:rsid w:val="004C6424"/>
    <w:rsid w:val="004D01F7"/>
    <w:rsid w:val="004D14C7"/>
    <w:rsid w:val="004D3C70"/>
    <w:rsid w:val="004D4C00"/>
    <w:rsid w:val="004D5734"/>
    <w:rsid w:val="004E1297"/>
    <w:rsid w:val="004E317A"/>
    <w:rsid w:val="004E3374"/>
    <w:rsid w:val="004E5A70"/>
    <w:rsid w:val="004E736E"/>
    <w:rsid w:val="004F09AB"/>
    <w:rsid w:val="004F262A"/>
    <w:rsid w:val="004F4625"/>
    <w:rsid w:val="004F55B2"/>
    <w:rsid w:val="004F573D"/>
    <w:rsid w:val="004F7755"/>
    <w:rsid w:val="00502086"/>
    <w:rsid w:val="005028DF"/>
    <w:rsid w:val="00505E0F"/>
    <w:rsid w:val="00507DB2"/>
    <w:rsid w:val="00510B8B"/>
    <w:rsid w:val="00511154"/>
    <w:rsid w:val="00513C2A"/>
    <w:rsid w:val="00514A04"/>
    <w:rsid w:val="00517AFD"/>
    <w:rsid w:val="0052346D"/>
    <w:rsid w:val="00523567"/>
    <w:rsid w:val="0052437E"/>
    <w:rsid w:val="00525AC5"/>
    <w:rsid w:val="00526B74"/>
    <w:rsid w:val="0052776B"/>
    <w:rsid w:val="0053225A"/>
    <w:rsid w:val="005323A1"/>
    <w:rsid w:val="00535697"/>
    <w:rsid w:val="00535A94"/>
    <w:rsid w:val="00540DD7"/>
    <w:rsid w:val="005433F9"/>
    <w:rsid w:val="005436B2"/>
    <w:rsid w:val="00544DD4"/>
    <w:rsid w:val="00544E86"/>
    <w:rsid w:val="0054538E"/>
    <w:rsid w:val="00545AC0"/>
    <w:rsid w:val="00551726"/>
    <w:rsid w:val="00553560"/>
    <w:rsid w:val="00554DB9"/>
    <w:rsid w:val="005560E2"/>
    <w:rsid w:val="00560F8A"/>
    <w:rsid w:val="00563B94"/>
    <w:rsid w:val="00566A1D"/>
    <w:rsid w:val="00566CE3"/>
    <w:rsid w:val="00580A96"/>
    <w:rsid w:val="005813B4"/>
    <w:rsid w:val="0058192D"/>
    <w:rsid w:val="00582959"/>
    <w:rsid w:val="00590DAE"/>
    <w:rsid w:val="005913C3"/>
    <w:rsid w:val="005946E4"/>
    <w:rsid w:val="0059509E"/>
    <w:rsid w:val="005A1013"/>
    <w:rsid w:val="005A257A"/>
    <w:rsid w:val="005A4090"/>
    <w:rsid w:val="005A43B2"/>
    <w:rsid w:val="005A5F7A"/>
    <w:rsid w:val="005B7DD5"/>
    <w:rsid w:val="005C0D87"/>
    <w:rsid w:val="005C1006"/>
    <w:rsid w:val="005C309C"/>
    <w:rsid w:val="005C3811"/>
    <w:rsid w:val="005C44EE"/>
    <w:rsid w:val="005C5242"/>
    <w:rsid w:val="005D0A3A"/>
    <w:rsid w:val="005D0EE6"/>
    <w:rsid w:val="005D287D"/>
    <w:rsid w:val="005D518C"/>
    <w:rsid w:val="005E0664"/>
    <w:rsid w:val="005E1B10"/>
    <w:rsid w:val="005E2D38"/>
    <w:rsid w:val="005E3CCD"/>
    <w:rsid w:val="005E4006"/>
    <w:rsid w:val="005E7AB2"/>
    <w:rsid w:val="005F4AB4"/>
    <w:rsid w:val="005F7878"/>
    <w:rsid w:val="006034E8"/>
    <w:rsid w:val="00603868"/>
    <w:rsid w:val="00605A7D"/>
    <w:rsid w:val="00605E14"/>
    <w:rsid w:val="00605E73"/>
    <w:rsid w:val="00605EFE"/>
    <w:rsid w:val="00607273"/>
    <w:rsid w:val="006074AD"/>
    <w:rsid w:val="00607F16"/>
    <w:rsid w:val="0061064D"/>
    <w:rsid w:val="00611518"/>
    <w:rsid w:val="00613ED6"/>
    <w:rsid w:val="00620CB2"/>
    <w:rsid w:val="0062323D"/>
    <w:rsid w:val="00625133"/>
    <w:rsid w:val="00626849"/>
    <w:rsid w:val="00633F1F"/>
    <w:rsid w:val="006342BF"/>
    <w:rsid w:val="00634FF1"/>
    <w:rsid w:val="006363D1"/>
    <w:rsid w:val="00640704"/>
    <w:rsid w:val="006407D8"/>
    <w:rsid w:val="00643808"/>
    <w:rsid w:val="00643864"/>
    <w:rsid w:val="00652F9A"/>
    <w:rsid w:val="006563B2"/>
    <w:rsid w:val="00657DAB"/>
    <w:rsid w:val="006618FC"/>
    <w:rsid w:val="00661AD3"/>
    <w:rsid w:val="00661F53"/>
    <w:rsid w:val="00662236"/>
    <w:rsid w:val="0066407A"/>
    <w:rsid w:val="00670493"/>
    <w:rsid w:val="00671D6D"/>
    <w:rsid w:val="00671FED"/>
    <w:rsid w:val="00673407"/>
    <w:rsid w:val="00673EFD"/>
    <w:rsid w:val="00681491"/>
    <w:rsid w:val="006821E2"/>
    <w:rsid w:val="006822F1"/>
    <w:rsid w:val="00682D02"/>
    <w:rsid w:val="00684BA3"/>
    <w:rsid w:val="00685D4B"/>
    <w:rsid w:val="0068694A"/>
    <w:rsid w:val="006901C2"/>
    <w:rsid w:val="00690E44"/>
    <w:rsid w:val="00692985"/>
    <w:rsid w:val="00693084"/>
    <w:rsid w:val="006934EC"/>
    <w:rsid w:val="00696B93"/>
    <w:rsid w:val="006A1D87"/>
    <w:rsid w:val="006A2511"/>
    <w:rsid w:val="006A693E"/>
    <w:rsid w:val="006A72EC"/>
    <w:rsid w:val="006A7E4F"/>
    <w:rsid w:val="006B00DB"/>
    <w:rsid w:val="006B1BEF"/>
    <w:rsid w:val="006B4BF3"/>
    <w:rsid w:val="006B5E83"/>
    <w:rsid w:val="006B636C"/>
    <w:rsid w:val="006B68E7"/>
    <w:rsid w:val="006C02B6"/>
    <w:rsid w:val="006C0A9C"/>
    <w:rsid w:val="006C1D9E"/>
    <w:rsid w:val="006C24F7"/>
    <w:rsid w:val="006C5737"/>
    <w:rsid w:val="006C5AC6"/>
    <w:rsid w:val="006C6C41"/>
    <w:rsid w:val="006D09AC"/>
    <w:rsid w:val="006D19F6"/>
    <w:rsid w:val="006D1DE6"/>
    <w:rsid w:val="006D203B"/>
    <w:rsid w:val="006D6615"/>
    <w:rsid w:val="006D66CF"/>
    <w:rsid w:val="006E26C6"/>
    <w:rsid w:val="006E55FC"/>
    <w:rsid w:val="006E71C0"/>
    <w:rsid w:val="006F0492"/>
    <w:rsid w:val="006F1E42"/>
    <w:rsid w:val="006F30AA"/>
    <w:rsid w:val="006F357F"/>
    <w:rsid w:val="006F78A3"/>
    <w:rsid w:val="00700E5C"/>
    <w:rsid w:val="0070207E"/>
    <w:rsid w:val="007026A3"/>
    <w:rsid w:val="00707EF4"/>
    <w:rsid w:val="00710351"/>
    <w:rsid w:val="00714843"/>
    <w:rsid w:val="00715CE4"/>
    <w:rsid w:val="007219EC"/>
    <w:rsid w:val="00723269"/>
    <w:rsid w:val="00723708"/>
    <w:rsid w:val="0072399B"/>
    <w:rsid w:val="00731467"/>
    <w:rsid w:val="007340CB"/>
    <w:rsid w:val="00735B1F"/>
    <w:rsid w:val="0074162A"/>
    <w:rsid w:val="00742586"/>
    <w:rsid w:val="007430E4"/>
    <w:rsid w:val="0074320A"/>
    <w:rsid w:val="007435A8"/>
    <w:rsid w:val="00744981"/>
    <w:rsid w:val="007455A2"/>
    <w:rsid w:val="00747C68"/>
    <w:rsid w:val="00751023"/>
    <w:rsid w:val="007511B3"/>
    <w:rsid w:val="0075294C"/>
    <w:rsid w:val="00753B93"/>
    <w:rsid w:val="007545A4"/>
    <w:rsid w:val="007547B2"/>
    <w:rsid w:val="0075797F"/>
    <w:rsid w:val="007602AB"/>
    <w:rsid w:val="00763788"/>
    <w:rsid w:val="00765D35"/>
    <w:rsid w:val="00767667"/>
    <w:rsid w:val="00767780"/>
    <w:rsid w:val="00770370"/>
    <w:rsid w:val="00770BE5"/>
    <w:rsid w:val="00772F07"/>
    <w:rsid w:val="00775C43"/>
    <w:rsid w:val="0078234D"/>
    <w:rsid w:val="00786CA5"/>
    <w:rsid w:val="00787A0E"/>
    <w:rsid w:val="0079370D"/>
    <w:rsid w:val="007937D1"/>
    <w:rsid w:val="007971B7"/>
    <w:rsid w:val="00797485"/>
    <w:rsid w:val="007A01B3"/>
    <w:rsid w:val="007A14AA"/>
    <w:rsid w:val="007A2202"/>
    <w:rsid w:val="007A385D"/>
    <w:rsid w:val="007A3BAC"/>
    <w:rsid w:val="007A4930"/>
    <w:rsid w:val="007A6AD0"/>
    <w:rsid w:val="007A6C7C"/>
    <w:rsid w:val="007A73C2"/>
    <w:rsid w:val="007B0656"/>
    <w:rsid w:val="007B1335"/>
    <w:rsid w:val="007B46D1"/>
    <w:rsid w:val="007B5344"/>
    <w:rsid w:val="007B79BA"/>
    <w:rsid w:val="007B7B2E"/>
    <w:rsid w:val="007C08D1"/>
    <w:rsid w:val="007C0D2B"/>
    <w:rsid w:val="007C104F"/>
    <w:rsid w:val="007C194E"/>
    <w:rsid w:val="007C2D54"/>
    <w:rsid w:val="007C37AA"/>
    <w:rsid w:val="007C4848"/>
    <w:rsid w:val="007D449F"/>
    <w:rsid w:val="007D63D0"/>
    <w:rsid w:val="007E18E2"/>
    <w:rsid w:val="007E2766"/>
    <w:rsid w:val="007E4608"/>
    <w:rsid w:val="007E480B"/>
    <w:rsid w:val="007F1C6B"/>
    <w:rsid w:val="007F1F88"/>
    <w:rsid w:val="007F28B1"/>
    <w:rsid w:val="007F701E"/>
    <w:rsid w:val="00801842"/>
    <w:rsid w:val="008025AC"/>
    <w:rsid w:val="00802FBA"/>
    <w:rsid w:val="008030CF"/>
    <w:rsid w:val="00804F2C"/>
    <w:rsid w:val="008057B2"/>
    <w:rsid w:val="0080713B"/>
    <w:rsid w:val="008071BB"/>
    <w:rsid w:val="008079EE"/>
    <w:rsid w:val="00810656"/>
    <w:rsid w:val="00810670"/>
    <w:rsid w:val="008163A8"/>
    <w:rsid w:val="00825964"/>
    <w:rsid w:val="00826B0F"/>
    <w:rsid w:val="00827086"/>
    <w:rsid w:val="00831AC3"/>
    <w:rsid w:val="008356E3"/>
    <w:rsid w:val="00835C3A"/>
    <w:rsid w:val="00840B42"/>
    <w:rsid w:val="00840E04"/>
    <w:rsid w:val="00841399"/>
    <w:rsid w:val="00842C29"/>
    <w:rsid w:val="0084474E"/>
    <w:rsid w:val="00845689"/>
    <w:rsid w:val="008459BA"/>
    <w:rsid w:val="00846127"/>
    <w:rsid w:val="0085012F"/>
    <w:rsid w:val="00850179"/>
    <w:rsid w:val="00852119"/>
    <w:rsid w:val="00855214"/>
    <w:rsid w:val="00855505"/>
    <w:rsid w:val="00857AF3"/>
    <w:rsid w:val="008600C1"/>
    <w:rsid w:val="0086033C"/>
    <w:rsid w:val="00860418"/>
    <w:rsid w:val="00861CDE"/>
    <w:rsid w:val="00863FB6"/>
    <w:rsid w:val="00864D8C"/>
    <w:rsid w:val="00865A23"/>
    <w:rsid w:val="0086639C"/>
    <w:rsid w:val="0087018B"/>
    <w:rsid w:val="00872CAB"/>
    <w:rsid w:val="00872EEF"/>
    <w:rsid w:val="00873265"/>
    <w:rsid w:val="008738F0"/>
    <w:rsid w:val="00876049"/>
    <w:rsid w:val="00880AEC"/>
    <w:rsid w:val="00880BFE"/>
    <w:rsid w:val="00881257"/>
    <w:rsid w:val="008866DB"/>
    <w:rsid w:val="00887832"/>
    <w:rsid w:val="00887BAC"/>
    <w:rsid w:val="00887F38"/>
    <w:rsid w:val="00890210"/>
    <w:rsid w:val="008904D3"/>
    <w:rsid w:val="008905F5"/>
    <w:rsid w:val="00891A90"/>
    <w:rsid w:val="00891D3D"/>
    <w:rsid w:val="00891DD4"/>
    <w:rsid w:val="008939D2"/>
    <w:rsid w:val="008A3D04"/>
    <w:rsid w:val="008A6C79"/>
    <w:rsid w:val="008A6E31"/>
    <w:rsid w:val="008A73CE"/>
    <w:rsid w:val="008B047F"/>
    <w:rsid w:val="008B4401"/>
    <w:rsid w:val="008B44CB"/>
    <w:rsid w:val="008B5EEA"/>
    <w:rsid w:val="008B7253"/>
    <w:rsid w:val="008B75A4"/>
    <w:rsid w:val="008C16D0"/>
    <w:rsid w:val="008C5111"/>
    <w:rsid w:val="008C5E5D"/>
    <w:rsid w:val="008C71F2"/>
    <w:rsid w:val="008D1957"/>
    <w:rsid w:val="008D1BB6"/>
    <w:rsid w:val="008D316A"/>
    <w:rsid w:val="008D37B6"/>
    <w:rsid w:val="008D3A3B"/>
    <w:rsid w:val="008D5821"/>
    <w:rsid w:val="008D583E"/>
    <w:rsid w:val="008D667E"/>
    <w:rsid w:val="008E1557"/>
    <w:rsid w:val="008E1950"/>
    <w:rsid w:val="008E7BFA"/>
    <w:rsid w:val="008F05DE"/>
    <w:rsid w:val="008F1CCC"/>
    <w:rsid w:val="008F3310"/>
    <w:rsid w:val="008F3547"/>
    <w:rsid w:val="008F366B"/>
    <w:rsid w:val="008F3AEB"/>
    <w:rsid w:val="008F4B2B"/>
    <w:rsid w:val="008F60CE"/>
    <w:rsid w:val="008F62E8"/>
    <w:rsid w:val="008F6591"/>
    <w:rsid w:val="00902504"/>
    <w:rsid w:val="009042E6"/>
    <w:rsid w:val="00906398"/>
    <w:rsid w:val="00910F58"/>
    <w:rsid w:val="009125F5"/>
    <w:rsid w:val="00912742"/>
    <w:rsid w:val="009160B8"/>
    <w:rsid w:val="009175A6"/>
    <w:rsid w:val="00920879"/>
    <w:rsid w:val="0092141C"/>
    <w:rsid w:val="0092210F"/>
    <w:rsid w:val="00922281"/>
    <w:rsid w:val="009223DC"/>
    <w:rsid w:val="009226CB"/>
    <w:rsid w:val="00924CCA"/>
    <w:rsid w:val="009271A7"/>
    <w:rsid w:val="0093169D"/>
    <w:rsid w:val="00932E2E"/>
    <w:rsid w:val="00932E53"/>
    <w:rsid w:val="0093354D"/>
    <w:rsid w:val="00933BE6"/>
    <w:rsid w:val="00935BC2"/>
    <w:rsid w:val="00936E7C"/>
    <w:rsid w:val="0094195E"/>
    <w:rsid w:val="00942341"/>
    <w:rsid w:val="00942D2E"/>
    <w:rsid w:val="0094364B"/>
    <w:rsid w:val="009449AE"/>
    <w:rsid w:val="00944EED"/>
    <w:rsid w:val="00951BC7"/>
    <w:rsid w:val="00953075"/>
    <w:rsid w:val="00954855"/>
    <w:rsid w:val="00954A36"/>
    <w:rsid w:val="00957FB7"/>
    <w:rsid w:val="00960B4E"/>
    <w:rsid w:val="00961C2C"/>
    <w:rsid w:val="00967132"/>
    <w:rsid w:val="0096777D"/>
    <w:rsid w:val="00971BDA"/>
    <w:rsid w:val="00976009"/>
    <w:rsid w:val="00976196"/>
    <w:rsid w:val="009907FA"/>
    <w:rsid w:val="00993107"/>
    <w:rsid w:val="00993E28"/>
    <w:rsid w:val="00995F2B"/>
    <w:rsid w:val="009A19AB"/>
    <w:rsid w:val="009A2753"/>
    <w:rsid w:val="009A6AD0"/>
    <w:rsid w:val="009A72DB"/>
    <w:rsid w:val="009B0D6F"/>
    <w:rsid w:val="009B2EAB"/>
    <w:rsid w:val="009B3C45"/>
    <w:rsid w:val="009B6FCE"/>
    <w:rsid w:val="009C2A40"/>
    <w:rsid w:val="009C2E45"/>
    <w:rsid w:val="009C6507"/>
    <w:rsid w:val="009C6A37"/>
    <w:rsid w:val="009D325E"/>
    <w:rsid w:val="009E276D"/>
    <w:rsid w:val="009E2A0E"/>
    <w:rsid w:val="009E4FB6"/>
    <w:rsid w:val="009E6C91"/>
    <w:rsid w:val="009E6CC1"/>
    <w:rsid w:val="009E7C40"/>
    <w:rsid w:val="009F7DC0"/>
    <w:rsid w:val="00A05576"/>
    <w:rsid w:val="00A10847"/>
    <w:rsid w:val="00A15B60"/>
    <w:rsid w:val="00A17377"/>
    <w:rsid w:val="00A17440"/>
    <w:rsid w:val="00A20CD7"/>
    <w:rsid w:val="00A217B3"/>
    <w:rsid w:val="00A225B9"/>
    <w:rsid w:val="00A22B8A"/>
    <w:rsid w:val="00A238AA"/>
    <w:rsid w:val="00A2502D"/>
    <w:rsid w:val="00A25879"/>
    <w:rsid w:val="00A334F1"/>
    <w:rsid w:val="00A34692"/>
    <w:rsid w:val="00A35459"/>
    <w:rsid w:val="00A36903"/>
    <w:rsid w:val="00A4244B"/>
    <w:rsid w:val="00A4388D"/>
    <w:rsid w:val="00A4586B"/>
    <w:rsid w:val="00A468B6"/>
    <w:rsid w:val="00A47B72"/>
    <w:rsid w:val="00A47EF4"/>
    <w:rsid w:val="00A50204"/>
    <w:rsid w:val="00A516D7"/>
    <w:rsid w:val="00A54349"/>
    <w:rsid w:val="00A55DD4"/>
    <w:rsid w:val="00A61F62"/>
    <w:rsid w:val="00A64FE6"/>
    <w:rsid w:val="00A701F9"/>
    <w:rsid w:val="00A70CBB"/>
    <w:rsid w:val="00A720AD"/>
    <w:rsid w:val="00A7581B"/>
    <w:rsid w:val="00A81CBD"/>
    <w:rsid w:val="00A83C17"/>
    <w:rsid w:val="00A84698"/>
    <w:rsid w:val="00A84E79"/>
    <w:rsid w:val="00A85425"/>
    <w:rsid w:val="00A931AA"/>
    <w:rsid w:val="00A93556"/>
    <w:rsid w:val="00A9542F"/>
    <w:rsid w:val="00A97B75"/>
    <w:rsid w:val="00AA04BF"/>
    <w:rsid w:val="00AA5829"/>
    <w:rsid w:val="00AA5EA4"/>
    <w:rsid w:val="00AA736C"/>
    <w:rsid w:val="00AA79A9"/>
    <w:rsid w:val="00AB2641"/>
    <w:rsid w:val="00AB43CE"/>
    <w:rsid w:val="00AB4B43"/>
    <w:rsid w:val="00AB51E8"/>
    <w:rsid w:val="00AC0D4D"/>
    <w:rsid w:val="00AC13EE"/>
    <w:rsid w:val="00AC5254"/>
    <w:rsid w:val="00AD0396"/>
    <w:rsid w:val="00AD1875"/>
    <w:rsid w:val="00AD42FE"/>
    <w:rsid w:val="00AD58FF"/>
    <w:rsid w:val="00AE005D"/>
    <w:rsid w:val="00AE18CE"/>
    <w:rsid w:val="00AE221F"/>
    <w:rsid w:val="00AE3C96"/>
    <w:rsid w:val="00AE65B9"/>
    <w:rsid w:val="00AE76D3"/>
    <w:rsid w:val="00AF228D"/>
    <w:rsid w:val="00AF4F6A"/>
    <w:rsid w:val="00AF5127"/>
    <w:rsid w:val="00B000E5"/>
    <w:rsid w:val="00B023F5"/>
    <w:rsid w:val="00B02A4D"/>
    <w:rsid w:val="00B02EC5"/>
    <w:rsid w:val="00B04203"/>
    <w:rsid w:val="00B056B0"/>
    <w:rsid w:val="00B05C77"/>
    <w:rsid w:val="00B13143"/>
    <w:rsid w:val="00B13D69"/>
    <w:rsid w:val="00B15BBC"/>
    <w:rsid w:val="00B16876"/>
    <w:rsid w:val="00B179DF"/>
    <w:rsid w:val="00B17FCE"/>
    <w:rsid w:val="00B207A9"/>
    <w:rsid w:val="00B20D1D"/>
    <w:rsid w:val="00B26CC1"/>
    <w:rsid w:val="00B3065D"/>
    <w:rsid w:val="00B3337F"/>
    <w:rsid w:val="00B333CF"/>
    <w:rsid w:val="00B345FB"/>
    <w:rsid w:val="00B37490"/>
    <w:rsid w:val="00B40FCA"/>
    <w:rsid w:val="00B43318"/>
    <w:rsid w:val="00B45C8E"/>
    <w:rsid w:val="00B465D5"/>
    <w:rsid w:val="00B50EEE"/>
    <w:rsid w:val="00B514BC"/>
    <w:rsid w:val="00B52E84"/>
    <w:rsid w:val="00B537F6"/>
    <w:rsid w:val="00B55311"/>
    <w:rsid w:val="00B6208A"/>
    <w:rsid w:val="00B704C1"/>
    <w:rsid w:val="00B714DF"/>
    <w:rsid w:val="00B716A7"/>
    <w:rsid w:val="00B73D83"/>
    <w:rsid w:val="00B74CF5"/>
    <w:rsid w:val="00B8170E"/>
    <w:rsid w:val="00B82CF0"/>
    <w:rsid w:val="00B84A1C"/>
    <w:rsid w:val="00B851D8"/>
    <w:rsid w:val="00B91D32"/>
    <w:rsid w:val="00B95CDE"/>
    <w:rsid w:val="00B9604E"/>
    <w:rsid w:val="00B96265"/>
    <w:rsid w:val="00B962E1"/>
    <w:rsid w:val="00BA1400"/>
    <w:rsid w:val="00BA2162"/>
    <w:rsid w:val="00BA2BC3"/>
    <w:rsid w:val="00BA3F80"/>
    <w:rsid w:val="00BB1D68"/>
    <w:rsid w:val="00BB3061"/>
    <w:rsid w:val="00BB4E4A"/>
    <w:rsid w:val="00BC1FF3"/>
    <w:rsid w:val="00BC4CA4"/>
    <w:rsid w:val="00BC7837"/>
    <w:rsid w:val="00BC7B1D"/>
    <w:rsid w:val="00BC7D22"/>
    <w:rsid w:val="00BD14F3"/>
    <w:rsid w:val="00BD21BA"/>
    <w:rsid w:val="00BD25F6"/>
    <w:rsid w:val="00BD3682"/>
    <w:rsid w:val="00BD7A0F"/>
    <w:rsid w:val="00BE26F5"/>
    <w:rsid w:val="00BE36E4"/>
    <w:rsid w:val="00BE6B45"/>
    <w:rsid w:val="00BE720D"/>
    <w:rsid w:val="00BF11BB"/>
    <w:rsid w:val="00BF1477"/>
    <w:rsid w:val="00BF1ABE"/>
    <w:rsid w:val="00BF606B"/>
    <w:rsid w:val="00BF69DC"/>
    <w:rsid w:val="00C008B2"/>
    <w:rsid w:val="00C00A72"/>
    <w:rsid w:val="00C0279E"/>
    <w:rsid w:val="00C029C2"/>
    <w:rsid w:val="00C02B0B"/>
    <w:rsid w:val="00C06C3C"/>
    <w:rsid w:val="00C06DE3"/>
    <w:rsid w:val="00C1054E"/>
    <w:rsid w:val="00C11A24"/>
    <w:rsid w:val="00C12A73"/>
    <w:rsid w:val="00C13B86"/>
    <w:rsid w:val="00C1504F"/>
    <w:rsid w:val="00C15094"/>
    <w:rsid w:val="00C2494A"/>
    <w:rsid w:val="00C24C9B"/>
    <w:rsid w:val="00C24D98"/>
    <w:rsid w:val="00C27ED6"/>
    <w:rsid w:val="00C31CAA"/>
    <w:rsid w:val="00C334D5"/>
    <w:rsid w:val="00C4183E"/>
    <w:rsid w:val="00C4456A"/>
    <w:rsid w:val="00C46B5A"/>
    <w:rsid w:val="00C536D5"/>
    <w:rsid w:val="00C53980"/>
    <w:rsid w:val="00C61A73"/>
    <w:rsid w:val="00C63B52"/>
    <w:rsid w:val="00C64872"/>
    <w:rsid w:val="00C65C44"/>
    <w:rsid w:val="00C66A1D"/>
    <w:rsid w:val="00C7444E"/>
    <w:rsid w:val="00C7566F"/>
    <w:rsid w:val="00C75B1F"/>
    <w:rsid w:val="00C75D7A"/>
    <w:rsid w:val="00C803E5"/>
    <w:rsid w:val="00C80B93"/>
    <w:rsid w:val="00C80E56"/>
    <w:rsid w:val="00C83B87"/>
    <w:rsid w:val="00C84850"/>
    <w:rsid w:val="00C85335"/>
    <w:rsid w:val="00C870F1"/>
    <w:rsid w:val="00C8743B"/>
    <w:rsid w:val="00C953B0"/>
    <w:rsid w:val="00C9583E"/>
    <w:rsid w:val="00C97823"/>
    <w:rsid w:val="00C97B3C"/>
    <w:rsid w:val="00CA3FC8"/>
    <w:rsid w:val="00CA5E2A"/>
    <w:rsid w:val="00CB16A0"/>
    <w:rsid w:val="00CB468A"/>
    <w:rsid w:val="00CC0357"/>
    <w:rsid w:val="00CC2C4E"/>
    <w:rsid w:val="00CC44C1"/>
    <w:rsid w:val="00CC6A3E"/>
    <w:rsid w:val="00CD358E"/>
    <w:rsid w:val="00CD6C6A"/>
    <w:rsid w:val="00CD7579"/>
    <w:rsid w:val="00CD79CF"/>
    <w:rsid w:val="00CD7B91"/>
    <w:rsid w:val="00CD7F58"/>
    <w:rsid w:val="00CE6FE4"/>
    <w:rsid w:val="00CE71AB"/>
    <w:rsid w:val="00CE729E"/>
    <w:rsid w:val="00CF1058"/>
    <w:rsid w:val="00CF265D"/>
    <w:rsid w:val="00CF3E06"/>
    <w:rsid w:val="00CF6AF8"/>
    <w:rsid w:val="00CF73BD"/>
    <w:rsid w:val="00CF7B4D"/>
    <w:rsid w:val="00CF7BBD"/>
    <w:rsid w:val="00D00956"/>
    <w:rsid w:val="00D048E0"/>
    <w:rsid w:val="00D053E9"/>
    <w:rsid w:val="00D05A65"/>
    <w:rsid w:val="00D108C1"/>
    <w:rsid w:val="00D11760"/>
    <w:rsid w:val="00D11F04"/>
    <w:rsid w:val="00D12CA0"/>
    <w:rsid w:val="00D1577C"/>
    <w:rsid w:val="00D1595E"/>
    <w:rsid w:val="00D21279"/>
    <w:rsid w:val="00D23C31"/>
    <w:rsid w:val="00D25D19"/>
    <w:rsid w:val="00D277A3"/>
    <w:rsid w:val="00D30888"/>
    <w:rsid w:val="00D36F39"/>
    <w:rsid w:val="00D4149F"/>
    <w:rsid w:val="00D4344F"/>
    <w:rsid w:val="00D47ADD"/>
    <w:rsid w:val="00D500A4"/>
    <w:rsid w:val="00D5098F"/>
    <w:rsid w:val="00D52666"/>
    <w:rsid w:val="00D551AC"/>
    <w:rsid w:val="00D55EE4"/>
    <w:rsid w:val="00D575D1"/>
    <w:rsid w:val="00D57C89"/>
    <w:rsid w:val="00D603B2"/>
    <w:rsid w:val="00D60C4E"/>
    <w:rsid w:val="00D6343E"/>
    <w:rsid w:val="00D6669F"/>
    <w:rsid w:val="00D66EAB"/>
    <w:rsid w:val="00D67B0E"/>
    <w:rsid w:val="00D71E32"/>
    <w:rsid w:val="00D741ED"/>
    <w:rsid w:val="00D766AC"/>
    <w:rsid w:val="00D77785"/>
    <w:rsid w:val="00D77940"/>
    <w:rsid w:val="00D814D1"/>
    <w:rsid w:val="00D84FCE"/>
    <w:rsid w:val="00D85825"/>
    <w:rsid w:val="00D85DF0"/>
    <w:rsid w:val="00D87C56"/>
    <w:rsid w:val="00D87D25"/>
    <w:rsid w:val="00D91283"/>
    <w:rsid w:val="00D92CBF"/>
    <w:rsid w:val="00D9389F"/>
    <w:rsid w:val="00D94AB6"/>
    <w:rsid w:val="00D961D9"/>
    <w:rsid w:val="00DA1912"/>
    <w:rsid w:val="00DA193F"/>
    <w:rsid w:val="00DA1D4B"/>
    <w:rsid w:val="00DA1FC3"/>
    <w:rsid w:val="00DA6A61"/>
    <w:rsid w:val="00DB5720"/>
    <w:rsid w:val="00DB5A6C"/>
    <w:rsid w:val="00DC0758"/>
    <w:rsid w:val="00DC0D6E"/>
    <w:rsid w:val="00DD0C6E"/>
    <w:rsid w:val="00DD0F25"/>
    <w:rsid w:val="00DD1A5E"/>
    <w:rsid w:val="00DD1E31"/>
    <w:rsid w:val="00DD21B4"/>
    <w:rsid w:val="00DD23A8"/>
    <w:rsid w:val="00DD43EE"/>
    <w:rsid w:val="00DE020C"/>
    <w:rsid w:val="00DE1297"/>
    <w:rsid w:val="00DE3AB4"/>
    <w:rsid w:val="00DE5445"/>
    <w:rsid w:val="00DF7EBB"/>
    <w:rsid w:val="00E0670E"/>
    <w:rsid w:val="00E113E2"/>
    <w:rsid w:val="00E15877"/>
    <w:rsid w:val="00E1620E"/>
    <w:rsid w:val="00E16590"/>
    <w:rsid w:val="00E20A73"/>
    <w:rsid w:val="00E21781"/>
    <w:rsid w:val="00E21864"/>
    <w:rsid w:val="00E246B7"/>
    <w:rsid w:val="00E321B2"/>
    <w:rsid w:val="00E3344E"/>
    <w:rsid w:val="00E35028"/>
    <w:rsid w:val="00E4100F"/>
    <w:rsid w:val="00E41EB0"/>
    <w:rsid w:val="00E440EC"/>
    <w:rsid w:val="00E456DB"/>
    <w:rsid w:val="00E524B6"/>
    <w:rsid w:val="00E53FDD"/>
    <w:rsid w:val="00E54739"/>
    <w:rsid w:val="00E60E59"/>
    <w:rsid w:val="00E6374A"/>
    <w:rsid w:val="00E675ED"/>
    <w:rsid w:val="00E71F87"/>
    <w:rsid w:val="00E72A58"/>
    <w:rsid w:val="00E72E19"/>
    <w:rsid w:val="00E757A0"/>
    <w:rsid w:val="00E7720A"/>
    <w:rsid w:val="00E806C6"/>
    <w:rsid w:val="00E81022"/>
    <w:rsid w:val="00E85239"/>
    <w:rsid w:val="00E94143"/>
    <w:rsid w:val="00E94BF6"/>
    <w:rsid w:val="00E94D94"/>
    <w:rsid w:val="00E97E3B"/>
    <w:rsid w:val="00EA380E"/>
    <w:rsid w:val="00EA5F24"/>
    <w:rsid w:val="00EA6C89"/>
    <w:rsid w:val="00EA76BB"/>
    <w:rsid w:val="00EB0330"/>
    <w:rsid w:val="00EB09C1"/>
    <w:rsid w:val="00EB12D0"/>
    <w:rsid w:val="00EB340B"/>
    <w:rsid w:val="00EB5EEE"/>
    <w:rsid w:val="00EC0332"/>
    <w:rsid w:val="00EC5DDE"/>
    <w:rsid w:val="00EC768F"/>
    <w:rsid w:val="00EC78C5"/>
    <w:rsid w:val="00ED0382"/>
    <w:rsid w:val="00ED0EFE"/>
    <w:rsid w:val="00ED14B3"/>
    <w:rsid w:val="00ED1B13"/>
    <w:rsid w:val="00ED30B6"/>
    <w:rsid w:val="00ED339C"/>
    <w:rsid w:val="00ED3F6C"/>
    <w:rsid w:val="00EE0BFD"/>
    <w:rsid w:val="00EE365C"/>
    <w:rsid w:val="00EE3F93"/>
    <w:rsid w:val="00EE6486"/>
    <w:rsid w:val="00EF0B9C"/>
    <w:rsid w:val="00EF0EF1"/>
    <w:rsid w:val="00EF34F1"/>
    <w:rsid w:val="00EF3DAA"/>
    <w:rsid w:val="00EF7405"/>
    <w:rsid w:val="00EF772F"/>
    <w:rsid w:val="00F02288"/>
    <w:rsid w:val="00F05765"/>
    <w:rsid w:val="00F057CE"/>
    <w:rsid w:val="00F05B94"/>
    <w:rsid w:val="00F06B8A"/>
    <w:rsid w:val="00F079C3"/>
    <w:rsid w:val="00F10290"/>
    <w:rsid w:val="00F102C0"/>
    <w:rsid w:val="00F1195C"/>
    <w:rsid w:val="00F15028"/>
    <w:rsid w:val="00F20829"/>
    <w:rsid w:val="00F24B3C"/>
    <w:rsid w:val="00F27322"/>
    <w:rsid w:val="00F27949"/>
    <w:rsid w:val="00F306EE"/>
    <w:rsid w:val="00F314B2"/>
    <w:rsid w:val="00F37E65"/>
    <w:rsid w:val="00F40164"/>
    <w:rsid w:val="00F41928"/>
    <w:rsid w:val="00F44933"/>
    <w:rsid w:val="00F457A7"/>
    <w:rsid w:val="00F47C74"/>
    <w:rsid w:val="00F47DC8"/>
    <w:rsid w:val="00F54075"/>
    <w:rsid w:val="00F54626"/>
    <w:rsid w:val="00F553A4"/>
    <w:rsid w:val="00F55697"/>
    <w:rsid w:val="00F57C49"/>
    <w:rsid w:val="00F648EE"/>
    <w:rsid w:val="00F64BC1"/>
    <w:rsid w:val="00F676D6"/>
    <w:rsid w:val="00F700F5"/>
    <w:rsid w:val="00F72196"/>
    <w:rsid w:val="00F755CC"/>
    <w:rsid w:val="00F75CEB"/>
    <w:rsid w:val="00F76D0F"/>
    <w:rsid w:val="00F83A1A"/>
    <w:rsid w:val="00F85BE7"/>
    <w:rsid w:val="00F85C8F"/>
    <w:rsid w:val="00F90DF4"/>
    <w:rsid w:val="00F93D3C"/>
    <w:rsid w:val="00F9710E"/>
    <w:rsid w:val="00FA248F"/>
    <w:rsid w:val="00FA5911"/>
    <w:rsid w:val="00FA5BD5"/>
    <w:rsid w:val="00FB0D71"/>
    <w:rsid w:val="00FC0247"/>
    <w:rsid w:val="00FC1067"/>
    <w:rsid w:val="00FC4CD6"/>
    <w:rsid w:val="00FC715D"/>
    <w:rsid w:val="00FC728E"/>
    <w:rsid w:val="00FD30DE"/>
    <w:rsid w:val="00FD3A57"/>
    <w:rsid w:val="00FD6D40"/>
    <w:rsid w:val="00FD7DD6"/>
    <w:rsid w:val="00FD7F95"/>
    <w:rsid w:val="00FE374D"/>
    <w:rsid w:val="00FE47EA"/>
    <w:rsid w:val="00FE77FB"/>
    <w:rsid w:val="00FF0918"/>
    <w:rsid w:val="00FF0EEB"/>
    <w:rsid w:val="00FF1F5E"/>
  </w:rsids>
  <m:mathPr>
    <m:mathFont m:val="Cambria Math"/>
    <m:brkBin m:val="before"/>
    <m:brkBinSub m:val="--"/>
    <m:smallFrac m:val="0"/>
    <m:dispDef/>
    <m:lMargin m:val="0"/>
    <m:rMargin m:val="0"/>
    <m:defJc m:val="centerGroup"/>
    <m:wrapIndent m:val="1440"/>
    <m:intLim m:val="subSup"/>
    <m:naryLim m:val="undOvr"/>
  </m:mathPr>
  <w:themeFontLang w:val="es-GT"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856878"/>
  <w15:chartTrackingRefBased/>
  <w15:docId w15:val="{6EA8AC24-228C-4EE4-87D0-22CB9F7A4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GT"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042E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9042E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9042E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9042E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9042E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9042E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042E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042E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042E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042E6"/>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9042E6"/>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9042E6"/>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9042E6"/>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9042E6"/>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9042E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042E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042E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042E6"/>
    <w:rPr>
      <w:rFonts w:eastAsiaTheme="majorEastAsia" w:cstheme="majorBidi"/>
      <w:color w:val="272727" w:themeColor="text1" w:themeTint="D8"/>
    </w:rPr>
  </w:style>
  <w:style w:type="paragraph" w:styleId="Ttulo">
    <w:name w:val="Title"/>
    <w:basedOn w:val="Normal"/>
    <w:next w:val="Normal"/>
    <w:link w:val="TtuloCar"/>
    <w:uiPriority w:val="10"/>
    <w:qFormat/>
    <w:rsid w:val="009042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042E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042E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042E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042E6"/>
    <w:pPr>
      <w:spacing w:before="160"/>
      <w:jc w:val="center"/>
    </w:pPr>
    <w:rPr>
      <w:i/>
      <w:iCs/>
      <w:color w:val="404040" w:themeColor="text1" w:themeTint="BF"/>
    </w:rPr>
  </w:style>
  <w:style w:type="character" w:customStyle="1" w:styleId="CitaCar">
    <w:name w:val="Cita Car"/>
    <w:basedOn w:val="Fuentedeprrafopredeter"/>
    <w:link w:val="Cita"/>
    <w:uiPriority w:val="29"/>
    <w:rsid w:val="009042E6"/>
    <w:rPr>
      <w:i/>
      <w:iCs/>
      <w:color w:val="404040" w:themeColor="text1" w:themeTint="BF"/>
    </w:rPr>
  </w:style>
  <w:style w:type="paragraph" w:styleId="Prrafodelista">
    <w:name w:val="List Paragraph"/>
    <w:basedOn w:val="Normal"/>
    <w:uiPriority w:val="34"/>
    <w:qFormat/>
    <w:rsid w:val="009042E6"/>
    <w:pPr>
      <w:ind w:left="720"/>
      <w:contextualSpacing/>
    </w:pPr>
  </w:style>
  <w:style w:type="character" w:styleId="nfasisintenso">
    <w:name w:val="Intense Emphasis"/>
    <w:basedOn w:val="Fuentedeprrafopredeter"/>
    <w:qFormat/>
    <w:rsid w:val="009042E6"/>
    <w:rPr>
      <w:i/>
      <w:iCs/>
      <w:color w:val="2F5496" w:themeColor="accent1" w:themeShade="BF"/>
    </w:rPr>
  </w:style>
  <w:style w:type="paragraph" w:styleId="Citadestacada">
    <w:name w:val="Intense Quote"/>
    <w:basedOn w:val="Normal"/>
    <w:next w:val="Normal"/>
    <w:link w:val="CitadestacadaCar"/>
    <w:uiPriority w:val="30"/>
    <w:qFormat/>
    <w:rsid w:val="009042E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9042E6"/>
    <w:rPr>
      <w:i/>
      <w:iCs/>
      <w:color w:val="2F5496" w:themeColor="accent1" w:themeShade="BF"/>
    </w:rPr>
  </w:style>
  <w:style w:type="character" w:styleId="Referenciaintensa">
    <w:name w:val="Intense Reference"/>
    <w:basedOn w:val="Fuentedeprrafopredeter"/>
    <w:uiPriority w:val="32"/>
    <w:qFormat/>
    <w:rsid w:val="009042E6"/>
    <w:rPr>
      <w:b/>
      <w:bCs/>
      <w:smallCaps/>
      <w:color w:val="2F5496" w:themeColor="accent1" w:themeShade="BF"/>
      <w:spacing w:val="5"/>
    </w:rPr>
  </w:style>
  <w:style w:type="character" w:styleId="Refdenotaalpie">
    <w:name w:val="footnote reference"/>
    <w:aliases w:val="BVI fnr,BVI fnr Car Car,BVI fnr Car,BVI fnr Car Car Car Car,BVI fnr Car Car Car Car Char, BVI fnr Char,BVI fnr Char, BVI fnr Car Car Char,BVI fnr Car Char, BVI fnr Car Car Car Car Char, BVI fnr Car Car Car Car Char Char,f, BVI fnr"/>
    <w:link w:val="Char2"/>
    <w:uiPriority w:val="99"/>
    <w:qFormat/>
    <w:rsid w:val="00544DD4"/>
    <w:rPr>
      <w:rFonts w:cs="Times New Roman"/>
      <w:sz w:val="27"/>
      <w:vertAlign w:val="superscript"/>
    </w:rPr>
  </w:style>
  <w:style w:type="paragraph" w:customStyle="1" w:styleId="Char2">
    <w:name w:val="Char2"/>
    <w:basedOn w:val="Normal"/>
    <w:link w:val="Refdenotaalpie"/>
    <w:uiPriority w:val="99"/>
    <w:rsid w:val="00544DD4"/>
    <w:pPr>
      <w:spacing w:line="240" w:lineRule="exact"/>
    </w:pPr>
    <w:rPr>
      <w:rFonts w:cs="Times New Roman"/>
      <w:sz w:val="27"/>
      <w:vertAlign w:val="superscript"/>
    </w:rPr>
  </w:style>
  <w:style w:type="paragraph" w:styleId="Textonotapie">
    <w:name w:val="footnote text"/>
    <w:aliases w:val="Footnote Text Char1,Footnote Text Char Char,Car Car Car Car,Texto nota pie1 Car Car,Texto nota pie1 Car,Car Car Car Car Car,Texto nota pie1 Car Car Car Car Car,Texto nota pie1,Car Car Car Car1,Texto nota pie1 Car Car1,Texto nota pie1 Car1"/>
    <w:basedOn w:val="Normal"/>
    <w:link w:val="TextonotapieCar"/>
    <w:uiPriority w:val="99"/>
    <w:unhideWhenUsed/>
    <w:qFormat/>
    <w:rsid w:val="00544DD4"/>
    <w:pPr>
      <w:spacing w:after="0" w:line="240" w:lineRule="auto"/>
    </w:pPr>
    <w:rPr>
      <w:rFonts w:ascii="Times New Roman" w:eastAsia="Times New Roman" w:hAnsi="Times New Roman" w:cs="Times New Roman"/>
      <w:kern w:val="0"/>
      <w:sz w:val="20"/>
      <w:szCs w:val="20"/>
      <w:lang w:val="en-US" w:eastAsia="en-US"/>
      <w14:ligatures w14:val="none"/>
    </w:rPr>
  </w:style>
  <w:style w:type="character" w:customStyle="1" w:styleId="TextonotapieCar">
    <w:name w:val="Texto nota pie Car"/>
    <w:aliases w:val="Footnote Text Char1 Car,Footnote Text Char Char Car,Car Car Car Car Car1,Texto nota pie1 Car Car Car,Texto nota pie1 Car Car2,Car Car Car Car Car Car,Texto nota pie1 Car Car Car Car Car Car,Texto nota pie1 Car2,Car Car Car Car1 Car"/>
    <w:basedOn w:val="Fuentedeprrafopredeter"/>
    <w:link w:val="Textonotapie"/>
    <w:uiPriority w:val="99"/>
    <w:qFormat/>
    <w:rsid w:val="00544DD4"/>
    <w:rPr>
      <w:rFonts w:ascii="Times New Roman" w:eastAsia="Times New Roman" w:hAnsi="Times New Roman" w:cs="Times New Roman"/>
      <w:kern w:val="0"/>
      <w:sz w:val="20"/>
      <w:szCs w:val="20"/>
      <w:lang w:val="en-US" w:eastAsia="en-US"/>
      <w14:ligatures w14:val="none"/>
    </w:rPr>
  </w:style>
  <w:style w:type="character" w:styleId="Hipervnculo">
    <w:name w:val="Hyperlink"/>
    <w:basedOn w:val="Fuentedeprrafopredeter"/>
    <w:uiPriority w:val="99"/>
    <w:unhideWhenUsed/>
    <w:rsid w:val="00544DD4"/>
    <w:rPr>
      <w:color w:val="0563C1" w:themeColor="hyperlink"/>
      <w:u w:val="single"/>
    </w:rPr>
  </w:style>
  <w:style w:type="character" w:styleId="Refdecomentario">
    <w:name w:val="annotation reference"/>
    <w:basedOn w:val="Fuentedeprrafopredeter"/>
    <w:uiPriority w:val="99"/>
    <w:semiHidden/>
    <w:unhideWhenUsed/>
    <w:rsid w:val="00831AC3"/>
    <w:rPr>
      <w:sz w:val="16"/>
      <w:szCs w:val="16"/>
    </w:rPr>
  </w:style>
  <w:style w:type="paragraph" w:styleId="Textocomentario">
    <w:name w:val="annotation text"/>
    <w:basedOn w:val="Normal"/>
    <w:link w:val="TextocomentarioCar"/>
    <w:uiPriority w:val="99"/>
    <w:unhideWhenUsed/>
    <w:rsid w:val="00831AC3"/>
    <w:pPr>
      <w:spacing w:line="240" w:lineRule="auto"/>
    </w:pPr>
    <w:rPr>
      <w:sz w:val="20"/>
      <w:szCs w:val="20"/>
    </w:rPr>
  </w:style>
  <w:style w:type="character" w:customStyle="1" w:styleId="TextocomentarioCar">
    <w:name w:val="Texto comentario Car"/>
    <w:basedOn w:val="Fuentedeprrafopredeter"/>
    <w:link w:val="Textocomentario"/>
    <w:uiPriority w:val="99"/>
    <w:rsid w:val="00831AC3"/>
    <w:rPr>
      <w:sz w:val="20"/>
      <w:szCs w:val="20"/>
    </w:rPr>
  </w:style>
  <w:style w:type="paragraph" w:styleId="Asuntodelcomentario">
    <w:name w:val="annotation subject"/>
    <w:basedOn w:val="Textocomentario"/>
    <w:next w:val="Textocomentario"/>
    <w:link w:val="AsuntodelcomentarioCar"/>
    <w:uiPriority w:val="99"/>
    <w:semiHidden/>
    <w:unhideWhenUsed/>
    <w:rsid w:val="00831AC3"/>
    <w:rPr>
      <w:b/>
      <w:bCs/>
    </w:rPr>
  </w:style>
  <w:style w:type="character" w:customStyle="1" w:styleId="AsuntodelcomentarioCar">
    <w:name w:val="Asunto del comentario Car"/>
    <w:basedOn w:val="TextocomentarioCar"/>
    <w:link w:val="Asuntodelcomentario"/>
    <w:uiPriority w:val="99"/>
    <w:semiHidden/>
    <w:rsid w:val="00831AC3"/>
    <w:rPr>
      <w:b/>
      <w:bCs/>
      <w:sz w:val="20"/>
      <w:szCs w:val="20"/>
    </w:rPr>
  </w:style>
  <w:style w:type="character" w:styleId="Hipervnculovisitado">
    <w:name w:val="FollowedHyperlink"/>
    <w:basedOn w:val="Fuentedeprrafopredeter"/>
    <w:uiPriority w:val="99"/>
    <w:semiHidden/>
    <w:unhideWhenUsed/>
    <w:rsid w:val="00EA6C89"/>
    <w:rPr>
      <w:color w:val="954F72" w:themeColor="followedHyperlink"/>
      <w:u w:val="single"/>
    </w:rPr>
  </w:style>
  <w:style w:type="character" w:styleId="Mencinsinresolver">
    <w:name w:val="Unresolved Mention"/>
    <w:basedOn w:val="Fuentedeprrafopredeter"/>
    <w:uiPriority w:val="99"/>
    <w:semiHidden/>
    <w:unhideWhenUsed/>
    <w:rsid w:val="00F700F5"/>
    <w:rPr>
      <w:color w:val="605E5C"/>
      <w:shd w:val="clear" w:color="auto" w:fill="E1DFDD"/>
    </w:rPr>
  </w:style>
  <w:style w:type="paragraph" w:styleId="Encabezado">
    <w:name w:val="header"/>
    <w:basedOn w:val="Normal"/>
    <w:link w:val="EncabezadoCar"/>
    <w:uiPriority w:val="99"/>
    <w:unhideWhenUsed/>
    <w:rsid w:val="0081067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F7420"/>
  </w:style>
  <w:style w:type="paragraph" w:styleId="Piedepgina">
    <w:name w:val="footer"/>
    <w:basedOn w:val="Normal"/>
    <w:link w:val="PiedepginaCar"/>
    <w:uiPriority w:val="99"/>
    <w:unhideWhenUsed/>
    <w:qFormat/>
    <w:rsid w:val="0081067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qFormat/>
    <w:rsid w:val="003F7420"/>
  </w:style>
  <w:style w:type="character" w:customStyle="1" w:styleId="normaltextrun">
    <w:name w:val="normaltextrun"/>
    <w:basedOn w:val="Fuentedeprrafopredeter"/>
    <w:rsid w:val="002167B8"/>
  </w:style>
  <w:style w:type="character" w:customStyle="1" w:styleId="eop">
    <w:name w:val="eop"/>
    <w:basedOn w:val="Fuentedeprrafopredeter"/>
    <w:rsid w:val="002167B8"/>
  </w:style>
  <w:style w:type="paragraph" w:styleId="HTMLconformatoprevio">
    <w:name w:val="HTML Preformatted"/>
    <w:basedOn w:val="Normal"/>
    <w:link w:val="HTMLconformatoprevioCar"/>
    <w:uiPriority w:val="99"/>
    <w:unhideWhenUsed/>
    <w:rsid w:val="00933B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val="en-US" w:eastAsia="en-US"/>
      <w14:ligatures w14:val="none"/>
    </w:rPr>
  </w:style>
  <w:style w:type="character" w:customStyle="1" w:styleId="HTMLconformatoprevioCar">
    <w:name w:val="HTML con formato previo Car"/>
    <w:basedOn w:val="Fuentedeprrafopredeter"/>
    <w:link w:val="HTMLconformatoprevio"/>
    <w:uiPriority w:val="99"/>
    <w:rsid w:val="00933BE6"/>
    <w:rPr>
      <w:rFonts w:ascii="Courier New" w:eastAsia="Times New Roman" w:hAnsi="Courier New" w:cs="Courier New"/>
      <w:kern w:val="0"/>
      <w:sz w:val="20"/>
      <w:szCs w:val="20"/>
      <w:lang w:val="en-US" w:eastAsia="en-US"/>
      <w14:ligatures w14:val="none"/>
    </w:rPr>
  </w:style>
  <w:style w:type="character" w:styleId="Textoennegrita">
    <w:name w:val="Strong"/>
    <w:basedOn w:val="Fuentedeprrafopredeter"/>
    <w:uiPriority w:val="22"/>
    <w:qFormat/>
    <w:rsid w:val="00E246B7"/>
    <w:rPr>
      <w:b/>
      <w:bCs/>
    </w:rPr>
  </w:style>
  <w:style w:type="character" w:styleId="nfasis">
    <w:name w:val="Emphasis"/>
    <w:basedOn w:val="Fuentedeprrafopredeter"/>
    <w:uiPriority w:val="20"/>
    <w:qFormat/>
    <w:rsid w:val="00E246B7"/>
    <w:rPr>
      <w:i/>
      <w:iCs/>
    </w:rPr>
  </w:style>
  <w:style w:type="character" w:customStyle="1" w:styleId="apple-converted-space">
    <w:name w:val="apple-converted-space"/>
    <w:basedOn w:val="Fuentedeprrafopredeter"/>
    <w:rsid w:val="00E246B7"/>
  </w:style>
  <w:style w:type="character" w:customStyle="1" w:styleId="Fuentedeprrafopredeter1">
    <w:name w:val="Fuente de párrafo predeter.1"/>
    <w:qFormat/>
    <w:rsid w:val="000276AD"/>
  </w:style>
  <w:style w:type="character" w:customStyle="1" w:styleId="Caracteresdenotaalpie">
    <w:name w:val="Caracteres de nota al pie"/>
    <w:rsid w:val="000276AD"/>
  </w:style>
  <w:style w:type="paragraph" w:styleId="TtuloTDC">
    <w:name w:val="TOC Heading"/>
    <w:basedOn w:val="Ttulo1"/>
    <w:next w:val="Normal"/>
    <w:uiPriority w:val="39"/>
    <w:unhideWhenUsed/>
    <w:qFormat/>
    <w:rsid w:val="00827086"/>
    <w:pPr>
      <w:spacing w:before="240" w:after="0"/>
      <w:outlineLvl w:val="9"/>
    </w:pPr>
    <w:rPr>
      <w:kern w:val="0"/>
      <w:sz w:val="32"/>
      <w:szCs w:val="32"/>
      <w14:ligatures w14:val="none"/>
    </w:rPr>
  </w:style>
  <w:style w:type="paragraph" w:styleId="TDC1">
    <w:name w:val="toc 1"/>
    <w:basedOn w:val="Normal"/>
    <w:next w:val="Normal"/>
    <w:autoRedefine/>
    <w:uiPriority w:val="39"/>
    <w:unhideWhenUsed/>
    <w:rsid w:val="00AB2641"/>
    <w:pPr>
      <w:spacing w:after="100"/>
    </w:pPr>
  </w:style>
  <w:style w:type="paragraph" w:styleId="TDC2">
    <w:name w:val="toc 2"/>
    <w:basedOn w:val="Normal"/>
    <w:next w:val="Normal"/>
    <w:autoRedefine/>
    <w:uiPriority w:val="39"/>
    <w:unhideWhenUsed/>
    <w:rsid w:val="00AB2641"/>
    <w:pPr>
      <w:spacing w:after="100"/>
      <w:ind w:left="220"/>
    </w:pPr>
  </w:style>
  <w:style w:type="paragraph" w:styleId="TDC3">
    <w:name w:val="toc 3"/>
    <w:basedOn w:val="Normal"/>
    <w:next w:val="Normal"/>
    <w:autoRedefine/>
    <w:uiPriority w:val="39"/>
    <w:unhideWhenUsed/>
    <w:rsid w:val="00A85425"/>
    <w:pPr>
      <w:spacing w:after="100"/>
      <w:ind w:left="440"/>
    </w:pPr>
  </w:style>
  <w:style w:type="table" w:styleId="Tablaconcuadrcula">
    <w:name w:val="Table Grid"/>
    <w:basedOn w:val="Tablanormal"/>
    <w:uiPriority w:val="39"/>
    <w:qFormat/>
    <w:rsid w:val="00B306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995F2B"/>
    <w:pPr>
      <w:spacing w:after="0" w:line="240" w:lineRule="auto"/>
    </w:pPr>
    <w:rPr>
      <w:rFonts w:eastAsiaTheme="minorHAnsi"/>
      <w:lang w:eastAsia="en-US"/>
    </w:rPr>
  </w:style>
  <w:style w:type="paragraph" w:styleId="Revisin">
    <w:name w:val="Revision"/>
    <w:hidden/>
    <w:uiPriority w:val="99"/>
    <w:semiHidden/>
    <w:rsid w:val="00E2186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0584">
      <w:bodyDiv w:val="1"/>
      <w:marLeft w:val="0"/>
      <w:marRight w:val="0"/>
      <w:marTop w:val="0"/>
      <w:marBottom w:val="0"/>
      <w:divBdr>
        <w:top w:val="none" w:sz="0" w:space="0" w:color="auto"/>
        <w:left w:val="none" w:sz="0" w:space="0" w:color="auto"/>
        <w:bottom w:val="none" w:sz="0" w:space="0" w:color="auto"/>
        <w:right w:val="none" w:sz="0" w:space="0" w:color="auto"/>
      </w:divBdr>
    </w:div>
    <w:div w:id="53162012">
      <w:bodyDiv w:val="1"/>
      <w:marLeft w:val="0"/>
      <w:marRight w:val="0"/>
      <w:marTop w:val="0"/>
      <w:marBottom w:val="0"/>
      <w:divBdr>
        <w:top w:val="none" w:sz="0" w:space="0" w:color="auto"/>
        <w:left w:val="none" w:sz="0" w:space="0" w:color="auto"/>
        <w:bottom w:val="none" w:sz="0" w:space="0" w:color="auto"/>
        <w:right w:val="none" w:sz="0" w:space="0" w:color="auto"/>
      </w:divBdr>
    </w:div>
    <w:div w:id="90395477">
      <w:bodyDiv w:val="1"/>
      <w:marLeft w:val="0"/>
      <w:marRight w:val="0"/>
      <w:marTop w:val="0"/>
      <w:marBottom w:val="0"/>
      <w:divBdr>
        <w:top w:val="none" w:sz="0" w:space="0" w:color="auto"/>
        <w:left w:val="none" w:sz="0" w:space="0" w:color="auto"/>
        <w:bottom w:val="none" w:sz="0" w:space="0" w:color="auto"/>
        <w:right w:val="none" w:sz="0" w:space="0" w:color="auto"/>
      </w:divBdr>
    </w:div>
    <w:div w:id="177043162">
      <w:bodyDiv w:val="1"/>
      <w:marLeft w:val="0"/>
      <w:marRight w:val="0"/>
      <w:marTop w:val="0"/>
      <w:marBottom w:val="0"/>
      <w:divBdr>
        <w:top w:val="none" w:sz="0" w:space="0" w:color="auto"/>
        <w:left w:val="none" w:sz="0" w:space="0" w:color="auto"/>
        <w:bottom w:val="none" w:sz="0" w:space="0" w:color="auto"/>
        <w:right w:val="none" w:sz="0" w:space="0" w:color="auto"/>
      </w:divBdr>
    </w:div>
    <w:div w:id="180170999">
      <w:bodyDiv w:val="1"/>
      <w:marLeft w:val="0"/>
      <w:marRight w:val="0"/>
      <w:marTop w:val="0"/>
      <w:marBottom w:val="0"/>
      <w:divBdr>
        <w:top w:val="none" w:sz="0" w:space="0" w:color="auto"/>
        <w:left w:val="none" w:sz="0" w:space="0" w:color="auto"/>
        <w:bottom w:val="none" w:sz="0" w:space="0" w:color="auto"/>
        <w:right w:val="none" w:sz="0" w:space="0" w:color="auto"/>
      </w:divBdr>
      <w:divsChild>
        <w:div w:id="1199779567">
          <w:marLeft w:val="0"/>
          <w:marRight w:val="0"/>
          <w:marTop w:val="0"/>
          <w:marBottom w:val="0"/>
          <w:divBdr>
            <w:top w:val="none" w:sz="0" w:space="0" w:color="auto"/>
            <w:left w:val="none" w:sz="0" w:space="0" w:color="auto"/>
            <w:bottom w:val="none" w:sz="0" w:space="0" w:color="auto"/>
            <w:right w:val="none" w:sz="0" w:space="0" w:color="auto"/>
          </w:divBdr>
          <w:divsChild>
            <w:div w:id="744689256">
              <w:marLeft w:val="0"/>
              <w:marRight w:val="0"/>
              <w:marTop w:val="0"/>
              <w:marBottom w:val="0"/>
              <w:divBdr>
                <w:top w:val="none" w:sz="0" w:space="0" w:color="auto"/>
                <w:left w:val="none" w:sz="0" w:space="0" w:color="auto"/>
                <w:bottom w:val="none" w:sz="0" w:space="0" w:color="auto"/>
                <w:right w:val="none" w:sz="0" w:space="0" w:color="auto"/>
              </w:divBdr>
              <w:divsChild>
                <w:div w:id="246497085">
                  <w:marLeft w:val="0"/>
                  <w:marRight w:val="0"/>
                  <w:marTop w:val="0"/>
                  <w:marBottom w:val="0"/>
                  <w:divBdr>
                    <w:top w:val="none" w:sz="0" w:space="0" w:color="auto"/>
                    <w:left w:val="none" w:sz="0" w:space="0" w:color="auto"/>
                    <w:bottom w:val="none" w:sz="0" w:space="0" w:color="auto"/>
                    <w:right w:val="none" w:sz="0" w:space="0" w:color="auto"/>
                  </w:divBdr>
                  <w:divsChild>
                    <w:div w:id="1327633209">
                      <w:marLeft w:val="0"/>
                      <w:marRight w:val="0"/>
                      <w:marTop w:val="0"/>
                      <w:marBottom w:val="0"/>
                      <w:divBdr>
                        <w:top w:val="none" w:sz="0" w:space="0" w:color="auto"/>
                        <w:left w:val="none" w:sz="0" w:space="0" w:color="auto"/>
                        <w:bottom w:val="none" w:sz="0" w:space="0" w:color="auto"/>
                        <w:right w:val="none" w:sz="0" w:space="0" w:color="auto"/>
                      </w:divBdr>
                      <w:divsChild>
                        <w:div w:id="1172180821">
                          <w:marLeft w:val="0"/>
                          <w:marRight w:val="0"/>
                          <w:marTop w:val="0"/>
                          <w:marBottom w:val="0"/>
                          <w:divBdr>
                            <w:top w:val="none" w:sz="0" w:space="0" w:color="auto"/>
                            <w:left w:val="none" w:sz="0" w:space="0" w:color="auto"/>
                            <w:bottom w:val="none" w:sz="0" w:space="0" w:color="auto"/>
                            <w:right w:val="none" w:sz="0" w:space="0" w:color="auto"/>
                          </w:divBdr>
                          <w:divsChild>
                            <w:div w:id="88160895">
                              <w:marLeft w:val="0"/>
                              <w:marRight w:val="0"/>
                              <w:marTop w:val="0"/>
                              <w:marBottom w:val="0"/>
                              <w:divBdr>
                                <w:top w:val="none" w:sz="0" w:space="0" w:color="auto"/>
                                <w:left w:val="none" w:sz="0" w:space="0" w:color="auto"/>
                                <w:bottom w:val="none" w:sz="0" w:space="0" w:color="auto"/>
                                <w:right w:val="none" w:sz="0" w:space="0" w:color="auto"/>
                              </w:divBdr>
                              <w:divsChild>
                                <w:div w:id="665940346">
                                  <w:marLeft w:val="0"/>
                                  <w:marRight w:val="0"/>
                                  <w:marTop w:val="0"/>
                                  <w:marBottom w:val="0"/>
                                  <w:divBdr>
                                    <w:top w:val="none" w:sz="0" w:space="0" w:color="auto"/>
                                    <w:left w:val="none" w:sz="0" w:space="0" w:color="auto"/>
                                    <w:bottom w:val="none" w:sz="0" w:space="0" w:color="auto"/>
                                    <w:right w:val="none" w:sz="0" w:space="0" w:color="auto"/>
                                  </w:divBdr>
                                  <w:divsChild>
                                    <w:div w:id="34166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3364423">
      <w:bodyDiv w:val="1"/>
      <w:marLeft w:val="0"/>
      <w:marRight w:val="0"/>
      <w:marTop w:val="0"/>
      <w:marBottom w:val="0"/>
      <w:divBdr>
        <w:top w:val="none" w:sz="0" w:space="0" w:color="auto"/>
        <w:left w:val="none" w:sz="0" w:space="0" w:color="auto"/>
        <w:bottom w:val="none" w:sz="0" w:space="0" w:color="auto"/>
        <w:right w:val="none" w:sz="0" w:space="0" w:color="auto"/>
      </w:divBdr>
    </w:div>
    <w:div w:id="279533260">
      <w:bodyDiv w:val="1"/>
      <w:marLeft w:val="0"/>
      <w:marRight w:val="0"/>
      <w:marTop w:val="0"/>
      <w:marBottom w:val="0"/>
      <w:divBdr>
        <w:top w:val="none" w:sz="0" w:space="0" w:color="auto"/>
        <w:left w:val="none" w:sz="0" w:space="0" w:color="auto"/>
        <w:bottom w:val="none" w:sz="0" w:space="0" w:color="auto"/>
        <w:right w:val="none" w:sz="0" w:space="0" w:color="auto"/>
      </w:divBdr>
    </w:div>
    <w:div w:id="282347289">
      <w:bodyDiv w:val="1"/>
      <w:marLeft w:val="0"/>
      <w:marRight w:val="0"/>
      <w:marTop w:val="0"/>
      <w:marBottom w:val="0"/>
      <w:divBdr>
        <w:top w:val="none" w:sz="0" w:space="0" w:color="auto"/>
        <w:left w:val="none" w:sz="0" w:space="0" w:color="auto"/>
        <w:bottom w:val="none" w:sz="0" w:space="0" w:color="auto"/>
        <w:right w:val="none" w:sz="0" w:space="0" w:color="auto"/>
      </w:divBdr>
    </w:div>
    <w:div w:id="286008923">
      <w:bodyDiv w:val="1"/>
      <w:marLeft w:val="0"/>
      <w:marRight w:val="0"/>
      <w:marTop w:val="0"/>
      <w:marBottom w:val="0"/>
      <w:divBdr>
        <w:top w:val="none" w:sz="0" w:space="0" w:color="auto"/>
        <w:left w:val="none" w:sz="0" w:space="0" w:color="auto"/>
        <w:bottom w:val="none" w:sz="0" w:space="0" w:color="auto"/>
        <w:right w:val="none" w:sz="0" w:space="0" w:color="auto"/>
      </w:divBdr>
    </w:div>
    <w:div w:id="298925803">
      <w:bodyDiv w:val="1"/>
      <w:marLeft w:val="0"/>
      <w:marRight w:val="0"/>
      <w:marTop w:val="0"/>
      <w:marBottom w:val="0"/>
      <w:divBdr>
        <w:top w:val="none" w:sz="0" w:space="0" w:color="auto"/>
        <w:left w:val="none" w:sz="0" w:space="0" w:color="auto"/>
        <w:bottom w:val="none" w:sz="0" w:space="0" w:color="auto"/>
        <w:right w:val="none" w:sz="0" w:space="0" w:color="auto"/>
      </w:divBdr>
    </w:div>
    <w:div w:id="314997459">
      <w:bodyDiv w:val="1"/>
      <w:marLeft w:val="0"/>
      <w:marRight w:val="0"/>
      <w:marTop w:val="0"/>
      <w:marBottom w:val="0"/>
      <w:divBdr>
        <w:top w:val="none" w:sz="0" w:space="0" w:color="auto"/>
        <w:left w:val="none" w:sz="0" w:space="0" w:color="auto"/>
        <w:bottom w:val="none" w:sz="0" w:space="0" w:color="auto"/>
        <w:right w:val="none" w:sz="0" w:space="0" w:color="auto"/>
      </w:divBdr>
    </w:div>
    <w:div w:id="421992629">
      <w:bodyDiv w:val="1"/>
      <w:marLeft w:val="0"/>
      <w:marRight w:val="0"/>
      <w:marTop w:val="0"/>
      <w:marBottom w:val="0"/>
      <w:divBdr>
        <w:top w:val="none" w:sz="0" w:space="0" w:color="auto"/>
        <w:left w:val="none" w:sz="0" w:space="0" w:color="auto"/>
        <w:bottom w:val="none" w:sz="0" w:space="0" w:color="auto"/>
        <w:right w:val="none" w:sz="0" w:space="0" w:color="auto"/>
      </w:divBdr>
    </w:div>
    <w:div w:id="427846542">
      <w:bodyDiv w:val="1"/>
      <w:marLeft w:val="0"/>
      <w:marRight w:val="0"/>
      <w:marTop w:val="0"/>
      <w:marBottom w:val="0"/>
      <w:divBdr>
        <w:top w:val="none" w:sz="0" w:space="0" w:color="auto"/>
        <w:left w:val="none" w:sz="0" w:space="0" w:color="auto"/>
        <w:bottom w:val="none" w:sz="0" w:space="0" w:color="auto"/>
        <w:right w:val="none" w:sz="0" w:space="0" w:color="auto"/>
      </w:divBdr>
    </w:div>
    <w:div w:id="458037145">
      <w:bodyDiv w:val="1"/>
      <w:marLeft w:val="0"/>
      <w:marRight w:val="0"/>
      <w:marTop w:val="0"/>
      <w:marBottom w:val="0"/>
      <w:divBdr>
        <w:top w:val="none" w:sz="0" w:space="0" w:color="auto"/>
        <w:left w:val="none" w:sz="0" w:space="0" w:color="auto"/>
        <w:bottom w:val="none" w:sz="0" w:space="0" w:color="auto"/>
        <w:right w:val="none" w:sz="0" w:space="0" w:color="auto"/>
      </w:divBdr>
    </w:div>
    <w:div w:id="514079479">
      <w:bodyDiv w:val="1"/>
      <w:marLeft w:val="0"/>
      <w:marRight w:val="0"/>
      <w:marTop w:val="0"/>
      <w:marBottom w:val="0"/>
      <w:divBdr>
        <w:top w:val="none" w:sz="0" w:space="0" w:color="auto"/>
        <w:left w:val="none" w:sz="0" w:space="0" w:color="auto"/>
        <w:bottom w:val="none" w:sz="0" w:space="0" w:color="auto"/>
        <w:right w:val="none" w:sz="0" w:space="0" w:color="auto"/>
      </w:divBdr>
    </w:div>
    <w:div w:id="519004606">
      <w:bodyDiv w:val="1"/>
      <w:marLeft w:val="0"/>
      <w:marRight w:val="0"/>
      <w:marTop w:val="0"/>
      <w:marBottom w:val="0"/>
      <w:divBdr>
        <w:top w:val="none" w:sz="0" w:space="0" w:color="auto"/>
        <w:left w:val="none" w:sz="0" w:space="0" w:color="auto"/>
        <w:bottom w:val="none" w:sz="0" w:space="0" w:color="auto"/>
        <w:right w:val="none" w:sz="0" w:space="0" w:color="auto"/>
      </w:divBdr>
    </w:div>
    <w:div w:id="542639394">
      <w:bodyDiv w:val="1"/>
      <w:marLeft w:val="0"/>
      <w:marRight w:val="0"/>
      <w:marTop w:val="0"/>
      <w:marBottom w:val="0"/>
      <w:divBdr>
        <w:top w:val="none" w:sz="0" w:space="0" w:color="auto"/>
        <w:left w:val="none" w:sz="0" w:space="0" w:color="auto"/>
        <w:bottom w:val="none" w:sz="0" w:space="0" w:color="auto"/>
        <w:right w:val="none" w:sz="0" w:space="0" w:color="auto"/>
      </w:divBdr>
    </w:div>
    <w:div w:id="729229104">
      <w:bodyDiv w:val="1"/>
      <w:marLeft w:val="0"/>
      <w:marRight w:val="0"/>
      <w:marTop w:val="0"/>
      <w:marBottom w:val="0"/>
      <w:divBdr>
        <w:top w:val="none" w:sz="0" w:space="0" w:color="auto"/>
        <w:left w:val="none" w:sz="0" w:space="0" w:color="auto"/>
        <w:bottom w:val="none" w:sz="0" w:space="0" w:color="auto"/>
        <w:right w:val="none" w:sz="0" w:space="0" w:color="auto"/>
      </w:divBdr>
    </w:div>
    <w:div w:id="752436523">
      <w:bodyDiv w:val="1"/>
      <w:marLeft w:val="0"/>
      <w:marRight w:val="0"/>
      <w:marTop w:val="0"/>
      <w:marBottom w:val="0"/>
      <w:divBdr>
        <w:top w:val="none" w:sz="0" w:space="0" w:color="auto"/>
        <w:left w:val="none" w:sz="0" w:space="0" w:color="auto"/>
        <w:bottom w:val="none" w:sz="0" w:space="0" w:color="auto"/>
        <w:right w:val="none" w:sz="0" w:space="0" w:color="auto"/>
      </w:divBdr>
    </w:div>
    <w:div w:id="806824372">
      <w:bodyDiv w:val="1"/>
      <w:marLeft w:val="0"/>
      <w:marRight w:val="0"/>
      <w:marTop w:val="0"/>
      <w:marBottom w:val="0"/>
      <w:divBdr>
        <w:top w:val="none" w:sz="0" w:space="0" w:color="auto"/>
        <w:left w:val="none" w:sz="0" w:space="0" w:color="auto"/>
        <w:bottom w:val="none" w:sz="0" w:space="0" w:color="auto"/>
        <w:right w:val="none" w:sz="0" w:space="0" w:color="auto"/>
      </w:divBdr>
    </w:div>
    <w:div w:id="870798613">
      <w:bodyDiv w:val="1"/>
      <w:marLeft w:val="0"/>
      <w:marRight w:val="0"/>
      <w:marTop w:val="0"/>
      <w:marBottom w:val="0"/>
      <w:divBdr>
        <w:top w:val="none" w:sz="0" w:space="0" w:color="auto"/>
        <w:left w:val="none" w:sz="0" w:space="0" w:color="auto"/>
        <w:bottom w:val="none" w:sz="0" w:space="0" w:color="auto"/>
        <w:right w:val="none" w:sz="0" w:space="0" w:color="auto"/>
      </w:divBdr>
    </w:div>
    <w:div w:id="997803167">
      <w:bodyDiv w:val="1"/>
      <w:marLeft w:val="0"/>
      <w:marRight w:val="0"/>
      <w:marTop w:val="0"/>
      <w:marBottom w:val="0"/>
      <w:divBdr>
        <w:top w:val="none" w:sz="0" w:space="0" w:color="auto"/>
        <w:left w:val="none" w:sz="0" w:space="0" w:color="auto"/>
        <w:bottom w:val="none" w:sz="0" w:space="0" w:color="auto"/>
        <w:right w:val="none" w:sz="0" w:space="0" w:color="auto"/>
      </w:divBdr>
    </w:div>
    <w:div w:id="1036583885">
      <w:bodyDiv w:val="1"/>
      <w:marLeft w:val="0"/>
      <w:marRight w:val="0"/>
      <w:marTop w:val="0"/>
      <w:marBottom w:val="0"/>
      <w:divBdr>
        <w:top w:val="none" w:sz="0" w:space="0" w:color="auto"/>
        <w:left w:val="none" w:sz="0" w:space="0" w:color="auto"/>
        <w:bottom w:val="none" w:sz="0" w:space="0" w:color="auto"/>
        <w:right w:val="none" w:sz="0" w:space="0" w:color="auto"/>
      </w:divBdr>
    </w:div>
    <w:div w:id="1063137551">
      <w:bodyDiv w:val="1"/>
      <w:marLeft w:val="0"/>
      <w:marRight w:val="0"/>
      <w:marTop w:val="0"/>
      <w:marBottom w:val="0"/>
      <w:divBdr>
        <w:top w:val="none" w:sz="0" w:space="0" w:color="auto"/>
        <w:left w:val="none" w:sz="0" w:space="0" w:color="auto"/>
        <w:bottom w:val="none" w:sz="0" w:space="0" w:color="auto"/>
        <w:right w:val="none" w:sz="0" w:space="0" w:color="auto"/>
      </w:divBdr>
    </w:div>
    <w:div w:id="1104619469">
      <w:bodyDiv w:val="1"/>
      <w:marLeft w:val="0"/>
      <w:marRight w:val="0"/>
      <w:marTop w:val="0"/>
      <w:marBottom w:val="0"/>
      <w:divBdr>
        <w:top w:val="none" w:sz="0" w:space="0" w:color="auto"/>
        <w:left w:val="none" w:sz="0" w:space="0" w:color="auto"/>
        <w:bottom w:val="none" w:sz="0" w:space="0" w:color="auto"/>
        <w:right w:val="none" w:sz="0" w:space="0" w:color="auto"/>
      </w:divBdr>
    </w:div>
    <w:div w:id="1293176499">
      <w:bodyDiv w:val="1"/>
      <w:marLeft w:val="0"/>
      <w:marRight w:val="0"/>
      <w:marTop w:val="0"/>
      <w:marBottom w:val="0"/>
      <w:divBdr>
        <w:top w:val="none" w:sz="0" w:space="0" w:color="auto"/>
        <w:left w:val="none" w:sz="0" w:space="0" w:color="auto"/>
        <w:bottom w:val="none" w:sz="0" w:space="0" w:color="auto"/>
        <w:right w:val="none" w:sz="0" w:space="0" w:color="auto"/>
      </w:divBdr>
    </w:div>
    <w:div w:id="1403328423">
      <w:bodyDiv w:val="1"/>
      <w:marLeft w:val="0"/>
      <w:marRight w:val="0"/>
      <w:marTop w:val="0"/>
      <w:marBottom w:val="0"/>
      <w:divBdr>
        <w:top w:val="none" w:sz="0" w:space="0" w:color="auto"/>
        <w:left w:val="none" w:sz="0" w:space="0" w:color="auto"/>
        <w:bottom w:val="none" w:sz="0" w:space="0" w:color="auto"/>
        <w:right w:val="none" w:sz="0" w:space="0" w:color="auto"/>
      </w:divBdr>
    </w:div>
    <w:div w:id="1406806029">
      <w:bodyDiv w:val="1"/>
      <w:marLeft w:val="0"/>
      <w:marRight w:val="0"/>
      <w:marTop w:val="0"/>
      <w:marBottom w:val="0"/>
      <w:divBdr>
        <w:top w:val="none" w:sz="0" w:space="0" w:color="auto"/>
        <w:left w:val="none" w:sz="0" w:space="0" w:color="auto"/>
        <w:bottom w:val="none" w:sz="0" w:space="0" w:color="auto"/>
        <w:right w:val="none" w:sz="0" w:space="0" w:color="auto"/>
      </w:divBdr>
    </w:div>
    <w:div w:id="1427192051">
      <w:bodyDiv w:val="1"/>
      <w:marLeft w:val="0"/>
      <w:marRight w:val="0"/>
      <w:marTop w:val="0"/>
      <w:marBottom w:val="0"/>
      <w:divBdr>
        <w:top w:val="none" w:sz="0" w:space="0" w:color="auto"/>
        <w:left w:val="none" w:sz="0" w:space="0" w:color="auto"/>
        <w:bottom w:val="none" w:sz="0" w:space="0" w:color="auto"/>
        <w:right w:val="none" w:sz="0" w:space="0" w:color="auto"/>
      </w:divBdr>
    </w:div>
    <w:div w:id="1429931907">
      <w:bodyDiv w:val="1"/>
      <w:marLeft w:val="0"/>
      <w:marRight w:val="0"/>
      <w:marTop w:val="0"/>
      <w:marBottom w:val="0"/>
      <w:divBdr>
        <w:top w:val="none" w:sz="0" w:space="0" w:color="auto"/>
        <w:left w:val="none" w:sz="0" w:space="0" w:color="auto"/>
        <w:bottom w:val="none" w:sz="0" w:space="0" w:color="auto"/>
        <w:right w:val="none" w:sz="0" w:space="0" w:color="auto"/>
      </w:divBdr>
    </w:div>
    <w:div w:id="1467357737">
      <w:bodyDiv w:val="1"/>
      <w:marLeft w:val="0"/>
      <w:marRight w:val="0"/>
      <w:marTop w:val="0"/>
      <w:marBottom w:val="0"/>
      <w:divBdr>
        <w:top w:val="none" w:sz="0" w:space="0" w:color="auto"/>
        <w:left w:val="none" w:sz="0" w:space="0" w:color="auto"/>
        <w:bottom w:val="none" w:sz="0" w:space="0" w:color="auto"/>
        <w:right w:val="none" w:sz="0" w:space="0" w:color="auto"/>
      </w:divBdr>
    </w:div>
    <w:div w:id="1491943832">
      <w:bodyDiv w:val="1"/>
      <w:marLeft w:val="0"/>
      <w:marRight w:val="0"/>
      <w:marTop w:val="0"/>
      <w:marBottom w:val="0"/>
      <w:divBdr>
        <w:top w:val="none" w:sz="0" w:space="0" w:color="auto"/>
        <w:left w:val="none" w:sz="0" w:space="0" w:color="auto"/>
        <w:bottom w:val="none" w:sz="0" w:space="0" w:color="auto"/>
        <w:right w:val="none" w:sz="0" w:space="0" w:color="auto"/>
      </w:divBdr>
    </w:div>
    <w:div w:id="1502769338">
      <w:bodyDiv w:val="1"/>
      <w:marLeft w:val="0"/>
      <w:marRight w:val="0"/>
      <w:marTop w:val="0"/>
      <w:marBottom w:val="0"/>
      <w:divBdr>
        <w:top w:val="none" w:sz="0" w:space="0" w:color="auto"/>
        <w:left w:val="none" w:sz="0" w:space="0" w:color="auto"/>
        <w:bottom w:val="none" w:sz="0" w:space="0" w:color="auto"/>
        <w:right w:val="none" w:sz="0" w:space="0" w:color="auto"/>
      </w:divBdr>
    </w:div>
    <w:div w:id="1538077628">
      <w:bodyDiv w:val="1"/>
      <w:marLeft w:val="0"/>
      <w:marRight w:val="0"/>
      <w:marTop w:val="0"/>
      <w:marBottom w:val="0"/>
      <w:divBdr>
        <w:top w:val="none" w:sz="0" w:space="0" w:color="auto"/>
        <w:left w:val="none" w:sz="0" w:space="0" w:color="auto"/>
        <w:bottom w:val="none" w:sz="0" w:space="0" w:color="auto"/>
        <w:right w:val="none" w:sz="0" w:space="0" w:color="auto"/>
      </w:divBdr>
    </w:div>
    <w:div w:id="1612932188">
      <w:bodyDiv w:val="1"/>
      <w:marLeft w:val="0"/>
      <w:marRight w:val="0"/>
      <w:marTop w:val="0"/>
      <w:marBottom w:val="0"/>
      <w:divBdr>
        <w:top w:val="none" w:sz="0" w:space="0" w:color="auto"/>
        <w:left w:val="none" w:sz="0" w:space="0" w:color="auto"/>
        <w:bottom w:val="none" w:sz="0" w:space="0" w:color="auto"/>
        <w:right w:val="none" w:sz="0" w:space="0" w:color="auto"/>
      </w:divBdr>
    </w:div>
    <w:div w:id="1633052785">
      <w:bodyDiv w:val="1"/>
      <w:marLeft w:val="0"/>
      <w:marRight w:val="0"/>
      <w:marTop w:val="0"/>
      <w:marBottom w:val="0"/>
      <w:divBdr>
        <w:top w:val="none" w:sz="0" w:space="0" w:color="auto"/>
        <w:left w:val="none" w:sz="0" w:space="0" w:color="auto"/>
        <w:bottom w:val="none" w:sz="0" w:space="0" w:color="auto"/>
        <w:right w:val="none" w:sz="0" w:space="0" w:color="auto"/>
      </w:divBdr>
    </w:div>
    <w:div w:id="1641031987">
      <w:bodyDiv w:val="1"/>
      <w:marLeft w:val="0"/>
      <w:marRight w:val="0"/>
      <w:marTop w:val="0"/>
      <w:marBottom w:val="0"/>
      <w:divBdr>
        <w:top w:val="none" w:sz="0" w:space="0" w:color="auto"/>
        <w:left w:val="none" w:sz="0" w:space="0" w:color="auto"/>
        <w:bottom w:val="none" w:sz="0" w:space="0" w:color="auto"/>
        <w:right w:val="none" w:sz="0" w:space="0" w:color="auto"/>
      </w:divBdr>
    </w:div>
    <w:div w:id="1644045415">
      <w:bodyDiv w:val="1"/>
      <w:marLeft w:val="0"/>
      <w:marRight w:val="0"/>
      <w:marTop w:val="0"/>
      <w:marBottom w:val="0"/>
      <w:divBdr>
        <w:top w:val="none" w:sz="0" w:space="0" w:color="auto"/>
        <w:left w:val="none" w:sz="0" w:space="0" w:color="auto"/>
        <w:bottom w:val="none" w:sz="0" w:space="0" w:color="auto"/>
        <w:right w:val="none" w:sz="0" w:space="0" w:color="auto"/>
      </w:divBdr>
    </w:div>
    <w:div w:id="1648242093">
      <w:bodyDiv w:val="1"/>
      <w:marLeft w:val="0"/>
      <w:marRight w:val="0"/>
      <w:marTop w:val="0"/>
      <w:marBottom w:val="0"/>
      <w:divBdr>
        <w:top w:val="none" w:sz="0" w:space="0" w:color="auto"/>
        <w:left w:val="none" w:sz="0" w:space="0" w:color="auto"/>
        <w:bottom w:val="none" w:sz="0" w:space="0" w:color="auto"/>
        <w:right w:val="none" w:sz="0" w:space="0" w:color="auto"/>
      </w:divBdr>
    </w:div>
    <w:div w:id="1671983580">
      <w:bodyDiv w:val="1"/>
      <w:marLeft w:val="0"/>
      <w:marRight w:val="0"/>
      <w:marTop w:val="0"/>
      <w:marBottom w:val="0"/>
      <w:divBdr>
        <w:top w:val="none" w:sz="0" w:space="0" w:color="auto"/>
        <w:left w:val="none" w:sz="0" w:space="0" w:color="auto"/>
        <w:bottom w:val="none" w:sz="0" w:space="0" w:color="auto"/>
        <w:right w:val="none" w:sz="0" w:space="0" w:color="auto"/>
      </w:divBdr>
    </w:div>
    <w:div w:id="1672216950">
      <w:bodyDiv w:val="1"/>
      <w:marLeft w:val="0"/>
      <w:marRight w:val="0"/>
      <w:marTop w:val="0"/>
      <w:marBottom w:val="0"/>
      <w:divBdr>
        <w:top w:val="none" w:sz="0" w:space="0" w:color="auto"/>
        <w:left w:val="none" w:sz="0" w:space="0" w:color="auto"/>
        <w:bottom w:val="none" w:sz="0" w:space="0" w:color="auto"/>
        <w:right w:val="none" w:sz="0" w:space="0" w:color="auto"/>
      </w:divBdr>
    </w:div>
    <w:div w:id="1699893868">
      <w:bodyDiv w:val="1"/>
      <w:marLeft w:val="0"/>
      <w:marRight w:val="0"/>
      <w:marTop w:val="0"/>
      <w:marBottom w:val="0"/>
      <w:divBdr>
        <w:top w:val="none" w:sz="0" w:space="0" w:color="auto"/>
        <w:left w:val="none" w:sz="0" w:space="0" w:color="auto"/>
        <w:bottom w:val="none" w:sz="0" w:space="0" w:color="auto"/>
        <w:right w:val="none" w:sz="0" w:space="0" w:color="auto"/>
      </w:divBdr>
      <w:divsChild>
        <w:div w:id="932275496">
          <w:marLeft w:val="0"/>
          <w:marRight w:val="0"/>
          <w:marTop w:val="0"/>
          <w:marBottom w:val="0"/>
          <w:divBdr>
            <w:top w:val="none" w:sz="0" w:space="0" w:color="auto"/>
            <w:left w:val="none" w:sz="0" w:space="0" w:color="auto"/>
            <w:bottom w:val="none" w:sz="0" w:space="0" w:color="auto"/>
            <w:right w:val="none" w:sz="0" w:space="0" w:color="auto"/>
          </w:divBdr>
          <w:divsChild>
            <w:div w:id="1910573889">
              <w:marLeft w:val="0"/>
              <w:marRight w:val="0"/>
              <w:marTop w:val="0"/>
              <w:marBottom w:val="0"/>
              <w:divBdr>
                <w:top w:val="none" w:sz="0" w:space="0" w:color="auto"/>
                <w:left w:val="none" w:sz="0" w:space="0" w:color="auto"/>
                <w:bottom w:val="none" w:sz="0" w:space="0" w:color="auto"/>
                <w:right w:val="none" w:sz="0" w:space="0" w:color="auto"/>
              </w:divBdr>
              <w:divsChild>
                <w:div w:id="1444568107">
                  <w:marLeft w:val="0"/>
                  <w:marRight w:val="0"/>
                  <w:marTop w:val="0"/>
                  <w:marBottom w:val="0"/>
                  <w:divBdr>
                    <w:top w:val="none" w:sz="0" w:space="0" w:color="auto"/>
                    <w:left w:val="none" w:sz="0" w:space="0" w:color="auto"/>
                    <w:bottom w:val="none" w:sz="0" w:space="0" w:color="auto"/>
                    <w:right w:val="none" w:sz="0" w:space="0" w:color="auto"/>
                  </w:divBdr>
                  <w:divsChild>
                    <w:div w:id="532957144">
                      <w:marLeft w:val="0"/>
                      <w:marRight w:val="0"/>
                      <w:marTop w:val="0"/>
                      <w:marBottom w:val="0"/>
                      <w:divBdr>
                        <w:top w:val="none" w:sz="0" w:space="0" w:color="auto"/>
                        <w:left w:val="none" w:sz="0" w:space="0" w:color="auto"/>
                        <w:bottom w:val="none" w:sz="0" w:space="0" w:color="auto"/>
                        <w:right w:val="none" w:sz="0" w:space="0" w:color="auto"/>
                      </w:divBdr>
                      <w:divsChild>
                        <w:div w:id="659188180">
                          <w:marLeft w:val="0"/>
                          <w:marRight w:val="0"/>
                          <w:marTop w:val="0"/>
                          <w:marBottom w:val="0"/>
                          <w:divBdr>
                            <w:top w:val="none" w:sz="0" w:space="0" w:color="auto"/>
                            <w:left w:val="none" w:sz="0" w:space="0" w:color="auto"/>
                            <w:bottom w:val="none" w:sz="0" w:space="0" w:color="auto"/>
                            <w:right w:val="none" w:sz="0" w:space="0" w:color="auto"/>
                          </w:divBdr>
                          <w:divsChild>
                            <w:div w:id="1642346210">
                              <w:marLeft w:val="0"/>
                              <w:marRight w:val="0"/>
                              <w:marTop w:val="0"/>
                              <w:marBottom w:val="0"/>
                              <w:divBdr>
                                <w:top w:val="none" w:sz="0" w:space="0" w:color="auto"/>
                                <w:left w:val="none" w:sz="0" w:space="0" w:color="auto"/>
                                <w:bottom w:val="none" w:sz="0" w:space="0" w:color="auto"/>
                                <w:right w:val="none" w:sz="0" w:space="0" w:color="auto"/>
                              </w:divBdr>
                              <w:divsChild>
                                <w:div w:id="625159287">
                                  <w:marLeft w:val="0"/>
                                  <w:marRight w:val="0"/>
                                  <w:marTop w:val="0"/>
                                  <w:marBottom w:val="0"/>
                                  <w:divBdr>
                                    <w:top w:val="none" w:sz="0" w:space="0" w:color="auto"/>
                                    <w:left w:val="none" w:sz="0" w:space="0" w:color="auto"/>
                                    <w:bottom w:val="none" w:sz="0" w:space="0" w:color="auto"/>
                                    <w:right w:val="none" w:sz="0" w:space="0" w:color="auto"/>
                                  </w:divBdr>
                                  <w:divsChild>
                                    <w:div w:id="182820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1799845">
      <w:bodyDiv w:val="1"/>
      <w:marLeft w:val="0"/>
      <w:marRight w:val="0"/>
      <w:marTop w:val="0"/>
      <w:marBottom w:val="0"/>
      <w:divBdr>
        <w:top w:val="none" w:sz="0" w:space="0" w:color="auto"/>
        <w:left w:val="none" w:sz="0" w:space="0" w:color="auto"/>
        <w:bottom w:val="none" w:sz="0" w:space="0" w:color="auto"/>
        <w:right w:val="none" w:sz="0" w:space="0" w:color="auto"/>
      </w:divBdr>
    </w:div>
    <w:div w:id="1935090018">
      <w:bodyDiv w:val="1"/>
      <w:marLeft w:val="0"/>
      <w:marRight w:val="0"/>
      <w:marTop w:val="0"/>
      <w:marBottom w:val="0"/>
      <w:divBdr>
        <w:top w:val="none" w:sz="0" w:space="0" w:color="auto"/>
        <w:left w:val="none" w:sz="0" w:space="0" w:color="auto"/>
        <w:bottom w:val="none" w:sz="0" w:space="0" w:color="auto"/>
        <w:right w:val="none" w:sz="0" w:space="0" w:color="auto"/>
      </w:divBdr>
    </w:div>
    <w:div w:id="1943491805">
      <w:bodyDiv w:val="1"/>
      <w:marLeft w:val="0"/>
      <w:marRight w:val="0"/>
      <w:marTop w:val="0"/>
      <w:marBottom w:val="0"/>
      <w:divBdr>
        <w:top w:val="none" w:sz="0" w:space="0" w:color="auto"/>
        <w:left w:val="none" w:sz="0" w:space="0" w:color="auto"/>
        <w:bottom w:val="none" w:sz="0" w:space="0" w:color="auto"/>
        <w:right w:val="none" w:sz="0" w:space="0" w:color="auto"/>
      </w:divBdr>
    </w:div>
    <w:div w:id="1954706652">
      <w:bodyDiv w:val="1"/>
      <w:marLeft w:val="0"/>
      <w:marRight w:val="0"/>
      <w:marTop w:val="0"/>
      <w:marBottom w:val="0"/>
      <w:divBdr>
        <w:top w:val="none" w:sz="0" w:space="0" w:color="auto"/>
        <w:left w:val="none" w:sz="0" w:space="0" w:color="auto"/>
        <w:bottom w:val="none" w:sz="0" w:space="0" w:color="auto"/>
        <w:right w:val="none" w:sz="0" w:space="0" w:color="auto"/>
      </w:divBdr>
    </w:div>
    <w:div w:id="1976181994">
      <w:bodyDiv w:val="1"/>
      <w:marLeft w:val="0"/>
      <w:marRight w:val="0"/>
      <w:marTop w:val="0"/>
      <w:marBottom w:val="0"/>
      <w:divBdr>
        <w:top w:val="none" w:sz="0" w:space="0" w:color="auto"/>
        <w:left w:val="none" w:sz="0" w:space="0" w:color="auto"/>
        <w:bottom w:val="none" w:sz="0" w:space="0" w:color="auto"/>
        <w:right w:val="none" w:sz="0" w:space="0" w:color="auto"/>
      </w:divBdr>
    </w:div>
    <w:div w:id="2005476785">
      <w:bodyDiv w:val="1"/>
      <w:marLeft w:val="0"/>
      <w:marRight w:val="0"/>
      <w:marTop w:val="0"/>
      <w:marBottom w:val="0"/>
      <w:divBdr>
        <w:top w:val="none" w:sz="0" w:space="0" w:color="auto"/>
        <w:left w:val="none" w:sz="0" w:space="0" w:color="auto"/>
        <w:bottom w:val="none" w:sz="0" w:space="0" w:color="auto"/>
        <w:right w:val="none" w:sz="0" w:space="0" w:color="auto"/>
      </w:divBdr>
    </w:div>
    <w:div w:id="2088109353">
      <w:bodyDiv w:val="1"/>
      <w:marLeft w:val="0"/>
      <w:marRight w:val="0"/>
      <w:marTop w:val="0"/>
      <w:marBottom w:val="0"/>
      <w:divBdr>
        <w:top w:val="none" w:sz="0" w:space="0" w:color="auto"/>
        <w:left w:val="none" w:sz="0" w:space="0" w:color="auto"/>
        <w:bottom w:val="none" w:sz="0" w:space="0" w:color="auto"/>
        <w:right w:val="none" w:sz="0" w:space="0" w:color="auto"/>
      </w:divBdr>
    </w:div>
    <w:div w:id="2129929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oas.org/fpdb/press/Informe-preliminar-Mision-Guatemala.pdf"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138.94.255.164/Sentencias/835082.4783-2013.pdf" TargetMode="External"/><Relationship Id="rId2" Type="http://schemas.openxmlformats.org/officeDocument/2006/relationships/customXml" Target="../customXml/item2.xml"/><Relationship Id="rId16" Type="http://schemas.openxmlformats.org/officeDocument/2006/relationships/hyperlink" Target="http://138.94.255.164/Sentencias/855222.3134-2021.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138.94.255.164/Sentencias/846398.1596-2016.pdf"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rteidh.or.cr/docs/casos/articulos/seriec_440_esp.pdf" TargetMode="External"/></Relationships>
</file>

<file path=word/_rels/footnotes.xml.rels><?xml version="1.0" encoding="UTF-8" standalone="yes"?>
<Relationships xmlns="http://schemas.openxmlformats.org/package/2006/relationships"><Relationship Id="rId26" Type="http://schemas.openxmlformats.org/officeDocument/2006/relationships/hyperlink" Target="https://monitor.civicus.org/" TargetMode="External"/><Relationship Id="rId21" Type="http://schemas.openxmlformats.org/officeDocument/2006/relationships/hyperlink" Target="https://x.com/ImpunityWatchGt/status/1915928476114117001" TargetMode="External"/><Relationship Id="rId42" Type="http://schemas.openxmlformats.org/officeDocument/2006/relationships/hyperlink" Target="https://ollantayitzamna.com/2020/06/08/cristianos-queman-vivo-a-un-guia-espiritual-y-medico-maya-en-guatemala/" TargetMode="External"/><Relationship Id="rId47" Type="http://schemas.openxmlformats.org/officeDocument/2006/relationships/hyperlink" Target="http://138.94.255.164/Sentencias/840212.4785-2017.pdf" TargetMode="External"/><Relationship Id="rId63" Type="http://schemas.openxmlformats.org/officeDocument/2006/relationships/hyperlink" Target="https://www.oas.org/es/cidh/decisiones/pdf/2017/36-17mc412-17gu.pdf" TargetMode="External"/><Relationship Id="rId68" Type="http://schemas.openxmlformats.org/officeDocument/2006/relationships/hyperlink" Target="https://www.hrw.org/es/report/2025/07/02/sin-agua-no-somos-nada/por-que-guatemala-necesita-una-ley-de-aguas" TargetMode="External"/><Relationship Id="rId84" Type="http://schemas.openxmlformats.org/officeDocument/2006/relationships/hyperlink" Target="https://www.corteidh.or.cr/docs/casos/articulos/seriec_488_esp.pdf" TargetMode="External"/><Relationship Id="rId89" Type="http://schemas.openxmlformats.org/officeDocument/2006/relationships/hyperlink" Target="https://www.pdh.org.gt/prensa/noticias/verifican-fuentes-de-agua-en-chinautla.html" TargetMode="External"/><Relationship Id="rId16" Type="http://schemas.openxmlformats.org/officeDocument/2006/relationships/hyperlink" Target="https://www.oas.org/es/cidh/expresion/publicaciones/ProtestayDerechosHumanos.pdf" TargetMode="External"/><Relationship Id="rId11" Type="http://schemas.openxmlformats.org/officeDocument/2006/relationships/hyperlink" Target="https://sgp.gob.gt/web/index.php/servicios/decretos-gub-disposiciones-pre" TargetMode="External"/><Relationship Id="rId32" Type="http://schemas.openxmlformats.org/officeDocument/2006/relationships/hyperlink" Target="https://www.ohchr.org/sites/default/files/documents/issues/indigenouspeoples/sr/cfis/indigenous-freedom-religion/subm-indigenous-freedom-religion-cso-international-indian-treaty-council-input-2.pdf" TargetMode="External"/><Relationship Id="rId37" Type="http://schemas.openxmlformats.org/officeDocument/2006/relationships/hyperlink" Target="https://www.facebook.com/cpogt/posts/solol%C3%A1-lugar-sagrado-para-el-pueblo-maya-kiche-en-proceso-de-destrucci%C3%B3nautorida/5742261875818008/" TargetMode="External"/><Relationship Id="rId53" Type="http://schemas.openxmlformats.org/officeDocument/2006/relationships/hyperlink" Target="https://www.amnesty.org/es/latest/news/2022/03/guatemala-bernardo-caal-xol-should-never-have-spent-a-day-in-prison/" TargetMode="External"/><Relationship Id="rId58" Type="http://schemas.openxmlformats.org/officeDocument/2006/relationships/hyperlink" Target="https://portal.siinsan.gob.gt/desnutricion-aguda/" TargetMode="External"/><Relationship Id="rId74" Type="http://schemas.openxmlformats.org/officeDocument/2006/relationships/hyperlink" Target="https://www.culturalsurvival.org/es/news/la-opinion-publica-nacional-e-internacional-sobre-la-iniciativa-de-ley-5965" TargetMode="External"/><Relationship Id="rId79" Type="http://schemas.openxmlformats.org/officeDocument/2006/relationships/hyperlink" Target="https://www.corteidh.or.cr/docs/casos/articulos/seriec_488_esp.pdf" TargetMode="External"/><Relationship Id="rId5" Type="http://schemas.openxmlformats.org/officeDocument/2006/relationships/hyperlink" Target="https://www.plazapublica.com.gt/especial/informacion/2023-ano-de-los-obstaculos" TargetMode="External"/><Relationship Id="rId90" Type="http://schemas.openxmlformats.org/officeDocument/2006/relationships/hyperlink" Target="https://www.oas.org/es/cidh/decisiones/pdf/2017/36-17mc412-17gu.pdf" TargetMode="External"/><Relationship Id="rId14" Type="http://schemas.openxmlformats.org/officeDocument/2006/relationships/hyperlink" Target="https://x.com/ElRebeldeGt1/status/1442655635963789312?ref_src=twsrc%5Etfw%7Ctwcamp%5Etweetembed%7Ctwterm%5E1442664779034865665%7Ctwgr%5E7249e608bdae797faed29bae8de89b7a57ac1efe%7Ctwcon%5Es3_&amp;ref_url=https%3A%2F%2Fwww.prensalibre.com%2Fciudades%2Fsuchitepequez%2Fpnc-libera-el-paso-en-cuyotenango-y-se-desatan-enfrentamientos-con-pobladores-breaking%2F" TargetMode="External"/><Relationship Id="rId22" Type="http://schemas.openxmlformats.org/officeDocument/2006/relationships/hyperlink" Target="https://x.com/noruegamexca/status/1915208039621181494?s=46" TargetMode="External"/><Relationship Id="rId27" Type="http://schemas.openxmlformats.org/officeDocument/2006/relationships/hyperlink" Target="https://www.culturalsurvival.org/es/news/guatemala-acepta-dos-recomendaciones-sobre-radio-comunitaria-indigena-en-la-adopcion-de-su" TargetMode="External"/><Relationship Id="rId30" Type="http://schemas.openxmlformats.org/officeDocument/2006/relationships/hyperlink" Target="https://redrompeelmiedoguatemala.org/2024/10/informe-de-agresiones-contra-la-prensa-en-guatemala-resultados-del-primer-semestre-de-2024/" TargetMode="External"/><Relationship Id="rId35" Type="http://schemas.openxmlformats.org/officeDocument/2006/relationships/hyperlink" Target="https://www.tramites.gob.gt/servicio/1094/" TargetMode="External"/><Relationship Id="rId43" Type="http://schemas.openxmlformats.org/officeDocument/2006/relationships/hyperlink" Target="https://spcommreports.ohchr.org/TMResultsBase/DownLoadPublicCommunicationFile?gId=27784" TargetMode="External"/><Relationship Id="rId48" Type="http://schemas.openxmlformats.org/officeDocument/2006/relationships/hyperlink" Target="https://documents1.worldbank.org/curated/en/995271468177530126/pdf/443000WP0BOX321onservation01PUBLIC1.pdf" TargetMode="External"/><Relationship Id="rId56" Type="http://schemas.openxmlformats.org/officeDocument/2006/relationships/hyperlink" Target="http://facebook.com/permalink.php?story_fbid=122203442900106222&amp;id=61553186685709" TargetMode="External"/><Relationship Id="rId64" Type="http://schemas.openxmlformats.org/officeDocument/2006/relationships/hyperlink" Target="https://news.un.org/es/story/2022/10/1516297" TargetMode="External"/><Relationship Id="rId69" Type="http://schemas.openxmlformats.org/officeDocument/2006/relationships/hyperlink" Target="https://dca.gob.gt/noticias-guatemala-diario-centro-america/autoridades-indigenas-piden-transparencia-en-la-eleccion-a-magistrados-de-la-csj/" TargetMode="External"/><Relationship Id="rId77" Type="http://schemas.openxmlformats.org/officeDocument/2006/relationships/hyperlink" Target="https://mem.gob.gt/proyecto-extraccion-minera-fenix/" TargetMode="External"/><Relationship Id="rId8" Type="http://schemas.openxmlformats.org/officeDocument/2006/relationships/hyperlink" Target="https://www.oas.org/es/cidh/informes/pdfs/2023/nortecentroamerica_desca_es.pdf" TargetMode="External"/><Relationship Id="rId51" Type="http://schemas.openxmlformats.org/officeDocument/2006/relationships/hyperlink" Target="https://prensacomunitaria.org/2016/10/por-que-las-comunidades-asentadas-en-la-laguna-del-tigre-y-sierra-lacandon-construyeron-una-propuesta-alternativa-de-desarrollo/" TargetMode="External"/><Relationship Id="rId72" Type="http://schemas.openxmlformats.org/officeDocument/2006/relationships/hyperlink" Target="https://corteidh.or.cr/docs/supervisiones/maya_sumpango_27_03_25.pdf" TargetMode="External"/><Relationship Id="rId80" Type="http://schemas.openxmlformats.org/officeDocument/2006/relationships/hyperlink" Target="https://mem.gob.gt/proyecto-extraccion-minera-fenix/" TargetMode="External"/><Relationship Id="rId85" Type="http://schemas.openxmlformats.org/officeDocument/2006/relationships/hyperlink" Target="https://www.corteidh.or.cr/docs/casos/articulos/seriec_488_esp.pdf" TargetMode="External"/><Relationship Id="rId3" Type="http://schemas.openxmlformats.org/officeDocument/2006/relationships/hyperlink" Target="https://www.ine.gob.gt/2024/08/21/el-ine-presenta-cifras-de-pobreza-en-guatemala/" TargetMode="External"/><Relationship Id="rId12" Type="http://schemas.openxmlformats.org/officeDocument/2006/relationships/hyperlink" Target="https://oas.org/es/cidh/expresion/publicaciones/ProtestayDerechosHumanos.pdf" TargetMode="External"/><Relationship Id="rId17" Type="http://schemas.openxmlformats.org/officeDocument/2006/relationships/hyperlink" Target="https://cacif.org.gt/comunicado-cacif-27-de-abril-del-2025/" TargetMode="External"/><Relationship Id="rId25" Type="http://schemas.openxmlformats.org/officeDocument/2006/relationships/hyperlink" Target="https://x.com/Ginitastar/status/1916969535984328768" TargetMode="External"/><Relationship Id="rId33" Type="http://schemas.openxmlformats.org/officeDocument/2006/relationships/hyperlink" Target="https://agn.gt/lideres-religiosos-expresan-gratitud-por-la-libertad-de-religion-en-guatemala/" TargetMode="External"/><Relationship Id="rId38" Type="http://schemas.openxmlformats.org/officeDocument/2006/relationships/hyperlink" Target="https://prensacomunitaria.org/2021/05/piden-respetar-la-cultura-qanjobal-y-los-lugares-sagrados-de-jolom-konob/" TargetMode="External"/><Relationship Id="rId46" Type="http://schemas.openxmlformats.org/officeDocument/2006/relationships/hyperlink" Target="http://138.94.255.164/Sentencias/845263.697-2019.pdf" TargetMode="External"/><Relationship Id="rId59" Type="http://schemas.openxmlformats.org/officeDocument/2006/relationships/hyperlink" Target="https://portal.siinsan.gob.gt/wp-content/uploads/Presentacion-Quinto-Censo__13mayo2025_v9.0_rev.pdf" TargetMode="External"/><Relationship Id="rId67" Type="http://schemas.openxmlformats.org/officeDocument/2006/relationships/hyperlink" Target="https://doi.org/10.29043/liminar.v22i1.1020" TargetMode="External"/><Relationship Id="rId20" Type="http://schemas.openxmlformats.org/officeDocument/2006/relationships/hyperlink" Target="https://www.prensalibre.com/guatemala/justicia/estados-unidos-incluye-a-la-fiscal-general-consuelo-porras-y-al-secretario-general-del-mp-angel-pineda-entre-lista-de-actores-corruptos-breaking/" TargetMode="External"/><Relationship Id="rId41" Type="http://schemas.openxmlformats.org/officeDocument/2006/relationships/hyperlink" Target="https://www.plazapublica.com.gt/content/el-fuego-que-nunca-se-apaga-momostenango-sus-altares-y-las-espiritualidades-amenazadas" TargetMode="External"/><Relationship Id="rId54" Type="http://schemas.openxmlformats.org/officeDocument/2006/relationships/hyperlink" Target="https://spcommreports.ohchr.org/TMResultsBase/DownLoadPublicCommunicationFile?gId=24260" TargetMode="External"/><Relationship Id="rId62" Type="http://schemas.openxmlformats.org/officeDocument/2006/relationships/hyperlink" Target="https://repositorio.cepal.org/bitstream/handle/11362/44269/1/S1800949_es.pdf" TargetMode="External"/><Relationship Id="rId70" Type="http://schemas.openxmlformats.org/officeDocument/2006/relationships/hyperlink" Target="https://www.oas.org/fpdb/press/Informe-preliminar-Mision-Guatemala.pdf" TargetMode="External"/><Relationship Id="rId75" Type="http://schemas.openxmlformats.org/officeDocument/2006/relationships/hyperlink" Target="https://cc.gob.gt/wp-content/uploads/2023/10/COM-07-2021.pdf" TargetMode="External"/><Relationship Id="rId83" Type="http://schemas.openxmlformats.org/officeDocument/2006/relationships/hyperlink" Target="https://www.corteidh.or.cr/docs/casos/articulos/seriec_488_esp.pdf" TargetMode="External"/><Relationship Id="rId88" Type="http://schemas.openxmlformats.org/officeDocument/2006/relationships/hyperlink" Target="https://www.agenciaocote.com/blog/2023/08/30/asi-fue-como-la-corrupcion-dejo-sin-agua-a-una-comunidad/" TargetMode="External"/><Relationship Id="rId91" Type="http://schemas.openxmlformats.org/officeDocument/2006/relationships/hyperlink" Target="https://doi.org/10.29043/liminar.v22i1.1020" TargetMode="External"/><Relationship Id="rId1" Type="http://schemas.openxmlformats.org/officeDocument/2006/relationships/hyperlink" Target="https://www.ine.gob.gt/proyecciones/" TargetMode="External"/><Relationship Id="rId6" Type="http://schemas.openxmlformats.org/officeDocument/2006/relationships/hyperlink" Target="https://www.wola.org/es/2025/04/organizaciones-internacionales-condenan-la-criminalizacion-de-autoridadesindigenas-de-guatemala/?utm_source=chatgpt.com" TargetMode="External"/><Relationship Id="rId15" Type="http://schemas.openxmlformats.org/officeDocument/2006/relationships/hyperlink" Target="https://prensacomunitaria.org/2021/12/la-noticia-de-2021-la-toma-de-el-estor-por-la-minera-suizo-rusa-solway/" TargetMode="External"/><Relationship Id="rId23" Type="http://schemas.openxmlformats.org/officeDocument/2006/relationships/hyperlink" Target="https://x.com/AmnistiaOnline/status/1915796562858410180" TargetMode="External"/><Relationship Id="rId28" Type="http://schemas.openxmlformats.org/officeDocument/2006/relationships/hyperlink" Target="https://spcommreports.ohchr.org/TMResultsBase/DownLoadPublicCommunicationFile?gId=28492" TargetMode="External"/><Relationship Id="rId36" Type="http://schemas.openxmlformats.org/officeDocument/2006/relationships/hyperlink" Target="https://www.getty.edu/publications/cultural-heritage-mass-atrocities/part-2/15-montejo/" TargetMode="External"/><Relationship Id="rId49" Type="http://schemas.openxmlformats.org/officeDocument/2006/relationships/hyperlink" Target="https://www.observatoriopropiedad.org/" TargetMode="External"/><Relationship Id="rId57" Type="http://schemas.openxmlformats.org/officeDocument/2006/relationships/hyperlink" Target="https://www.facebook.com/permalink.php?story_fbid=548228468309973&amp;id=100093684734459" TargetMode="External"/><Relationship Id="rId10" Type="http://schemas.openxmlformats.org/officeDocument/2006/relationships/hyperlink" Target="https://spcommreports.ohchr.org/TMResultsBase/DownLoadPublicCommunicationFile?gId=28586" TargetMode="External"/><Relationship Id="rId31" Type="http://schemas.openxmlformats.org/officeDocument/2006/relationships/hyperlink" Target="https://www.facebook.com/maria.ukux.5/videos/872579253825372" TargetMode="External"/><Relationship Id="rId44" Type="http://schemas.openxmlformats.org/officeDocument/2006/relationships/hyperlink" Target="https://www.ituc-csi.org/IMG/pdf/Informe_PCGIG.pdf" TargetMode="External"/><Relationship Id="rId52" Type="http://schemas.openxmlformats.org/officeDocument/2006/relationships/hyperlink" Target="https://www.refworld.org/es/leg/coment/cerd/1997/es/130362" TargetMode="External"/><Relationship Id="rId60" Type="http://schemas.openxmlformats.org/officeDocument/2006/relationships/hyperlink" Target="https://www.hrw.org/es/world-report/2025/country-chapters/guatemala" TargetMode="External"/><Relationship Id="rId65" Type="http://schemas.openxmlformats.org/officeDocument/2006/relationships/hyperlink" Target="https://no-ficcion.com/comunitarios-valle-de-palajunoj-xela/" TargetMode="External"/><Relationship Id="rId73" Type="http://schemas.openxmlformats.org/officeDocument/2006/relationships/hyperlink" Target="https://cpj.org/es/2019/10/la-policia-allana-la-radioemisora-maya-xyaab-tzuul/" TargetMode="External"/><Relationship Id="rId78" Type="http://schemas.openxmlformats.org/officeDocument/2006/relationships/hyperlink" Target="https://mem.gob.gt/proyecto-extraccion-minera-fenix/" TargetMode="External"/><Relationship Id="rId81" Type="http://schemas.openxmlformats.org/officeDocument/2006/relationships/hyperlink" Target="https://www.plazapublica.com.gt/content/el-estor-la-consulta-comunitaria-apunta-la-reactivacion-de-la-mina-fenix" TargetMode="External"/><Relationship Id="rId86" Type="http://schemas.openxmlformats.org/officeDocument/2006/relationships/hyperlink" Target="https://srdefenders.org/guatemala-muerte-violenta-del-hijo-de-un-defensor-de-los-derechos-humanos-indigena-y-lesiones-fisicas-a-su-otro-hijo-en-un-ataque-armado-comunicacion-conjunta/?utm_source=chatgpt.com" TargetMode="External"/><Relationship Id="rId4" Type="http://schemas.openxmlformats.org/officeDocument/2006/relationships/hyperlink" Target="https://www.ine.gob.gt/sistema/uploads/2024/08/22/20240822115045oP9hz3bt6r44qxs2amGK6YQqIpGhNdg0.pdf" TargetMode="External"/><Relationship Id="rId9" Type="http://schemas.openxmlformats.org/officeDocument/2006/relationships/hyperlink" Target="https://cnnespanol.cnn.com/2023/10/10/giammattei-manifestantes-grupos-choque-ordenes-arresto-guatemala-orix" TargetMode="External"/><Relationship Id="rId13" Type="http://schemas.openxmlformats.org/officeDocument/2006/relationships/hyperlink" Target="https://x.com/lahoragt/status/1450597858747555844?ref_src=twsrc%5Etfw%7Ctwcamp%5Etweetembed%7Ctwterm%5E1450597858747555844%7Ctwgr%5Eb9493b0dae279f2e11c9f5d1005036c1d2a17b38%7Ctwcon%5Es1_&amp;ref_url=https%3A%2F%2Fmonitor.civicus.org%2Fexplore%2Fguatemala-siege-municipality-prevent-anti-mining-protests-indigenous-groups-98e6%2F" TargetMode="External"/><Relationship Id="rId18" Type="http://schemas.openxmlformats.org/officeDocument/2006/relationships/hyperlink" Target="https://prensacomunitaria.org/2021/11/el-estor-las-dos-caras-del-estado-de-sitio/" TargetMode="External"/><Relationship Id="rId39" Type="http://schemas.openxmlformats.org/officeDocument/2006/relationships/hyperlink" Target="http://www.acdip.org/uploads/1/2/9/9/129956954/estrategia_lugares_sagrados_vr_2020.pdf" TargetMode="External"/><Relationship Id="rId34" Type="http://schemas.openxmlformats.org/officeDocument/2006/relationships/hyperlink" Target="https://nimajpu.org/ajqijab-y-autoridades-indigenas-y-ancestrales-rechazan-iniciativa-de-ley-que-pretende-privatizar-lugares-sagrados-y-prehispanicos/" TargetMode="External"/><Relationship Id="rId50" Type="http://schemas.openxmlformats.org/officeDocument/2006/relationships/hyperlink" Target="https://www.ohchr.org/en/special-procedures/sr-housing/forced-evictions" TargetMode="External"/><Relationship Id="rId55" Type="http://schemas.openxmlformats.org/officeDocument/2006/relationships/hyperlink" Target="https://spcommreports.ohchr.org/TMResultsBase/DownLoadPublicCommunicationFile?gId=26479" TargetMode="External"/><Relationship Id="rId76" Type="http://schemas.openxmlformats.org/officeDocument/2006/relationships/hyperlink" Target="https://cc.gob.gt/wp-content/uploads/2023/10/COM-07-2021.pdf" TargetMode="External"/><Relationship Id="rId7" Type="http://schemas.openxmlformats.org/officeDocument/2006/relationships/hyperlink" Target="https://guatemala.gob.gt/wp-content/uploads/2025/01/Informe%20Presidencial%202024%20-%20La%20Primera%20Cosecha%202024-2025.pdf" TargetMode="External"/><Relationship Id="rId71" Type="http://schemas.openxmlformats.org/officeDocument/2006/relationships/hyperlink" Target="https://www.hrw.org/es/world-report/2025/country-chapters/guatemala" TargetMode="External"/><Relationship Id="rId2" Type="http://schemas.openxmlformats.org/officeDocument/2006/relationships/hyperlink" Target="https://www.ine.gob.gt/sistema/uploads/2024/08/22/20240822115045oP9hz3bt6r44qxs2amGK6YQqIpGhNdg0.pdf" TargetMode="External"/><Relationship Id="rId29" Type="http://schemas.openxmlformats.org/officeDocument/2006/relationships/hyperlink" Target="https://redrompeelmiedoguatemala.org/2024/10/informe-de-agresiones-contra-la-prensa-en-guatemala-resultados-del-primer-semestre-de-2024/" TargetMode="External"/><Relationship Id="rId24" Type="http://schemas.openxmlformats.org/officeDocument/2006/relationships/hyperlink" Target="https://x.com/volker_turk/status/1915785307405877724" TargetMode="External"/><Relationship Id="rId40" Type="http://schemas.openxmlformats.org/officeDocument/2006/relationships/hyperlink" Target="https://www.facebook.com/watch/?v=1862308517893725" TargetMode="External"/><Relationship Id="rId45" Type="http://schemas.openxmlformats.org/officeDocument/2006/relationships/hyperlink" Target="http://138.94.255.164/Sentencias/849668.4791-2019.pdf" TargetMode="External"/><Relationship Id="rId66" Type="http://schemas.openxmlformats.org/officeDocument/2006/relationships/hyperlink" Target="https://no-ficcion.com/chinautla-y-el-desplazamiento-del-pueblo-maya-poqomam/" TargetMode="External"/><Relationship Id="rId87" Type="http://schemas.openxmlformats.org/officeDocument/2006/relationships/hyperlink" Target="https://lacuerda.gt/2021/08/20/ley-de-agua-deuda-historica-en-guatemala-y-el-salvador/" TargetMode="External"/><Relationship Id="rId61" Type="http://schemas.openxmlformats.org/officeDocument/2006/relationships/hyperlink" Target="https://guatemala.unfpa.org/sites/default/files/pub-pdf/2024-08/final_nuestras_voces_por_nuestros_derechos_completo_web.pdf" TargetMode="External"/><Relationship Id="rId82" Type="http://schemas.openxmlformats.org/officeDocument/2006/relationships/hyperlink" Target="https://prensacomunitaria.org/2024/11/comunidades-de-el-estor-denuncian-posible-otorgamiento-de-licencia-a-minas-del-norte-s-a/" TargetMode="External"/><Relationship Id="rId19" Type="http://schemas.openxmlformats.org/officeDocument/2006/relationships/hyperlink" Target="https://elpais.com/america/2025-04-23/arrestado-en-guatemala-un-viceministro-critico-de-la-fiscal-general.html?utm_source=chatgpt.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e4d076cb-6441-4b2e-9c25-dd7fb9385ccb">
      <Terms xmlns="http://schemas.microsoft.com/office/infopath/2007/PartnerControls"/>
    </lcf76f155ced4ddcb4097134ff3c332f>
    <Document_x0020_Date xmlns="985ec44e-1bab-4c0b-9df0-6ba128686fc9">2025-07-25T07:56:37+00:00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E14688-D60F-479E-820F-517F396E51F5}"/>
</file>

<file path=customXml/itemProps2.xml><?xml version="1.0" encoding="utf-8"?>
<ds:datastoreItem xmlns:ds="http://schemas.openxmlformats.org/officeDocument/2006/customXml" ds:itemID="{79E9B9C8-26EC-45B9-B75E-FA4CB769DA9F}">
  <ds:schemaRefs>
    <ds:schemaRef ds:uri="http://schemas.microsoft.com/office/2006/metadata/properties"/>
    <ds:schemaRef ds:uri="http://schemas.microsoft.com/office/infopath/2007/PartnerControls"/>
    <ds:schemaRef ds:uri="985ec44e-1bab-4c0b-9df0-6ba128686fc9"/>
    <ds:schemaRef ds:uri="33748211-900f-4db1-8b44-ae668fe34962"/>
  </ds:schemaRefs>
</ds:datastoreItem>
</file>

<file path=customXml/itemProps3.xml><?xml version="1.0" encoding="utf-8"?>
<ds:datastoreItem xmlns:ds="http://schemas.openxmlformats.org/officeDocument/2006/customXml" ds:itemID="{65B79EB6-4A48-4A40-AF90-BD24DC449324}">
  <ds:schemaRefs>
    <ds:schemaRef ds:uri="http://schemas.openxmlformats.org/officeDocument/2006/bibliography"/>
  </ds:schemaRefs>
</ds:datastoreItem>
</file>

<file path=customXml/itemProps4.xml><?xml version="1.0" encoding="utf-8"?>
<ds:datastoreItem xmlns:ds="http://schemas.openxmlformats.org/officeDocument/2006/customXml" ds:itemID="{279104A0-FDB9-4680-8646-A8270C167DEB}">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900</TotalTime>
  <Pages>71</Pages>
  <Words>32786</Words>
  <Characters>180325</Characters>
  <Application>Microsoft Office Word</Application>
  <DocSecurity>0</DocSecurity>
  <Lines>1502</Lines>
  <Paragraphs>425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Polo</dc:creator>
  <cp:keywords/>
  <dc:description/>
  <cp:lastModifiedBy>Dora Coc Yup</cp:lastModifiedBy>
  <cp:revision>282</cp:revision>
  <cp:lastPrinted>2025-05-23T20:30:00Z</cp:lastPrinted>
  <dcterms:created xsi:type="dcterms:W3CDTF">2025-06-25T02:43:00Z</dcterms:created>
  <dcterms:modified xsi:type="dcterms:W3CDTF">2025-07-24T23:23:00Z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y fmtid="{D5CDD505-2E9C-101B-9397-08002B2CF9AE}" pid="3" name="MediaServiceImageTags">
    <vt:lpwstr/>
  </property>
</Properties>
</file>