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8F1" w:rsidRPr="007038F1" w:rsidRDefault="008E1E3B" w:rsidP="00CC6FA4">
      <w:pPr>
        <w:suppressAutoHyphens/>
        <w:spacing w:line="360" w:lineRule="auto"/>
        <w:jc w:val="center"/>
        <w:rPr>
          <w:rFonts w:ascii="Tahoma" w:hAnsi="Tahoma" w:cs="Tahoma"/>
          <w:lang w:val="en-GB"/>
        </w:rPr>
      </w:pPr>
      <w:r>
        <w:rPr>
          <w:rFonts w:ascii="Tahoma" w:hAnsi="Tahoma" w:cs="Tahoma"/>
          <w:b/>
          <w:bCs/>
          <w:lang w:val="en-GB"/>
        </w:rPr>
        <w:t>Written Information</w:t>
      </w:r>
      <w:r w:rsidR="007038F1" w:rsidRPr="007038F1">
        <w:rPr>
          <w:rFonts w:ascii="Tahoma" w:hAnsi="Tahoma" w:cs="Tahoma"/>
          <w:lang w:val="en-GB"/>
        </w:rPr>
        <w:t xml:space="preserve"> </w:t>
      </w:r>
      <w:r w:rsidR="007038F1" w:rsidRPr="007038F1">
        <w:rPr>
          <w:rFonts w:ascii="Tahoma" w:hAnsi="Tahoma" w:cs="Tahoma"/>
          <w:lang w:val="en-GB"/>
        </w:rPr>
        <w:fldChar w:fldCharType="begin"/>
      </w:r>
      <w:r w:rsidR="007038F1" w:rsidRPr="007038F1">
        <w:rPr>
          <w:rFonts w:ascii="Tahoma" w:hAnsi="Tahoma" w:cs="Tahoma"/>
          <w:lang w:val="en-GB"/>
        </w:rPr>
        <w:instrText xml:space="preserve">PRIVATE </w:instrText>
      </w:r>
      <w:r w:rsidR="007038F1" w:rsidRPr="007038F1">
        <w:rPr>
          <w:rFonts w:ascii="Tahoma" w:hAnsi="Tahoma" w:cs="Tahoma"/>
          <w:lang w:val="en-GB"/>
        </w:rPr>
        <w:fldChar w:fldCharType="end"/>
      </w:r>
    </w:p>
    <w:p w:rsidR="007038F1" w:rsidRPr="007038F1" w:rsidRDefault="007038F1" w:rsidP="007038F1">
      <w:pPr>
        <w:suppressAutoHyphens/>
        <w:spacing w:line="360" w:lineRule="auto"/>
        <w:jc w:val="both"/>
        <w:rPr>
          <w:rFonts w:ascii="Tahoma" w:hAnsi="Tahoma" w:cs="Tahoma"/>
          <w:spacing w:val="-3"/>
          <w:lang w:val="en-GB"/>
        </w:rPr>
      </w:pPr>
    </w:p>
    <w:p w:rsidR="007038F1" w:rsidRPr="007038F1" w:rsidRDefault="007038F1"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 xml:space="preserve">To: The United Nations Committee against Torture </w:t>
      </w:r>
    </w:p>
    <w:p w:rsidR="007038F1" w:rsidRPr="007038F1" w:rsidRDefault="007038F1"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About: China</w:t>
      </w:r>
    </w:p>
    <w:p w:rsidR="007038F1" w:rsidRPr="007038F1" w:rsidRDefault="00C66655" w:rsidP="007038F1">
      <w:pPr>
        <w:suppressAutoHyphens/>
        <w:spacing w:line="360" w:lineRule="auto"/>
        <w:jc w:val="both"/>
        <w:rPr>
          <w:rFonts w:ascii="Tahoma" w:hAnsi="Tahoma" w:cs="Tahoma"/>
          <w:spacing w:val="-3"/>
          <w:lang w:val="en-GB"/>
        </w:rPr>
      </w:pPr>
      <w:r>
        <w:rPr>
          <w:rFonts w:ascii="Tahoma" w:hAnsi="Tahoma" w:cs="Tahoma"/>
          <w:spacing w:val="-3"/>
          <w:lang w:val="en-GB"/>
        </w:rPr>
        <w:t xml:space="preserve">On behalf of: </w:t>
      </w:r>
      <w:bookmarkStart w:id="0" w:name="_GoBack"/>
      <w:r>
        <w:rPr>
          <w:rFonts w:ascii="Tahoma" w:hAnsi="Tahoma" w:cs="Tahoma"/>
          <w:spacing w:val="-3"/>
          <w:lang w:val="en-GB"/>
        </w:rPr>
        <w:t xml:space="preserve">Transnational </w:t>
      </w:r>
      <w:r w:rsidR="00185DCE" w:rsidRPr="00185DCE">
        <w:rPr>
          <w:rFonts w:ascii="Tahoma" w:hAnsi="Tahoma" w:cs="Tahoma"/>
        </w:rPr>
        <w:t>Radical Pa</w:t>
      </w:r>
      <w:r>
        <w:rPr>
          <w:rFonts w:ascii="Tahoma" w:hAnsi="Tahoma" w:cs="Tahoma"/>
        </w:rPr>
        <w:t>rty</w:t>
      </w:r>
      <w:bookmarkEnd w:id="0"/>
    </w:p>
    <w:p w:rsidR="007038F1" w:rsidRPr="007038F1" w:rsidRDefault="007038F1"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 xml:space="preserve">By: David Matas </w:t>
      </w:r>
    </w:p>
    <w:p w:rsidR="007038F1" w:rsidRDefault="007038F1"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Date: 24 October, 2015</w:t>
      </w:r>
    </w:p>
    <w:p w:rsidR="00987956" w:rsidRPr="007038F1" w:rsidRDefault="00987956" w:rsidP="007038F1">
      <w:pPr>
        <w:suppressAutoHyphens/>
        <w:spacing w:line="360" w:lineRule="auto"/>
        <w:jc w:val="both"/>
        <w:rPr>
          <w:rFonts w:ascii="Tahoma" w:hAnsi="Tahoma" w:cs="Tahoma"/>
          <w:spacing w:val="-3"/>
          <w:lang w:val="en-GB"/>
        </w:rPr>
      </w:pPr>
      <w:r>
        <w:rPr>
          <w:rFonts w:ascii="Tahoma" w:hAnsi="Tahoma" w:cs="Tahoma"/>
          <w:spacing w:val="-3"/>
          <w:lang w:val="en-GB"/>
        </w:rPr>
        <w:t>For: Examination of the Government of China report</w:t>
      </w:r>
    </w:p>
    <w:p w:rsidR="002D2C10" w:rsidRPr="007038F1" w:rsidRDefault="002D2C10" w:rsidP="007038F1">
      <w:pPr>
        <w:suppressAutoHyphens/>
        <w:spacing w:line="360" w:lineRule="auto"/>
        <w:jc w:val="both"/>
        <w:rPr>
          <w:rFonts w:ascii="Tahoma" w:hAnsi="Tahoma" w:cs="Tahoma"/>
          <w:spacing w:val="-3"/>
          <w:lang w:val="en-GB"/>
        </w:rPr>
      </w:pPr>
    </w:p>
    <w:p w:rsidR="002D2C10" w:rsidRPr="007038F1" w:rsidRDefault="002D2C10" w:rsidP="007038F1">
      <w:pPr>
        <w:suppressAutoHyphens/>
        <w:spacing w:line="360" w:lineRule="auto"/>
        <w:jc w:val="both"/>
        <w:rPr>
          <w:rFonts w:ascii="Tahoma" w:hAnsi="Tahoma" w:cs="Tahoma"/>
          <w:spacing w:val="-3"/>
          <w:lang w:val="en-GB"/>
        </w:rPr>
      </w:pPr>
      <w:r w:rsidRPr="007038F1">
        <w:rPr>
          <w:rFonts w:ascii="Tahoma" w:hAnsi="Tahoma" w:cs="Tahoma"/>
          <w:b/>
          <w:bCs/>
          <w:spacing w:val="-3"/>
          <w:lang w:val="en-GB"/>
        </w:rPr>
        <w:t>UN Rapporteurs</w:t>
      </w:r>
    </w:p>
    <w:p w:rsidR="002D2C10" w:rsidRPr="007038F1" w:rsidRDefault="002D2C10" w:rsidP="007038F1">
      <w:pPr>
        <w:suppressAutoHyphens/>
        <w:spacing w:line="360" w:lineRule="auto"/>
        <w:jc w:val="both"/>
        <w:rPr>
          <w:rFonts w:ascii="Tahoma" w:hAnsi="Tahoma" w:cs="Tahoma"/>
          <w:spacing w:val="-3"/>
          <w:lang w:val="en-GB"/>
        </w:rPr>
      </w:pPr>
    </w:p>
    <w:p w:rsidR="002D2C10" w:rsidRPr="007038F1" w:rsidRDefault="002D2C10"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The United Nations rapporteurs on torture and religious intolerance asked in the years 2007 and 2008 for the Government of China to account for the large discrepancy between the volumes of transplants they claimed to have made and the volume of sources they were prepared to acknowledge.</w:t>
      </w:r>
      <w:r w:rsidRPr="007038F1">
        <w:rPr>
          <w:rStyle w:val="FootnoteReference"/>
          <w:rFonts w:ascii="Tahoma" w:hAnsi="Tahoma" w:cs="Tahoma"/>
          <w:spacing w:val="-3"/>
          <w:lang w:val="en-GB"/>
        </w:rPr>
        <w:footnoteReference w:id="1"/>
      </w:r>
      <w:r w:rsidRPr="007038F1">
        <w:rPr>
          <w:rFonts w:ascii="Tahoma" w:hAnsi="Tahoma" w:cs="Tahoma"/>
          <w:spacing w:val="-3"/>
          <w:lang w:val="en-GB"/>
        </w:rPr>
        <w:t xml:space="preserve">  The Government of China did not do so.</w:t>
      </w:r>
    </w:p>
    <w:p w:rsidR="002D2C10" w:rsidRPr="007038F1" w:rsidRDefault="002D2C10"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 xml:space="preserve"> </w:t>
      </w:r>
    </w:p>
    <w:p w:rsidR="002D2C10" w:rsidRPr="007038F1" w:rsidRDefault="002D2C10" w:rsidP="007038F1">
      <w:pPr>
        <w:suppressAutoHyphens/>
        <w:spacing w:line="360" w:lineRule="auto"/>
        <w:jc w:val="both"/>
        <w:rPr>
          <w:rFonts w:ascii="Tahoma" w:hAnsi="Tahoma" w:cs="Tahoma"/>
          <w:spacing w:val="-3"/>
          <w:lang w:val="en-GB"/>
        </w:rPr>
      </w:pPr>
      <w:r w:rsidRPr="007038F1">
        <w:rPr>
          <w:rFonts w:ascii="Tahoma" w:hAnsi="Tahoma" w:cs="Tahoma"/>
          <w:b/>
          <w:bCs/>
          <w:spacing w:val="-3"/>
          <w:lang w:val="en-GB"/>
        </w:rPr>
        <w:t xml:space="preserve">UN Committee against Torture </w:t>
      </w:r>
    </w:p>
    <w:p w:rsidR="002D2C10" w:rsidRPr="007038F1" w:rsidRDefault="002D2C10" w:rsidP="007038F1">
      <w:pPr>
        <w:suppressAutoHyphens/>
        <w:spacing w:line="360" w:lineRule="auto"/>
        <w:jc w:val="both"/>
        <w:rPr>
          <w:rFonts w:ascii="Tahoma" w:hAnsi="Tahoma" w:cs="Tahoma"/>
          <w:spacing w:val="-3"/>
          <w:lang w:val="en-GB"/>
        </w:rPr>
      </w:pPr>
    </w:p>
    <w:p w:rsidR="002D2C10" w:rsidRPr="007038F1" w:rsidRDefault="002D2C10" w:rsidP="007038F1">
      <w:pPr>
        <w:suppressAutoHyphens/>
        <w:spacing w:line="360" w:lineRule="auto"/>
        <w:jc w:val="both"/>
        <w:rPr>
          <w:rFonts w:ascii="Tahoma" w:hAnsi="Tahoma" w:cs="Tahoma"/>
          <w:spacing w:val="-3"/>
          <w:lang w:val="en-GB"/>
        </w:rPr>
      </w:pPr>
      <w:r w:rsidRPr="007038F1">
        <w:rPr>
          <w:rFonts w:ascii="Tahoma" w:hAnsi="Tahoma" w:cs="Tahoma"/>
          <w:spacing w:val="-3"/>
          <w:lang w:val="en-GB"/>
        </w:rPr>
        <w:t>The Concluding observations of the Committee against Torture about China in 2008</w:t>
      </w:r>
      <w:r w:rsidRPr="007038F1">
        <w:rPr>
          <w:rStyle w:val="FootnoteReference"/>
          <w:rFonts w:ascii="Tahoma" w:hAnsi="Tahoma" w:cs="Tahoma"/>
          <w:spacing w:val="-3"/>
          <w:lang w:val="en-GB"/>
        </w:rPr>
        <w:footnoteReference w:id="2"/>
      </w:r>
      <w:r w:rsidRPr="007038F1">
        <w:rPr>
          <w:rFonts w:ascii="Tahoma" w:hAnsi="Tahoma" w:cs="Tahoma"/>
          <w:spacing w:val="-3"/>
          <w:lang w:val="en-GB"/>
        </w:rPr>
        <w:t xml:space="preserve"> provided:</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"Allegations concerning Falun Gong Practitioners</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lastRenderedPageBreak/>
        <w:tab/>
      </w:r>
      <w:r w:rsidR="002D2C10" w:rsidRPr="007038F1">
        <w:rPr>
          <w:rFonts w:ascii="Tahoma" w:hAnsi="Tahoma" w:cs="Tahoma"/>
          <w:spacing w:val="-3"/>
          <w:lang w:val="en-GB"/>
        </w:rPr>
        <w:t>While noting the State party's information about the 2006 Temporary Regulation on Human Organ Transplants and the 2007 Human Organ Transplant Ordinance, the Committee takes cognizance of the allegations presented to the Special Rapporteur on Torture who has noted that an increase in organ transplant operations coincides with 'the beginning of the persecution of [Falun Gong practitioners]' and who asked for 'a full explanation of the source of organ transplants' which could clarify the discrepancy and disprove the allegation of organ harvesting (A/HRC/7/3/Add.1). The Committee is further concerned with information received that Falun Gong practitioners have been extensively subjected to torture and ill</w:t>
      </w:r>
      <w:r w:rsidR="002D2C10" w:rsidRPr="007038F1">
        <w:rPr>
          <w:rFonts w:ascii="Tahoma" w:hAnsi="Tahoma" w:cs="Tahoma"/>
          <w:spacing w:val="-3"/>
          <w:lang w:val="en-GB"/>
        </w:rPr>
        <w:noBreakHyphen/>
        <w:t>treatment in prisons and that some of them have been used for organ transplants (arts. 12 and 16).</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The State party should immediately conduct or commission an independent investigation of the claims that some Falun Gong practitioners have been subjected to torture and used for organ transplants and take measures, as appropriate, to ensure that those responsible for such abuses are prosecuted and punished."</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 Government of China did not conduct an independent investigation of the claims that some Falun Gong practitioners have been subjected to torture and used for organ transplants.  The Government of China did not commission an independent investigation to that effect. The Government of China has not taken measures to ensure that those responsible for such abuses are prosecuted and punished.</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 xml:space="preserve">European Parliament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 European Parliament, in a resolution which was passed in December 2013</w:t>
      </w:r>
      <w:r w:rsidRPr="007038F1">
        <w:rPr>
          <w:rStyle w:val="FootnoteReference"/>
          <w:rFonts w:ascii="Tahoma" w:hAnsi="Tahoma" w:cs="Tahoma"/>
          <w:spacing w:val="-3"/>
          <w:lang w:val="en-GB"/>
        </w:rPr>
        <w:footnoteReference w:id="3"/>
      </w:r>
      <w:r w:rsidRPr="007038F1">
        <w:rPr>
          <w:rFonts w:ascii="Tahoma" w:hAnsi="Tahoma" w:cs="Tahoma"/>
          <w:spacing w:val="-3"/>
          <w:lang w:val="en-GB"/>
        </w:rPr>
        <w:t xml:space="preserve">, </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"1.  Expresses its deep concern over the persistent and credible reports of systematic, state</w:t>
      </w:r>
      <w:r w:rsidR="002D2C10" w:rsidRPr="007038F1">
        <w:rPr>
          <w:rFonts w:ascii="Tahoma" w:hAnsi="Tahoma" w:cs="Tahoma"/>
          <w:spacing w:val="-3"/>
          <w:lang w:val="en-GB"/>
        </w:rPr>
        <w:noBreakHyphen/>
        <w:t>sanctioned organ harvesting from non</w:t>
      </w:r>
      <w:r w:rsidR="002D2C10" w:rsidRPr="007038F1">
        <w:rPr>
          <w:rFonts w:ascii="Tahoma" w:hAnsi="Tahoma" w:cs="Tahoma"/>
          <w:spacing w:val="-3"/>
          <w:lang w:val="en-GB"/>
        </w:rPr>
        <w:noBreakHyphen/>
        <w:t xml:space="preserve">consenting prisoners of </w:t>
      </w:r>
      <w:r w:rsidR="002D2C10" w:rsidRPr="007038F1">
        <w:rPr>
          <w:rFonts w:ascii="Tahoma" w:hAnsi="Tahoma" w:cs="Tahoma"/>
          <w:spacing w:val="-3"/>
          <w:lang w:val="en-GB"/>
        </w:rPr>
        <w:lastRenderedPageBreak/>
        <w:t>conscience in the People's Republic of China, including from large numbers of Falun Gong practitioners imprisoned for their religious beliefs, as well as from members of other religious and ethnic minority groups;</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2.  Stresses that phasing out the harvesting of organs from executed prisoners only by 2015 is not acceptable; calls on the Government of the People's Republic of China to end immediately the practice of harvesting organs from prisoners of conscience and members of religious and ethnic minority groups;</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 xml:space="preserve">3.  Calls for the EU and its Member States to raise the issue of organ harvesting in China; recommends that the Union and its Member States publicly condemn organ transplant abuses in China and raise awareness of this issue among their citizens travelling to China; calls for a full and transparent investigation by the EU into organ transplant practices in China, and for the prosecution of those found to have engaged in such unethical practices; </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 xml:space="preserve">4.  Calls on the Chinese authorities to respond thoroughly to the requests of the UN Special Rapporteur on torture and other cruel, inhuman or degrading treatment or punishment and the UN Special Rapporteur on freedom of religion or belief asking the Chinese Government to explain the sources of extra organs following the increase in the number of organ transplant operations, and to allow them to conduct an investigation into organ transplant practices in China; </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 xml:space="preserve">5.  Calls for the immediate release of all prisoners of conscience in China, including Falun Gong practitioners; </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t xml:space="preserve">6. </w:t>
      </w:r>
      <w:r w:rsidR="002D2C10" w:rsidRPr="007038F1">
        <w:rPr>
          <w:rFonts w:ascii="Tahoma" w:hAnsi="Tahoma" w:cs="Tahoma"/>
          <w:spacing w:val="-3"/>
          <w:lang w:val="en-GB"/>
        </w:rPr>
        <w:t xml:space="preserve">Instructs its President to forward this resolution to the Council, the Commission, the Vice </w:t>
      </w:r>
      <w:r w:rsidR="002D2C10" w:rsidRPr="007038F1">
        <w:rPr>
          <w:rFonts w:ascii="Tahoma" w:hAnsi="Tahoma" w:cs="Tahoma"/>
          <w:spacing w:val="-3"/>
          <w:lang w:val="en-GB"/>
        </w:rPr>
        <w:noBreakHyphen/>
        <w:t xml:space="preserve"> President of the Commission/ High Representative of the Union for Foreign Affairs and Security Policy, the EU Special Representative for Human Rights, the United Nations Secretary </w:t>
      </w:r>
      <w:r w:rsidR="002D2C10" w:rsidRPr="007038F1">
        <w:rPr>
          <w:rFonts w:ascii="Tahoma" w:hAnsi="Tahoma" w:cs="Tahoma"/>
          <w:spacing w:val="-3"/>
          <w:lang w:val="en-GB"/>
        </w:rPr>
        <w:noBreakHyphen/>
        <w:t xml:space="preserve"> General, the United Nations Human Rights Council, the Government of the People's Republic of China and the Chinese National People's Congress."</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lastRenderedPageBreak/>
        <w:t xml:space="preserve">United Nations Universal Periodic Review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Prior to 2006, the Government of China stated that its organs came from donations, despite the absence of a donation system.  From 2006, the Government of China stated that its organs came primarily from prisoners sentenced to death and then executed.  However, the Government of China consistently refused to release death penalty statistics, despite many requests to do so, each time the turn of China came up at the Universal Periodic Review.</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At the United Nations Universal Periodic Review Working Group in February 2009, Canada recommended that China implement the recommendations of the Committee against Torture.  The Government of China explicitly, in writing, rejected this recommendation.</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Canada, Switzerland, United Kingdom, France, Austria, Italy recommended that China publish death penalty statistics.  The Government of China said no to this recommendation too.</w:t>
      </w:r>
      <w:r w:rsidRPr="007038F1">
        <w:rPr>
          <w:rStyle w:val="FootnoteReference"/>
          <w:rFonts w:ascii="Tahoma" w:hAnsi="Tahoma" w:cs="Tahoma"/>
          <w:spacing w:val="-3"/>
          <w:lang w:val="en-GB"/>
        </w:rPr>
        <w:footnoteReference w:id="4"/>
      </w: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 turn of China at the United Nations Universal Periodic Review Working Group came up again in October 2013. This same recommendation on death penalty statistics was repeated then by Belgium, France, New Zealand, Norway, Switzerland, UK, and Italy.  This time China said, we'll see.  There has been no release of statistics since.</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 xml:space="preserve">Death Penalty Volumes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Realistic death penalty volumes could not explain Chinese transplant volumes.</w:t>
      </w:r>
      <w:r w:rsidRPr="007038F1">
        <w:rPr>
          <w:rStyle w:val="FootnoteReference"/>
          <w:rFonts w:ascii="Tahoma" w:hAnsi="Tahoma" w:cs="Tahoma"/>
          <w:spacing w:val="-3"/>
          <w:lang w:val="en-GB"/>
        </w:rPr>
        <w:footnoteReference w:id="5"/>
      </w:r>
      <w:r w:rsidRPr="007038F1">
        <w:rPr>
          <w:rFonts w:ascii="Tahoma" w:hAnsi="Tahoma" w:cs="Tahoma"/>
          <w:spacing w:val="-3"/>
          <w:lang w:val="en-GB"/>
        </w:rPr>
        <w:t xml:space="preserve">  China, </w:t>
      </w:r>
      <w:r w:rsidRPr="007038F1">
        <w:rPr>
          <w:rFonts w:ascii="Tahoma" w:hAnsi="Tahoma" w:cs="Tahoma"/>
          <w:spacing w:val="-3"/>
          <w:lang w:val="en-GB"/>
        </w:rPr>
        <w:lastRenderedPageBreak/>
        <w:t>since the early years of this century, has been number one in the world for organ transplant volumes after the United States, at the rate of 10,000 a year.</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Chinese hospital websites advertised short waiting times for transplant tourists.  Transplant tourism patients going into China whom researchers interviewed told the researchers that they could choose their timing for transplants. This was true even for vital organs - heart, liver, and lung.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Not every prisoner is available as a source of organs for every patient.  Transplants require blood type compatibility and ideally even tissue type compatibility. Organs of donors have to be at least roughly the same size as the organs that are being replaced through transplantation.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There is high rate of hepatitis B in the Chinese criminal prison population, in the order of 60%. That makes organs of many prisoners sentenced to death and then executed unusable for transplants.</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China until recently </w:t>
      </w:r>
      <w:r w:rsidR="00B44013" w:rsidRPr="007038F1">
        <w:rPr>
          <w:rFonts w:ascii="Tahoma" w:hAnsi="Tahoma" w:cs="Tahoma"/>
          <w:spacing w:val="-3"/>
          <w:lang w:val="en-GB"/>
        </w:rPr>
        <w:t xml:space="preserve">did </w:t>
      </w:r>
      <w:r w:rsidRPr="007038F1">
        <w:rPr>
          <w:rFonts w:ascii="Tahoma" w:hAnsi="Tahoma" w:cs="Tahoma"/>
          <w:spacing w:val="-3"/>
          <w:lang w:val="en-GB"/>
        </w:rPr>
        <w:t xml:space="preserve">not have an organ distribution system.  That meant that organs were sourced locally, from prisons in the neighbourhood of the hospitals doing transplants.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Chinese law requires persons sentenced to death to be executed within seven days of sentence. That meant that there was no pool of prisoners sentenced to death and waiting for patients to arrive to be executed.</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If we put those factors together, then, in order to 10,000 get organs for transplants a year, China would have had to be executing in the order of 100,000 prisoners sentenced to death every year.  That is an implausible figure, out by more than a factor of ten from even the wildest death penalty estimates.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Non-governmental organizations estimated that China, at its height, was executing more than any other country in the world, maybe 5,000 a year.  However, over time the death penalty volume decreased.</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Because of changes in the law, the number of death penalty offences diminished. A change in procedure, taking away death penalty imposition from regional courts and centralizing it in the national Supreme Court, also cut down on death penalty numbers.  But, while death penalty volumes decreased, transplant volumes remained constant or even increased.</w:t>
      </w:r>
    </w:p>
    <w:p w:rsidR="002D2C10" w:rsidRPr="007038F1" w:rsidRDefault="002D2C10" w:rsidP="007038F1">
      <w:pPr>
        <w:tabs>
          <w:tab w:val="left" w:pos="-720"/>
        </w:tabs>
        <w:suppressAutoHyphens/>
        <w:spacing w:line="360" w:lineRule="auto"/>
        <w:jc w:val="both"/>
        <w:rPr>
          <w:rFonts w:ascii="Tahoma" w:hAnsi="Tahoma" w:cs="Tahoma"/>
          <w:b/>
          <w:bCs/>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Investigations</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There have already been several full and transparent investigations into organ transplant practices in China.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report former Canadian Government Minister and Parliamentarian David Kilgour and I did released in July 2006,</w:t>
      </w:r>
      <w:r w:rsidRPr="007038F1">
        <w:rPr>
          <w:rStyle w:val="FootnoteReference"/>
          <w:rFonts w:ascii="Tahoma" w:hAnsi="Tahoma" w:cs="Tahoma"/>
          <w:spacing w:val="-3"/>
          <w:lang w:val="en-GB"/>
        </w:rPr>
        <w:footnoteReference w:id="6"/>
      </w:r>
      <w:r w:rsidRPr="007038F1">
        <w:rPr>
          <w:rFonts w:ascii="Tahoma" w:hAnsi="Tahoma" w:cs="Tahoma"/>
          <w:spacing w:val="-3"/>
          <w:lang w:val="en-GB"/>
        </w:rPr>
        <w:t xml:space="preserve"> second version released in January 2007,</w:t>
      </w:r>
      <w:r w:rsidRPr="007038F1">
        <w:rPr>
          <w:rStyle w:val="FootnoteReference"/>
          <w:rFonts w:ascii="Tahoma" w:hAnsi="Tahoma" w:cs="Tahoma"/>
          <w:spacing w:val="-3"/>
          <w:lang w:val="en-GB"/>
        </w:rPr>
        <w:footnoteReference w:id="7"/>
      </w:r>
      <w:r w:rsidRPr="007038F1">
        <w:rPr>
          <w:rFonts w:ascii="Tahoma" w:hAnsi="Tahoma" w:cs="Tahoma"/>
          <w:spacing w:val="-3"/>
          <w:lang w:val="en-GB"/>
        </w:rPr>
        <w:t xml:space="preserve"> and a third version, in book form, we wrote in November 2009,</w:t>
      </w:r>
      <w:r w:rsidRPr="007038F1">
        <w:rPr>
          <w:rStyle w:val="FootnoteReference"/>
          <w:rFonts w:ascii="Tahoma" w:hAnsi="Tahoma" w:cs="Tahoma"/>
          <w:spacing w:val="-3"/>
          <w:lang w:val="en-GB"/>
        </w:rPr>
        <w:footnoteReference w:id="8"/>
      </w:r>
      <w:r w:rsidRPr="007038F1">
        <w:rPr>
          <w:rFonts w:ascii="Tahoma" w:hAnsi="Tahoma" w:cs="Tahoma"/>
          <w:spacing w:val="-3"/>
          <w:lang w:val="en-GB"/>
        </w:rPr>
        <w:t xml:space="preserve"> all under the title </w:t>
      </w:r>
      <w:r w:rsidRPr="007038F1">
        <w:rPr>
          <w:rFonts w:ascii="Tahoma" w:hAnsi="Tahoma" w:cs="Tahoma"/>
          <w:i/>
          <w:iCs/>
          <w:spacing w:val="-3"/>
          <w:lang w:val="en-GB"/>
        </w:rPr>
        <w:t>Bloody Harvest: The Killing of Falun Gong for their Organs</w:t>
      </w:r>
      <w:r w:rsidRPr="007038F1">
        <w:rPr>
          <w:rFonts w:ascii="Tahoma" w:hAnsi="Tahoma" w:cs="Tahoma"/>
          <w:spacing w:val="-3"/>
          <w:lang w:val="en-GB"/>
        </w:rPr>
        <w:t>;</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book of essays on the subject, published August 2012 under the title </w:t>
      </w:r>
      <w:r w:rsidRPr="007038F1">
        <w:rPr>
          <w:rFonts w:ascii="Tahoma" w:hAnsi="Tahoma" w:cs="Tahoma"/>
          <w:i/>
          <w:iCs/>
          <w:spacing w:val="-3"/>
          <w:lang w:val="en-GB"/>
        </w:rPr>
        <w:t>State Organs: Transplant abuse in China</w:t>
      </w:r>
      <w:r w:rsidRPr="007038F1">
        <w:rPr>
          <w:rFonts w:ascii="Tahoma" w:hAnsi="Tahoma" w:cs="Tahoma"/>
          <w:spacing w:val="-3"/>
          <w:lang w:val="en-GB"/>
        </w:rPr>
        <w:t>, which I co-edited with Torsten Trey, founder of the NGO, Doctors against Forced Organ Harvesting (DAFOH).</w:t>
      </w:r>
      <w:r w:rsidRPr="007038F1">
        <w:rPr>
          <w:rStyle w:val="FootnoteReference"/>
          <w:rFonts w:ascii="Tahoma" w:hAnsi="Tahoma" w:cs="Tahoma"/>
          <w:spacing w:val="-3"/>
          <w:lang w:val="en-GB"/>
        </w:rPr>
        <w:footnoteReference w:id="9"/>
      </w:r>
      <w:r w:rsidRPr="007038F1">
        <w:rPr>
          <w:rFonts w:ascii="Tahoma" w:hAnsi="Tahoma" w:cs="Tahoma"/>
          <w:spacing w:val="-3"/>
          <w:lang w:val="en-GB"/>
        </w:rPr>
        <w:t xml:space="preserve">  The authors, from around the world, were </w:t>
      </w:r>
      <w:r w:rsidRPr="007038F1">
        <w:rPr>
          <w:rFonts w:ascii="Tahoma" w:hAnsi="Tahoma" w:cs="Tahoma"/>
          <w:spacing w:val="-3"/>
          <w:lang w:val="en-GB"/>
        </w:rPr>
        <w:lastRenderedPageBreak/>
        <w:t xml:space="preserve">mostly members of this new organization;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book by Ethan Gutmann, an American journalist based in England in August 2014 under the title </w:t>
      </w:r>
      <w:r w:rsidRPr="007038F1">
        <w:rPr>
          <w:rFonts w:ascii="Tahoma" w:hAnsi="Tahoma" w:cs="Tahoma"/>
          <w:i/>
          <w:iCs/>
          <w:spacing w:val="-3"/>
          <w:lang w:val="en-GB"/>
        </w:rPr>
        <w:t>The Slaughter</w:t>
      </w:r>
      <w:r w:rsidRPr="007038F1">
        <w:rPr>
          <w:rFonts w:ascii="Tahoma" w:hAnsi="Tahoma" w:cs="Tahoma"/>
          <w:spacing w:val="-3"/>
          <w:lang w:val="en-GB"/>
        </w:rPr>
        <w:t>;</w:t>
      </w:r>
      <w:r w:rsidRPr="007038F1">
        <w:rPr>
          <w:rStyle w:val="FootnoteReference"/>
          <w:rFonts w:ascii="Tahoma" w:hAnsi="Tahoma" w:cs="Tahoma"/>
          <w:spacing w:val="-3"/>
          <w:lang w:val="en-GB"/>
        </w:rPr>
        <w:footnoteReference w:id="10"/>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Yale undergraduate thesis by Hao Wang under the title "China's Organ Transplant Industry and Falun Gong Organ Harvesting: An Economic Analysis";</w:t>
      </w:r>
      <w:r w:rsidRPr="007038F1">
        <w:rPr>
          <w:rStyle w:val="FootnoteReference"/>
          <w:rFonts w:ascii="Tahoma" w:hAnsi="Tahoma" w:cs="Tahoma"/>
          <w:spacing w:val="-3"/>
          <w:lang w:val="en-GB"/>
        </w:rPr>
        <w:footnoteReference w:id="11"/>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submission to the US Congress by University of Minnesota medical ethicist Kirk Allison;</w:t>
      </w:r>
      <w:r w:rsidRPr="007038F1">
        <w:rPr>
          <w:rStyle w:val="FootnoteReference"/>
          <w:rFonts w:ascii="Tahoma" w:hAnsi="Tahoma" w:cs="Tahoma"/>
          <w:spacing w:val="-3"/>
          <w:lang w:val="en-GB"/>
        </w:rPr>
        <w:footnoteReference w:id="12"/>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Continuing investigations and reports by the NGO World Organization to Investigate Persecution against the Falun Gong;</w:t>
      </w:r>
      <w:r w:rsidRPr="007038F1">
        <w:rPr>
          <w:rStyle w:val="FootnoteReference"/>
          <w:rFonts w:ascii="Tahoma" w:hAnsi="Tahoma" w:cs="Tahoma"/>
          <w:spacing w:val="-3"/>
          <w:lang w:val="en-GB"/>
        </w:rPr>
        <w:footnoteReference w:id="13"/>
      </w: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2013 documentary by Masha Savitz, titled </w:t>
      </w:r>
      <w:r w:rsidRPr="007038F1">
        <w:rPr>
          <w:rFonts w:ascii="Tahoma" w:hAnsi="Tahoma" w:cs="Tahoma"/>
          <w:i/>
          <w:iCs/>
          <w:spacing w:val="-3"/>
          <w:lang w:val="en-GB"/>
        </w:rPr>
        <w:t>Red Reign</w:t>
      </w:r>
      <w:r w:rsidRPr="007038F1">
        <w:rPr>
          <w:rFonts w:ascii="Tahoma" w:hAnsi="Tahoma" w:cs="Tahoma"/>
          <w:spacing w:val="-3"/>
          <w:lang w:val="en-GB"/>
        </w:rPr>
        <w:t>;</w:t>
      </w:r>
      <w:r w:rsidRPr="007038F1">
        <w:rPr>
          <w:rStyle w:val="FootnoteReference"/>
          <w:rFonts w:ascii="Tahoma" w:hAnsi="Tahoma" w:cs="Tahoma"/>
          <w:spacing w:val="-3"/>
          <w:lang w:val="en-GB"/>
        </w:rPr>
        <w:footnoteReference w:id="14"/>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2014 documentary by Leon Lee, titled </w:t>
      </w:r>
      <w:r w:rsidRPr="007038F1">
        <w:rPr>
          <w:rFonts w:ascii="Tahoma" w:hAnsi="Tahoma" w:cs="Tahoma"/>
          <w:i/>
          <w:iCs/>
          <w:spacing w:val="-3"/>
          <w:lang w:val="en-GB"/>
        </w:rPr>
        <w:t>Human Harvest</w:t>
      </w:r>
      <w:r w:rsidRPr="007038F1">
        <w:rPr>
          <w:rFonts w:ascii="Tahoma" w:hAnsi="Tahoma" w:cs="Tahoma"/>
          <w:spacing w:val="-3"/>
          <w:lang w:val="en-GB"/>
        </w:rPr>
        <w:t>, which won a 2015 Peabody Award;</w:t>
      </w:r>
      <w:r w:rsidRPr="007038F1">
        <w:rPr>
          <w:rStyle w:val="FootnoteReference"/>
          <w:rFonts w:ascii="Tahoma" w:hAnsi="Tahoma" w:cs="Tahoma"/>
          <w:spacing w:val="-3"/>
          <w:lang w:val="en-GB"/>
        </w:rPr>
        <w:footnoteReference w:id="15"/>
      </w:r>
      <w:r w:rsidRPr="007038F1">
        <w:rPr>
          <w:rFonts w:ascii="Tahoma" w:hAnsi="Tahoma" w:cs="Tahoma"/>
          <w:spacing w:val="-3"/>
          <w:lang w:val="en-GB"/>
        </w:rPr>
        <w:t xml:space="preserve"> and</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lastRenderedPageBreak/>
        <w:fldChar w:fldCharType="begin"/>
      </w:r>
      <w:r w:rsidRPr="007038F1">
        <w:rPr>
          <w:rFonts w:ascii="Tahoma" w:hAnsi="Tahoma" w:cs="Tahoma"/>
          <w:spacing w:val="-3"/>
          <w:lang w:val="en-GB"/>
        </w:rPr>
        <w:instrText>listnum "WP List 3" \l 1</w:instrText>
      </w:r>
      <w:r w:rsidRPr="007038F1">
        <w:rPr>
          <w:rFonts w:ascii="Tahoma" w:hAnsi="Tahoma" w:cs="Tahoma"/>
          <w:spacing w:val="-3"/>
          <w:lang w:val="en-GB"/>
        </w:rPr>
        <w:fldChar w:fldCharType="end"/>
      </w:r>
      <w:r w:rsidRPr="007038F1">
        <w:rPr>
          <w:rFonts w:ascii="Tahoma" w:hAnsi="Tahoma" w:cs="Tahoma"/>
          <w:spacing w:val="-3"/>
          <w:lang w:val="en-GB"/>
        </w:rPr>
        <w:t xml:space="preserve"> A 2015 documentary by Ken Stone titled </w:t>
      </w:r>
      <w:r w:rsidRPr="007038F1">
        <w:rPr>
          <w:rFonts w:ascii="Tahoma" w:hAnsi="Tahoma" w:cs="Tahoma"/>
          <w:i/>
          <w:iCs/>
          <w:spacing w:val="-3"/>
          <w:lang w:val="en-GB"/>
        </w:rPr>
        <w:t>Hard to Believe</w:t>
      </w:r>
      <w:r w:rsidRPr="007038F1">
        <w:rPr>
          <w:rFonts w:ascii="Tahoma" w:hAnsi="Tahoma" w:cs="Tahoma"/>
          <w:spacing w:val="-3"/>
          <w:lang w:val="en-GB"/>
        </w:rPr>
        <w:t>.</w:t>
      </w:r>
      <w:r w:rsidRPr="007038F1">
        <w:rPr>
          <w:rStyle w:val="FootnoteReference"/>
          <w:rFonts w:ascii="Tahoma" w:hAnsi="Tahoma" w:cs="Tahoma"/>
          <w:spacing w:val="-3"/>
          <w:lang w:val="en-GB"/>
        </w:rPr>
        <w:footnoteReference w:id="16"/>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These many investigations all have</w:t>
      </w:r>
      <w:r w:rsidR="00904E91" w:rsidRPr="007038F1">
        <w:rPr>
          <w:rFonts w:ascii="Tahoma" w:hAnsi="Tahoma" w:cs="Tahoma"/>
          <w:spacing w:val="-3"/>
          <w:lang w:val="en-GB"/>
        </w:rPr>
        <w:t xml:space="preserve"> come to the same conclusion - </w:t>
      </w:r>
      <w:r w:rsidRPr="007038F1">
        <w:rPr>
          <w:rFonts w:ascii="Tahoma" w:hAnsi="Tahoma" w:cs="Tahoma"/>
          <w:spacing w:val="-3"/>
          <w:lang w:val="en-GB"/>
        </w:rPr>
        <w:t>that there has been and continues to be widespread organ abuse in China, in particular the killing of prisoners of conscience for their organs. The primary victims are practitioners of the spiritually based set of exercises Falun Gong.</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Changes</w:t>
      </w: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 Government of Chinese health officials have said that, as of January 2015, they had ceased sourcing organs from prisoners and were now sourcing organs entirely from donors.  China created both an organ donor registry and a national organ donor distribution system.  The Government enacted a policy of giving priority to local patients and a law forbidding sourcing of organs without consent.</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However, officials have said that prisoners can donate organs.  If that is so, then organ sourcing from prisoners continue.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Though it is not expressed quite this way, it seems that what is going on is that there are now two systems operating in China, a donation system and a non-donation system. The non-donation system sources organs virtually exclusively from prisoners.  The donation system also sources organs from prisoners, but in a different way.  For a prisoner organ to access the donation system, the prisoner and his family have to comply with donation system procedures.</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In an interview published on the China Economic Net March 4th, Zhuang Yiqiang, Deputy General Secretary of the China Organ Development Foundation and Deputy Secretary of the </w:t>
      </w:r>
      <w:r w:rsidRPr="007038F1">
        <w:rPr>
          <w:rFonts w:ascii="Tahoma" w:hAnsi="Tahoma" w:cs="Tahoma"/>
          <w:spacing w:val="-3"/>
          <w:lang w:val="en-GB"/>
        </w:rPr>
        <w:lastRenderedPageBreak/>
        <w:t>Chinese Hospital Association was asked this question and gave this answer:</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"Beiqing Bao (Journalist): I remember that at the second instance court of the 'Fudan University poisoning case', the defendant Lin Senhao said in court that, in case he finally cannot avoid death, he will donate his organs. However, from January 1, China banned the use of organs from executed prisoners. Can his last wish be achieved?</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Zhuang Yiqiang: Either death</w:t>
      </w:r>
      <w:r w:rsidR="002D2C10" w:rsidRPr="007038F1">
        <w:rPr>
          <w:rFonts w:ascii="Tahoma" w:hAnsi="Tahoma" w:cs="Tahoma"/>
          <w:spacing w:val="-3"/>
          <w:lang w:val="en-GB"/>
        </w:rPr>
        <w:noBreakHyphen/>
        <w:t>row prisoners or ordinary people, all have the right to freely decide whether to donate organs or not. Death</w:t>
      </w:r>
      <w:r w:rsidR="002D2C10" w:rsidRPr="007038F1">
        <w:rPr>
          <w:rFonts w:ascii="Tahoma" w:hAnsi="Tahoma" w:cs="Tahoma"/>
          <w:spacing w:val="-3"/>
          <w:lang w:val="en-GB"/>
        </w:rPr>
        <w:noBreakHyphen/>
        <w:t xml:space="preserve">row prisoners are also human beings. If he or she is willing to donate organs after death, of course, he or she should not discriminated by the society. But the condition is, it must be 'voluntary'. Undoubtedly, Lin Senhao's commitment is made under the glare of the public eye, under circumstances without any external pressure. However, according to rules relevant to this issue, in addition to the own will of organ donors, written consent must be obtained from all immediate family members. Even if one relative disagrees, the donation cannot be done. So, it is still unknown whether Lin Senhao can successfully donate his organs." </w:t>
      </w:r>
      <w:r w:rsidR="002D2C10" w:rsidRPr="007038F1">
        <w:rPr>
          <w:rStyle w:val="FootnoteReference"/>
          <w:rFonts w:ascii="Tahoma" w:hAnsi="Tahoma" w:cs="Tahoma"/>
          <w:spacing w:val="-3"/>
          <w:lang w:val="en-GB"/>
        </w:rPr>
        <w:footnoteReference w:id="17"/>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There has been no abatement in the demonization or persecution of Falun Gong. Those remain in full force.  Even blood testing of Falun Gong practitioners continues.</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Official statements do not consistently say organ sourcing from prisoners has ended. Some official statements say only that it will end and that China is now in a transition period, leading to its ending.</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Current explanations waver between saying that the transition is complete and that it is partial.</w:t>
      </w:r>
      <w:r w:rsidRPr="007038F1">
        <w:rPr>
          <w:rStyle w:val="FootnoteReference"/>
          <w:rFonts w:ascii="Tahoma" w:hAnsi="Tahoma" w:cs="Tahoma"/>
          <w:spacing w:val="-3"/>
          <w:lang w:val="en-GB"/>
        </w:rPr>
        <w:footnoteReference w:id="18"/>
      </w:r>
      <w:r w:rsidRPr="007038F1">
        <w:rPr>
          <w:rFonts w:ascii="Tahoma" w:hAnsi="Tahoma" w:cs="Tahoma"/>
          <w:spacing w:val="-3"/>
          <w:lang w:val="en-GB"/>
        </w:rPr>
        <w:t xml:space="preserve">   In the Wall Street Journal article of March 2015, Huang Jiefu is quoted as saying </w:t>
      </w:r>
      <w:r w:rsidRPr="007038F1">
        <w:rPr>
          <w:rFonts w:ascii="Tahoma" w:hAnsi="Tahoma" w:cs="Tahoma"/>
          <w:spacing w:val="-3"/>
          <w:lang w:val="en-GB"/>
        </w:rPr>
        <w:lastRenderedPageBreak/>
        <w:t>that "donations - i.e. those not originating from executed prisoners - now account for 80% of the transplant operations in the country."  That is to say sourcing from prisoners accounts for 20% of the transplant operations in the country.  At a transplant volume of 10,000 a year, that means that 2,000 organs a year are now coming from prisoners.</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The shift from prisoners to donors seems to be meant to be a gradual transition rather than an abrupt change. At a press conference in March 11, 2015, Huang Jiefu "Our policy is to use as few executed prisoner organs as possible". </w:t>
      </w:r>
      <w:r w:rsidRPr="007038F1">
        <w:rPr>
          <w:rStyle w:val="FootnoteReference"/>
          <w:rFonts w:ascii="Tahoma" w:hAnsi="Tahoma" w:cs="Tahoma"/>
          <w:spacing w:val="-3"/>
          <w:lang w:val="en-GB"/>
        </w:rPr>
        <w:footnoteReference w:id="19"/>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In an article published in the Chinese Medical Journal, January 20, 2015 Huang Jiefu and others state:</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"Before we establish a system of organ donation after citizens' death, if we brutally interrupt the source of organs from executed prisoners, it would inevitably lead to loss of lifesaving hope for many of patients with organ failure. ...  China's organ donation and transplant system are still a newborn baby who is in need of a gradual process of growing up.... There is still a long way to go."</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If one considers this article, it is not clear what, if anything, changed on January 1st, 2015.</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This notion that "if we brutally interrupt the source of organs from executed prisoners, it would inevitably lead to loss of lifesaving hope for many of patients with organ failure" is ethically abhorrent.  Healthy people should not be killed for their organs so that sick people can live.  Even if one puts aside the evidence that the predominant number of prisoners killed for their organs are prisoners of conscience, primarily Falun Gong, it is impossible to </w:t>
      </w:r>
      <w:r w:rsidRPr="007038F1">
        <w:rPr>
          <w:rFonts w:ascii="Tahoma" w:hAnsi="Tahoma" w:cs="Tahoma"/>
          <w:spacing w:val="-3"/>
          <w:lang w:val="en-GB"/>
        </w:rPr>
        <w:lastRenderedPageBreak/>
        <w:t xml:space="preserve">extricate the huge money being made from organ transplants from the imposition of the death penalty.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The past</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There is no willingness to disclose and be held to account for the past.  In one interview, Chinese health official Huang Jiefu is asked:</w:t>
      </w:r>
    </w:p>
    <w:p w:rsidR="002D2C10" w:rsidRPr="007038F1" w:rsidRDefault="002D2C10"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 xml:space="preserve"> </w:t>
      </w:r>
      <w:r w:rsidR="007803E6" w:rsidRPr="007038F1">
        <w:rPr>
          <w:rFonts w:ascii="Tahoma" w:hAnsi="Tahoma" w:cs="Tahoma"/>
          <w:spacing w:val="-3"/>
          <w:lang w:val="en-GB"/>
        </w:rPr>
        <w:tab/>
      </w:r>
      <w:r w:rsidRPr="007038F1">
        <w:rPr>
          <w:rFonts w:ascii="Tahoma" w:hAnsi="Tahoma" w:cs="Tahoma"/>
          <w:spacing w:val="-3"/>
          <w:lang w:val="en-GB"/>
        </w:rPr>
        <w:t xml:space="preserve">"Have you actually been involved in obtaining organs from  executed prisoners?"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His answer is </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"I hope that I can lead people to flip this page over as soon as possible and look at now."</w:t>
      </w:r>
      <w:r w:rsidR="002D2C10" w:rsidRPr="007038F1">
        <w:rPr>
          <w:rStyle w:val="FootnoteReference"/>
          <w:rFonts w:ascii="Tahoma" w:hAnsi="Tahoma" w:cs="Tahoma"/>
          <w:spacing w:val="-3"/>
          <w:lang w:val="en-GB"/>
        </w:rPr>
        <w:footnoteReference w:id="20"/>
      </w:r>
      <w:r w:rsidR="002D2C10"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In the same interview he says:</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"So, we shouldn't always dwell in the past, always concerned about the page of death row inmates. Flip over the page and look at the future. ... We should pay attention to the future, not the past."</w:t>
      </w:r>
    </w:p>
    <w:p w:rsidR="002D2C10" w:rsidRPr="007038F1" w:rsidRDefault="007803E6" w:rsidP="007038F1">
      <w:pPr>
        <w:tabs>
          <w:tab w:val="left" w:pos="-720"/>
          <w:tab w:val="left" w:pos="0"/>
        </w:tabs>
        <w:suppressAutoHyphens/>
        <w:spacing w:line="360" w:lineRule="auto"/>
        <w:ind w:left="720" w:hanging="720"/>
        <w:jc w:val="both"/>
        <w:rPr>
          <w:rFonts w:ascii="Tahoma" w:hAnsi="Tahoma" w:cs="Tahoma"/>
          <w:spacing w:val="-3"/>
          <w:lang w:val="en-GB"/>
        </w:rPr>
      </w:pPr>
      <w:r w:rsidRPr="007038F1">
        <w:rPr>
          <w:rFonts w:ascii="Tahoma" w:hAnsi="Tahoma" w:cs="Tahoma"/>
          <w:spacing w:val="-3"/>
          <w:lang w:val="en-GB"/>
        </w:rPr>
        <w:tab/>
      </w:r>
      <w:r w:rsidR="002D2C10" w:rsidRPr="007038F1">
        <w:rPr>
          <w:rFonts w:ascii="Tahoma" w:hAnsi="Tahoma" w:cs="Tahoma"/>
          <w:spacing w:val="-3"/>
          <w:lang w:val="en-GB"/>
        </w:rPr>
        <w:t>"Do not always look at the past embarrassing page, do not cling to the past."</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The best indicator for future abuse is impunity for past abuse.  The notion that we can just ignore past crimes and all will be right is a denial of the human experience.</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  </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The duty to be transparent</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Chinese transplant records are not open to independent scrutiny. International law does not require that outsiders establish that China is doing something wrong in organ sourcing.  International law rather imposes a duty on China to explain where it gets its organs.  </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That duty is not met just by bald assertions by Chinese authorities that everything is all right.  It is met by transparency, accountability and openness to scrutiny.  The World Health Organization Guiding Principle 1 of the Guiding Principles on Human Cell, Tissue and Organ Transplantation requires consent from the donor to organ removal for the purpose of transplantation. Guiding Principle 10 requires traceability of organ transplants.  Guiding principle 11 requires that donation activities be transparent and open to scrutiny.</w:t>
      </w:r>
      <w:r w:rsidRPr="007038F1">
        <w:rPr>
          <w:rStyle w:val="FootnoteReference"/>
          <w:rFonts w:ascii="Tahoma" w:hAnsi="Tahoma" w:cs="Tahoma"/>
          <w:spacing w:val="-3"/>
          <w:lang w:val="en-GB"/>
        </w:rPr>
        <w:footnoteReference w:id="21"/>
      </w:r>
    </w:p>
    <w:p w:rsidR="002D2C10" w:rsidRPr="007038F1" w:rsidRDefault="002D2C10" w:rsidP="007038F1">
      <w:pPr>
        <w:tabs>
          <w:tab w:val="left" w:pos="-720"/>
        </w:tabs>
        <w:suppressAutoHyphens/>
        <w:spacing w:line="360" w:lineRule="auto"/>
        <w:jc w:val="both"/>
        <w:rPr>
          <w:rFonts w:ascii="Tahoma" w:hAnsi="Tahoma" w:cs="Tahoma"/>
          <w:b/>
          <w:bCs/>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b/>
          <w:bCs/>
          <w:spacing w:val="-3"/>
          <w:lang w:val="en-GB"/>
        </w:rPr>
        <w:t>Recommendation</w:t>
      </w:r>
    </w:p>
    <w:p w:rsidR="002D2C10" w:rsidRPr="007038F1" w:rsidRDefault="002D2C10" w:rsidP="007038F1">
      <w:pPr>
        <w:tabs>
          <w:tab w:val="left" w:pos="-720"/>
        </w:tabs>
        <w:suppressAutoHyphens/>
        <w:spacing w:line="360" w:lineRule="auto"/>
        <w:jc w:val="both"/>
        <w:rPr>
          <w:rFonts w:ascii="Tahoma" w:hAnsi="Tahoma" w:cs="Tahoma"/>
          <w:spacing w:val="-3"/>
          <w:lang w:val="en-GB"/>
        </w:rPr>
      </w:pP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 xml:space="preserve">The </w:t>
      </w:r>
      <w:r w:rsidR="00C66655">
        <w:rPr>
          <w:rFonts w:ascii="Tahoma" w:hAnsi="Tahoma" w:cs="Tahoma"/>
          <w:spacing w:val="-3"/>
          <w:lang w:val="en-GB"/>
        </w:rPr>
        <w:t xml:space="preserve">Transnational </w:t>
      </w:r>
      <w:r w:rsidRPr="007038F1">
        <w:rPr>
          <w:rFonts w:ascii="Tahoma" w:hAnsi="Tahoma" w:cs="Tahoma"/>
          <w:spacing w:val="-3"/>
          <w:lang w:val="en-GB"/>
        </w:rPr>
        <w:t>Radical Party recommends that the Committee against Torture reiterate its recommendation made in 2008 that the Government of China should conduct or commission an independent investigation of the claims that some Falun Gong practitioners have been subjected to torture and used for organ transplants and take measures, as appropriate, to ensure that those responsible for such abuses are prosecuted and punished.  That recommendation has not been implemented and should not be forgotten.</w:t>
      </w:r>
    </w:p>
    <w:p w:rsidR="007803E6"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w:t>
      </w:r>
      <w:r w:rsidR="007803E6" w:rsidRPr="007038F1">
        <w:rPr>
          <w:rFonts w:ascii="Tahoma" w:hAnsi="Tahoma" w:cs="Tahoma"/>
          <w:spacing w:val="-3"/>
          <w:lang w:val="en-GB"/>
        </w:rPr>
        <w:t>...........................................................</w:t>
      </w:r>
    </w:p>
    <w:p w:rsidR="002D2C10" w:rsidRPr="007038F1" w:rsidRDefault="002D2C10" w:rsidP="007038F1">
      <w:pPr>
        <w:tabs>
          <w:tab w:val="left" w:pos="-720"/>
        </w:tabs>
        <w:suppressAutoHyphens/>
        <w:spacing w:line="360" w:lineRule="auto"/>
        <w:jc w:val="both"/>
        <w:rPr>
          <w:rFonts w:ascii="Tahoma" w:hAnsi="Tahoma" w:cs="Tahoma"/>
          <w:spacing w:val="-3"/>
          <w:lang w:val="en-GB"/>
        </w:rPr>
      </w:pPr>
      <w:r w:rsidRPr="007038F1">
        <w:rPr>
          <w:rFonts w:ascii="Tahoma" w:hAnsi="Tahoma" w:cs="Tahoma"/>
          <w:spacing w:val="-3"/>
          <w:lang w:val="en-GB"/>
        </w:rPr>
        <w:t>David Matas is an international human rights lawyer based in Winnipeg, Manitoba, Canada</w:t>
      </w:r>
    </w:p>
    <w:sectPr w:rsidR="002D2C10" w:rsidRPr="007038F1" w:rsidSect="00965B54">
      <w:headerReference w:type="default" r:id="rId8"/>
      <w:pgSz w:w="12240" w:h="15840"/>
      <w:pgMar w:top="1440" w:right="1440" w:bottom="1440" w:left="1440" w:header="1440" w:footer="14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608" w:rsidRDefault="00D31608">
      <w:pPr>
        <w:spacing w:line="20" w:lineRule="exact"/>
      </w:pPr>
    </w:p>
  </w:endnote>
  <w:endnote w:type="continuationSeparator" w:id="0">
    <w:p w:rsidR="00D31608" w:rsidRDefault="00D31608" w:rsidP="002D2C10">
      <w:r>
        <w:t xml:space="preserve"> </w:t>
      </w:r>
    </w:p>
  </w:endnote>
  <w:endnote w:type="continuationNotice" w:id="1">
    <w:p w:rsidR="00D31608" w:rsidRDefault="00D31608" w:rsidP="002D2C1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608" w:rsidRDefault="00D31608" w:rsidP="002D2C10">
      <w:r>
        <w:separator/>
      </w:r>
    </w:p>
  </w:footnote>
  <w:footnote w:type="continuationSeparator" w:id="0">
    <w:p w:rsidR="00D31608" w:rsidRDefault="00D31608" w:rsidP="002D2C10">
      <w:r>
        <w:continuationSeparator/>
      </w:r>
    </w:p>
  </w:footnote>
  <w:footnote w:id="1">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Report of the Special Rapporteur on torture and other cruel, inhuman or degrading treatment or punishment, Addendum, Manfred Nowak U.N. Document A/HRC/4/33/Add.1, 20 March 2007, paragraph 40; Report of the Special Rapporteur on freedom of religion or belief Addendum, Asma Jahangir, U.N. Document A/HRC/4/21/Add.1, 8 March 2007, paragraphs 107 to 111.Report of the Special Rapporteur on torture and other cruel, inhuman or degrading treatment or punishment, Addendum, Manfred Nowak, U.N. Document, A/HRC/7/3/Add.1, 19 February 2008, paragraph 36; Report of the Special Rapporteur on freedom of religion or belief, Addendum, Asma Jahangir, U.N. Document A/HRC/7/10/Add.1, 28 February 2008, paragraphs 40 and 41.</w:t>
      </w:r>
    </w:p>
  </w:footnote>
  <w:footnote w:id="2">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United Nations Document number CAT/C/CHN/CO/4 21 November 2008</w:t>
      </w:r>
    </w:p>
  </w:footnote>
  <w:footnote w:id="3">
    <w:p w:rsidR="002D2C10" w:rsidRPr="007803E6" w:rsidRDefault="002D2C10">
      <w:pPr>
        <w:pStyle w:val="FootnoteText"/>
        <w:tabs>
          <w:tab w:val="left" w:pos="-720"/>
        </w:tabs>
        <w:suppressAutoHyphens/>
        <w:spacing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Document selected: RC</w:t>
      </w:r>
      <w:r w:rsidRPr="007803E6">
        <w:rPr>
          <w:rFonts w:ascii="Tahoma" w:hAnsi="Tahoma" w:cs="Tahoma"/>
          <w:spacing w:val="-3"/>
        </w:rPr>
        <w:noBreakHyphen/>
        <w:t>B7</w:t>
      </w:r>
      <w:r w:rsidRPr="007803E6">
        <w:rPr>
          <w:rFonts w:ascii="Tahoma" w:hAnsi="Tahoma" w:cs="Tahoma"/>
          <w:spacing w:val="-3"/>
        </w:rPr>
        <w:noBreakHyphen/>
        <w:t>0562/2013,  Texts adopted:</w:t>
      </w:r>
    </w:p>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Fonts w:ascii="Tahoma" w:hAnsi="Tahoma" w:cs="Tahoma"/>
          <w:spacing w:val="-3"/>
        </w:rPr>
        <w:t xml:space="preserve">P7_TA(2013)0603, 11.12.2013  </w:t>
      </w:r>
    </w:p>
  </w:footnote>
  <w:footnote w:id="4">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Report of the Working Group on the Universal Periodic Review, United Nations Document, A/HRC/11/25, 3 March 2009</w:t>
      </w:r>
    </w:p>
  </w:footnote>
  <w:footnote w:id="5">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B44013">
        <w:rPr>
          <w:rFonts w:ascii="Tahoma" w:hAnsi="Tahoma" w:cs="Tahoma"/>
          <w:spacing w:val="-3"/>
        </w:rPr>
        <w:t xml:space="preserve"> David Matas "The Numbers" in </w:t>
      </w:r>
      <w:r w:rsidRPr="007803E6">
        <w:rPr>
          <w:rFonts w:ascii="Tahoma" w:hAnsi="Tahoma" w:cs="Tahoma"/>
          <w:i/>
          <w:iCs/>
          <w:spacing w:val="-3"/>
        </w:rPr>
        <w:t>State Organs: Transplant abuse in China</w:t>
      </w:r>
      <w:r w:rsidRPr="007803E6">
        <w:rPr>
          <w:rFonts w:ascii="Tahoma" w:hAnsi="Tahoma" w:cs="Tahoma"/>
          <w:spacing w:val="-3"/>
        </w:rPr>
        <w:t>, Torsten Trey and David Matas co-editors, August 2012, Seraphim Editions.</w:t>
      </w:r>
    </w:p>
  </w:footnote>
  <w:footnote w:id="6">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w:t>
      </w:r>
      <w:hyperlink r:id="rId1" w:history="1">
        <w:r w:rsidR="007803E6" w:rsidRPr="006F15E9">
          <w:rPr>
            <w:rStyle w:val="Hyperlink"/>
            <w:rFonts w:ascii="Tahoma" w:hAnsi="Tahoma" w:cs="Tahoma"/>
            <w:spacing w:val="-3"/>
          </w:rPr>
          <w:t>http://organharvestinvestigation.net/report20060706.htm</w:t>
        </w:r>
      </w:hyperlink>
    </w:p>
  </w:footnote>
  <w:footnote w:id="7">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7803E6">
        <w:rPr>
          <w:rFonts w:ascii="Tahoma" w:hAnsi="Tahoma" w:cs="Tahoma"/>
          <w:spacing w:val="-3"/>
        </w:rPr>
        <w:t xml:space="preserve"> </w:t>
      </w:r>
      <w:hyperlink r:id="rId2" w:history="1">
        <w:r w:rsidR="007803E6" w:rsidRPr="007803E6">
          <w:rPr>
            <w:rFonts w:ascii="Tahoma" w:hAnsi="Tahoma" w:cs="Tahoma"/>
            <w:color w:val="0000FF"/>
            <w:spacing w:val="-3"/>
            <w:u w:val="single"/>
          </w:rPr>
          <w:t>http://organharvestinvestigation.net/</w:t>
        </w:r>
      </w:hyperlink>
      <w:r w:rsidR="007803E6" w:rsidRPr="007803E6">
        <w:rPr>
          <w:rFonts w:ascii="Tahoma" w:hAnsi="Tahoma" w:cs="Tahoma"/>
          <w:spacing w:val="-3"/>
        </w:rPr>
        <w:t xml:space="preserve"> </w:t>
      </w:r>
    </w:p>
  </w:footnote>
  <w:footnote w:id="8">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Seraphim Editions</w:t>
      </w:r>
    </w:p>
  </w:footnote>
  <w:footnote w:id="9">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Seraphim Editions</w:t>
      </w:r>
    </w:p>
  </w:footnote>
  <w:footnote w:id="10">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7803E6">
        <w:rPr>
          <w:rFonts w:ascii="Tahoma" w:hAnsi="Tahoma" w:cs="Tahoma"/>
          <w:spacing w:val="-3"/>
        </w:rPr>
        <w:t xml:space="preserve"> Prometh</w:t>
      </w:r>
      <w:r w:rsidRPr="007803E6">
        <w:rPr>
          <w:rFonts w:ascii="Tahoma" w:hAnsi="Tahoma" w:cs="Tahoma"/>
          <w:spacing w:val="-3"/>
        </w:rPr>
        <w:t>e</w:t>
      </w:r>
      <w:r w:rsidR="007803E6">
        <w:rPr>
          <w:rFonts w:ascii="Tahoma" w:hAnsi="Tahoma" w:cs="Tahoma"/>
          <w:spacing w:val="-3"/>
        </w:rPr>
        <w:t>u</w:t>
      </w:r>
      <w:r w:rsidRPr="007803E6">
        <w:rPr>
          <w:rFonts w:ascii="Tahoma" w:hAnsi="Tahoma" w:cs="Tahoma"/>
          <w:spacing w:val="-3"/>
        </w:rPr>
        <w:t>s Books</w:t>
      </w:r>
    </w:p>
  </w:footnote>
  <w:footnote w:id="11">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w:t>
      </w:r>
      <w:hyperlink r:id="rId3" w:history="1">
        <w:r w:rsidR="007803E6" w:rsidRPr="007803E6">
          <w:rPr>
            <w:rFonts w:ascii="Tahoma" w:hAnsi="Tahoma" w:cs="Tahoma"/>
            <w:color w:val="0000FF"/>
            <w:spacing w:val="-3"/>
            <w:u w:val="single"/>
          </w:rPr>
          <w:t>http://organharvestinvestigation.net/events/YALE0407.pdf</w:t>
        </w:r>
      </w:hyperlink>
    </w:p>
  </w:footnote>
  <w:footnote w:id="12">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w:t>
      </w:r>
      <w:hyperlink r:id="rId4" w:history="1">
        <w:r w:rsidR="007803E6" w:rsidRPr="007803E6">
          <w:rPr>
            <w:rFonts w:ascii="Tahoma" w:hAnsi="Tahoma" w:cs="Tahoma"/>
            <w:color w:val="0000FF"/>
            <w:spacing w:val="-3"/>
            <w:u w:val="single"/>
          </w:rPr>
          <w:t>http://commdocs.house.gov/committees/intlrel/hfa30146.000/hfa30146_0f.htm</w:t>
        </w:r>
      </w:hyperlink>
    </w:p>
  </w:footnote>
  <w:footnote w:id="13">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w:t>
      </w:r>
      <w:hyperlink r:id="rId5" w:history="1">
        <w:r w:rsidR="007803E6" w:rsidRPr="007803E6">
          <w:rPr>
            <w:rFonts w:ascii="Tahoma" w:hAnsi="Tahoma" w:cs="Tahoma"/>
            <w:color w:val="0000FF"/>
            <w:spacing w:val="-3"/>
            <w:u w:val="single"/>
          </w:rPr>
          <w:t>http://www.upholdjustice.org/</w:t>
        </w:r>
      </w:hyperlink>
    </w:p>
  </w:footnote>
  <w:footnote w:id="14">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7803E6">
        <w:rPr>
          <w:rFonts w:ascii="Tahoma" w:hAnsi="Tahoma" w:cs="Tahoma"/>
          <w:spacing w:val="-3"/>
        </w:rPr>
        <w:t xml:space="preserve"> </w:t>
      </w:r>
      <w:hyperlink r:id="rId6" w:history="1">
        <w:r w:rsidR="007803E6" w:rsidRPr="007803E6">
          <w:rPr>
            <w:rFonts w:ascii="Tahoma" w:hAnsi="Tahoma" w:cs="Tahoma"/>
            <w:color w:val="0000FF"/>
            <w:spacing w:val="-3"/>
            <w:u w:val="single"/>
          </w:rPr>
          <w:t>http://redreignfilm.com/</w:t>
        </w:r>
      </w:hyperlink>
    </w:p>
  </w:footnote>
  <w:footnote w:id="15">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7803E6">
        <w:rPr>
          <w:rFonts w:ascii="Tahoma" w:hAnsi="Tahoma" w:cs="Tahoma"/>
          <w:spacing w:val="-3"/>
        </w:rPr>
        <w:t xml:space="preserve">  </w:t>
      </w:r>
      <w:hyperlink r:id="rId7" w:history="1">
        <w:r w:rsidR="007803E6" w:rsidRPr="007803E6">
          <w:rPr>
            <w:rFonts w:ascii="Tahoma" w:hAnsi="Tahoma" w:cs="Tahoma"/>
            <w:color w:val="0000FF"/>
            <w:spacing w:val="-3"/>
            <w:u w:val="single"/>
          </w:rPr>
          <w:t>http://www.humanharvestmovie.com/</w:t>
        </w:r>
      </w:hyperlink>
    </w:p>
  </w:footnote>
  <w:footnote w:id="16">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7803E6">
        <w:rPr>
          <w:rFonts w:ascii="Tahoma" w:hAnsi="Tahoma" w:cs="Tahoma"/>
          <w:spacing w:val="-3"/>
        </w:rPr>
        <w:t xml:space="preserve"> </w:t>
      </w:r>
      <w:hyperlink r:id="rId8" w:history="1">
        <w:r w:rsidR="007803E6" w:rsidRPr="007803E6">
          <w:rPr>
            <w:rFonts w:ascii="Tahoma" w:hAnsi="Tahoma" w:cs="Tahoma"/>
            <w:color w:val="0000FF"/>
            <w:spacing w:val="-3"/>
            <w:u w:val="single"/>
          </w:rPr>
          <w:t>http://hardtobelievemovie.com/</w:t>
        </w:r>
      </w:hyperlink>
    </w:p>
  </w:footnote>
  <w:footnote w:id="17">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w:t>
      </w:r>
      <w:hyperlink r:id="rId9" w:history="1">
        <w:r w:rsidR="007803E6" w:rsidRPr="001F7F33">
          <w:rPr>
            <w:rStyle w:val="Hyperlink"/>
            <w:rFonts w:ascii="Tahoma" w:hAnsi="Tahoma" w:cs="Tahoma"/>
            <w:spacing w:val="-3"/>
          </w:rPr>
          <w:t>http://big5.ce.cn/gate/big5/wap.ce.cn/szsh/201503/04/t20150304_4719641.html</w:t>
        </w:r>
      </w:hyperlink>
      <w:r w:rsidR="007803E6">
        <w:rPr>
          <w:rFonts w:ascii="Tahoma" w:hAnsi="Tahoma" w:cs="Tahoma"/>
          <w:spacing w:val="-3"/>
        </w:rPr>
        <w:t xml:space="preserve"> </w:t>
      </w:r>
    </w:p>
  </w:footnote>
  <w:footnote w:id="18">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Olivia Geng and Fanfan Wang, Reuters, "China Sheds Light on Organ Donor Program" Wall Street Journal, March 12, 2015; Jiefu  Huang and others "Voluntary Organ Donation System Adapted to Chinese Cultural Values and Social Reality" Liver Transpl 21:419</w:t>
      </w:r>
      <w:r w:rsidRPr="007803E6">
        <w:rPr>
          <w:rFonts w:ascii="Tahoma" w:hAnsi="Tahoma" w:cs="Tahoma"/>
          <w:spacing w:val="-3"/>
        </w:rPr>
        <w:noBreakHyphen/>
        <w:t>422, 2015</w:t>
      </w:r>
    </w:p>
  </w:footnote>
  <w:footnote w:id="19">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007803E6">
        <w:rPr>
          <w:rFonts w:ascii="Tahoma" w:hAnsi="Tahoma" w:cs="Tahoma"/>
          <w:spacing w:val="-3"/>
        </w:rPr>
        <w:t xml:space="preserve"> </w:t>
      </w:r>
      <w:hyperlink r:id="rId10" w:history="1">
        <w:r w:rsidR="007803E6" w:rsidRPr="001F7F33">
          <w:rPr>
            <w:rStyle w:val="Hyperlink"/>
            <w:rFonts w:ascii="Tahoma" w:hAnsi="Tahoma" w:cs="Tahoma"/>
            <w:spacing w:val="-3"/>
          </w:rPr>
          <w:t>https://docs.google.com/document/d/12a6Z9gRSUnXOweJ7D1Kix1HOjhcP0TKAd7UJ9OI7qNw/edit?pli=1</w:t>
        </w:r>
      </w:hyperlink>
      <w:r w:rsidR="007803E6">
        <w:rPr>
          <w:rFonts w:ascii="Tahoma" w:hAnsi="Tahoma" w:cs="Tahoma"/>
          <w:spacing w:val="-3"/>
        </w:rPr>
        <w:t xml:space="preserve"> </w:t>
      </w:r>
    </w:p>
  </w:footnote>
  <w:footnote w:id="20">
    <w:p w:rsidR="002D2C10" w:rsidRPr="007803E6" w:rsidRDefault="002D2C10">
      <w:pPr>
        <w:pStyle w:val="FootnoteText"/>
        <w:tabs>
          <w:tab w:val="left" w:pos="-720"/>
        </w:tabs>
        <w:suppressAutoHyphens/>
        <w:spacing w:line="240" w:lineRule="atLeast"/>
        <w:jc w:val="both"/>
        <w:rPr>
          <w:rFonts w:ascii="Tahoma" w:hAnsi="Tahoma" w:cs="Tahoma"/>
          <w:spacing w:val="-3"/>
        </w:rPr>
      </w:pPr>
    </w:p>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NetEase "Huang Jiefu: The use of organs of death row prisoners is an embarrassing page in history" March 3, 2015.</w:t>
      </w:r>
    </w:p>
  </w:footnote>
  <w:footnote w:id="21">
    <w:p w:rsidR="002D2C10" w:rsidRPr="007803E6" w:rsidRDefault="002D2C10">
      <w:pPr>
        <w:pStyle w:val="FootnoteText"/>
        <w:tabs>
          <w:tab w:val="left" w:pos="-720"/>
        </w:tabs>
        <w:suppressAutoHyphens/>
        <w:spacing w:after="240" w:line="240" w:lineRule="atLeast"/>
        <w:jc w:val="both"/>
        <w:rPr>
          <w:rFonts w:ascii="Tahoma" w:hAnsi="Tahoma" w:cs="Tahoma"/>
          <w:spacing w:val="-3"/>
        </w:rPr>
      </w:pPr>
      <w:r w:rsidRPr="007803E6">
        <w:rPr>
          <w:rStyle w:val="FootnoteReference"/>
          <w:rFonts w:ascii="Tahoma" w:hAnsi="Tahoma" w:cs="Tahoma"/>
          <w:spacing w:val="-3"/>
          <w:vertAlign w:val="baseline"/>
        </w:rPr>
        <w:t>    </w:t>
      </w:r>
      <w:r w:rsidRPr="007803E6">
        <w:rPr>
          <w:rStyle w:val="FootnoteReference"/>
          <w:rFonts w:ascii="Tahoma" w:hAnsi="Tahoma" w:cs="Tahoma"/>
          <w:spacing w:val="-3"/>
        </w:rPr>
        <w:footnoteRef/>
      </w:r>
      <w:r w:rsidRPr="007803E6">
        <w:rPr>
          <w:rFonts w:ascii="Tahoma" w:hAnsi="Tahoma" w:cs="Tahoma"/>
          <w:spacing w:val="-3"/>
        </w:rPr>
        <w:t xml:space="preserve"> </w:t>
      </w:r>
      <w:hyperlink r:id="rId11" w:history="1">
        <w:r w:rsidR="007803E6" w:rsidRPr="001F7F33">
          <w:rPr>
            <w:rStyle w:val="Hyperlink"/>
            <w:rFonts w:ascii="Tahoma" w:hAnsi="Tahoma" w:cs="Tahoma"/>
            <w:spacing w:val="-3"/>
          </w:rPr>
          <w:t>http://www.who.int/transplantation/Guiding_PrinciplesTransplantation_WHA63.22en.pdf</w:t>
        </w:r>
      </w:hyperlink>
      <w:r w:rsidR="007803E6">
        <w:rPr>
          <w:rFonts w:ascii="Tahoma" w:hAnsi="Tahoma" w:cs="Tahoma"/>
          <w:spacing w:val="-3"/>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0430017"/>
      <w:docPartObj>
        <w:docPartGallery w:val="Page Numbers (Top of Page)"/>
        <w:docPartUnique/>
      </w:docPartObj>
    </w:sdtPr>
    <w:sdtEndPr>
      <w:rPr>
        <w:noProof/>
      </w:rPr>
    </w:sdtEndPr>
    <w:sdtContent>
      <w:p w:rsidR="00965B54" w:rsidRDefault="00965B54">
        <w:pPr>
          <w:pStyle w:val="Header"/>
          <w:jc w:val="center"/>
        </w:pPr>
        <w:r>
          <w:fldChar w:fldCharType="begin"/>
        </w:r>
        <w:r>
          <w:instrText xml:space="preserve"> PAGE   \* MERGEFORMAT </w:instrText>
        </w:r>
        <w:r>
          <w:fldChar w:fldCharType="separate"/>
        </w:r>
        <w:r w:rsidR="00F03F2D">
          <w:rPr>
            <w:noProof/>
          </w:rPr>
          <w:t>3</w:t>
        </w:r>
        <w:r>
          <w:rPr>
            <w:noProof/>
          </w:rPr>
          <w:fldChar w:fldCharType="end"/>
        </w:r>
      </w:p>
    </w:sdtContent>
  </w:sdt>
  <w:p w:rsidR="00965B54" w:rsidRDefault="00965B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000000C8"/>
    <w:multiLevelType w:val="multilevel"/>
    <w:tmpl w:val="000000C8"/>
    <w:name w:val="WP List 1"/>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2">
    <w:nsid w:val="0000012C"/>
    <w:multiLevelType w:val="multilevel"/>
    <w:tmpl w:val="0000012C"/>
    <w:name w:val="WP List 2"/>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3">
    <w:nsid w:val="00000190"/>
    <w:multiLevelType w:val="multilevel"/>
    <w:tmpl w:val="00000190"/>
    <w:name w:val="WP List 3"/>
    <w:lvl w:ilvl="0">
      <w:start w:val="1"/>
      <w:numFmt w:val="decimal"/>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5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C10"/>
    <w:rsid w:val="00185DCE"/>
    <w:rsid w:val="002D2C10"/>
    <w:rsid w:val="004211F8"/>
    <w:rsid w:val="005F2D76"/>
    <w:rsid w:val="00671ACA"/>
    <w:rsid w:val="007038F1"/>
    <w:rsid w:val="007803E6"/>
    <w:rsid w:val="008E1E3B"/>
    <w:rsid w:val="00904E91"/>
    <w:rsid w:val="00965B54"/>
    <w:rsid w:val="00987956"/>
    <w:rsid w:val="00A05590"/>
    <w:rsid w:val="00B44013"/>
    <w:rsid w:val="00C66655"/>
    <w:rsid w:val="00CC6FA4"/>
    <w:rsid w:val="00D31608"/>
    <w:rsid w:val="00F03F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Normal Indent" w:unhideWhenUsed="1"/>
    <w:lsdException w:name="annotation text" w:unhideWhenUsed="1"/>
    <w:lsdException w:name="header" w:unhideWhenUsed="1"/>
    <w:lsdException w:name="footer"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page number" w:unhideWhenUsed="1"/>
    <w:lsdException w:name="table of authorities" w:unhideWhenUsed="1"/>
    <w:lsdException w:name="macro"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autoSpaceDE w:val="0"/>
      <w:autoSpaceDN w:val="0"/>
      <w:adjustRightInd w:val="0"/>
      <w:spacing w:after="0" w:line="240" w:lineRule="auto"/>
    </w:pPr>
    <w:rPr>
      <w:rFonts w:ascii="Courier New" w:hAnsi="Courier New" w:cs="Courier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tyle>
  <w:style w:type="character" w:customStyle="1" w:styleId="EndnoteTextChar">
    <w:name w:val="Endnote Text Char"/>
    <w:basedOn w:val="DefaultParagraphFont"/>
    <w:link w:val="EndnoteText"/>
    <w:uiPriority w:val="99"/>
    <w:semiHidden/>
    <w:rsid w:val="002D2C10"/>
    <w:rPr>
      <w:rFonts w:ascii="Courier New" w:hAnsi="Courier New" w:cs="Courier New"/>
      <w:sz w:val="20"/>
      <w:szCs w:val="20"/>
    </w:rPr>
  </w:style>
  <w:style w:type="character" w:styleId="EndnoteReference">
    <w:name w:val="endnote reference"/>
    <w:basedOn w:val="DefaultParagraphFont"/>
    <w:uiPriority w:val="99"/>
    <w:rPr>
      <w:vertAlign w:val="superscript"/>
    </w:rPr>
  </w:style>
  <w:style w:type="paragraph" w:styleId="FootnoteText">
    <w:name w:val="footnote text"/>
    <w:basedOn w:val="Normal"/>
    <w:link w:val="FootnoteTextChar"/>
    <w:uiPriority w:val="99"/>
  </w:style>
  <w:style w:type="character" w:customStyle="1" w:styleId="FootnoteTextChar">
    <w:name w:val="Footnote Text Char"/>
    <w:basedOn w:val="DefaultParagraphFont"/>
    <w:link w:val="FootnoteText"/>
    <w:uiPriority w:val="99"/>
    <w:semiHidden/>
    <w:rsid w:val="002D2C10"/>
    <w:rPr>
      <w:rFonts w:ascii="Courier New" w:hAnsi="Courier New" w:cs="Courier New"/>
      <w:sz w:val="20"/>
      <w:szCs w:val="20"/>
    </w:rPr>
  </w:style>
  <w:style w:type="character" w:styleId="FootnoteReference">
    <w:name w:val="footnote reference"/>
    <w:basedOn w:val="DefaultParagraphFont"/>
    <w:uiPriority w:val="99"/>
    <w:rPr>
      <w:vertAlign w:val="superscript"/>
    </w:rPr>
  </w:style>
  <w:style w:type="paragraph" w:styleId="TOC1">
    <w:name w:val="toc 1"/>
    <w:basedOn w:val="Normal"/>
    <w:next w:val="Normal"/>
    <w:uiPriority w:val="99"/>
    <w:pPr>
      <w:tabs>
        <w:tab w:val="right" w:leader="dot" w:pos="9360"/>
      </w:tabs>
      <w:suppressAutoHyphens/>
      <w:spacing w:before="480" w:line="240" w:lineRule="atLeast"/>
      <w:ind w:left="720" w:right="720" w:hanging="720"/>
    </w:pPr>
  </w:style>
  <w:style w:type="paragraph" w:styleId="TOC2">
    <w:name w:val="toc 2"/>
    <w:basedOn w:val="Normal"/>
    <w:next w:val="Normal"/>
    <w:uiPriority w:val="99"/>
    <w:pPr>
      <w:tabs>
        <w:tab w:val="right" w:leader="dot" w:pos="9360"/>
      </w:tabs>
      <w:suppressAutoHyphens/>
      <w:spacing w:line="240" w:lineRule="atLeast"/>
      <w:ind w:left="720" w:right="720"/>
    </w:pPr>
  </w:style>
  <w:style w:type="paragraph" w:styleId="TOC3">
    <w:name w:val="toc 3"/>
    <w:basedOn w:val="Normal"/>
    <w:next w:val="Normal"/>
    <w:uiPriority w:val="99"/>
    <w:pPr>
      <w:tabs>
        <w:tab w:val="right" w:leader="dot" w:pos="9360"/>
      </w:tabs>
      <w:suppressAutoHyphens/>
      <w:spacing w:line="240" w:lineRule="atLeast"/>
      <w:ind w:left="720" w:right="720"/>
    </w:pPr>
  </w:style>
  <w:style w:type="paragraph" w:styleId="TOC4">
    <w:name w:val="toc 4"/>
    <w:basedOn w:val="Normal"/>
    <w:next w:val="Normal"/>
    <w:uiPriority w:val="99"/>
    <w:pPr>
      <w:tabs>
        <w:tab w:val="right" w:leader="dot" w:pos="9360"/>
      </w:tabs>
      <w:suppressAutoHyphens/>
      <w:spacing w:line="240" w:lineRule="atLeast"/>
      <w:ind w:left="720" w:right="720"/>
    </w:pPr>
  </w:style>
  <w:style w:type="paragraph" w:styleId="TOC5">
    <w:name w:val="toc 5"/>
    <w:basedOn w:val="Normal"/>
    <w:next w:val="Normal"/>
    <w:uiPriority w:val="99"/>
    <w:pPr>
      <w:tabs>
        <w:tab w:val="right" w:leader="dot" w:pos="9360"/>
      </w:tabs>
      <w:suppressAutoHyphens/>
      <w:spacing w:line="240" w:lineRule="atLeast"/>
      <w:ind w:left="720" w:right="720"/>
    </w:pPr>
  </w:style>
  <w:style w:type="paragraph" w:styleId="TOC6">
    <w:name w:val="toc 6"/>
    <w:basedOn w:val="Normal"/>
    <w:next w:val="Normal"/>
    <w:uiPriority w:val="99"/>
    <w:pPr>
      <w:tabs>
        <w:tab w:val="right" w:pos="9360"/>
      </w:tabs>
      <w:suppressAutoHyphens/>
      <w:spacing w:line="240" w:lineRule="atLeast"/>
      <w:ind w:left="720" w:hanging="720"/>
    </w:pPr>
  </w:style>
  <w:style w:type="paragraph" w:styleId="TOC7">
    <w:name w:val="toc 7"/>
    <w:basedOn w:val="Normal"/>
    <w:next w:val="Normal"/>
    <w:uiPriority w:val="99"/>
    <w:pPr>
      <w:suppressAutoHyphens/>
      <w:spacing w:line="240" w:lineRule="atLeast"/>
      <w:ind w:left="720" w:hanging="720"/>
    </w:pPr>
  </w:style>
  <w:style w:type="paragraph" w:styleId="TOC8">
    <w:name w:val="toc 8"/>
    <w:basedOn w:val="Normal"/>
    <w:next w:val="Normal"/>
    <w:uiPriority w:val="99"/>
    <w:pPr>
      <w:tabs>
        <w:tab w:val="right" w:pos="9360"/>
      </w:tabs>
      <w:suppressAutoHyphens/>
      <w:spacing w:line="240" w:lineRule="atLeast"/>
      <w:ind w:left="720" w:hanging="720"/>
    </w:pPr>
  </w:style>
  <w:style w:type="paragraph" w:styleId="TOC9">
    <w:name w:val="toc 9"/>
    <w:basedOn w:val="Normal"/>
    <w:next w:val="Normal"/>
    <w:uiPriority w:val="99"/>
    <w:pPr>
      <w:tabs>
        <w:tab w:val="right" w:leader="dot" w:pos="9360"/>
      </w:tabs>
      <w:suppressAutoHyphens/>
      <w:spacing w:line="240" w:lineRule="atLeast"/>
      <w:ind w:left="720" w:hanging="720"/>
    </w:pPr>
  </w:style>
  <w:style w:type="paragraph" w:styleId="Index1">
    <w:name w:val="index 1"/>
    <w:basedOn w:val="Normal"/>
    <w:next w:val="Normal"/>
    <w:uiPriority w:val="99"/>
    <w:pPr>
      <w:tabs>
        <w:tab w:val="right" w:leader="dot" w:pos="9360"/>
      </w:tabs>
      <w:suppressAutoHyphens/>
      <w:spacing w:line="240" w:lineRule="atLeast"/>
      <w:ind w:left="720" w:hanging="720"/>
    </w:pPr>
  </w:style>
  <w:style w:type="paragraph" w:styleId="Index2">
    <w:name w:val="index 2"/>
    <w:basedOn w:val="Normal"/>
    <w:next w:val="Normal"/>
    <w:uiPriority w:val="99"/>
    <w:pPr>
      <w:tabs>
        <w:tab w:val="right" w:leader="dot" w:pos="9360"/>
      </w:tabs>
      <w:suppressAutoHyphens/>
      <w:spacing w:line="240" w:lineRule="atLeast"/>
      <w:ind w:left="720"/>
    </w:pPr>
  </w:style>
  <w:style w:type="paragraph" w:styleId="TOAHeading">
    <w:name w:val="toa heading"/>
    <w:basedOn w:val="Normal"/>
    <w:next w:val="Normal"/>
    <w:uiPriority w:val="99"/>
    <w:pPr>
      <w:tabs>
        <w:tab w:val="right" w:pos="9360"/>
      </w:tabs>
      <w:suppressAutoHyphens/>
      <w:spacing w:line="240" w:lineRule="atLeast"/>
    </w:pPr>
  </w:style>
  <w:style w:type="paragraph" w:styleId="Caption">
    <w:name w:val="caption"/>
    <w:basedOn w:val="Normal"/>
    <w:next w:val="Normal"/>
    <w:uiPriority w:val="99"/>
    <w:qFormat/>
  </w:style>
  <w:style w:type="character" w:customStyle="1" w:styleId="EquationCaption">
    <w:name w:val="_Equation Caption"/>
    <w:uiPriority w:val="99"/>
  </w:style>
  <w:style w:type="character" w:styleId="Hyperlink">
    <w:name w:val="Hyperlink"/>
    <w:uiPriority w:val="99"/>
    <w:unhideWhenUsed/>
    <w:rsid w:val="007803E6"/>
    <w:rPr>
      <w:color w:val="0000FF"/>
      <w:u w:val="single"/>
    </w:rPr>
  </w:style>
  <w:style w:type="paragraph" w:styleId="Header">
    <w:name w:val="header"/>
    <w:basedOn w:val="Normal"/>
    <w:link w:val="HeaderChar"/>
    <w:uiPriority w:val="99"/>
    <w:unhideWhenUsed/>
    <w:rsid w:val="00965B54"/>
    <w:pPr>
      <w:tabs>
        <w:tab w:val="center" w:pos="4680"/>
        <w:tab w:val="right" w:pos="9360"/>
      </w:tabs>
    </w:pPr>
  </w:style>
  <w:style w:type="character" w:customStyle="1" w:styleId="HeaderChar">
    <w:name w:val="Header Char"/>
    <w:basedOn w:val="DefaultParagraphFont"/>
    <w:link w:val="Header"/>
    <w:uiPriority w:val="99"/>
    <w:rsid w:val="00965B54"/>
    <w:rPr>
      <w:rFonts w:ascii="Courier New" w:hAnsi="Courier New" w:cs="Courier New"/>
      <w:sz w:val="24"/>
      <w:szCs w:val="24"/>
    </w:rPr>
  </w:style>
  <w:style w:type="paragraph" w:styleId="Footer">
    <w:name w:val="footer"/>
    <w:basedOn w:val="Normal"/>
    <w:link w:val="FooterChar"/>
    <w:uiPriority w:val="99"/>
    <w:unhideWhenUsed/>
    <w:rsid w:val="00965B54"/>
    <w:pPr>
      <w:tabs>
        <w:tab w:val="center" w:pos="4680"/>
        <w:tab w:val="right" w:pos="9360"/>
      </w:tabs>
    </w:pPr>
  </w:style>
  <w:style w:type="character" w:customStyle="1" w:styleId="FooterChar">
    <w:name w:val="Footer Char"/>
    <w:basedOn w:val="DefaultParagraphFont"/>
    <w:link w:val="Footer"/>
    <w:uiPriority w:val="99"/>
    <w:rsid w:val="00965B54"/>
    <w:rPr>
      <w:rFonts w:ascii="Courier New" w:hAnsi="Courier New" w:cs="Courier New"/>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Normal Indent" w:unhideWhenUsed="1"/>
    <w:lsdException w:name="annotation text" w:unhideWhenUsed="1"/>
    <w:lsdException w:name="header" w:unhideWhenUsed="1"/>
    <w:lsdException w:name="footer" w:unhideWhenUsed="1"/>
    <w:lsdException w:name="index heading" w:unhideWhenUsed="1"/>
    <w:lsdException w:name="caption" w:semiHidden="0"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page number" w:unhideWhenUsed="1"/>
    <w:lsdException w:name="table of authorities" w:unhideWhenUsed="1"/>
    <w:lsdException w:name="macro"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widowControl w:val="0"/>
      <w:autoSpaceDE w:val="0"/>
      <w:autoSpaceDN w:val="0"/>
      <w:adjustRightInd w:val="0"/>
      <w:spacing w:after="0" w:line="240" w:lineRule="auto"/>
    </w:pPr>
    <w:rPr>
      <w:rFonts w:ascii="Courier New" w:hAnsi="Courier New" w:cs="Courier New"/>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tyle>
  <w:style w:type="character" w:customStyle="1" w:styleId="EndnoteTextChar">
    <w:name w:val="Endnote Text Char"/>
    <w:basedOn w:val="DefaultParagraphFont"/>
    <w:link w:val="EndnoteText"/>
    <w:uiPriority w:val="99"/>
    <w:semiHidden/>
    <w:rsid w:val="002D2C10"/>
    <w:rPr>
      <w:rFonts w:ascii="Courier New" w:hAnsi="Courier New" w:cs="Courier New"/>
      <w:sz w:val="20"/>
      <w:szCs w:val="20"/>
    </w:rPr>
  </w:style>
  <w:style w:type="character" w:styleId="EndnoteReference">
    <w:name w:val="endnote reference"/>
    <w:basedOn w:val="DefaultParagraphFont"/>
    <w:uiPriority w:val="99"/>
    <w:rPr>
      <w:vertAlign w:val="superscript"/>
    </w:rPr>
  </w:style>
  <w:style w:type="paragraph" w:styleId="FootnoteText">
    <w:name w:val="footnote text"/>
    <w:basedOn w:val="Normal"/>
    <w:link w:val="FootnoteTextChar"/>
    <w:uiPriority w:val="99"/>
  </w:style>
  <w:style w:type="character" w:customStyle="1" w:styleId="FootnoteTextChar">
    <w:name w:val="Footnote Text Char"/>
    <w:basedOn w:val="DefaultParagraphFont"/>
    <w:link w:val="FootnoteText"/>
    <w:uiPriority w:val="99"/>
    <w:semiHidden/>
    <w:rsid w:val="002D2C10"/>
    <w:rPr>
      <w:rFonts w:ascii="Courier New" w:hAnsi="Courier New" w:cs="Courier New"/>
      <w:sz w:val="20"/>
      <w:szCs w:val="20"/>
    </w:rPr>
  </w:style>
  <w:style w:type="character" w:styleId="FootnoteReference">
    <w:name w:val="footnote reference"/>
    <w:basedOn w:val="DefaultParagraphFont"/>
    <w:uiPriority w:val="99"/>
    <w:rPr>
      <w:vertAlign w:val="superscript"/>
    </w:rPr>
  </w:style>
  <w:style w:type="paragraph" w:styleId="TOC1">
    <w:name w:val="toc 1"/>
    <w:basedOn w:val="Normal"/>
    <w:next w:val="Normal"/>
    <w:uiPriority w:val="99"/>
    <w:pPr>
      <w:tabs>
        <w:tab w:val="right" w:leader="dot" w:pos="9360"/>
      </w:tabs>
      <w:suppressAutoHyphens/>
      <w:spacing w:before="480" w:line="240" w:lineRule="atLeast"/>
      <w:ind w:left="720" w:right="720" w:hanging="720"/>
    </w:pPr>
  </w:style>
  <w:style w:type="paragraph" w:styleId="TOC2">
    <w:name w:val="toc 2"/>
    <w:basedOn w:val="Normal"/>
    <w:next w:val="Normal"/>
    <w:uiPriority w:val="99"/>
    <w:pPr>
      <w:tabs>
        <w:tab w:val="right" w:leader="dot" w:pos="9360"/>
      </w:tabs>
      <w:suppressAutoHyphens/>
      <w:spacing w:line="240" w:lineRule="atLeast"/>
      <w:ind w:left="720" w:right="720"/>
    </w:pPr>
  </w:style>
  <w:style w:type="paragraph" w:styleId="TOC3">
    <w:name w:val="toc 3"/>
    <w:basedOn w:val="Normal"/>
    <w:next w:val="Normal"/>
    <w:uiPriority w:val="99"/>
    <w:pPr>
      <w:tabs>
        <w:tab w:val="right" w:leader="dot" w:pos="9360"/>
      </w:tabs>
      <w:suppressAutoHyphens/>
      <w:spacing w:line="240" w:lineRule="atLeast"/>
      <w:ind w:left="720" w:right="720"/>
    </w:pPr>
  </w:style>
  <w:style w:type="paragraph" w:styleId="TOC4">
    <w:name w:val="toc 4"/>
    <w:basedOn w:val="Normal"/>
    <w:next w:val="Normal"/>
    <w:uiPriority w:val="99"/>
    <w:pPr>
      <w:tabs>
        <w:tab w:val="right" w:leader="dot" w:pos="9360"/>
      </w:tabs>
      <w:suppressAutoHyphens/>
      <w:spacing w:line="240" w:lineRule="atLeast"/>
      <w:ind w:left="720" w:right="720"/>
    </w:pPr>
  </w:style>
  <w:style w:type="paragraph" w:styleId="TOC5">
    <w:name w:val="toc 5"/>
    <w:basedOn w:val="Normal"/>
    <w:next w:val="Normal"/>
    <w:uiPriority w:val="99"/>
    <w:pPr>
      <w:tabs>
        <w:tab w:val="right" w:leader="dot" w:pos="9360"/>
      </w:tabs>
      <w:suppressAutoHyphens/>
      <w:spacing w:line="240" w:lineRule="atLeast"/>
      <w:ind w:left="720" w:right="720"/>
    </w:pPr>
  </w:style>
  <w:style w:type="paragraph" w:styleId="TOC6">
    <w:name w:val="toc 6"/>
    <w:basedOn w:val="Normal"/>
    <w:next w:val="Normal"/>
    <w:uiPriority w:val="99"/>
    <w:pPr>
      <w:tabs>
        <w:tab w:val="right" w:pos="9360"/>
      </w:tabs>
      <w:suppressAutoHyphens/>
      <w:spacing w:line="240" w:lineRule="atLeast"/>
      <w:ind w:left="720" w:hanging="720"/>
    </w:pPr>
  </w:style>
  <w:style w:type="paragraph" w:styleId="TOC7">
    <w:name w:val="toc 7"/>
    <w:basedOn w:val="Normal"/>
    <w:next w:val="Normal"/>
    <w:uiPriority w:val="99"/>
    <w:pPr>
      <w:suppressAutoHyphens/>
      <w:spacing w:line="240" w:lineRule="atLeast"/>
      <w:ind w:left="720" w:hanging="720"/>
    </w:pPr>
  </w:style>
  <w:style w:type="paragraph" w:styleId="TOC8">
    <w:name w:val="toc 8"/>
    <w:basedOn w:val="Normal"/>
    <w:next w:val="Normal"/>
    <w:uiPriority w:val="99"/>
    <w:pPr>
      <w:tabs>
        <w:tab w:val="right" w:pos="9360"/>
      </w:tabs>
      <w:suppressAutoHyphens/>
      <w:spacing w:line="240" w:lineRule="atLeast"/>
      <w:ind w:left="720" w:hanging="720"/>
    </w:pPr>
  </w:style>
  <w:style w:type="paragraph" w:styleId="TOC9">
    <w:name w:val="toc 9"/>
    <w:basedOn w:val="Normal"/>
    <w:next w:val="Normal"/>
    <w:uiPriority w:val="99"/>
    <w:pPr>
      <w:tabs>
        <w:tab w:val="right" w:leader="dot" w:pos="9360"/>
      </w:tabs>
      <w:suppressAutoHyphens/>
      <w:spacing w:line="240" w:lineRule="atLeast"/>
      <w:ind w:left="720" w:hanging="720"/>
    </w:pPr>
  </w:style>
  <w:style w:type="paragraph" w:styleId="Index1">
    <w:name w:val="index 1"/>
    <w:basedOn w:val="Normal"/>
    <w:next w:val="Normal"/>
    <w:uiPriority w:val="99"/>
    <w:pPr>
      <w:tabs>
        <w:tab w:val="right" w:leader="dot" w:pos="9360"/>
      </w:tabs>
      <w:suppressAutoHyphens/>
      <w:spacing w:line="240" w:lineRule="atLeast"/>
      <w:ind w:left="720" w:hanging="720"/>
    </w:pPr>
  </w:style>
  <w:style w:type="paragraph" w:styleId="Index2">
    <w:name w:val="index 2"/>
    <w:basedOn w:val="Normal"/>
    <w:next w:val="Normal"/>
    <w:uiPriority w:val="99"/>
    <w:pPr>
      <w:tabs>
        <w:tab w:val="right" w:leader="dot" w:pos="9360"/>
      </w:tabs>
      <w:suppressAutoHyphens/>
      <w:spacing w:line="240" w:lineRule="atLeast"/>
      <w:ind w:left="720"/>
    </w:pPr>
  </w:style>
  <w:style w:type="paragraph" w:styleId="TOAHeading">
    <w:name w:val="toa heading"/>
    <w:basedOn w:val="Normal"/>
    <w:next w:val="Normal"/>
    <w:uiPriority w:val="99"/>
    <w:pPr>
      <w:tabs>
        <w:tab w:val="right" w:pos="9360"/>
      </w:tabs>
      <w:suppressAutoHyphens/>
      <w:spacing w:line="240" w:lineRule="atLeast"/>
    </w:pPr>
  </w:style>
  <w:style w:type="paragraph" w:styleId="Caption">
    <w:name w:val="caption"/>
    <w:basedOn w:val="Normal"/>
    <w:next w:val="Normal"/>
    <w:uiPriority w:val="99"/>
    <w:qFormat/>
  </w:style>
  <w:style w:type="character" w:customStyle="1" w:styleId="EquationCaption">
    <w:name w:val="_Equation Caption"/>
    <w:uiPriority w:val="99"/>
  </w:style>
  <w:style w:type="character" w:styleId="Hyperlink">
    <w:name w:val="Hyperlink"/>
    <w:uiPriority w:val="99"/>
    <w:unhideWhenUsed/>
    <w:rsid w:val="007803E6"/>
    <w:rPr>
      <w:color w:val="0000FF"/>
      <w:u w:val="single"/>
    </w:rPr>
  </w:style>
  <w:style w:type="paragraph" w:styleId="Header">
    <w:name w:val="header"/>
    <w:basedOn w:val="Normal"/>
    <w:link w:val="HeaderChar"/>
    <w:uiPriority w:val="99"/>
    <w:unhideWhenUsed/>
    <w:rsid w:val="00965B54"/>
    <w:pPr>
      <w:tabs>
        <w:tab w:val="center" w:pos="4680"/>
        <w:tab w:val="right" w:pos="9360"/>
      </w:tabs>
    </w:pPr>
  </w:style>
  <w:style w:type="character" w:customStyle="1" w:styleId="HeaderChar">
    <w:name w:val="Header Char"/>
    <w:basedOn w:val="DefaultParagraphFont"/>
    <w:link w:val="Header"/>
    <w:uiPriority w:val="99"/>
    <w:rsid w:val="00965B54"/>
    <w:rPr>
      <w:rFonts w:ascii="Courier New" w:hAnsi="Courier New" w:cs="Courier New"/>
      <w:sz w:val="24"/>
      <w:szCs w:val="24"/>
    </w:rPr>
  </w:style>
  <w:style w:type="paragraph" w:styleId="Footer">
    <w:name w:val="footer"/>
    <w:basedOn w:val="Normal"/>
    <w:link w:val="FooterChar"/>
    <w:uiPriority w:val="99"/>
    <w:unhideWhenUsed/>
    <w:rsid w:val="00965B54"/>
    <w:pPr>
      <w:tabs>
        <w:tab w:val="center" w:pos="4680"/>
        <w:tab w:val="right" w:pos="9360"/>
      </w:tabs>
    </w:pPr>
  </w:style>
  <w:style w:type="character" w:customStyle="1" w:styleId="FooterChar">
    <w:name w:val="Footer Char"/>
    <w:basedOn w:val="DefaultParagraphFont"/>
    <w:link w:val="Footer"/>
    <w:uiPriority w:val="99"/>
    <w:rsid w:val="00965B54"/>
    <w:rPr>
      <w:rFonts w:ascii="Courier New"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hardtobelievemovie.com/" TargetMode="External"/><Relationship Id="rId3" Type="http://schemas.openxmlformats.org/officeDocument/2006/relationships/hyperlink" Target="http://organharvestinvestigation.net/events/YALE0407.pdf" TargetMode="External"/><Relationship Id="rId7" Type="http://schemas.openxmlformats.org/officeDocument/2006/relationships/hyperlink" Target="http://www.humanharvestmovie.com/" TargetMode="External"/><Relationship Id="rId2" Type="http://schemas.openxmlformats.org/officeDocument/2006/relationships/hyperlink" Target="http://organharvestinvestigation.net/" TargetMode="External"/><Relationship Id="rId1" Type="http://schemas.openxmlformats.org/officeDocument/2006/relationships/hyperlink" Target="http://organharvestinvestigation.net/report20060706.htm" TargetMode="External"/><Relationship Id="rId6" Type="http://schemas.openxmlformats.org/officeDocument/2006/relationships/hyperlink" Target="http://redreignfilm.com/" TargetMode="External"/><Relationship Id="rId11" Type="http://schemas.openxmlformats.org/officeDocument/2006/relationships/hyperlink" Target="http://www.who.int/transplantation/Guiding_PrinciplesTransplantation_WHA63.22en.pdf" TargetMode="External"/><Relationship Id="rId5" Type="http://schemas.openxmlformats.org/officeDocument/2006/relationships/hyperlink" Target="http://www.upholdjustice.org/" TargetMode="External"/><Relationship Id="rId10" Type="http://schemas.openxmlformats.org/officeDocument/2006/relationships/hyperlink" Target="https://docs.google.com/document/d/12a6Z9gRSUnXOweJ7D1Kix1HOjhcP0TKAd7UJ9OI7qNw/edit?pli=1" TargetMode="External"/><Relationship Id="rId4" Type="http://schemas.openxmlformats.org/officeDocument/2006/relationships/hyperlink" Target="http://commdocs.house.gov/committees/intlrel/hfa30146.000/hfa30146_0f.htm" TargetMode="External"/><Relationship Id="rId9" Type="http://schemas.openxmlformats.org/officeDocument/2006/relationships/hyperlink" Target="http://big5.ce.cn/gate/big5/wap.ce.cn/szsh/201503/04/t20150304_471964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6A1BF5-7A38-459F-8455-FBA66F07C18C}"/>
</file>

<file path=customXml/itemProps2.xml><?xml version="1.0" encoding="utf-8"?>
<ds:datastoreItem xmlns:ds="http://schemas.openxmlformats.org/officeDocument/2006/customXml" ds:itemID="{621D82FC-1285-401B-852F-F73D15345DE5}"/>
</file>

<file path=customXml/itemProps3.xml><?xml version="1.0" encoding="utf-8"?>
<ds:datastoreItem xmlns:ds="http://schemas.openxmlformats.org/officeDocument/2006/customXml" ds:itemID="{D4423A75-DAA6-4806-8170-780FEC0BF17D}"/>
</file>

<file path=docProps/app.xml><?xml version="1.0" encoding="utf-8"?>
<Properties xmlns="http://schemas.openxmlformats.org/officeDocument/2006/extended-properties" xmlns:vt="http://schemas.openxmlformats.org/officeDocument/2006/docPropsVTypes">
  <Template>Normal</Template>
  <TotalTime>0</TotalTime>
  <Pages>12</Pages>
  <Words>2639</Words>
  <Characters>14465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Liliana Trillo Diaz</cp:lastModifiedBy>
  <cp:revision>2</cp:revision>
  <dcterms:created xsi:type="dcterms:W3CDTF">2015-10-26T09:03:00Z</dcterms:created>
  <dcterms:modified xsi:type="dcterms:W3CDTF">2015-10-26T09:03:00Z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