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D5C00" w14:textId="439925EB" w:rsidR="00F778C6" w:rsidRDefault="00F778C6" w:rsidP="00064074">
      <w:pPr>
        <w:spacing w:line="360" w:lineRule="auto"/>
        <w:jc w:val="center"/>
        <w:rPr>
          <w:rFonts w:ascii="Times New Roman" w:eastAsia="Times New Roman" w:hAnsi="Times New Roman" w:cs="Times New Roman"/>
          <w:b/>
          <w:bCs/>
          <w:color w:val="000000"/>
          <w:sz w:val="24"/>
          <w:szCs w:val="24"/>
        </w:rPr>
      </w:pPr>
      <w:bookmarkStart w:id="0" w:name="_heading=h.pahzw9o3t7ft" w:colFirst="0" w:colLast="0"/>
      <w:bookmarkEnd w:id="0"/>
      <w:r w:rsidRPr="00F778C6">
        <w:rPr>
          <w:rFonts w:ascii="Times New Roman" w:eastAsia="Times New Roman" w:hAnsi="Times New Roman" w:cs="Times New Roman"/>
          <w:b/>
          <w:bCs/>
          <w:color w:val="000000"/>
          <w:sz w:val="24"/>
          <w:szCs w:val="24"/>
        </w:rPr>
        <w:t xml:space="preserve">ANEXO </w:t>
      </w:r>
      <w:bookmarkStart w:id="1" w:name="_heading=h.rd5esjfj3xbc" w:colFirst="0" w:colLast="0"/>
      <w:bookmarkEnd w:id="1"/>
      <w:r>
        <w:rPr>
          <w:rFonts w:ascii="Times New Roman" w:eastAsia="Times New Roman" w:hAnsi="Times New Roman" w:cs="Times New Roman"/>
          <w:b/>
          <w:bCs/>
          <w:color w:val="000000"/>
          <w:sz w:val="24"/>
          <w:szCs w:val="24"/>
        </w:rPr>
        <w:t>VII</w:t>
      </w:r>
    </w:p>
    <w:p w14:paraId="65508E46" w14:textId="77777777" w:rsidR="00064074" w:rsidRPr="00F778C6" w:rsidRDefault="00064074" w:rsidP="00064074">
      <w:pPr>
        <w:spacing w:line="360" w:lineRule="auto"/>
        <w:jc w:val="center"/>
        <w:rPr>
          <w:rFonts w:ascii="Times New Roman" w:eastAsia="Times New Roman" w:hAnsi="Times New Roman" w:cs="Times New Roman"/>
          <w:b/>
          <w:bCs/>
          <w:color w:val="000000"/>
          <w:sz w:val="24"/>
          <w:szCs w:val="24"/>
        </w:rPr>
      </w:pPr>
    </w:p>
    <w:p w14:paraId="00000007" w14:textId="4B0F9AAA" w:rsidR="002E1340" w:rsidRPr="00F778C6" w:rsidRDefault="00000000" w:rsidP="00064074">
      <w:pPr>
        <w:spacing w:line="360" w:lineRule="auto"/>
        <w:jc w:val="center"/>
        <w:rPr>
          <w:rFonts w:ascii="Times New Roman" w:eastAsia="Times New Roman" w:hAnsi="Times New Roman" w:cs="Times New Roman"/>
          <w:b/>
          <w:bCs/>
          <w:color w:val="000000"/>
          <w:sz w:val="24"/>
          <w:szCs w:val="24"/>
        </w:rPr>
      </w:pPr>
      <w:r w:rsidRPr="00F778C6">
        <w:rPr>
          <w:rFonts w:ascii="Times New Roman" w:hAnsi="Times New Roman" w:cs="Times New Roman"/>
          <w:b/>
          <w:bCs/>
          <w:sz w:val="24"/>
          <w:szCs w:val="24"/>
        </w:rPr>
        <w:t>Sistematización de la búsqueda de los cuerpos de personas desaparecidas por el terrorismo de Estado</w:t>
      </w:r>
    </w:p>
    <w:p w14:paraId="00000008" w14:textId="2178FBB2" w:rsidR="002E1340" w:rsidRDefault="002E1340" w:rsidP="00064074">
      <w:pPr>
        <w:spacing w:line="360" w:lineRule="auto"/>
        <w:jc w:val="both"/>
        <w:rPr>
          <w:rFonts w:ascii="Times New Roman" w:hAnsi="Times New Roman" w:cs="Times New Roman"/>
          <w:sz w:val="24"/>
          <w:szCs w:val="24"/>
        </w:rPr>
      </w:pPr>
    </w:p>
    <w:p w14:paraId="395CABB0" w14:textId="77777777" w:rsidR="00064074" w:rsidRPr="00F778C6" w:rsidRDefault="00064074" w:rsidP="00064074">
      <w:pPr>
        <w:spacing w:line="360" w:lineRule="auto"/>
        <w:jc w:val="both"/>
        <w:rPr>
          <w:rFonts w:ascii="Times New Roman" w:hAnsi="Times New Roman" w:cs="Times New Roman"/>
          <w:sz w:val="24"/>
          <w:szCs w:val="24"/>
        </w:rPr>
      </w:pPr>
    </w:p>
    <w:p w14:paraId="00000009"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Una de las mayores dificultades para garantizar el derecho a la verdad y al duelo de los familiares de las víctimas de desaparición forzada deriva de la disposición clandestina de los cuerpos llevada a cabo por los militares durante el terrorismo de Estado. </w:t>
      </w:r>
    </w:p>
    <w:p w14:paraId="0000000A" w14:textId="77777777" w:rsidR="002E1340" w:rsidRPr="00F778C6" w:rsidRDefault="002E1340" w:rsidP="00064074">
      <w:pPr>
        <w:spacing w:line="360" w:lineRule="auto"/>
        <w:jc w:val="both"/>
        <w:rPr>
          <w:rFonts w:ascii="Times New Roman" w:hAnsi="Times New Roman" w:cs="Times New Roman"/>
          <w:sz w:val="24"/>
          <w:szCs w:val="24"/>
        </w:rPr>
      </w:pPr>
    </w:p>
    <w:p w14:paraId="0000000B"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Desde la recuperación de la democracia se realizan esfuerzos para encontrar los restos, identificarlos y, en caso de ser posible, entregarlos a las familias para que les den sepultura de acuerdo a sus creencias. Las estrategias de investigación y búsqueda combinan acciones de diferentes actores de la sociedad civil y del ámbito estatal. No obstante, la tarea presenta tantas dificultades y obstáculos que los avances son lentos y no es posible completarla en su totalidad. </w:t>
      </w:r>
    </w:p>
    <w:p w14:paraId="0000000C" w14:textId="77777777" w:rsidR="002E1340" w:rsidRPr="00F778C6" w:rsidRDefault="002E1340" w:rsidP="00064074">
      <w:pPr>
        <w:spacing w:line="360" w:lineRule="auto"/>
        <w:jc w:val="both"/>
        <w:rPr>
          <w:rFonts w:ascii="Times New Roman" w:hAnsi="Times New Roman" w:cs="Times New Roman"/>
          <w:sz w:val="24"/>
          <w:szCs w:val="24"/>
        </w:rPr>
      </w:pPr>
    </w:p>
    <w:p w14:paraId="0000000D" w14:textId="5B18CB9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A partir de documentación perteneciente a la Secretaría de Derechos Humanos</w:t>
      </w:r>
      <w:r w:rsidR="00F778C6">
        <w:rPr>
          <w:rFonts w:ascii="Times New Roman" w:hAnsi="Times New Roman" w:cs="Times New Roman"/>
          <w:sz w:val="24"/>
          <w:szCs w:val="24"/>
        </w:rPr>
        <w:t>,</w:t>
      </w:r>
      <w:r w:rsidRPr="00F778C6">
        <w:rPr>
          <w:rFonts w:ascii="Times New Roman" w:hAnsi="Times New Roman" w:cs="Times New Roman"/>
          <w:sz w:val="24"/>
          <w:szCs w:val="24"/>
        </w:rPr>
        <w:t xml:space="preserve"> de información brindada por el Equipo Argentino de Antropología Forense -EAAF-</w:t>
      </w:r>
      <w:r w:rsidRPr="00F778C6">
        <w:rPr>
          <w:rFonts w:ascii="Times New Roman" w:hAnsi="Times New Roman" w:cs="Times New Roman"/>
          <w:sz w:val="24"/>
          <w:szCs w:val="24"/>
          <w:vertAlign w:val="superscript"/>
        </w:rPr>
        <w:footnoteReference w:id="1"/>
      </w:r>
      <w:r w:rsidRPr="00F778C6">
        <w:rPr>
          <w:rFonts w:ascii="Times New Roman" w:hAnsi="Times New Roman" w:cs="Times New Roman"/>
          <w:sz w:val="24"/>
          <w:szCs w:val="24"/>
        </w:rPr>
        <w:t xml:space="preserve"> y tribunales que intervienen en las investigaciones sobre el paradero de los cuerpos de personas desaparecidas</w:t>
      </w:r>
      <w:r w:rsidR="00F778C6">
        <w:rPr>
          <w:rFonts w:ascii="Times New Roman" w:hAnsi="Times New Roman" w:cs="Times New Roman"/>
          <w:sz w:val="24"/>
          <w:szCs w:val="24"/>
        </w:rPr>
        <w:t>,</w:t>
      </w:r>
      <w:r w:rsidRPr="00F778C6">
        <w:rPr>
          <w:rFonts w:ascii="Times New Roman" w:hAnsi="Times New Roman" w:cs="Times New Roman"/>
          <w:sz w:val="24"/>
          <w:szCs w:val="24"/>
        </w:rPr>
        <w:t xml:space="preserve"> se repasan a continuación los distintos caminos de búsqueda recorridos y las estrategias implementadas desde los diferentes sectores </w:t>
      </w:r>
      <w:r w:rsidR="00F778C6" w:rsidRPr="00F778C6">
        <w:rPr>
          <w:rFonts w:ascii="Times New Roman" w:hAnsi="Times New Roman" w:cs="Times New Roman"/>
          <w:sz w:val="24"/>
          <w:szCs w:val="24"/>
        </w:rPr>
        <w:t>involucrados.</w:t>
      </w:r>
      <w:r w:rsidRPr="00F778C6">
        <w:rPr>
          <w:rFonts w:ascii="Times New Roman" w:hAnsi="Times New Roman" w:cs="Times New Roman"/>
          <w:sz w:val="24"/>
          <w:szCs w:val="24"/>
        </w:rPr>
        <w:t xml:space="preserve"> </w:t>
      </w:r>
    </w:p>
    <w:p w14:paraId="0000000E" w14:textId="77777777" w:rsidR="002E1340" w:rsidRPr="00F778C6" w:rsidRDefault="002E1340" w:rsidP="00064074">
      <w:pPr>
        <w:spacing w:line="360" w:lineRule="auto"/>
        <w:jc w:val="both"/>
        <w:rPr>
          <w:rFonts w:ascii="Times New Roman" w:hAnsi="Times New Roman" w:cs="Times New Roman"/>
          <w:sz w:val="24"/>
          <w:szCs w:val="24"/>
        </w:rPr>
      </w:pPr>
    </w:p>
    <w:p w14:paraId="0000000F" w14:textId="77777777" w:rsidR="002E1340" w:rsidRPr="004817B2" w:rsidRDefault="00000000" w:rsidP="00064074">
      <w:pPr>
        <w:pStyle w:val="Ttulo5"/>
        <w:spacing w:before="0" w:after="0" w:line="360" w:lineRule="auto"/>
        <w:jc w:val="both"/>
        <w:rPr>
          <w:rFonts w:ascii="Times New Roman" w:hAnsi="Times New Roman" w:cs="Times New Roman"/>
          <w:b/>
          <w:bCs/>
          <w:color w:val="auto"/>
          <w:sz w:val="24"/>
          <w:szCs w:val="24"/>
        </w:rPr>
      </w:pPr>
      <w:bookmarkStart w:id="2" w:name="_heading=h.w7rhqjctscx7" w:colFirst="0" w:colLast="0"/>
      <w:bookmarkEnd w:id="2"/>
      <w:r w:rsidRPr="004817B2">
        <w:rPr>
          <w:rFonts w:ascii="Times New Roman" w:hAnsi="Times New Roman" w:cs="Times New Roman"/>
          <w:b/>
          <w:bCs/>
          <w:color w:val="auto"/>
          <w:sz w:val="24"/>
          <w:szCs w:val="24"/>
        </w:rPr>
        <w:t>La constatación del ocultamiento de los cuerpos y el comienzo de la búsqueda</w:t>
      </w:r>
    </w:p>
    <w:p w14:paraId="00000010" w14:textId="77777777" w:rsidR="002E1340" w:rsidRPr="00F778C6" w:rsidRDefault="002E1340" w:rsidP="00064074">
      <w:pPr>
        <w:spacing w:line="360" w:lineRule="auto"/>
        <w:jc w:val="both"/>
        <w:rPr>
          <w:rFonts w:ascii="Times New Roman" w:hAnsi="Times New Roman" w:cs="Times New Roman"/>
          <w:sz w:val="24"/>
          <w:szCs w:val="24"/>
        </w:rPr>
      </w:pPr>
    </w:p>
    <w:p w14:paraId="00000011"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Informe Nunca Más hizo referencia al destino de las personas desaparecidas: “La </w:t>
      </w:r>
      <w:proofErr w:type="spellStart"/>
      <w:r w:rsidRPr="00F778C6">
        <w:rPr>
          <w:rFonts w:ascii="Times New Roman" w:hAnsi="Times New Roman" w:cs="Times New Roman"/>
          <w:sz w:val="24"/>
          <w:szCs w:val="24"/>
        </w:rPr>
        <w:t>Conadep</w:t>
      </w:r>
      <w:proofErr w:type="spellEnd"/>
      <w:r w:rsidRPr="00F778C6">
        <w:rPr>
          <w:rFonts w:ascii="Times New Roman" w:hAnsi="Times New Roman" w:cs="Times New Roman"/>
          <w:sz w:val="24"/>
          <w:szCs w:val="24"/>
        </w:rPr>
        <w:t xml:space="preserve"> ha comprobado que en el marco de la metodología investigada fueron exterminadas personas previamente detenidas, con ocultamiento de su identidad, habiéndose en muchos casos destruido sus cuerpos para evitar su posterior identificación. Asimismo, se pudo establecer, respecto de otras personas que en la versión de las fuerzas represivas habrían sido abatidas en combate, que fueron sacadas con vida de algún centro clandestino de detención y muertas por sus captores, simulándose enfrentamientos o intentos de fuga inexistentes.”</w:t>
      </w:r>
      <w:r w:rsidRPr="00F778C6">
        <w:rPr>
          <w:rFonts w:ascii="Times New Roman" w:hAnsi="Times New Roman" w:cs="Times New Roman"/>
          <w:sz w:val="24"/>
          <w:szCs w:val="24"/>
          <w:vertAlign w:val="superscript"/>
        </w:rPr>
        <w:footnoteReference w:id="2"/>
      </w:r>
    </w:p>
    <w:p w14:paraId="00000012" w14:textId="77777777" w:rsidR="002E1340" w:rsidRPr="00F778C6" w:rsidRDefault="002E1340" w:rsidP="00064074">
      <w:pPr>
        <w:spacing w:line="360" w:lineRule="auto"/>
        <w:jc w:val="both"/>
        <w:rPr>
          <w:rFonts w:ascii="Times New Roman" w:hAnsi="Times New Roman" w:cs="Times New Roman"/>
          <w:sz w:val="24"/>
          <w:szCs w:val="24"/>
        </w:rPr>
      </w:pPr>
    </w:p>
    <w:p w14:paraId="1FD47CB0" w14:textId="77777777" w:rsidR="00064074"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información aportada por la </w:t>
      </w:r>
      <w:proofErr w:type="spellStart"/>
      <w:r w:rsidRPr="00F778C6">
        <w:rPr>
          <w:rFonts w:ascii="Times New Roman" w:hAnsi="Times New Roman" w:cs="Times New Roman"/>
          <w:sz w:val="24"/>
          <w:szCs w:val="24"/>
        </w:rPr>
        <w:t>Conadep</w:t>
      </w:r>
      <w:proofErr w:type="spellEnd"/>
      <w:r w:rsidRPr="00F778C6">
        <w:rPr>
          <w:rFonts w:ascii="Times New Roman" w:hAnsi="Times New Roman" w:cs="Times New Roman"/>
          <w:sz w:val="24"/>
          <w:szCs w:val="24"/>
        </w:rPr>
        <w:t xml:space="preserve">, por las investigaciones judiciales y por quienes sobrevivieron a la represión ilegal permitió conocer la metodología implementada por la dictadura cívico militar para ocultar los cuerpos de las personas desaparecidas o asesinadas. Tal como expresa el EAAF: </w:t>
      </w:r>
    </w:p>
    <w:p w14:paraId="00000014" w14:textId="665D2EAC"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ab/>
      </w:r>
    </w:p>
    <w:p w14:paraId="00000015"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ab/>
        <w:t xml:space="preserve">…la investigación histórica permite concluir que el aparato represivo estatal utilizó tres métodos para deshacerse de la mayoría de las personas que decidió eliminar. </w:t>
      </w:r>
    </w:p>
    <w:p w14:paraId="00000016"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ab/>
        <w:t xml:space="preserve">Una gran cantidad de estos hombres y mujeres-secuestrados y torturados en centros clandestinos de detención (CCD)- fueron arrojados desde aviones al Río de la Plata o al mar. Solo un número muy pequeño de estas personas pudieron ser recuperadas, porque aparecieron en las costas de Argentina y de Uruguay, fueron inhumadas en cementerios y no fueron removidas posteriormente. Por fuera de este pequeño grupo, estas personas ya no podrán ser recuperadas, aunque en algunos casos sea posible reconstruir a través de la investigación sus trayectorias a través del sistema represivo. </w:t>
      </w:r>
    </w:p>
    <w:p w14:paraId="00000017"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Otro conjunto de personas que fueron asesinadas en CCD o en los llamados ‘enfrentamientos’ fueron enterradas sin identificación en cementerios municipales. A la investigación de estos circuitos ‘CCD-vía pública-morgue-cementerio’ hemos dedicados persistentes esfuerzos de investigación desde 1984 que continúan en el presente (...) Estos hallazgos fueron y son posibles por la investigación histórica que incluye los testimonios de las y los sobrevivientes, la reconstrucción de los operativos represivos y el relevamiento de los vestigios contenidos en los archivos burocráticos, como lo libros de los cementerios y los expedientes que conservaron las huellas dactilares.</w:t>
      </w:r>
    </w:p>
    <w:p w14:paraId="00000018"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 xml:space="preserve"> </w:t>
      </w:r>
    </w:p>
    <w:p w14:paraId="00000019"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 xml:space="preserve">Un tercer conjunto de víctimas del aparato represivo fue enterrado en lugares clandestinos. A lo largo de los años, hemos avanzado en la detección de estos sitios en diferentes lugares del país. Recientemente, avances tecnológicos nos permitieron abrir una nueva etapa en la investigación de fosas clandestinas en las que estamos trabajando, en particular en lugares que funcionaron como CCD por los que se sabe que han pasado gran cantidad de víctimas que no fueron encontradas. En algunos casos, este método de ocultamiento incluyó la incineración, lo que hace extremadamente compleja la identificación. </w:t>
      </w:r>
    </w:p>
    <w:p w14:paraId="0000001A" w14:textId="77777777" w:rsidR="002E1340" w:rsidRPr="00F778C6" w:rsidRDefault="002E1340" w:rsidP="00064074">
      <w:pPr>
        <w:spacing w:line="360" w:lineRule="auto"/>
        <w:ind w:left="708"/>
        <w:jc w:val="both"/>
        <w:rPr>
          <w:rFonts w:ascii="Times New Roman" w:hAnsi="Times New Roman" w:cs="Times New Roman"/>
          <w:sz w:val="24"/>
          <w:szCs w:val="24"/>
        </w:rPr>
      </w:pPr>
    </w:p>
    <w:p w14:paraId="0000001B"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lastRenderedPageBreak/>
        <w:t>A estos mecanismos se suman otras formas de ocultamiento que fueron excepcionales, tal como los tambores rellenos de cemento que luego fueron abandonados a la intemperie ….</w:t>
      </w:r>
    </w:p>
    <w:p w14:paraId="0000001C" w14:textId="77777777" w:rsidR="002E1340" w:rsidRPr="00F778C6" w:rsidRDefault="002E1340" w:rsidP="00064074">
      <w:pPr>
        <w:spacing w:line="360" w:lineRule="auto"/>
        <w:ind w:left="708"/>
        <w:jc w:val="both"/>
        <w:rPr>
          <w:rFonts w:ascii="Times New Roman" w:hAnsi="Times New Roman" w:cs="Times New Roman"/>
          <w:sz w:val="24"/>
          <w:szCs w:val="24"/>
        </w:rPr>
      </w:pPr>
    </w:p>
    <w:p w14:paraId="0000001D"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Es este escenario el que condiciona la búsqueda de las personas desaparecidas que, entonces, se ha desplegado en dos estrategias: la investigación de espacios institucionales de inhumación, que abarca a los cementerios como lugar de destino final y a los archivos burocráticos en donde podrían encontrarse los vestigios de esa práctica (expedientes, registros civiles, etc.), y la investigación de posibles lugares de inhumación clandestina a partir de la reconstrucción histórica y de la incorporación de nuevos desarrollos tecnológicos que permiten insistir allí donde hay hipótesis fuertes sobre la localización de enterramientos que no fueron encontrados.</w:t>
      </w:r>
    </w:p>
    <w:p w14:paraId="0000001E" w14:textId="77777777" w:rsidR="002E1340" w:rsidRPr="00F778C6" w:rsidRDefault="002E1340" w:rsidP="00064074">
      <w:pPr>
        <w:spacing w:line="360" w:lineRule="auto"/>
        <w:jc w:val="both"/>
        <w:rPr>
          <w:rFonts w:ascii="Times New Roman" w:hAnsi="Times New Roman" w:cs="Times New Roman"/>
          <w:sz w:val="24"/>
          <w:szCs w:val="24"/>
        </w:rPr>
      </w:pPr>
    </w:p>
    <w:p w14:paraId="0000001F" w14:textId="35C03D9C" w:rsidR="002E1340" w:rsidRDefault="00000000" w:rsidP="00064074">
      <w:pPr>
        <w:pStyle w:val="Ttulo5"/>
        <w:spacing w:before="0" w:after="0" w:line="360" w:lineRule="auto"/>
        <w:jc w:val="both"/>
        <w:rPr>
          <w:rFonts w:ascii="Times New Roman" w:hAnsi="Times New Roman" w:cs="Times New Roman"/>
          <w:b/>
          <w:bCs/>
          <w:color w:val="auto"/>
          <w:sz w:val="24"/>
          <w:szCs w:val="24"/>
        </w:rPr>
      </w:pPr>
      <w:bookmarkStart w:id="3" w:name="_heading=h.ufahjqi91e7j" w:colFirst="0" w:colLast="0"/>
      <w:bookmarkEnd w:id="3"/>
      <w:r w:rsidRPr="004817B2">
        <w:rPr>
          <w:rFonts w:ascii="Times New Roman" w:hAnsi="Times New Roman" w:cs="Times New Roman"/>
          <w:b/>
          <w:bCs/>
          <w:color w:val="auto"/>
          <w:sz w:val="24"/>
          <w:szCs w:val="24"/>
        </w:rPr>
        <w:t xml:space="preserve">Las primeras indagaciones </w:t>
      </w:r>
    </w:p>
    <w:p w14:paraId="2B086310" w14:textId="77777777" w:rsidR="00064074" w:rsidRPr="00064074" w:rsidRDefault="00064074" w:rsidP="00064074"/>
    <w:p w14:paraId="00000020"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La primera indagación sobre enterramientos no identificados se realizó en la década del 80, y estuvo a cargo de la Subsecretaría de Derechos Humanos del Ministerio del Interior</w:t>
      </w:r>
      <w:r w:rsidRPr="00F778C6">
        <w:rPr>
          <w:rFonts w:ascii="Times New Roman" w:hAnsi="Times New Roman" w:cs="Times New Roman"/>
          <w:sz w:val="24"/>
          <w:szCs w:val="24"/>
          <w:vertAlign w:val="superscript"/>
        </w:rPr>
        <w:footnoteReference w:id="3"/>
      </w:r>
      <w:r w:rsidRPr="00F778C6">
        <w:rPr>
          <w:rFonts w:ascii="Times New Roman" w:hAnsi="Times New Roman" w:cs="Times New Roman"/>
          <w:sz w:val="24"/>
          <w:szCs w:val="24"/>
        </w:rPr>
        <w:t xml:space="preserve">, organismo que continuó las investigaciones de la </w:t>
      </w:r>
      <w:proofErr w:type="spellStart"/>
      <w:r w:rsidRPr="00F778C6">
        <w:rPr>
          <w:rFonts w:ascii="Times New Roman" w:hAnsi="Times New Roman" w:cs="Times New Roman"/>
          <w:sz w:val="24"/>
          <w:szCs w:val="24"/>
        </w:rPr>
        <w:t>Conadep</w:t>
      </w:r>
      <w:proofErr w:type="spellEnd"/>
      <w:r w:rsidRPr="00F778C6">
        <w:rPr>
          <w:rFonts w:ascii="Times New Roman" w:hAnsi="Times New Roman" w:cs="Times New Roman"/>
          <w:sz w:val="24"/>
          <w:szCs w:val="24"/>
        </w:rPr>
        <w:t xml:space="preserve"> cuando esta cumplió su mandato. </w:t>
      </w:r>
    </w:p>
    <w:p w14:paraId="00000021" w14:textId="77777777" w:rsidR="002E1340" w:rsidRPr="00F778C6" w:rsidRDefault="002E1340" w:rsidP="00064074">
      <w:pPr>
        <w:spacing w:line="360" w:lineRule="auto"/>
        <w:jc w:val="both"/>
        <w:rPr>
          <w:rFonts w:ascii="Times New Roman" w:hAnsi="Times New Roman" w:cs="Times New Roman"/>
          <w:sz w:val="24"/>
          <w:szCs w:val="24"/>
        </w:rPr>
      </w:pPr>
    </w:p>
    <w:p w14:paraId="00000022"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Una de las medidas que adoptó fue la conformación en 1985 de una Comisión Técnica</w:t>
      </w:r>
      <w:r w:rsidRPr="00F778C6">
        <w:rPr>
          <w:rFonts w:ascii="Times New Roman" w:hAnsi="Times New Roman" w:cs="Times New Roman"/>
          <w:sz w:val="24"/>
          <w:szCs w:val="24"/>
          <w:vertAlign w:val="superscript"/>
        </w:rPr>
        <w:footnoteReference w:id="4"/>
      </w:r>
      <w:r w:rsidRPr="00F778C6">
        <w:rPr>
          <w:rFonts w:ascii="Times New Roman" w:hAnsi="Times New Roman" w:cs="Times New Roman"/>
          <w:sz w:val="24"/>
          <w:szCs w:val="24"/>
        </w:rPr>
        <w:t xml:space="preserve"> para determinar enterramientos NN y proceder a la identificación de restos óseos. Se convocó entonces al Dr. Clyde Snow, estadounidense, integrante del Directorio Americano de Antropología Forense, que llevó adelante proyectos, investigaciones y capacitaciones en técnicas de exhumación e identificación en Argentina. </w:t>
      </w:r>
    </w:p>
    <w:p w14:paraId="00000023" w14:textId="77777777" w:rsidR="002E1340" w:rsidRPr="00F778C6" w:rsidRDefault="002E1340" w:rsidP="00064074">
      <w:pPr>
        <w:spacing w:line="360" w:lineRule="auto"/>
        <w:jc w:val="both"/>
        <w:rPr>
          <w:rFonts w:ascii="Times New Roman" w:hAnsi="Times New Roman" w:cs="Times New Roman"/>
          <w:sz w:val="24"/>
          <w:szCs w:val="24"/>
        </w:rPr>
      </w:pPr>
    </w:p>
    <w:p w14:paraId="00000024"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1986 la Corte Suprema de Justicia de la Nación dictó la Acordada 56/86</w:t>
      </w:r>
      <w:r w:rsidRPr="00F778C6">
        <w:rPr>
          <w:rFonts w:ascii="Times New Roman" w:hAnsi="Times New Roman" w:cs="Times New Roman"/>
          <w:sz w:val="24"/>
          <w:szCs w:val="24"/>
          <w:vertAlign w:val="superscript"/>
        </w:rPr>
        <w:footnoteReference w:id="5"/>
      </w:r>
      <w:r w:rsidRPr="00F778C6">
        <w:rPr>
          <w:rFonts w:ascii="Times New Roman" w:hAnsi="Times New Roman" w:cs="Times New Roman"/>
          <w:sz w:val="24"/>
          <w:szCs w:val="24"/>
        </w:rPr>
        <w:t xml:space="preserve"> en la que estableció que esta Comisión Técnica debía intervenir en todos los casos de exhumación de cuerpos de personas supuestamente desaparecidas. </w:t>
      </w:r>
    </w:p>
    <w:p w14:paraId="00000025" w14:textId="77777777" w:rsidR="002E1340" w:rsidRPr="00F778C6" w:rsidRDefault="002E1340" w:rsidP="00064074">
      <w:pPr>
        <w:spacing w:line="360" w:lineRule="auto"/>
        <w:jc w:val="both"/>
        <w:rPr>
          <w:rFonts w:ascii="Times New Roman" w:hAnsi="Times New Roman" w:cs="Times New Roman"/>
          <w:sz w:val="24"/>
          <w:szCs w:val="24"/>
        </w:rPr>
      </w:pPr>
    </w:p>
    <w:p w14:paraId="00000026"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 xml:space="preserve">La investigación realizada sobre la información de los cementerios municipales permitió determinar que gran cantidad de cuerpos de personas desaparecidas habían sido enterradas en ellos sin identificar, en fosas individuales o colectivas. </w:t>
      </w:r>
    </w:p>
    <w:p w14:paraId="00000027" w14:textId="77777777" w:rsidR="002E1340" w:rsidRPr="00F778C6" w:rsidRDefault="002E1340" w:rsidP="00064074">
      <w:pPr>
        <w:spacing w:line="360" w:lineRule="auto"/>
        <w:jc w:val="both"/>
        <w:rPr>
          <w:rFonts w:ascii="Times New Roman" w:hAnsi="Times New Roman" w:cs="Times New Roman"/>
          <w:sz w:val="24"/>
          <w:szCs w:val="24"/>
        </w:rPr>
      </w:pPr>
    </w:p>
    <w:p w14:paraId="00000028"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Los cuerpos eran abandonados en la vía pública o en lugares descampados, y una vez hallados por la policía local o las autoridades judiciales en general se cumplían los pasos burocráticos previos al entierro de personas N.N: se labraba acta de defunción, se confeccionaban las fichas dactiloscópicas, se producía la actuación judicial y la inhumación administrativa. Estos registros permitieron, en muchos casos, llevar a cabo identificaciones de los cuerpos.</w:t>
      </w:r>
    </w:p>
    <w:p w14:paraId="00000029" w14:textId="77777777" w:rsidR="002E1340" w:rsidRPr="00F778C6" w:rsidRDefault="002E1340" w:rsidP="00064074">
      <w:pPr>
        <w:spacing w:line="360" w:lineRule="auto"/>
        <w:jc w:val="both"/>
        <w:rPr>
          <w:rFonts w:ascii="Times New Roman" w:hAnsi="Times New Roman" w:cs="Times New Roman"/>
          <w:sz w:val="24"/>
          <w:szCs w:val="24"/>
        </w:rPr>
      </w:pPr>
    </w:p>
    <w:p w14:paraId="0000002A"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Las primeras denuncias sobre enterramientos como NN de personas desaparecidas se realizaron en los últimos años de la dictadura cívico militar y dieron lugar a causas judiciales en las que se ordenaron exhumaciones de cuerpos.</w:t>
      </w:r>
      <w:r w:rsidRPr="00F778C6">
        <w:rPr>
          <w:rFonts w:ascii="Times New Roman" w:hAnsi="Times New Roman" w:cs="Times New Roman"/>
          <w:sz w:val="24"/>
          <w:szCs w:val="24"/>
          <w:vertAlign w:val="superscript"/>
        </w:rPr>
        <w:footnoteReference w:id="6"/>
      </w:r>
      <w:r w:rsidRPr="00F778C6">
        <w:rPr>
          <w:rFonts w:ascii="Times New Roman" w:hAnsi="Times New Roman" w:cs="Times New Roman"/>
          <w:sz w:val="24"/>
          <w:szCs w:val="24"/>
        </w:rPr>
        <w:t xml:space="preserve"> Recuperada la democracia las denuncias aumentaron y se practicaron exhumaciones en cementerios públicos que fueron realizadas con muy poca experticia y, en algunos casos, con total negligencia. </w:t>
      </w:r>
    </w:p>
    <w:p w14:paraId="0000002B"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br/>
        <w:t xml:space="preserve">La necesidad de dotar de coherencia y sistematizar la búsqueda de cuerpos determinó un trabajo de investigación sobre la hipótesis -luego corroborada- de un aumento en la cantidad de cuerpos no identificados inhumados en los cementerios públicos. Un número que en condiciones normales se mantiene estable, con fluctuaciones mínimas, y acorde a las características demográficas de la población a la que el cementerio brinda servicios podría haberse visto engrosado a partir de la necesidad de las fuerzas represivas de deshacerse de los cuerpos de las víctimas. </w:t>
      </w:r>
    </w:p>
    <w:p w14:paraId="0000002C" w14:textId="77777777" w:rsidR="002E1340" w:rsidRPr="00F778C6" w:rsidRDefault="002E1340" w:rsidP="00064074">
      <w:pPr>
        <w:spacing w:line="360" w:lineRule="auto"/>
        <w:jc w:val="both"/>
        <w:rPr>
          <w:rFonts w:ascii="Times New Roman" w:hAnsi="Times New Roman" w:cs="Times New Roman"/>
          <w:sz w:val="24"/>
          <w:szCs w:val="24"/>
        </w:rPr>
      </w:pPr>
    </w:p>
    <w:p w14:paraId="0000002D"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Para poner a prueba la hipótesis en el año 1985 la Subsecretaría de Derechos Humanos inició una investigación especial sobre tumbas NN en cementerios de Argentina, que estuvo a cargo del Dr. Clyde Snow. La pesquisa se proyectó sobre las provincias de Buenos Aires, Santa Fe, Córdoba y Tucumán, las cuatro donde la represión militar fue más intensa y en las cuales ocurrieron aproximadamente el 80 por ciento de las desapariciones.</w:t>
      </w:r>
    </w:p>
    <w:p w14:paraId="0000002E" w14:textId="77777777" w:rsidR="002E1340" w:rsidRPr="00F778C6" w:rsidRDefault="002E1340" w:rsidP="00064074">
      <w:pPr>
        <w:spacing w:line="360" w:lineRule="auto"/>
        <w:jc w:val="both"/>
        <w:rPr>
          <w:rFonts w:ascii="Times New Roman" w:hAnsi="Times New Roman" w:cs="Times New Roman"/>
          <w:sz w:val="24"/>
          <w:szCs w:val="24"/>
        </w:rPr>
      </w:pPr>
    </w:p>
    <w:p w14:paraId="0000002F"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Los objetivos eran:</w:t>
      </w:r>
    </w:p>
    <w:p w14:paraId="00000030"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-Contar con una estimación sobre el número posible y la ubicación de las tumbas NN que pudieran corresponder a personas desaparecidas</w:t>
      </w:r>
    </w:p>
    <w:p w14:paraId="00000031"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-Elaborar un registro de las tumbas NN y actualizarlo de manera permanente</w:t>
      </w:r>
    </w:p>
    <w:p w14:paraId="00000032"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-Llevar a cabo investigaciones a partir de este registro </w:t>
      </w:r>
    </w:p>
    <w:p w14:paraId="00000033"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-Obtener información </w:t>
      </w:r>
      <w:proofErr w:type="spellStart"/>
      <w:r w:rsidRPr="00F778C6">
        <w:rPr>
          <w:rFonts w:ascii="Times New Roman" w:hAnsi="Times New Roman" w:cs="Times New Roman"/>
          <w:sz w:val="24"/>
          <w:szCs w:val="24"/>
        </w:rPr>
        <w:t>pre-mortem</w:t>
      </w:r>
      <w:proofErr w:type="spellEnd"/>
      <w:r w:rsidRPr="00F778C6">
        <w:rPr>
          <w:rFonts w:ascii="Times New Roman" w:hAnsi="Times New Roman" w:cs="Times New Roman"/>
          <w:sz w:val="24"/>
          <w:szCs w:val="24"/>
        </w:rPr>
        <w:t xml:space="preserve"> de las posibles víctimas: fichas odontológicas, radiografías, etc. para ser comparada con los restos recuperados.  </w:t>
      </w:r>
    </w:p>
    <w:p w14:paraId="00000034"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-Intentar identificar los cuerpos y devolverlos a las familias que esperaban respuestas sobre el destino de sus seres queridos. </w:t>
      </w:r>
    </w:p>
    <w:p w14:paraId="00000035" w14:textId="77777777" w:rsidR="002E1340" w:rsidRPr="00F778C6" w:rsidRDefault="002E1340" w:rsidP="00064074">
      <w:pPr>
        <w:spacing w:line="360" w:lineRule="auto"/>
        <w:jc w:val="both"/>
        <w:rPr>
          <w:rFonts w:ascii="Times New Roman" w:hAnsi="Times New Roman" w:cs="Times New Roman"/>
          <w:sz w:val="24"/>
          <w:szCs w:val="24"/>
        </w:rPr>
      </w:pPr>
    </w:p>
    <w:p w14:paraId="00000036"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Las investigaciones sobre los cuerpos también permitirían obtener información sobre embarazos, partos, causas de muerte, abusos físicos y torturas infligidas antes de la muerte. </w:t>
      </w:r>
    </w:p>
    <w:p w14:paraId="00000037" w14:textId="77777777" w:rsidR="002E1340" w:rsidRPr="00F778C6" w:rsidRDefault="002E1340" w:rsidP="00064074">
      <w:pPr>
        <w:spacing w:line="360" w:lineRule="auto"/>
        <w:jc w:val="both"/>
        <w:rPr>
          <w:rFonts w:ascii="Times New Roman" w:hAnsi="Times New Roman" w:cs="Times New Roman"/>
          <w:sz w:val="24"/>
          <w:szCs w:val="24"/>
        </w:rPr>
      </w:pPr>
    </w:p>
    <w:p w14:paraId="00000038"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Se avanzó en la investigación sobre la Provincia de Buenos Aires donde, en efecto, se pudo comprobar la presencia de grandes desviaciones en la cantidad de cuerpos no identificados. </w:t>
      </w:r>
    </w:p>
    <w:p w14:paraId="00000039" w14:textId="77777777" w:rsidR="002E1340" w:rsidRPr="00F778C6" w:rsidRDefault="002E1340" w:rsidP="00064074">
      <w:pPr>
        <w:spacing w:line="360" w:lineRule="auto"/>
        <w:jc w:val="both"/>
        <w:rPr>
          <w:rFonts w:ascii="Times New Roman" w:hAnsi="Times New Roman" w:cs="Times New Roman"/>
          <w:sz w:val="24"/>
          <w:szCs w:val="24"/>
        </w:rPr>
      </w:pPr>
    </w:p>
    <w:p w14:paraId="0000003A"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A través de la indagación en diversas fuentes documentales y testimonios se pudo establecer, como ya se mencionó, que algunas de las víctimas luego de ser ejecutadas eran dejadas en la vía pública o a veces eran ejecutadas en lugares de detención y luego trasladadas y abandonadas en lugares públicos. Cuando se hallaba un cuerpo se daba intervención a la policía local que lo trasladaba a la morgue, donde se realizaba la autopsia, se elaboraban informes y se firmaban certificados de defunción.</w:t>
      </w:r>
    </w:p>
    <w:p w14:paraId="0000003B" w14:textId="77777777" w:rsidR="002E1340" w:rsidRPr="00F778C6" w:rsidRDefault="002E1340" w:rsidP="00064074">
      <w:pPr>
        <w:spacing w:line="360" w:lineRule="auto"/>
        <w:jc w:val="both"/>
        <w:rPr>
          <w:rFonts w:ascii="Times New Roman" w:hAnsi="Times New Roman" w:cs="Times New Roman"/>
          <w:sz w:val="24"/>
          <w:szCs w:val="24"/>
        </w:rPr>
      </w:pPr>
    </w:p>
    <w:p w14:paraId="0000003C"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A pesar de que en la mayoría de los casos hubiera sido posible identificar a las víctimas a partir de las huellas dactilares, no se realizaban intentos de establecer sus identidades. Los cuerpos eran designados como NN y se enterraban en el cementerio local en una fosa sin nombre.</w:t>
      </w:r>
    </w:p>
    <w:p w14:paraId="0000003D" w14:textId="77777777" w:rsidR="002E1340" w:rsidRPr="00F778C6" w:rsidRDefault="002E1340" w:rsidP="00064074">
      <w:pPr>
        <w:spacing w:line="360" w:lineRule="auto"/>
        <w:jc w:val="both"/>
        <w:rPr>
          <w:rFonts w:ascii="Times New Roman" w:hAnsi="Times New Roman" w:cs="Times New Roman"/>
          <w:sz w:val="24"/>
          <w:szCs w:val="24"/>
        </w:rPr>
      </w:pPr>
    </w:p>
    <w:p w14:paraId="0000003E"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algunos casos los cuerpos sin vida de las víctimas fueron llevados en vehículos oficiales directamente a la Morgue Judicial, donde se les realizaron autopsias y se ordenó su inhumación sin intervención judicial.</w:t>
      </w:r>
      <w:r w:rsidRPr="00F778C6">
        <w:rPr>
          <w:rFonts w:ascii="Times New Roman" w:hAnsi="Times New Roman" w:cs="Times New Roman"/>
          <w:sz w:val="24"/>
          <w:szCs w:val="24"/>
          <w:vertAlign w:val="superscript"/>
        </w:rPr>
        <w:footnoteReference w:id="7"/>
      </w:r>
      <w:r w:rsidRPr="00F778C6">
        <w:rPr>
          <w:rFonts w:ascii="Times New Roman" w:hAnsi="Times New Roman" w:cs="Times New Roman"/>
          <w:sz w:val="24"/>
          <w:szCs w:val="24"/>
        </w:rPr>
        <w:t xml:space="preserve"> En muchos casos fueron identificados y se informó a los familiares para que les dieran sepultura; en otros, a pesar de haber sido identificados, se dispuso su </w:t>
      </w:r>
      <w:r w:rsidRPr="00F778C6">
        <w:rPr>
          <w:rFonts w:ascii="Times New Roman" w:hAnsi="Times New Roman" w:cs="Times New Roman"/>
          <w:sz w:val="24"/>
          <w:szCs w:val="24"/>
        </w:rPr>
        <w:lastRenderedPageBreak/>
        <w:t>enterramiento como NN. En ambas situaciones los procedimientos rutinarios fueron alterados para ocultar los enterramientos.</w:t>
      </w:r>
      <w:r w:rsidRPr="00F778C6">
        <w:rPr>
          <w:rFonts w:ascii="Times New Roman" w:hAnsi="Times New Roman" w:cs="Times New Roman"/>
          <w:sz w:val="24"/>
          <w:szCs w:val="24"/>
          <w:vertAlign w:val="superscript"/>
        </w:rPr>
        <w:footnoteReference w:id="8"/>
      </w:r>
      <w:r w:rsidRPr="00F778C6">
        <w:rPr>
          <w:rFonts w:ascii="Times New Roman" w:hAnsi="Times New Roman" w:cs="Times New Roman"/>
          <w:sz w:val="24"/>
          <w:szCs w:val="24"/>
        </w:rPr>
        <w:t xml:space="preserve"> </w:t>
      </w:r>
    </w:p>
    <w:p w14:paraId="0000003F" w14:textId="77777777" w:rsidR="002E1340" w:rsidRPr="00F778C6" w:rsidRDefault="002E1340" w:rsidP="00064074">
      <w:pPr>
        <w:spacing w:line="360" w:lineRule="auto"/>
        <w:jc w:val="both"/>
        <w:rPr>
          <w:rFonts w:ascii="Times New Roman" w:hAnsi="Times New Roman" w:cs="Times New Roman"/>
          <w:sz w:val="24"/>
          <w:szCs w:val="24"/>
        </w:rPr>
      </w:pPr>
    </w:p>
    <w:p w14:paraId="00000040"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Los cuerpos enterrados permanecieron por un tiempo preservados en tumbas individuales y por ello pudieron ser hallados.</w:t>
      </w:r>
      <w:r w:rsidRPr="00F778C6">
        <w:rPr>
          <w:rFonts w:ascii="Times New Roman" w:hAnsi="Times New Roman" w:cs="Times New Roman"/>
          <w:sz w:val="24"/>
          <w:szCs w:val="24"/>
          <w:vertAlign w:val="superscript"/>
        </w:rPr>
        <w:footnoteReference w:id="9"/>
      </w:r>
    </w:p>
    <w:p w14:paraId="00000041" w14:textId="77777777" w:rsidR="002E1340" w:rsidRPr="00F778C6" w:rsidRDefault="002E1340" w:rsidP="00064074">
      <w:pPr>
        <w:spacing w:line="360" w:lineRule="auto"/>
        <w:jc w:val="both"/>
        <w:rPr>
          <w:rFonts w:ascii="Times New Roman" w:hAnsi="Times New Roman" w:cs="Times New Roman"/>
          <w:sz w:val="24"/>
          <w:szCs w:val="24"/>
        </w:rPr>
      </w:pPr>
    </w:p>
    <w:p w14:paraId="00000042"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La metodología aplicada para la identificación de lugares de enterramientos de la Provincia de Buenos Aires fue la siguiente:</w:t>
      </w:r>
    </w:p>
    <w:p w14:paraId="00000043" w14:textId="77777777" w:rsidR="002E1340" w:rsidRPr="00F778C6" w:rsidRDefault="002E1340" w:rsidP="00064074">
      <w:pPr>
        <w:spacing w:line="360" w:lineRule="auto"/>
        <w:jc w:val="both"/>
        <w:rPr>
          <w:rFonts w:ascii="Times New Roman" w:hAnsi="Times New Roman" w:cs="Times New Roman"/>
          <w:sz w:val="24"/>
          <w:szCs w:val="24"/>
        </w:rPr>
      </w:pPr>
    </w:p>
    <w:p w14:paraId="00000044"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A partir de los libros de los cementerios, en los que consta un número de tumbas y el sector en el que se encuentra, se pudieron conocer las tumbas no identificadas y su ubicación. También la información proveniente de los cementerios e informes elaborados por la policía local al momento del hallazgo de los cuerpos permitieron acceder a datos sobre los cuerpos enterrados como NN: la edad, el género y las causas de muerte.</w:t>
      </w:r>
    </w:p>
    <w:p w14:paraId="00000045" w14:textId="77777777" w:rsidR="002E1340" w:rsidRPr="00F778C6" w:rsidRDefault="002E1340" w:rsidP="00064074">
      <w:pPr>
        <w:spacing w:line="360" w:lineRule="auto"/>
        <w:jc w:val="both"/>
        <w:rPr>
          <w:rFonts w:ascii="Times New Roman" w:hAnsi="Times New Roman" w:cs="Times New Roman"/>
          <w:sz w:val="24"/>
          <w:szCs w:val="24"/>
        </w:rPr>
      </w:pPr>
    </w:p>
    <w:p w14:paraId="00000046"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Desde la Subsecretaría de Derechos Humanos se enviaron cuestionarios a todos los intendentes municipales de quienes dependen los cementerios públicos y se les requirieron los datos sobre todos los enterramientos NN que tuvieran registrados en los cementerios durante el período de 1970-1984. El período de búsqueda abarcó años de gobiernos constitucionales y años de gobiernos militares para poder efectuar una comparación. Los libros de cementerios consignan los datos que surgen del certificado de defunción que acompaña al cuerpo desde la morgue. </w:t>
      </w:r>
    </w:p>
    <w:p w14:paraId="00000047" w14:textId="77777777" w:rsidR="002E1340" w:rsidRPr="00F778C6" w:rsidRDefault="002E1340" w:rsidP="00064074">
      <w:pPr>
        <w:spacing w:line="360" w:lineRule="auto"/>
        <w:jc w:val="both"/>
        <w:rPr>
          <w:rFonts w:ascii="Times New Roman" w:hAnsi="Times New Roman" w:cs="Times New Roman"/>
          <w:sz w:val="24"/>
          <w:szCs w:val="24"/>
        </w:rPr>
      </w:pPr>
    </w:p>
    <w:p w14:paraId="00000048"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cuestionario requería la siguiente información: </w:t>
      </w:r>
    </w:p>
    <w:p w14:paraId="00000049" w14:textId="77777777" w:rsidR="002E1340" w:rsidRPr="00F778C6" w:rsidRDefault="00000000" w:rsidP="00064074">
      <w:pPr>
        <w:numPr>
          <w:ilvl w:val="0"/>
          <w:numId w:val="1"/>
        </w:num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Fecha de inhumación</w:t>
      </w:r>
    </w:p>
    <w:p w14:paraId="0000004A" w14:textId="77777777" w:rsidR="002E1340" w:rsidRPr="00F778C6" w:rsidRDefault="00000000" w:rsidP="00064074">
      <w:pPr>
        <w:numPr>
          <w:ilvl w:val="0"/>
          <w:numId w:val="1"/>
        </w:num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Sexo y edad de la víctima</w:t>
      </w:r>
    </w:p>
    <w:p w14:paraId="0000004B" w14:textId="77777777" w:rsidR="002E1340" w:rsidRPr="00F778C6" w:rsidRDefault="00000000" w:rsidP="00064074">
      <w:pPr>
        <w:numPr>
          <w:ilvl w:val="0"/>
          <w:numId w:val="1"/>
        </w:num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Causa de muerte</w:t>
      </w:r>
    </w:p>
    <w:p w14:paraId="0000004C" w14:textId="77777777" w:rsidR="002E1340" w:rsidRPr="00F778C6" w:rsidRDefault="00000000" w:rsidP="00064074">
      <w:pPr>
        <w:numPr>
          <w:ilvl w:val="0"/>
          <w:numId w:val="1"/>
        </w:num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Transporte: medios utilizados para transportar los cuerpos a los cementerios (por ejemplo: vehículo militar, policial, empresas funerarias, ambulancias privadas y municipales), entre otros.</w:t>
      </w:r>
    </w:p>
    <w:p w14:paraId="0000004D" w14:textId="77777777" w:rsidR="002E1340" w:rsidRPr="00F778C6" w:rsidRDefault="00000000" w:rsidP="00064074">
      <w:pPr>
        <w:numPr>
          <w:ilvl w:val="0"/>
          <w:numId w:val="1"/>
        </w:num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Ubicación del cuerpo: si aún permanecía en la sepultura original o si había sido trasladado al osario común.</w:t>
      </w:r>
    </w:p>
    <w:p w14:paraId="0000004E" w14:textId="77777777" w:rsidR="002E1340" w:rsidRPr="00F778C6" w:rsidRDefault="002E1340" w:rsidP="00064074">
      <w:pPr>
        <w:spacing w:line="360" w:lineRule="auto"/>
        <w:jc w:val="both"/>
        <w:rPr>
          <w:rFonts w:ascii="Times New Roman" w:hAnsi="Times New Roman" w:cs="Times New Roman"/>
          <w:sz w:val="24"/>
          <w:szCs w:val="24"/>
        </w:rPr>
      </w:pPr>
    </w:p>
    <w:p w14:paraId="0000004F"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análisis de la información recolectada se realizó a través de procesos estadísticos y permitió identificar en algunos cementerios públicos diferencias significativas entre el número de tumbas NN registradas durante el período de la dictadura militar y en época no militar. </w:t>
      </w:r>
    </w:p>
    <w:p w14:paraId="00000050" w14:textId="77777777" w:rsidR="002E1340" w:rsidRPr="00F778C6" w:rsidRDefault="002E1340" w:rsidP="00064074">
      <w:pPr>
        <w:spacing w:line="360" w:lineRule="auto"/>
        <w:jc w:val="both"/>
        <w:rPr>
          <w:rFonts w:ascii="Times New Roman" w:hAnsi="Times New Roman" w:cs="Times New Roman"/>
          <w:sz w:val="24"/>
          <w:szCs w:val="24"/>
        </w:rPr>
      </w:pPr>
    </w:p>
    <w:p w14:paraId="00000051"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Al analizar las tumbas NN del período militar con períodos no militares se identificaron cambios en las características de la población similares a los parámetros de las personas desaparecidas: eran más jóvenes, incluían un porcentaje mayor de mujeres y exhibían una frecuencia creciente de muertes registradas como debidas a causas violentas (por ejemplo: traumatismo de cráneo, herida producida por arma de fuego) o sospechosas (por ejemplo, edema de pulmón o ahogamiento). La gran mayoría de estas muertes ocurrieron durante el período más extremo de la represión estatal (1976 y 1977).</w:t>
      </w:r>
    </w:p>
    <w:p w14:paraId="00000052"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br/>
        <w:t>Los hallazgos permitieron determinar que un número substancial de personas desaparecidas habían sido enterradas como NN en los cementerios objeto de investigación.</w:t>
      </w:r>
    </w:p>
    <w:p w14:paraId="00000053" w14:textId="77777777" w:rsidR="002E1340" w:rsidRPr="00F778C6" w:rsidRDefault="002E1340" w:rsidP="00064074">
      <w:pPr>
        <w:spacing w:line="360" w:lineRule="auto"/>
        <w:jc w:val="both"/>
        <w:rPr>
          <w:rFonts w:ascii="Times New Roman" w:hAnsi="Times New Roman" w:cs="Times New Roman"/>
          <w:sz w:val="24"/>
          <w:szCs w:val="24"/>
        </w:rPr>
      </w:pPr>
    </w:p>
    <w:p w14:paraId="00000054" w14:textId="656829E4"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el caso de la provincia de Buenos Aires se arribó a una estimación del número total de 1078 probables personas desaparecidas enterradas como NN en los cementerios donde se observaron diferencias significativas. Cuando se analizó geográficamente la distribución de los departamentos que enviaron información a partir de los cuestionarios requeridos se advirtió que la mayoría se encontraba en las zonas más densamente pobladas de la provincia y que además existía cierta relación entre la ubicación de estos departamentos y aquella de los principales centros clandestinos de detención. De la estimación calculada en ese momento en 1</w:t>
      </w:r>
      <w:r w:rsidR="004817B2">
        <w:rPr>
          <w:rFonts w:ascii="Times New Roman" w:hAnsi="Times New Roman" w:cs="Times New Roman"/>
          <w:sz w:val="24"/>
          <w:szCs w:val="24"/>
        </w:rPr>
        <w:t>.</w:t>
      </w:r>
      <w:r w:rsidRPr="00F778C6">
        <w:rPr>
          <w:rFonts w:ascii="Times New Roman" w:hAnsi="Times New Roman" w:cs="Times New Roman"/>
          <w:sz w:val="24"/>
          <w:szCs w:val="24"/>
        </w:rPr>
        <w:t>078 tumbas NN, el 83% pertenecían a departamentos correspondientes a la Zona militar 1, jurisdicción del Comando del Primer Cuerpo de Ejército. Las restantes pertenecían a las zonas 4 en un 15% y a la Zona 5 en un 1.1%.</w:t>
      </w:r>
    </w:p>
    <w:p w14:paraId="00000055" w14:textId="77777777" w:rsidR="002E1340" w:rsidRPr="00F778C6" w:rsidRDefault="002E1340" w:rsidP="00064074">
      <w:pPr>
        <w:spacing w:line="360" w:lineRule="auto"/>
        <w:jc w:val="both"/>
        <w:rPr>
          <w:rFonts w:ascii="Times New Roman" w:hAnsi="Times New Roman" w:cs="Times New Roman"/>
          <w:sz w:val="24"/>
          <w:szCs w:val="24"/>
        </w:rPr>
      </w:pPr>
    </w:p>
    <w:p w14:paraId="00000056" w14:textId="28ECAE7D" w:rsidR="002E1340" w:rsidRPr="00F778C6" w:rsidRDefault="00000000" w:rsidP="00064074">
      <w:pPr>
        <w:spacing w:line="360" w:lineRule="auto"/>
        <w:jc w:val="both"/>
        <w:rPr>
          <w:rFonts w:ascii="Times New Roman" w:hAnsi="Times New Roman" w:cs="Times New Roman"/>
          <w:sz w:val="24"/>
          <w:szCs w:val="24"/>
          <w:highlight w:val="yellow"/>
        </w:rPr>
      </w:pPr>
      <w:r w:rsidRPr="00F778C6">
        <w:rPr>
          <w:rFonts w:ascii="Times New Roman" w:hAnsi="Times New Roman" w:cs="Times New Roman"/>
          <w:sz w:val="24"/>
          <w:szCs w:val="24"/>
        </w:rPr>
        <w:t xml:space="preserve">La investigación y sus resultados fueron compilados en el documento “Tumbas N.N. en la Provincia de Buenos Aires de 1970 a 1984. Informe de la Subsecretaría de Derechos Humanos </w:t>
      </w:r>
      <w:r w:rsidRPr="00F778C6">
        <w:rPr>
          <w:rFonts w:ascii="Times New Roman" w:hAnsi="Times New Roman" w:cs="Times New Roman"/>
          <w:sz w:val="24"/>
          <w:szCs w:val="24"/>
        </w:rPr>
        <w:lastRenderedPageBreak/>
        <w:t xml:space="preserve">Ministerio del Interior. República Argentina, elaborado por Clyde Collins Snow, </w:t>
      </w:r>
      <w:proofErr w:type="spellStart"/>
      <w:r w:rsidRPr="00F778C6">
        <w:rPr>
          <w:rFonts w:ascii="Times New Roman" w:hAnsi="Times New Roman" w:cs="Times New Roman"/>
          <w:sz w:val="24"/>
          <w:szCs w:val="24"/>
        </w:rPr>
        <w:t>Ph.D</w:t>
      </w:r>
      <w:proofErr w:type="spellEnd"/>
      <w:r w:rsidRPr="00F778C6">
        <w:rPr>
          <w:rFonts w:ascii="Times New Roman" w:hAnsi="Times New Roman" w:cs="Times New Roman"/>
          <w:sz w:val="24"/>
          <w:szCs w:val="24"/>
        </w:rPr>
        <w:t xml:space="preserve">. Miembro del Directorio Americano de Antropología Forense, y María Julia </w:t>
      </w:r>
      <w:proofErr w:type="spellStart"/>
      <w:r w:rsidRPr="00F778C6">
        <w:rPr>
          <w:rFonts w:ascii="Times New Roman" w:hAnsi="Times New Roman" w:cs="Times New Roman"/>
          <w:sz w:val="24"/>
          <w:szCs w:val="24"/>
        </w:rPr>
        <w:t>Bihurriet</w:t>
      </w:r>
      <w:proofErr w:type="spellEnd"/>
      <w:r w:rsidRPr="00F778C6">
        <w:rPr>
          <w:rFonts w:ascii="Times New Roman" w:hAnsi="Times New Roman" w:cs="Times New Roman"/>
          <w:sz w:val="24"/>
          <w:szCs w:val="24"/>
        </w:rPr>
        <w:t xml:space="preserve">, Analista Superior de la Dirección General de Promoción. Fecha: 22 de junio de 1987.” </w:t>
      </w:r>
    </w:p>
    <w:p w14:paraId="00000057" w14:textId="77777777" w:rsidR="002E1340" w:rsidRPr="00F778C6" w:rsidRDefault="002E1340" w:rsidP="00064074">
      <w:pPr>
        <w:spacing w:line="360" w:lineRule="auto"/>
        <w:jc w:val="both"/>
        <w:rPr>
          <w:rFonts w:ascii="Times New Roman" w:hAnsi="Times New Roman" w:cs="Times New Roman"/>
          <w:sz w:val="24"/>
          <w:szCs w:val="24"/>
        </w:rPr>
      </w:pPr>
    </w:p>
    <w:p w14:paraId="00000058" w14:textId="77777777" w:rsidR="002E1340" w:rsidRPr="004817B2" w:rsidRDefault="00000000" w:rsidP="00064074">
      <w:pPr>
        <w:pStyle w:val="Ttulo5"/>
        <w:spacing w:before="0" w:after="0" w:line="360" w:lineRule="auto"/>
        <w:jc w:val="both"/>
        <w:rPr>
          <w:rFonts w:ascii="Times New Roman" w:hAnsi="Times New Roman" w:cs="Times New Roman"/>
          <w:b/>
          <w:bCs/>
          <w:color w:val="auto"/>
          <w:sz w:val="24"/>
          <w:szCs w:val="24"/>
        </w:rPr>
      </w:pPr>
      <w:bookmarkStart w:id="4" w:name="_heading=h.2ku257xfdcq1" w:colFirst="0" w:colLast="0"/>
      <w:bookmarkEnd w:id="4"/>
      <w:r w:rsidRPr="004817B2">
        <w:rPr>
          <w:rFonts w:ascii="Times New Roman" w:hAnsi="Times New Roman" w:cs="Times New Roman"/>
          <w:b/>
          <w:bCs/>
          <w:color w:val="auto"/>
          <w:sz w:val="24"/>
          <w:szCs w:val="24"/>
        </w:rPr>
        <w:t>La investigación histórica llevada a cabo por el EAAF</w:t>
      </w:r>
    </w:p>
    <w:p w14:paraId="00000059" w14:textId="77777777" w:rsidR="002E1340" w:rsidRPr="00F778C6" w:rsidRDefault="002E1340" w:rsidP="00064074">
      <w:pPr>
        <w:spacing w:line="360" w:lineRule="auto"/>
        <w:jc w:val="both"/>
        <w:rPr>
          <w:rFonts w:ascii="Times New Roman" w:hAnsi="Times New Roman" w:cs="Times New Roman"/>
          <w:sz w:val="24"/>
          <w:szCs w:val="24"/>
        </w:rPr>
      </w:pPr>
    </w:p>
    <w:p w14:paraId="0000005A"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información aportada por el EAAF detalla las estrategias implementadas para la búsqueda de los cuerpos de las personas desaparecidas y entre ellas las investigaciones históricas: </w:t>
      </w:r>
    </w:p>
    <w:p w14:paraId="0000005B" w14:textId="77777777" w:rsidR="002E1340" w:rsidRPr="00F778C6" w:rsidRDefault="002E1340" w:rsidP="00064074">
      <w:pPr>
        <w:spacing w:line="360" w:lineRule="auto"/>
        <w:jc w:val="both"/>
        <w:rPr>
          <w:rFonts w:ascii="Times New Roman" w:hAnsi="Times New Roman" w:cs="Times New Roman"/>
          <w:sz w:val="24"/>
          <w:szCs w:val="24"/>
        </w:rPr>
      </w:pPr>
    </w:p>
    <w:p w14:paraId="0000005C"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La construcción de conocimiento sobre la estructura estatal encargada de la represión es fundamental tanto para el diseño de estrategias de búsqueda como para la posterior construcción de hipótesis de identidad. El esquema represivo se organizó en grandes unidades operativas. Las investigaciones indican que la mayoría de las personas permanecieron en la órbita de las unidades operativas que las habían capturado. Hubo remisiones de una unidad operativa a otra, pero fue excepcional.</w:t>
      </w:r>
    </w:p>
    <w:p w14:paraId="0000005D"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 xml:space="preserve">La investigación histórica permite establecer una hipótesis general sobre qué pasó, es decir, explicar la práctica </w:t>
      </w:r>
      <w:proofErr w:type="spellStart"/>
      <w:r w:rsidRPr="00F778C6">
        <w:rPr>
          <w:rFonts w:ascii="Times New Roman" w:hAnsi="Times New Roman" w:cs="Times New Roman"/>
          <w:sz w:val="24"/>
          <w:szCs w:val="24"/>
        </w:rPr>
        <w:t>desaparecedora</w:t>
      </w:r>
      <w:proofErr w:type="spellEnd"/>
      <w:r w:rsidRPr="00F778C6">
        <w:rPr>
          <w:rFonts w:ascii="Times New Roman" w:hAnsi="Times New Roman" w:cs="Times New Roman"/>
          <w:sz w:val="24"/>
          <w:szCs w:val="24"/>
        </w:rPr>
        <w:t xml:space="preserve"> encarada por el Estado y avanzar en determinar lo que posiblemente sucedido en cada caso en particular. Es decir, buscamos explicar por qué una persona determinada fue secuestrada un día determinado en un lugar y no cualquier otro día en otro sitio cualquiera, a qué CCD debe haber sido llevada (y no a cualquier otro), y en qué fecha y de qué manera es probable que haya sido asesinada. Solo es posible avanzar en ese sentido a partir de suponer que el accionar represivo tuvo cierta lógica interna </w:t>
      </w:r>
      <w:proofErr w:type="spellStart"/>
      <w:r w:rsidRPr="00F778C6">
        <w:rPr>
          <w:rFonts w:ascii="Times New Roman" w:hAnsi="Times New Roman" w:cs="Times New Roman"/>
          <w:sz w:val="24"/>
          <w:szCs w:val="24"/>
        </w:rPr>
        <w:t>reconstruible</w:t>
      </w:r>
      <w:proofErr w:type="spellEnd"/>
      <w:r w:rsidRPr="00F778C6">
        <w:rPr>
          <w:rFonts w:ascii="Times New Roman" w:hAnsi="Times New Roman" w:cs="Times New Roman"/>
          <w:sz w:val="24"/>
          <w:szCs w:val="24"/>
        </w:rPr>
        <w:t xml:space="preserve"> y reiterada, que sus impulsos no fueron indiscriminados.</w:t>
      </w:r>
    </w:p>
    <w:p w14:paraId="0000005E" w14:textId="77777777" w:rsidR="002E1340" w:rsidRPr="00F778C6" w:rsidRDefault="002E1340" w:rsidP="00064074">
      <w:pPr>
        <w:spacing w:line="360" w:lineRule="auto"/>
        <w:ind w:left="566"/>
        <w:jc w:val="both"/>
        <w:rPr>
          <w:rFonts w:ascii="Times New Roman" w:hAnsi="Times New Roman" w:cs="Times New Roman"/>
          <w:sz w:val="24"/>
          <w:szCs w:val="24"/>
        </w:rPr>
      </w:pPr>
    </w:p>
    <w:p w14:paraId="0000005F"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 xml:space="preserve">Sabemos que se trató de un Estado represivo que desaparecía a las personas según ciertos criterios de selección y que no todo el Estado estaba involucrado directamente en estas acciones. Los ejecutores fueron un grupo selecto de las fuerzas armadas y de seguridad, la mayoría de ellos con experiencias previas en operaciones represivas encubiertas. Inicialmente pertenecían a las estructuras de inteligencia (militar o policial) pero la demanda de actores represivos -que se insinuó a partir de la segunda mitad de 1975 y se desencadenó después del golpe del 24 de marzo de 1976- hizo que se involucraran otras estructuras. Es posible entonces diferenciar entre las estructuras tradicionales de represión encubierta (principalmente las unidades de inteligencia del Ejército y de las </w:t>
      </w:r>
      <w:r w:rsidRPr="00F778C6">
        <w:rPr>
          <w:rFonts w:ascii="Times New Roman" w:hAnsi="Times New Roman" w:cs="Times New Roman"/>
          <w:sz w:val="24"/>
          <w:szCs w:val="24"/>
        </w:rPr>
        <w:lastRenderedPageBreak/>
        <w:t xml:space="preserve">policías) y los actores represivos que se incorporaron tardíamente (el caso de mayor resonancia es el de la Escuela de Mecánica de la Armada, ubicada en la Ciudad de Buenos Aires). Las estructuras tradicionales encubrieron mejor sus prácticas que las de incorporación tardía que fueron menos exhaustivas. En estas últimas, se observa un porcentaje notoriamente superior de personas ingresadas al circuito clandestino y luego liberadas. Tal como ya mencionamos, también es relevante dilucidar el método de descarte que predominó en cada CCD. </w:t>
      </w:r>
    </w:p>
    <w:p w14:paraId="00000060" w14:textId="77777777" w:rsidR="002E1340" w:rsidRPr="00F778C6" w:rsidRDefault="002E1340" w:rsidP="00064074">
      <w:pPr>
        <w:spacing w:line="360" w:lineRule="auto"/>
        <w:ind w:left="566"/>
        <w:jc w:val="both"/>
        <w:rPr>
          <w:rFonts w:ascii="Times New Roman" w:hAnsi="Times New Roman" w:cs="Times New Roman"/>
          <w:sz w:val="24"/>
          <w:szCs w:val="24"/>
        </w:rPr>
      </w:pPr>
    </w:p>
    <w:p w14:paraId="00000061"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La desaparición fue una acción claramente discriminatoria que distinguía con bastante</w:t>
      </w:r>
    </w:p>
    <w:p w14:paraId="00000062"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certeza sus blancos. La definición de esos objetivos -personas pertenecientes a una determinada organización considerada enemiga, o que guardaban información que podía llevar a otras personas- era tarea de las áreas de inteligencia. Más allá de las excepciones, es indudable que el objetivo que guiaba la actividad represiva clandestina era la desarticulación de las organizaciones armadas. Es entonces evidente la importancia que tiene conocer la historia política de cada persona desaparecida.</w:t>
      </w:r>
    </w:p>
    <w:p w14:paraId="00000063" w14:textId="77777777" w:rsidR="002E1340" w:rsidRPr="00F778C6" w:rsidRDefault="002E1340" w:rsidP="00064074">
      <w:pPr>
        <w:spacing w:line="360" w:lineRule="auto"/>
        <w:ind w:left="566"/>
        <w:jc w:val="both"/>
        <w:rPr>
          <w:rFonts w:ascii="Times New Roman" w:hAnsi="Times New Roman" w:cs="Times New Roman"/>
          <w:sz w:val="24"/>
          <w:szCs w:val="24"/>
        </w:rPr>
      </w:pPr>
    </w:p>
    <w:p w14:paraId="00000064"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Reconstruir este esquema general permitió establecer con bastante exactitud en qué lugar buscar los vestigios que permitirían acercarse de lo general a lo particular. Por ejemplo: salvo escasas excepciones, es posible suponer que no se encontrarán personas que hayan sido ejecutadas en una unidad represiva que utilizaba vuelos entre quienes fueron hallados/as muertos/as sin identidad en descampados de la Ciudad de Buenos Aires y el Gran Buenos Aires. Y en el caso de las unidades represivas que no tenían apoyo aéreo, será muy infrecuente encontrar a las víctimas entre quienes aparecieron en las costas.</w:t>
      </w:r>
    </w:p>
    <w:p w14:paraId="00000065" w14:textId="77777777" w:rsidR="002E1340" w:rsidRPr="00F778C6" w:rsidRDefault="002E1340" w:rsidP="00064074">
      <w:pPr>
        <w:spacing w:line="360" w:lineRule="auto"/>
        <w:ind w:left="566"/>
        <w:jc w:val="both"/>
        <w:rPr>
          <w:rFonts w:ascii="Times New Roman" w:hAnsi="Times New Roman" w:cs="Times New Roman"/>
          <w:sz w:val="24"/>
          <w:szCs w:val="24"/>
        </w:rPr>
      </w:pPr>
    </w:p>
    <w:p w14:paraId="00000066"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La investigación histórica también permitió elaborar algunas constantes referidas a las</w:t>
      </w:r>
    </w:p>
    <w:p w14:paraId="00000067" w14:textId="77777777" w:rsidR="002E1340" w:rsidRPr="00F778C6" w:rsidRDefault="00000000" w:rsidP="00064074">
      <w:pPr>
        <w:spacing w:line="360" w:lineRule="auto"/>
        <w:ind w:left="566"/>
        <w:jc w:val="both"/>
        <w:rPr>
          <w:rFonts w:ascii="Times New Roman" w:hAnsi="Times New Roman" w:cs="Times New Roman"/>
          <w:sz w:val="24"/>
          <w:szCs w:val="24"/>
        </w:rPr>
      </w:pPr>
      <w:r w:rsidRPr="00F778C6">
        <w:rPr>
          <w:rFonts w:ascii="Times New Roman" w:hAnsi="Times New Roman" w:cs="Times New Roman"/>
          <w:sz w:val="24"/>
          <w:szCs w:val="24"/>
        </w:rPr>
        <w:t>apariciones de cuerpos y la actuación de algunos CCD y conformar hipótesis que relacionaran, provisoriamente, determinados lugares de aparición con determinadas unidades represivas. Asimismo, el conocimiento sobre cuáles eran los intereses y posibilidades de cada unidad represiva -por ejemplo, a quiénes mantenían recluidos/as- permite suponer quiénes podrían ser las personas que integran cada grupo de aparecidos. La robustez de cada hipótesis de reconstrucción es directamente proporcional a la cantidad de datos que hayan permitido postularla.</w:t>
      </w:r>
    </w:p>
    <w:p w14:paraId="00000068" w14:textId="77777777" w:rsidR="002E1340" w:rsidRPr="00F778C6" w:rsidRDefault="002E1340" w:rsidP="00064074">
      <w:pPr>
        <w:spacing w:line="360" w:lineRule="auto"/>
        <w:jc w:val="both"/>
        <w:rPr>
          <w:rFonts w:ascii="Times New Roman" w:hAnsi="Times New Roman" w:cs="Times New Roman"/>
          <w:sz w:val="24"/>
          <w:szCs w:val="24"/>
        </w:rPr>
      </w:pPr>
    </w:p>
    <w:p w14:paraId="00000069"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 xml:space="preserve">Este tipo de investigación se encuentra ilustrado en algunos de los informes elaborados por los Juzgados que intervienen en casos de averiguación del paradero de los cuerpos que se agregan como anexos a este documento. </w:t>
      </w:r>
    </w:p>
    <w:p w14:paraId="0000006A" w14:textId="77777777" w:rsidR="002E1340" w:rsidRPr="00F778C6" w:rsidRDefault="002E1340" w:rsidP="00064074">
      <w:pPr>
        <w:spacing w:line="360" w:lineRule="auto"/>
        <w:jc w:val="both"/>
        <w:rPr>
          <w:rFonts w:ascii="Times New Roman" w:hAnsi="Times New Roman" w:cs="Times New Roman"/>
          <w:sz w:val="24"/>
          <w:szCs w:val="24"/>
        </w:rPr>
      </w:pPr>
    </w:p>
    <w:p w14:paraId="0000006B" w14:textId="0FC66A4C"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informe del Juzgado Federal N°1 de La Plata, por ejemplo, da cuenta de la metodología aplicada a la búsqueda en hechos que se encuentran vinculados por un centro clandestino de detención y los que no aparecen vinculados a unidades represivas. En ambos casos la investigación judicial nutre el trabajo del EAAF, que a su vez resulta vital para el avance de las pesquisas: </w:t>
      </w:r>
    </w:p>
    <w:p w14:paraId="0000006C" w14:textId="77777777" w:rsidR="002E1340" w:rsidRPr="00F778C6" w:rsidRDefault="002E1340" w:rsidP="00064074">
      <w:pPr>
        <w:spacing w:line="360" w:lineRule="auto"/>
        <w:jc w:val="both"/>
        <w:rPr>
          <w:rFonts w:ascii="Times New Roman" w:hAnsi="Times New Roman" w:cs="Times New Roman"/>
          <w:sz w:val="24"/>
          <w:szCs w:val="24"/>
        </w:rPr>
      </w:pPr>
    </w:p>
    <w:p w14:paraId="0000006D" w14:textId="2FA0D904" w:rsidR="002E1340" w:rsidRPr="00F778C6" w:rsidRDefault="00000000" w:rsidP="00064074">
      <w:pPr>
        <w:spacing w:line="360" w:lineRule="auto"/>
        <w:ind w:left="850"/>
        <w:jc w:val="both"/>
        <w:rPr>
          <w:rFonts w:ascii="Times New Roman" w:hAnsi="Times New Roman" w:cs="Times New Roman"/>
          <w:sz w:val="24"/>
          <w:szCs w:val="24"/>
        </w:rPr>
      </w:pPr>
      <w:r w:rsidRPr="00F778C6">
        <w:rPr>
          <w:rFonts w:ascii="Times New Roman" w:hAnsi="Times New Roman" w:cs="Times New Roman"/>
          <w:sz w:val="24"/>
          <w:szCs w:val="24"/>
        </w:rPr>
        <w:t>Cuando los hechos están nucleados en un centro clandestino de detención, como es el caso de La Cacha, la investigación sobre el destino final de las personas secuestradas se encamina a comprender el modo de operar de quienes gestionaban el lugar, para llegar a conocer cuál era la forma elegida por esa</w:t>
      </w:r>
      <w:r w:rsidR="004817B2">
        <w:rPr>
          <w:rFonts w:ascii="Times New Roman" w:hAnsi="Times New Roman" w:cs="Times New Roman"/>
          <w:sz w:val="24"/>
          <w:szCs w:val="24"/>
        </w:rPr>
        <w:t xml:space="preserve"> </w:t>
      </w:r>
      <w:r w:rsidRPr="00F778C6">
        <w:rPr>
          <w:rFonts w:ascii="Times New Roman" w:hAnsi="Times New Roman" w:cs="Times New Roman"/>
          <w:sz w:val="24"/>
          <w:szCs w:val="24"/>
        </w:rPr>
        <w:t>o esas fuerzas y en ese lugar geográfico. A partir de testimonios de sobrevivientes o confesiones de perpetradores se puede deducir la existencia de enterramientos clandestinos en un lugar determinado, inhumaciones sin identificación u otras opciones, y tomar las medidas consecuentes para cotejar hipótesis. La identificación de cuerpos de personas que habían estado secuestradas en ese lugar de detención puede permitir producir hipótesis por inducción.</w:t>
      </w:r>
    </w:p>
    <w:p w14:paraId="0000006E" w14:textId="77777777" w:rsidR="002E1340" w:rsidRPr="00F778C6" w:rsidRDefault="002E1340" w:rsidP="00064074">
      <w:pPr>
        <w:spacing w:line="360" w:lineRule="auto"/>
        <w:ind w:left="850"/>
        <w:jc w:val="both"/>
        <w:rPr>
          <w:rFonts w:ascii="Times New Roman" w:hAnsi="Times New Roman" w:cs="Times New Roman"/>
          <w:sz w:val="24"/>
          <w:szCs w:val="24"/>
        </w:rPr>
      </w:pPr>
    </w:p>
    <w:p w14:paraId="0000006F" w14:textId="77777777" w:rsidR="002E1340" w:rsidRPr="00F778C6" w:rsidRDefault="00000000" w:rsidP="00064074">
      <w:pPr>
        <w:spacing w:line="360" w:lineRule="auto"/>
        <w:ind w:left="850"/>
        <w:jc w:val="both"/>
        <w:rPr>
          <w:rFonts w:ascii="Times New Roman" w:hAnsi="Times New Roman" w:cs="Times New Roman"/>
          <w:sz w:val="24"/>
          <w:szCs w:val="24"/>
        </w:rPr>
      </w:pPr>
      <w:r w:rsidRPr="00F778C6">
        <w:rPr>
          <w:rFonts w:ascii="Times New Roman" w:hAnsi="Times New Roman" w:cs="Times New Roman"/>
          <w:sz w:val="24"/>
          <w:szCs w:val="24"/>
        </w:rPr>
        <w:t xml:space="preserve">Algunos lugares de detención integraban circuitos. Las comisarías son ejemplo de ello. En esos casos la investigación se articula teniendo en cuenta si se trata de lugares que funcionan como puntos de pasaje o si eran la parada previa al destino final. </w:t>
      </w:r>
    </w:p>
    <w:p w14:paraId="00000070" w14:textId="77777777" w:rsidR="002E1340" w:rsidRPr="00F778C6" w:rsidRDefault="002E1340" w:rsidP="00064074">
      <w:pPr>
        <w:spacing w:line="360" w:lineRule="auto"/>
        <w:ind w:left="850"/>
        <w:jc w:val="both"/>
        <w:rPr>
          <w:rFonts w:ascii="Times New Roman" w:hAnsi="Times New Roman" w:cs="Times New Roman"/>
          <w:sz w:val="24"/>
          <w:szCs w:val="24"/>
        </w:rPr>
      </w:pPr>
    </w:p>
    <w:p w14:paraId="00000071" w14:textId="55E7D6B4" w:rsidR="002E1340" w:rsidRPr="00F778C6" w:rsidRDefault="00000000" w:rsidP="00064074">
      <w:pPr>
        <w:spacing w:line="360" w:lineRule="auto"/>
        <w:ind w:left="850"/>
        <w:jc w:val="both"/>
        <w:rPr>
          <w:rFonts w:ascii="Times New Roman" w:hAnsi="Times New Roman" w:cs="Times New Roman"/>
          <w:sz w:val="24"/>
          <w:szCs w:val="24"/>
        </w:rPr>
      </w:pPr>
      <w:r w:rsidRPr="00F778C6">
        <w:rPr>
          <w:rFonts w:ascii="Times New Roman" w:hAnsi="Times New Roman" w:cs="Times New Roman"/>
          <w:sz w:val="24"/>
          <w:szCs w:val="24"/>
        </w:rPr>
        <w:t>Respecto de los casos individuales, como lo son los secuestros en las calles o en las casas, es necesario desplegar todas las herramientas disponibles. Por un lado, investigar qué fuerzas intervinieron y cuál era la forma habitual de esas fuerzas de disponer</w:t>
      </w:r>
      <w:r w:rsidR="004817B2">
        <w:rPr>
          <w:rFonts w:ascii="Times New Roman" w:hAnsi="Times New Roman" w:cs="Times New Roman"/>
          <w:sz w:val="24"/>
          <w:szCs w:val="24"/>
        </w:rPr>
        <w:t xml:space="preserve"> </w:t>
      </w:r>
      <w:r w:rsidRPr="00F778C6">
        <w:rPr>
          <w:rFonts w:ascii="Times New Roman" w:hAnsi="Times New Roman" w:cs="Times New Roman"/>
          <w:sz w:val="24"/>
          <w:szCs w:val="24"/>
        </w:rPr>
        <w:t xml:space="preserve">de los cuerpos de las personas asesinadas. En general, aun tratándose de casos individuales, se intenta insertarlos en un conjunto o en un modus operandi que permita trazar una línea de investigación. En esta jurisdicción ha sido clave el trabajo del Equipo Argentino de Antropología Forense sobre los enterramientos sin identificación en los cementerios municipales. Respecto del trabajo de este juzgado, permitió dar, entre otros, con los cuerpos de algunas de las víctimas de la causa FLP </w:t>
      </w:r>
      <w:r w:rsidRPr="00F778C6">
        <w:rPr>
          <w:rFonts w:ascii="Times New Roman" w:hAnsi="Times New Roman" w:cs="Times New Roman"/>
          <w:sz w:val="24"/>
          <w:szCs w:val="24"/>
        </w:rPr>
        <w:lastRenderedPageBreak/>
        <w:t xml:space="preserve">14000075/2012. El hecho era una seguidilla de asesinatos y secuestros llevada a cabo por el Ejército y la Policía Federal sobre una columna de la organización Montoneros. Se pudo corroborar que la PFA entregaba los cuerpos a la Morgue y eran inhumados como NN en el Cementerio de La Plata. El cruce de la información producida por el EAAF con la propia del expediente acortó el camino hacia el cotejo de </w:t>
      </w:r>
      <w:r w:rsidR="004817B2" w:rsidRPr="00F778C6">
        <w:rPr>
          <w:rFonts w:ascii="Times New Roman" w:hAnsi="Times New Roman" w:cs="Times New Roman"/>
          <w:sz w:val="24"/>
          <w:szCs w:val="24"/>
        </w:rPr>
        <w:t>ADN</w:t>
      </w:r>
      <w:r w:rsidRPr="00F778C6">
        <w:rPr>
          <w:rFonts w:ascii="Times New Roman" w:hAnsi="Times New Roman" w:cs="Times New Roman"/>
          <w:sz w:val="24"/>
          <w:szCs w:val="24"/>
        </w:rPr>
        <w:t>.</w:t>
      </w:r>
    </w:p>
    <w:p w14:paraId="00000072" w14:textId="77777777" w:rsidR="002E1340" w:rsidRPr="00F778C6" w:rsidRDefault="002E1340" w:rsidP="00064074">
      <w:pPr>
        <w:spacing w:line="360" w:lineRule="auto"/>
        <w:ind w:left="850"/>
        <w:jc w:val="both"/>
        <w:rPr>
          <w:rFonts w:ascii="Times New Roman" w:hAnsi="Times New Roman" w:cs="Times New Roman"/>
          <w:sz w:val="24"/>
          <w:szCs w:val="24"/>
        </w:rPr>
      </w:pPr>
    </w:p>
    <w:p w14:paraId="00000073" w14:textId="48DBB94A" w:rsidR="002E1340" w:rsidRDefault="00000000" w:rsidP="00064074">
      <w:pPr>
        <w:spacing w:line="360" w:lineRule="auto"/>
        <w:ind w:left="850"/>
        <w:jc w:val="both"/>
        <w:rPr>
          <w:rFonts w:ascii="Times New Roman" w:hAnsi="Times New Roman" w:cs="Times New Roman"/>
          <w:sz w:val="24"/>
          <w:szCs w:val="24"/>
        </w:rPr>
      </w:pPr>
      <w:r w:rsidRPr="00F778C6">
        <w:rPr>
          <w:rFonts w:ascii="Times New Roman" w:hAnsi="Times New Roman" w:cs="Times New Roman"/>
          <w:sz w:val="24"/>
          <w:szCs w:val="24"/>
        </w:rPr>
        <w:t>En esa causa resta identificar a una de las víctimas, denominada en los documentos policiales como "La Chancha". Por no existir denuncia formal sobre una desaparición que corresponda a las particularidades del caso</w:t>
      </w:r>
      <w:r w:rsidR="004817B2">
        <w:rPr>
          <w:rFonts w:ascii="Times New Roman" w:hAnsi="Times New Roman" w:cs="Times New Roman"/>
          <w:sz w:val="24"/>
          <w:szCs w:val="24"/>
        </w:rPr>
        <w:t>,</w:t>
      </w:r>
      <w:r w:rsidRPr="00F778C6">
        <w:rPr>
          <w:rFonts w:ascii="Times New Roman" w:hAnsi="Times New Roman" w:cs="Times New Roman"/>
          <w:sz w:val="24"/>
          <w:szCs w:val="24"/>
        </w:rPr>
        <w:t xml:space="preserve"> y no haber un testimonio</w:t>
      </w:r>
      <w:r w:rsidR="004817B2">
        <w:rPr>
          <w:rFonts w:ascii="Times New Roman" w:hAnsi="Times New Roman" w:cs="Times New Roman"/>
          <w:sz w:val="24"/>
          <w:szCs w:val="24"/>
        </w:rPr>
        <w:t xml:space="preserve"> </w:t>
      </w:r>
      <w:r w:rsidRPr="00F778C6">
        <w:rPr>
          <w:rFonts w:ascii="Times New Roman" w:hAnsi="Times New Roman" w:cs="Times New Roman"/>
          <w:sz w:val="24"/>
          <w:szCs w:val="24"/>
        </w:rPr>
        <w:t>que pueda reponer el nombre de quien tenía el lugar de esa persona en la organización, no fue posible tampoco identificar un cuerpo que le corresponda en el cementerio ni saber si fue llevado a otro lugar. Ese caso es ilustrativo de muchos otros que dan cuenta de que la obligación del Estado respecto de la búsqueda de la verdad implica un proceso cuyos tiempos son distintos de los propios del proceso de justicia.</w:t>
      </w:r>
    </w:p>
    <w:p w14:paraId="306024F9" w14:textId="77777777" w:rsidR="004817B2" w:rsidRPr="00F778C6" w:rsidRDefault="004817B2" w:rsidP="00064074">
      <w:pPr>
        <w:spacing w:line="360" w:lineRule="auto"/>
        <w:ind w:left="850"/>
        <w:jc w:val="both"/>
        <w:rPr>
          <w:rFonts w:ascii="Times New Roman" w:hAnsi="Times New Roman" w:cs="Times New Roman"/>
          <w:sz w:val="24"/>
          <w:szCs w:val="24"/>
        </w:rPr>
      </w:pPr>
    </w:p>
    <w:p w14:paraId="00000074" w14:textId="7BCD2B09" w:rsidR="002E1340" w:rsidRDefault="00000000" w:rsidP="00064074">
      <w:pPr>
        <w:pStyle w:val="Ttulo5"/>
        <w:spacing w:before="0" w:after="0" w:line="360" w:lineRule="auto"/>
        <w:jc w:val="both"/>
        <w:rPr>
          <w:rFonts w:ascii="Times New Roman" w:hAnsi="Times New Roman" w:cs="Times New Roman"/>
          <w:b/>
          <w:bCs/>
          <w:color w:val="auto"/>
          <w:sz w:val="24"/>
          <w:szCs w:val="24"/>
        </w:rPr>
      </w:pPr>
      <w:bookmarkStart w:id="5" w:name="_heading=h.shns2sf0s2h5" w:colFirst="0" w:colLast="0"/>
      <w:bookmarkEnd w:id="5"/>
      <w:r w:rsidRPr="004817B2">
        <w:rPr>
          <w:rFonts w:ascii="Times New Roman" w:hAnsi="Times New Roman" w:cs="Times New Roman"/>
          <w:b/>
          <w:bCs/>
          <w:color w:val="auto"/>
          <w:sz w:val="24"/>
          <w:szCs w:val="24"/>
        </w:rPr>
        <w:t>La identificación de los cuerpos</w:t>
      </w:r>
    </w:p>
    <w:p w14:paraId="08F8EA64" w14:textId="77777777" w:rsidR="00064074" w:rsidRPr="00064074" w:rsidRDefault="00064074" w:rsidP="00064074"/>
    <w:p w14:paraId="00000075"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Desde 1984 se han recuperado personas inhumadas en los cementerios de la ciudad y las provincias de Buenos Aires, Córdoba, Santa Fe, La Pampa, Santa Cruz, Catamarca, Tucumán, Chaco, Santiago del Estero, Corrientes, Entre Ríos, Chubut, Mendoza, Misiones, Salta y Jujuy y de Uruguay. </w:t>
      </w:r>
    </w:p>
    <w:p w14:paraId="00000076" w14:textId="77777777" w:rsidR="002E1340" w:rsidRPr="00F778C6" w:rsidRDefault="002E1340" w:rsidP="00064074">
      <w:pPr>
        <w:spacing w:line="360" w:lineRule="auto"/>
        <w:jc w:val="both"/>
        <w:rPr>
          <w:rFonts w:ascii="Times New Roman" w:hAnsi="Times New Roman" w:cs="Times New Roman"/>
          <w:sz w:val="24"/>
          <w:szCs w:val="24"/>
        </w:rPr>
      </w:pPr>
    </w:p>
    <w:p w14:paraId="00000077"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Sobre la tarea de identificación explica el EAAF en su informe:</w:t>
      </w:r>
    </w:p>
    <w:p w14:paraId="00000078" w14:textId="77777777" w:rsidR="002E1340" w:rsidRPr="00F778C6" w:rsidRDefault="002E1340" w:rsidP="00064074">
      <w:pPr>
        <w:spacing w:line="360" w:lineRule="auto"/>
        <w:ind w:left="708"/>
        <w:jc w:val="both"/>
        <w:rPr>
          <w:rFonts w:ascii="Times New Roman" w:hAnsi="Times New Roman" w:cs="Times New Roman"/>
          <w:sz w:val="24"/>
          <w:szCs w:val="24"/>
        </w:rPr>
      </w:pPr>
    </w:p>
    <w:p w14:paraId="00000079" w14:textId="302F5F9F"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 xml:space="preserve">Para construir hipótesis sobre la identidad de las personas halladas en cementerios y lugares clandestinos de inhumación o cuyas huellas decadactilares fueron detectadas en documentación burocrática es necesaria una reconstrucción histórica exhaustiva. </w:t>
      </w:r>
      <w:r w:rsidR="004817B2" w:rsidRPr="00F778C6">
        <w:rPr>
          <w:rFonts w:ascii="Times New Roman" w:hAnsi="Times New Roman" w:cs="Times New Roman"/>
          <w:sz w:val="24"/>
          <w:szCs w:val="24"/>
        </w:rPr>
        <w:t>Una de las principales fuentes fue</w:t>
      </w:r>
      <w:r w:rsidRPr="00F778C6">
        <w:rPr>
          <w:rFonts w:ascii="Times New Roman" w:hAnsi="Times New Roman" w:cs="Times New Roman"/>
          <w:sz w:val="24"/>
          <w:szCs w:val="24"/>
        </w:rPr>
        <w:t xml:space="preserve">, y son, las y los sobrevivientes de los CCD y las personas que integraron las organizaciones político-militares o tuvieron una militancia contemporánea de los hechos. Otro conjunto de fuentes está conformado por la evidencia documental que incluye registros de cementerios, registros de nacimientos, archivos policiales y militares, archivos judiciales, notas periodísticas, entre otras. Estas investigaciones permiten conocer las relaciones entre las personas desaparecidas; la pertenencia a grupos y organizaciones; el accionar de estas organizaciones; las </w:t>
      </w:r>
      <w:r w:rsidRPr="00F778C6">
        <w:rPr>
          <w:rFonts w:ascii="Times New Roman" w:hAnsi="Times New Roman" w:cs="Times New Roman"/>
          <w:sz w:val="24"/>
          <w:szCs w:val="24"/>
        </w:rPr>
        <w:lastRenderedPageBreak/>
        <w:t>secuencias de secuestros y desapariciones; la permanencia en CCD; las fechas en que fueron ejecutados/as; las prácticas habituales de cada una de las fuerzas represivas para ocultar a las y los asesinados y la ocurrencia de enfrentamientos en la vía pública que pueden haber sido fraguados; entre otras cuestiones. Reunir y procesar toda esta información ayuda a estimar a priori quiénes podrían ser las personas encontradas.</w:t>
      </w:r>
    </w:p>
    <w:p w14:paraId="0000007A" w14:textId="77777777" w:rsidR="002E1340" w:rsidRPr="00F778C6" w:rsidRDefault="002E1340" w:rsidP="00064074">
      <w:pPr>
        <w:spacing w:line="360" w:lineRule="auto"/>
        <w:jc w:val="both"/>
        <w:rPr>
          <w:rFonts w:ascii="Times New Roman" w:hAnsi="Times New Roman" w:cs="Times New Roman"/>
          <w:sz w:val="24"/>
          <w:szCs w:val="24"/>
        </w:rPr>
      </w:pPr>
    </w:p>
    <w:p w14:paraId="0000007B" w14:textId="707A28FF"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A su vez, es preciso recopilar información específica sobre cada una de las personas buscadas, tal como el nombre, la fecha de nacimiento, la estatura, el sexo, la edad, el hábito de lateralidad, la información odontológica, los datos sobre patologías o afecciones que dejen trastornos. En el caso de mujeres, datos de partos y </w:t>
      </w:r>
      <w:r w:rsidR="004817B2" w:rsidRPr="00F778C6">
        <w:rPr>
          <w:rFonts w:ascii="Times New Roman" w:hAnsi="Times New Roman" w:cs="Times New Roman"/>
          <w:sz w:val="24"/>
          <w:szCs w:val="24"/>
        </w:rPr>
        <w:t>embarazos. También</w:t>
      </w:r>
      <w:r w:rsidRPr="00F778C6">
        <w:rPr>
          <w:rFonts w:ascii="Times New Roman" w:hAnsi="Times New Roman" w:cs="Times New Roman"/>
          <w:sz w:val="24"/>
          <w:szCs w:val="24"/>
        </w:rPr>
        <w:t xml:space="preserve"> se registra la imagen. Estos datos se complementan con los datos sobre fecha y lugar de desaparición y cualquier otra información sobre lo ocurrido con posterioridad. </w:t>
      </w:r>
    </w:p>
    <w:p w14:paraId="0000007C" w14:textId="77777777" w:rsidR="002E1340" w:rsidRPr="00F778C6" w:rsidRDefault="002E1340" w:rsidP="00064074">
      <w:pPr>
        <w:spacing w:line="360" w:lineRule="auto"/>
        <w:jc w:val="both"/>
        <w:rPr>
          <w:rFonts w:ascii="Times New Roman" w:hAnsi="Times New Roman" w:cs="Times New Roman"/>
          <w:sz w:val="24"/>
          <w:szCs w:val="24"/>
        </w:rPr>
      </w:pPr>
    </w:p>
    <w:p w14:paraId="0000007D" w14:textId="35D11778"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Esta información se coteja con la proveniente del análisis de los restos óseos (información post mortem), que también es sistematizada. Los restos óseos y objetos hallados, embalados y catalogados, se trasladan al laboratorio donde se realiza el análisis. Previamente se toman radiografías para buscar datos de interés que no puedan ser observados a simple vista (presencia de esquirlas de proyectiles, dientes retenidos, procesos de maduración en huesos, etc.). También se lavan los huesos con agua y cepillos de cerda fina. Se los rotula con siglas para evitar la mezcla de esqueletos. Se reconstruye el esqueleto. El análisis determina raza, sexo, edad, estatura y hábito de lateralidad de cada </w:t>
      </w:r>
      <w:r w:rsidR="004817B2" w:rsidRPr="00F778C6">
        <w:rPr>
          <w:rFonts w:ascii="Times New Roman" w:hAnsi="Times New Roman" w:cs="Times New Roman"/>
          <w:sz w:val="24"/>
          <w:szCs w:val="24"/>
        </w:rPr>
        <w:t>individuo</w:t>
      </w:r>
      <w:r w:rsidRPr="00F778C6">
        <w:rPr>
          <w:rFonts w:ascii="Times New Roman" w:hAnsi="Times New Roman" w:cs="Times New Roman"/>
          <w:sz w:val="24"/>
          <w:szCs w:val="24"/>
        </w:rPr>
        <w:t xml:space="preserve">. Se realiza también una ficha odontológica que detalla todas las características de la dentadura. </w:t>
      </w:r>
    </w:p>
    <w:p w14:paraId="0000007E" w14:textId="77777777" w:rsidR="002E1340" w:rsidRPr="00F778C6" w:rsidRDefault="002E1340" w:rsidP="00064074">
      <w:pPr>
        <w:spacing w:line="360" w:lineRule="auto"/>
        <w:jc w:val="both"/>
        <w:rPr>
          <w:rFonts w:ascii="Times New Roman" w:hAnsi="Times New Roman" w:cs="Times New Roman"/>
          <w:sz w:val="24"/>
          <w:szCs w:val="24"/>
        </w:rPr>
      </w:pPr>
    </w:p>
    <w:p w14:paraId="0000007F"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análisis de la causa de muerte lo realizan técnicos forenses antropólogos o patólogos, según el caso, ya que no todas las heridas dejan rastros en los huesos. La investigación también considera los restos de objetos encontrados junto al esqueleto en lugar de inhumación. Otros traumatismos obligan a determinar si fueron producidos antes, cerca o después de la muerte. </w:t>
      </w:r>
    </w:p>
    <w:p w14:paraId="00000080" w14:textId="77777777" w:rsidR="002E1340" w:rsidRPr="00F778C6" w:rsidRDefault="002E1340" w:rsidP="00064074">
      <w:pPr>
        <w:spacing w:line="360" w:lineRule="auto"/>
        <w:jc w:val="both"/>
        <w:rPr>
          <w:rFonts w:ascii="Times New Roman" w:hAnsi="Times New Roman" w:cs="Times New Roman"/>
          <w:sz w:val="24"/>
          <w:szCs w:val="24"/>
        </w:rPr>
      </w:pPr>
    </w:p>
    <w:p w14:paraId="00000081"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Durante décadas solo se procedía a hacer identificaciones cuando los datos pre mortem de una persona buscada coincidían inequívocamente con los de un resto encontrado. Explica el EAAF: </w:t>
      </w:r>
    </w:p>
    <w:p w14:paraId="00000082" w14:textId="77777777" w:rsidR="002E1340" w:rsidRPr="00F778C6" w:rsidRDefault="002E1340" w:rsidP="00064074">
      <w:pPr>
        <w:spacing w:line="360" w:lineRule="auto"/>
        <w:jc w:val="both"/>
        <w:rPr>
          <w:rFonts w:ascii="Times New Roman" w:hAnsi="Times New Roman" w:cs="Times New Roman"/>
          <w:sz w:val="24"/>
          <w:szCs w:val="24"/>
        </w:rPr>
      </w:pPr>
    </w:p>
    <w:p w14:paraId="00000083" w14:textId="77777777" w:rsidR="002E1340" w:rsidRPr="00F778C6" w:rsidRDefault="00000000" w:rsidP="00064074">
      <w:pPr>
        <w:spacing w:line="360" w:lineRule="auto"/>
        <w:ind w:left="708"/>
        <w:jc w:val="both"/>
        <w:rPr>
          <w:rFonts w:ascii="Times New Roman" w:hAnsi="Times New Roman" w:cs="Times New Roman"/>
          <w:sz w:val="24"/>
          <w:szCs w:val="24"/>
        </w:rPr>
      </w:pPr>
      <w:r w:rsidRPr="00F778C6">
        <w:rPr>
          <w:rFonts w:ascii="Times New Roman" w:hAnsi="Times New Roman" w:cs="Times New Roman"/>
          <w:sz w:val="24"/>
          <w:szCs w:val="24"/>
        </w:rPr>
        <w:t xml:space="preserve">La coincidencia de datos formales presentes en ambos registros permitía decir que los dos registros se referían a la misma persona. Los datos históricos por sí mismos no permitían finalizar el proceso: con ellos se podía llegar al convencimiento de que un </w:t>
      </w:r>
      <w:r w:rsidRPr="00F778C6">
        <w:rPr>
          <w:rFonts w:ascii="Times New Roman" w:hAnsi="Times New Roman" w:cs="Times New Roman"/>
          <w:sz w:val="24"/>
          <w:szCs w:val="24"/>
        </w:rPr>
        <w:lastRenderedPageBreak/>
        <w:t>determinado cuerpo pertenecía a una determinada identidad, pero sin datos formales (fotografías, huellas dactilares, datos médicos u odontológicos) la identificación no podía completarse. El desarrollo de un método de investigación y la incorporación de tecnologías fueron mejorando las probabilidades de identificación.</w:t>
      </w:r>
    </w:p>
    <w:p w14:paraId="00000084" w14:textId="77777777" w:rsidR="002E1340" w:rsidRPr="00F778C6" w:rsidRDefault="002E1340" w:rsidP="00064074">
      <w:pPr>
        <w:spacing w:line="360" w:lineRule="auto"/>
        <w:jc w:val="both"/>
        <w:rPr>
          <w:rFonts w:ascii="Times New Roman" w:hAnsi="Times New Roman" w:cs="Times New Roman"/>
          <w:sz w:val="24"/>
          <w:szCs w:val="24"/>
        </w:rPr>
      </w:pPr>
    </w:p>
    <w:bookmarkStart w:id="6" w:name="_heading=h.lshaedokljfh" w:colFirst="0" w:colLast="0" w:displacedByCustomXml="next"/>
    <w:bookmarkEnd w:id="6" w:displacedByCustomXml="next"/>
    <w:sdt>
      <w:sdtPr>
        <w:rPr>
          <w:rFonts w:ascii="Times New Roman" w:hAnsi="Times New Roman" w:cs="Times New Roman"/>
          <w:color w:val="auto"/>
          <w:sz w:val="24"/>
          <w:szCs w:val="24"/>
        </w:rPr>
        <w:tag w:val="goog_rdk_0"/>
        <w:id w:val="-1860502597"/>
      </w:sdtPr>
      <w:sdtContent>
        <w:p w14:paraId="00000085" w14:textId="7F1F21BB" w:rsidR="002E1340" w:rsidRDefault="00000000" w:rsidP="00064074">
          <w:pPr>
            <w:pStyle w:val="Ttulo5"/>
            <w:keepNext w:val="0"/>
            <w:keepLines w:val="0"/>
            <w:spacing w:before="0" w:after="0" w:line="360" w:lineRule="auto"/>
            <w:jc w:val="both"/>
            <w:rPr>
              <w:rFonts w:ascii="Times New Roman" w:hAnsi="Times New Roman" w:cs="Times New Roman"/>
              <w:b/>
              <w:color w:val="000000"/>
              <w:sz w:val="24"/>
              <w:szCs w:val="24"/>
            </w:rPr>
          </w:pPr>
          <w:r w:rsidRPr="00F778C6">
            <w:rPr>
              <w:rFonts w:ascii="Times New Roman" w:hAnsi="Times New Roman" w:cs="Times New Roman"/>
              <w:b/>
              <w:color w:val="000000"/>
              <w:sz w:val="24"/>
              <w:szCs w:val="24"/>
            </w:rPr>
            <w:t>La investigación sobre la información burocrática</w:t>
          </w:r>
        </w:p>
        <w:p w14:paraId="685DFF63" w14:textId="77777777" w:rsidR="00064074" w:rsidRPr="00064074" w:rsidRDefault="00000000" w:rsidP="00064074"/>
      </w:sdtContent>
    </w:sdt>
    <w:p w14:paraId="00000086" w14:textId="791B6DED"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Desde la apertura de los juicios por la verdad en el año 1996, la Cámara Federal en lo Criminal y Correccional de la Capital Federal se transformó en una instancia clave en la investigación del destino final de las víctimas.  </w:t>
      </w:r>
    </w:p>
    <w:p w14:paraId="2C550BB1" w14:textId="77777777" w:rsidR="00064074" w:rsidRPr="00F778C6" w:rsidRDefault="00064074" w:rsidP="00064074">
      <w:pPr>
        <w:spacing w:line="360" w:lineRule="auto"/>
        <w:jc w:val="both"/>
        <w:rPr>
          <w:rFonts w:ascii="Times New Roman" w:hAnsi="Times New Roman" w:cs="Times New Roman"/>
          <w:sz w:val="24"/>
          <w:szCs w:val="24"/>
        </w:rPr>
      </w:pPr>
    </w:p>
    <w:p w14:paraId="00000087" w14:textId="55AE6309"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7 de julio de 1997 se dictó la Resolución 13/97-P que dispuso formar un legajo general que comprendiera todas las medidas de búsqueda de personas. En aquel entonces la actividad jurisdiccional se encontraba interrumpida por las leyes de Punto Final y Obediencia Debida. Por pedido de las víctimas se había reconocido el derecho a la verdad que había dado inicio a lo que se conoció como Juicios por la Verdad. </w:t>
      </w:r>
    </w:p>
    <w:p w14:paraId="1E1A3307" w14:textId="77777777" w:rsidR="00064074" w:rsidRPr="00F778C6" w:rsidRDefault="00064074" w:rsidP="00064074">
      <w:pPr>
        <w:spacing w:line="360" w:lineRule="auto"/>
        <w:jc w:val="both"/>
        <w:rPr>
          <w:rFonts w:ascii="Times New Roman" w:hAnsi="Times New Roman" w:cs="Times New Roman"/>
          <w:sz w:val="24"/>
          <w:szCs w:val="24"/>
        </w:rPr>
      </w:pPr>
    </w:p>
    <w:p w14:paraId="00000088" w14:textId="6E245674"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Cámara Federal de la Capital Federal asumió la tarea de investigar a partir de información burocrática lo ocurrido a las víctimas de desaparición forzada. Se accedió entonces, por disposición judicial, a fuentes que no habían sido exploradas y se dispuso la preservación de los archivos, lo que permite hasta la actualidad continuar las investigaciones. </w:t>
      </w:r>
    </w:p>
    <w:p w14:paraId="031581DA" w14:textId="77777777" w:rsidR="00064074" w:rsidRPr="00F778C6" w:rsidRDefault="00064074" w:rsidP="00064074">
      <w:pPr>
        <w:spacing w:line="360" w:lineRule="auto"/>
        <w:jc w:val="both"/>
        <w:rPr>
          <w:rFonts w:ascii="Times New Roman" w:hAnsi="Times New Roman" w:cs="Times New Roman"/>
          <w:sz w:val="24"/>
          <w:szCs w:val="24"/>
        </w:rPr>
      </w:pPr>
    </w:p>
    <w:p w14:paraId="00000089" w14:textId="6B233646"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Como primera medida el tribunal envió un oficio al Presidente de la Nación para, en su carácter de comandante en Jefe de las Fuerzas Armadas, requiriera a los órganos competentes que aportaran todos los datos e información que obraran en sus dependencias para establecer el destino final de las personas desaparecidas. </w:t>
      </w:r>
    </w:p>
    <w:p w14:paraId="40E61078" w14:textId="77777777" w:rsidR="00064074" w:rsidRPr="00F778C6" w:rsidRDefault="00064074" w:rsidP="00064074">
      <w:pPr>
        <w:spacing w:line="360" w:lineRule="auto"/>
        <w:jc w:val="both"/>
        <w:rPr>
          <w:rFonts w:ascii="Times New Roman" w:hAnsi="Times New Roman" w:cs="Times New Roman"/>
          <w:sz w:val="24"/>
          <w:szCs w:val="24"/>
        </w:rPr>
      </w:pPr>
    </w:p>
    <w:p w14:paraId="0000008B" w14:textId="5512B1DF"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Por una </w:t>
      </w:r>
      <w:r w:rsidR="004817B2" w:rsidRPr="00F778C6">
        <w:rPr>
          <w:rFonts w:ascii="Times New Roman" w:hAnsi="Times New Roman" w:cs="Times New Roman"/>
          <w:sz w:val="24"/>
          <w:szCs w:val="24"/>
        </w:rPr>
        <w:t>parte,</w:t>
      </w:r>
      <w:r w:rsidRPr="00F778C6">
        <w:rPr>
          <w:rFonts w:ascii="Times New Roman" w:hAnsi="Times New Roman" w:cs="Times New Roman"/>
          <w:sz w:val="24"/>
          <w:szCs w:val="24"/>
        </w:rPr>
        <w:t xml:space="preserve"> el tribunal dispuso el resguardo a través del dictado de medidas cautelares de toda la información que podía aportar a la búsqueda de personas desaparecidas y que no obraba en su poder. Dictó una prohibición de innovar sobre la información archivada en el Consejo Supremo de las Fuerzas Armadas –Ejército, Armada y Fuerza Aérea- y en los Poderes Ejecutivo, Legislativo y Judicial, el Gobierno de la Ciudad Autónoma de Buenos Aires y a la Dirección de Inteligencia de la Policía de la Provincia de Buenos Aires (Resoluciones </w:t>
      </w:r>
      <w:proofErr w:type="spellStart"/>
      <w:r w:rsidRPr="00F778C6">
        <w:rPr>
          <w:rFonts w:ascii="Times New Roman" w:hAnsi="Times New Roman" w:cs="Times New Roman"/>
          <w:sz w:val="24"/>
          <w:szCs w:val="24"/>
        </w:rPr>
        <w:t>N°</w:t>
      </w:r>
      <w:proofErr w:type="spellEnd"/>
      <w:r w:rsidRPr="00F778C6">
        <w:rPr>
          <w:rFonts w:ascii="Times New Roman" w:hAnsi="Times New Roman" w:cs="Times New Roman"/>
          <w:sz w:val="24"/>
          <w:szCs w:val="24"/>
        </w:rPr>
        <w:t xml:space="preserve"> 4/99-</w:t>
      </w:r>
      <w:r w:rsidRPr="00F778C6">
        <w:rPr>
          <w:rFonts w:ascii="Times New Roman" w:hAnsi="Times New Roman" w:cs="Times New Roman"/>
          <w:sz w:val="24"/>
          <w:szCs w:val="24"/>
        </w:rPr>
        <w:lastRenderedPageBreak/>
        <w:t xml:space="preserve">P del 12 de mayo de 1999, </w:t>
      </w:r>
      <w:proofErr w:type="spellStart"/>
      <w:r w:rsidRPr="00F778C6">
        <w:rPr>
          <w:rFonts w:ascii="Times New Roman" w:hAnsi="Times New Roman" w:cs="Times New Roman"/>
          <w:sz w:val="24"/>
          <w:szCs w:val="24"/>
        </w:rPr>
        <w:t>N°</w:t>
      </w:r>
      <w:proofErr w:type="spellEnd"/>
      <w:r w:rsidRPr="00F778C6">
        <w:rPr>
          <w:rFonts w:ascii="Times New Roman" w:hAnsi="Times New Roman" w:cs="Times New Roman"/>
          <w:sz w:val="24"/>
          <w:szCs w:val="24"/>
        </w:rPr>
        <w:t xml:space="preserve"> 5/99-P del 19 de mayo de 1999 y </w:t>
      </w:r>
      <w:proofErr w:type="spellStart"/>
      <w:r w:rsidRPr="00F778C6">
        <w:rPr>
          <w:rFonts w:ascii="Times New Roman" w:hAnsi="Times New Roman" w:cs="Times New Roman"/>
          <w:sz w:val="24"/>
          <w:szCs w:val="24"/>
        </w:rPr>
        <w:t>N°</w:t>
      </w:r>
      <w:proofErr w:type="spellEnd"/>
      <w:r w:rsidRPr="00F778C6">
        <w:rPr>
          <w:rFonts w:ascii="Times New Roman" w:hAnsi="Times New Roman" w:cs="Times New Roman"/>
          <w:sz w:val="24"/>
          <w:szCs w:val="24"/>
        </w:rPr>
        <w:t xml:space="preserve"> 12/99-P del 1 de septiembre de 1999).</w:t>
      </w:r>
    </w:p>
    <w:p w14:paraId="493E8F87" w14:textId="77777777" w:rsidR="00064074" w:rsidRPr="00F778C6" w:rsidRDefault="00064074" w:rsidP="00064074">
      <w:pPr>
        <w:spacing w:line="360" w:lineRule="auto"/>
        <w:jc w:val="both"/>
        <w:rPr>
          <w:rFonts w:ascii="Times New Roman" w:hAnsi="Times New Roman" w:cs="Times New Roman"/>
          <w:sz w:val="24"/>
          <w:szCs w:val="24"/>
        </w:rPr>
      </w:pPr>
    </w:p>
    <w:p w14:paraId="0000008C" w14:textId="00150DE1"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Por otra parte, el Tribunal se constituyó en la sede de la Prefectura Naval Argentina donde se cotejaron los libros y se obtuvieron 81 prontuarios de cadáveres labrados por los hallazgos de personas en el período de interés. </w:t>
      </w:r>
    </w:p>
    <w:p w14:paraId="42C2306D" w14:textId="77777777" w:rsidR="00064074" w:rsidRPr="00F778C6" w:rsidRDefault="00064074" w:rsidP="00064074">
      <w:pPr>
        <w:spacing w:line="360" w:lineRule="auto"/>
        <w:jc w:val="both"/>
        <w:rPr>
          <w:rFonts w:ascii="Times New Roman" w:hAnsi="Times New Roman" w:cs="Times New Roman"/>
          <w:sz w:val="24"/>
          <w:szCs w:val="24"/>
        </w:rPr>
      </w:pPr>
    </w:p>
    <w:p w14:paraId="0000008D" w14:textId="2EC8AE93"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Se requirieron informes a la Dirección del Cementerio Municipal de la Chacarita, el más grande de la Ciudad Autónoma de Buenos Aires, respecto de las personas inhumadas como N.N. entre los años 1975/1980. El relevamiento se extendió a los cementerios municipales de la provincia de Buenos Aires. Se analizaron los datos obtenidos en los libros de inhumaciones, haciendo foco en las sepulturas de personas no identificadas y/o con causa de muerte violenta. Esta tarea completó la realizada en los primeros años de la democracia por la Secretaría de Derechos Humanos, antes descripta. A partir de esta pesquisa se dispuso la exhumación arqueológica de tumbas N.N. </w:t>
      </w:r>
    </w:p>
    <w:p w14:paraId="63DE10DF" w14:textId="77777777" w:rsidR="00064074" w:rsidRPr="00F778C6" w:rsidRDefault="00064074" w:rsidP="00064074">
      <w:pPr>
        <w:spacing w:line="360" w:lineRule="auto"/>
        <w:jc w:val="both"/>
        <w:rPr>
          <w:rFonts w:ascii="Times New Roman" w:hAnsi="Times New Roman" w:cs="Times New Roman"/>
          <w:sz w:val="24"/>
          <w:szCs w:val="24"/>
        </w:rPr>
      </w:pPr>
    </w:p>
    <w:p w14:paraId="0000008E" w14:textId="593A2230"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En el orden internacional, en el año 2001 se recibió información de la Comisión Para la Paz de la República Oriental del Uruguay relativa a ciudadanos uruguayos desaparecidos en Argentina (huellas dactilares, información relativa a las circunstancias de desaparición, expedientes de hallazgo). </w:t>
      </w:r>
    </w:p>
    <w:p w14:paraId="263E69D9" w14:textId="77777777" w:rsidR="00064074" w:rsidRPr="00F778C6" w:rsidRDefault="00064074" w:rsidP="00064074">
      <w:pPr>
        <w:spacing w:line="360" w:lineRule="auto"/>
        <w:jc w:val="both"/>
        <w:rPr>
          <w:rFonts w:ascii="Times New Roman" w:hAnsi="Times New Roman" w:cs="Times New Roman"/>
          <w:sz w:val="24"/>
          <w:szCs w:val="24"/>
        </w:rPr>
      </w:pPr>
    </w:p>
    <w:p w14:paraId="0000008F" w14:textId="436F7E93"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el año 2002 se recuperaron los restos óseos que se encontraban depositados en la sede de la Asesoría Pericial de La Plata, Provincia de Buenos Aires. La mayoría de éstos, fueron exhumados entre los años 1984 y 1985, en el marco de las causas labradas para investigar inhumaciones irregulares durante el período 1976-1983 en distintos cementerios de la Provincia de Buenos Aires.</w:t>
      </w:r>
    </w:p>
    <w:p w14:paraId="2757B7F4" w14:textId="77777777" w:rsidR="00064074" w:rsidRPr="00F778C6" w:rsidRDefault="00064074" w:rsidP="00064074">
      <w:pPr>
        <w:spacing w:line="360" w:lineRule="auto"/>
        <w:jc w:val="both"/>
        <w:rPr>
          <w:rFonts w:ascii="Times New Roman" w:hAnsi="Times New Roman" w:cs="Times New Roman"/>
          <w:sz w:val="24"/>
          <w:szCs w:val="24"/>
        </w:rPr>
      </w:pPr>
    </w:p>
    <w:p w14:paraId="00000090"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relación con la información obrante en Registros Públicos, la Cámara Federal recolectó las fichas decadactilares y datos filiatorios que ordena la ley 17.761 del Registro Nacional de las Personas (RENAPER), correspondientes a las personas denunciadas como desaparecidas. Con esos datos, se conformó la base indubitable para la realización de cotejos dactiloscópicos. Como resultado se logró identificar una cantidad significativa de personas desaparecidas. De igual modo, se obtuvieron actas de defunción de personas N.N. del Registro Civil de la Ciudad de Buenos Aires y de distintas Delegaciones de la Provincia de Buenos Aires.</w:t>
      </w:r>
    </w:p>
    <w:p w14:paraId="00000091" w14:textId="6B38CA5A"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 xml:space="preserve">En este proceso, hasta el año 2008 se habían identificaron 70 esqueletos. Desde que se implementó la Iniciativa Latinoamericana para la Identificación de Personas Desaparecidas, que se describe posteriormente, las identificaciones se multiplicaron. </w:t>
      </w:r>
    </w:p>
    <w:p w14:paraId="7CB7E02B" w14:textId="77777777" w:rsidR="00064074" w:rsidRPr="00F778C6" w:rsidRDefault="00064074" w:rsidP="00064074">
      <w:pPr>
        <w:spacing w:line="360" w:lineRule="auto"/>
        <w:jc w:val="both"/>
        <w:rPr>
          <w:rFonts w:ascii="Times New Roman" w:hAnsi="Times New Roman" w:cs="Times New Roman"/>
          <w:sz w:val="24"/>
          <w:szCs w:val="24"/>
        </w:rPr>
      </w:pPr>
    </w:p>
    <w:p w14:paraId="00000092" w14:textId="351FCD07"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Por otra parte, la actuación de la Cámara Federal permitió el acceso a archivos de la Policía Federal y la Policía de la Provincia de Buenos Aires. En 1998 se autorizó al EAAF a acceder a los archivos de microfilmaciones de dichas fuerzas policiales.</w:t>
      </w:r>
    </w:p>
    <w:p w14:paraId="200965AE" w14:textId="77777777" w:rsidR="00064074" w:rsidRPr="00F778C6" w:rsidRDefault="00064074" w:rsidP="00064074">
      <w:pPr>
        <w:spacing w:line="360" w:lineRule="auto"/>
        <w:jc w:val="both"/>
        <w:rPr>
          <w:rFonts w:ascii="Times New Roman" w:hAnsi="Times New Roman" w:cs="Times New Roman"/>
          <w:sz w:val="24"/>
          <w:szCs w:val="24"/>
        </w:rPr>
      </w:pPr>
    </w:p>
    <w:p w14:paraId="00000093" w14:textId="238E7969"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el de la Policía de la Provincia de Buenos Aires se encontraron dos tipos de documentos de interés: los denominados “expedientes cadáver” y los Libros de Registro de Cadáveres. Ambos contenían información sobre personas muertas por causas violentas y personas muertas no identificadas. En esos expedientes con frecuencia se adjuntan huellas dactilares, fotografías, descripciones de los cuerpos y sus vicisitudes hasta el momento de su inhumación, y otros datos de interés.</w:t>
      </w:r>
    </w:p>
    <w:p w14:paraId="2BD489A3" w14:textId="77777777" w:rsidR="00064074" w:rsidRPr="00F778C6" w:rsidRDefault="00064074" w:rsidP="00064074">
      <w:pPr>
        <w:spacing w:line="360" w:lineRule="auto"/>
        <w:jc w:val="both"/>
        <w:rPr>
          <w:rFonts w:ascii="Times New Roman" w:hAnsi="Times New Roman" w:cs="Times New Roman"/>
          <w:sz w:val="24"/>
          <w:szCs w:val="24"/>
        </w:rPr>
      </w:pPr>
    </w:p>
    <w:p w14:paraId="00000094" w14:textId="13B0F98D"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los archivos microfilmados de la Policía Federal se pudieron obtener huellas dactilares de personas que habían muerto de manera violenta o sospechosa o que habían sido encontradas muertas en la vía pública durante el período 1975/1980. A pesar de que a los cuerpos se les tomaban las huellas dactilares, no se procedía a su posterior identificación e información a sus familiares, salvo escasas excepciones.</w:t>
      </w:r>
    </w:p>
    <w:p w14:paraId="076246B4" w14:textId="77777777" w:rsidR="00064074" w:rsidRPr="00F778C6" w:rsidRDefault="00064074" w:rsidP="00064074">
      <w:pPr>
        <w:spacing w:line="360" w:lineRule="auto"/>
        <w:jc w:val="both"/>
        <w:rPr>
          <w:rFonts w:ascii="Times New Roman" w:hAnsi="Times New Roman" w:cs="Times New Roman"/>
          <w:sz w:val="24"/>
          <w:szCs w:val="24"/>
        </w:rPr>
      </w:pPr>
    </w:p>
    <w:p w14:paraId="00000095" w14:textId="603F2EDF"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Otra fuente a la que tuvo acceso la Cámara Federal en los Criminal y Correccional fueron los denominados expedientes de “Carátulas Blancas” que habían tramitado ante el Consejo Supremo de las Fuerzas Armadas (CONSUFA) en los que constaban enfrentamientos fraguados entre civiles y miembros de las Fuerzas Armadas. La investigación determinó que las imágenes de los hechos -incorporadas a los expedientes- mostraban cadáveres en estado de </w:t>
      </w:r>
      <w:r w:rsidR="004817B2" w:rsidRPr="00F778C6">
        <w:rPr>
          <w:rFonts w:ascii="Times New Roman" w:hAnsi="Times New Roman" w:cs="Times New Roman"/>
          <w:sz w:val="24"/>
          <w:szCs w:val="24"/>
        </w:rPr>
        <w:t>descomposición, lo</w:t>
      </w:r>
      <w:r w:rsidRPr="00F778C6">
        <w:rPr>
          <w:rFonts w:ascii="Times New Roman" w:hAnsi="Times New Roman" w:cs="Times New Roman"/>
          <w:sz w:val="24"/>
          <w:szCs w:val="24"/>
        </w:rPr>
        <w:t xml:space="preserve"> que daba cuenta de que la muerte no se había producido en el </w:t>
      </w:r>
      <w:r w:rsidR="004817B2" w:rsidRPr="00F778C6">
        <w:rPr>
          <w:rFonts w:ascii="Times New Roman" w:hAnsi="Times New Roman" w:cs="Times New Roman"/>
          <w:sz w:val="24"/>
          <w:szCs w:val="24"/>
        </w:rPr>
        <w:t>enfrentamiento,</w:t>
      </w:r>
      <w:r w:rsidRPr="00F778C6">
        <w:rPr>
          <w:rFonts w:ascii="Times New Roman" w:hAnsi="Times New Roman" w:cs="Times New Roman"/>
          <w:sz w:val="24"/>
          <w:szCs w:val="24"/>
        </w:rPr>
        <w:t xml:space="preserve"> sino que se trataba de una manera de deshacerse de los cuerpos de personas que habían muerto con anterioridad. Además, en esos expedientes estaban las huellas digitales de las personas, que cotejadas con el Registro Nacional permitían identificar a las víctimas, aun cuando no se encontraran los cuerpos, procediendo a su identificación administrativa por orden judicial.</w:t>
      </w:r>
    </w:p>
    <w:p w14:paraId="72F605CA" w14:textId="77777777" w:rsidR="00064074" w:rsidRPr="00F778C6" w:rsidRDefault="00064074" w:rsidP="00064074">
      <w:pPr>
        <w:spacing w:line="360" w:lineRule="auto"/>
        <w:jc w:val="both"/>
        <w:rPr>
          <w:rFonts w:ascii="Times New Roman" w:hAnsi="Times New Roman" w:cs="Times New Roman"/>
          <w:sz w:val="24"/>
          <w:szCs w:val="24"/>
        </w:rPr>
      </w:pPr>
    </w:p>
    <w:p w14:paraId="00000096" w14:textId="6348FBFC"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Las fichas de huellas dactilares son uno de los recursos más importantes para la identificación de personas desaparecidas. A muchas personas desaparecidas se les tomaron huellas dactilares antes de enterrarlas como N.N. y esas fichas fueron resguardadas en los archivos policiales o de los Registros Civiles; por otra parte, a todas las personas en Argentina se les toman las huellas dactilares en el momento de la elaboración del documento nacional de identidad, lo que permite la comparación de fichas dactilares.</w:t>
      </w:r>
    </w:p>
    <w:p w14:paraId="01F7D814" w14:textId="77777777" w:rsidR="00064074" w:rsidRPr="00F778C6" w:rsidRDefault="00064074" w:rsidP="00064074">
      <w:pPr>
        <w:spacing w:line="360" w:lineRule="auto"/>
        <w:jc w:val="both"/>
        <w:rPr>
          <w:rFonts w:ascii="Times New Roman" w:hAnsi="Times New Roman" w:cs="Times New Roman"/>
          <w:sz w:val="24"/>
          <w:szCs w:val="24"/>
        </w:rPr>
      </w:pPr>
    </w:p>
    <w:p w14:paraId="00000097" w14:textId="1C292F77"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estas investigaciones el papel principal de la Cámara Federal consiste en lograr el acceso a las fuentes burocráticas y ponerlas a disposición del EAAF que como auxiliar de la justicia se encarga de formular las hipótesis y comparar las fichas dactilares de los registros policiales con las del Registro Nacional de las Personas. Una vez que se determina la coincidencia de las huellas dactilares el EAAF realiza una segunda constatación a través de agencias oficiales y por último remite el dictamen a la Cámara Federal para que oficialice la identificación e informe a los familiares de las víctimas.</w:t>
      </w:r>
    </w:p>
    <w:p w14:paraId="730EA48C" w14:textId="77777777" w:rsidR="00064074" w:rsidRPr="00F778C6" w:rsidRDefault="00064074" w:rsidP="00064074">
      <w:pPr>
        <w:spacing w:line="360" w:lineRule="auto"/>
        <w:jc w:val="both"/>
        <w:rPr>
          <w:rFonts w:ascii="Times New Roman" w:hAnsi="Times New Roman" w:cs="Times New Roman"/>
          <w:sz w:val="24"/>
          <w:szCs w:val="24"/>
        </w:rPr>
      </w:pPr>
    </w:p>
    <w:p w14:paraId="00000098" w14:textId="13CB882C"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A partir del año 2014, la Resolución 504/13 del Ministerio de Seguridad de la Nación permitió la comparación masiva de huellas dactiloscópicas mediante la utilización del software </w:t>
      </w:r>
      <w:proofErr w:type="spellStart"/>
      <w:r w:rsidRPr="00F778C6">
        <w:rPr>
          <w:rFonts w:ascii="Times New Roman" w:hAnsi="Times New Roman" w:cs="Times New Roman"/>
          <w:sz w:val="24"/>
          <w:szCs w:val="24"/>
        </w:rPr>
        <w:t>Automated</w:t>
      </w:r>
      <w:proofErr w:type="spellEnd"/>
      <w:r w:rsidRPr="00F778C6">
        <w:rPr>
          <w:rFonts w:ascii="Times New Roman" w:hAnsi="Times New Roman" w:cs="Times New Roman"/>
          <w:sz w:val="24"/>
          <w:szCs w:val="24"/>
        </w:rPr>
        <w:t xml:space="preserve"> </w:t>
      </w:r>
      <w:proofErr w:type="spellStart"/>
      <w:r w:rsidRPr="00F778C6">
        <w:rPr>
          <w:rFonts w:ascii="Times New Roman" w:hAnsi="Times New Roman" w:cs="Times New Roman"/>
          <w:sz w:val="24"/>
          <w:szCs w:val="24"/>
        </w:rPr>
        <w:t>Fingerprint</w:t>
      </w:r>
      <w:proofErr w:type="spellEnd"/>
      <w:r w:rsidRPr="00F778C6">
        <w:rPr>
          <w:rFonts w:ascii="Times New Roman" w:hAnsi="Times New Roman" w:cs="Times New Roman"/>
          <w:sz w:val="24"/>
          <w:szCs w:val="24"/>
        </w:rPr>
        <w:t xml:space="preserve"> </w:t>
      </w:r>
      <w:proofErr w:type="spellStart"/>
      <w:r w:rsidRPr="00F778C6">
        <w:rPr>
          <w:rFonts w:ascii="Times New Roman" w:hAnsi="Times New Roman" w:cs="Times New Roman"/>
          <w:sz w:val="24"/>
          <w:szCs w:val="24"/>
        </w:rPr>
        <w:t>Identification</w:t>
      </w:r>
      <w:proofErr w:type="spellEnd"/>
      <w:r w:rsidRPr="00F778C6">
        <w:rPr>
          <w:rFonts w:ascii="Times New Roman" w:hAnsi="Times New Roman" w:cs="Times New Roman"/>
          <w:sz w:val="24"/>
          <w:szCs w:val="24"/>
        </w:rPr>
        <w:t xml:space="preserve"> </w:t>
      </w:r>
      <w:proofErr w:type="spellStart"/>
      <w:r w:rsidRPr="00F778C6">
        <w:rPr>
          <w:rFonts w:ascii="Times New Roman" w:hAnsi="Times New Roman" w:cs="Times New Roman"/>
          <w:sz w:val="24"/>
          <w:szCs w:val="24"/>
        </w:rPr>
        <w:t>System</w:t>
      </w:r>
      <w:proofErr w:type="spellEnd"/>
      <w:r w:rsidRPr="00F778C6">
        <w:rPr>
          <w:rFonts w:ascii="Times New Roman" w:hAnsi="Times New Roman" w:cs="Times New Roman"/>
          <w:sz w:val="24"/>
          <w:szCs w:val="24"/>
        </w:rPr>
        <w:t xml:space="preserve"> (AFIS). La Cámara Federal remitió a la Dirección Nacional de Derechos Humanos del Ministerio de Seguridad las huellas microfilmadas de los prontuarios de cadáveres de la Policía Federal Argentina, de la Policía de la Provincia de Buenos Aires, de la Prefectura Naval Argentina, de los sumarios del Consejo de Guerra Especial Estable </w:t>
      </w:r>
      <w:proofErr w:type="spellStart"/>
      <w:r w:rsidRPr="00F778C6">
        <w:rPr>
          <w:rFonts w:ascii="Times New Roman" w:hAnsi="Times New Roman" w:cs="Times New Roman"/>
          <w:sz w:val="24"/>
          <w:szCs w:val="24"/>
        </w:rPr>
        <w:t>Nº</w:t>
      </w:r>
      <w:proofErr w:type="spellEnd"/>
      <w:r w:rsidRPr="00F778C6">
        <w:rPr>
          <w:rFonts w:ascii="Times New Roman" w:hAnsi="Times New Roman" w:cs="Times New Roman"/>
          <w:sz w:val="24"/>
          <w:szCs w:val="24"/>
        </w:rPr>
        <w:t xml:space="preserve"> 1/1 y de la Sección </w:t>
      </w:r>
      <w:proofErr w:type="spellStart"/>
      <w:r w:rsidRPr="00F778C6">
        <w:rPr>
          <w:rFonts w:ascii="Times New Roman" w:hAnsi="Times New Roman" w:cs="Times New Roman"/>
          <w:sz w:val="24"/>
          <w:szCs w:val="24"/>
        </w:rPr>
        <w:t>necropapiloscopía</w:t>
      </w:r>
      <w:proofErr w:type="spellEnd"/>
      <w:r w:rsidRPr="00F778C6">
        <w:rPr>
          <w:rFonts w:ascii="Times New Roman" w:hAnsi="Times New Roman" w:cs="Times New Roman"/>
          <w:sz w:val="24"/>
          <w:szCs w:val="24"/>
        </w:rPr>
        <w:t xml:space="preserve"> de la Policía de la Provincia de Buenos Aires. </w:t>
      </w:r>
    </w:p>
    <w:p w14:paraId="0233B676" w14:textId="77777777" w:rsidR="00064074" w:rsidRPr="00F778C6" w:rsidRDefault="00064074" w:rsidP="00064074">
      <w:pPr>
        <w:spacing w:line="360" w:lineRule="auto"/>
        <w:jc w:val="both"/>
        <w:rPr>
          <w:rFonts w:ascii="Times New Roman" w:hAnsi="Times New Roman" w:cs="Times New Roman"/>
          <w:sz w:val="24"/>
          <w:szCs w:val="24"/>
        </w:rPr>
      </w:pPr>
    </w:p>
    <w:p w14:paraId="00000099" w14:textId="14EB825E"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objetivo de esta tarea es la conformación de una base dubitable para confrontarla con la base indubitable integrada por las huellas de las personas denunciadas como </w:t>
      </w:r>
      <w:r w:rsidR="004817B2" w:rsidRPr="00F778C6">
        <w:rPr>
          <w:rFonts w:ascii="Times New Roman" w:hAnsi="Times New Roman" w:cs="Times New Roman"/>
          <w:sz w:val="24"/>
          <w:szCs w:val="24"/>
        </w:rPr>
        <w:t>desaparecidas provenientes</w:t>
      </w:r>
      <w:r w:rsidRPr="00F778C6">
        <w:rPr>
          <w:rFonts w:ascii="Times New Roman" w:hAnsi="Times New Roman" w:cs="Times New Roman"/>
          <w:sz w:val="24"/>
          <w:szCs w:val="24"/>
        </w:rPr>
        <w:t xml:space="preserve"> de los llamados Formularios Nº1 del Registro Nacional de las Personas. En el año 2015 se produjo la primera identificación dactiloscópica por el método de comparaciones masivas. </w:t>
      </w:r>
    </w:p>
    <w:p w14:paraId="29F51E27" w14:textId="77777777" w:rsidR="00064074" w:rsidRPr="00F778C6" w:rsidRDefault="00064074" w:rsidP="00064074">
      <w:pPr>
        <w:spacing w:line="360" w:lineRule="auto"/>
        <w:jc w:val="both"/>
        <w:rPr>
          <w:rFonts w:ascii="Times New Roman" w:hAnsi="Times New Roman" w:cs="Times New Roman"/>
          <w:sz w:val="24"/>
          <w:szCs w:val="24"/>
          <w:highlight w:val="yellow"/>
        </w:rPr>
      </w:pPr>
    </w:p>
    <w:p w14:paraId="0000009A" w14:textId="3B928C05"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Se advierte </w:t>
      </w:r>
      <w:proofErr w:type="gramStart"/>
      <w:r w:rsidRPr="00F778C6">
        <w:rPr>
          <w:rFonts w:ascii="Times New Roman" w:hAnsi="Times New Roman" w:cs="Times New Roman"/>
          <w:sz w:val="24"/>
          <w:szCs w:val="24"/>
        </w:rPr>
        <w:t>que</w:t>
      </w:r>
      <w:proofErr w:type="gramEnd"/>
      <w:r w:rsidRPr="00F778C6">
        <w:rPr>
          <w:rFonts w:ascii="Times New Roman" w:hAnsi="Times New Roman" w:cs="Times New Roman"/>
          <w:sz w:val="24"/>
          <w:szCs w:val="24"/>
        </w:rPr>
        <w:t xml:space="preserve"> en estos casos, aunque se logre determinar la identidad de los cuerpos que fueron enterrados como N.N. no necesariamente se logra restituir los restos a sus familiares. Como se mencionó anteriormente, en un número muy significativo de cementerios municipales no se han preservado las tumbas de las personas no identificadas y los restos fueron derivados </w:t>
      </w:r>
      <w:r w:rsidRPr="00F778C6">
        <w:rPr>
          <w:rFonts w:ascii="Times New Roman" w:hAnsi="Times New Roman" w:cs="Times New Roman"/>
          <w:sz w:val="24"/>
          <w:szCs w:val="24"/>
        </w:rPr>
        <w:lastRenderedPageBreak/>
        <w:t xml:space="preserve">a osarios comunes en los que se alojan junto a los de personas indigentes y otras no identificadas que no fueron víctimas de la represión estatal. </w:t>
      </w:r>
    </w:p>
    <w:p w14:paraId="00126B18" w14:textId="77777777" w:rsidR="00064074" w:rsidRPr="00F778C6" w:rsidRDefault="00064074" w:rsidP="00064074">
      <w:pPr>
        <w:spacing w:line="360" w:lineRule="auto"/>
        <w:jc w:val="both"/>
        <w:rPr>
          <w:rFonts w:ascii="Times New Roman" w:hAnsi="Times New Roman" w:cs="Times New Roman"/>
          <w:sz w:val="24"/>
          <w:szCs w:val="24"/>
        </w:rPr>
      </w:pPr>
    </w:p>
    <w:p w14:paraId="0000009B"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De acuerdo con lo informado por el EAAF, una vez pasados al osario común, si los cuerpos no fueron colocados separadamente, la recuperación ya no es practicable puesto que se mezclan con miles de otros, y frecuentemente en el traslado resultan destruidos. Estos factores tornan imposible lograr la recuperación, reconstrucción e identificación para entregarlos a las familias.</w:t>
      </w:r>
    </w:p>
    <w:p w14:paraId="0000009C" w14:textId="5DA331F0"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No obstante, en todos los casos se agotan los medios para determinar el cementerio en el que podrían permanecer los restos y para intentar su posible exhumación e identificación antropológica y genética.</w:t>
      </w:r>
    </w:p>
    <w:p w14:paraId="58BFA332" w14:textId="77777777" w:rsidR="00064074" w:rsidRPr="00F778C6" w:rsidRDefault="00064074" w:rsidP="00064074">
      <w:pPr>
        <w:spacing w:line="360" w:lineRule="auto"/>
        <w:jc w:val="both"/>
        <w:rPr>
          <w:rFonts w:ascii="Times New Roman" w:hAnsi="Times New Roman" w:cs="Times New Roman"/>
          <w:sz w:val="24"/>
          <w:szCs w:val="24"/>
        </w:rPr>
      </w:pPr>
    </w:p>
    <w:p w14:paraId="0000009D" w14:textId="4AE4A8EE"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La tarea que realiza la Cámara Federal de La Plata en el marco de los juicios por la verdad (iniciados por Resolución del 21/4/98 CFALP) también resulta sustancial para la búsqueda e identificación de los cuerpos de personas desaparecidas. Tal como informa</w:t>
      </w:r>
      <w:r w:rsidR="004817B2">
        <w:rPr>
          <w:rFonts w:ascii="Times New Roman" w:hAnsi="Times New Roman" w:cs="Times New Roman"/>
          <w:sz w:val="24"/>
          <w:szCs w:val="24"/>
        </w:rPr>
        <w:t>ra</w:t>
      </w:r>
      <w:r w:rsidRPr="00F778C6">
        <w:rPr>
          <w:rFonts w:ascii="Times New Roman" w:hAnsi="Times New Roman" w:cs="Times New Roman"/>
          <w:sz w:val="24"/>
          <w:szCs w:val="24"/>
        </w:rPr>
        <w:t xml:space="preserve"> el mencionado tribunal, en esa investigación se han secuestrado libros de la ex Dirección de Inteligencia de la Policía de la Provincia de Buenos Aires (DIPBA), el único Libro de la Morgue existente, los legajos del Servicio Penitenciario Bonaerense, actas de nacimiento y defunción, microfilms, libros y licencias de inhumación del Cementerio de La Plata y se realizaron inspecciones oculares en diversos centros clandestinos de detención. </w:t>
      </w:r>
    </w:p>
    <w:p w14:paraId="41317E4A" w14:textId="77777777" w:rsidR="00064074" w:rsidRPr="00F778C6" w:rsidRDefault="00064074" w:rsidP="00064074">
      <w:pPr>
        <w:spacing w:line="360" w:lineRule="auto"/>
        <w:jc w:val="both"/>
        <w:rPr>
          <w:rFonts w:ascii="Times New Roman" w:hAnsi="Times New Roman" w:cs="Times New Roman"/>
          <w:sz w:val="24"/>
          <w:szCs w:val="24"/>
        </w:rPr>
      </w:pPr>
    </w:p>
    <w:p w14:paraId="0000009E" w14:textId="22C6AFD5"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La investigación se complementa con las declaraciones testimoniales de 1</w:t>
      </w:r>
      <w:r w:rsidR="004817B2">
        <w:rPr>
          <w:rFonts w:ascii="Times New Roman" w:hAnsi="Times New Roman" w:cs="Times New Roman"/>
          <w:sz w:val="24"/>
          <w:szCs w:val="24"/>
        </w:rPr>
        <w:t>.</w:t>
      </w:r>
      <w:r w:rsidRPr="00F778C6">
        <w:rPr>
          <w:rFonts w:ascii="Times New Roman" w:hAnsi="Times New Roman" w:cs="Times New Roman"/>
          <w:sz w:val="24"/>
          <w:szCs w:val="24"/>
        </w:rPr>
        <w:t xml:space="preserve">616 personas. </w:t>
      </w:r>
    </w:p>
    <w:p w14:paraId="3B5434C7" w14:textId="77777777" w:rsidR="00064074" w:rsidRPr="00F778C6" w:rsidRDefault="00064074" w:rsidP="00064074">
      <w:pPr>
        <w:spacing w:line="360" w:lineRule="auto"/>
        <w:jc w:val="both"/>
        <w:rPr>
          <w:rFonts w:ascii="Times New Roman" w:hAnsi="Times New Roman" w:cs="Times New Roman"/>
          <w:sz w:val="24"/>
          <w:szCs w:val="24"/>
        </w:rPr>
      </w:pPr>
    </w:p>
    <w:p w14:paraId="0000009F" w14:textId="28798B30"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En relación con las sepulturas NN, se dispuso una medida de no innovar que alcanza a los cementerios municipales de La Plata, Avellaneda, Espeleta, Magdalena y Verónica y se procedió a la exhumación de restos óseos con la participación del EAAF en carácter de auxiliar judicial.</w:t>
      </w:r>
    </w:p>
    <w:p w14:paraId="59DD828F" w14:textId="77777777" w:rsidR="00064074" w:rsidRPr="00F778C6" w:rsidRDefault="00064074" w:rsidP="00064074">
      <w:pPr>
        <w:spacing w:line="360" w:lineRule="auto"/>
        <w:jc w:val="both"/>
        <w:rPr>
          <w:rFonts w:ascii="Times New Roman" w:hAnsi="Times New Roman" w:cs="Times New Roman"/>
          <w:sz w:val="24"/>
          <w:szCs w:val="24"/>
        </w:rPr>
      </w:pPr>
    </w:p>
    <w:p w14:paraId="000000A0" w14:textId="21E684CA"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Esta investigación judicial ha dado como resultado hasta el momento la identificación de 62 cuerpos que fueron entregados a sus familiares y rectificada la documentación que acredita su identidad. </w:t>
      </w:r>
    </w:p>
    <w:p w14:paraId="2380EEE2" w14:textId="77777777" w:rsidR="00064074" w:rsidRPr="00F778C6" w:rsidRDefault="00064074" w:rsidP="00064074">
      <w:pPr>
        <w:spacing w:line="360" w:lineRule="auto"/>
        <w:jc w:val="both"/>
        <w:rPr>
          <w:rFonts w:ascii="Times New Roman" w:hAnsi="Times New Roman" w:cs="Times New Roman"/>
          <w:sz w:val="24"/>
          <w:szCs w:val="24"/>
        </w:rPr>
      </w:pPr>
    </w:p>
    <w:p w14:paraId="000000A1" w14:textId="2459221B"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Las investigaciones que realizan las Cámaras Federales de la Ciudad Autónoma de Buenos Aires y de La Plata que describimos hasta aquí, son los ejemplos salientes de la actividad que </w:t>
      </w:r>
      <w:r w:rsidRPr="00F778C6">
        <w:rPr>
          <w:rFonts w:ascii="Times New Roman" w:hAnsi="Times New Roman" w:cs="Times New Roman"/>
          <w:sz w:val="24"/>
          <w:szCs w:val="24"/>
        </w:rPr>
        <w:lastRenderedPageBreak/>
        <w:t xml:space="preserve">despliega el Poder Judicial federal para lograr determinar el destino de los cuerpos y su identificación. </w:t>
      </w:r>
    </w:p>
    <w:p w14:paraId="0A7E1CA9" w14:textId="77777777" w:rsidR="00064074" w:rsidRPr="00F778C6" w:rsidRDefault="00064074" w:rsidP="00064074">
      <w:pPr>
        <w:spacing w:line="360" w:lineRule="auto"/>
        <w:jc w:val="both"/>
        <w:rPr>
          <w:rFonts w:ascii="Times New Roman" w:hAnsi="Times New Roman" w:cs="Times New Roman"/>
          <w:sz w:val="24"/>
          <w:szCs w:val="24"/>
        </w:rPr>
      </w:pPr>
    </w:p>
    <w:p w14:paraId="000000A2" w14:textId="73773D2B"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Lo narrado no agota todo lo realizado. En los anexos que se adjuntan a este informe se ofrece mayor información acerca de la tarea de investigación que realizan otras </w:t>
      </w:r>
      <w:r w:rsidR="004817B2" w:rsidRPr="00F778C6">
        <w:rPr>
          <w:rFonts w:ascii="Times New Roman" w:hAnsi="Times New Roman" w:cs="Times New Roman"/>
          <w:sz w:val="24"/>
          <w:szCs w:val="24"/>
        </w:rPr>
        <w:t>instancias y</w:t>
      </w:r>
      <w:r w:rsidRPr="00F778C6">
        <w:rPr>
          <w:rFonts w:ascii="Times New Roman" w:hAnsi="Times New Roman" w:cs="Times New Roman"/>
          <w:sz w:val="24"/>
          <w:szCs w:val="24"/>
        </w:rPr>
        <w:t xml:space="preserve"> jurisdicciones del Poder Judicial -Juzgado Federal N°1 de Tucumán, Juzgado Federal N°1 de Santa Fe, Juzgado Federal N°3 de Córdoba- y los resultados alcanzados hasta el presente.</w:t>
      </w:r>
    </w:p>
    <w:p w14:paraId="40729D39" w14:textId="77777777" w:rsidR="004817B2" w:rsidRPr="00F778C6" w:rsidRDefault="004817B2" w:rsidP="00064074">
      <w:pPr>
        <w:spacing w:line="360" w:lineRule="auto"/>
        <w:jc w:val="both"/>
        <w:rPr>
          <w:rFonts w:ascii="Times New Roman" w:hAnsi="Times New Roman" w:cs="Times New Roman"/>
          <w:sz w:val="24"/>
          <w:szCs w:val="24"/>
        </w:rPr>
      </w:pPr>
    </w:p>
    <w:bookmarkStart w:id="7" w:name="_heading=h.nuyt0vrlwnw8" w:colFirst="0" w:colLast="0" w:displacedByCustomXml="next"/>
    <w:bookmarkEnd w:id="7" w:displacedByCustomXml="next"/>
    <w:sdt>
      <w:sdtPr>
        <w:rPr>
          <w:rFonts w:ascii="Times New Roman" w:hAnsi="Times New Roman" w:cs="Times New Roman"/>
          <w:color w:val="auto"/>
          <w:sz w:val="22"/>
          <w:szCs w:val="22"/>
        </w:rPr>
        <w:tag w:val="goog_rdk_1"/>
        <w:id w:val="-1278398836"/>
      </w:sdtPr>
      <w:sdtContent>
        <w:p w14:paraId="000000A3" w14:textId="65F9DB26" w:rsidR="002E1340" w:rsidRDefault="00000000" w:rsidP="00064074">
          <w:pPr>
            <w:pStyle w:val="Ttulo4"/>
            <w:spacing w:before="0" w:after="0" w:line="360" w:lineRule="auto"/>
            <w:jc w:val="both"/>
            <w:rPr>
              <w:rFonts w:ascii="Times New Roman" w:hAnsi="Times New Roman" w:cs="Times New Roman"/>
            </w:rPr>
          </w:pPr>
          <w:r w:rsidRPr="00F778C6">
            <w:rPr>
              <w:rFonts w:ascii="Times New Roman" w:hAnsi="Times New Roman" w:cs="Times New Roman"/>
              <w:b/>
              <w:color w:val="000000"/>
            </w:rPr>
            <w:t>La búsqueda de los restos que fueron inhumados en fosas comunes secretas</w:t>
          </w:r>
          <w:r w:rsidRPr="00F778C6">
            <w:rPr>
              <w:rFonts w:ascii="Times New Roman" w:hAnsi="Times New Roman" w:cs="Times New Roman"/>
            </w:rPr>
            <w:t xml:space="preserve"> </w:t>
          </w:r>
        </w:p>
        <w:p w14:paraId="3D592DE7" w14:textId="77777777" w:rsidR="00064074" w:rsidRPr="00064074" w:rsidRDefault="00000000" w:rsidP="00064074"/>
      </w:sdtContent>
    </w:sdt>
    <w:p w14:paraId="000000A4" w14:textId="77777777" w:rsidR="002E1340" w:rsidRPr="00F778C6"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 xml:space="preserve">La inhumación clandestina fue otro de los métodos de disposición de los cuerpos implementado por el terrorismo de Estado. Supone el enterramiento de las víctimas en lugares no destinados a ello con fin de ocultación. La principal diferencia con la inhumación irregular es que esta ocurre en lugares destinados a ese propósito </w:t>
      </w:r>
      <w:proofErr w:type="gramStart"/>
      <w:r w:rsidRPr="00F778C6">
        <w:rPr>
          <w:rFonts w:ascii="Times New Roman" w:hAnsi="Times New Roman" w:cs="Times New Roman"/>
          <w:color w:val="242729"/>
          <w:sz w:val="24"/>
          <w:szCs w:val="24"/>
          <w:highlight w:val="white"/>
        </w:rPr>
        <w:t>y</w:t>
      </w:r>
      <w:proofErr w:type="gramEnd"/>
      <w:r w:rsidRPr="00F778C6">
        <w:rPr>
          <w:rFonts w:ascii="Times New Roman" w:hAnsi="Times New Roman" w:cs="Times New Roman"/>
          <w:color w:val="242729"/>
          <w:sz w:val="24"/>
          <w:szCs w:val="24"/>
          <w:highlight w:val="white"/>
        </w:rPr>
        <w:t xml:space="preserve"> por ende -generalmente- deja vestigio documental. </w:t>
      </w:r>
    </w:p>
    <w:p w14:paraId="000000A5" w14:textId="77777777" w:rsidR="002E1340" w:rsidRPr="00F778C6" w:rsidRDefault="002E1340" w:rsidP="00064074">
      <w:pPr>
        <w:spacing w:line="360" w:lineRule="auto"/>
        <w:jc w:val="both"/>
        <w:rPr>
          <w:rFonts w:ascii="Times New Roman" w:hAnsi="Times New Roman" w:cs="Times New Roman"/>
          <w:color w:val="242729"/>
          <w:sz w:val="24"/>
          <w:szCs w:val="24"/>
          <w:highlight w:val="white"/>
        </w:rPr>
      </w:pPr>
    </w:p>
    <w:p w14:paraId="000000A6" w14:textId="2142BC61" w:rsidR="002E1340"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 xml:space="preserve">El hallazgo de fosas clandestinas requiere de información provista por los partícipes de los crímenes o por testigos que hayan tenido conocimiento del enterramiento. No obstante, </w:t>
      </w:r>
      <w:proofErr w:type="spellStart"/>
      <w:r w:rsidRPr="00F778C6">
        <w:rPr>
          <w:rFonts w:ascii="Times New Roman" w:hAnsi="Times New Roman" w:cs="Times New Roman"/>
          <w:color w:val="242729"/>
          <w:sz w:val="24"/>
          <w:szCs w:val="24"/>
          <w:highlight w:val="white"/>
        </w:rPr>
        <w:t>aún</w:t>
      </w:r>
      <w:proofErr w:type="spellEnd"/>
      <w:r w:rsidRPr="00F778C6">
        <w:rPr>
          <w:rFonts w:ascii="Times New Roman" w:hAnsi="Times New Roman" w:cs="Times New Roman"/>
          <w:color w:val="242729"/>
          <w:sz w:val="24"/>
          <w:szCs w:val="24"/>
          <w:highlight w:val="white"/>
        </w:rPr>
        <w:t xml:space="preserve"> cuando se cuente con este tipo de información, resulta muy difícil obtener precisión sobre la ubicación de las fosas.</w:t>
      </w:r>
    </w:p>
    <w:p w14:paraId="18419754" w14:textId="77777777" w:rsidR="00064074" w:rsidRPr="00F778C6" w:rsidRDefault="00064074" w:rsidP="00064074">
      <w:pPr>
        <w:spacing w:line="360" w:lineRule="auto"/>
        <w:jc w:val="both"/>
        <w:rPr>
          <w:rFonts w:ascii="Times New Roman" w:hAnsi="Times New Roman" w:cs="Times New Roman"/>
          <w:color w:val="242729"/>
          <w:sz w:val="24"/>
          <w:szCs w:val="24"/>
          <w:highlight w:val="white"/>
        </w:rPr>
      </w:pPr>
    </w:p>
    <w:p w14:paraId="000000A7" w14:textId="27572CF0" w:rsidR="002E1340"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 xml:space="preserve">A partir de 2016 el desarrollo de nuevas tecnologías permitió introducir a la búsqueda la utilización de </w:t>
      </w:r>
      <w:proofErr w:type="spellStart"/>
      <w:r w:rsidRPr="00F778C6">
        <w:rPr>
          <w:rFonts w:ascii="Times New Roman" w:hAnsi="Times New Roman" w:cs="Times New Roman"/>
          <w:color w:val="242729"/>
          <w:sz w:val="24"/>
          <w:szCs w:val="24"/>
          <w:highlight w:val="white"/>
        </w:rPr>
        <w:t>georadares</w:t>
      </w:r>
      <w:proofErr w:type="spellEnd"/>
      <w:r w:rsidRPr="00F778C6">
        <w:rPr>
          <w:rFonts w:ascii="Times New Roman" w:hAnsi="Times New Roman" w:cs="Times New Roman"/>
          <w:color w:val="242729"/>
          <w:sz w:val="24"/>
          <w:szCs w:val="24"/>
          <w:highlight w:val="white"/>
        </w:rPr>
        <w:t xml:space="preserve"> y el sistema </w:t>
      </w:r>
      <w:proofErr w:type="spellStart"/>
      <w:r w:rsidRPr="00F778C6">
        <w:rPr>
          <w:rFonts w:ascii="Times New Roman" w:hAnsi="Times New Roman" w:cs="Times New Roman"/>
          <w:color w:val="242729"/>
          <w:sz w:val="24"/>
          <w:szCs w:val="24"/>
          <w:highlight w:val="white"/>
        </w:rPr>
        <w:t>LiDAR</w:t>
      </w:r>
      <w:proofErr w:type="spellEnd"/>
      <w:r w:rsidRPr="00F778C6">
        <w:rPr>
          <w:rFonts w:ascii="Times New Roman" w:hAnsi="Times New Roman" w:cs="Times New Roman"/>
          <w:color w:val="242729"/>
          <w:sz w:val="24"/>
          <w:szCs w:val="24"/>
          <w:highlight w:val="white"/>
        </w:rPr>
        <w:t xml:space="preserve"> (Light </w:t>
      </w:r>
      <w:proofErr w:type="spellStart"/>
      <w:r w:rsidRPr="00F778C6">
        <w:rPr>
          <w:rFonts w:ascii="Times New Roman" w:hAnsi="Times New Roman" w:cs="Times New Roman"/>
          <w:color w:val="242729"/>
          <w:sz w:val="24"/>
          <w:szCs w:val="24"/>
          <w:highlight w:val="white"/>
        </w:rPr>
        <w:t>Detection</w:t>
      </w:r>
      <w:proofErr w:type="spellEnd"/>
      <w:r w:rsidRPr="00F778C6">
        <w:rPr>
          <w:rFonts w:ascii="Times New Roman" w:hAnsi="Times New Roman" w:cs="Times New Roman"/>
          <w:color w:val="242729"/>
          <w:sz w:val="24"/>
          <w:szCs w:val="24"/>
          <w:highlight w:val="white"/>
        </w:rPr>
        <w:t xml:space="preserve"> and </w:t>
      </w:r>
      <w:proofErr w:type="spellStart"/>
      <w:r w:rsidRPr="00F778C6">
        <w:rPr>
          <w:rFonts w:ascii="Times New Roman" w:hAnsi="Times New Roman" w:cs="Times New Roman"/>
          <w:color w:val="242729"/>
          <w:sz w:val="24"/>
          <w:szCs w:val="24"/>
          <w:highlight w:val="white"/>
        </w:rPr>
        <w:t>Ranging</w:t>
      </w:r>
      <w:proofErr w:type="spellEnd"/>
      <w:r w:rsidRPr="00F778C6">
        <w:rPr>
          <w:rFonts w:ascii="Times New Roman" w:hAnsi="Times New Roman" w:cs="Times New Roman"/>
          <w:color w:val="242729"/>
          <w:sz w:val="24"/>
          <w:szCs w:val="24"/>
          <w:highlight w:val="white"/>
        </w:rPr>
        <w:t>). La novedad radica en que se pueden detectar “</w:t>
      </w:r>
      <w:r w:rsidR="004817B2" w:rsidRPr="00F778C6">
        <w:rPr>
          <w:rFonts w:ascii="Times New Roman" w:hAnsi="Times New Roman" w:cs="Times New Roman"/>
          <w:color w:val="242729"/>
          <w:sz w:val="24"/>
          <w:szCs w:val="24"/>
          <w:highlight w:val="white"/>
        </w:rPr>
        <w:t>anomalías</w:t>
      </w:r>
      <w:r w:rsidRPr="00F778C6">
        <w:rPr>
          <w:rFonts w:ascii="Times New Roman" w:hAnsi="Times New Roman" w:cs="Times New Roman"/>
          <w:color w:val="242729"/>
          <w:sz w:val="24"/>
          <w:szCs w:val="24"/>
          <w:highlight w:val="white"/>
        </w:rPr>
        <w:t xml:space="preserve"> en el terreno que puedan ser relacionadas con enterramientos clandestinos y otros rasgos de </w:t>
      </w:r>
      <w:r w:rsidR="004817B2" w:rsidRPr="00F778C6">
        <w:rPr>
          <w:rFonts w:ascii="Times New Roman" w:hAnsi="Times New Roman" w:cs="Times New Roman"/>
          <w:color w:val="242729"/>
          <w:sz w:val="24"/>
          <w:szCs w:val="24"/>
          <w:highlight w:val="white"/>
        </w:rPr>
        <w:t>interés</w:t>
      </w:r>
      <w:r w:rsidRPr="00F778C6">
        <w:rPr>
          <w:rFonts w:ascii="Times New Roman" w:hAnsi="Times New Roman" w:cs="Times New Roman"/>
          <w:color w:val="242729"/>
          <w:sz w:val="24"/>
          <w:szCs w:val="24"/>
          <w:highlight w:val="white"/>
        </w:rPr>
        <w:t xml:space="preserve"> pericial, como viejas construcciones y caminos. Se trata de un valioso recurso para la </w:t>
      </w:r>
      <w:r w:rsidR="004817B2" w:rsidRPr="00F778C6">
        <w:rPr>
          <w:rFonts w:ascii="Times New Roman" w:hAnsi="Times New Roman" w:cs="Times New Roman"/>
          <w:color w:val="242729"/>
          <w:sz w:val="24"/>
          <w:szCs w:val="24"/>
          <w:highlight w:val="white"/>
        </w:rPr>
        <w:t>búsqueda</w:t>
      </w:r>
      <w:r w:rsidRPr="00F778C6">
        <w:rPr>
          <w:rFonts w:ascii="Times New Roman" w:hAnsi="Times New Roman" w:cs="Times New Roman"/>
          <w:color w:val="242729"/>
          <w:sz w:val="24"/>
          <w:szCs w:val="24"/>
          <w:highlight w:val="white"/>
        </w:rPr>
        <w:t xml:space="preserve"> ya que permite recolectar datos sobre el terreno aun cuando haya cobertura vegetal”</w:t>
      </w:r>
      <w:r w:rsidR="004817B2">
        <w:rPr>
          <w:rFonts w:ascii="Times New Roman" w:hAnsi="Times New Roman" w:cs="Times New Roman"/>
          <w:color w:val="242729"/>
          <w:sz w:val="24"/>
          <w:szCs w:val="24"/>
          <w:highlight w:val="white"/>
        </w:rPr>
        <w:t>.</w:t>
      </w:r>
    </w:p>
    <w:p w14:paraId="5663A83C" w14:textId="77777777" w:rsidR="00064074" w:rsidRPr="00F778C6" w:rsidRDefault="00064074" w:rsidP="00064074">
      <w:pPr>
        <w:spacing w:line="360" w:lineRule="auto"/>
        <w:jc w:val="both"/>
        <w:rPr>
          <w:rFonts w:ascii="Times New Roman" w:hAnsi="Times New Roman" w:cs="Times New Roman"/>
          <w:color w:val="242729"/>
          <w:sz w:val="24"/>
          <w:szCs w:val="24"/>
          <w:highlight w:val="white"/>
        </w:rPr>
      </w:pPr>
    </w:p>
    <w:p w14:paraId="000000A8" w14:textId="4839F6B7" w:rsidR="002E1340"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 xml:space="preserve">Los relevamientos obtienen </w:t>
      </w:r>
      <w:r w:rsidR="004817B2" w:rsidRPr="00F778C6">
        <w:rPr>
          <w:rFonts w:ascii="Times New Roman" w:hAnsi="Times New Roman" w:cs="Times New Roman"/>
          <w:color w:val="242729"/>
          <w:sz w:val="24"/>
          <w:szCs w:val="24"/>
          <w:highlight w:val="white"/>
        </w:rPr>
        <w:t>fotografías</w:t>
      </w:r>
      <w:r w:rsidRPr="00F778C6">
        <w:rPr>
          <w:rFonts w:ascii="Times New Roman" w:hAnsi="Times New Roman" w:cs="Times New Roman"/>
          <w:color w:val="242729"/>
          <w:sz w:val="24"/>
          <w:szCs w:val="24"/>
          <w:highlight w:val="white"/>
        </w:rPr>
        <w:t xml:space="preserve"> de alta </w:t>
      </w:r>
      <w:r w:rsidR="004817B2" w:rsidRPr="00F778C6">
        <w:rPr>
          <w:rFonts w:ascii="Times New Roman" w:hAnsi="Times New Roman" w:cs="Times New Roman"/>
          <w:color w:val="242729"/>
          <w:sz w:val="24"/>
          <w:szCs w:val="24"/>
          <w:highlight w:val="white"/>
        </w:rPr>
        <w:t>precisión</w:t>
      </w:r>
      <w:r w:rsidRPr="00F778C6">
        <w:rPr>
          <w:rFonts w:ascii="Times New Roman" w:hAnsi="Times New Roman" w:cs="Times New Roman"/>
          <w:color w:val="242729"/>
          <w:sz w:val="24"/>
          <w:szCs w:val="24"/>
          <w:highlight w:val="white"/>
        </w:rPr>
        <w:t xml:space="preserve"> y escaneo Láser, para el </w:t>
      </w:r>
      <w:r w:rsidR="004817B2" w:rsidRPr="00F778C6">
        <w:rPr>
          <w:rFonts w:ascii="Times New Roman" w:hAnsi="Times New Roman" w:cs="Times New Roman"/>
          <w:color w:val="242729"/>
          <w:sz w:val="24"/>
          <w:szCs w:val="24"/>
          <w:highlight w:val="white"/>
        </w:rPr>
        <w:t>análisis</w:t>
      </w:r>
      <w:r w:rsidRPr="00F778C6">
        <w:rPr>
          <w:rFonts w:ascii="Times New Roman" w:hAnsi="Times New Roman" w:cs="Times New Roman"/>
          <w:color w:val="242729"/>
          <w:sz w:val="24"/>
          <w:szCs w:val="24"/>
          <w:highlight w:val="white"/>
        </w:rPr>
        <w:t xml:space="preserve"> del terreno con fines forenses. En la tarea de procesamiento e interpretación de la información obtenida a través de este recurso tecnológico colabora la Facultad de Ciencias </w:t>
      </w:r>
      <w:r w:rsidR="004817B2" w:rsidRPr="00F778C6">
        <w:rPr>
          <w:rFonts w:ascii="Times New Roman" w:hAnsi="Times New Roman" w:cs="Times New Roman"/>
          <w:color w:val="242729"/>
          <w:sz w:val="24"/>
          <w:szCs w:val="24"/>
          <w:highlight w:val="white"/>
        </w:rPr>
        <w:t>Astronómicas</w:t>
      </w:r>
      <w:r w:rsidRPr="00F778C6">
        <w:rPr>
          <w:rFonts w:ascii="Times New Roman" w:hAnsi="Times New Roman" w:cs="Times New Roman"/>
          <w:color w:val="242729"/>
          <w:sz w:val="24"/>
          <w:szCs w:val="24"/>
          <w:highlight w:val="white"/>
        </w:rPr>
        <w:t xml:space="preserve"> y </w:t>
      </w:r>
      <w:r w:rsidR="004817B2" w:rsidRPr="00F778C6">
        <w:rPr>
          <w:rFonts w:ascii="Times New Roman" w:hAnsi="Times New Roman" w:cs="Times New Roman"/>
          <w:color w:val="242729"/>
          <w:sz w:val="24"/>
          <w:szCs w:val="24"/>
          <w:highlight w:val="white"/>
        </w:rPr>
        <w:t>Geofísicas</w:t>
      </w:r>
      <w:r w:rsidRPr="00F778C6">
        <w:rPr>
          <w:rFonts w:ascii="Times New Roman" w:hAnsi="Times New Roman" w:cs="Times New Roman"/>
          <w:color w:val="242729"/>
          <w:sz w:val="24"/>
          <w:szCs w:val="24"/>
          <w:highlight w:val="white"/>
        </w:rPr>
        <w:t xml:space="preserve"> de la Universidad Nacional de La Plata (FCAGUNLP).</w:t>
      </w:r>
    </w:p>
    <w:p w14:paraId="72BA9A0D" w14:textId="77777777" w:rsidR="00064074" w:rsidRPr="00F778C6" w:rsidRDefault="00064074" w:rsidP="00064074">
      <w:pPr>
        <w:spacing w:line="360" w:lineRule="auto"/>
        <w:jc w:val="both"/>
        <w:rPr>
          <w:rFonts w:ascii="Times New Roman" w:hAnsi="Times New Roman" w:cs="Times New Roman"/>
          <w:color w:val="242729"/>
          <w:sz w:val="24"/>
          <w:szCs w:val="24"/>
          <w:highlight w:val="white"/>
        </w:rPr>
      </w:pPr>
    </w:p>
    <w:p w14:paraId="000000A9" w14:textId="7BB4E12D" w:rsidR="002E1340"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lastRenderedPageBreak/>
        <w:t xml:space="preserve">El Estado argentino se comprometió con la aplicación de estas tecnologías para la búsqueda de las personas desaparecidas. En el marco de la colaboración entre el EAAF y el Ministerio de Justicia y Derechos Humanos, se realizan aportes financieros específicos para la utilización de </w:t>
      </w:r>
      <w:proofErr w:type="spellStart"/>
      <w:r w:rsidRPr="00F778C6">
        <w:rPr>
          <w:rFonts w:ascii="Times New Roman" w:hAnsi="Times New Roman" w:cs="Times New Roman"/>
          <w:color w:val="242729"/>
          <w:sz w:val="24"/>
          <w:szCs w:val="24"/>
          <w:highlight w:val="white"/>
        </w:rPr>
        <w:t>georadares</w:t>
      </w:r>
      <w:proofErr w:type="spellEnd"/>
      <w:r w:rsidRPr="00F778C6">
        <w:rPr>
          <w:rFonts w:ascii="Times New Roman" w:hAnsi="Times New Roman" w:cs="Times New Roman"/>
          <w:color w:val="242729"/>
          <w:sz w:val="24"/>
          <w:szCs w:val="24"/>
          <w:highlight w:val="white"/>
        </w:rPr>
        <w:t xml:space="preserve"> y vuelos </w:t>
      </w:r>
      <w:proofErr w:type="spellStart"/>
      <w:r w:rsidRPr="00F778C6">
        <w:rPr>
          <w:rFonts w:ascii="Times New Roman" w:hAnsi="Times New Roman" w:cs="Times New Roman"/>
          <w:color w:val="242729"/>
          <w:sz w:val="24"/>
          <w:szCs w:val="24"/>
          <w:highlight w:val="white"/>
        </w:rPr>
        <w:t>LiDAR</w:t>
      </w:r>
      <w:proofErr w:type="spellEnd"/>
      <w:r w:rsidRPr="00F778C6">
        <w:rPr>
          <w:rFonts w:ascii="Times New Roman" w:hAnsi="Times New Roman" w:cs="Times New Roman"/>
          <w:color w:val="242729"/>
          <w:sz w:val="24"/>
          <w:szCs w:val="24"/>
          <w:highlight w:val="white"/>
        </w:rPr>
        <w:t xml:space="preserve">. </w:t>
      </w:r>
    </w:p>
    <w:p w14:paraId="652F704F" w14:textId="77777777" w:rsidR="00064074" w:rsidRPr="00F778C6" w:rsidRDefault="00064074" w:rsidP="00064074">
      <w:pPr>
        <w:spacing w:line="360" w:lineRule="auto"/>
        <w:jc w:val="both"/>
        <w:rPr>
          <w:rFonts w:ascii="Times New Roman" w:hAnsi="Times New Roman" w:cs="Times New Roman"/>
          <w:color w:val="242729"/>
          <w:sz w:val="24"/>
          <w:szCs w:val="24"/>
          <w:highlight w:val="white"/>
        </w:rPr>
      </w:pPr>
    </w:p>
    <w:p w14:paraId="000000AA" w14:textId="67F4755E" w:rsidR="002E1340"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 xml:space="preserve">De manera conjunta se planifican los lugares que serán objeto de búsqueda. Para ello el Archivo Nacional de la Memoria asumió la tarea de recuperar los fondos de archivos de fotos aéreas en poder de distintas reparticiones estatales, para poder tener información que resulta muy importante para la investigación preliminar. </w:t>
      </w:r>
    </w:p>
    <w:p w14:paraId="28477BDB" w14:textId="77777777" w:rsidR="00064074" w:rsidRPr="00F778C6" w:rsidRDefault="00064074" w:rsidP="00064074">
      <w:pPr>
        <w:spacing w:line="360" w:lineRule="auto"/>
        <w:jc w:val="both"/>
        <w:rPr>
          <w:rFonts w:ascii="Times New Roman" w:hAnsi="Times New Roman" w:cs="Times New Roman"/>
          <w:color w:val="242729"/>
          <w:sz w:val="24"/>
          <w:szCs w:val="24"/>
          <w:highlight w:val="white"/>
        </w:rPr>
      </w:pPr>
    </w:p>
    <w:p w14:paraId="000000AB" w14:textId="596738D4" w:rsidR="002E1340"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En muchos casos la implementación de estas tecnologías se realiza en el marco de investigaciones judiciales. Ejemplo de ello son las siguientes investigaciones explicadas en detalle en los informes anexos:</w:t>
      </w:r>
    </w:p>
    <w:p w14:paraId="67FC06AA" w14:textId="77777777" w:rsidR="00064074" w:rsidRPr="00F778C6" w:rsidRDefault="00064074" w:rsidP="00064074">
      <w:pPr>
        <w:spacing w:line="360" w:lineRule="auto"/>
        <w:jc w:val="both"/>
        <w:rPr>
          <w:rFonts w:ascii="Times New Roman" w:hAnsi="Times New Roman" w:cs="Times New Roman"/>
          <w:color w:val="242729"/>
          <w:sz w:val="24"/>
          <w:szCs w:val="24"/>
          <w:highlight w:val="white"/>
        </w:rPr>
      </w:pPr>
    </w:p>
    <w:p w14:paraId="000000AC" w14:textId="77777777" w:rsidR="002E1340" w:rsidRPr="00F778C6"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 xml:space="preserve">-Juzgado Federal N°1 de Tucumán (anexo 6) referido a las investigaciones arqueológicas en los terrenos del Ex Batallón Arsenal Miguel de Azcuénaga y el llamado “Pozo de Vargas”. </w:t>
      </w:r>
    </w:p>
    <w:p w14:paraId="000000AD" w14:textId="77777777" w:rsidR="002E1340" w:rsidRPr="00F778C6"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-Juzgado Federal N°2 de Santa Fe en “Campo San Pedro” perteneciente al Ejército Argentino.</w:t>
      </w:r>
    </w:p>
    <w:p w14:paraId="000000AE" w14:textId="2F83AE96" w:rsidR="002E1340" w:rsidRPr="00F778C6"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w:t>
      </w:r>
      <w:r w:rsidR="004817B2" w:rsidRPr="00F778C6">
        <w:rPr>
          <w:rFonts w:ascii="Times New Roman" w:hAnsi="Times New Roman" w:cs="Times New Roman"/>
          <w:color w:val="242729"/>
          <w:sz w:val="24"/>
          <w:szCs w:val="24"/>
          <w:highlight w:val="white"/>
        </w:rPr>
        <w:t>Juzgado Federal</w:t>
      </w:r>
      <w:r w:rsidRPr="00F778C6">
        <w:rPr>
          <w:rFonts w:ascii="Times New Roman" w:hAnsi="Times New Roman" w:cs="Times New Roman"/>
          <w:color w:val="242729"/>
          <w:sz w:val="24"/>
          <w:szCs w:val="24"/>
          <w:highlight w:val="white"/>
        </w:rPr>
        <w:t xml:space="preserve"> N°3 de La Plata en el Ex destacamento Arana de la Policía de la Provincia de Buenos Aires; en el Regimiento de Infantería Mecanizado N°7 “Coronel Conde”, en la zona Suburbana de Arana; en las zonas de Villa Garibaldi y Hernández del partido de La Plata y en Puesto Vasco</w:t>
      </w:r>
    </w:p>
    <w:p w14:paraId="000000AF" w14:textId="77777777" w:rsidR="002E1340" w:rsidRPr="00F778C6" w:rsidRDefault="00000000" w:rsidP="00064074">
      <w:pPr>
        <w:spacing w:line="360" w:lineRule="auto"/>
        <w:jc w:val="both"/>
        <w:rPr>
          <w:rFonts w:ascii="Times New Roman" w:hAnsi="Times New Roman" w:cs="Times New Roman"/>
          <w:color w:val="242729"/>
          <w:sz w:val="24"/>
          <w:szCs w:val="24"/>
          <w:highlight w:val="white"/>
        </w:rPr>
      </w:pPr>
      <w:r w:rsidRPr="00F778C6">
        <w:rPr>
          <w:rFonts w:ascii="Times New Roman" w:hAnsi="Times New Roman" w:cs="Times New Roman"/>
          <w:color w:val="242729"/>
          <w:sz w:val="24"/>
          <w:szCs w:val="24"/>
          <w:highlight w:val="white"/>
        </w:rPr>
        <w:t>-Cámara de Apelaciones de Córdoba en San José de la Quintana, Serrezuela, La Perla, Cementerio de la Granja Unquillo, Comisaría 10°, Cementerio de Despeñaderos, Villa Ciudad América, Campo La Ribera, El Triángulo, La Ochoa y Lomas de Torito de la Guarnición Militar La Calera, todos en la provincia de Córdoba.</w:t>
      </w:r>
    </w:p>
    <w:p w14:paraId="000000B0" w14:textId="77777777" w:rsidR="002E1340" w:rsidRPr="00F778C6" w:rsidRDefault="002E1340" w:rsidP="00064074">
      <w:pPr>
        <w:spacing w:line="360" w:lineRule="auto"/>
        <w:jc w:val="both"/>
        <w:rPr>
          <w:rFonts w:ascii="Times New Roman" w:hAnsi="Times New Roman" w:cs="Times New Roman"/>
          <w:b/>
          <w:sz w:val="24"/>
          <w:szCs w:val="24"/>
        </w:rPr>
      </w:pPr>
    </w:p>
    <w:bookmarkStart w:id="8" w:name="_heading=h.rbrajavyuxf" w:colFirst="0" w:colLast="0" w:displacedByCustomXml="next"/>
    <w:bookmarkEnd w:id="8" w:displacedByCustomXml="next"/>
    <w:sdt>
      <w:sdtPr>
        <w:rPr>
          <w:rFonts w:ascii="Times New Roman" w:hAnsi="Times New Roman" w:cs="Times New Roman"/>
          <w:color w:val="auto"/>
          <w:sz w:val="24"/>
          <w:szCs w:val="24"/>
        </w:rPr>
        <w:tag w:val="goog_rdk_2"/>
        <w:id w:val="-212729472"/>
      </w:sdtPr>
      <w:sdtContent>
        <w:p w14:paraId="000000B1" w14:textId="295B40AA" w:rsidR="002E1340" w:rsidRDefault="00000000" w:rsidP="00064074">
          <w:pPr>
            <w:pStyle w:val="Ttulo5"/>
            <w:spacing w:before="0" w:after="0" w:line="360" w:lineRule="auto"/>
            <w:jc w:val="both"/>
            <w:rPr>
              <w:rFonts w:ascii="Times New Roman" w:hAnsi="Times New Roman" w:cs="Times New Roman"/>
              <w:sz w:val="24"/>
              <w:szCs w:val="24"/>
            </w:rPr>
          </w:pPr>
          <w:r w:rsidRPr="00F778C6">
            <w:rPr>
              <w:rFonts w:ascii="Times New Roman" w:hAnsi="Times New Roman" w:cs="Times New Roman"/>
              <w:b/>
              <w:color w:val="000000"/>
              <w:sz w:val="24"/>
              <w:szCs w:val="24"/>
            </w:rPr>
            <w:t>Iniciativa Latinoamericana de Identificación de las Personas Desaparecidas (ILID). Los avances científicos en la identificación de restos</w:t>
          </w:r>
          <w:r w:rsidRPr="00F778C6">
            <w:rPr>
              <w:rFonts w:ascii="Times New Roman" w:hAnsi="Times New Roman" w:cs="Times New Roman"/>
              <w:sz w:val="24"/>
              <w:szCs w:val="24"/>
            </w:rPr>
            <w:t xml:space="preserve"> </w:t>
          </w:r>
        </w:p>
        <w:p w14:paraId="2CCC775A" w14:textId="77777777" w:rsidR="00064074" w:rsidRPr="00064074" w:rsidRDefault="00000000" w:rsidP="00064074"/>
      </w:sdtContent>
    </w:sdt>
    <w:p w14:paraId="000000B2" w14:textId="3B0B7703"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Los avances científicos y tecnológicos producidos a partir de la década de 1990 renovaron las esperanzas y abrieron nuevas posibilidades al permitir cruzar masivamente la información genética de familiares de personas desaparecidas con la información genética extraída de los restos, para intentar la identificación de los restos de personas desaparecidas. </w:t>
      </w:r>
    </w:p>
    <w:p w14:paraId="41E17439" w14:textId="77777777" w:rsidR="00064074" w:rsidRPr="00F778C6" w:rsidRDefault="00064074" w:rsidP="00064074">
      <w:pPr>
        <w:spacing w:line="360" w:lineRule="auto"/>
        <w:jc w:val="both"/>
        <w:rPr>
          <w:rFonts w:ascii="Times New Roman" w:hAnsi="Times New Roman" w:cs="Times New Roman"/>
          <w:sz w:val="24"/>
          <w:szCs w:val="24"/>
        </w:rPr>
      </w:pPr>
    </w:p>
    <w:p w14:paraId="000000B3" w14:textId="01348926"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 xml:space="preserve">El avance de las investigaciones científicas permitió realizar análisis con menor tiempo de procesamiento y menor costo por muestra; mejoró las posibilidades de extraer ADN de muestras óseas muy degradadas; y aportó herramientas informáticas que permiten comparar miles de secuencias genéticas obtenidas a partir de muestras de víctimas con miles de secuencias de familiares. </w:t>
      </w:r>
    </w:p>
    <w:p w14:paraId="577E337F" w14:textId="77777777" w:rsidR="00064074" w:rsidRPr="00F778C6" w:rsidRDefault="00064074" w:rsidP="00064074">
      <w:pPr>
        <w:spacing w:line="360" w:lineRule="auto"/>
        <w:jc w:val="both"/>
        <w:rPr>
          <w:rFonts w:ascii="Times New Roman" w:hAnsi="Times New Roman" w:cs="Times New Roman"/>
          <w:sz w:val="24"/>
          <w:szCs w:val="24"/>
        </w:rPr>
      </w:pPr>
    </w:p>
    <w:p w14:paraId="000000B4" w14:textId="1F8A6DED"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A partir de estos avances se implementó la Iniciativa Latinoamericana de Identificación de las Personas Desaparecidas ILID. El primer paso de la iniciativa consiste en convocar a la mayor cantidad posible de familiares de víctimas para que donen una muestra de su sangre que permita acceder a la información genética para comparar con la obtenida a partir de los restos. </w:t>
      </w:r>
    </w:p>
    <w:p w14:paraId="1CA7D36C" w14:textId="77777777" w:rsidR="00064074" w:rsidRPr="00F778C6" w:rsidRDefault="00064074" w:rsidP="00064074">
      <w:pPr>
        <w:spacing w:line="360" w:lineRule="auto"/>
        <w:jc w:val="both"/>
        <w:rPr>
          <w:rFonts w:ascii="Times New Roman" w:hAnsi="Times New Roman" w:cs="Times New Roman"/>
          <w:sz w:val="24"/>
          <w:szCs w:val="24"/>
        </w:rPr>
      </w:pPr>
    </w:p>
    <w:p w14:paraId="000000B5" w14:textId="6D66A428"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segundo paso es la realización de análisis genéticos de muestras óseas de esqueletos que fueron recuperados en el marco de investigaciones judiciales </w:t>
      </w:r>
    </w:p>
    <w:p w14:paraId="15B48F24" w14:textId="77777777" w:rsidR="00064074" w:rsidRPr="00F778C6" w:rsidRDefault="00064074" w:rsidP="00064074">
      <w:pPr>
        <w:spacing w:line="360" w:lineRule="auto"/>
        <w:jc w:val="both"/>
        <w:rPr>
          <w:rFonts w:ascii="Times New Roman" w:hAnsi="Times New Roman" w:cs="Times New Roman"/>
          <w:sz w:val="24"/>
          <w:szCs w:val="24"/>
        </w:rPr>
      </w:pPr>
    </w:p>
    <w:p w14:paraId="000000B6" w14:textId="7C8628E8"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Por otro lado, en el marco de la ILID el EAAF logró obtener el equipamiento y capacitación para el montaje de un laboratorio local de genética de última generación, sin fines de lucro e independiente para mejorar el nivel de evidencia en proceso judiciales locales</w:t>
      </w:r>
      <w:r w:rsidR="00064074">
        <w:rPr>
          <w:rFonts w:ascii="Times New Roman" w:hAnsi="Times New Roman" w:cs="Times New Roman"/>
          <w:sz w:val="24"/>
          <w:szCs w:val="24"/>
        </w:rPr>
        <w:t>.</w:t>
      </w:r>
    </w:p>
    <w:p w14:paraId="2A03939B" w14:textId="77777777" w:rsidR="00064074" w:rsidRPr="00F778C6" w:rsidRDefault="00064074" w:rsidP="00064074">
      <w:pPr>
        <w:spacing w:line="360" w:lineRule="auto"/>
        <w:jc w:val="both"/>
        <w:rPr>
          <w:rFonts w:ascii="Times New Roman" w:hAnsi="Times New Roman" w:cs="Times New Roman"/>
          <w:sz w:val="24"/>
          <w:szCs w:val="24"/>
        </w:rPr>
      </w:pPr>
    </w:p>
    <w:p w14:paraId="000000B7" w14:textId="41DC5819"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Para llevar adelante las tareas involucradas en la ILID el 5 de octubre de 2007 se firmó un </w:t>
      </w:r>
      <w:r w:rsidRPr="00F778C6">
        <w:rPr>
          <w:rFonts w:ascii="Times New Roman" w:hAnsi="Times New Roman" w:cs="Times New Roman"/>
          <w:color w:val="000000"/>
          <w:sz w:val="24"/>
          <w:szCs w:val="24"/>
        </w:rPr>
        <w:t xml:space="preserve">Convenio tripartito de Cooperación Institucional para la Identificación de Desaparecidos </w:t>
      </w:r>
      <w:r w:rsidRPr="00F778C6">
        <w:rPr>
          <w:rFonts w:ascii="Times New Roman" w:hAnsi="Times New Roman" w:cs="Times New Roman"/>
          <w:sz w:val="24"/>
          <w:szCs w:val="24"/>
        </w:rPr>
        <w:t>entre el Ministerio de Salud de la Nación, el Archivo Nacional de la Memoria (ANM)</w:t>
      </w:r>
      <w:r w:rsidRPr="00F778C6">
        <w:rPr>
          <w:rFonts w:ascii="Times New Roman" w:hAnsi="Times New Roman" w:cs="Times New Roman"/>
          <w:i/>
          <w:sz w:val="24"/>
          <w:szCs w:val="24"/>
        </w:rPr>
        <w:t xml:space="preserve"> </w:t>
      </w:r>
      <w:r w:rsidRPr="00F778C6">
        <w:rPr>
          <w:rFonts w:ascii="Times New Roman" w:hAnsi="Times New Roman" w:cs="Times New Roman"/>
          <w:sz w:val="24"/>
          <w:szCs w:val="24"/>
        </w:rPr>
        <w:t xml:space="preserve">de la Secretaría de Derechos Humanos del Ministerio de Justicia de la Nación y el EAAF. </w:t>
      </w:r>
    </w:p>
    <w:p w14:paraId="3D2C8ED3" w14:textId="77777777" w:rsidR="00064074" w:rsidRPr="00F778C6" w:rsidRDefault="00064074" w:rsidP="00064074">
      <w:pPr>
        <w:spacing w:line="360" w:lineRule="auto"/>
        <w:jc w:val="both"/>
        <w:rPr>
          <w:rFonts w:ascii="Times New Roman" w:hAnsi="Times New Roman" w:cs="Times New Roman"/>
          <w:sz w:val="24"/>
          <w:szCs w:val="24"/>
        </w:rPr>
      </w:pPr>
    </w:p>
    <w:p w14:paraId="000000B8" w14:textId="71700306"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objetivo principal del convenio fue la creación de un Archivo de Muestras de Sangre de Familiares de Víctimas de Desaparición Forzada entre 1974 y 1983 en el Archivo Nacional de la Memoria, para resguardo de la información genética.  </w:t>
      </w:r>
    </w:p>
    <w:p w14:paraId="7130FD3B" w14:textId="77777777" w:rsidR="00064074" w:rsidRPr="00F778C6" w:rsidRDefault="00064074" w:rsidP="00064074">
      <w:pPr>
        <w:spacing w:line="360" w:lineRule="auto"/>
        <w:jc w:val="both"/>
        <w:rPr>
          <w:rFonts w:ascii="Times New Roman" w:hAnsi="Times New Roman" w:cs="Times New Roman"/>
          <w:sz w:val="24"/>
          <w:szCs w:val="24"/>
        </w:rPr>
      </w:pPr>
    </w:p>
    <w:p w14:paraId="000000B9" w14:textId="7F6FAA9A"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Por su parte, la recolección de las muestras óseas se focaliza en áreas geográficas que concentran la mayor cantidad de desapariciones forzadas: la provincia y la ciudad de Buenos Aires (que juntas suman cerca del 70% de los casos) y la ciudad de Córdoba y sus </w:t>
      </w:r>
      <w:r w:rsidR="004817B2" w:rsidRPr="00F778C6">
        <w:rPr>
          <w:rFonts w:ascii="Times New Roman" w:hAnsi="Times New Roman" w:cs="Times New Roman"/>
          <w:sz w:val="24"/>
          <w:szCs w:val="24"/>
        </w:rPr>
        <w:t>alrededores.</w:t>
      </w:r>
    </w:p>
    <w:p w14:paraId="79F0E4FB" w14:textId="77777777" w:rsidR="00064074" w:rsidRPr="00F778C6" w:rsidRDefault="00064074" w:rsidP="00064074">
      <w:pPr>
        <w:spacing w:line="360" w:lineRule="auto"/>
        <w:jc w:val="both"/>
        <w:rPr>
          <w:rFonts w:ascii="Times New Roman" w:hAnsi="Times New Roman" w:cs="Times New Roman"/>
          <w:sz w:val="24"/>
          <w:szCs w:val="24"/>
        </w:rPr>
      </w:pPr>
    </w:p>
    <w:p w14:paraId="000000BA" w14:textId="298D67F2"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Estas muestras se unen a los 600 esqueletos que se encuentran bajo la custodia del EAAF, que fueron exhumados en el curso de las investigaciones judiciales realizadas en cementerios municipales ubicados en las provincias de Buenos Aires y Córdoba. </w:t>
      </w:r>
    </w:p>
    <w:p w14:paraId="30D98502" w14:textId="77777777" w:rsidR="00064074" w:rsidRPr="00F778C6" w:rsidRDefault="00064074" w:rsidP="00064074">
      <w:pPr>
        <w:spacing w:line="360" w:lineRule="auto"/>
        <w:jc w:val="both"/>
        <w:rPr>
          <w:rFonts w:ascii="Times New Roman" w:hAnsi="Times New Roman" w:cs="Times New Roman"/>
          <w:sz w:val="24"/>
          <w:szCs w:val="24"/>
        </w:rPr>
      </w:pPr>
    </w:p>
    <w:p w14:paraId="000000BB" w14:textId="23D06C41"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Cámara Nacional de Apelaciones en lo Criminal y Correccional Federal de la Capital Federal, la Cámara Federal de Apelaciones de La Plata, el Juzgado Federal No. 3 de Córdoba, y el Juzgado Federal No. 1 de Santa Fe dictaron órdenes para la extracción de material genético de los restos óseos. El EAAF extrajo en 2008 muestras óseas o dentales para proceder a su análisis genético. </w:t>
      </w:r>
    </w:p>
    <w:p w14:paraId="0DD5BAE1" w14:textId="77777777" w:rsidR="00064074" w:rsidRPr="00F778C6" w:rsidRDefault="00064074" w:rsidP="00064074">
      <w:pPr>
        <w:spacing w:line="360" w:lineRule="auto"/>
        <w:jc w:val="both"/>
        <w:rPr>
          <w:rFonts w:ascii="Times New Roman" w:hAnsi="Times New Roman" w:cs="Times New Roman"/>
          <w:sz w:val="24"/>
          <w:szCs w:val="24"/>
        </w:rPr>
      </w:pPr>
    </w:p>
    <w:p w14:paraId="000000BC" w14:textId="5B6F053B"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Al comienzo de la implementación de la iniciativa, a través del Ministerio de Relaciones Exteriores, se enviaron las muestras al laboratorio </w:t>
      </w:r>
      <w:proofErr w:type="spellStart"/>
      <w:r w:rsidRPr="00F778C6">
        <w:rPr>
          <w:rFonts w:ascii="Times New Roman" w:hAnsi="Times New Roman" w:cs="Times New Roman"/>
          <w:sz w:val="24"/>
          <w:szCs w:val="24"/>
        </w:rPr>
        <w:t>The</w:t>
      </w:r>
      <w:proofErr w:type="spellEnd"/>
      <w:r w:rsidRPr="00F778C6">
        <w:rPr>
          <w:rFonts w:ascii="Times New Roman" w:hAnsi="Times New Roman" w:cs="Times New Roman"/>
          <w:sz w:val="24"/>
          <w:szCs w:val="24"/>
        </w:rPr>
        <w:t xml:space="preserve"> Bode </w:t>
      </w:r>
      <w:proofErr w:type="spellStart"/>
      <w:r w:rsidRPr="00F778C6">
        <w:rPr>
          <w:rFonts w:ascii="Times New Roman" w:hAnsi="Times New Roman" w:cs="Times New Roman"/>
          <w:sz w:val="24"/>
          <w:szCs w:val="24"/>
        </w:rPr>
        <w:t>Technology</w:t>
      </w:r>
      <w:proofErr w:type="spellEnd"/>
      <w:r w:rsidRPr="00F778C6">
        <w:rPr>
          <w:rFonts w:ascii="Times New Roman" w:hAnsi="Times New Roman" w:cs="Times New Roman"/>
          <w:sz w:val="24"/>
          <w:szCs w:val="24"/>
        </w:rPr>
        <w:t xml:space="preserve"> </w:t>
      </w:r>
      <w:proofErr w:type="spellStart"/>
      <w:r w:rsidRPr="00F778C6">
        <w:rPr>
          <w:rFonts w:ascii="Times New Roman" w:hAnsi="Times New Roman" w:cs="Times New Roman"/>
          <w:sz w:val="24"/>
          <w:szCs w:val="24"/>
        </w:rPr>
        <w:t>Group</w:t>
      </w:r>
      <w:proofErr w:type="spellEnd"/>
      <w:r w:rsidRPr="00F778C6">
        <w:rPr>
          <w:rFonts w:ascii="Times New Roman" w:hAnsi="Times New Roman" w:cs="Times New Roman"/>
          <w:sz w:val="24"/>
          <w:szCs w:val="24"/>
        </w:rPr>
        <w:t xml:space="preserve">, con sede en Estados Unidos, que llevó a cabo los análisis genéticos. Posteriormente los análisis se comenzaron a hacer en Argentina, como ocurre en la actualidad. </w:t>
      </w:r>
    </w:p>
    <w:p w14:paraId="4D288AD0" w14:textId="77777777" w:rsidR="00064074" w:rsidRPr="00F778C6" w:rsidRDefault="00064074" w:rsidP="00064074">
      <w:pPr>
        <w:spacing w:line="360" w:lineRule="auto"/>
        <w:jc w:val="both"/>
        <w:rPr>
          <w:rFonts w:ascii="Times New Roman" w:hAnsi="Times New Roman" w:cs="Times New Roman"/>
          <w:i/>
          <w:sz w:val="24"/>
          <w:szCs w:val="24"/>
        </w:rPr>
      </w:pPr>
    </w:p>
    <w:p w14:paraId="000000BD" w14:textId="27623A5C"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Por otra parte, la</w:t>
      </w:r>
      <w:r w:rsidRPr="00F778C6">
        <w:rPr>
          <w:rFonts w:ascii="Times New Roman" w:hAnsi="Times New Roman" w:cs="Times New Roman"/>
          <w:b/>
          <w:sz w:val="24"/>
          <w:szCs w:val="24"/>
        </w:rPr>
        <w:t xml:space="preserve"> </w:t>
      </w:r>
      <w:r w:rsidRPr="00F778C6">
        <w:rPr>
          <w:rFonts w:ascii="Times New Roman" w:hAnsi="Times New Roman" w:cs="Times New Roman"/>
          <w:sz w:val="24"/>
          <w:szCs w:val="24"/>
        </w:rPr>
        <w:t>recolección de las muestras de referencia parte de la convocatoria amplia a familiares de víctimas de desaparición forzada para que donen muestras de su sangre de las que se extraen los perfiles genéticos que se comparan con los de las muestras óseas a las que ya hicimos referencia.</w:t>
      </w:r>
    </w:p>
    <w:p w14:paraId="7E65AB5E" w14:textId="77777777" w:rsidR="00064074" w:rsidRPr="00F778C6" w:rsidRDefault="00064074" w:rsidP="00064074">
      <w:pPr>
        <w:spacing w:line="360" w:lineRule="auto"/>
        <w:jc w:val="both"/>
        <w:rPr>
          <w:rFonts w:ascii="Times New Roman" w:hAnsi="Times New Roman" w:cs="Times New Roman"/>
          <w:sz w:val="24"/>
          <w:szCs w:val="24"/>
        </w:rPr>
      </w:pPr>
    </w:p>
    <w:p w14:paraId="000000BE" w14:textId="1D6C2E16"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Estas muestras de sangre son fundamentales para confirmar si existe una relación biológica entre ambos extremos. Es decir, que la comparación de información genética en estos casos no es directa entre restos y víctima, sino entre restos y potenciales familiares de la víctima. </w:t>
      </w:r>
    </w:p>
    <w:p w14:paraId="5A30BC0F" w14:textId="77777777" w:rsidR="00064074" w:rsidRPr="00F778C6" w:rsidRDefault="00064074" w:rsidP="00064074">
      <w:pPr>
        <w:spacing w:line="360" w:lineRule="auto"/>
        <w:jc w:val="both"/>
        <w:rPr>
          <w:rFonts w:ascii="Times New Roman" w:hAnsi="Times New Roman" w:cs="Times New Roman"/>
          <w:sz w:val="24"/>
          <w:szCs w:val="24"/>
        </w:rPr>
      </w:pPr>
    </w:p>
    <w:p w14:paraId="000000BF" w14:textId="1AAB82E3"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Secretaría de Derechos Humanos </w:t>
      </w:r>
      <w:r w:rsidR="004817B2">
        <w:rPr>
          <w:rFonts w:ascii="Times New Roman" w:hAnsi="Times New Roman" w:cs="Times New Roman"/>
          <w:sz w:val="24"/>
          <w:szCs w:val="24"/>
        </w:rPr>
        <w:t>de la Nación</w:t>
      </w:r>
      <w:r w:rsidRPr="00F778C6">
        <w:rPr>
          <w:rFonts w:ascii="Times New Roman" w:hAnsi="Times New Roman" w:cs="Times New Roman"/>
          <w:sz w:val="24"/>
          <w:szCs w:val="24"/>
        </w:rPr>
        <w:t xml:space="preserve"> se encarga de corroborar que la persona desaparecida para la cual se desea donar sangre figure en el padrón oficial. Si no es así se debe realizar la denuncia correspondiente de acuerdo con el procedimiento habitual. Este requisito ayuda a garantizar que la toma de muestras de sangre y el subsiguiente análisis genético se realicen sólo para los casos de desaparecidos por razones políticas entre 1974 y 1983, es decir, el grupo al que el proyecto apunta. Como resultado de la Iniciativa, se han sumado hasta el momento 130 nuevos casos al padrón de la Secretaría de Derechos Humanos.</w:t>
      </w:r>
    </w:p>
    <w:p w14:paraId="40C90679" w14:textId="77777777" w:rsidR="00064074" w:rsidRPr="00F778C6" w:rsidRDefault="00064074" w:rsidP="00064074">
      <w:pPr>
        <w:spacing w:line="360" w:lineRule="auto"/>
        <w:jc w:val="both"/>
        <w:rPr>
          <w:rFonts w:ascii="Times New Roman" w:hAnsi="Times New Roman" w:cs="Times New Roman"/>
          <w:sz w:val="24"/>
          <w:szCs w:val="24"/>
        </w:rPr>
      </w:pPr>
    </w:p>
    <w:p w14:paraId="000000C0" w14:textId="7B0A18C9"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recolección de las muestras de sangre se extiende a nivel nacional. El Banco Nacional de Sangre, con 63 centros de extracción ubicados en hospitales públicos de todo el país, fue designado por el Ministerio de Salud como la institución encargada de la toma de muestras de sangre para ILID. </w:t>
      </w:r>
    </w:p>
    <w:p w14:paraId="4D65C623" w14:textId="77777777" w:rsidR="00064074" w:rsidRPr="00F778C6" w:rsidRDefault="00064074" w:rsidP="00064074">
      <w:pPr>
        <w:spacing w:line="360" w:lineRule="auto"/>
        <w:jc w:val="both"/>
        <w:rPr>
          <w:rFonts w:ascii="Times New Roman" w:hAnsi="Times New Roman" w:cs="Times New Roman"/>
          <w:sz w:val="24"/>
          <w:szCs w:val="24"/>
        </w:rPr>
      </w:pPr>
    </w:p>
    <w:p w14:paraId="000000C1" w14:textId="546F14F0"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lastRenderedPageBreak/>
        <w:t>El Ministerio de Relaciones Exteriores</w:t>
      </w:r>
      <w:r w:rsidR="004817B2">
        <w:rPr>
          <w:rFonts w:ascii="Times New Roman" w:hAnsi="Times New Roman" w:cs="Times New Roman"/>
          <w:sz w:val="24"/>
          <w:szCs w:val="24"/>
        </w:rPr>
        <w:t>, Comercio Internacional y Culto</w:t>
      </w:r>
      <w:r w:rsidRPr="00F778C6">
        <w:rPr>
          <w:rFonts w:ascii="Times New Roman" w:hAnsi="Times New Roman" w:cs="Times New Roman"/>
          <w:sz w:val="24"/>
          <w:szCs w:val="24"/>
        </w:rPr>
        <w:t xml:space="preserve"> implementa la recolección de muestras de sangre de familiares de personas desaparecidas que residen fuera de la Argentina. Esta medida alcanza tanto a </w:t>
      </w:r>
      <w:proofErr w:type="spellStart"/>
      <w:r w:rsidRPr="00F778C6">
        <w:rPr>
          <w:rFonts w:ascii="Times New Roman" w:hAnsi="Times New Roman" w:cs="Times New Roman"/>
          <w:sz w:val="24"/>
          <w:szCs w:val="24"/>
        </w:rPr>
        <w:t>desaparecidxs</w:t>
      </w:r>
      <w:proofErr w:type="spellEnd"/>
      <w:r w:rsidRPr="00F778C6">
        <w:rPr>
          <w:rFonts w:ascii="Times New Roman" w:hAnsi="Times New Roman" w:cs="Times New Roman"/>
          <w:sz w:val="24"/>
          <w:szCs w:val="24"/>
        </w:rPr>
        <w:t xml:space="preserve"> de nacionalidad argentina como a </w:t>
      </w:r>
      <w:proofErr w:type="spellStart"/>
      <w:r w:rsidRPr="00F778C6">
        <w:rPr>
          <w:rFonts w:ascii="Times New Roman" w:hAnsi="Times New Roman" w:cs="Times New Roman"/>
          <w:sz w:val="24"/>
          <w:szCs w:val="24"/>
        </w:rPr>
        <w:t>lxs</w:t>
      </w:r>
      <w:proofErr w:type="spellEnd"/>
      <w:r w:rsidRPr="00F778C6">
        <w:rPr>
          <w:rFonts w:ascii="Times New Roman" w:hAnsi="Times New Roman" w:cs="Times New Roman"/>
          <w:sz w:val="24"/>
          <w:szCs w:val="24"/>
        </w:rPr>
        <w:t xml:space="preserve"> de otras nacionalidades. En este segundo grupo se ubican las víctimas de la Operación Cóndor. La embajada o los consulados de la Argentina en los distintos países se contactan con los grupos de expatriados para informarles acerca de la posibilidad de que donen sus muestras de sangre. Las asociaciones de familiares de </w:t>
      </w:r>
      <w:proofErr w:type="spellStart"/>
      <w:r w:rsidRPr="00F778C6">
        <w:rPr>
          <w:rFonts w:ascii="Times New Roman" w:hAnsi="Times New Roman" w:cs="Times New Roman"/>
          <w:sz w:val="24"/>
          <w:szCs w:val="24"/>
        </w:rPr>
        <w:t>desaparecidxs</w:t>
      </w:r>
      <w:proofErr w:type="spellEnd"/>
      <w:r w:rsidRPr="00F778C6">
        <w:rPr>
          <w:rFonts w:ascii="Times New Roman" w:hAnsi="Times New Roman" w:cs="Times New Roman"/>
          <w:sz w:val="24"/>
          <w:szCs w:val="24"/>
        </w:rPr>
        <w:t xml:space="preserve"> en países extranjeros también colaboran contactando a quienes deseen donar muestras de sangre para el proyecto. </w:t>
      </w:r>
    </w:p>
    <w:p w14:paraId="44832E6D" w14:textId="77777777" w:rsidR="00064074" w:rsidRPr="00F778C6" w:rsidRDefault="00064074" w:rsidP="00064074">
      <w:pPr>
        <w:spacing w:line="360" w:lineRule="auto"/>
        <w:jc w:val="both"/>
        <w:rPr>
          <w:rFonts w:ascii="Times New Roman" w:hAnsi="Times New Roman" w:cs="Times New Roman"/>
          <w:sz w:val="24"/>
          <w:szCs w:val="24"/>
        </w:rPr>
      </w:pPr>
    </w:p>
    <w:p w14:paraId="000000C2" w14:textId="7798F35F"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El objetivo es recolectar un número alto de muestras de familiares de personas desaparecidas para poder aumentar significativamente las posibilidades de identificar los restos. La extracción fue realizada en un ámbito oficial, público, jurídicamente reconocido y quedaron debidamente documentadas. </w:t>
      </w:r>
    </w:p>
    <w:p w14:paraId="41BD734E" w14:textId="77777777" w:rsidR="00064074" w:rsidRPr="00F778C6" w:rsidRDefault="00064074" w:rsidP="00064074">
      <w:pPr>
        <w:spacing w:line="360" w:lineRule="auto"/>
        <w:jc w:val="both"/>
        <w:rPr>
          <w:rFonts w:ascii="Times New Roman" w:hAnsi="Times New Roman" w:cs="Times New Roman"/>
          <w:sz w:val="24"/>
          <w:szCs w:val="24"/>
        </w:rPr>
      </w:pPr>
    </w:p>
    <w:p w14:paraId="000000C3" w14:textId="1BFD517A"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Se asegura la cadena de custodia de las muestras desde el momento de la extracción de la sangre hasta que éstas fueron enviadas al laboratorio para su procesamiento. Esto implica la cooperación y autorización de los juzgados, centros de recolección de muestras, laboratorio de procesamiento y transportistas a cargo del traslado de las muestras de un punto geográfico a otro. </w:t>
      </w:r>
    </w:p>
    <w:p w14:paraId="602B7C80" w14:textId="77777777" w:rsidR="00064074" w:rsidRPr="00F778C6" w:rsidRDefault="00064074" w:rsidP="00064074">
      <w:pPr>
        <w:spacing w:line="360" w:lineRule="auto"/>
        <w:jc w:val="both"/>
        <w:rPr>
          <w:rFonts w:ascii="Times New Roman" w:hAnsi="Times New Roman" w:cs="Times New Roman"/>
          <w:sz w:val="24"/>
          <w:szCs w:val="24"/>
        </w:rPr>
      </w:pPr>
    </w:p>
    <w:p w14:paraId="000000C4" w14:textId="77A2AED4"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A la muestra sanguínea se adjunta la siguiente información: nombre, tipo y número de documento de identidad y domicilio del donante; relación de parentesco —madre, padre, hermano/a, otro— del donante con la persona desaparecida; información médica del donante que pudiese interferir con los resultados del análisis genético; procedencia geográfica de la familia; nombre de la persona desaparecida; familiares vivos de la persona desaparecida que podrían donar muestra de sangre, y en el caso de mujeres desaparecidas, si quien dona sabe o presume que al momento de su desaparición podría haber estado embarazada. </w:t>
      </w:r>
    </w:p>
    <w:p w14:paraId="3719EE55" w14:textId="77777777" w:rsidR="004817B2" w:rsidRPr="00F778C6" w:rsidRDefault="004817B2" w:rsidP="00064074">
      <w:pPr>
        <w:spacing w:line="360" w:lineRule="auto"/>
        <w:jc w:val="both"/>
        <w:rPr>
          <w:rFonts w:ascii="Times New Roman" w:hAnsi="Times New Roman" w:cs="Times New Roman"/>
          <w:sz w:val="24"/>
          <w:szCs w:val="24"/>
        </w:rPr>
      </w:pPr>
    </w:p>
    <w:bookmarkStart w:id="9" w:name="_heading=h.hzz7orr13p3i" w:colFirst="0" w:colLast="0" w:displacedByCustomXml="next"/>
    <w:bookmarkEnd w:id="9" w:displacedByCustomXml="next"/>
    <w:sdt>
      <w:sdtPr>
        <w:rPr>
          <w:rFonts w:ascii="Times New Roman" w:hAnsi="Times New Roman" w:cs="Times New Roman"/>
          <w:i w:val="0"/>
          <w:color w:val="auto"/>
          <w:sz w:val="24"/>
          <w:szCs w:val="24"/>
        </w:rPr>
        <w:tag w:val="goog_rdk_3"/>
        <w:id w:val="-860439946"/>
      </w:sdtPr>
      <w:sdtEndPr>
        <w:rPr>
          <w:iCs/>
        </w:rPr>
      </w:sdtEndPr>
      <w:sdtContent>
        <w:p w14:paraId="000000C5" w14:textId="74700CE9" w:rsidR="002E1340" w:rsidRDefault="00000000" w:rsidP="00064074">
          <w:pPr>
            <w:pStyle w:val="Ttulo6"/>
            <w:spacing w:before="0" w:after="0" w:line="360" w:lineRule="auto"/>
            <w:jc w:val="both"/>
            <w:rPr>
              <w:rFonts w:ascii="Times New Roman" w:hAnsi="Times New Roman" w:cs="Times New Roman"/>
              <w:b/>
              <w:i w:val="0"/>
              <w:iCs/>
              <w:color w:val="000000"/>
              <w:sz w:val="24"/>
              <w:szCs w:val="24"/>
            </w:rPr>
          </w:pPr>
          <w:r w:rsidRPr="004817B2">
            <w:rPr>
              <w:rFonts w:ascii="Times New Roman" w:hAnsi="Times New Roman" w:cs="Times New Roman"/>
              <w:b/>
              <w:i w:val="0"/>
              <w:iCs/>
              <w:color w:val="000000"/>
              <w:sz w:val="24"/>
              <w:szCs w:val="24"/>
            </w:rPr>
            <w:t>Resultados de la ILID</w:t>
          </w:r>
        </w:p>
        <w:p w14:paraId="09AC334B" w14:textId="77777777" w:rsidR="00064074" w:rsidRPr="00064074" w:rsidRDefault="00000000" w:rsidP="00064074"/>
      </w:sdtContent>
    </w:sdt>
    <w:p w14:paraId="000000C6" w14:textId="78D8FB55"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Iniciativa permitió hasta el presente recolectar un total de 9324 muestras de sangre. Estas muestras se sumaron a las 2779 que el EAAF había obtenido con anterioridad como parte de su intervención en investigaciones judiciales. En el marco de la iniciativa se identificaron los restos de 523 personas desaparecidas y la búsqueda continúa. </w:t>
      </w:r>
      <w:r w:rsidRPr="00F778C6">
        <w:rPr>
          <w:rFonts w:ascii="Times New Roman" w:hAnsi="Times New Roman" w:cs="Times New Roman"/>
          <w:sz w:val="24"/>
          <w:szCs w:val="24"/>
        </w:rPr>
        <w:tab/>
        <w:t xml:space="preserve"> </w:t>
      </w:r>
    </w:p>
    <w:p w14:paraId="372EDE85" w14:textId="77777777" w:rsidR="004817B2" w:rsidRPr="00F778C6" w:rsidRDefault="004817B2" w:rsidP="00064074">
      <w:pPr>
        <w:spacing w:line="360" w:lineRule="auto"/>
        <w:jc w:val="both"/>
        <w:rPr>
          <w:rFonts w:ascii="Times New Roman" w:hAnsi="Times New Roman" w:cs="Times New Roman"/>
          <w:sz w:val="24"/>
          <w:szCs w:val="24"/>
        </w:rPr>
      </w:pPr>
    </w:p>
    <w:bookmarkStart w:id="10" w:name="_heading=h.a33fxujpd8gx" w:colFirst="0" w:colLast="0" w:displacedByCustomXml="next"/>
    <w:bookmarkEnd w:id="10" w:displacedByCustomXml="next"/>
    <w:sdt>
      <w:sdtPr>
        <w:rPr>
          <w:rFonts w:ascii="Times New Roman" w:hAnsi="Times New Roman" w:cs="Times New Roman"/>
          <w:color w:val="auto"/>
          <w:sz w:val="24"/>
          <w:szCs w:val="24"/>
        </w:rPr>
        <w:tag w:val="goog_rdk_4"/>
        <w:id w:val="-1684745418"/>
      </w:sdtPr>
      <w:sdtContent>
        <w:p w14:paraId="000000C7" w14:textId="2E7E34B3" w:rsidR="002E1340" w:rsidRDefault="00000000" w:rsidP="00064074">
          <w:pPr>
            <w:pStyle w:val="Ttulo5"/>
            <w:spacing w:before="0" w:after="0" w:line="360" w:lineRule="auto"/>
            <w:jc w:val="both"/>
            <w:rPr>
              <w:rFonts w:ascii="Times New Roman" w:hAnsi="Times New Roman" w:cs="Times New Roman"/>
              <w:b/>
              <w:color w:val="000000"/>
              <w:sz w:val="24"/>
              <w:szCs w:val="24"/>
            </w:rPr>
          </w:pPr>
          <w:r w:rsidRPr="00F778C6">
            <w:rPr>
              <w:rFonts w:ascii="Times New Roman" w:hAnsi="Times New Roman" w:cs="Times New Roman"/>
              <w:b/>
              <w:color w:val="000000"/>
              <w:sz w:val="24"/>
              <w:szCs w:val="24"/>
            </w:rPr>
            <w:t xml:space="preserve">Síntesis </w:t>
          </w:r>
        </w:p>
        <w:p w14:paraId="3AB881F5" w14:textId="77777777" w:rsidR="00064074" w:rsidRPr="00064074" w:rsidRDefault="00000000" w:rsidP="00064074"/>
      </w:sdtContent>
    </w:sdt>
    <w:p w14:paraId="000000C8" w14:textId="535E600E"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Los informes producidos por el Equipo Argentino de Antropología Forense y por las instancias judiciales que intervienen en la búsqueda de los cuerpos de personas desaparecidas -que se anexan al presente- complementan lo aquí expuesto sobre la actividad realizada a lo largo de los años. </w:t>
      </w:r>
    </w:p>
    <w:p w14:paraId="6697E0EF" w14:textId="77777777" w:rsidR="00064074" w:rsidRPr="00F778C6" w:rsidRDefault="00064074" w:rsidP="00064074">
      <w:pPr>
        <w:spacing w:line="360" w:lineRule="auto"/>
        <w:jc w:val="both"/>
        <w:rPr>
          <w:rFonts w:ascii="Times New Roman" w:hAnsi="Times New Roman" w:cs="Times New Roman"/>
          <w:sz w:val="24"/>
          <w:szCs w:val="24"/>
        </w:rPr>
      </w:pPr>
    </w:p>
    <w:p w14:paraId="000000C9" w14:textId="6B9D2795"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Permiten advertir la combinación de esfuerzos estatales y no estatales para una tarea de gran dificultad y envergadura. En este sentido, impulsan y participan de los procedimientos las distintas instancias del Poder Judicial; Ministerio Público Fiscal, Ministerio de Justicia y Derechos Humanos nacional -a través de la Secretaría de Derechos Humanos Nacional y el Archivo Nacional de la Memoria-; el Ministerio de Salud de la Nación; el Ministerio de Defensa; el Ministerio de Ciencia y Tecnología; las Secretarías de Derechos Humanos de todas las Provincias; las Comisiones de derechos humanos de carácter mixto que existen en algunas jurisdicciones; las agencias requeridas para brindar acceso a información en poder del Estado; las organizaciones de derechos humanos que representan a las familias en los juicios y que son el impulso vital del proceso de verdad y justicia; y de manera destacada el Equipo Argentino de Antropología Forense.  </w:t>
      </w:r>
    </w:p>
    <w:p w14:paraId="07047B83" w14:textId="77777777" w:rsidR="00064074" w:rsidRPr="00F778C6" w:rsidRDefault="00064074" w:rsidP="00064074">
      <w:pPr>
        <w:spacing w:line="360" w:lineRule="auto"/>
        <w:jc w:val="both"/>
        <w:rPr>
          <w:rFonts w:ascii="Times New Roman" w:hAnsi="Times New Roman" w:cs="Times New Roman"/>
          <w:sz w:val="24"/>
          <w:szCs w:val="24"/>
        </w:rPr>
      </w:pPr>
    </w:p>
    <w:p w14:paraId="000000CA" w14:textId="52031825" w:rsidR="002E1340"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Tal como afirma el informe presentado para esta ocasión por el Juzgado Federal Nº1 de La Plata “... en todos los casos, las acciones que se llevan adelante para lograr la identificación del destino final del cuerpo de una persona desaparecida implican una coordinación de roles entre distintas dependencias del Estado, junto con organizaciones de la sociedad civil, que combinan capacidades, recursos e información disponible. En nuestro país, a esta altura del avance del proceso de Memoria, Verdad y Justicia, no existen gestiones ni logros individuales en esta materia y la búsqueda de la verdad trasciende los expedientes judiciales.” </w:t>
      </w:r>
    </w:p>
    <w:p w14:paraId="5BC22F30" w14:textId="77777777" w:rsidR="00064074" w:rsidRPr="00F778C6" w:rsidRDefault="00064074" w:rsidP="00064074">
      <w:pPr>
        <w:spacing w:line="360" w:lineRule="auto"/>
        <w:jc w:val="both"/>
        <w:rPr>
          <w:rFonts w:ascii="Times New Roman" w:hAnsi="Times New Roman" w:cs="Times New Roman"/>
          <w:sz w:val="24"/>
          <w:szCs w:val="24"/>
          <w:highlight w:val="yellow"/>
        </w:rPr>
      </w:pPr>
    </w:p>
    <w:p w14:paraId="000000CB"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La diversidad de recursos implementados también merece ser mencionada: técnicas de investigación histórica, estadística, antropológica, arqueológica, biológica, radiológica, genética, informática, de geo </w:t>
      </w:r>
      <w:proofErr w:type="spellStart"/>
      <w:r w:rsidRPr="00F778C6">
        <w:rPr>
          <w:rFonts w:ascii="Times New Roman" w:hAnsi="Times New Roman" w:cs="Times New Roman"/>
          <w:sz w:val="24"/>
          <w:szCs w:val="24"/>
        </w:rPr>
        <w:t>radarización</w:t>
      </w:r>
      <w:proofErr w:type="spellEnd"/>
      <w:r w:rsidRPr="00F778C6">
        <w:rPr>
          <w:rFonts w:ascii="Times New Roman" w:hAnsi="Times New Roman" w:cs="Times New Roman"/>
          <w:sz w:val="24"/>
          <w:szCs w:val="24"/>
        </w:rPr>
        <w:t xml:space="preserve">, por nombrar las que más resultados han aportado. </w:t>
      </w:r>
    </w:p>
    <w:p w14:paraId="000000CC" w14:textId="77777777" w:rsidR="002E1340" w:rsidRPr="00F778C6" w:rsidRDefault="00000000" w:rsidP="00064074">
      <w:pPr>
        <w:spacing w:line="360" w:lineRule="auto"/>
        <w:jc w:val="both"/>
        <w:rPr>
          <w:rFonts w:ascii="Times New Roman" w:hAnsi="Times New Roman" w:cs="Times New Roman"/>
          <w:sz w:val="24"/>
          <w:szCs w:val="24"/>
        </w:rPr>
      </w:pPr>
      <w:r w:rsidRPr="00F778C6">
        <w:rPr>
          <w:rFonts w:ascii="Times New Roman" w:hAnsi="Times New Roman" w:cs="Times New Roman"/>
          <w:sz w:val="24"/>
          <w:szCs w:val="24"/>
        </w:rPr>
        <w:t xml:space="preserve">Es imposible negar que la metodología implementada por la dictadura militar para ocultar los cuerpos fue eficaz y por ello en muchos casos los esfuerzos resultan infructuosos. Sin embargo, </w:t>
      </w:r>
      <w:r w:rsidRPr="00F778C6">
        <w:rPr>
          <w:rFonts w:ascii="Times New Roman" w:hAnsi="Times New Roman" w:cs="Times New Roman"/>
          <w:sz w:val="24"/>
          <w:szCs w:val="24"/>
        </w:rPr>
        <w:lastRenderedPageBreak/>
        <w:t>los esfuerzos por encontrar los cuerpos, identificarlos e informar a las familias no se agotan, la búsqueda se renueva cada vez que los avances científicos ofrecen nuevas posibilidades.</w:t>
      </w:r>
    </w:p>
    <w:sectPr w:rsidR="002E1340" w:rsidRPr="00F778C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ACAB5" w14:textId="77777777" w:rsidR="0025249E" w:rsidRDefault="0025249E">
      <w:pPr>
        <w:spacing w:line="240" w:lineRule="auto"/>
      </w:pPr>
      <w:r>
        <w:separator/>
      </w:r>
    </w:p>
  </w:endnote>
  <w:endnote w:type="continuationSeparator" w:id="0">
    <w:p w14:paraId="3B59E3F4" w14:textId="77777777" w:rsidR="0025249E" w:rsidRDefault="002524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5" w14:textId="0D2351FA" w:rsidR="002E1340" w:rsidRDefault="00000000">
    <w:pPr>
      <w:jc w:val="right"/>
    </w:pPr>
    <w:r>
      <w:fldChar w:fldCharType="begin"/>
    </w:r>
    <w:r>
      <w:instrText>PAGE</w:instrText>
    </w:r>
    <w:r>
      <w:fldChar w:fldCharType="separate"/>
    </w:r>
    <w:r w:rsidR="00F778C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3E789" w14:textId="77777777" w:rsidR="0025249E" w:rsidRDefault="0025249E">
      <w:pPr>
        <w:spacing w:line="240" w:lineRule="auto"/>
      </w:pPr>
      <w:r>
        <w:separator/>
      </w:r>
    </w:p>
  </w:footnote>
  <w:footnote w:type="continuationSeparator" w:id="0">
    <w:p w14:paraId="6C65712C" w14:textId="77777777" w:rsidR="0025249E" w:rsidRDefault="0025249E">
      <w:pPr>
        <w:spacing w:line="240" w:lineRule="auto"/>
      </w:pPr>
      <w:r>
        <w:continuationSeparator/>
      </w:r>
    </w:p>
  </w:footnote>
  <w:footnote w:id="1">
    <w:p w14:paraId="000000D4" w14:textId="77777777" w:rsidR="002E1340" w:rsidRPr="00F778C6" w:rsidRDefault="00000000" w:rsidP="00F778C6">
      <w:pPr>
        <w:spacing w:line="240" w:lineRule="auto"/>
        <w:jc w:val="both"/>
        <w:rPr>
          <w:rFonts w:ascii="Times New Roman" w:hAnsi="Times New Roman" w:cs="Times New Roman"/>
          <w:sz w:val="20"/>
          <w:szCs w:val="20"/>
        </w:rPr>
      </w:pPr>
      <w:r w:rsidRPr="00F778C6">
        <w:rPr>
          <w:rFonts w:ascii="Times New Roman" w:hAnsi="Times New Roman" w:cs="Times New Roman"/>
          <w:sz w:val="20"/>
          <w:szCs w:val="20"/>
          <w:vertAlign w:val="superscript"/>
        </w:rPr>
        <w:footnoteRef/>
      </w:r>
      <w:r w:rsidRPr="00F778C6">
        <w:rPr>
          <w:rFonts w:ascii="Times New Roman" w:hAnsi="Times New Roman" w:cs="Times New Roman"/>
          <w:sz w:val="20"/>
          <w:szCs w:val="20"/>
        </w:rPr>
        <w:t xml:space="preserve">  Informe presentado en ocasión de dar cuenta del cumplimiento de la sentencia de la Corte Interamericana de Derechos Humanos en el Caso “Familia Julien Grisonas y otros vs. Argentina”</w:t>
      </w:r>
    </w:p>
  </w:footnote>
  <w:footnote w:id="2">
    <w:p w14:paraId="000000CD" w14:textId="77777777" w:rsidR="002E1340" w:rsidRDefault="00000000" w:rsidP="00F778C6">
      <w:pPr>
        <w:spacing w:line="240" w:lineRule="auto"/>
        <w:jc w:val="both"/>
        <w:rPr>
          <w:sz w:val="20"/>
          <w:szCs w:val="20"/>
        </w:rPr>
      </w:pPr>
      <w:r w:rsidRPr="00F778C6">
        <w:rPr>
          <w:rFonts w:ascii="Times New Roman" w:hAnsi="Times New Roman" w:cs="Times New Roman"/>
          <w:sz w:val="20"/>
          <w:szCs w:val="20"/>
          <w:vertAlign w:val="superscript"/>
        </w:rPr>
        <w:footnoteRef/>
      </w:r>
      <w:r w:rsidRPr="00F778C6">
        <w:rPr>
          <w:rFonts w:ascii="Times New Roman" w:hAnsi="Times New Roman" w:cs="Times New Roman"/>
          <w:sz w:val="20"/>
          <w:szCs w:val="20"/>
        </w:rPr>
        <w:t xml:space="preserve"> Informe Nunca Más, Conclusiones.</w:t>
      </w:r>
    </w:p>
  </w:footnote>
  <w:footnote w:id="3">
    <w:p w14:paraId="000000CE" w14:textId="77777777" w:rsidR="002E1340" w:rsidRPr="004817B2" w:rsidRDefault="00000000" w:rsidP="004817B2">
      <w:pPr>
        <w:spacing w:line="240" w:lineRule="auto"/>
        <w:jc w:val="both"/>
        <w:rPr>
          <w:rFonts w:ascii="Times New Roman" w:hAnsi="Times New Roman" w:cs="Times New Roman"/>
          <w:sz w:val="20"/>
          <w:szCs w:val="20"/>
        </w:rPr>
      </w:pPr>
      <w:r w:rsidRPr="004817B2">
        <w:rPr>
          <w:rFonts w:ascii="Times New Roman" w:hAnsi="Times New Roman" w:cs="Times New Roman"/>
          <w:sz w:val="20"/>
          <w:szCs w:val="20"/>
          <w:vertAlign w:val="superscript"/>
        </w:rPr>
        <w:footnoteRef/>
      </w:r>
      <w:r w:rsidRPr="004817B2">
        <w:rPr>
          <w:rFonts w:ascii="Times New Roman" w:hAnsi="Times New Roman" w:cs="Times New Roman"/>
          <w:sz w:val="20"/>
          <w:szCs w:val="20"/>
        </w:rPr>
        <w:t xml:space="preserve"> Posteriormente fue elevada al rango de Subsecretaría y luego al de Secretaría, como es en la actualidad. </w:t>
      </w:r>
    </w:p>
  </w:footnote>
  <w:footnote w:id="4">
    <w:p w14:paraId="000000D3" w14:textId="77777777" w:rsidR="002E1340" w:rsidRPr="004817B2" w:rsidRDefault="00000000" w:rsidP="004817B2">
      <w:pPr>
        <w:spacing w:line="240" w:lineRule="auto"/>
        <w:jc w:val="both"/>
        <w:rPr>
          <w:rFonts w:ascii="Times New Roman" w:hAnsi="Times New Roman" w:cs="Times New Roman"/>
          <w:sz w:val="20"/>
          <w:szCs w:val="20"/>
        </w:rPr>
      </w:pPr>
      <w:r w:rsidRPr="004817B2">
        <w:rPr>
          <w:rFonts w:ascii="Times New Roman" w:hAnsi="Times New Roman" w:cs="Times New Roman"/>
          <w:sz w:val="20"/>
          <w:szCs w:val="20"/>
          <w:vertAlign w:val="superscript"/>
        </w:rPr>
        <w:footnoteRef/>
      </w:r>
      <w:r w:rsidRPr="004817B2">
        <w:rPr>
          <w:rFonts w:ascii="Times New Roman" w:hAnsi="Times New Roman" w:cs="Times New Roman"/>
          <w:sz w:val="20"/>
          <w:szCs w:val="20"/>
        </w:rPr>
        <w:t xml:space="preserve"> Coordinada por Guillermo Berman e integrada por María Julia </w:t>
      </w:r>
      <w:proofErr w:type="spellStart"/>
      <w:r w:rsidRPr="004817B2">
        <w:rPr>
          <w:rFonts w:ascii="Times New Roman" w:hAnsi="Times New Roman" w:cs="Times New Roman"/>
          <w:sz w:val="20"/>
          <w:szCs w:val="20"/>
        </w:rPr>
        <w:t>Bihurriet</w:t>
      </w:r>
      <w:proofErr w:type="spellEnd"/>
      <w:r w:rsidRPr="004817B2">
        <w:rPr>
          <w:rFonts w:ascii="Times New Roman" w:hAnsi="Times New Roman" w:cs="Times New Roman"/>
          <w:sz w:val="20"/>
          <w:szCs w:val="20"/>
        </w:rPr>
        <w:t xml:space="preserve"> y Marita Vera.</w:t>
      </w:r>
    </w:p>
  </w:footnote>
  <w:footnote w:id="5">
    <w:p w14:paraId="000000D6" w14:textId="77777777" w:rsidR="002E1340" w:rsidRDefault="00000000" w:rsidP="004817B2">
      <w:pPr>
        <w:spacing w:line="240" w:lineRule="auto"/>
        <w:jc w:val="both"/>
        <w:rPr>
          <w:sz w:val="20"/>
          <w:szCs w:val="20"/>
        </w:rPr>
      </w:pPr>
      <w:r w:rsidRPr="004817B2">
        <w:rPr>
          <w:rFonts w:ascii="Times New Roman" w:hAnsi="Times New Roman" w:cs="Times New Roman"/>
          <w:sz w:val="20"/>
          <w:szCs w:val="20"/>
          <w:vertAlign w:val="superscript"/>
        </w:rPr>
        <w:footnoteRef/>
      </w:r>
      <w:r w:rsidRPr="004817B2">
        <w:rPr>
          <w:rFonts w:ascii="Times New Roman" w:hAnsi="Times New Roman" w:cs="Times New Roman"/>
          <w:sz w:val="20"/>
          <w:szCs w:val="20"/>
        </w:rPr>
        <w:t xml:space="preserve"> Dictada el 11 de diciembre de 1986.</w:t>
      </w:r>
    </w:p>
  </w:footnote>
  <w:footnote w:id="6">
    <w:p w14:paraId="000000CF" w14:textId="77777777" w:rsidR="002E1340" w:rsidRPr="004817B2" w:rsidRDefault="00000000">
      <w:pPr>
        <w:spacing w:line="240" w:lineRule="auto"/>
        <w:jc w:val="both"/>
        <w:rPr>
          <w:rFonts w:ascii="Times New Roman" w:hAnsi="Times New Roman" w:cs="Times New Roman"/>
          <w:sz w:val="20"/>
          <w:szCs w:val="20"/>
        </w:rPr>
      </w:pPr>
      <w:r w:rsidRPr="004817B2">
        <w:rPr>
          <w:rFonts w:ascii="Times New Roman" w:hAnsi="Times New Roman" w:cs="Times New Roman"/>
          <w:sz w:val="20"/>
          <w:szCs w:val="20"/>
          <w:vertAlign w:val="superscript"/>
        </w:rPr>
        <w:footnoteRef/>
      </w:r>
      <w:r w:rsidRPr="004817B2">
        <w:rPr>
          <w:rFonts w:ascii="Times New Roman" w:hAnsi="Times New Roman" w:cs="Times New Roman"/>
          <w:sz w:val="20"/>
          <w:szCs w:val="20"/>
        </w:rPr>
        <w:t xml:space="preserve"> Existían testimonios que daban cuenta de esta posibilidad y una verificación incipiente de la Comisión Interamericana de Derechos Humanos en su visita in loco del año 1979. Informe sobre la situación de los derechos humanos en Argentina, Washington DC, OEA, 1980, p.57. </w:t>
      </w:r>
    </w:p>
  </w:footnote>
  <w:footnote w:id="7">
    <w:p w14:paraId="000000D0" w14:textId="77777777" w:rsidR="002E1340" w:rsidRPr="004817B2" w:rsidRDefault="00000000">
      <w:pPr>
        <w:spacing w:line="240" w:lineRule="auto"/>
        <w:jc w:val="both"/>
        <w:rPr>
          <w:rFonts w:ascii="Times New Roman" w:hAnsi="Times New Roman" w:cs="Times New Roman"/>
          <w:sz w:val="20"/>
          <w:szCs w:val="20"/>
        </w:rPr>
      </w:pPr>
      <w:r w:rsidRPr="004817B2">
        <w:rPr>
          <w:rFonts w:ascii="Times New Roman" w:hAnsi="Times New Roman" w:cs="Times New Roman"/>
          <w:sz w:val="20"/>
          <w:szCs w:val="20"/>
          <w:vertAlign w:val="superscript"/>
        </w:rPr>
        <w:footnoteRef/>
      </w:r>
      <w:r w:rsidRPr="004817B2">
        <w:rPr>
          <w:rFonts w:ascii="Times New Roman" w:hAnsi="Times New Roman" w:cs="Times New Roman"/>
          <w:sz w:val="20"/>
          <w:szCs w:val="20"/>
        </w:rPr>
        <w:t xml:space="preserve"> Esta circunstancia dio lugar a una denuncia judicial sobre el funcionamiento irregular de la Morgue Judicial presentada por el Centro de Estudios Legales y Sociales (CELS) en el año 1982 ante el Juzgado de Instrucción Nro. 10 de la Capital Federal y ante la Corte Suprema de Justicia de la Nación.</w:t>
      </w:r>
    </w:p>
  </w:footnote>
  <w:footnote w:id="8">
    <w:p w14:paraId="000000D1" w14:textId="5ABB340E" w:rsidR="002E1340" w:rsidRPr="004817B2" w:rsidRDefault="00000000">
      <w:pPr>
        <w:spacing w:line="240" w:lineRule="auto"/>
        <w:jc w:val="both"/>
        <w:rPr>
          <w:rFonts w:ascii="Times New Roman" w:hAnsi="Times New Roman" w:cs="Times New Roman"/>
          <w:sz w:val="20"/>
          <w:szCs w:val="20"/>
        </w:rPr>
      </w:pPr>
      <w:r w:rsidRPr="004817B2">
        <w:rPr>
          <w:rFonts w:ascii="Times New Roman" w:hAnsi="Times New Roman" w:cs="Times New Roman"/>
          <w:sz w:val="20"/>
          <w:szCs w:val="20"/>
          <w:vertAlign w:val="superscript"/>
        </w:rPr>
        <w:footnoteRef/>
      </w:r>
      <w:r w:rsidRPr="004817B2">
        <w:rPr>
          <w:rFonts w:ascii="Times New Roman" w:hAnsi="Times New Roman" w:cs="Times New Roman"/>
          <w:sz w:val="20"/>
          <w:szCs w:val="20"/>
        </w:rPr>
        <w:t xml:space="preserve"> De acuerdo con la normativa vigente en el momento de los </w:t>
      </w:r>
      <w:r w:rsidR="004817B2" w:rsidRPr="004817B2">
        <w:rPr>
          <w:rFonts w:ascii="Times New Roman" w:hAnsi="Times New Roman" w:cs="Times New Roman"/>
          <w:sz w:val="20"/>
          <w:szCs w:val="20"/>
        </w:rPr>
        <w:t>hechos, frente</w:t>
      </w:r>
      <w:r w:rsidRPr="004817B2">
        <w:rPr>
          <w:rFonts w:ascii="Times New Roman" w:hAnsi="Times New Roman" w:cs="Times New Roman"/>
          <w:sz w:val="20"/>
          <w:szCs w:val="20"/>
        </w:rPr>
        <w:t xml:space="preserve"> a la aparición de personas fallecidas por muerte violenta o sospechosa la policía estaba obligada a: 1) hacer la instrucción del hecho: sacar fotos, extraer varios juegos de huellas dactilares y ordenar la autopsia o examen médico, 2) enviar la instrucción al juez; 3) intentar la identificación del cadáver mediante las fichas dactiloscópicas; 4) emitir una partida de defunción con indicación de la fecha y lugar del fallecimiento, la edad, sexo y causa de muerte, y, en caso de ser NN, las características físicas y descripción de la ropa. Si no se lograba identificar el cuerpo, se lo inhumaba luego de la inscripción de la defunción en el Registro Civil, que emitía una licencia de inhumación. La partida de defunción y la licencia de inhumación eran indispensables para realizar la inhumación, Por </w:t>
      </w:r>
      <w:r w:rsidR="004817B2" w:rsidRPr="004817B2">
        <w:rPr>
          <w:rFonts w:ascii="Times New Roman" w:hAnsi="Times New Roman" w:cs="Times New Roman"/>
          <w:sz w:val="20"/>
          <w:szCs w:val="20"/>
        </w:rPr>
        <w:t>último,</w:t>
      </w:r>
      <w:r w:rsidRPr="004817B2">
        <w:rPr>
          <w:rFonts w:ascii="Times New Roman" w:hAnsi="Times New Roman" w:cs="Times New Roman"/>
          <w:sz w:val="20"/>
          <w:szCs w:val="20"/>
        </w:rPr>
        <w:t xml:space="preserve"> se dejaba constancia en el Libro General de Inhumaciones o, según los casos en el Libro reservado a los indigentes. </w:t>
      </w:r>
    </w:p>
  </w:footnote>
  <w:footnote w:id="9">
    <w:p w14:paraId="000000D2" w14:textId="77777777" w:rsidR="002E1340" w:rsidRDefault="00000000">
      <w:pPr>
        <w:spacing w:line="240" w:lineRule="auto"/>
        <w:jc w:val="both"/>
        <w:rPr>
          <w:sz w:val="20"/>
          <w:szCs w:val="20"/>
        </w:rPr>
      </w:pPr>
      <w:r w:rsidRPr="004817B2">
        <w:rPr>
          <w:rFonts w:ascii="Times New Roman" w:hAnsi="Times New Roman" w:cs="Times New Roman"/>
          <w:sz w:val="20"/>
          <w:szCs w:val="20"/>
          <w:vertAlign w:val="superscript"/>
        </w:rPr>
        <w:footnoteRef/>
      </w:r>
      <w:r w:rsidRPr="004817B2">
        <w:rPr>
          <w:rFonts w:ascii="Times New Roman" w:hAnsi="Times New Roman" w:cs="Times New Roman"/>
          <w:sz w:val="20"/>
          <w:szCs w:val="20"/>
        </w:rPr>
        <w:t xml:space="preserve"> Transcurrido un plazo legal de 5 años de un enterramiento no identificado los huesos podrían ser exhumados y trasladados a un osario común.</w:t>
      </w:r>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B3FD6"/>
    <w:multiLevelType w:val="multilevel"/>
    <w:tmpl w:val="5560CD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90622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340"/>
    <w:rsid w:val="00064074"/>
    <w:rsid w:val="0025249E"/>
    <w:rsid w:val="002E1340"/>
    <w:rsid w:val="004817B2"/>
    <w:rsid w:val="00830EF7"/>
    <w:rsid w:val="009434BC"/>
    <w:rsid w:val="00F778C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16008"/>
  <w15:docId w15:val="{F5D63F8F-DEE6-413F-B201-21C453E96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unhideWhenUsed/>
    <w:qFormat/>
    <w:pPr>
      <w:keepNext/>
      <w:keepLines/>
      <w:spacing w:before="240" w:after="80"/>
      <w:outlineLvl w:val="4"/>
    </w:pPr>
    <w:rPr>
      <w:color w:val="666666"/>
    </w:rPr>
  </w:style>
  <w:style w:type="paragraph" w:styleId="Ttulo6">
    <w:name w:val="heading 6"/>
    <w:basedOn w:val="Normal"/>
    <w:next w:val="Normal"/>
    <w:uiPriority w:val="9"/>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hczYyVjJv+89FrwkoR5Tnik7kA==">AMUW2mVwKxPjF39fIqEUtBCv7q1VrJNeoORiBU4p0D3Ev89oheHiDDa7njX7bH5Bmx/2UNOz/NzIltd97/2CcAsXsRzk9+Vh9moGFWMMJFS6RJzjGP2naoKuRTfaxg6rNb/u9RV8TG9Q95GmF4raeFGxLGPb0GfV1Fbbd4nMqyjklhIdONEy03QH97Y5DC4TjHiO5mS8BKuZyT/XkmIcI/PiFY2qROKtlTp2I8QLaDJF+2I/mkRh3uFN2jbSAaBsJaerbCuIsGp+4woHbEXkwdyT4h5FWOSnHYU6FPW8C3Aj2rogMeokhzXfoI0DZerZ7qvh686KVNe5WJBjrVi9+pqELnt5KBHJtVIBee/LXdJn/FOA78eTGomZVJDt/Pki+fKgPBMshw0+7BBtiX7pK+cLcTl7nh2GiCxHPW0Nn6Qpl98D1tcWjak8VVC2qQU1soQNCxQOUb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7989</Words>
  <Characters>43466</Characters>
  <Application>Microsoft Office Word</Application>
  <DocSecurity>0</DocSecurity>
  <Lines>668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Belma Moro</dc:creator>
  <cp:lastModifiedBy>Maria Belma Moro</cp:lastModifiedBy>
  <cp:revision>2</cp:revision>
  <dcterms:created xsi:type="dcterms:W3CDTF">2023-03-03T12:56:00Z</dcterms:created>
  <dcterms:modified xsi:type="dcterms:W3CDTF">2023-03-03T12:56:00Z</dcterms:modified>
</cp:coreProperties>
</file>