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2EE8C" w14:textId="77777777" w:rsidR="00840982" w:rsidRDefault="00840982">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hAnsi="Times New Roman" w:cs="Times New Roman"/>
          <w:b/>
          <w:bCs/>
          <w:sz w:val="24"/>
          <w:szCs w:val="24"/>
        </w:rPr>
        <w:t>REPORT ON BRAZIL FOR THE COMMITTEE ON ECONOMIC, SOCIL AND CULTURAL RIGHTS 74</w:t>
      </w:r>
      <w:r w:rsidRPr="00413BB9">
        <w:rPr>
          <w:rFonts w:ascii="Times New Roman" w:hAnsi="Times New Roman" w:cs="Times New Roman"/>
          <w:b/>
          <w:bCs/>
          <w:sz w:val="24"/>
          <w:szCs w:val="24"/>
          <w:vertAlign w:val="superscript"/>
        </w:rPr>
        <w:t>th</w:t>
      </w:r>
      <w:r>
        <w:rPr>
          <w:rFonts w:ascii="Times New Roman" w:hAnsi="Times New Roman" w:cs="Times New Roman"/>
          <w:b/>
          <w:bCs/>
          <w:sz w:val="24"/>
          <w:szCs w:val="24"/>
        </w:rPr>
        <w:t xml:space="preserve"> SESSION</w:t>
      </w:r>
      <w:r>
        <w:rPr>
          <w:rFonts w:ascii="Times New Roman" w:eastAsia="Times New Roman" w:hAnsi="Times New Roman" w:cs="Times New Roman"/>
          <w:color w:val="000000"/>
          <w:sz w:val="24"/>
          <w:szCs w:val="24"/>
        </w:rPr>
        <w:t xml:space="preserve"> </w:t>
      </w:r>
    </w:p>
    <w:p w14:paraId="00000003" w14:textId="4AE88130" w:rsidR="00692458" w:rsidRPr="00880E99" w:rsidRDefault="00880E99">
      <w:pPr>
        <w:pBdr>
          <w:top w:val="nil"/>
          <w:left w:val="nil"/>
          <w:bottom w:val="nil"/>
          <w:right w:val="nil"/>
          <w:between w:val="nil"/>
        </w:pBdr>
        <w:spacing w:line="240" w:lineRule="auto"/>
        <w:jc w:val="center"/>
        <w:rPr>
          <w:rFonts w:ascii="Times New Roman" w:eastAsia="Times New Roman" w:hAnsi="Times New Roman" w:cs="Times New Roman"/>
          <w:b/>
          <w:bCs/>
          <w:i/>
          <w:iCs/>
          <w:color w:val="0070C0"/>
          <w:sz w:val="24"/>
          <w:szCs w:val="24"/>
          <w:lang w:val="pt-BR"/>
        </w:rPr>
      </w:pPr>
      <w:r w:rsidRPr="00880E99">
        <w:rPr>
          <w:rFonts w:ascii="Times New Roman" w:eastAsia="Times New Roman" w:hAnsi="Times New Roman" w:cs="Times New Roman"/>
          <w:b/>
          <w:bCs/>
          <w:i/>
          <w:iCs/>
          <w:color w:val="0070C0"/>
          <w:sz w:val="24"/>
          <w:szCs w:val="24"/>
          <w:lang w:val="pt-BR"/>
        </w:rPr>
        <w:t xml:space="preserve">Conselho Nacional de Direitos Humanos / </w:t>
      </w:r>
      <w:r w:rsidR="00EB1BF5" w:rsidRPr="00880E99">
        <w:rPr>
          <w:rFonts w:ascii="Times New Roman" w:eastAsia="Times New Roman" w:hAnsi="Times New Roman" w:cs="Times New Roman"/>
          <w:b/>
          <w:bCs/>
          <w:i/>
          <w:iCs/>
          <w:color w:val="0070C0"/>
          <w:sz w:val="24"/>
          <w:szCs w:val="24"/>
          <w:lang w:val="pt-BR"/>
        </w:rPr>
        <w:t xml:space="preserve">Human Rights National Council </w:t>
      </w:r>
    </w:p>
    <w:p w14:paraId="18B8464B" w14:textId="3BA8B190" w:rsidR="00880E99" w:rsidRPr="00880E99" w:rsidRDefault="00880E99">
      <w:pPr>
        <w:pBdr>
          <w:top w:val="nil"/>
          <w:left w:val="nil"/>
          <w:bottom w:val="nil"/>
          <w:right w:val="nil"/>
          <w:between w:val="nil"/>
        </w:pBdr>
        <w:spacing w:line="240" w:lineRule="auto"/>
        <w:jc w:val="center"/>
        <w:rPr>
          <w:rFonts w:ascii="Times New Roman" w:eastAsia="Times New Roman" w:hAnsi="Times New Roman" w:cs="Times New Roman"/>
          <w:b/>
          <w:bCs/>
          <w:i/>
          <w:iCs/>
          <w:color w:val="0070C0"/>
          <w:sz w:val="24"/>
          <w:szCs w:val="24"/>
        </w:rPr>
      </w:pPr>
      <w:r w:rsidRPr="00880E99">
        <w:rPr>
          <w:rFonts w:ascii="Times New Roman" w:eastAsia="Times New Roman" w:hAnsi="Times New Roman" w:cs="Times New Roman"/>
          <w:b/>
          <w:bCs/>
          <w:i/>
          <w:iCs/>
          <w:color w:val="0070C0"/>
          <w:sz w:val="24"/>
          <w:szCs w:val="24"/>
        </w:rPr>
        <w:t xml:space="preserve">National Institution on Human Rights </w:t>
      </w:r>
    </w:p>
    <w:p w14:paraId="00000004" w14:textId="77777777" w:rsidR="00692458" w:rsidRDefault="00692458">
      <w:pPr>
        <w:shd w:val="clear" w:color="auto" w:fill="FFFFFF"/>
        <w:spacing w:after="270" w:line="240" w:lineRule="auto"/>
        <w:jc w:val="both"/>
        <w:rPr>
          <w:rFonts w:ascii="Times New Roman" w:eastAsia="Times New Roman" w:hAnsi="Times New Roman" w:cs="Times New Roman"/>
          <w:b/>
          <w:sz w:val="24"/>
          <w:szCs w:val="24"/>
        </w:rPr>
      </w:pPr>
    </w:p>
    <w:p w14:paraId="00000005" w14:textId="77777777" w:rsidR="00692458" w:rsidRDefault="00EB1BF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About the CNDH </w:t>
      </w:r>
    </w:p>
    <w:p w14:paraId="00000006" w14:textId="77777777" w:rsidR="00692458"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National Human Rights Council (CNDH), created by Federal Law No. 12.986/2014, is a collegiate body of equal composition that aims to promote and defend human rights in Brazil through preventive, protective, reparatory and sanctioning actions of conduct to situations of threat or violation of these rights, provided for in the Federal Constitution and in international treaties and acts ratified by Brazil. </w:t>
      </w:r>
    </w:p>
    <w:p w14:paraId="00000007" w14:textId="77777777" w:rsidR="00692458"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CNDH is responsible, among other duties, for supervising and monitoring public human rights policies and the national human </w:t>
      </w:r>
      <w:proofErr w:type="gramStart"/>
      <w:r>
        <w:rPr>
          <w:rFonts w:ascii="Times New Roman" w:eastAsia="Times New Roman" w:hAnsi="Times New Roman" w:cs="Times New Roman"/>
          <w:color w:val="000000"/>
          <w:sz w:val="24"/>
          <w:szCs w:val="24"/>
        </w:rPr>
        <w:t>rights program, and</w:t>
      </w:r>
      <w:proofErr w:type="gramEnd"/>
      <w:r>
        <w:rPr>
          <w:rFonts w:ascii="Times New Roman" w:eastAsia="Times New Roman" w:hAnsi="Times New Roman" w:cs="Times New Roman"/>
          <w:color w:val="000000"/>
          <w:sz w:val="24"/>
          <w:szCs w:val="24"/>
        </w:rPr>
        <w:t xml:space="preserve"> may suggest and recommend guidelines for their implementation. It is also up to the CNDH to give an opinion on normative, administrative and legislative acts of interest to the national human rights policy and to prepare legislative proposals and normative acts related to matters within its competence, and to monitor administrative and judicial proceedings that are directly or indirectly related to serious human rights violations.</w:t>
      </w:r>
    </w:p>
    <w:p w14:paraId="00000008" w14:textId="333BFBFD" w:rsidR="00692458"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view of the legal powers established to the CNDH, that collegiate sends contributions to the </w:t>
      </w:r>
      <w:r w:rsidR="00840982">
        <w:rPr>
          <w:rFonts w:ascii="Times New Roman" w:eastAsia="Times New Roman" w:hAnsi="Times New Roman" w:cs="Times New Roman"/>
          <w:color w:val="000000"/>
          <w:sz w:val="24"/>
          <w:szCs w:val="24"/>
        </w:rPr>
        <w:t>Committee on Economic, Social and Cultural Rights 74</w:t>
      </w:r>
      <w:r w:rsidR="00840982" w:rsidRPr="00840982">
        <w:rPr>
          <w:rFonts w:ascii="Times New Roman" w:eastAsia="Times New Roman" w:hAnsi="Times New Roman" w:cs="Times New Roman"/>
          <w:color w:val="000000"/>
          <w:sz w:val="24"/>
          <w:szCs w:val="24"/>
          <w:vertAlign w:val="superscript"/>
        </w:rPr>
        <w:t>th</w:t>
      </w:r>
      <w:r w:rsidR="0084098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Session. </w:t>
      </w:r>
    </w:p>
    <w:p w14:paraId="00000009" w14:textId="72521BB1" w:rsidR="00692458"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rPr>
        <w:t xml:space="preserve">The information below is the result of the Extraordinary Meeting to Monitor Brazilian Foreign Policy on Human Rights, held by the CNDH on </w:t>
      </w:r>
      <w:r w:rsidR="00A036C0">
        <w:rPr>
          <w:rFonts w:ascii="Times New Roman" w:eastAsia="Times New Roman" w:hAnsi="Times New Roman" w:cs="Times New Roman"/>
          <w:color w:val="000000"/>
          <w:sz w:val="24"/>
          <w:szCs w:val="24"/>
        </w:rPr>
        <w:t>08.04</w:t>
      </w:r>
      <w:r>
        <w:rPr>
          <w:rFonts w:ascii="Times New Roman" w:eastAsia="Times New Roman" w:hAnsi="Times New Roman" w:cs="Times New Roman"/>
          <w:color w:val="000000"/>
          <w:sz w:val="24"/>
          <w:szCs w:val="24"/>
        </w:rPr>
        <w:t xml:space="preserve">.2023, </w:t>
      </w:r>
    </w:p>
    <w:p w14:paraId="0000000A" w14:textId="20797D76" w:rsidR="00692458"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Comments will then be made on only some of the provisions of the International Covenant on </w:t>
      </w:r>
      <w:r w:rsidR="00C72B04">
        <w:rPr>
          <w:rFonts w:ascii="Times New Roman" w:eastAsia="Times New Roman" w:hAnsi="Times New Roman" w:cs="Times New Roman"/>
          <w:color w:val="000000"/>
          <w:sz w:val="24"/>
          <w:szCs w:val="24"/>
        </w:rPr>
        <w:t xml:space="preserve">Economic Social and </w:t>
      </w:r>
      <w:r>
        <w:rPr>
          <w:rFonts w:ascii="Times New Roman" w:eastAsia="Times New Roman" w:hAnsi="Times New Roman" w:cs="Times New Roman"/>
          <w:color w:val="000000"/>
          <w:sz w:val="24"/>
          <w:szCs w:val="24"/>
        </w:rPr>
        <w:t>Political Rights, with emphasis on reports and documents that the CNDH produced during part of the revised period. All referred documents are available at</w:t>
      </w:r>
      <w:hyperlink r:id="rId6">
        <w:r>
          <w:rPr>
            <w:rFonts w:ascii="Times New Roman" w:eastAsia="Times New Roman" w:hAnsi="Times New Roman" w:cs="Times New Roman"/>
            <w:color w:val="000000"/>
            <w:sz w:val="24"/>
            <w:szCs w:val="24"/>
          </w:rPr>
          <w:t>:</w:t>
        </w:r>
      </w:hyperlink>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u w:val="single"/>
        </w:rPr>
        <w:t>https://www.gov.br/participamaisbrasil/cndh.</w:t>
      </w:r>
      <w:r>
        <w:rPr>
          <w:rFonts w:ascii="Times New Roman" w:eastAsia="Times New Roman" w:hAnsi="Times New Roman" w:cs="Times New Roman"/>
          <w:color w:val="000000"/>
          <w:sz w:val="24"/>
          <w:szCs w:val="24"/>
        </w:rPr>
        <w:t xml:space="preserve"> </w:t>
      </w:r>
    </w:p>
    <w:p w14:paraId="0000000C" w14:textId="1C585B15" w:rsidR="00692458" w:rsidRDefault="00EB1BF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Article 1. Right to free determination </w:t>
      </w:r>
      <w:r w:rsidR="00F67325">
        <w:rPr>
          <w:rFonts w:ascii="Times New Roman" w:eastAsia="Times New Roman" w:hAnsi="Times New Roman" w:cs="Times New Roman"/>
          <w:b/>
          <w:color w:val="000000"/>
          <w:sz w:val="24"/>
          <w:szCs w:val="24"/>
        </w:rPr>
        <w:t xml:space="preserve">and access to </w:t>
      </w:r>
      <w:r w:rsidR="00EB4B95">
        <w:rPr>
          <w:rFonts w:ascii="Times New Roman" w:eastAsia="Times New Roman" w:hAnsi="Times New Roman" w:cs="Times New Roman"/>
          <w:b/>
          <w:color w:val="000000"/>
          <w:sz w:val="24"/>
          <w:szCs w:val="24"/>
        </w:rPr>
        <w:t xml:space="preserve">natural resources </w:t>
      </w:r>
    </w:p>
    <w:p w14:paraId="0000000D" w14:textId="77777777" w:rsidR="00692458" w:rsidRDefault="00EB1BF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On the protection and promotion of the rights of indigenous peoples </w:t>
      </w:r>
    </w:p>
    <w:p w14:paraId="0000000E" w14:textId="77777777" w:rsidR="00692458" w:rsidRDefault="00EB1BF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Currently the right to territory has been the central point of the promotion and protection of the rights of indigenous peoples. The demarcation of indigenous territories is seriously threatened by the Brazilian state, either by the paralysis of the indigenous policy in the previous government, or by the debate on the time frame of the demarcations that occur both in the National Congress (PL 490/2007) and in the Supreme Court (RE 1.017.365/SC).</w:t>
      </w:r>
    </w:p>
    <w:p w14:paraId="0000000F" w14:textId="77777777" w:rsidR="00692458" w:rsidRDefault="00EB1BF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CNDH defends that the guarantee of protection of the rights of indigenous peoples in Brazil involves the rejection of the thesis of the time frame. According to this thesis, the date of promulgation of the 1988 Constitution, October 5, 1988, would constitute the </w:t>
      </w:r>
      <w:r>
        <w:rPr>
          <w:rFonts w:ascii="Times New Roman" w:eastAsia="Times New Roman" w:hAnsi="Times New Roman" w:cs="Times New Roman"/>
          <w:color w:val="000000"/>
          <w:sz w:val="24"/>
          <w:szCs w:val="24"/>
        </w:rPr>
        <w:lastRenderedPageBreak/>
        <w:t xml:space="preserve">time frame for the recognition, to indigenous groups, of the original rights over the lands they traditionally occupy. </w:t>
      </w:r>
    </w:p>
    <w:p w14:paraId="00000010" w14:textId="77777777" w:rsidR="00692458" w:rsidRDefault="00EB1BF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contrast, the theory of </w:t>
      </w:r>
      <w:proofErr w:type="spellStart"/>
      <w:r>
        <w:rPr>
          <w:rFonts w:ascii="Times New Roman" w:eastAsia="Times New Roman" w:hAnsi="Times New Roman" w:cs="Times New Roman"/>
          <w:color w:val="202124"/>
          <w:sz w:val="24"/>
          <w:szCs w:val="24"/>
          <w:highlight w:val="white"/>
        </w:rPr>
        <w:t>Ius</w:t>
      </w:r>
      <w:proofErr w:type="spellEnd"/>
      <w:r>
        <w:rPr>
          <w:rFonts w:ascii="Times New Roman" w:eastAsia="Times New Roman" w:hAnsi="Times New Roman" w:cs="Times New Roman"/>
          <w:color w:val="202124"/>
          <w:sz w:val="24"/>
          <w:szCs w:val="24"/>
          <w:highlight w:val="white"/>
        </w:rPr>
        <w:t xml:space="preserve"> </w:t>
      </w:r>
      <w:proofErr w:type="spellStart"/>
      <w:r>
        <w:rPr>
          <w:rFonts w:ascii="Times New Roman" w:eastAsia="Times New Roman" w:hAnsi="Times New Roman" w:cs="Times New Roman"/>
          <w:color w:val="202124"/>
          <w:sz w:val="24"/>
          <w:szCs w:val="24"/>
          <w:highlight w:val="white"/>
        </w:rPr>
        <w:t>indigenatus</w:t>
      </w:r>
      <w:proofErr w:type="spellEnd"/>
      <w:r>
        <w:rPr>
          <w:rFonts w:ascii="Times New Roman" w:eastAsia="Times New Roman" w:hAnsi="Times New Roman" w:cs="Times New Roman"/>
          <w:color w:val="202124"/>
          <w:sz w:val="24"/>
          <w:szCs w:val="24"/>
          <w:highlight w:val="white"/>
        </w:rPr>
        <w:t xml:space="preserve"> (Latin for "right to the local of birth", “native right”)</w:t>
      </w:r>
      <w:r>
        <w:rPr>
          <w:rFonts w:ascii="Times New Roman" w:eastAsia="Times New Roman" w:hAnsi="Times New Roman" w:cs="Times New Roman"/>
          <w:color w:val="000000"/>
          <w:sz w:val="24"/>
          <w:szCs w:val="24"/>
        </w:rPr>
        <w:t xml:space="preserve">, recognizing, in line with the Federal Constitution of 1988, the indigenous original right to traditionally occupied lands, is the one that best protects the population of the indigenous peoples of Brazil currently located in non-approved areas, which corresponds to approximately 500 thousand indigenous in 5,494 existing villages within declared (but not approved) indigenous lands and outside these territories. </w:t>
      </w:r>
    </w:p>
    <w:p w14:paraId="00000011" w14:textId="77777777" w:rsidR="00692458" w:rsidRDefault="00EB1BF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Indigenous peoples have an original right to lands traditionally occupied by express provision of the Federal Constitution and the CNDH considers that the recognition of the theory of </w:t>
      </w:r>
      <w:proofErr w:type="spellStart"/>
      <w:r>
        <w:rPr>
          <w:rFonts w:ascii="Times New Roman" w:eastAsia="Times New Roman" w:hAnsi="Times New Roman" w:cs="Times New Roman"/>
          <w:color w:val="202124"/>
          <w:sz w:val="24"/>
          <w:szCs w:val="24"/>
          <w:highlight w:val="white"/>
        </w:rPr>
        <w:t>Ius</w:t>
      </w:r>
      <w:proofErr w:type="spellEnd"/>
      <w:r>
        <w:rPr>
          <w:rFonts w:ascii="Times New Roman" w:eastAsia="Times New Roman" w:hAnsi="Times New Roman" w:cs="Times New Roman"/>
          <w:color w:val="202124"/>
          <w:sz w:val="24"/>
          <w:szCs w:val="24"/>
          <w:highlight w:val="white"/>
        </w:rPr>
        <w:t xml:space="preserve"> </w:t>
      </w:r>
      <w:proofErr w:type="spellStart"/>
      <w:r>
        <w:rPr>
          <w:rFonts w:ascii="Times New Roman" w:eastAsia="Times New Roman" w:hAnsi="Times New Roman" w:cs="Times New Roman"/>
          <w:color w:val="202124"/>
          <w:sz w:val="24"/>
          <w:szCs w:val="24"/>
          <w:highlight w:val="white"/>
        </w:rPr>
        <w:t>indigenatus</w:t>
      </w:r>
      <w:proofErr w:type="spellEnd"/>
      <w:r>
        <w:rPr>
          <w:rFonts w:ascii="Times New Roman" w:eastAsia="Times New Roman" w:hAnsi="Times New Roman" w:cs="Times New Roman"/>
          <w:color w:val="202124"/>
          <w:sz w:val="24"/>
          <w:szCs w:val="24"/>
          <w:highlight w:val="white"/>
        </w:rPr>
        <w:t xml:space="preserve"> </w:t>
      </w:r>
      <w:r>
        <w:rPr>
          <w:rFonts w:ascii="Times New Roman" w:eastAsia="Times New Roman" w:hAnsi="Times New Roman" w:cs="Times New Roman"/>
          <w:color w:val="000000"/>
          <w:sz w:val="24"/>
          <w:szCs w:val="24"/>
        </w:rPr>
        <w:t xml:space="preserve">is essential for the continuity of the processes of study, demarcation, approval, registration and </w:t>
      </w:r>
      <w:proofErr w:type="spellStart"/>
      <w:r>
        <w:rPr>
          <w:rFonts w:ascii="Times New Roman" w:eastAsia="Times New Roman" w:hAnsi="Times New Roman" w:cs="Times New Roman"/>
          <w:color w:val="000000"/>
          <w:sz w:val="24"/>
          <w:szCs w:val="24"/>
        </w:rPr>
        <w:t>deintrusion</w:t>
      </w:r>
      <w:proofErr w:type="spellEnd"/>
      <w:r>
        <w:rPr>
          <w:rFonts w:ascii="Times New Roman" w:eastAsia="Times New Roman" w:hAnsi="Times New Roman" w:cs="Times New Roman"/>
          <w:color w:val="000000"/>
          <w:sz w:val="24"/>
          <w:szCs w:val="24"/>
        </w:rPr>
        <w:t xml:space="preserve"> of Indigenous Lands. </w:t>
      </w:r>
    </w:p>
    <w:p w14:paraId="00000012" w14:textId="77777777" w:rsidR="00692458" w:rsidRDefault="00EB1BF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CNDH has carried out over the last period a series of denunciations of violations of the rights of indigenous peoples, in which often the non-recognition of their original rights over the lands they traditionally occupy and the non-demarcation of their lands result in violations of their right to life, health and education, housing and the balanced environment, self-determination and their cultural rights. </w:t>
      </w:r>
    </w:p>
    <w:p w14:paraId="00000013" w14:textId="77777777" w:rsidR="00692458" w:rsidRDefault="00EB1BF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following is to bring to light some examples of the Council's recognition of cases of serious human rights violations of indigenous peoples in Brazil caused fundamentally by the delay of the Brazilian State in not demarcating indigenous lands in the last 22 years: </w:t>
      </w:r>
    </w:p>
    <w:p w14:paraId="00000014" w14:textId="77777777" w:rsidR="00692458" w:rsidRPr="00EB1BF5" w:rsidRDefault="00EB1BF5">
      <w:pPr>
        <w:pBdr>
          <w:top w:val="nil"/>
          <w:left w:val="nil"/>
          <w:bottom w:val="nil"/>
          <w:right w:val="nil"/>
          <w:between w:val="nil"/>
        </w:pBdr>
        <w:shd w:val="clear" w:color="auto" w:fill="FFFFFF"/>
        <w:spacing w:after="270" w:line="240" w:lineRule="auto"/>
        <w:ind w:left="1134"/>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CDDPH Resolution No. 27/2006</w:t>
      </w:r>
      <w:r w:rsidRPr="00EB1BF5">
        <w:rPr>
          <w:rFonts w:ascii="Times New Roman" w:eastAsia="Times New Roman" w:hAnsi="Times New Roman" w:cs="Times New Roman"/>
          <w:color w:val="000000"/>
          <w:sz w:val="20"/>
          <w:szCs w:val="20"/>
        </w:rPr>
        <w:t xml:space="preserve"> – referring to the Cinta-</w:t>
      </w:r>
      <w:proofErr w:type="spellStart"/>
      <w:r w:rsidRPr="00EB1BF5">
        <w:rPr>
          <w:rFonts w:ascii="Times New Roman" w:eastAsia="Times New Roman" w:hAnsi="Times New Roman" w:cs="Times New Roman"/>
          <w:color w:val="000000"/>
          <w:sz w:val="20"/>
          <w:szCs w:val="20"/>
        </w:rPr>
        <w:t>Larga</w:t>
      </w:r>
      <w:proofErr w:type="spellEnd"/>
      <w:r w:rsidRPr="00EB1BF5">
        <w:rPr>
          <w:rFonts w:ascii="Times New Roman" w:eastAsia="Times New Roman" w:hAnsi="Times New Roman" w:cs="Times New Roman"/>
          <w:color w:val="000000"/>
          <w:sz w:val="20"/>
          <w:szCs w:val="20"/>
        </w:rPr>
        <w:t xml:space="preserve">, in the state of Rondônia, indigenous peoples who have been involved in conflicts arising from the existence of a diamond deposit in the subsoil of their territory. </w:t>
      </w:r>
    </w:p>
    <w:p w14:paraId="00000015" w14:textId="77777777" w:rsidR="00692458" w:rsidRPr="00EB1BF5" w:rsidRDefault="00EB1BF5">
      <w:pPr>
        <w:pBdr>
          <w:top w:val="nil"/>
          <w:left w:val="nil"/>
          <w:bottom w:val="nil"/>
          <w:right w:val="nil"/>
          <w:between w:val="nil"/>
        </w:pBdr>
        <w:shd w:val="clear" w:color="auto" w:fill="FFFFFF"/>
        <w:spacing w:after="270" w:line="240" w:lineRule="auto"/>
        <w:ind w:left="1134"/>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CDDPH Resolution No. 04/2007</w:t>
      </w:r>
      <w:r w:rsidRPr="00EB1BF5">
        <w:rPr>
          <w:rFonts w:ascii="Times New Roman" w:eastAsia="Times New Roman" w:hAnsi="Times New Roman" w:cs="Times New Roman"/>
          <w:color w:val="000000"/>
          <w:sz w:val="20"/>
          <w:szCs w:val="20"/>
        </w:rPr>
        <w:t xml:space="preserve"> – regarding violations of the human right to adequate food among Guarani-</w:t>
      </w:r>
      <w:proofErr w:type="spellStart"/>
      <w:r w:rsidRPr="00EB1BF5">
        <w:rPr>
          <w:rFonts w:ascii="Times New Roman" w:eastAsia="Times New Roman" w:hAnsi="Times New Roman" w:cs="Times New Roman"/>
          <w:color w:val="000000"/>
          <w:sz w:val="20"/>
          <w:szCs w:val="20"/>
        </w:rPr>
        <w:t>Kaiowá</w:t>
      </w:r>
      <w:proofErr w:type="spellEnd"/>
      <w:r w:rsidRPr="00EB1BF5">
        <w:rPr>
          <w:rFonts w:ascii="Times New Roman" w:eastAsia="Times New Roman" w:hAnsi="Times New Roman" w:cs="Times New Roman"/>
          <w:color w:val="000000"/>
          <w:sz w:val="20"/>
          <w:szCs w:val="20"/>
        </w:rPr>
        <w:t xml:space="preserve"> groups in the state of Mato Grosso do Sul, </w:t>
      </w:r>
      <w:proofErr w:type="spellStart"/>
      <w:r w:rsidRPr="00EB1BF5">
        <w:rPr>
          <w:rFonts w:ascii="Times New Roman" w:eastAsia="Times New Roman" w:hAnsi="Times New Roman" w:cs="Times New Roman"/>
          <w:color w:val="000000"/>
          <w:sz w:val="20"/>
          <w:szCs w:val="20"/>
        </w:rPr>
        <w:t>Xavante</w:t>
      </w:r>
      <w:proofErr w:type="spellEnd"/>
      <w:r w:rsidRPr="00EB1BF5">
        <w:rPr>
          <w:rFonts w:ascii="Times New Roman" w:eastAsia="Times New Roman" w:hAnsi="Times New Roman" w:cs="Times New Roman"/>
          <w:color w:val="000000"/>
          <w:sz w:val="20"/>
          <w:szCs w:val="20"/>
        </w:rPr>
        <w:t xml:space="preserve"> groups, in the state of Mato Grosso, Guarani groups, in the state of Espírito Santo, and several other indigenous communities of the state of Santa Catarina. </w:t>
      </w:r>
    </w:p>
    <w:p w14:paraId="00000016" w14:textId="77777777" w:rsidR="00692458" w:rsidRPr="00EB1BF5" w:rsidRDefault="00EB1BF5">
      <w:pPr>
        <w:pBdr>
          <w:top w:val="nil"/>
          <w:left w:val="nil"/>
          <w:bottom w:val="nil"/>
          <w:right w:val="nil"/>
          <w:between w:val="nil"/>
        </w:pBdr>
        <w:shd w:val="clear" w:color="auto" w:fill="FFFFFF"/>
        <w:spacing w:after="270" w:line="240" w:lineRule="auto"/>
        <w:ind w:left="1134"/>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 xml:space="preserve">Report of impressions on the living conditions of Guarani </w:t>
      </w:r>
      <w:proofErr w:type="spellStart"/>
      <w:r w:rsidRPr="00EB1BF5">
        <w:rPr>
          <w:rFonts w:ascii="Times New Roman" w:eastAsia="Times New Roman" w:hAnsi="Times New Roman" w:cs="Times New Roman"/>
          <w:b/>
          <w:color w:val="000000"/>
          <w:sz w:val="20"/>
          <w:szCs w:val="20"/>
        </w:rPr>
        <w:t>Kaiowa</w:t>
      </w:r>
      <w:proofErr w:type="spellEnd"/>
      <w:r w:rsidRPr="00EB1BF5">
        <w:rPr>
          <w:rFonts w:ascii="Times New Roman" w:eastAsia="Times New Roman" w:hAnsi="Times New Roman" w:cs="Times New Roman"/>
          <w:b/>
          <w:color w:val="000000"/>
          <w:sz w:val="20"/>
          <w:szCs w:val="20"/>
        </w:rPr>
        <w:t xml:space="preserve"> in the region of </w:t>
      </w:r>
      <w:proofErr w:type="spellStart"/>
      <w:r w:rsidRPr="00EB1BF5">
        <w:rPr>
          <w:rFonts w:ascii="Times New Roman" w:eastAsia="Times New Roman" w:hAnsi="Times New Roman" w:cs="Times New Roman"/>
          <w:b/>
          <w:color w:val="000000"/>
          <w:sz w:val="20"/>
          <w:szCs w:val="20"/>
        </w:rPr>
        <w:t>Dourados</w:t>
      </w:r>
      <w:proofErr w:type="spellEnd"/>
      <w:r w:rsidRPr="00EB1BF5">
        <w:rPr>
          <w:rFonts w:ascii="Times New Roman" w:eastAsia="Times New Roman" w:hAnsi="Times New Roman" w:cs="Times New Roman"/>
          <w:color w:val="000000"/>
          <w:sz w:val="20"/>
          <w:szCs w:val="20"/>
        </w:rPr>
        <w:t xml:space="preserve">, MS - documents several human rights violations against Guarani </w:t>
      </w:r>
      <w:proofErr w:type="spellStart"/>
      <w:r w:rsidRPr="00EB1BF5">
        <w:rPr>
          <w:rFonts w:ascii="Times New Roman" w:eastAsia="Times New Roman" w:hAnsi="Times New Roman" w:cs="Times New Roman"/>
          <w:color w:val="000000"/>
          <w:sz w:val="20"/>
          <w:szCs w:val="20"/>
        </w:rPr>
        <w:t>Kaiowa</w:t>
      </w:r>
      <w:proofErr w:type="spellEnd"/>
      <w:r w:rsidRPr="00EB1BF5">
        <w:rPr>
          <w:rFonts w:ascii="Times New Roman" w:eastAsia="Times New Roman" w:hAnsi="Times New Roman" w:cs="Times New Roman"/>
          <w:color w:val="000000"/>
          <w:sz w:val="20"/>
          <w:szCs w:val="20"/>
        </w:rPr>
        <w:t xml:space="preserve"> and Guarani </w:t>
      </w:r>
      <w:proofErr w:type="spellStart"/>
      <w:r w:rsidRPr="00EB1BF5">
        <w:rPr>
          <w:rFonts w:ascii="Times New Roman" w:eastAsia="Times New Roman" w:hAnsi="Times New Roman" w:cs="Times New Roman"/>
          <w:color w:val="000000"/>
          <w:sz w:val="20"/>
          <w:szCs w:val="20"/>
        </w:rPr>
        <w:t>Ñandeva</w:t>
      </w:r>
      <w:proofErr w:type="spellEnd"/>
      <w:r w:rsidRPr="00EB1BF5">
        <w:rPr>
          <w:rFonts w:ascii="Times New Roman" w:eastAsia="Times New Roman" w:hAnsi="Times New Roman" w:cs="Times New Roman"/>
          <w:color w:val="000000"/>
          <w:sz w:val="20"/>
          <w:szCs w:val="20"/>
        </w:rPr>
        <w:t xml:space="preserve"> Indigenous, who live near </w:t>
      </w:r>
      <w:proofErr w:type="spellStart"/>
      <w:r w:rsidRPr="00EB1BF5">
        <w:rPr>
          <w:rFonts w:ascii="Times New Roman" w:eastAsia="Times New Roman" w:hAnsi="Times New Roman" w:cs="Times New Roman"/>
          <w:color w:val="000000"/>
          <w:sz w:val="20"/>
          <w:szCs w:val="20"/>
        </w:rPr>
        <w:t>Dourados</w:t>
      </w:r>
      <w:proofErr w:type="spellEnd"/>
      <w:r w:rsidRPr="00EB1BF5">
        <w:rPr>
          <w:rFonts w:ascii="Times New Roman" w:eastAsia="Times New Roman" w:hAnsi="Times New Roman" w:cs="Times New Roman"/>
          <w:color w:val="000000"/>
          <w:sz w:val="20"/>
          <w:szCs w:val="20"/>
        </w:rPr>
        <w:t xml:space="preserve"> in the state of Mato Grosso do Sul, pointing to the existence of land conflict in the region, the expulsion of indigenous people from original lands and the poor living conditions, housing and health care of indigenous people. </w:t>
      </w:r>
    </w:p>
    <w:p w14:paraId="00000017" w14:textId="77777777" w:rsidR="00692458" w:rsidRPr="00EB1BF5" w:rsidRDefault="00EB1BF5">
      <w:pPr>
        <w:pBdr>
          <w:top w:val="nil"/>
          <w:left w:val="nil"/>
          <w:bottom w:val="nil"/>
          <w:right w:val="nil"/>
          <w:between w:val="nil"/>
        </w:pBdr>
        <w:shd w:val="clear" w:color="auto" w:fill="FFFFFF"/>
        <w:spacing w:after="270" w:line="240" w:lineRule="auto"/>
        <w:ind w:left="1134"/>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Report of the “</w:t>
      </w:r>
      <w:proofErr w:type="spellStart"/>
      <w:r w:rsidRPr="00EB1BF5">
        <w:rPr>
          <w:rFonts w:ascii="Times New Roman" w:eastAsia="Times New Roman" w:hAnsi="Times New Roman" w:cs="Times New Roman"/>
          <w:b/>
          <w:color w:val="000000"/>
          <w:sz w:val="20"/>
          <w:szCs w:val="20"/>
        </w:rPr>
        <w:t>Tupinambá</w:t>
      </w:r>
      <w:proofErr w:type="spellEnd"/>
      <w:r w:rsidRPr="00EB1BF5">
        <w:rPr>
          <w:rFonts w:ascii="Times New Roman" w:eastAsia="Times New Roman" w:hAnsi="Times New Roman" w:cs="Times New Roman"/>
          <w:b/>
          <w:color w:val="000000"/>
          <w:sz w:val="20"/>
          <w:szCs w:val="20"/>
        </w:rPr>
        <w:t xml:space="preserve"> Special Commission”</w:t>
      </w:r>
      <w:r w:rsidRPr="00EB1BF5">
        <w:rPr>
          <w:rFonts w:ascii="Times New Roman" w:eastAsia="Times New Roman" w:hAnsi="Times New Roman" w:cs="Times New Roman"/>
          <w:color w:val="000000"/>
          <w:sz w:val="20"/>
          <w:szCs w:val="20"/>
        </w:rPr>
        <w:t xml:space="preserve"> – referring to the follow-up carried out by the CDDPH, between 2010 and 2011, of cases of human rights violations of indigenous peoples in Bahia, related to the </w:t>
      </w:r>
      <w:proofErr w:type="spellStart"/>
      <w:r w:rsidRPr="00EB1BF5">
        <w:rPr>
          <w:rFonts w:ascii="Times New Roman" w:eastAsia="Times New Roman" w:hAnsi="Times New Roman" w:cs="Times New Roman"/>
          <w:color w:val="000000"/>
          <w:sz w:val="20"/>
          <w:szCs w:val="20"/>
        </w:rPr>
        <w:t>Tupinambá</w:t>
      </w:r>
      <w:proofErr w:type="spellEnd"/>
      <w:r w:rsidRPr="00EB1BF5">
        <w:rPr>
          <w:rFonts w:ascii="Times New Roman" w:eastAsia="Times New Roman" w:hAnsi="Times New Roman" w:cs="Times New Roman"/>
          <w:color w:val="000000"/>
          <w:sz w:val="20"/>
          <w:szCs w:val="20"/>
        </w:rPr>
        <w:t xml:space="preserve"> People, the demarcation of their lands, death threats, violence, persecution and criminalization, through administrative procedures and judicial proceedings against indigenous leaders in the south of that State. </w:t>
      </w:r>
    </w:p>
    <w:p w14:paraId="00000018" w14:textId="77777777" w:rsidR="00692458" w:rsidRPr="00EB1BF5" w:rsidRDefault="00EB1BF5">
      <w:pPr>
        <w:pBdr>
          <w:top w:val="nil"/>
          <w:left w:val="nil"/>
          <w:bottom w:val="nil"/>
          <w:right w:val="nil"/>
          <w:between w:val="nil"/>
        </w:pBdr>
        <w:shd w:val="clear" w:color="auto" w:fill="FFFFFF"/>
        <w:spacing w:after="270" w:line="240" w:lineRule="auto"/>
        <w:ind w:left="1134"/>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Report of the CNDH mission in relation to the population affected by the implementation of the Belo Monte HPP</w:t>
      </w:r>
      <w:r w:rsidRPr="00EB1BF5">
        <w:rPr>
          <w:rFonts w:ascii="Times New Roman" w:eastAsia="Times New Roman" w:hAnsi="Times New Roman" w:cs="Times New Roman"/>
          <w:color w:val="000000"/>
          <w:sz w:val="20"/>
          <w:szCs w:val="20"/>
        </w:rPr>
        <w:t xml:space="preserve"> - with description and recognition of the violation of human rights of indigenous peoples by that enterprise, in which it can be seen the intervention of companies in the autonomy of the affected peoples, the non-compliance with environmental conditions and rights of indigenous peoples established by environmental </w:t>
      </w:r>
      <w:r w:rsidRPr="00EB1BF5">
        <w:rPr>
          <w:rFonts w:ascii="Times New Roman" w:eastAsia="Times New Roman" w:hAnsi="Times New Roman" w:cs="Times New Roman"/>
          <w:color w:val="000000"/>
          <w:sz w:val="20"/>
          <w:szCs w:val="20"/>
        </w:rPr>
        <w:lastRenderedPageBreak/>
        <w:t xml:space="preserve">agencies and a situation of double violence caused by the dam: expelled from their lands the indigenous people go to the cities; being in the cities, they are usually not recognized as indigenous. The village peoples were not properly consulted (the </w:t>
      </w:r>
      <w:proofErr w:type="spellStart"/>
      <w:r w:rsidRPr="00EB1BF5">
        <w:rPr>
          <w:rFonts w:ascii="Times New Roman" w:eastAsia="Times New Roman" w:hAnsi="Times New Roman" w:cs="Times New Roman"/>
          <w:color w:val="000000"/>
          <w:sz w:val="20"/>
          <w:szCs w:val="20"/>
        </w:rPr>
        <w:t>Jurunas</w:t>
      </w:r>
      <w:proofErr w:type="spellEnd"/>
      <w:r w:rsidRPr="00EB1BF5">
        <w:rPr>
          <w:rFonts w:ascii="Times New Roman" w:eastAsia="Times New Roman" w:hAnsi="Times New Roman" w:cs="Times New Roman"/>
          <w:color w:val="000000"/>
          <w:sz w:val="20"/>
          <w:szCs w:val="20"/>
        </w:rPr>
        <w:t xml:space="preserve">, the </w:t>
      </w:r>
      <w:proofErr w:type="spellStart"/>
      <w:r w:rsidRPr="00EB1BF5">
        <w:rPr>
          <w:rFonts w:ascii="Times New Roman" w:eastAsia="Times New Roman" w:hAnsi="Times New Roman" w:cs="Times New Roman"/>
          <w:color w:val="000000"/>
          <w:sz w:val="20"/>
          <w:szCs w:val="20"/>
        </w:rPr>
        <w:t>Arara</w:t>
      </w:r>
      <w:proofErr w:type="spellEnd"/>
      <w:r w:rsidRPr="00EB1BF5">
        <w:rPr>
          <w:rFonts w:ascii="Times New Roman" w:eastAsia="Times New Roman" w:hAnsi="Times New Roman" w:cs="Times New Roman"/>
          <w:color w:val="000000"/>
          <w:sz w:val="20"/>
          <w:szCs w:val="20"/>
        </w:rPr>
        <w:t xml:space="preserve">, the </w:t>
      </w:r>
      <w:proofErr w:type="spellStart"/>
      <w:r w:rsidRPr="00EB1BF5">
        <w:rPr>
          <w:rFonts w:ascii="Times New Roman" w:eastAsia="Times New Roman" w:hAnsi="Times New Roman" w:cs="Times New Roman"/>
          <w:color w:val="000000"/>
          <w:sz w:val="20"/>
          <w:szCs w:val="20"/>
        </w:rPr>
        <w:t>Xikrin</w:t>
      </w:r>
      <w:proofErr w:type="spellEnd"/>
      <w:r w:rsidRPr="00EB1BF5">
        <w:rPr>
          <w:rFonts w:ascii="Times New Roman" w:eastAsia="Times New Roman" w:hAnsi="Times New Roman" w:cs="Times New Roman"/>
          <w:color w:val="000000"/>
          <w:sz w:val="20"/>
          <w:szCs w:val="20"/>
        </w:rPr>
        <w:t xml:space="preserve">, among other </w:t>
      </w:r>
      <w:proofErr w:type="spellStart"/>
      <w:r w:rsidRPr="00EB1BF5">
        <w:rPr>
          <w:rFonts w:ascii="Times New Roman" w:eastAsia="Times New Roman" w:hAnsi="Times New Roman" w:cs="Times New Roman"/>
          <w:color w:val="000000"/>
          <w:sz w:val="20"/>
          <w:szCs w:val="20"/>
        </w:rPr>
        <w:t>peoples</w:t>
      </w:r>
      <w:proofErr w:type="spellEnd"/>
      <w:r w:rsidRPr="00EB1BF5">
        <w:rPr>
          <w:rFonts w:ascii="Times New Roman" w:eastAsia="Times New Roman" w:hAnsi="Times New Roman" w:cs="Times New Roman"/>
          <w:color w:val="000000"/>
          <w:sz w:val="20"/>
          <w:szCs w:val="20"/>
        </w:rPr>
        <w:t xml:space="preserve"> directly or indirectly affected), and the understanding prevailed, of society and the State that indigenous lands would not be flooded by the enterprise, thus disregarding the worldview of those peoples. The damming of the Xingu River, with the consequent diversion of the waters by approximately 100 km (region of Volta Grande), decreased the supply of food and resulted in the drought of significant areas of the river, causing changes in the life and culture of indigenous peoples throughout the region. </w:t>
      </w:r>
    </w:p>
    <w:p w14:paraId="00000019" w14:textId="77777777" w:rsidR="00692458" w:rsidRPr="00EB1BF5" w:rsidRDefault="00EB1BF5">
      <w:pPr>
        <w:pBdr>
          <w:top w:val="nil"/>
          <w:left w:val="nil"/>
          <w:bottom w:val="nil"/>
          <w:right w:val="nil"/>
          <w:between w:val="nil"/>
        </w:pBdr>
        <w:shd w:val="clear" w:color="auto" w:fill="FFFFFF"/>
        <w:spacing w:after="270" w:line="240" w:lineRule="auto"/>
        <w:ind w:left="1134"/>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 xml:space="preserve">Report on the Rights of Indigenous Peoples and </w:t>
      </w:r>
      <w:proofErr w:type="spellStart"/>
      <w:r w:rsidRPr="00EB1BF5">
        <w:rPr>
          <w:rFonts w:ascii="Times New Roman" w:eastAsia="Times New Roman" w:hAnsi="Times New Roman" w:cs="Times New Roman"/>
          <w:b/>
          <w:color w:val="000000"/>
          <w:sz w:val="20"/>
          <w:szCs w:val="20"/>
        </w:rPr>
        <w:t>Quilombola</w:t>
      </w:r>
      <w:proofErr w:type="spellEnd"/>
      <w:r w:rsidRPr="00EB1BF5">
        <w:rPr>
          <w:rFonts w:ascii="Times New Roman" w:eastAsia="Times New Roman" w:hAnsi="Times New Roman" w:cs="Times New Roman"/>
          <w:b/>
          <w:color w:val="000000"/>
          <w:sz w:val="20"/>
          <w:szCs w:val="20"/>
        </w:rPr>
        <w:t xml:space="preserve"> Communities of the Southern Region</w:t>
      </w:r>
      <w:r w:rsidRPr="00EB1BF5">
        <w:rPr>
          <w:rFonts w:ascii="Times New Roman" w:eastAsia="Times New Roman" w:hAnsi="Times New Roman" w:cs="Times New Roman"/>
          <w:color w:val="000000"/>
          <w:sz w:val="20"/>
          <w:szCs w:val="20"/>
        </w:rPr>
        <w:t xml:space="preserve"> - regarding the analysis of reports of violence, repression and violations of the human rights of </w:t>
      </w:r>
      <w:proofErr w:type="spellStart"/>
      <w:r w:rsidRPr="00EB1BF5">
        <w:rPr>
          <w:rFonts w:ascii="Times New Roman" w:eastAsia="Times New Roman" w:hAnsi="Times New Roman" w:cs="Times New Roman"/>
          <w:color w:val="000000"/>
          <w:sz w:val="20"/>
          <w:szCs w:val="20"/>
        </w:rPr>
        <w:t>Kaingang</w:t>
      </w:r>
      <w:proofErr w:type="spellEnd"/>
      <w:r w:rsidRPr="00EB1BF5">
        <w:rPr>
          <w:rFonts w:ascii="Times New Roman" w:eastAsia="Times New Roman" w:hAnsi="Times New Roman" w:cs="Times New Roman"/>
          <w:color w:val="000000"/>
          <w:sz w:val="20"/>
          <w:szCs w:val="20"/>
        </w:rPr>
        <w:t xml:space="preserve"> indigenous peoples (Municipalities of Gentil, Mato </w:t>
      </w:r>
      <w:proofErr w:type="spellStart"/>
      <w:r w:rsidRPr="00EB1BF5">
        <w:rPr>
          <w:rFonts w:ascii="Times New Roman" w:eastAsia="Times New Roman" w:hAnsi="Times New Roman" w:cs="Times New Roman"/>
          <w:color w:val="000000"/>
          <w:sz w:val="20"/>
          <w:szCs w:val="20"/>
        </w:rPr>
        <w:t>Castelhanos</w:t>
      </w:r>
      <w:proofErr w:type="spellEnd"/>
      <w:r w:rsidRPr="00EB1BF5">
        <w:rPr>
          <w:rFonts w:ascii="Times New Roman" w:eastAsia="Times New Roman" w:hAnsi="Times New Roman" w:cs="Times New Roman"/>
          <w:color w:val="000000"/>
          <w:sz w:val="20"/>
          <w:szCs w:val="20"/>
        </w:rPr>
        <w:t xml:space="preserve">, </w:t>
      </w:r>
      <w:proofErr w:type="spellStart"/>
      <w:r w:rsidRPr="00EB1BF5">
        <w:rPr>
          <w:rFonts w:ascii="Times New Roman" w:eastAsia="Times New Roman" w:hAnsi="Times New Roman" w:cs="Times New Roman"/>
          <w:color w:val="000000"/>
          <w:sz w:val="20"/>
          <w:szCs w:val="20"/>
        </w:rPr>
        <w:t>Faxinalzinho</w:t>
      </w:r>
      <w:proofErr w:type="spellEnd"/>
      <w:r w:rsidRPr="00EB1BF5">
        <w:rPr>
          <w:rFonts w:ascii="Times New Roman" w:eastAsia="Times New Roman" w:hAnsi="Times New Roman" w:cs="Times New Roman"/>
          <w:color w:val="000000"/>
          <w:sz w:val="20"/>
          <w:szCs w:val="20"/>
        </w:rPr>
        <w:t xml:space="preserve">, </w:t>
      </w:r>
      <w:proofErr w:type="spellStart"/>
      <w:r w:rsidRPr="00EB1BF5">
        <w:rPr>
          <w:rFonts w:ascii="Times New Roman" w:eastAsia="Times New Roman" w:hAnsi="Times New Roman" w:cs="Times New Roman"/>
          <w:color w:val="000000"/>
          <w:sz w:val="20"/>
          <w:szCs w:val="20"/>
        </w:rPr>
        <w:t>Irai</w:t>
      </w:r>
      <w:proofErr w:type="spellEnd"/>
      <w:r w:rsidRPr="00EB1BF5">
        <w:rPr>
          <w:rFonts w:ascii="Times New Roman" w:eastAsia="Times New Roman" w:hAnsi="Times New Roman" w:cs="Times New Roman"/>
          <w:color w:val="000000"/>
          <w:sz w:val="20"/>
          <w:szCs w:val="20"/>
        </w:rPr>
        <w:t xml:space="preserve"> and Vicente Dutra/RS; </w:t>
      </w:r>
      <w:proofErr w:type="spellStart"/>
      <w:r w:rsidRPr="00EB1BF5">
        <w:rPr>
          <w:rFonts w:ascii="Times New Roman" w:eastAsia="Times New Roman" w:hAnsi="Times New Roman" w:cs="Times New Roman"/>
          <w:color w:val="000000"/>
          <w:sz w:val="20"/>
          <w:szCs w:val="20"/>
        </w:rPr>
        <w:t>Chapecó</w:t>
      </w:r>
      <w:proofErr w:type="spellEnd"/>
      <w:r w:rsidRPr="00EB1BF5">
        <w:rPr>
          <w:rFonts w:ascii="Times New Roman" w:eastAsia="Times New Roman" w:hAnsi="Times New Roman" w:cs="Times New Roman"/>
          <w:color w:val="000000"/>
          <w:sz w:val="20"/>
          <w:szCs w:val="20"/>
        </w:rPr>
        <w:t xml:space="preserve">/SC, </w:t>
      </w:r>
      <w:proofErr w:type="spellStart"/>
      <w:r w:rsidRPr="00EB1BF5">
        <w:rPr>
          <w:rFonts w:ascii="Times New Roman" w:eastAsia="Times New Roman" w:hAnsi="Times New Roman" w:cs="Times New Roman"/>
          <w:color w:val="000000"/>
          <w:sz w:val="20"/>
          <w:szCs w:val="20"/>
        </w:rPr>
        <w:t>Laranjeiras</w:t>
      </w:r>
      <w:proofErr w:type="spellEnd"/>
      <w:r w:rsidRPr="00EB1BF5">
        <w:rPr>
          <w:rFonts w:ascii="Times New Roman" w:eastAsia="Times New Roman" w:hAnsi="Times New Roman" w:cs="Times New Roman"/>
          <w:color w:val="000000"/>
          <w:sz w:val="20"/>
          <w:szCs w:val="20"/>
        </w:rPr>
        <w:t xml:space="preserve"> do Sul/PR) and Guarani (Municipality of </w:t>
      </w:r>
      <w:proofErr w:type="spellStart"/>
      <w:r w:rsidRPr="00EB1BF5">
        <w:rPr>
          <w:rFonts w:ascii="Times New Roman" w:eastAsia="Times New Roman" w:hAnsi="Times New Roman" w:cs="Times New Roman"/>
          <w:color w:val="000000"/>
          <w:sz w:val="20"/>
          <w:szCs w:val="20"/>
        </w:rPr>
        <w:t>Palhoça</w:t>
      </w:r>
      <w:proofErr w:type="spellEnd"/>
      <w:r w:rsidRPr="00EB1BF5">
        <w:rPr>
          <w:rFonts w:ascii="Times New Roman" w:eastAsia="Times New Roman" w:hAnsi="Times New Roman" w:cs="Times New Roman"/>
          <w:color w:val="000000"/>
          <w:sz w:val="20"/>
          <w:szCs w:val="20"/>
        </w:rPr>
        <w:t xml:space="preserve">/SC; São Miguel do Iguaçu/PR; </w:t>
      </w:r>
      <w:proofErr w:type="spellStart"/>
      <w:r w:rsidRPr="00EB1BF5">
        <w:rPr>
          <w:rFonts w:ascii="Times New Roman" w:eastAsia="Times New Roman" w:hAnsi="Times New Roman" w:cs="Times New Roman"/>
          <w:color w:val="000000"/>
          <w:sz w:val="20"/>
          <w:szCs w:val="20"/>
        </w:rPr>
        <w:t>Guaíra</w:t>
      </w:r>
      <w:proofErr w:type="spellEnd"/>
      <w:r w:rsidRPr="00EB1BF5">
        <w:rPr>
          <w:rFonts w:ascii="Times New Roman" w:eastAsia="Times New Roman" w:hAnsi="Times New Roman" w:cs="Times New Roman"/>
          <w:color w:val="000000"/>
          <w:sz w:val="20"/>
          <w:szCs w:val="20"/>
        </w:rPr>
        <w:t xml:space="preserve"> and Terra </w:t>
      </w:r>
      <w:proofErr w:type="spellStart"/>
      <w:r w:rsidRPr="00EB1BF5">
        <w:rPr>
          <w:rFonts w:ascii="Times New Roman" w:eastAsia="Times New Roman" w:hAnsi="Times New Roman" w:cs="Times New Roman"/>
          <w:color w:val="000000"/>
          <w:sz w:val="20"/>
          <w:szCs w:val="20"/>
        </w:rPr>
        <w:t>Roxa</w:t>
      </w:r>
      <w:proofErr w:type="spellEnd"/>
      <w:r w:rsidRPr="00EB1BF5">
        <w:rPr>
          <w:rFonts w:ascii="Times New Roman" w:eastAsia="Times New Roman" w:hAnsi="Times New Roman" w:cs="Times New Roman"/>
          <w:color w:val="000000"/>
          <w:sz w:val="20"/>
          <w:szCs w:val="20"/>
        </w:rPr>
        <w:t xml:space="preserve">/PR). The set of these complaints once again expressed an adverse picture of land conflicts, police violence and imprisonment of leaders, aggressions and public statements of racist content pronounced by authorities and public agents, inattention and negligence of public agencies regarding health care, right to family and community life, school education, differentiated and bilingual, housing, food security, land regularization, among other violations. </w:t>
      </w:r>
      <w:proofErr w:type="gramStart"/>
      <w:r w:rsidRPr="00EB1BF5">
        <w:rPr>
          <w:rFonts w:ascii="Times New Roman" w:eastAsia="Times New Roman" w:hAnsi="Times New Roman" w:cs="Times New Roman"/>
          <w:color w:val="000000"/>
          <w:sz w:val="20"/>
          <w:szCs w:val="20"/>
        </w:rPr>
        <w:t>It can be seen that the</w:t>
      </w:r>
      <w:proofErr w:type="gramEnd"/>
      <w:r w:rsidRPr="00EB1BF5">
        <w:rPr>
          <w:rFonts w:ascii="Times New Roman" w:eastAsia="Times New Roman" w:hAnsi="Times New Roman" w:cs="Times New Roman"/>
          <w:color w:val="000000"/>
          <w:sz w:val="20"/>
          <w:szCs w:val="20"/>
        </w:rPr>
        <w:t xml:space="preserve"> issue of the demarcation of indigenous lands is the main cause of the violation of peoples' rights, social segregation and conflicts in the South Region, where there are dozens of indigenous camps, villages in </w:t>
      </w:r>
      <w:proofErr w:type="spellStart"/>
      <w:r w:rsidRPr="00EB1BF5">
        <w:rPr>
          <w:rFonts w:ascii="Times New Roman" w:eastAsia="Times New Roman" w:hAnsi="Times New Roman" w:cs="Times New Roman"/>
          <w:color w:val="000000"/>
          <w:sz w:val="20"/>
          <w:szCs w:val="20"/>
        </w:rPr>
        <w:t>undemarcated</w:t>
      </w:r>
      <w:proofErr w:type="spellEnd"/>
      <w:r w:rsidRPr="00EB1BF5">
        <w:rPr>
          <w:rFonts w:ascii="Times New Roman" w:eastAsia="Times New Roman" w:hAnsi="Times New Roman" w:cs="Times New Roman"/>
          <w:color w:val="000000"/>
          <w:sz w:val="20"/>
          <w:szCs w:val="20"/>
        </w:rPr>
        <w:t xml:space="preserve"> areas, claim movements of studies for demarcation, judicializations of administrative procedures of FUNAI and judicial processes annulling demarcation ordinances based on the famous thesis of the time frame. </w:t>
      </w:r>
    </w:p>
    <w:p w14:paraId="0000001A" w14:textId="77777777" w:rsidR="00692458" w:rsidRPr="00EB1BF5" w:rsidRDefault="00EB1BF5">
      <w:pPr>
        <w:pBdr>
          <w:top w:val="nil"/>
          <w:left w:val="nil"/>
          <w:bottom w:val="nil"/>
          <w:right w:val="nil"/>
          <w:between w:val="nil"/>
        </w:pBdr>
        <w:shd w:val="clear" w:color="auto" w:fill="FFFFFF"/>
        <w:spacing w:after="270" w:line="240" w:lineRule="auto"/>
        <w:ind w:left="1134"/>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Complaints received in the 2018-2020 biennium by the CNDH</w:t>
      </w:r>
      <w:r w:rsidRPr="00EB1BF5">
        <w:rPr>
          <w:rFonts w:ascii="Times New Roman" w:eastAsia="Times New Roman" w:hAnsi="Times New Roman" w:cs="Times New Roman"/>
          <w:color w:val="000000"/>
          <w:sz w:val="20"/>
          <w:szCs w:val="20"/>
        </w:rPr>
        <w:t xml:space="preserve"> - related to the violation of the rights of indigenous peoples, in which the issue of territorial dispute, the non-demarcation of their lands, is always the catalyst element of the denial of their rights, among which the request to intensify surveillance in the </w:t>
      </w:r>
      <w:proofErr w:type="spellStart"/>
      <w:r w:rsidRPr="00EB1BF5">
        <w:rPr>
          <w:rFonts w:ascii="Times New Roman" w:eastAsia="Times New Roman" w:hAnsi="Times New Roman" w:cs="Times New Roman"/>
          <w:color w:val="000000"/>
          <w:sz w:val="20"/>
          <w:szCs w:val="20"/>
        </w:rPr>
        <w:t>Marãiwatsédé</w:t>
      </w:r>
      <w:proofErr w:type="spellEnd"/>
      <w:r w:rsidRPr="00EB1BF5">
        <w:rPr>
          <w:rFonts w:ascii="Times New Roman" w:eastAsia="Times New Roman" w:hAnsi="Times New Roman" w:cs="Times New Roman"/>
          <w:color w:val="000000"/>
          <w:sz w:val="20"/>
          <w:szCs w:val="20"/>
        </w:rPr>
        <w:t xml:space="preserve"> Indigenous Land, in order to prevent the occurrence of conflict in said region in the state of Mato Grosso; the denunciation of invasion in the </w:t>
      </w:r>
      <w:proofErr w:type="spellStart"/>
      <w:r w:rsidRPr="00EB1BF5">
        <w:rPr>
          <w:rFonts w:ascii="Times New Roman" w:eastAsia="Times New Roman" w:hAnsi="Times New Roman" w:cs="Times New Roman"/>
          <w:color w:val="000000"/>
          <w:sz w:val="20"/>
          <w:szCs w:val="20"/>
        </w:rPr>
        <w:t>Munduruku</w:t>
      </w:r>
      <w:proofErr w:type="spellEnd"/>
      <w:r w:rsidRPr="00EB1BF5">
        <w:rPr>
          <w:rFonts w:ascii="Times New Roman" w:eastAsia="Times New Roman" w:hAnsi="Times New Roman" w:cs="Times New Roman"/>
          <w:color w:val="000000"/>
          <w:sz w:val="20"/>
          <w:szCs w:val="20"/>
        </w:rPr>
        <w:t xml:space="preserve"> Indigenous Land (State of Maranhão) on death threats, aggressions and persecutions made against indigenous people by local loggers; denunciation of eviction by the Judiciary of the indigenous families who occupy the City Park of the Municipality of </w:t>
      </w:r>
      <w:proofErr w:type="spellStart"/>
      <w:r w:rsidRPr="00EB1BF5">
        <w:rPr>
          <w:rFonts w:ascii="Times New Roman" w:eastAsia="Times New Roman" w:hAnsi="Times New Roman" w:cs="Times New Roman"/>
          <w:color w:val="000000"/>
          <w:sz w:val="20"/>
          <w:szCs w:val="20"/>
        </w:rPr>
        <w:t>Carazinho</w:t>
      </w:r>
      <w:proofErr w:type="spellEnd"/>
      <w:r w:rsidRPr="00EB1BF5">
        <w:rPr>
          <w:rFonts w:ascii="Times New Roman" w:eastAsia="Times New Roman" w:hAnsi="Times New Roman" w:cs="Times New Roman"/>
          <w:color w:val="000000"/>
          <w:sz w:val="20"/>
          <w:szCs w:val="20"/>
        </w:rPr>
        <w:t xml:space="preserve">/RS (its demarcation is sought); threats against the life of leaders </w:t>
      </w:r>
      <w:proofErr w:type="spellStart"/>
      <w:r w:rsidRPr="00EB1BF5">
        <w:rPr>
          <w:rFonts w:ascii="Times New Roman" w:eastAsia="Times New Roman" w:hAnsi="Times New Roman" w:cs="Times New Roman"/>
          <w:color w:val="000000"/>
          <w:sz w:val="20"/>
          <w:szCs w:val="20"/>
        </w:rPr>
        <w:t>Cacica</w:t>
      </w:r>
      <w:proofErr w:type="spellEnd"/>
      <w:r w:rsidRPr="00EB1BF5">
        <w:rPr>
          <w:rFonts w:ascii="Times New Roman" w:eastAsia="Times New Roman" w:hAnsi="Times New Roman" w:cs="Times New Roman"/>
          <w:color w:val="000000"/>
          <w:sz w:val="20"/>
          <w:szCs w:val="20"/>
        </w:rPr>
        <w:t xml:space="preserve"> </w:t>
      </w:r>
      <w:proofErr w:type="spellStart"/>
      <w:r w:rsidRPr="00EB1BF5">
        <w:rPr>
          <w:rFonts w:ascii="Times New Roman" w:eastAsia="Times New Roman" w:hAnsi="Times New Roman" w:cs="Times New Roman"/>
          <w:color w:val="000000"/>
          <w:sz w:val="20"/>
          <w:szCs w:val="20"/>
        </w:rPr>
        <w:t>Kátia</w:t>
      </w:r>
      <w:proofErr w:type="spellEnd"/>
      <w:r w:rsidRPr="00EB1BF5">
        <w:rPr>
          <w:rFonts w:ascii="Times New Roman" w:eastAsia="Times New Roman" w:hAnsi="Times New Roman" w:cs="Times New Roman"/>
          <w:color w:val="000000"/>
          <w:sz w:val="20"/>
          <w:szCs w:val="20"/>
        </w:rPr>
        <w:t xml:space="preserve"> (Maria do Carmo Querino de Almeida) and Cacique </w:t>
      </w:r>
      <w:proofErr w:type="spellStart"/>
      <w:r w:rsidRPr="00EB1BF5">
        <w:rPr>
          <w:rFonts w:ascii="Times New Roman" w:eastAsia="Times New Roman" w:hAnsi="Times New Roman" w:cs="Times New Roman"/>
          <w:color w:val="000000"/>
          <w:sz w:val="20"/>
          <w:szCs w:val="20"/>
        </w:rPr>
        <w:t>Babau</w:t>
      </w:r>
      <w:proofErr w:type="spellEnd"/>
      <w:r w:rsidRPr="00EB1BF5">
        <w:rPr>
          <w:rFonts w:ascii="Times New Roman" w:eastAsia="Times New Roman" w:hAnsi="Times New Roman" w:cs="Times New Roman"/>
          <w:color w:val="000000"/>
          <w:sz w:val="20"/>
          <w:szCs w:val="20"/>
        </w:rPr>
        <w:t xml:space="preserve"> (</w:t>
      </w:r>
      <w:proofErr w:type="spellStart"/>
      <w:r w:rsidRPr="00EB1BF5">
        <w:rPr>
          <w:rFonts w:ascii="Times New Roman" w:eastAsia="Times New Roman" w:hAnsi="Times New Roman" w:cs="Times New Roman"/>
          <w:color w:val="000000"/>
          <w:sz w:val="20"/>
          <w:szCs w:val="20"/>
        </w:rPr>
        <w:t>Rosivaldo</w:t>
      </w:r>
      <w:proofErr w:type="spellEnd"/>
      <w:r w:rsidRPr="00EB1BF5">
        <w:rPr>
          <w:rFonts w:ascii="Times New Roman" w:eastAsia="Times New Roman" w:hAnsi="Times New Roman" w:cs="Times New Roman"/>
          <w:color w:val="000000"/>
          <w:sz w:val="20"/>
          <w:szCs w:val="20"/>
        </w:rPr>
        <w:t xml:space="preserve"> Ferreira da Silva) in southern Bahia, resulting in a CNDH mission carried out from April 15 to 17, 2019 in the </w:t>
      </w:r>
      <w:proofErr w:type="spellStart"/>
      <w:r w:rsidRPr="00EB1BF5">
        <w:rPr>
          <w:rFonts w:ascii="Times New Roman" w:eastAsia="Times New Roman" w:hAnsi="Times New Roman" w:cs="Times New Roman"/>
          <w:color w:val="000000"/>
          <w:sz w:val="20"/>
          <w:szCs w:val="20"/>
        </w:rPr>
        <w:t>Tupinambá</w:t>
      </w:r>
      <w:proofErr w:type="spellEnd"/>
      <w:r w:rsidRPr="00EB1BF5">
        <w:rPr>
          <w:rFonts w:ascii="Times New Roman" w:eastAsia="Times New Roman" w:hAnsi="Times New Roman" w:cs="Times New Roman"/>
          <w:color w:val="000000"/>
          <w:sz w:val="20"/>
          <w:szCs w:val="20"/>
        </w:rPr>
        <w:t xml:space="preserve"> Indigenous Lands of Belmonte and Olivença, in which also the existing atmosphere results of the land conflict between farmers and indigenous people, due to the non-demarcation of their lands. The process of demarcation of indigenous lands, as is the case of the </w:t>
      </w:r>
      <w:proofErr w:type="spellStart"/>
      <w:r w:rsidRPr="00EB1BF5">
        <w:rPr>
          <w:rFonts w:ascii="Times New Roman" w:eastAsia="Times New Roman" w:hAnsi="Times New Roman" w:cs="Times New Roman"/>
          <w:color w:val="000000"/>
          <w:sz w:val="20"/>
          <w:szCs w:val="20"/>
        </w:rPr>
        <w:t>Guyraroká</w:t>
      </w:r>
      <w:proofErr w:type="spellEnd"/>
      <w:r w:rsidRPr="00EB1BF5">
        <w:rPr>
          <w:rFonts w:ascii="Times New Roman" w:eastAsia="Times New Roman" w:hAnsi="Times New Roman" w:cs="Times New Roman"/>
          <w:color w:val="000000"/>
          <w:sz w:val="20"/>
          <w:szCs w:val="20"/>
        </w:rPr>
        <w:t xml:space="preserve"> Indigenous Land, of the Guarani and </w:t>
      </w:r>
      <w:proofErr w:type="spellStart"/>
      <w:r w:rsidRPr="00EB1BF5">
        <w:rPr>
          <w:rFonts w:ascii="Times New Roman" w:eastAsia="Times New Roman" w:hAnsi="Times New Roman" w:cs="Times New Roman"/>
          <w:color w:val="000000"/>
          <w:sz w:val="20"/>
          <w:szCs w:val="20"/>
        </w:rPr>
        <w:t>Kaiowá</w:t>
      </w:r>
      <w:proofErr w:type="spellEnd"/>
      <w:r w:rsidRPr="00EB1BF5">
        <w:rPr>
          <w:rFonts w:ascii="Times New Roman" w:eastAsia="Times New Roman" w:hAnsi="Times New Roman" w:cs="Times New Roman"/>
          <w:color w:val="000000"/>
          <w:sz w:val="20"/>
          <w:szCs w:val="20"/>
        </w:rPr>
        <w:t xml:space="preserve"> People, of Mato Grosso do Sul, also reached the CNDH, resulting in its manifestation on the occasion of the judgment of Termination Action No. 2686, through 14 letters issued to this Supreme Court in the years 2018 and 2019, which has in its core the discussion on the thesis of the time frame. 7 The latest situation of human rights violations analyzed by the CNDH, at the plenary meeting of 10-16-2020, presented by the Working Group that carried out a mission in the region of Nova Olinda do Norte/AM, in relation to events that occurred between July and August 2020, refers to the denunciation of entry and use of indigenous land without permission that resulted in the death of one person and subsequent persecution and death by the military police of that state of four people, two </w:t>
      </w:r>
      <w:proofErr w:type="spellStart"/>
      <w:r w:rsidRPr="00EB1BF5">
        <w:rPr>
          <w:rFonts w:ascii="Times New Roman" w:eastAsia="Times New Roman" w:hAnsi="Times New Roman" w:cs="Times New Roman"/>
          <w:color w:val="000000"/>
          <w:sz w:val="20"/>
          <w:szCs w:val="20"/>
        </w:rPr>
        <w:t>Munduruku</w:t>
      </w:r>
      <w:proofErr w:type="spellEnd"/>
      <w:r w:rsidRPr="00EB1BF5">
        <w:rPr>
          <w:rFonts w:ascii="Times New Roman" w:eastAsia="Times New Roman" w:hAnsi="Times New Roman" w:cs="Times New Roman"/>
          <w:color w:val="000000"/>
          <w:sz w:val="20"/>
          <w:szCs w:val="20"/>
        </w:rPr>
        <w:t xml:space="preserve"> indigenous people. The community denounced torture, violence and abuse of authority practiced by the Military Police that led the city to practically adopt curfew, which only ceased after the intervention of the Federal Police operation to control the operation of the Military Police and restore the confidence of the population in the State. In this case, in which the CNDH visited the Terra Preta Community of the </w:t>
      </w:r>
      <w:proofErr w:type="spellStart"/>
      <w:r w:rsidRPr="00EB1BF5">
        <w:rPr>
          <w:rFonts w:ascii="Times New Roman" w:eastAsia="Times New Roman" w:hAnsi="Times New Roman" w:cs="Times New Roman"/>
          <w:color w:val="000000"/>
          <w:sz w:val="20"/>
          <w:szCs w:val="20"/>
        </w:rPr>
        <w:t>Maraguá</w:t>
      </w:r>
      <w:proofErr w:type="spellEnd"/>
      <w:r w:rsidRPr="00EB1BF5">
        <w:rPr>
          <w:rFonts w:ascii="Times New Roman" w:eastAsia="Times New Roman" w:hAnsi="Times New Roman" w:cs="Times New Roman"/>
          <w:color w:val="000000"/>
          <w:sz w:val="20"/>
          <w:szCs w:val="20"/>
        </w:rPr>
        <w:t xml:space="preserve"> people and the </w:t>
      </w:r>
      <w:proofErr w:type="spellStart"/>
      <w:r w:rsidRPr="00EB1BF5">
        <w:rPr>
          <w:rFonts w:ascii="Times New Roman" w:eastAsia="Times New Roman" w:hAnsi="Times New Roman" w:cs="Times New Roman"/>
          <w:color w:val="000000"/>
          <w:sz w:val="20"/>
          <w:szCs w:val="20"/>
        </w:rPr>
        <w:t>Coatá-Laranjal</w:t>
      </w:r>
      <w:proofErr w:type="spellEnd"/>
      <w:r w:rsidRPr="00EB1BF5">
        <w:rPr>
          <w:rFonts w:ascii="Times New Roman" w:eastAsia="Times New Roman" w:hAnsi="Times New Roman" w:cs="Times New Roman"/>
          <w:color w:val="000000"/>
          <w:sz w:val="20"/>
          <w:szCs w:val="20"/>
        </w:rPr>
        <w:t xml:space="preserve"> Indigenous Land of the </w:t>
      </w:r>
      <w:proofErr w:type="spellStart"/>
      <w:r w:rsidRPr="00EB1BF5">
        <w:rPr>
          <w:rFonts w:ascii="Times New Roman" w:eastAsia="Times New Roman" w:hAnsi="Times New Roman" w:cs="Times New Roman"/>
          <w:color w:val="000000"/>
          <w:sz w:val="20"/>
          <w:szCs w:val="20"/>
        </w:rPr>
        <w:t>Munduruku</w:t>
      </w:r>
      <w:proofErr w:type="spellEnd"/>
      <w:r w:rsidRPr="00EB1BF5">
        <w:rPr>
          <w:rFonts w:ascii="Times New Roman" w:eastAsia="Times New Roman" w:hAnsi="Times New Roman" w:cs="Times New Roman"/>
          <w:color w:val="000000"/>
          <w:sz w:val="20"/>
          <w:szCs w:val="20"/>
        </w:rPr>
        <w:t xml:space="preserve"> people, the issue of non-demarcation of the Terra </w:t>
      </w:r>
      <w:proofErr w:type="spellStart"/>
      <w:r w:rsidRPr="00EB1BF5">
        <w:rPr>
          <w:rFonts w:ascii="Times New Roman" w:eastAsia="Times New Roman" w:hAnsi="Times New Roman" w:cs="Times New Roman"/>
          <w:color w:val="000000"/>
          <w:sz w:val="20"/>
          <w:szCs w:val="20"/>
        </w:rPr>
        <w:t>Preta</w:t>
      </w:r>
      <w:proofErr w:type="spellEnd"/>
      <w:r w:rsidRPr="00EB1BF5">
        <w:rPr>
          <w:rFonts w:ascii="Times New Roman" w:eastAsia="Times New Roman" w:hAnsi="Times New Roman" w:cs="Times New Roman"/>
          <w:color w:val="000000"/>
          <w:sz w:val="20"/>
          <w:szCs w:val="20"/>
        </w:rPr>
        <w:t xml:space="preserve"> of the </w:t>
      </w:r>
      <w:proofErr w:type="spellStart"/>
      <w:r w:rsidRPr="00EB1BF5">
        <w:rPr>
          <w:rFonts w:ascii="Times New Roman" w:eastAsia="Times New Roman" w:hAnsi="Times New Roman" w:cs="Times New Roman"/>
          <w:color w:val="000000"/>
          <w:sz w:val="20"/>
          <w:szCs w:val="20"/>
        </w:rPr>
        <w:t>Maraguá</w:t>
      </w:r>
      <w:proofErr w:type="spellEnd"/>
      <w:r w:rsidRPr="00EB1BF5">
        <w:rPr>
          <w:rFonts w:ascii="Times New Roman" w:eastAsia="Times New Roman" w:hAnsi="Times New Roman" w:cs="Times New Roman"/>
          <w:color w:val="000000"/>
          <w:sz w:val="20"/>
          <w:szCs w:val="20"/>
        </w:rPr>
        <w:t xml:space="preserve"> people, </w:t>
      </w:r>
      <w:r w:rsidRPr="00EB1BF5">
        <w:rPr>
          <w:rFonts w:ascii="Times New Roman" w:eastAsia="Times New Roman" w:hAnsi="Times New Roman" w:cs="Times New Roman"/>
          <w:color w:val="000000"/>
          <w:sz w:val="20"/>
          <w:szCs w:val="20"/>
        </w:rPr>
        <w:lastRenderedPageBreak/>
        <w:t xml:space="preserve">the intrusion of the </w:t>
      </w:r>
      <w:proofErr w:type="spellStart"/>
      <w:r w:rsidRPr="00EB1BF5">
        <w:rPr>
          <w:rFonts w:ascii="Times New Roman" w:eastAsia="Times New Roman" w:hAnsi="Times New Roman" w:cs="Times New Roman"/>
          <w:color w:val="000000"/>
          <w:sz w:val="20"/>
          <w:szCs w:val="20"/>
        </w:rPr>
        <w:t>Coatá</w:t>
      </w:r>
      <w:proofErr w:type="spellEnd"/>
      <w:r w:rsidRPr="00EB1BF5">
        <w:rPr>
          <w:rFonts w:ascii="Times New Roman" w:eastAsia="Times New Roman" w:hAnsi="Times New Roman" w:cs="Times New Roman"/>
          <w:color w:val="000000"/>
          <w:sz w:val="20"/>
          <w:szCs w:val="20"/>
        </w:rPr>
        <w:t xml:space="preserve"> Indigenous Land and other land issues as elements of the conflict was also present, confirming that the land is the central point of the promotion and protection of the rights of indigenous peoples. </w:t>
      </w:r>
    </w:p>
    <w:p w14:paraId="0000001B" w14:textId="77777777" w:rsidR="00692458" w:rsidRPr="00EB1BF5" w:rsidRDefault="00EB1BF5">
      <w:pPr>
        <w:pBdr>
          <w:top w:val="nil"/>
          <w:left w:val="nil"/>
          <w:bottom w:val="nil"/>
          <w:right w:val="nil"/>
          <w:between w:val="nil"/>
        </w:pBdr>
        <w:shd w:val="clear" w:color="auto" w:fill="FFFFFF"/>
        <w:spacing w:after="270" w:line="240" w:lineRule="auto"/>
        <w:ind w:left="1134"/>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Recommendation No. 04, of March 12, 2021</w:t>
      </w:r>
      <w:r w:rsidRPr="00EB1BF5">
        <w:rPr>
          <w:rFonts w:ascii="Times New Roman" w:eastAsia="Times New Roman" w:hAnsi="Times New Roman" w:cs="Times New Roman"/>
          <w:color w:val="000000"/>
          <w:sz w:val="20"/>
          <w:szCs w:val="20"/>
        </w:rPr>
        <w:t xml:space="preserve"> - Recommends to FUNAI, SESAI, IBAMA, </w:t>
      </w:r>
      <w:proofErr w:type="spellStart"/>
      <w:r w:rsidRPr="00EB1BF5">
        <w:rPr>
          <w:rFonts w:ascii="Times New Roman" w:eastAsia="Times New Roman" w:hAnsi="Times New Roman" w:cs="Times New Roman"/>
          <w:color w:val="000000"/>
          <w:sz w:val="20"/>
          <w:szCs w:val="20"/>
        </w:rPr>
        <w:t>ICMBio</w:t>
      </w:r>
      <w:proofErr w:type="spellEnd"/>
      <w:r w:rsidRPr="00EB1BF5">
        <w:rPr>
          <w:rFonts w:ascii="Times New Roman" w:eastAsia="Times New Roman" w:hAnsi="Times New Roman" w:cs="Times New Roman"/>
          <w:color w:val="000000"/>
          <w:sz w:val="20"/>
          <w:szCs w:val="20"/>
        </w:rPr>
        <w:t xml:space="preserve">, the Superintendence of the Federal Police in Rondônia and the Military Police of Rondônia the adoption of measures to guarantee the human rights of the indigenous peoples who inhabit the </w:t>
      </w:r>
      <w:proofErr w:type="spellStart"/>
      <w:r w:rsidRPr="00EB1BF5">
        <w:rPr>
          <w:rFonts w:ascii="Times New Roman" w:eastAsia="Times New Roman" w:hAnsi="Times New Roman" w:cs="Times New Roman"/>
          <w:color w:val="000000"/>
          <w:sz w:val="20"/>
          <w:szCs w:val="20"/>
        </w:rPr>
        <w:t>Uru</w:t>
      </w:r>
      <w:proofErr w:type="spellEnd"/>
      <w:r w:rsidRPr="00EB1BF5">
        <w:rPr>
          <w:rFonts w:ascii="Times New Roman" w:eastAsia="Times New Roman" w:hAnsi="Times New Roman" w:cs="Times New Roman"/>
          <w:color w:val="000000"/>
          <w:sz w:val="20"/>
          <w:szCs w:val="20"/>
        </w:rPr>
        <w:t xml:space="preserve"> Eu Wau </w:t>
      </w:r>
      <w:proofErr w:type="spellStart"/>
      <w:r w:rsidRPr="00EB1BF5">
        <w:rPr>
          <w:rFonts w:ascii="Times New Roman" w:eastAsia="Times New Roman" w:hAnsi="Times New Roman" w:cs="Times New Roman"/>
          <w:color w:val="000000"/>
          <w:sz w:val="20"/>
          <w:szCs w:val="20"/>
        </w:rPr>
        <w:t>Wau</w:t>
      </w:r>
      <w:proofErr w:type="spellEnd"/>
      <w:r w:rsidRPr="00EB1BF5">
        <w:rPr>
          <w:rFonts w:ascii="Times New Roman" w:eastAsia="Times New Roman" w:hAnsi="Times New Roman" w:cs="Times New Roman"/>
          <w:color w:val="000000"/>
          <w:sz w:val="20"/>
          <w:szCs w:val="20"/>
        </w:rPr>
        <w:t xml:space="preserve"> Indigenous Land. - Recommends the adoption of measures for migration management and order</w:t>
      </w:r>
    </w:p>
    <w:p w14:paraId="0000001C" w14:textId="77777777" w:rsidR="00692458" w:rsidRPr="00EB1BF5" w:rsidRDefault="00EB1BF5">
      <w:pPr>
        <w:pBdr>
          <w:top w:val="nil"/>
          <w:left w:val="nil"/>
          <w:bottom w:val="nil"/>
          <w:right w:val="nil"/>
          <w:between w:val="nil"/>
        </w:pBdr>
        <w:shd w:val="clear" w:color="auto" w:fill="FFFFFF"/>
        <w:spacing w:after="270" w:line="240" w:lineRule="auto"/>
        <w:ind w:left="1134"/>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Resolution No. 10, of May 20, 2021</w:t>
      </w:r>
      <w:r w:rsidRPr="00EB1BF5">
        <w:rPr>
          <w:rFonts w:ascii="Times New Roman" w:eastAsia="Times New Roman" w:hAnsi="Times New Roman" w:cs="Times New Roman"/>
          <w:color w:val="000000"/>
          <w:sz w:val="20"/>
          <w:szCs w:val="20"/>
        </w:rPr>
        <w:t xml:space="preserve"> - Approves the Report on Human Rights and Territorial Law of Isolated Indigenous Peoples: </w:t>
      </w:r>
      <w:proofErr w:type="spellStart"/>
      <w:r w:rsidRPr="00EB1BF5">
        <w:rPr>
          <w:rFonts w:ascii="Times New Roman" w:eastAsia="Times New Roman" w:hAnsi="Times New Roman" w:cs="Times New Roman"/>
          <w:color w:val="000000"/>
          <w:sz w:val="20"/>
          <w:szCs w:val="20"/>
        </w:rPr>
        <w:t>Ituna</w:t>
      </w:r>
      <w:proofErr w:type="spellEnd"/>
      <w:r w:rsidRPr="00EB1BF5">
        <w:rPr>
          <w:rFonts w:ascii="Times New Roman" w:eastAsia="Times New Roman" w:hAnsi="Times New Roman" w:cs="Times New Roman"/>
          <w:color w:val="000000"/>
          <w:sz w:val="20"/>
          <w:szCs w:val="20"/>
        </w:rPr>
        <w:t>/</w:t>
      </w:r>
      <w:proofErr w:type="spellStart"/>
      <w:r w:rsidRPr="00EB1BF5">
        <w:rPr>
          <w:rFonts w:ascii="Times New Roman" w:eastAsia="Times New Roman" w:hAnsi="Times New Roman" w:cs="Times New Roman"/>
          <w:color w:val="000000"/>
          <w:sz w:val="20"/>
          <w:szCs w:val="20"/>
        </w:rPr>
        <w:t>Itatá</w:t>
      </w:r>
      <w:proofErr w:type="spellEnd"/>
      <w:r w:rsidRPr="00EB1BF5">
        <w:rPr>
          <w:rFonts w:ascii="Times New Roman" w:eastAsia="Times New Roman" w:hAnsi="Times New Roman" w:cs="Times New Roman"/>
          <w:color w:val="000000"/>
          <w:sz w:val="20"/>
          <w:szCs w:val="20"/>
        </w:rPr>
        <w:t xml:space="preserve"> Indigenous Land.</w:t>
      </w:r>
    </w:p>
    <w:p w14:paraId="0000001D" w14:textId="77777777" w:rsidR="00692458" w:rsidRPr="00EB1BF5" w:rsidRDefault="00EB1BF5">
      <w:pPr>
        <w:pBdr>
          <w:top w:val="nil"/>
          <w:left w:val="nil"/>
          <w:bottom w:val="nil"/>
          <w:right w:val="nil"/>
          <w:between w:val="nil"/>
        </w:pBdr>
        <w:shd w:val="clear" w:color="auto" w:fill="FFFFFF"/>
        <w:spacing w:after="270" w:line="240" w:lineRule="auto"/>
        <w:ind w:left="1134"/>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Note of Repudiation of the violation of the Right to Manifestation of the Indigenous Peoples of Brazil,</w:t>
      </w:r>
      <w:r w:rsidRPr="00EB1BF5">
        <w:rPr>
          <w:rFonts w:ascii="Times New Roman" w:eastAsia="Times New Roman" w:hAnsi="Times New Roman" w:cs="Times New Roman"/>
          <w:color w:val="000000"/>
          <w:sz w:val="20"/>
          <w:szCs w:val="20"/>
        </w:rPr>
        <w:t xml:space="preserve"> held in Brasília/DF, on June 16, 2021</w:t>
      </w:r>
    </w:p>
    <w:p w14:paraId="0000001E" w14:textId="77777777" w:rsidR="00692458" w:rsidRPr="00EB1BF5" w:rsidRDefault="00EB1BF5">
      <w:pPr>
        <w:pBdr>
          <w:top w:val="nil"/>
          <w:left w:val="nil"/>
          <w:bottom w:val="nil"/>
          <w:right w:val="nil"/>
          <w:between w:val="nil"/>
        </w:pBdr>
        <w:shd w:val="clear" w:color="auto" w:fill="FFFFFF"/>
        <w:spacing w:after="270" w:line="240" w:lineRule="auto"/>
        <w:ind w:left="1134"/>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Resolution No. 13, of July 8, 2021</w:t>
      </w:r>
      <w:r w:rsidRPr="00EB1BF5">
        <w:rPr>
          <w:rFonts w:ascii="Times New Roman" w:eastAsia="Times New Roman" w:hAnsi="Times New Roman" w:cs="Times New Roman"/>
          <w:color w:val="000000"/>
          <w:sz w:val="20"/>
          <w:szCs w:val="20"/>
        </w:rPr>
        <w:t xml:space="preserve"> - Provides for the creation of a Working Group on Recommendation No. 18, of December 20, 2020, of the National Council for Human Rights, aiming to carry out the provisions of the aforementioned Recommendation, notably regarding the dialogue with institutions, bodies and entities of the justice system, the administrative spheres of the prison system and others related to the aforementioned Recommendation, in order to concretize the rights of indigenous people concatenated in Resolution No. 287 of the National Council of Justice and its Guidance Manual.</w:t>
      </w:r>
    </w:p>
    <w:p w14:paraId="0000001F" w14:textId="77777777" w:rsidR="00692458" w:rsidRPr="00EB1BF5" w:rsidRDefault="00EB1BF5">
      <w:pPr>
        <w:pBdr>
          <w:top w:val="nil"/>
          <w:left w:val="nil"/>
          <w:bottom w:val="nil"/>
          <w:right w:val="nil"/>
          <w:between w:val="nil"/>
        </w:pBdr>
        <w:shd w:val="clear" w:color="auto" w:fill="FFFFFF"/>
        <w:spacing w:after="270" w:line="240" w:lineRule="auto"/>
        <w:ind w:left="1134"/>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Recommendation No. 21, of June 7, 2022</w:t>
      </w:r>
      <w:r w:rsidRPr="00EB1BF5">
        <w:rPr>
          <w:rFonts w:ascii="Times New Roman" w:eastAsia="Times New Roman" w:hAnsi="Times New Roman" w:cs="Times New Roman"/>
          <w:color w:val="000000"/>
          <w:sz w:val="20"/>
          <w:szCs w:val="20"/>
        </w:rPr>
        <w:t xml:space="preserve"> - Recommends to the government the availability of search and rescue teams to the journalist and the indigenous researcher missing in the Javari Valley.</w:t>
      </w:r>
    </w:p>
    <w:p w14:paraId="00000020" w14:textId="77777777" w:rsidR="00692458" w:rsidRPr="00EB1BF5" w:rsidRDefault="00EB1BF5">
      <w:pPr>
        <w:pBdr>
          <w:top w:val="nil"/>
          <w:left w:val="nil"/>
          <w:bottom w:val="nil"/>
          <w:right w:val="nil"/>
          <w:between w:val="nil"/>
        </w:pBdr>
        <w:shd w:val="clear" w:color="auto" w:fill="FFFFFF"/>
        <w:spacing w:after="270" w:line="240" w:lineRule="auto"/>
        <w:ind w:left="1134"/>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Recommendation No. 26. of June 22, 2022</w:t>
      </w:r>
      <w:r w:rsidRPr="00EB1BF5">
        <w:rPr>
          <w:rFonts w:ascii="Times New Roman" w:eastAsia="Times New Roman" w:hAnsi="Times New Roman" w:cs="Times New Roman"/>
          <w:color w:val="000000"/>
          <w:sz w:val="20"/>
          <w:szCs w:val="20"/>
        </w:rPr>
        <w:t xml:space="preserve"> - Recommends to the institutions of the Brazilian State to take the appropriate measures to cease the serious and repeated actions and omissions of the Federal Government that reveal the affirmation of political and economic interests to the detriment of the rights of indigenous peoples, characterizing an unconstitutional state of affairs, legalism and authoritarian </w:t>
      </w:r>
      <w:proofErr w:type="spellStart"/>
      <w:r w:rsidRPr="00EB1BF5">
        <w:rPr>
          <w:rFonts w:ascii="Times New Roman" w:eastAsia="Times New Roman" w:hAnsi="Times New Roman" w:cs="Times New Roman"/>
          <w:color w:val="000000"/>
          <w:sz w:val="20"/>
          <w:szCs w:val="20"/>
        </w:rPr>
        <w:t>infralegalism</w:t>
      </w:r>
      <w:proofErr w:type="spellEnd"/>
      <w:r w:rsidRPr="00EB1BF5">
        <w:rPr>
          <w:rFonts w:ascii="Times New Roman" w:eastAsia="Times New Roman" w:hAnsi="Times New Roman" w:cs="Times New Roman"/>
          <w:color w:val="000000"/>
          <w:sz w:val="20"/>
          <w:szCs w:val="20"/>
        </w:rPr>
        <w:t xml:space="preserve"> and deviation of purpose in the performance of managers at FUNAI; the removal of Funai President Marcelo Augusto Xavier da Silva; the protection of threatened human rights defenders; the continuity of investigations and reinforcement of public security in the Javari Valley; and the acceptance of the principles, guidelines and recommendations for the guarantee of the human rights of isolated and recent contact indigenous peoples established by Resolution No. 44/2020 of the CNDH.</w:t>
      </w:r>
    </w:p>
    <w:p w14:paraId="00000021" w14:textId="77777777" w:rsidR="00692458" w:rsidRPr="00EB1BF5" w:rsidRDefault="00EB1BF5">
      <w:pPr>
        <w:pBdr>
          <w:top w:val="nil"/>
          <w:left w:val="nil"/>
          <w:bottom w:val="nil"/>
          <w:right w:val="nil"/>
          <w:between w:val="nil"/>
        </w:pBdr>
        <w:shd w:val="clear" w:color="auto" w:fill="FFFFFF"/>
        <w:spacing w:after="270" w:line="240" w:lineRule="auto"/>
        <w:ind w:left="1134"/>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CNDH Note 21/2022</w:t>
      </w:r>
      <w:r w:rsidRPr="00EB1BF5">
        <w:rPr>
          <w:rFonts w:ascii="Times New Roman" w:eastAsia="Times New Roman" w:hAnsi="Times New Roman" w:cs="Times New Roman"/>
          <w:color w:val="000000"/>
          <w:sz w:val="20"/>
          <w:szCs w:val="20"/>
        </w:rPr>
        <w:t xml:space="preserve"> - CNDH regrets the deaths of Bruno Pereira and Dom Phillips, recommends continuity of investigations and requires verification of FUNAI's responsibility. </w:t>
      </w:r>
    </w:p>
    <w:p w14:paraId="00000022" w14:textId="77777777" w:rsidR="00692458" w:rsidRPr="00EB1BF5" w:rsidRDefault="00EB1BF5">
      <w:pPr>
        <w:pBdr>
          <w:top w:val="nil"/>
          <w:left w:val="nil"/>
          <w:bottom w:val="nil"/>
          <w:right w:val="nil"/>
          <w:between w:val="nil"/>
        </w:pBdr>
        <w:shd w:val="clear" w:color="auto" w:fill="FFFFFF"/>
        <w:spacing w:after="270" w:line="240" w:lineRule="auto"/>
        <w:ind w:left="1134"/>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 xml:space="preserve">Recommendation No. 27. of July 7, 2022 </w:t>
      </w:r>
      <w:r w:rsidRPr="00EB1BF5">
        <w:rPr>
          <w:rFonts w:ascii="Times New Roman" w:eastAsia="Times New Roman" w:hAnsi="Times New Roman" w:cs="Times New Roman"/>
          <w:color w:val="000000"/>
          <w:sz w:val="20"/>
          <w:szCs w:val="20"/>
        </w:rPr>
        <w:t xml:space="preserve">- Recommends the action of bodies in the protection and assistance of Guarani and </w:t>
      </w:r>
      <w:proofErr w:type="spellStart"/>
      <w:r w:rsidRPr="00EB1BF5">
        <w:rPr>
          <w:rFonts w:ascii="Times New Roman" w:eastAsia="Times New Roman" w:hAnsi="Times New Roman" w:cs="Times New Roman"/>
          <w:color w:val="000000"/>
          <w:sz w:val="20"/>
          <w:szCs w:val="20"/>
        </w:rPr>
        <w:t>Kaiowá</w:t>
      </w:r>
      <w:proofErr w:type="spellEnd"/>
      <w:r w:rsidRPr="00EB1BF5">
        <w:rPr>
          <w:rFonts w:ascii="Times New Roman" w:eastAsia="Times New Roman" w:hAnsi="Times New Roman" w:cs="Times New Roman"/>
          <w:color w:val="000000"/>
          <w:sz w:val="20"/>
          <w:szCs w:val="20"/>
        </w:rPr>
        <w:t xml:space="preserve"> indigenous peoples in the state of Mato Grosso do Sul, in the territories in which they are located, regardless of whether they are demarcated indigenous lands, in regularization or only claimed.</w:t>
      </w:r>
    </w:p>
    <w:p w14:paraId="00000023" w14:textId="77777777" w:rsidR="00692458" w:rsidRPr="00EB1BF5" w:rsidRDefault="00EB1BF5">
      <w:pPr>
        <w:pBdr>
          <w:top w:val="nil"/>
          <w:left w:val="nil"/>
          <w:bottom w:val="nil"/>
          <w:right w:val="nil"/>
          <w:between w:val="nil"/>
        </w:pBdr>
        <w:shd w:val="clear" w:color="auto" w:fill="FFFFFF"/>
        <w:spacing w:after="270" w:line="240" w:lineRule="auto"/>
        <w:ind w:left="1134"/>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CNDH Note 14/22</w:t>
      </w:r>
      <w:r w:rsidRPr="00EB1BF5">
        <w:rPr>
          <w:rFonts w:ascii="Times New Roman" w:eastAsia="Times New Roman" w:hAnsi="Times New Roman" w:cs="Times New Roman"/>
          <w:color w:val="000000"/>
          <w:sz w:val="20"/>
          <w:szCs w:val="20"/>
        </w:rPr>
        <w:t xml:space="preserve"> - CNDH Public Note on violence against the Yanomami </w:t>
      </w:r>
      <w:proofErr w:type="gramStart"/>
      <w:r w:rsidRPr="00EB1BF5">
        <w:rPr>
          <w:rFonts w:ascii="Times New Roman" w:eastAsia="Times New Roman" w:hAnsi="Times New Roman" w:cs="Times New Roman"/>
          <w:color w:val="000000"/>
          <w:sz w:val="20"/>
          <w:szCs w:val="20"/>
        </w:rPr>
        <w:t>people</w:t>
      </w:r>
      <w:proofErr w:type="gramEnd"/>
    </w:p>
    <w:p w14:paraId="00000024" w14:textId="77777777" w:rsidR="00692458" w:rsidRPr="00EB1BF5" w:rsidRDefault="00EB1BF5">
      <w:pPr>
        <w:pBdr>
          <w:top w:val="nil"/>
          <w:left w:val="nil"/>
          <w:bottom w:val="nil"/>
          <w:right w:val="nil"/>
          <w:between w:val="nil"/>
        </w:pBdr>
        <w:shd w:val="clear" w:color="auto" w:fill="FFFFFF"/>
        <w:spacing w:after="270" w:line="240" w:lineRule="auto"/>
        <w:ind w:left="1134"/>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CNDH Note 23/2022</w:t>
      </w:r>
      <w:r w:rsidRPr="00EB1BF5">
        <w:rPr>
          <w:rFonts w:ascii="Times New Roman" w:eastAsia="Times New Roman" w:hAnsi="Times New Roman" w:cs="Times New Roman"/>
          <w:color w:val="000000"/>
          <w:sz w:val="20"/>
          <w:szCs w:val="20"/>
        </w:rPr>
        <w:t xml:space="preserve"> </w:t>
      </w:r>
      <w:proofErr w:type="gramStart"/>
      <w:r w:rsidRPr="00EB1BF5">
        <w:rPr>
          <w:rFonts w:ascii="Times New Roman" w:eastAsia="Times New Roman" w:hAnsi="Times New Roman" w:cs="Times New Roman"/>
          <w:color w:val="000000"/>
          <w:sz w:val="20"/>
          <w:szCs w:val="20"/>
        </w:rPr>
        <w:t>-  CNDH</w:t>
      </w:r>
      <w:proofErr w:type="gramEnd"/>
      <w:r w:rsidRPr="00EB1BF5">
        <w:rPr>
          <w:rFonts w:ascii="Times New Roman" w:eastAsia="Times New Roman" w:hAnsi="Times New Roman" w:cs="Times New Roman"/>
          <w:color w:val="000000"/>
          <w:sz w:val="20"/>
          <w:szCs w:val="20"/>
        </w:rPr>
        <w:t xml:space="preserve"> condemns a police action that resulted in the death of an indigenous person and ten others injured by the Guarani and </w:t>
      </w:r>
      <w:proofErr w:type="spellStart"/>
      <w:r w:rsidRPr="00EB1BF5">
        <w:rPr>
          <w:rFonts w:ascii="Times New Roman" w:eastAsia="Times New Roman" w:hAnsi="Times New Roman" w:cs="Times New Roman"/>
          <w:color w:val="000000"/>
          <w:sz w:val="20"/>
          <w:szCs w:val="20"/>
        </w:rPr>
        <w:t>Kaiowá</w:t>
      </w:r>
      <w:proofErr w:type="spellEnd"/>
      <w:r w:rsidRPr="00EB1BF5">
        <w:rPr>
          <w:rFonts w:ascii="Times New Roman" w:eastAsia="Times New Roman" w:hAnsi="Times New Roman" w:cs="Times New Roman"/>
          <w:color w:val="000000"/>
          <w:sz w:val="20"/>
          <w:szCs w:val="20"/>
        </w:rPr>
        <w:t xml:space="preserve"> peoples in the Resumption of </w:t>
      </w:r>
      <w:proofErr w:type="spellStart"/>
      <w:r w:rsidRPr="00EB1BF5">
        <w:rPr>
          <w:rFonts w:ascii="Times New Roman" w:eastAsia="Times New Roman" w:hAnsi="Times New Roman" w:cs="Times New Roman"/>
          <w:color w:val="000000"/>
          <w:sz w:val="20"/>
          <w:szCs w:val="20"/>
        </w:rPr>
        <w:t>Guapoy</w:t>
      </w:r>
      <w:proofErr w:type="spellEnd"/>
      <w:r w:rsidRPr="00EB1BF5">
        <w:rPr>
          <w:rFonts w:ascii="Times New Roman" w:eastAsia="Times New Roman" w:hAnsi="Times New Roman" w:cs="Times New Roman"/>
          <w:color w:val="000000"/>
          <w:sz w:val="20"/>
          <w:szCs w:val="20"/>
        </w:rPr>
        <w:t xml:space="preserve"> </w:t>
      </w:r>
      <w:proofErr w:type="spellStart"/>
      <w:r w:rsidRPr="00EB1BF5">
        <w:rPr>
          <w:rFonts w:ascii="Times New Roman" w:eastAsia="Times New Roman" w:hAnsi="Times New Roman" w:cs="Times New Roman"/>
          <w:color w:val="000000"/>
          <w:sz w:val="20"/>
          <w:szCs w:val="20"/>
        </w:rPr>
        <w:t>Mirim</w:t>
      </w:r>
      <w:proofErr w:type="spellEnd"/>
      <w:r w:rsidRPr="00EB1BF5">
        <w:rPr>
          <w:rFonts w:ascii="Times New Roman" w:eastAsia="Times New Roman" w:hAnsi="Times New Roman" w:cs="Times New Roman"/>
          <w:color w:val="000000"/>
          <w:sz w:val="20"/>
          <w:szCs w:val="20"/>
        </w:rPr>
        <w:t xml:space="preserve"> </w:t>
      </w:r>
      <w:proofErr w:type="spellStart"/>
      <w:r w:rsidRPr="00EB1BF5">
        <w:rPr>
          <w:rFonts w:ascii="Times New Roman" w:eastAsia="Times New Roman" w:hAnsi="Times New Roman" w:cs="Times New Roman"/>
          <w:color w:val="000000"/>
          <w:sz w:val="20"/>
          <w:szCs w:val="20"/>
        </w:rPr>
        <w:t>Tujury</w:t>
      </w:r>
      <w:proofErr w:type="spellEnd"/>
      <w:r w:rsidRPr="00EB1BF5">
        <w:rPr>
          <w:rFonts w:ascii="Times New Roman" w:eastAsia="Times New Roman" w:hAnsi="Times New Roman" w:cs="Times New Roman"/>
          <w:color w:val="000000"/>
          <w:sz w:val="20"/>
          <w:szCs w:val="20"/>
        </w:rPr>
        <w:t xml:space="preserve"> in </w:t>
      </w:r>
      <w:proofErr w:type="spellStart"/>
      <w:r w:rsidRPr="00EB1BF5">
        <w:rPr>
          <w:rFonts w:ascii="Times New Roman" w:eastAsia="Times New Roman" w:hAnsi="Times New Roman" w:cs="Times New Roman"/>
          <w:color w:val="000000"/>
          <w:sz w:val="20"/>
          <w:szCs w:val="20"/>
        </w:rPr>
        <w:t>Amambai</w:t>
      </w:r>
      <w:proofErr w:type="spellEnd"/>
      <w:r w:rsidRPr="00EB1BF5">
        <w:rPr>
          <w:rFonts w:ascii="Times New Roman" w:eastAsia="Times New Roman" w:hAnsi="Times New Roman" w:cs="Times New Roman"/>
          <w:color w:val="000000"/>
          <w:sz w:val="20"/>
          <w:szCs w:val="20"/>
        </w:rPr>
        <w:t>/MS, and calls on FUNAI to protect the rights of indigenous peoples</w:t>
      </w:r>
    </w:p>
    <w:p w14:paraId="00000025" w14:textId="77777777" w:rsidR="00692458" w:rsidRPr="00EB1BF5" w:rsidRDefault="00EB1BF5">
      <w:pPr>
        <w:pBdr>
          <w:top w:val="nil"/>
          <w:left w:val="nil"/>
          <w:bottom w:val="nil"/>
          <w:right w:val="nil"/>
          <w:between w:val="nil"/>
        </w:pBdr>
        <w:shd w:val="clear" w:color="auto" w:fill="FFFFFF"/>
        <w:spacing w:after="270" w:line="240" w:lineRule="auto"/>
        <w:ind w:left="1134"/>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lastRenderedPageBreak/>
        <w:t>CNDH Public Note No. 27/2022</w:t>
      </w:r>
      <w:r w:rsidRPr="00EB1BF5">
        <w:rPr>
          <w:rFonts w:ascii="Times New Roman" w:eastAsia="Times New Roman" w:hAnsi="Times New Roman" w:cs="Times New Roman"/>
          <w:color w:val="000000"/>
          <w:sz w:val="20"/>
          <w:szCs w:val="20"/>
        </w:rPr>
        <w:t xml:space="preserve"> - CNDH condemns violent actions against the Guarani and </w:t>
      </w:r>
      <w:proofErr w:type="spellStart"/>
      <w:r w:rsidRPr="00EB1BF5">
        <w:rPr>
          <w:rFonts w:ascii="Times New Roman" w:eastAsia="Times New Roman" w:hAnsi="Times New Roman" w:cs="Times New Roman"/>
          <w:color w:val="000000"/>
          <w:sz w:val="20"/>
          <w:szCs w:val="20"/>
        </w:rPr>
        <w:t>Kaiowá</w:t>
      </w:r>
      <w:proofErr w:type="spellEnd"/>
      <w:r w:rsidRPr="00EB1BF5">
        <w:rPr>
          <w:rFonts w:ascii="Times New Roman" w:eastAsia="Times New Roman" w:hAnsi="Times New Roman" w:cs="Times New Roman"/>
          <w:color w:val="000000"/>
          <w:sz w:val="20"/>
          <w:szCs w:val="20"/>
        </w:rPr>
        <w:t xml:space="preserve"> in the </w:t>
      </w:r>
      <w:proofErr w:type="spellStart"/>
      <w:r w:rsidRPr="00EB1BF5">
        <w:rPr>
          <w:rFonts w:ascii="Times New Roman" w:eastAsia="Times New Roman" w:hAnsi="Times New Roman" w:cs="Times New Roman"/>
          <w:color w:val="000000"/>
          <w:sz w:val="20"/>
          <w:szCs w:val="20"/>
        </w:rPr>
        <w:t>Guapoy</w:t>
      </w:r>
      <w:proofErr w:type="spellEnd"/>
      <w:r w:rsidRPr="00EB1BF5">
        <w:rPr>
          <w:rFonts w:ascii="Times New Roman" w:eastAsia="Times New Roman" w:hAnsi="Times New Roman" w:cs="Times New Roman"/>
          <w:color w:val="000000"/>
          <w:sz w:val="20"/>
          <w:szCs w:val="20"/>
        </w:rPr>
        <w:t xml:space="preserve"> occupation in </w:t>
      </w:r>
      <w:proofErr w:type="spellStart"/>
      <w:r w:rsidRPr="00EB1BF5">
        <w:rPr>
          <w:rFonts w:ascii="Times New Roman" w:eastAsia="Times New Roman" w:hAnsi="Times New Roman" w:cs="Times New Roman"/>
          <w:color w:val="000000"/>
          <w:sz w:val="20"/>
          <w:szCs w:val="20"/>
        </w:rPr>
        <w:t>Amambai</w:t>
      </w:r>
      <w:proofErr w:type="spellEnd"/>
      <w:r w:rsidRPr="00EB1BF5">
        <w:rPr>
          <w:rFonts w:ascii="Times New Roman" w:eastAsia="Times New Roman" w:hAnsi="Times New Roman" w:cs="Times New Roman"/>
          <w:color w:val="000000"/>
          <w:sz w:val="20"/>
          <w:szCs w:val="20"/>
        </w:rPr>
        <w:t>/MS</w:t>
      </w:r>
    </w:p>
    <w:p w14:paraId="00000026" w14:textId="77777777" w:rsidR="00692458" w:rsidRPr="00EB1BF5" w:rsidRDefault="00EB1BF5">
      <w:pPr>
        <w:pBdr>
          <w:top w:val="nil"/>
          <w:left w:val="nil"/>
          <w:bottom w:val="nil"/>
          <w:right w:val="nil"/>
          <w:between w:val="nil"/>
        </w:pBdr>
        <w:shd w:val="clear" w:color="auto" w:fill="FFFFFF"/>
        <w:spacing w:after="270" w:line="240" w:lineRule="auto"/>
        <w:ind w:left="1134"/>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 xml:space="preserve">Public Note No. 31/2022 </w:t>
      </w:r>
      <w:r w:rsidRPr="00EB1BF5">
        <w:rPr>
          <w:rFonts w:ascii="Times New Roman" w:eastAsia="Times New Roman" w:hAnsi="Times New Roman" w:cs="Times New Roman"/>
          <w:color w:val="000000"/>
          <w:sz w:val="20"/>
          <w:szCs w:val="20"/>
        </w:rPr>
        <w:t xml:space="preserve">- CNDH repudiates violent actions against the </w:t>
      </w:r>
      <w:proofErr w:type="spellStart"/>
      <w:r w:rsidRPr="00EB1BF5">
        <w:rPr>
          <w:rFonts w:ascii="Times New Roman" w:eastAsia="Times New Roman" w:hAnsi="Times New Roman" w:cs="Times New Roman"/>
          <w:color w:val="000000"/>
          <w:sz w:val="20"/>
          <w:szCs w:val="20"/>
        </w:rPr>
        <w:t>Pataxó</w:t>
      </w:r>
      <w:proofErr w:type="spellEnd"/>
      <w:r w:rsidRPr="00EB1BF5">
        <w:rPr>
          <w:rFonts w:ascii="Times New Roman" w:eastAsia="Times New Roman" w:hAnsi="Times New Roman" w:cs="Times New Roman"/>
          <w:color w:val="000000"/>
          <w:sz w:val="20"/>
          <w:szCs w:val="20"/>
        </w:rPr>
        <w:t xml:space="preserve"> indigenous people of the extreme southern region of </w:t>
      </w:r>
      <w:proofErr w:type="gramStart"/>
      <w:r w:rsidRPr="00EB1BF5">
        <w:rPr>
          <w:rFonts w:ascii="Times New Roman" w:eastAsia="Times New Roman" w:hAnsi="Times New Roman" w:cs="Times New Roman"/>
          <w:color w:val="000000"/>
          <w:sz w:val="20"/>
          <w:szCs w:val="20"/>
        </w:rPr>
        <w:t>Bahia</w:t>
      </w:r>
      <w:proofErr w:type="gramEnd"/>
    </w:p>
    <w:p w14:paraId="00000027" w14:textId="77777777" w:rsidR="00692458" w:rsidRPr="00EB1BF5" w:rsidRDefault="00EB1BF5">
      <w:pPr>
        <w:pBdr>
          <w:top w:val="nil"/>
          <w:left w:val="nil"/>
          <w:bottom w:val="nil"/>
          <w:right w:val="nil"/>
          <w:between w:val="nil"/>
        </w:pBdr>
        <w:shd w:val="clear" w:color="auto" w:fill="FFFFFF"/>
        <w:spacing w:after="270" w:line="240" w:lineRule="auto"/>
        <w:ind w:left="1134"/>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Public Note No. 37/2022</w:t>
      </w:r>
      <w:r w:rsidRPr="00EB1BF5">
        <w:rPr>
          <w:rFonts w:ascii="Times New Roman" w:eastAsia="Times New Roman" w:hAnsi="Times New Roman" w:cs="Times New Roman"/>
          <w:color w:val="000000"/>
          <w:sz w:val="20"/>
          <w:szCs w:val="20"/>
        </w:rPr>
        <w:t xml:space="preserve"> - CNDH repudiates the misinformation campaign against the indigenous peoples of </w:t>
      </w:r>
      <w:proofErr w:type="gramStart"/>
      <w:r w:rsidRPr="00EB1BF5">
        <w:rPr>
          <w:rFonts w:ascii="Times New Roman" w:eastAsia="Times New Roman" w:hAnsi="Times New Roman" w:cs="Times New Roman"/>
          <w:color w:val="000000"/>
          <w:sz w:val="20"/>
          <w:szCs w:val="20"/>
        </w:rPr>
        <w:t>Rondônia</w:t>
      </w:r>
      <w:proofErr w:type="gramEnd"/>
    </w:p>
    <w:p w14:paraId="00000028" w14:textId="77777777" w:rsidR="00692458" w:rsidRDefault="00692458">
      <w:pPr>
        <w:shd w:val="clear" w:color="auto" w:fill="FFFFFF"/>
        <w:spacing w:after="270" w:line="240" w:lineRule="auto"/>
        <w:ind w:left="1134"/>
        <w:jc w:val="both"/>
        <w:rPr>
          <w:rFonts w:ascii="Times New Roman" w:eastAsia="Times New Roman" w:hAnsi="Times New Roman" w:cs="Times New Roman"/>
          <w:sz w:val="24"/>
          <w:szCs w:val="24"/>
        </w:rPr>
      </w:pPr>
    </w:p>
    <w:p w14:paraId="00000029" w14:textId="77777777" w:rsidR="00692458" w:rsidRDefault="00EB1BF5" w:rsidP="00F12A2D">
      <w:pPr>
        <w:keepNext/>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On the protection and promotion of the rights of </w:t>
      </w:r>
      <w:proofErr w:type="spellStart"/>
      <w:r>
        <w:rPr>
          <w:rFonts w:ascii="Times New Roman" w:eastAsia="Times New Roman" w:hAnsi="Times New Roman" w:cs="Times New Roman"/>
          <w:b/>
          <w:color w:val="000000"/>
          <w:sz w:val="24"/>
          <w:szCs w:val="24"/>
        </w:rPr>
        <w:t>quilombola</w:t>
      </w:r>
      <w:proofErr w:type="spellEnd"/>
      <w:r>
        <w:rPr>
          <w:rFonts w:ascii="Times New Roman" w:eastAsia="Times New Roman" w:hAnsi="Times New Roman" w:cs="Times New Roman"/>
          <w:b/>
          <w:color w:val="000000"/>
          <w:sz w:val="24"/>
          <w:szCs w:val="24"/>
        </w:rPr>
        <w:t xml:space="preserve"> communities </w:t>
      </w:r>
    </w:p>
    <w:p w14:paraId="0000002A" w14:textId="77777777" w:rsidR="00692458" w:rsidRDefault="00EB1BF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Like the indigenous issue, the CNDH has received numerous complaints of violence and violations of the rights of the </w:t>
      </w:r>
      <w:proofErr w:type="spellStart"/>
      <w:r>
        <w:rPr>
          <w:rFonts w:ascii="Times New Roman" w:eastAsia="Times New Roman" w:hAnsi="Times New Roman" w:cs="Times New Roman"/>
          <w:color w:val="000000"/>
          <w:sz w:val="24"/>
          <w:szCs w:val="24"/>
        </w:rPr>
        <w:t>quilombola</w:t>
      </w:r>
      <w:proofErr w:type="spellEnd"/>
      <w:r>
        <w:rPr>
          <w:rFonts w:ascii="Times New Roman" w:eastAsia="Times New Roman" w:hAnsi="Times New Roman" w:cs="Times New Roman"/>
          <w:color w:val="000000"/>
          <w:sz w:val="24"/>
          <w:szCs w:val="24"/>
        </w:rPr>
        <w:t xml:space="preserve"> population, especially </w:t>
      </w:r>
      <w:proofErr w:type="gramStart"/>
      <w:r>
        <w:rPr>
          <w:rFonts w:ascii="Times New Roman" w:eastAsia="Times New Roman" w:hAnsi="Times New Roman" w:cs="Times New Roman"/>
          <w:color w:val="000000"/>
          <w:sz w:val="24"/>
          <w:szCs w:val="24"/>
        </w:rPr>
        <w:t>with regard to</w:t>
      </w:r>
      <w:proofErr w:type="gramEnd"/>
      <w:r>
        <w:rPr>
          <w:rFonts w:ascii="Times New Roman" w:eastAsia="Times New Roman" w:hAnsi="Times New Roman" w:cs="Times New Roman"/>
          <w:color w:val="000000"/>
          <w:sz w:val="24"/>
          <w:szCs w:val="24"/>
        </w:rPr>
        <w:t xml:space="preserve"> territorial law. </w:t>
      </w:r>
    </w:p>
    <w:p w14:paraId="0000002B" w14:textId="77777777" w:rsidR="00692458" w:rsidRDefault="00EB1BF5">
      <w:pPr>
        <w:pBdr>
          <w:top w:val="nil"/>
          <w:left w:val="nil"/>
          <w:bottom w:val="nil"/>
          <w:right w:val="nil"/>
          <w:between w:val="nil"/>
        </w:pBdr>
        <w:shd w:val="clear" w:color="auto" w:fill="FFFFFF"/>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territorial rights of </w:t>
      </w:r>
      <w:proofErr w:type="spellStart"/>
      <w:r>
        <w:rPr>
          <w:rFonts w:ascii="Times New Roman" w:eastAsia="Times New Roman" w:hAnsi="Times New Roman" w:cs="Times New Roman"/>
          <w:color w:val="000000"/>
          <w:sz w:val="24"/>
          <w:szCs w:val="24"/>
        </w:rPr>
        <w:t>quilombola</w:t>
      </w:r>
      <w:proofErr w:type="spellEnd"/>
      <w:r>
        <w:rPr>
          <w:rFonts w:ascii="Times New Roman" w:eastAsia="Times New Roman" w:hAnsi="Times New Roman" w:cs="Times New Roman"/>
          <w:color w:val="000000"/>
          <w:sz w:val="24"/>
          <w:szCs w:val="24"/>
        </w:rPr>
        <w:t xml:space="preserve"> communities were recognized by the Federal Constitution of 1988. Articles 215 and 216 of CF 88 and art. 68 of the ADCT ensure and recognize that full access to the territory of the </w:t>
      </w:r>
      <w:proofErr w:type="spellStart"/>
      <w:r>
        <w:rPr>
          <w:rFonts w:ascii="Times New Roman" w:eastAsia="Times New Roman" w:hAnsi="Times New Roman" w:cs="Times New Roman"/>
          <w:color w:val="000000"/>
          <w:sz w:val="24"/>
          <w:szCs w:val="24"/>
        </w:rPr>
        <w:t>quilombola</w:t>
      </w:r>
      <w:proofErr w:type="spellEnd"/>
      <w:r>
        <w:rPr>
          <w:rFonts w:ascii="Times New Roman" w:eastAsia="Times New Roman" w:hAnsi="Times New Roman" w:cs="Times New Roman"/>
          <w:color w:val="000000"/>
          <w:sz w:val="24"/>
          <w:szCs w:val="24"/>
        </w:rPr>
        <w:t xml:space="preserve"> population is directly linked to the right to life, health and safety and the ways of creating, making and living of this population. </w:t>
      </w:r>
    </w:p>
    <w:p w14:paraId="0000002C" w14:textId="77777777" w:rsidR="00692458" w:rsidRDefault="00EB1BF5">
      <w:pPr>
        <w:pBdr>
          <w:top w:val="nil"/>
          <w:left w:val="nil"/>
          <w:bottom w:val="nil"/>
          <w:right w:val="nil"/>
          <w:between w:val="nil"/>
        </w:pBdr>
        <w:shd w:val="clear" w:color="auto" w:fill="FFFFFF"/>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27 years ago, in 1995, 412 quilombos were recognized by the Brazilian State. Currently, despite the registration of 5,972 quilombos in 1,674 municipalities in 24 states, as disclosed by the IBGE in 2020, only 200 of these territories are fully demarcated and titled. </w:t>
      </w:r>
    </w:p>
    <w:p w14:paraId="0000002D" w14:textId="77777777" w:rsidR="00692458" w:rsidRDefault="00EB1BF5">
      <w:pPr>
        <w:pBdr>
          <w:top w:val="nil"/>
          <w:left w:val="nil"/>
          <w:bottom w:val="nil"/>
          <w:right w:val="nil"/>
          <w:between w:val="nil"/>
        </w:pBdr>
        <w:shd w:val="clear" w:color="auto" w:fill="FFFFFF"/>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absence of public policies for </w:t>
      </w:r>
      <w:proofErr w:type="spellStart"/>
      <w:r>
        <w:rPr>
          <w:rFonts w:ascii="Times New Roman" w:eastAsia="Times New Roman" w:hAnsi="Times New Roman" w:cs="Times New Roman"/>
          <w:color w:val="000000"/>
          <w:sz w:val="24"/>
          <w:szCs w:val="24"/>
        </w:rPr>
        <w:t>quilombola</w:t>
      </w:r>
      <w:proofErr w:type="spellEnd"/>
      <w:r>
        <w:rPr>
          <w:rFonts w:ascii="Times New Roman" w:eastAsia="Times New Roman" w:hAnsi="Times New Roman" w:cs="Times New Roman"/>
          <w:color w:val="000000"/>
          <w:sz w:val="24"/>
          <w:szCs w:val="24"/>
        </w:rPr>
        <w:t xml:space="preserve"> communities demonstrates the lack of historical reparation of the slavery period and the structural racism that conforms the Brazilian state. It is urgent to resume the policy of demarcation and territorial titling, especially of the approximately 1,700 processes that are initiated and </w:t>
      </w:r>
      <w:proofErr w:type="spellStart"/>
      <w:r>
        <w:rPr>
          <w:rFonts w:ascii="Times New Roman" w:eastAsia="Times New Roman" w:hAnsi="Times New Roman" w:cs="Times New Roman"/>
          <w:color w:val="000000"/>
          <w:sz w:val="24"/>
          <w:szCs w:val="24"/>
        </w:rPr>
        <w:t>unprogressed</w:t>
      </w:r>
      <w:proofErr w:type="spellEnd"/>
      <w:r>
        <w:rPr>
          <w:rFonts w:ascii="Times New Roman" w:eastAsia="Times New Roman" w:hAnsi="Times New Roman" w:cs="Times New Roman"/>
          <w:color w:val="000000"/>
          <w:sz w:val="24"/>
          <w:szCs w:val="24"/>
        </w:rPr>
        <w:t xml:space="preserve"> at the National Institute of Colonization and Agrarian Reform (INCRA). </w:t>
      </w:r>
    </w:p>
    <w:p w14:paraId="0000002E" w14:textId="77777777" w:rsidR="00692458" w:rsidRDefault="00EB1BF5">
      <w:pPr>
        <w:pBdr>
          <w:top w:val="nil"/>
          <w:left w:val="nil"/>
          <w:bottom w:val="nil"/>
          <w:right w:val="nil"/>
          <w:between w:val="nil"/>
        </w:pBdr>
        <w:shd w:val="clear" w:color="auto" w:fill="FFFFFF"/>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addition to the delay in recognizing </w:t>
      </w:r>
      <w:proofErr w:type="spellStart"/>
      <w:r>
        <w:rPr>
          <w:rFonts w:ascii="Times New Roman" w:eastAsia="Times New Roman" w:hAnsi="Times New Roman" w:cs="Times New Roman"/>
          <w:color w:val="000000"/>
          <w:sz w:val="24"/>
          <w:szCs w:val="24"/>
        </w:rPr>
        <w:t>quilombola</w:t>
      </w:r>
      <w:proofErr w:type="spellEnd"/>
      <w:r>
        <w:rPr>
          <w:rFonts w:ascii="Times New Roman" w:eastAsia="Times New Roman" w:hAnsi="Times New Roman" w:cs="Times New Roman"/>
          <w:color w:val="000000"/>
          <w:sz w:val="24"/>
          <w:szCs w:val="24"/>
        </w:rPr>
        <w:t xml:space="preserve"> territories, there are numerous records of complaints in the CNDH about the violation of the </w:t>
      </w:r>
      <w:proofErr w:type="gramStart"/>
      <w:r>
        <w:rPr>
          <w:rFonts w:ascii="Times New Roman" w:eastAsia="Times New Roman" w:hAnsi="Times New Roman" w:cs="Times New Roman"/>
          <w:color w:val="000000"/>
          <w:sz w:val="24"/>
          <w:szCs w:val="24"/>
        </w:rPr>
        <w:t>right  to</w:t>
      </w:r>
      <w:proofErr w:type="gramEnd"/>
      <w:r>
        <w:rPr>
          <w:rFonts w:ascii="Times New Roman" w:eastAsia="Times New Roman" w:hAnsi="Times New Roman" w:cs="Times New Roman"/>
          <w:color w:val="000000"/>
          <w:sz w:val="24"/>
          <w:szCs w:val="24"/>
        </w:rPr>
        <w:t xml:space="preserve"> prior, free, informed and good faith consultation of </w:t>
      </w:r>
      <w:proofErr w:type="spellStart"/>
      <w:r>
        <w:rPr>
          <w:rFonts w:ascii="Times New Roman" w:eastAsia="Times New Roman" w:hAnsi="Times New Roman" w:cs="Times New Roman"/>
          <w:color w:val="000000"/>
          <w:sz w:val="24"/>
          <w:szCs w:val="24"/>
        </w:rPr>
        <w:t>quilombolas</w:t>
      </w:r>
      <w:proofErr w:type="spellEnd"/>
      <w:r>
        <w:rPr>
          <w:rFonts w:ascii="Times New Roman" w:eastAsia="Times New Roman" w:hAnsi="Times New Roman" w:cs="Times New Roman"/>
          <w:color w:val="000000"/>
          <w:sz w:val="24"/>
          <w:szCs w:val="24"/>
        </w:rPr>
        <w:t xml:space="preserve"> about their territories, under the terms of ILO Convention No. 169. As an example of complaints received by this Council, the </w:t>
      </w:r>
      <w:proofErr w:type="spellStart"/>
      <w:r>
        <w:rPr>
          <w:rFonts w:ascii="Times New Roman" w:eastAsia="Times New Roman" w:hAnsi="Times New Roman" w:cs="Times New Roman"/>
          <w:color w:val="000000"/>
          <w:sz w:val="24"/>
          <w:szCs w:val="24"/>
        </w:rPr>
        <w:t>quilombola</w:t>
      </w:r>
      <w:proofErr w:type="spellEnd"/>
      <w:r>
        <w:rPr>
          <w:rFonts w:ascii="Times New Roman" w:eastAsia="Times New Roman" w:hAnsi="Times New Roman" w:cs="Times New Roman"/>
          <w:color w:val="000000"/>
          <w:sz w:val="24"/>
          <w:szCs w:val="24"/>
        </w:rPr>
        <w:t xml:space="preserve"> communities affected by the rupture of the </w:t>
      </w:r>
      <w:proofErr w:type="spellStart"/>
      <w:r>
        <w:rPr>
          <w:rFonts w:ascii="Times New Roman" w:eastAsia="Times New Roman" w:hAnsi="Times New Roman" w:cs="Times New Roman"/>
          <w:color w:val="000000"/>
          <w:sz w:val="24"/>
          <w:szCs w:val="24"/>
        </w:rPr>
        <w:t>Córrego</w:t>
      </w:r>
      <w:proofErr w:type="spellEnd"/>
      <w:r>
        <w:rPr>
          <w:rFonts w:ascii="Times New Roman" w:eastAsia="Times New Roman" w:hAnsi="Times New Roman" w:cs="Times New Roman"/>
          <w:color w:val="000000"/>
          <w:sz w:val="24"/>
          <w:szCs w:val="24"/>
        </w:rPr>
        <w:t xml:space="preserve"> do </w:t>
      </w:r>
      <w:proofErr w:type="spellStart"/>
      <w:r>
        <w:rPr>
          <w:rFonts w:ascii="Times New Roman" w:eastAsia="Times New Roman" w:hAnsi="Times New Roman" w:cs="Times New Roman"/>
          <w:color w:val="000000"/>
          <w:sz w:val="24"/>
          <w:szCs w:val="24"/>
        </w:rPr>
        <w:t>Feijão</w:t>
      </w:r>
      <w:proofErr w:type="spellEnd"/>
      <w:r>
        <w:rPr>
          <w:rFonts w:ascii="Times New Roman" w:eastAsia="Times New Roman" w:hAnsi="Times New Roman" w:cs="Times New Roman"/>
          <w:color w:val="000000"/>
          <w:sz w:val="24"/>
          <w:szCs w:val="24"/>
        </w:rPr>
        <w:t xml:space="preserve"> Dam in Minas Gerais and the </w:t>
      </w:r>
      <w:proofErr w:type="spellStart"/>
      <w:r>
        <w:rPr>
          <w:rFonts w:ascii="Times New Roman" w:eastAsia="Times New Roman" w:hAnsi="Times New Roman" w:cs="Times New Roman"/>
          <w:color w:val="000000"/>
          <w:sz w:val="24"/>
          <w:szCs w:val="24"/>
        </w:rPr>
        <w:t>Kilombola</w:t>
      </w:r>
      <w:proofErr w:type="spellEnd"/>
      <w:r>
        <w:rPr>
          <w:rFonts w:ascii="Times New Roman" w:eastAsia="Times New Roman" w:hAnsi="Times New Roman" w:cs="Times New Roman"/>
          <w:color w:val="000000"/>
          <w:sz w:val="24"/>
          <w:szCs w:val="24"/>
        </w:rPr>
        <w:t xml:space="preserve"> Community Morada da Paz - Territory of </w:t>
      </w:r>
      <w:proofErr w:type="spellStart"/>
      <w:r>
        <w:rPr>
          <w:rFonts w:ascii="Times New Roman" w:eastAsia="Times New Roman" w:hAnsi="Times New Roman" w:cs="Times New Roman"/>
          <w:color w:val="000000"/>
          <w:sz w:val="24"/>
          <w:szCs w:val="24"/>
        </w:rPr>
        <w:t>Mãe</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Preta</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CoMPaz</w:t>
      </w:r>
      <w:proofErr w:type="spellEnd"/>
      <w:r>
        <w:rPr>
          <w:rFonts w:ascii="Times New Roman" w:eastAsia="Times New Roman" w:hAnsi="Times New Roman" w:cs="Times New Roman"/>
          <w:color w:val="000000"/>
          <w:sz w:val="24"/>
          <w:szCs w:val="24"/>
        </w:rPr>
        <w:t xml:space="preserve">), in Rio Grande do Sul. Below are some of the demonstrations carried out by the CNDH, in its last biennium, in relation to violations of the rights of </w:t>
      </w:r>
      <w:proofErr w:type="spellStart"/>
      <w:r>
        <w:rPr>
          <w:rFonts w:ascii="Times New Roman" w:eastAsia="Times New Roman" w:hAnsi="Times New Roman" w:cs="Times New Roman"/>
          <w:color w:val="000000"/>
          <w:sz w:val="24"/>
          <w:szCs w:val="24"/>
        </w:rPr>
        <w:t>quilombola</w:t>
      </w:r>
      <w:proofErr w:type="spellEnd"/>
      <w:r>
        <w:rPr>
          <w:rFonts w:ascii="Times New Roman" w:eastAsia="Times New Roman" w:hAnsi="Times New Roman" w:cs="Times New Roman"/>
          <w:color w:val="000000"/>
          <w:sz w:val="24"/>
          <w:szCs w:val="24"/>
        </w:rPr>
        <w:t xml:space="preserve"> communities: </w:t>
      </w:r>
    </w:p>
    <w:p w14:paraId="0000002F" w14:textId="77777777" w:rsidR="00692458" w:rsidRPr="00EB4B95" w:rsidRDefault="00692458">
      <w:pPr>
        <w:shd w:val="clear" w:color="auto" w:fill="FFFFFF"/>
        <w:spacing w:before="120" w:after="120" w:line="240" w:lineRule="auto"/>
        <w:jc w:val="both"/>
        <w:rPr>
          <w:rFonts w:ascii="Times New Roman" w:eastAsia="Times New Roman" w:hAnsi="Times New Roman" w:cs="Times New Roman"/>
        </w:rPr>
      </w:pPr>
    </w:p>
    <w:p w14:paraId="00000030" w14:textId="77777777" w:rsidR="00692458" w:rsidRPr="00EB1BF5" w:rsidRDefault="00EB1BF5">
      <w:pPr>
        <w:pBdr>
          <w:top w:val="nil"/>
          <w:left w:val="nil"/>
          <w:bottom w:val="nil"/>
          <w:right w:val="nil"/>
          <w:between w:val="nil"/>
        </w:pBdr>
        <w:shd w:val="clear" w:color="auto" w:fill="FFFFFF"/>
        <w:spacing w:after="270" w:line="240" w:lineRule="auto"/>
        <w:ind w:left="1133"/>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 xml:space="preserve">Recommendation No. 22, of June 11, 2021 </w:t>
      </w:r>
      <w:r w:rsidRPr="00EB1BF5">
        <w:rPr>
          <w:rFonts w:ascii="Times New Roman" w:eastAsia="Times New Roman" w:hAnsi="Times New Roman" w:cs="Times New Roman"/>
          <w:color w:val="000000"/>
          <w:sz w:val="20"/>
          <w:szCs w:val="20"/>
        </w:rPr>
        <w:t xml:space="preserve">- Recommends to the MEC the revocation of the changes already made in the Public Notices of the National Textbook Program that exclude commitments to the agenda of non-violence against women, the promotion of </w:t>
      </w:r>
      <w:proofErr w:type="spellStart"/>
      <w:r w:rsidRPr="00EB1BF5">
        <w:rPr>
          <w:rFonts w:ascii="Times New Roman" w:eastAsia="Times New Roman" w:hAnsi="Times New Roman" w:cs="Times New Roman"/>
          <w:color w:val="000000"/>
          <w:sz w:val="20"/>
          <w:szCs w:val="20"/>
        </w:rPr>
        <w:t>quilombola</w:t>
      </w:r>
      <w:proofErr w:type="spellEnd"/>
      <w:r w:rsidRPr="00EB1BF5">
        <w:rPr>
          <w:rFonts w:ascii="Times New Roman" w:eastAsia="Times New Roman" w:hAnsi="Times New Roman" w:cs="Times New Roman"/>
          <w:color w:val="000000"/>
          <w:sz w:val="20"/>
          <w:szCs w:val="20"/>
        </w:rPr>
        <w:t xml:space="preserve"> cultures and rural peoples, the theme of equal gender, as well as other approaches to gender and diversity, and that no new changes are made in the public notices in this regard.</w:t>
      </w:r>
    </w:p>
    <w:p w14:paraId="00000031" w14:textId="77777777" w:rsidR="00692458" w:rsidRPr="00EB1BF5" w:rsidRDefault="00EB1BF5">
      <w:pPr>
        <w:pBdr>
          <w:top w:val="nil"/>
          <w:left w:val="nil"/>
          <w:bottom w:val="nil"/>
          <w:right w:val="nil"/>
          <w:between w:val="nil"/>
        </w:pBdr>
        <w:shd w:val="clear" w:color="auto" w:fill="FFFFFF"/>
        <w:spacing w:after="270" w:line="240" w:lineRule="auto"/>
        <w:ind w:left="1133"/>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Recommendation No. 24, of July 8, 2021</w:t>
      </w:r>
      <w:r w:rsidRPr="00EB1BF5">
        <w:rPr>
          <w:rFonts w:ascii="Times New Roman" w:eastAsia="Times New Roman" w:hAnsi="Times New Roman" w:cs="Times New Roman"/>
          <w:color w:val="000000"/>
          <w:sz w:val="20"/>
          <w:szCs w:val="20"/>
        </w:rPr>
        <w:t xml:space="preserve"> - Provides for violations of the OECD Multinational Companies Guidelines and the Business and Human Rights Principles, the </w:t>
      </w:r>
      <w:r w:rsidRPr="00EB1BF5">
        <w:rPr>
          <w:rFonts w:ascii="Times New Roman" w:eastAsia="Times New Roman" w:hAnsi="Times New Roman" w:cs="Times New Roman"/>
          <w:color w:val="000000"/>
          <w:sz w:val="20"/>
          <w:szCs w:val="20"/>
        </w:rPr>
        <w:lastRenderedPageBreak/>
        <w:t xml:space="preserve">Right to prior, free and informed consultation; access to information regarding the </w:t>
      </w:r>
      <w:proofErr w:type="spellStart"/>
      <w:r w:rsidRPr="00EB1BF5">
        <w:rPr>
          <w:rFonts w:ascii="Times New Roman" w:eastAsia="Times New Roman" w:hAnsi="Times New Roman" w:cs="Times New Roman"/>
          <w:color w:val="000000"/>
          <w:sz w:val="20"/>
          <w:szCs w:val="20"/>
        </w:rPr>
        <w:t>quilombolas</w:t>
      </w:r>
      <w:proofErr w:type="spellEnd"/>
      <w:r w:rsidRPr="00EB1BF5">
        <w:rPr>
          <w:rFonts w:ascii="Times New Roman" w:eastAsia="Times New Roman" w:hAnsi="Times New Roman" w:cs="Times New Roman"/>
          <w:color w:val="000000"/>
          <w:sz w:val="20"/>
          <w:szCs w:val="20"/>
        </w:rPr>
        <w:t xml:space="preserve"> affected by the rupture of the </w:t>
      </w:r>
      <w:proofErr w:type="spellStart"/>
      <w:r w:rsidRPr="00EB1BF5">
        <w:rPr>
          <w:rFonts w:ascii="Times New Roman" w:eastAsia="Times New Roman" w:hAnsi="Times New Roman" w:cs="Times New Roman"/>
          <w:color w:val="000000"/>
          <w:sz w:val="20"/>
          <w:szCs w:val="20"/>
        </w:rPr>
        <w:t>Córrego</w:t>
      </w:r>
      <w:proofErr w:type="spellEnd"/>
      <w:r w:rsidRPr="00EB1BF5">
        <w:rPr>
          <w:rFonts w:ascii="Times New Roman" w:eastAsia="Times New Roman" w:hAnsi="Times New Roman" w:cs="Times New Roman"/>
          <w:color w:val="000000"/>
          <w:sz w:val="20"/>
          <w:szCs w:val="20"/>
        </w:rPr>
        <w:t xml:space="preserve"> do </w:t>
      </w:r>
      <w:proofErr w:type="spellStart"/>
      <w:r w:rsidRPr="00EB1BF5">
        <w:rPr>
          <w:rFonts w:ascii="Times New Roman" w:eastAsia="Times New Roman" w:hAnsi="Times New Roman" w:cs="Times New Roman"/>
          <w:color w:val="000000"/>
          <w:sz w:val="20"/>
          <w:szCs w:val="20"/>
        </w:rPr>
        <w:t>Feijão</w:t>
      </w:r>
      <w:proofErr w:type="spellEnd"/>
      <w:r w:rsidRPr="00EB1BF5">
        <w:rPr>
          <w:rFonts w:ascii="Times New Roman" w:eastAsia="Times New Roman" w:hAnsi="Times New Roman" w:cs="Times New Roman"/>
          <w:color w:val="000000"/>
          <w:sz w:val="20"/>
          <w:szCs w:val="20"/>
        </w:rPr>
        <w:t xml:space="preserve"> Dam in Minas Gerais.</w:t>
      </w:r>
    </w:p>
    <w:p w14:paraId="00000032" w14:textId="77777777" w:rsidR="00692458" w:rsidRPr="00EB1BF5" w:rsidRDefault="00EB1BF5">
      <w:pPr>
        <w:pBdr>
          <w:top w:val="nil"/>
          <w:left w:val="nil"/>
          <w:bottom w:val="nil"/>
          <w:right w:val="nil"/>
          <w:between w:val="nil"/>
        </w:pBdr>
        <w:shd w:val="clear" w:color="auto" w:fill="FFFFFF"/>
        <w:spacing w:after="270" w:line="240" w:lineRule="auto"/>
        <w:ind w:left="1133"/>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Recommendation No. 43, of November 12, 2021</w:t>
      </w:r>
      <w:r w:rsidRPr="00EB1BF5">
        <w:rPr>
          <w:rFonts w:ascii="Times New Roman" w:eastAsia="Times New Roman" w:hAnsi="Times New Roman" w:cs="Times New Roman"/>
          <w:color w:val="000000"/>
          <w:sz w:val="20"/>
          <w:szCs w:val="20"/>
        </w:rPr>
        <w:t xml:space="preserve"> - Recommends to the Institute of the Environment - IBAMA, the National Institute of Colonization and Agrarian Reform - INCRA, the Palmares Cultural Foundation - FCP, the National Land Transport Agency - ANTT, the state of Rio Grande do Sul and the municipalities directly or indirectly affected by the expansion works of the BR 386 federal highway in Rio Grande do Sul, and represents to the State and Federal Public Prosecutors' Offices on measures to guarantee human rights, in particular the right to Prior, Free, Informed and Good Faith Consultation of the </w:t>
      </w:r>
      <w:proofErr w:type="spellStart"/>
      <w:r w:rsidRPr="00EB1BF5">
        <w:rPr>
          <w:rFonts w:ascii="Times New Roman" w:eastAsia="Times New Roman" w:hAnsi="Times New Roman" w:cs="Times New Roman"/>
          <w:color w:val="000000"/>
          <w:sz w:val="20"/>
          <w:szCs w:val="20"/>
        </w:rPr>
        <w:t>Kilombola</w:t>
      </w:r>
      <w:proofErr w:type="spellEnd"/>
      <w:r w:rsidRPr="00EB1BF5">
        <w:rPr>
          <w:rFonts w:ascii="Times New Roman" w:eastAsia="Times New Roman" w:hAnsi="Times New Roman" w:cs="Times New Roman"/>
          <w:color w:val="000000"/>
          <w:sz w:val="20"/>
          <w:szCs w:val="20"/>
        </w:rPr>
        <w:t xml:space="preserve"> Morada da Paz Community - Territory of Mother </w:t>
      </w:r>
      <w:proofErr w:type="spellStart"/>
      <w:r w:rsidRPr="00EB1BF5">
        <w:rPr>
          <w:rFonts w:ascii="Times New Roman" w:eastAsia="Times New Roman" w:hAnsi="Times New Roman" w:cs="Times New Roman"/>
          <w:color w:val="000000"/>
          <w:sz w:val="20"/>
          <w:szCs w:val="20"/>
        </w:rPr>
        <w:t>Preta</w:t>
      </w:r>
      <w:proofErr w:type="spellEnd"/>
      <w:r w:rsidRPr="00EB1BF5">
        <w:rPr>
          <w:rFonts w:ascii="Times New Roman" w:eastAsia="Times New Roman" w:hAnsi="Times New Roman" w:cs="Times New Roman"/>
          <w:color w:val="000000"/>
          <w:sz w:val="20"/>
          <w:szCs w:val="20"/>
        </w:rPr>
        <w:t xml:space="preserve"> (</w:t>
      </w:r>
      <w:proofErr w:type="spellStart"/>
      <w:r w:rsidRPr="00EB1BF5">
        <w:rPr>
          <w:rFonts w:ascii="Times New Roman" w:eastAsia="Times New Roman" w:hAnsi="Times New Roman" w:cs="Times New Roman"/>
          <w:color w:val="000000"/>
          <w:sz w:val="20"/>
          <w:szCs w:val="20"/>
        </w:rPr>
        <w:t>CoMPaz</w:t>
      </w:r>
      <w:proofErr w:type="spellEnd"/>
      <w:r w:rsidRPr="00EB1BF5">
        <w:rPr>
          <w:rFonts w:ascii="Times New Roman" w:eastAsia="Times New Roman" w:hAnsi="Times New Roman" w:cs="Times New Roman"/>
          <w:color w:val="000000"/>
          <w:sz w:val="20"/>
          <w:szCs w:val="20"/>
        </w:rPr>
        <w:t xml:space="preserve">) and other </w:t>
      </w:r>
      <w:proofErr w:type="spellStart"/>
      <w:r w:rsidRPr="00EB1BF5">
        <w:rPr>
          <w:rFonts w:ascii="Times New Roman" w:eastAsia="Times New Roman" w:hAnsi="Times New Roman" w:cs="Times New Roman"/>
          <w:color w:val="000000"/>
          <w:sz w:val="20"/>
          <w:szCs w:val="20"/>
        </w:rPr>
        <w:t>quilombola</w:t>
      </w:r>
      <w:proofErr w:type="spellEnd"/>
      <w:r w:rsidRPr="00EB1BF5">
        <w:rPr>
          <w:rFonts w:ascii="Times New Roman" w:eastAsia="Times New Roman" w:hAnsi="Times New Roman" w:cs="Times New Roman"/>
          <w:color w:val="000000"/>
          <w:sz w:val="20"/>
          <w:szCs w:val="20"/>
        </w:rPr>
        <w:t xml:space="preserve"> communities, indigenous or traditional populations, whose territories are in the area of influence of the project and expansion works of the mentioned highway.</w:t>
      </w:r>
    </w:p>
    <w:p w14:paraId="00000033" w14:textId="77777777" w:rsidR="00692458" w:rsidRPr="00EB1BF5" w:rsidRDefault="00EB1BF5">
      <w:pPr>
        <w:pBdr>
          <w:top w:val="nil"/>
          <w:left w:val="nil"/>
          <w:bottom w:val="nil"/>
          <w:right w:val="nil"/>
          <w:between w:val="nil"/>
        </w:pBdr>
        <w:shd w:val="clear" w:color="auto" w:fill="FFFFFF"/>
        <w:spacing w:after="270" w:line="240" w:lineRule="auto"/>
        <w:ind w:left="1133"/>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 xml:space="preserve">Recommendation No. 44, of November 12, 2021 </w:t>
      </w:r>
      <w:r w:rsidRPr="00EB1BF5">
        <w:rPr>
          <w:rFonts w:ascii="Times New Roman" w:eastAsia="Times New Roman" w:hAnsi="Times New Roman" w:cs="Times New Roman"/>
          <w:color w:val="000000"/>
          <w:sz w:val="20"/>
          <w:szCs w:val="20"/>
        </w:rPr>
        <w:t xml:space="preserve">- Recommends to the National Institute of Colonization and Agrarian Reform - INCRA the adoption of measures regarding the guarantee of the constitutional right to grant title to </w:t>
      </w:r>
      <w:proofErr w:type="spellStart"/>
      <w:r w:rsidRPr="00EB1BF5">
        <w:rPr>
          <w:rFonts w:ascii="Times New Roman" w:eastAsia="Times New Roman" w:hAnsi="Times New Roman" w:cs="Times New Roman"/>
          <w:color w:val="000000"/>
          <w:sz w:val="20"/>
          <w:szCs w:val="20"/>
        </w:rPr>
        <w:t>quilombola</w:t>
      </w:r>
      <w:proofErr w:type="spellEnd"/>
      <w:r w:rsidRPr="00EB1BF5">
        <w:rPr>
          <w:rFonts w:ascii="Times New Roman" w:eastAsia="Times New Roman" w:hAnsi="Times New Roman" w:cs="Times New Roman"/>
          <w:color w:val="000000"/>
          <w:sz w:val="20"/>
          <w:szCs w:val="20"/>
        </w:rPr>
        <w:t xml:space="preserve"> communities.</w:t>
      </w:r>
    </w:p>
    <w:p w14:paraId="00000034" w14:textId="77777777" w:rsidR="00692458" w:rsidRPr="00EB1BF5" w:rsidRDefault="00EB1BF5">
      <w:pPr>
        <w:pBdr>
          <w:top w:val="nil"/>
          <w:left w:val="nil"/>
          <w:bottom w:val="nil"/>
          <w:right w:val="nil"/>
          <w:between w:val="nil"/>
        </w:pBdr>
        <w:shd w:val="clear" w:color="auto" w:fill="FFFFFF"/>
        <w:spacing w:after="270" w:line="240" w:lineRule="auto"/>
        <w:ind w:left="1133"/>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Recommendation No. 03, of February 11, 2022</w:t>
      </w:r>
      <w:r w:rsidRPr="00EB1BF5">
        <w:rPr>
          <w:rFonts w:ascii="Times New Roman" w:eastAsia="Times New Roman" w:hAnsi="Times New Roman" w:cs="Times New Roman"/>
          <w:color w:val="000000"/>
          <w:sz w:val="20"/>
          <w:szCs w:val="20"/>
        </w:rPr>
        <w:t xml:space="preserve"> </w:t>
      </w:r>
      <w:proofErr w:type="gramStart"/>
      <w:r w:rsidRPr="00EB1BF5">
        <w:rPr>
          <w:rFonts w:ascii="Times New Roman" w:eastAsia="Times New Roman" w:hAnsi="Times New Roman" w:cs="Times New Roman"/>
          <w:color w:val="000000"/>
          <w:sz w:val="20"/>
          <w:szCs w:val="20"/>
        </w:rPr>
        <w:t>-  Recommends</w:t>
      </w:r>
      <w:proofErr w:type="gramEnd"/>
      <w:r w:rsidRPr="00EB1BF5">
        <w:rPr>
          <w:rFonts w:ascii="Times New Roman" w:eastAsia="Times New Roman" w:hAnsi="Times New Roman" w:cs="Times New Roman"/>
          <w:color w:val="000000"/>
          <w:sz w:val="20"/>
          <w:szCs w:val="20"/>
        </w:rPr>
        <w:t xml:space="preserve"> to INCRA the immediate suspension of Normative Instruction No. 111/2021 with the revocation of all effects produced, as an urgent measure to ensure the constitutional and international rights of </w:t>
      </w:r>
      <w:proofErr w:type="spellStart"/>
      <w:r w:rsidRPr="00EB1BF5">
        <w:rPr>
          <w:rFonts w:ascii="Times New Roman" w:eastAsia="Times New Roman" w:hAnsi="Times New Roman" w:cs="Times New Roman"/>
          <w:color w:val="000000"/>
          <w:sz w:val="20"/>
          <w:szCs w:val="20"/>
        </w:rPr>
        <w:t>quilombola</w:t>
      </w:r>
      <w:proofErr w:type="spellEnd"/>
      <w:r w:rsidRPr="00EB1BF5">
        <w:rPr>
          <w:rFonts w:ascii="Times New Roman" w:eastAsia="Times New Roman" w:hAnsi="Times New Roman" w:cs="Times New Roman"/>
          <w:color w:val="000000"/>
          <w:sz w:val="20"/>
          <w:szCs w:val="20"/>
        </w:rPr>
        <w:t xml:space="preserve"> communities.</w:t>
      </w:r>
    </w:p>
    <w:p w14:paraId="00000035" w14:textId="77777777" w:rsidR="00692458" w:rsidRPr="00EB1BF5" w:rsidRDefault="00EB1BF5">
      <w:pPr>
        <w:pBdr>
          <w:top w:val="nil"/>
          <w:left w:val="nil"/>
          <w:bottom w:val="nil"/>
          <w:right w:val="nil"/>
          <w:between w:val="nil"/>
        </w:pBdr>
        <w:shd w:val="clear" w:color="auto" w:fill="FFFFFF"/>
        <w:spacing w:after="270" w:line="240" w:lineRule="auto"/>
        <w:ind w:left="1133"/>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Recommendation No. 20, of June 2, 2022</w:t>
      </w:r>
      <w:r w:rsidRPr="00EB1BF5">
        <w:rPr>
          <w:rFonts w:ascii="Times New Roman" w:eastAsia="Times New Roman" w:hAnsi="Times New Roman" w:cs="Times New Roman"/>
          <w:color w:val="000000"/>
          <w:sz w:val="20"/>
          <w:szCs w:val="20"/>
        </w:rPr>
        <w:t xml:space="preserve"> - Recommends to the Brazilian Institute of the Environment and Renewable Natural Resources the suspension of the environmental licensing of the Santa Quitéria Project (Process No. 02001.014391/2020-17) due to non-compliance with the consultation procedure and prior, free, informed and good faith consent to indigenous peoples, </w:t>
      </w:r>
      <w:proofErr w:type="spellStart"/>
      <w:r w:rsidRPr="00EB1BF5">
        <w:rPr>
          <w:rFonts w:ascii="Times New Roman" w:eastAsia="Times New Roman" w:hAnsi="Times New Roman" w:cs="Times New Roman"/>
          <w:color w:val="000000"/>
          <w:sz w:val="20"/>
          <w:szCs w:val="20"/>
        </w:rPr>
        <w:t>quilombolas</w:t>
      </w:r>
      <w:proofErr w:type="spellEnd"/>
      <w:r w:rsidRPr="00EB1BF5">
        <w:rPr>
          <w:rFonts w:ascii="Times New Roman" w:eastAsia="Times New Roman" w:hAnsi="Times New Roman" w:cs="Times New Roman"/>
          <w:color w:val="000000"/>
          <w:sz w:val="20"/>
          <w:szCs w:val="20"/>
        </w:rPr>
        <w:t xml:space="preserve"> and traditional communities affected, impacted or affected, as determined by ILO Convention No. 169 to which Brazil is a signatory.</w:t>
      </w:r>
    </w:p>
    <w:p w14:paraId="00000036" w14:textId="77777777" w:rsidR="00692458" w:rsidRPr="00EB1BF5" w:rsidRDefault="00EB1BF5">
      <w:pPr>
        <w:pBdr>
          <w:top w:val="nil"/>
          <w:left w:val="nil"/>
          <w:bottom w:val="nil"/>
          <w:right w:val="nil"/>
          <w:between w:val="nil"/>
        </w:pBdr>
        <w:shd w:val="clear" w:color="auto" w:fill="FFFFFF"/>
        <w:spacing w:after="270" w:line="240" w:lineRule="auto"/>
        <w:ind w:left="1133"/>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b/>
          <w:color w:val="000000"/>
          <w:sz w:val="20"/>
          <w:szCs w:val="20"/>
        </w:rPr>
        <w:t>Public Note No. 28/2022</w:t>
      </w:r>
      <w:r w:rsidRPr="00EB1BF5">
        <w:rPr>
          <w:rFonts w:ascii="Times New Roman" w:eastAsia="Times New Roman" w:hAnsi="Times New Roman" w:cs="Times New Roman"/>
          <w:color w:val="000000"/>
          <w:sz w:val="20"/>
          <w:szCs w:val="20"/>
        </w:rPr>
        <w:t xml:space="preserve"> - CNDH welcomes the </w:t>
      </w:r>
      <w:proofErr w:type="spellStart"/>
      <w:r w:rsidRPr="00EB1BF5">
        <w:rPr>
          <w:rFonts w:ascii="Times New Roman" w:eastAsia="Times New Roman" w:hAnsi="Times New Roman" w:cs="Times New Roman"/>
          <w:color w:val="000000"/>
          <w:sz w:val="20"/>
          <w:szCs w:val="20"/>
        </w:rPr>
        <w:t>Aquilombar</w:t>
      </w:r>
      <w:proofErr w:type="spellEnd"/>
      <w:r w:rsidRPr="00EB1BF5">
        <w:rPr>
          <w:rFonts w:ascii="Times New Roman" w:eastAsia="Times New Roman" w:hAnsi="Times New Roman" w:cs="Times New Roman"/>
          <w:color w:val="000000"/>
          <w:sz w:val="20"/>
          <w:szCs w:val="20"/>
        </w:rPr>
        <w:t xml:space="preserve"> and reinforces the need to guarantee the constitutional rights of the </w:t>
      </w:r>
      <w:proofErr w:type="spellStart"/>
      <w:r w:rsidRPr="00EB1BF5">
        <w:rPr>
          <w:rFonts w:ascii="Times New Roman" w:eastAsia="Times New Roman" w:hAnsi="Times New Roman" w:cs="Times New Roman"/>
          <w:color w:val="000000"/>
          <w:sz w:val="20"/>
          <w:szCs w:val="20"/>
        </w:rPr>
        <w:t>quilombola</w:t>
      </w:r>
      <w:proofErr w:type="spellEnd"/>
      <w:r w:rsidRPr="00EB1BF5">
        <w:rPr>
          <w:rFonts w:ascii="Times New Roman" w:eastAsia="Times New Roman" w:hAnsi="Times New Roman" w:cs="Times New Roman"/>
          <w:color w:val="000000"/>
          <w:sz w:val="20"/>
          <w:szCs w:val="20"/>
        </w:rPr>
        <w:t xml:space="preserve"> </w:t>
      </w:r>
      <w:proofErr w:type="gramStart"/>
      <w:r w:rsidRPr="00EB1BF5">
        <w:rPr>
          <w:rFonts w:ascii="Times New Roman" w:eastAsia="Times New Roman" w:hAnsi="Times New Roman" w:cs="Times New Roman"/>
          <w:color w:val="000000"/>
          <w:sz w:val="20"/>
          <w:szCs w:val="20"/>
        </w:rPr>
        <w:t>population</w:t>
      </w:r>
      <w:proofErr w:type="gramEnd"/>
    </w:p>
    <w:p w14:paraId="00000037" w14:textId="77777777" w:rsidR="00692458" w:rsidRDefault="00692458">
      <w:pPr>
        <w:shd w:val="clear" w:color="auto" w:fill="FFFFFF"/>
        <w:spacing w:after="270" w:line="240" w:lineRule="auto"/>
        <w:jc w:val="both"/>
        <w:rPr>
          <w:rFonts w:ascii="Times New Roman" w:eastAsia="Times New Roman" w:hAnsi="Times New Roman" w:cs="Times New Roman"/>
          <w:sz w:val="24"/>
          <w:szCs w:val="24"/>
        </w:rPr>
      </w:pPr>
    </w:p>
    <w:p w14:paraId="1090F1F8" w14:textId="77777777" w:rsidR="00EB4B95" w:rsidRDefault="00EB4B95" w:rsidP="00EB4B9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Article 11. </w:t>
      </w:r>
      <w:r>
        <w:rPr>
          <w:rFonts w:ascii="Times New Roman" w:eastAsia="Times New Roman" w:hAnsi="Times New Roman" w:cs="Times New Roman"/>
          <w:b/>
          <w:color w:val="000000"/>
          <w:sz w:val="24"/>
          <w:szCs w:val="24"/>
        </w:rPr>
        <w:tab/>
        <w:t xml:space="preserve">Agrarian Situation </w:t>
      </w:r>
    </w:p>
    <w:p w14:paraId="239F6806" w14:textId="77777777" w:rsidR="00EB4B95" w:rsidRPr="00EB1BF5" w:rsidRDefault="00EB4B95" w:rsidP="00EB4B9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b/>
          <w:color w:val="000000"/>
          <w:sz w:val="24"/>
          <w:szCs w:val="24"/>
          <w:u w:val="single"/>
        </w:rPr>
      </w:pPr>
      <w:r w:rsidRPr="00EB1BF5">
        <w:rPr>
          <w:rFonts w:ascii="Times New Roman" w:eastAsia="Times New Roman" w:hAnsi="Times New Roman" w:cs="Times New Roman"/>
          <w:b/>
          <w:color w:val="000000"/>
          <w:sz w:val="24"/>
          <w:szCs w:val="24"/>
          <w:u w:val="single"/>
        </w:rPr>
        <w:t xml:space="preserve">About the budget cut in the public policy of land regularization </w:t>
      </w:r>
    </w:p>
    <w:p w14:paraId="3566791C" w14:textId="77777777" w:rsidR="00EB4B95" w:rsidRDefault="00EB4B95" w:rsidP="00EB4B9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2022, the CNDH expressed, through CNDH Public Note No. 05/</w:t>
      </w:r>
      <w:proofErr w:type="gramStart"/>
      <w:r>
        <w:rPr>
          <w:rFonts w:ascii="Times New Roman" w:eastAsia="Times New Roman" w:hAnsi="Times New Roman" w:cs="Times New Roman"/>
          <w:color w:val="000000"/>
          <w:sz w:val="24"/>
          <w:szCs w:val="24"/>
        </w:rPr>
        <w:t>202,  concern</w:t>
      </w:r>
      <w:proofErr w:type="gramEnd"/>
      <w:r>
        <w:rPr>
          <w:rFonts w:ascii="Times New Roman" w:eastAsia="Times New Roman" w:hAnsi="Times New Roman" w:cs="Times New Roman"/>
          <w:color w:val="000000"/>
          <w:sz w:val="24"/>
          <w:szCs w:val="24"/>
        </w:rPr>
        <w:t xml:space="preserve"> about the abrupt cuts promoted by the then federal government in the budget for </w:t>
      </w:r>
      <w:proofErr w:type="spellStart"/>
      <w:r>
        <w:rPr>
          <w:rFonts w:ascii="Times New Roman" w:eastAsia="Times New Roman" w:hAnsi="Times New Roman" w:cs="Times New Roman"/>
          <w:color w:val="000000"/>
          <w:sz w:val="24"/>
          <w:szCs w:val="24"/>
        </w:rPr>
        <w:t>quilombola</w:t>
      </w:r>
      <w:proofErr w:type="spellEnd"/>
      <w:r>
        <w:rPr>
          <w:rFonts w:ascii="Times New Roman" w:eastAsia="Times New Roman" w:hAnsi="Times New Roman" w:cs="Times New Roman"/>
          <w:color w:val="000000"/>
          <w:sz w:val="24"/>
          <w:szCs w:val="24"/>
        </w:rPr>
        <w:t xml:space="preserve"> land regularization, indigenous policy and agrarian reform policy, from which the information presented below is extracted. </w:t>
      </w:r>
    </w:p>
    <w:p w14:paraId="3740F33A" w14:textId="77777777" w:rsidR="00EB4B95" w:rsidRDefault="00EB4B95" w:rsidP="00EB4B9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of 2016, the decrease in resources allocated to </w:t>
      </w:r>
      <w:proofErr w:type="spellStart"/>
      <w:r>
        <w:rPr>
          <w:rFonts w:ascii="Times New Roman" w:eastAsia="Times New Roman" w:hAnsi="Times New Roman" w:cs="Times New Roman"/>
          <w:color w:val="000000"/>
          <w:sz w:val="24"/>
          <w:szCs w:val="24"/>
        </w:rPr>
        <w:t>quilombola</w:t>
      </w:r>
      <w:proofErr w:type="spellEnd"/>
      <w:r>
        <w:rPr>
          <w:rFonts w:ascii="Times New Roman" w:eastAsia="Times New Roman" w:hAnsi="Times New Roman" w:cs="Times New Roman"/>
          <w:color w:val="000000"/>
          <w:sz w:val="24"/>
          <w:szCs w:val="24"/>
        </w:rPr>
        <w:t xml:space="preserve"> land regularization in Brazil intensified. In 2010, the budget provided for in the Annual Budget Law was R$64 million – R$10 million for current expenses and R$54 million for indemnities. In 2019, the value plummeted to approximately R$3.5 million – R$2.5 million for current expenses and R$958,000.00 for indemnities. </w:t>
      </w:r>
    </w:p>
    <w:p w14:paraId="51BFB98F" w14:textId="77777777" w:rsidR="00EB4B95" w:rsidRDefault="00EB4B95" w:rsidP="00EB4B9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2021, the amount was abruptly reduced, remaining at R$240,865.00 – of these R$206,008.08 reais destined to current expenses and R$43,857.00 for property </w:t>
      </w:r>
      <w:r>
        <w:rPr>
          <w:rFonts w:ascii="Times New Roman" w:eastAsia="Times New Roman" w:hAnsi="Times New Roman" w:cs="Times New Roman"/>
          <w:color w:val="000000"/>
          <w:sz w:val="24"/>
          <w:szCs w:val="24"/>
        </w:rPr>
        <w:lastRenderedPageBreak/>
        <w:t xml:space="preserve">indemnities. In 2022, when sanctioning the budget, the Presidency of the Republic vetoed the other resources approved for public policies aimed at </w:t>
      </w:r>
      <w:proofErr w:type="spellStart"/>
      <w:r>
        <w:rPr>
          <w:rFonts w:ascii="Times New Roman" w:eastAsia="Times New Roman" w:hAnsi="Times New Roman" w:cs="Times New Roman"/>
          <w:color w:val="000000"/>
          <w:sz w:val="24"/>
          <w:szCs w:val="24"/>
        </w:rPr>
        <w:t>quilombola</w:t>
      </w:r>
      <w:proofErr w:type="spellEnd"/>
      <w:r>
        <w:rPr>
          <w:rFonts w:ascii="Times New Roman" w:eastAsia="Times New Roman" w:hAnsi="Times New Roman" w:cs="Times New Roman"/>
          <w:color w:val="000000"/>
          <w:sz w:val="24"/>
          <w:szCs w:val="24"/>
        </w:rPr>
        <w:t xml:space="preserve"> communities, as well as indigenous peoples. In this sense, R$85,000.00 reais was vetoed from the already tight and insufficient resource, which had the purpose of recognizing and indemnifying </w:t>
      </w:r>
      <w:proofErr w:type="spellStart"/>
      <w:r>
        <w:rPr>
          <w:rFonts w:ascii="Times New Roman" w:eastAsia="Times New Roman" w:hAnsi="Times New Roman" w:cs="Times New Roman"/>
          <w:color w:val="000000"/>
          <w:sz w:val="24"/>
          <w:szCs w:val="24"/>
        </w:rPr>
        <w:t>quilombola</w:t>
      </w:r>
      <w:proofErr w:type="spellEnd"/>
      <w:r>
        <w:rPr>
          <w:rFonts w:ascii="Times New Roman" w:eastAsia="Times New Roman" w:hAnsi="Times New Roman" w:cs="Times New Roman"/>
          <w:color w:val="000000"/>
          <w:sz w:val="24"/>
          <w:szCs w:val="24"/>
        </w:rPr>
        <w:t xml:space="preserve"> territories. </w:t>
      </w:r>
    </w:p>
    <w:p w14:paraId="433E7359" w14:textId="77777777" w:rsidR="00EB4B95" w:rsidRDefault="00EB4B95" w:rsidP="00EB4B9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recurrent cuts and at alarming scales reinforce the extermination policy that had been implemented by the federal government management (2019-2022) in the face of traditional peoples and communities. </w:t>
      </w:r>
    </w:p>
    <w:p w14:paraId="4DDBF359" w14:textId="77777777" w:rsidR="00EB4B95" w:rsidRDefault="00EB4B95" w:rsidP="00EB4B9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FUNAI went through a budget bottleneck, which represents a fundamental part of the emptying of the rights guaranteed to indigenous peoples by the Federal Constitution. More than that, the logic that has prevailed in recent years in Brazil configures the following scenario: the fewer resources the indigenous agency receives to guarantee its structure, the less capacity for execution it has. Low budget execution, in turn, is used as a justification for investing less resources in the following years. The people who pay the bill are the Indigenous people. In relation to the 2022 budget, R$773,000.00 were vetoed, destined to the demarcation, regularization and inspection of indigenous lands, as well as protection of isolated peoples; and R$859,000.00, destined to the promotion and protection of the rights of indigenous peoples. </w:t>
      </w:r>
    </w:p>
    <w:p w14:paraId="0A138B41" w14:textId="77777777" w:rsidR="00EB4B95" w:rsidRDefault="00EB4B95" w:rsidP="00EB4B9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same setbacks can be seen in relation to the National Agrarian Reform Policy. In addition to the lack of a National Agrarian Reform Program in force by the current government, the budget cuts mainly linked to INCRA are significant. INCRA's overall budget fell 16% from 2021 to 2022. </w:t>
      </w:r>
    </w:p>
    <w:p w14:paraId="2AD20200" w14:textId="77777777" w:rsidR="00EB4B95" w:rsidRDefault="00EB4B95" w:rsidP="00EB4B9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While in 2015 the budget for “Rural Education” was R$32,550.00, in 2022 it is only R$17,935,268.00; for “Land Acquisition” it went from R$800,000,000.00 in 2015 to R$2,435,000.00 in 2022; in relation to the “Consolidation of Settlements” from R$281,934,900.00 in 2015 to R$66,736,198.00 in 2022; for “Productive Inclusion” from R$333,132,704.00 in 2015 to R$25,300,000.00 in 2022. That is, significant cuts that promote in practice the paralysis of Agrarian Reform. </w:t>
      </w:r>
    </w:p>
    <w:p w14:paraId="55A3751E" w14:textId="77777777" w:rsidR="00EB4B95" w:rsidRDefault="00EB4B95" w:rsidP="00EB4B9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should also be noted the brutal emptying of personnel in the </w:t>
      </w:r>
      <w:proofErr w:type="gramStart"/>
      <w:r>
        <w:rPr>
          <w:rFonts w:ascii="Times New Roman" w:eastAsia="Times New Roman" w:hAnsi="Times New Roman" w:cs="Times New Roman"/>
          <w:color w:val="000000"/>
          <w:sz w:val="24"/>
          <w:szCs w:val="24"/>
        </w:rPr>
        <w:t>aforementioned entities</w:t>
      </w:r>
      <w:proofErr w:type="gramEnd"/>
      <w:r>
        <w:rPr>
          <w:rFonts w:ascii="Times New Roman" w:eastAsia="Times New Roman" w:hAnsi="Times New Roman" w:cs="Times New Roman"/>
          <w:color w:val="000000"/>
          <w:sz w:val="24"/>
          <w:szCs w:val="24"/>
        </w:rPr>
        <w:t xml:space="preserve">, in view of and not carrying out public tenders necessary for the replacement and expansion of the qualified workforce to meet the legal and constitutional purposes of these bodies, without forgetting, in the specific case of FUNAI, the permanent need to have indigenous contractors for the execution of specific activities of indigenous policy. </w:t>
      </w:r>
    </w:p>
    <w:p w14:paraId="3B0CC483" w14:textId="77777777" w:rsidR="00EB4B95" w:rsidRPr="00EB1BF5" w:rsidRDefault="00EB4B95" w:rsidP="00EB4B9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b/>
          <w:color w:val="000000"/>
          <w:sz w:val="24"/>
          <w:szCs w:val="24"/>
          <w:u w:val="single"/>
        </w:rPr>
      </w:pPr>
      <w:r w:rsidRPr="00EB1BF5">
        <w:rPr>
          <w:rFonts w:ascii="Times New Roman" w:eastAsia="Times New Roman" w:hAnsi="Times New Roman" w:cs="Times New Roman"/>
          <w:b/>
          <w:color w:val="000000"/>
          <w:sz w:val="24"/>
          <w:szCs w:val="24"/>
          <w:u w:val="single"/>
        </w:rPr>
        <w:t xml:space="preserve">Criminalization of social movements </w:t>
      </w:r>
    </w:p>
    <w:p w14:paraId="73DBA3BD" w14:textId="77777777" w:rsidR="00EB4B95" w:rsidRDefault="00EB4B95" w:rsidP="00EB4B95">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During one Meeting for the Monitoring of Foreign Policy on Human Rights in Brazil, representative of the Landless Rural Workers' Movements (MST) reported the reality of criminalization of the struggle for the right of access to land within the scope of the Federal Legislative Branch, embodied in the establishment of the Parliamentary Commission of Inquiry against the MST. </w:t>
      </w:r>
    </w:p>
    <w:p w14:paraId="4C2574CF" w14:textId="77777777" w:rsidR="00EB4B95" w:rsidRDefault="00EB4B95" w:rsidP="00EB4B95">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following is part of the document written by the National Direction of the Movement and widely disseminated in Brazil, which represents the perspective of the largest social movement in Latin America on the facts and which, for this reason, must come to the attention of this Committee. </w:t>
      </w:r>
    </w:p>
    <w:p w14:paraId="53FEF972" w14:textId="77777777" w:rsidR="00EB4B95" w:rsidRDefault="00EB4B95" w:rsidP="00EB4B95">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77B478DB" w14:textId="77777777" w:rsidR="00EB4B95" w:rsidRPr="00EB4B95" w:rsidRDefault="00EB4B95" w:rsidP="00EB4B95">
      <w:pPr>
        <w:pBdr>
          <w:top w:val="nil"/>
          <w:left w:val="nil"/>
          <w:bottom w:val="nil"/>
          <w:right w:val="nil"/>
          <w:between w:val="nil"/>
        </w:pBdr>
        <w:spacing w:before="120" w:after="120" w:line="240" w:lineRule="auto"/>
        <w:ind w:left="1134"/>
        <w:jc w:val="both"/>
        <w:rPr>
          <w:rFonts w:ascii="Times New Roman" w:eastAsia="Times New Roman" w:hAnsi="Times New Roman" w:cs="Times New Roman"/>
          <w:color w:val="000000"/>
        </w:rPr>
      </w:pPr>
      <w:r w:rsidRPr="00EB4B95">
        <w:rPr>
          <w:rFonts w:ascii="Times New Roman" w:eastAsia="Times New Roman" w:hAnsi="Times New Roman" w:cs="Times New Roman"/>
          <w:color w:val="000000"/>
        </w:rPr>
        <w:t xml:space="preserve">1. The CPI against the MST represents a persecution of the popular struggle for </w:t>
      </w:r>
      <w:proofErr w:type="spellStart"/>
      <w:r w:rsidRPr="00EB4B95">
        <w:rPr>
          <w:rFonts w:ascii="Times New Roman" w:eastAsia="Times New Roman" w:hAnsi="Times New Roman" w:cs="Times New Roman"/>
          <w:color w:val="000000"/>
        </w:rPr>
        <w:t>Bolsonarism</w:t>
      </w:r>
      <w:proofErr w:type="spellEnd"/>
      <w:r w:rsidRPr="00EB4B95">
        <w:rPr>
          <w:rFonts w:ascii="Times New Roman" w:eastAsia="Times New Roman" w:hAnsi="Times New Roman" w:cs="Times New Roman"/>
          <w:color w:val="000000"/>
        </w:rPr>
        <w:t xml:space="preserve">. The CPI proposal is, in fact, an attempt to persecute and criminalize the popular struggle. The MST has been fighting for almost 40 years to ensure that the Federal Constitution is fulfilled and that the social function of the land (constitutional guarantee) is respected. Our historic struggle, denouncing the powerful landowners and building dignity for the Landless families, gave us the conditions to donate during the pandemic, one of the most difficult moments in the history of the country, 8,500 tons of healthy food for the neediest population. In addition, we distribute more than 2 million lunch boxes to homeless and hungry families. </w:t>
      </w:r>
    </w:p>
    <w:p w14:paraId="618D5FB8" w14:textId="77777777" w:rsidR="00EB4B95" w:rsidRPr="00EB4B95" w:rsidRDefault="00EB4B95" w:rsidP="00EB4B95">
      <w:pPr>
        <w:pBdr>
          <w:top w:val="nil"/>
          <w:left w:val="nil"/>
          <w:bottom w:val="nil"/>
          <w:right w:val="nil"/>
          <w:between w:val="nil"/>
        </w:pBdr>
        <w:spacing w:before="120" w:after="120" w:line="240" w:lineRule="auto"/>
        <w:ind w:left="1134"/>
        <w:jc w:val="both"/>
        <w:rPr>
          <w:rFonts w:ascii="Times New Roman" w:eastAsia="Times New Roman" w:hAnsi="Times New Roman" w:cs="Times New Roman"/>
          <w:color w:val="000000"/>
        </w:rPr>
      </w:pPr>
      <w:r w:rsidRPr="00EB4B95">
        <w:rPr>
          <w:rFonts w:ascii="Times New Roman" w:eastAsia="Times New Roman" w:hAnsi="Times New Roman" w:cs="Times New Roman"/>
          <w:color w:val="000000"/>
        </w:rPr>
        <w:t xml:space="preserve">[...] </w:t>
      </w:r>
    </w:p>
    <w:p w14:paraId="079E00EC" w14:textId="77777777" w:rsidR="00EB4B95" w:rsidRPr="00EB4B95" w:rsidRDefault="00EB4B95" w:rsidP="00EB4B95">
      <w:pPr>
        <w:pBdr>
          <w:top w:val="nil"/>
          <w:left w:val="nil"/>
          <w:bottom w:val="nil"/>
          <w:right w:val="nil"/>
          <w:between w:val="nil"/>
        </w:pBdr>
        <w:spacing w:before="120" w:after="120" w:line="240" w:lineRule="auto"/>
        <w:ind w:left="1134"/>
        <w:jc w:val="both"/>
        <w:rPr>
          <w:rFonts w:ascii="Times New Roman" w:eastAsia="Times New Roman" w:hAnsi="Times New Roman" w:cs="Times New Roman"/>
          <w:color w:val="000000"/>
        </w:rPr>
      </w:pPr>
      <w:r w:rsidRPr="00EB4B95">
        <w:rPr>
          <w:rFonts w:ascii="Times New Roman" w:eastAsia="Times New Roman" w:hAnsi="Times New Roman" w:cs="Times New Roman"/>
          <w:color w:val="000000"/>
        </w:rPr>
        <w:t xml:space="preserve">3. The CPI does not shed light on the main agrarian problems in the country. When seeking to investigate the occupations carried out by the MST throughout this year, the CPI omits the main real agrarian problems in Brazil. The growing deforestation, land grabbing, burning, violence in the countryside, the use of labor analogous to slavery, the destruction and contamination of natural assets </w:t>
      </w:r>
      <w:proofErr w:type="gramStart"/>
      <w:r w:rsidRPr="00EB4B95">
        <w:rPr>
          <w:rFonts w:ascii="Times New Roman" w:eastAsia="Times New Roman" w:hAnsi="Times New Roman" w:cs="Times New Roman"/>
          <w:color w:val="000000"/>
        </w:rPr>
        <w:t>by the use of</w:t>
      </w:r>
      <w:proofErr w:type="gramEnd"/>
      <w:r w:rsidRPr="00EB4B95">
        <w:rPr>
          <w:rFonts w:ascii="Times New Roman" w:eastAsia="Times New Roman" w:hAnsi="Times New Roman" w:cs="Times New Roman"/>
          <w:color w:val="000000"/>
        </w:rPr>
        <w:t xml:space="preserve"> pesticides, represent the real ills of the Brazilian countryside. In 2023, Brazil has already set a record for rescuing workers in a situation of work analogous to slavery. These facts should be the subject of investigation rather than the legitimate struggle of popular movements. In addition, the protagonists of these attacks do not have the slightest legitimacy to contest the struggle of the MST. Ricardo Salles, quoted to be the CPI's rapporteur, was Bolsonaro's Minister of the Environment, responsible for destroying the country's environmental policies. Lieutenant Colonel Zucco, who is scheduled to be president of the CPI, is investigated in the Supreme Court as one of those responsible for financing undemocratic acts by </w:t>
      </w:r>
      <w:proofErr w:type="spellStart"/>
      <w:r w:rsidRPr="00EB4B95">
        <w:rPr>
          <w:rFonts w:ascii="Times New Roman" w:eastAsia="Times New Roman" w:hAnsi="Times New Roman" w:cs="Times New Roman"/>
          <w:color w:val="000000"/>
        </w:rPr>
        <w:t>Bolsonaristas</w:t>
      </w:r>
      <w:proofErr w:type="spellEnd"/>
      <w:r w:rsidRPr="00EB4B95">
        <w:rPr>
          <w:rFonts w:ascii="Times New Roman" w:eastAsia="Times New Roman" w:hAnsi="Times New Roman" w:cs="Times New Roman"/>
          <w:color w:val="000000"/>
        </w:rPr>
        <w:t xml:space="preserve"> against the result of the 2022 elections. These are the ones who want to investigate the MST. It is evident that the real interest of the CPI is to obfuscate the crimes committed by agribusiness. </w:t>
      </w:r>
    </w:p>
    <w:p w14:paraId="53960080" w14:textId="77777777" w:rsidR="00EB4B95" w:rsidRPr="00EB4B95" w:rsidRDefault="00EB4B95" w:rsidP="00EB4B95">
      <w:pPr>
        <w:pBdr>
          <w:top w:val="nil"/>
          <w:left w:val="nil"/>
          <w:bottom w:val="nil"/>
          <w:right w:val="nil"/>
          <w:between w:val="nil"/>
        </w:pBdr>
        <w:spacing w:before="120" w:after="120" w:line="240" w:lineRule="auto"/>
        <w:ind w:left="1134"/>
        <w:jc w:val="both"/>
        <w:rPr>
          <w:rFonts w:ascii="Times New Roman" w:eastAsia="Times New Roman" w:hAnsi="Times New Roman" w:cs="Times New Roman"/>
          <w:color w:val="000000"/>
        </w:rPr>
      </w:pPr>
      <w:r w:rsidRPr="00EB4B95">
        <w:rPr>
          <w:rFonts w:ascii="Times New Roman" w:eastAsia="Times New Roman" w:hAnsi="Times New Roman" w:cs="Times New Roman"/>
          <w:color w:val="000000"/>
        </w:rPr>
        <w:t xml:space="preserve">4. The CPI's request is unsustainable and has no determined purpose. The requirement to install the CPI is totally unsustainable. Such a document is a pamphlet attacking not only the Movement, but the commitment of the National Congress to pay attention to the most urgent issues in the country. The CPI has no determined fact. They use vague terms and speak of “purpose of the MST”, “funders”, and do not specify and delimit its object of investigation. Without certain fact, there is no legal support for any parliamentary investigation, which costs time and public money to function. The social function of property is constitutionally guaranteed and meets productive, environmental and labor criteria. These are items that must be combined. Therefore, legal certainty is achieved by complying with the Constitution, requiring the fulfillment of the social function of property. The fight of the MST is, precisely, for the Federal Constitution to be fulfilled. The struggle through occupations is legitimate, as it seeks to draw attention and demand compliance with the FC from the competent authorities. The final report presented in function of the CPMI of the Land (2010) states that: “Housed in the Brazilian Constitution itself is the matrix, the source of legitimacy and legality of agrarian social movements, because founded on the right of free association and organization that characterizes any democratic </w:t>
      </w:r>
      <w:r w:rsidRPr="00EB4B95">
        <w:rPr>
          <w:rFonts w:ascii="Times New Roman" w:eastAsia="Times New Roman" w:hAnsi="Times New Roman" w:cs="Times New Roman"/>
          <w:color w:val="000000"/>
        </w:rPr>
        <w:lastRenderedPageBreak/>
        <w:t xml:space="preserve">state of law.” That is, other investigations, carried out by the same Parliament, have already attested to the legitimacy of the struggle organized by the MST. </w:t>
      </w:r>
    </w:p>
    <w:p w14:paraId="3C9E1321" w14:textId="77777777" w:rsidR="00EB4B95" w:rsidRPr="00EB4B95" w:rsidRDefault="00EB4B95" w:rsidP="00EB4B95">
      <w:pPr>
        <w:pBdr>
          <w:top w:val="nil"/>
          <w:left w:val="nil"/>
          <w:bottom w:val="nil"/>
          <w:right w:val="nil"/>
          <w:between w:val="nil"/>
        </w:pBdr>
        <w:spacing w:before="120" w:after="120" w:line="240" w:lineRule="auto"/>
        <w:ind w:left="1134"/>
        <w:jc w:val="both"/>
        <w:rPr>
          <w:rFonts w:ascii="Times New Roman" w:eastAsia="Times New Roman" w:hAnsi="Times New Roman" w:cs="Times New Roman"/>
          <w:color w:val="000000"/>
        </w:rPr>
      </w:pPr>
      <w:r w:rsidRPr="00EB4B95">
        <w:rPr>
          <w:rFonts w:ascii="Times New Roman" w:eastAsia="Times New Roman" w:hAnsi="Times New Roman" w:cs="Times New Roman"/>
          <w:color w:val="000000"/>
        </w:rPr>
        <w:t xml:space="preserve">[...] </w:t>
      </w:r>
    </w:p>
    <w:p w14:paraId="1750B0A8" w14:textId="77777777" w:rsidR="00EB4B95" w:rsidRPr="00EB4B95" w:rsidRDefault="00EB4B95" w:rsidP="00EB4B95">
      <w:pPr>
        <w:pBdr>
          <w:top w:val="nil"/>
          <w:left w:val="nil"/>
          <w:bottom w:val="nil"/>
          <w:right w:val="nil"/>
          <w:between w:val="nil"/>
        </w:pBdr>
        <w:spacing w:before="120" w:after="120" w:line="240" w:lineRule="auto"/>
        <w:ind w:left="1134"/>
        <w:jc w:val="both"/>
        <w:rPr>
          <w:rFonts w:ascii="Times New Roman" w:eastAsia="Times New Roman" w:hAnsi="Times New Roman" w:cs="Times New Roman"/>
          <w:b/>
          <w:color w:val="000000"/>
        </w:rPr>
      </w:pPr>
      <w:r w:rsidRPr="00EB4B95">
        <w:rPr>
          <w:rFonts w:ascii="Times New Roman" w:eastAsia="Times New Roman" w:hAnsi="Times New Roman" w:cs="Times New Roman"/>
          <w:color w:val="000000"/>
        </w:rPr>
        <w:t xml:space="preserve">7. The MST has already been the target of attempted criminalization through CPIs. In all, four CPIs have already been carried out involving the MST: CPI da Terra in 2005, CPI of NGOs in 2008, CPI of the MST in 2010 and CPI of INCRA/FUNAI in 2017. All these were political instruments at the service of only one segment of society, in this case, the </w:t>
      </w:r>
      <w:proofErr w:type="spellStart"/>
      <w:r w:rsidRPr="00EB4B95">
        <w:rPr>
          <w:rFonts w:ascii="Times New Roman" w:eastAsia="Times New Roman" w:hAnsi="Times New Roman" w:cs="Times New Roman"/>
          <w:color w:val="000000"/>
        </w:rPr>
        <w:t>ruralists</w:t>
      </w:r>
      <w:proofErr w:type="spellEnd"/>
      <w:r w:rsidRPr="00EB4B95">
        <w:rPr>
          <w:rFonts w:ascii="Times New Roman" w:eastAsia="Times New Roman" w:hAnsi="Times New Roman" w:cs="Times New Roman"/>
          <w:color w:val="000000"/>
        </w:rPr>
        <w:t xml:space="preserve">, unbalancing an equitable performance of the State. In common, </w:t>
      </w:r>
      <w:r w:rsidRPr="00EB4B95">
        <w:rPr>
          <w:rFonts w:ascii="Times New Roman" w:eastAsia="Times New Roman" w:hAnsi="Times New Roman" w:cs="Times New Roman"/>
          <w:b/>
          <w:color w:val="000000"/>
        </w:rPr>
        <w:t xml:space="preserve">they all sought to persecute and criminalize our militancy and flags, without, however, succeeding in their main objective: to end the Movement. Its real focus is to reduce the democratic participation of the population, a central agenda of </w:t>
      </w:r>
      <w:proofErr w:type="spellStart"/>
      <w:r w:rsidRPr="00EB4B95">
        <w:rPr>
          <w:rFonts w:ascii="Times New Roman" w:eastAsia="Times New Roman" w:hAnsi="Times New Roman" w:cs="Times New Roman"/>
          <w:b/>
          <w:color w:val="000000"/>
        </w:rPr>
        <w:t>Bolsonarism</w:t>
      </w:r>
      <w:proofErr w:type="spellEnd"/>
      <w:r w:rsidRPr="00EB4B95">
        <w:rPr>
          <w:rFonts w:ascii="Times New Roman" w:eastAsia="Times New Roman" w:hAnsi="Times New Roman" w:cs="Times New Roman"/>
          <w:b/>
          <w:color w:val="000000"/>
        </w:rPr>
        <w:t xml:space="preserve">, and block the political debate on the country's great themes. </w:t>
      </w:r>
    </w:p>
    <w:p w14:paraId="4A697A7F" w14:textId="77777777" w:rsidR="00EB4B95" w:rsidRDefault="00EB4B95" w:rsidP="00EB4B9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000000"/>
          <w:sz w:val="24"/>
          <w:szCs w:val="24"/>
        </w:rPr>
        <w:t xml:space="preserve">In this sense, when analyzing the composition of the CPIMST, it is noted that of the 54 member parliamentarians, among holders and alternates, about 40 are appointed by parliamentary fronts of agriculture and arms/military. The sessions show the truculent characteristic of the majority bloc, using insults, name-calling, false accusations, conclusions and aggressive stance when referring to the MST. In this step, the legal advice that accompanies the work of the commission translates the feeling of “an </w:t>
      </w:r>
      <w:proofErr w:type="spellStart"/>
      <w:r>
        <w:rPr>
          <w:rFonts w:ascii="Times New Roman" w:eastAsia="Times New Roman" w:hAnsi="Times New Roman" w:cs="Times New Roman"/>
          <w:color w:val="000000"/>
          <w:sz w:val="24"/>
          <w:szCs w:val="24"/>
        </w:rPr>
        <w:t>agromilitary</w:t>
      </w:r>
      <w:proofErr w:type="spellEnd"/>
      <w:r>
        <w:rPr>
          <w:rFonts w:ascii="Times New Roman" w:eastAsia="Times New Roman" w:hAnsi="Times New Roman" w:cs="Times New Roman"/>
          <w:color w:val="000000"/>
          <w:sz w:val="24"/>
          <w:szCs w:val="24"/>
        </w:rPr>
        <w:t xml:space="preserve"> CPI”, with more parliamentarians linked to the military context than properly to big agribusiness. </w:t>
      </w:r>
    </w:p>
    <w:p w14:paraId="4B8D43DC" w14:textId="77777777" w:rsidR="00EB4B95" w:rsidRDefault="00EB4B95" w:rsidP="00EB4B9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Another element that causes concern is the lack of fact determined to be investigated by the CPI, that is, it is proposed to investigate all the performance of the movement and its struggle. In addition, it confuses the work of the MST with the work of other social movements, such as the National Front of Struggles. </w:t>
      </w:r>
    </w:p>
    <w:p w14:paraId="05713414" w14:textId="77777777" w:rsidR="00EB4B95" w:rsidRDefault="00EB4B95" w:rsidP="00EB4B9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addition, actions of other social movements have been linked to the MST, in order to obtain an accumulation of investigators who fight for access and democratization of lands in the country. </w:t>
      </w:r>
    </w:p>
    <w:p w14:paraId="62E79EFB" w14:textId="77777777" w:rsidR="00EB4B95" w:rsidRDefault="00EB4B95" w:rsidP="00EB4B9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view of the above, it is understood that the CPIMST must be subject to observation by this Committee, since it does not have a specific object and proves to be an instrument of political persecution of the MST, its militants and people fighting for agrarian reform in Brazil. </w:t>
      </w:r>
    </w:p>
    <w:p w14:paraId="6ACAFA78" w14:textId="77777777" w:rsidR="00EB4B95" w:rsidRDefault="00EB4B95" w:rsidP="00EB4B95">
      <w:pPr>
        <w:pBdr>
          <w:top w:val="nil"/>
          <w:left w:val="nil"/>
          <w:bottom w:val="nil"/>
          <w:right w:val="nil"/>
          <w:between w:val="nil"/>
        </w:pBdr>
        <w:shd w:val="clear" w:color="auto" w:fill="FFFFFF"/>
        <w:spacing w:after="27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Example of previous CNDH manifestation on the subject:</w:t>
      </w:r>
    </w:p>
    <w:p w14:paraId="07F7AE08" w14:textId="77777777" w:rsidR="00EB4B95" w:rsidRDefault="00842677" w:rsidP="00EB4B95">
      <w:pPr>
        <w:pBdr>
          <w:top w:val="nil"/>
          <w:left w:val="nil"/>
          <w:bottom w:val="nil"/>
          <w:right w:val="nil"/>
          <w:between w:val="nil"/>
        </w:pBdr>
        <w:shd w:val="clear" w:color="auto" w:fill="FFFFFF"/>
        <w:spacing w:after="270" w:line="240" w:lineRule="auto"/>
        <w:ind w:left="1133"/>
        <w:jc w:val="both"/>
        <w:rPr>
          <w:rFonts w:ascii="Times New Roman" w:eastAsia="Times New Roman" w:hAnsi="Times New Roman" w:cs="Times New Roman"/>
          <w:color w:val="000000"/>
          <w:sz w:val="24"/>
          <w:szCs w:val="24"/>
        </w:rPr>
      </w:pPr>
      <w:hyperlink r:id="rId7">
        <w:r w:rsidR="00EB4B95">
          <w:rPr>
            <w:rFonts w:ascii="Times New Roman" w:eastAsia="Times New Roman" w:hAnsi="Times New Roman" w:cs="Times New Roman"/>
            <w:b/>
            <w:color w:val="000000"/>
            <w:sz w:val="24"/>
            <w:szCs w:val="24"/>
          </w:rPr>
          <w:t xml:space="preserve">CNDH Public Note of March 10, 2017 - </w:t>
        </w:r>
      </w:hyperlink>
      <w:r w:rsidR="00EB4B95">
        <w:rPr>
          <w:rFonts w:ascii="Times New Roman" w:eastAsia="Times New Roman" w:hAnsi="Times New Roman" w:cs="Times New Roman"/>
          <w:color w:val="000000"/>
          <w:sz w:val="24"/>
          <w:szCs w:val="24"/>
        </w:rPr>
        <w:t xml:space="preserve">CNDH expresses repudiation regarding the criminalization of social movements and human rights activists in Brazil. </w:t>
      </w:r>
    </w:p>
    <w:p w14:paraId="449930EC" w14:textId="77777777" w:rsidR="00EB1BF5" w:rsidRDefault="00EB1BF5" w:rsidP="00EB1BF5">
      <w:pPr>
        <w:rPr>
          <w:rFonts w:ascii="Times New Roman" w:eastAsia="Times New Roman" w:hAnsi="Times New Roman" w:cs="Times New Roman"/>
          <w:b/>
          <w:color w:val="000000"/>
          <w:sz w:val="24"/>
          <w:szCs w:val="24"/>
        </w:rPr>
      </w:pPr>
    </w:p>
    <w:p w14:paraId="00000043" w14:textId="64C0696C" w:rsidR="00692458" w:rsidRDefault="00EB1BF5" w:rsidP="00EB1BF5">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Clause </w:t>
      </w:r>
      <w:r w:rsidR="00BB5A13">
        <w:rPr>
          <w:rFonts w:ascii="Times New Roman" w:eastAsia="Times New Roman" w:hAnsi="Times New Roman" w:cs="Times New Roman"/>
          <w:b/>
          <w:color w:val="000000"/>
          <w:sz w:val="24"/>
          <w:szCs w:val="24"/>
        </w:rPr>
        <w:t>12</w:t>
      </w:r>
      <w:r>
        <w:rPr>
          <w:rFonts w:ascii="Times New Roman" w:eastAsia="Times New Roman" w:hAnsi="Times New Roman" w:cs="Times New Roman"/>
          <w:b/>
          <w:color w:val="000000"/>
          <w:sz w:val="24"/>
          <w:szCs w:val="24"/>
        </w:rPr>
        <w:t xml:space="preserve">.  Right to </w:t>
      </w:r>
      <w:r w:rsidR="00BB5A13">
        <w:rPr>
          <w:rFonts w:ascii="Times New Roman" w:eastAsia="Times New Roman" w:hAnsi="Times New Roman" w:cs="Times New Roman"/>
          <w:b/>
          <w:color w:val="000000"/>
          <w:sz w:val="24"/>
          <w:szCs w:val="24"/>
        </w:rPr>
        <w:t xml:space="preserve">health </w:t>
      </w:r>
    </w:p>
    <w:p w14:paraId="00000044" w14:textId="77777777" w:rsidR="00692458" w:rsidRPr="00EB1BF5"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b/>
          <w:color w:val="000000"/>
          <w:sz w:val="24"/>
          <w:szCs w:val="24"/>
          <w:u w:val="single"/>
        </w:rPr>
      </w:pPr>
      <w:r w:rsidRPr="00EB1BF5">
        <w:rPr>
          <w:rFonts w:ascii="Times New Roman" w:eastAsia="Times New Roman" w:hAnsi="Times New Roman" w:cs="Times New Roman"/>
          <w:b/>
          <w:color w:val="000000"/>
          <w:sz w:val="24"/>
          <w:szCs w:val="24"/>
          <w:u w:val="single"/>
        </w:rPr>
        <w:t>Violation of the right to life: insufficient information regarding COVID-19</w:t>
      </w:r>
    </w:p>
    <w:p w14:paraId="00000045" w14:textId="77777777" w:rsidR="00692458"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information provided by Brazil in the response dated December 28, </w:t>
      </w:r>
      <w:proofErr w:type="gramStart"/>
      <w:r>
        <w:rPr>
          <w:rFonts w:ascii="Times New Roman" w:eastAsia="Times New Roman" w:hAnsi="Times New Roman" w:cs="Times New Roman"/>
          <w:color w:val="000000"/>
          <w:sz w:val="24"/>
          <w:szCs w:val="24"/>
        </w:rPr>
        <w:t>2022</w:t>
      </w:r>
      <w:proofErr w:type="gramEnd"/>
      <w:r>
        <w:rPr>
          <w:rFonts w:ascii="Times New Roman" w:eastAsia="Times New Roman" w:hAnsi="Times New Roman" w:cs="Times New Roman"/>
          <w:color w:val="000000"/>
          <w:sz w:val="24"/>
          <w:szCs w:val="24"/>
        </w:rPr>
        <w:t xml:space="preserve"> is incomplete and does not portray the truth of the facts embodied in the tragedy of more than 700,000 COVID-19 deaths. The criminal administration of the pandemic operated under the presidency of Jair Bolsonaro was taken to international instances and, internally, contrary to what was informed, the successive and repeated determinations of the STF under ADPF</w:t>
      </w:r>
      <w:r>
        <w:rPr>
          <w:rFonts w:ascii="Times New Roman" w:eastAsia="Times New Roman" w:hAnsi="Times New Roman" w:cs="Times New Roman"/>
          <w:color w:val="000000"/>
          <w:sz w:val="24"/>
          <w:szCs w:val="24"/>
          <w:vertAlign w:val="superscript"/>
        </w:rPr>
        <w:t xml:space="preserve"> </w:t>
      </w:r>
      <w:r>
        <w:rPr>
          <w:rFonts w:ascii="Times New Roman" w:eastAsia="Times New Roman" w:hAnsi="Times New Roman" w:cs="Times New Roman"/>
          <w:color w:val="000000"/>
          <w:sz w:val="24"/>
          <w:szCs w:val="24"/>
        </w:rPr>
        <w:t>709</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xml:space="preserve"> were not satisfactorily met by the Brazilian government. In addition, the report of the “CPI of the Pandemic” indicates the set of actions taken by the then government to deny the seriousness of the health crisis and, with it, stimulate the production of mass deaths and sequelae. </w:t>
      </w:r>
    </w:p>
    <w:p w14:paraId="00000046" w14:textId="77777777" w:rsidR="00692458"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relation to the Inter-American Human Rights System, it is possible to map successive manifestations in relation to the State of Brazil indicating a repeated omission regarding compliance with the international parameters related to the matter, such as: (</w:t>
      </w:r>
      <w:proofErr w:type="spellStart"/>
      <w:r>
        <w:rPr>
          <w:rFonts w:ascii="Times New Roman" w:eastAsia="Times New Roman" w:hAnsi="Times New Roman" w:cs="Times New Roman"/>
          <w:color w:val="000000"/>
          <w:sz w:val="24"/>
          <w:szCs w:val="24"/>
        </w:rPr>
        <w:t>i</w:t>
      </w:r>
      <w:proofErr w:type="spellEnd"/>
      <w:r>
        <w:rPr>
          <w:rFonts w:ascii="Times New Roman" w:eastAsia="Times New Roman" w:hAnsi="Times New Roman" w:cs="Times New Roman"/>
          <w:color w:val="000000"/>
          <w:sz w:val="24"/>
          <w:szCs w:val="24"/>
        </w:rPr>
        <w:t>) precautionary measure No. 563-20 (Resolution 35/2020)</w:t>
      </w:r>
      <w:r>
        <w:rPr>
          <w:rFonts w:ascii="Times New Roman" w:eastAsia="Times New Roman" w:hAnsi="Times New Roman" w:cs="Times New Roman"/>
          <w:color w:val="000000"/>
          <w:sz w:val="24"/>
          <w:szCs w:val="24"/>
          <w:vertAlign w:val="superscript"/>
        </w:rPr>
        <w:footnoteReference w:id="2"/>
      </w:r>
      <w:r>
        <w:rPr>
          <w:rFonts w:ascii="Times New Roman" w:eastAsia="Times New Roman" w:hAnsi="Times New Roman" w:cs="Times New Roman"/>
          <w:color w:val="000000"/>
          <w:sz w:val="24"/>
          <w:szCs w:val="24"/>
        </w:rPr>
        <w:t xml:space="preserve">, of July 17, 2020, which records the omission of the Brazilian State to promote access to health for the almost 26,000 members of the Yanomami and </w:t>
      </w:r>
      <w:proofErr w:type="spellStart"/>
      <w:r>
        <w:rPr>
          <w:rFonts w:ascii="Times New Roman" w:eastAsia="Times New Roman" w:hAnsi="Times New Roman" w:cs="Times New Roman"/>
          <w:color w:val="000000"/>
          <w:sz w:val="24"/>
          <w:szCs w:val="24"/>
        </w:rPr>
        <w:t>Ye'kwana</w:t>
      </w:r>
      <w:proofErr w:type="spellEnd"/>
      <w:r>
        <w:rPr>
          <w:rFonts w:ascii="Times New Roman" w:eastAsia="Times New Roman" w:hAnsi="Times New Roman" w:cs="Times New Roman"/>
          <w:color w:val="000000"/>
          <w:sz w:val="24"/>
          <w:szCs w:val="24"/>
        </w:rPr>
        <w:t xml:space="preserve"> communities in the face of the specific risk related to the COVID-19 health crisis; (ii) precautionary measure No. 1211-20 (Resolution 44/2020)</w:t>
      </w:r>
      <w:r>
        <w:rPr>
          <w:rFonts w:ascii="Times New Roman" w:eastAsia="Times New Roman" w:hAnsi="Times New Roman" w:cs="Times New Roman"/>
          <w:color w:val="000000"/>
          <w:sz w:val="24"/>
          <w:szCs w:val="24"/>
          <w:vertAlign w:val="superscript"/>
        </w:rPr>
        <w:footnoteReference w:id="3"/>
      </w:r>
      <w:r>
        <w:rPr>
          <w:rFonts w:ascii="Times New Roman" w:eastAsia="Times New Roman" w:hAnsi="Times New Roman" w:cs="Times New Roman"/>
          <w:color w:val="000000"/>
          <w:sz w:val="24"/>
          <w:szCs w:val="24"/>
        </w:rPr>
        <w:t>, analyzed on August 6, 2020, is also related to the violation of the rights of the original peoples; (iii) precautionary measure No. 679-20 (Resolution 94/2020)</w:t>
      </w:r>
      <w:r>
        <w:rPr>
          <w:rFonts w:ascii="Times New Roman" w:eastAsia="Times New Roman" w:hAnsi="Times New Roman" w:cs="Times New Roman"/>
          <w:color w:val="000000"/>
          <w:sz w:val="24"/>
          <w:szCs w:val="24"/>
          <w:vertAlign w:val="superscript"/>
        </w:rPr>
        <w:footnoteReference w:id="4"/>
      </w:r>
      <w:r>
        <w:rPr>
          <w:rFonts w:ascii="Times New Roman" w:eastAsia="Times New Roman" w:hAnsi="Times New Roman" w:cs="Times New Roman"/>
          <w:color w:val="000000"/>
          <w:sz w:val="24"/>
          <w:szCs w:val="24"/>
        </w:rPr>
        <w:t xml:space="preserve">, dated December 11, 2020, deals with the protection of the </w:t>
      </w:r>
      <w:proofErr w:type="spellStart"/>
      <w:r>
        <w:rPr>
          <w:rFonts w:ascii="Times New Roman" w:eastAsia="Times New Roman" w:hAnsi="Times New Roman" w:cs="Times New Roman"/>
          <w:color w:val="000000"/>
          <w:sz w:val="24"/>
          <w:szCs w:val="24"/>
        </w:rPr>
        <w:t>Munduruku</w:t>
      </w:r>
      <w:proofErr w:type="spellEnd"/>
      <w:r>
        <w:rPr>
          <w:rFonts w:ascii="Times New Roman" w:eastAsia="Times New Roman" w:hAnsi="Times New Roman" w:cs="Times New Roman"/>
          <w:color w:val="000000"/>
          <w:sz w:val="24"/>
          <w:szCs w:val="24"/>
        </w:rPr>
        <w:t xml:space="preserve"> Indigenous People; (iv) precautionary measure No. 754-20 (Resolution 1/2021)</w:t>
      </w:r>
      <w:r>
        <w:rPr>
          <w:rFonts w:ascii="Times New Roman" w:eastAsia="Times New Roman" w:hAnsi="Times New Roman" w:cs="Times New Roman"/>
          <w:color w:val="000000"/>
          <w:sz w:val="24"/>
          <w:szCs w:val="24"/>
          <w:vertAlign w:val="superscript"/>
        </w:rPr>
        <w:footnoteReference w:id="5"/>
      </w:r>
      <w:r>
        <w:rPr>
          <w:rFonts w:ascii="Times New Roman" w:eastAsia="Times New Roman" w:hAnsi="Times New Roman" w:cs="Times New Roman"/>
          <w:color w:val="000000"/>
          <w:sz w:val="24"/>
          <w:szCs w:val="24"/>
        </w:rPr>
        <w:t xml:space="preserve">, of January 4, 2021, 2021, pertinent to about 16 thousand Indigenous People belonging to the Indigenous Peoples of </w:t>
      </w:r>
      <w:proofErr w:type="spellStart"/>
      <w:r>
        <w:rPr>
          <w:rFonts w:ascii="Times New Roman" w:eastAsia="Times New Roman" w:hAnsi="Times New Roman" w:cs="Times New Roman"/>
          <w:color w:val="000000"/>
          <w:sz w:val="24"/>
          <w:szCs w:val="24"/>
        </w:rPr>
        <w:t>Arja</w:t>
      </w:r>
      <w:proofErr w:type="spellEnd"/>
      <w:r>
        <w:rPr>
          <w:rFonts w:ascii="Times New Roman" w:eastAsia="Times New Roman" w:hAnsi="Times New Roman" w:cs="Times New Roman"/>
          <w:color w:val="000000"/>
          <w:sz w:val="24"/>
          <w:szCs w:val="24"/>
        </w:rPr>
        <w:t xml:space="preserve"> and </w:t>
      </w:r>
      <w:proofErr w:type="spellStart"/>
      <w:r>
        <w:rPr>
          <w:rFonts w:ascii="Times New Roman" w:eastAsia="Times New Roman" w:hAnsi="Times New Roman" w:cs="Times New Roman"/>
          <w:color w:val="000000"/>
          <w:sz w:val="24"/>
          <w:szCs w:val="24"/>
        </w:rPr>
        <w:t>Awjara</w:t>
      </w:r>
      <w:proofErr w:type="spellEnd"/>
      <w:r>
        <w:rPr>
          <w:rFonts w:ascii="Times New Roman" w:eastAsia="Times New Roman" w:hAnsi="Times New Roman" w:cs="Times New Roman"/>
          <w:color w:val="000000"/>
          <w:sz w:val="24"/>
          <w:szCs w:val="24"/>
        </w:rPr>
        <w:t xml:space="preserve"> Terra.</w:t>
      </w:r>
    </w:p>
    <w:p w14:paraId="00000047" w14:textId="77777777" w:rsidR="00692458"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Despite the efforts of subnational entities </w:t>
      </w:r>
      <w:proofErr w:type="gramStart"/>
      <w:r>
        <w:rPr>
          <w:rFonts w:ascii="Times New Roman" w:eastAsia="Times New Roman" w:hAnsi="Times New Roman" w:cs="Times New Roman"/>
          <w:color w:val="000000"/>
          <w:sz w:val="24"/>
          <w:szCs w:val="24"/>
        </w:rPr>
        <w:t>and also</w:t>
      </w:r>
      <w:proofErr w:type="gramEnd"/>
      <w:r>
        <w:rPr>
          <w:rFonts w:ascii="Times New Roman" w:eastAsia="Times New Roman" w:hAnsi="Times New Roman" w:cs="Times New Roman"/>
          <w:color w:val="000000"/>
          <w:sz w:val="24"/>
          <w:szCs w:val="24"/>
        </w:rPr>
        <w:t xml:space="preserve"> the Legislative Branch and the Judiciary, the decision-making criteria for the conduct of public policies in the context of a pandemic went beyond the International Criminal Court (ICC)</w:t>
      </w:r>
      <w:r>
        <w:rPr>
          <w:rFonts w:ascii="Times New Roman" w:eastAsia="Times New Roman" w:hAnsi="Times New Roman" w:cs="Times New Roman"/>
          <w:color w:val="000000"/>
          <w:sz w:val="24"/>
          <w:szCs w:val="24"/>
          <w:vertAlign w:val="superscript"/>
        </w:rPr>
        <w:footnoteReference w:id="6"/>
      </w:r>
      <w:r>
        <w:rPr>
          <w:rFonts w:ascii="Times New Roman" w:eastAsia="Times New Roman" w:hAnsi="Times New Roman" w:cs="Times New Roman"/>
          <w:color w:val="000000"/>
          <w:sz w:val="24"/>
          <w:szCs w:val="24"/>
        </w:rPr>
        <w:t xml:space="preserve">. Although none of the representations have reached institutionally relevant stages in the ICC, it is important to note that there is a constant variable in the different approaches to the problem: the absence of criteria based on the parameters of International Human Rights Law for the protection of life and health. </w:t>
      </w:r>
    </w:p>
    <w:p w14:paraId="00000048" w14:textId="78EA246A" w:rsidR="00692458"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These elements related to international jurisdictional bodies are only indicative of the serious actions and omissions that integrated the public policies adopted by the Brazilian State during the context of the health crisis. This is because the elements gathered from national institutions allow us to see that the consequences of conducting measures to confront the pandemic represent an even greater affront to the protection of life</w:t>
      </w:r>
      <w:r w:rsidR="00F61A5B">
        <w:rPr>
          <w:rFonts w:ascii="Times New Roman" w:eastAsia="Times New Roman" w:hAnsi="Times New Roman" w:cs="Times New Roman"/>
          <w:color w:val="000000"/>
          <w:sz w:val="24"/>
          <w:szCs w:val="24"/>
        </w:rPr>
        <w:t xml:space="preserve"> and health</w:t>
      </w:r>
      <w:r>
        <w:rPr>
          <w:rFonts w:ascii="Times New Roman" w:eastAsia="Times New Roman" w:hAnsi="Times New Roman" w:cs="Times New Roman"/>
          <w:color w:val="000000"/>
          <w:sz w:val="24"/>
          <w:szCs w:val="24"/>
        </w:rPr>
        <w:t>.</w:t>
      </w:r>
    </w:p>
    <w:p w14:paraId="00000049" w14:textId="77777777" w:rsidR="00692458"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sz w:val="24"/>
          <w:szCs w:val="24"/>
        </w:rPr>
      </w:pPr>
      <w:bookmarkStart w:id="0" w:name="_gjdgxs" w:colFirst="0" w:colLast="0"/>
      <w:bookmarkEnd w:id="0"/>
      <w:r>
        <w:rPr>
          <w:rFonts w:ascii="Times New Roman" w:eastAsia="Times New Roman" w:hAnsi="Times New Roman" w:cs="Times New Roman"/>
          <w:color w:val="000000"/>
          <w:sz w:val="24"/>
          <w:szCs w:val="24"/>
        </w:rPr>
        <w:t>From the establishment of the Parliamentary Commission of Inquiry, which was instituted by the Requirements No. 1,371 and 1,372, of 2021, it is possible to indicate at least six approaches that show the perversion of the structure of the Brazilian State. At first, the final report reinforces the description that the Brazilian Government at the time chose to encourage collective contamination by COVID-19, even without any support for scientific evidence</w:t>
      </w:r>
      <w:r>
        <w:rPr>
          <w:rFonts w:ascii="Times New Roman" w:eastAsia="Times New Roman" w:hAnsi="Times New Roman" w:cs="Times New Roman"/>
          <w:color w:val="000000"/>
          <w:sz w:val="24"/>
          <w:szCs w:val="24"/>
          <w:vertAlign w:val="superscript"/>
        </w:rPr>
        <w:footnoteReference w:id="7"/>
      </w:r>
      <w:r>
        <w:rPr>
          <w:rFonts w:ascii="Times New Roman" w:eastAsia="Times New Roman" w:hAnsi="Times New Roman" w:cs="Times New Roman"/>
          <w:color w:val="000000"/>
          <w:sz w:val="24"/>
          <w:szCs w:val="24"/>
        </w:rPr>
        <w:t xml:space="preserve">, so that the population would acquire antibodies naturally as soon as possible and, thus, it was possible to lift </w:t>
      </w:r>
      <w:proofErr w:type="gramStart"/>
      <w:r>
        <w:rPr>
          <w:rFonts w:ascii="Times New Roman" w:eastAsia="Times New Roman" w:hAnsi="Times New Roman" w:cs="Times New Roman"/>
          <w:color w:val="000000"/>
          <w:sz w:val="24"/>
          <w:szCs w:val="24"/>
        </w:rPr>
        <w:t>any and all</w:t>
      </w:r>
      <w:proofErr w:type="gramEnd"/>
      <w:r>
        <w:rPr>
          <w:rFonts w:ascii="Times New Roman" w:eastAsia="Times New Roman" w:hAnsi="Times New Roman" w:cs="Times New Roman"/>
          <w:color w:val="000000"/>
          <w:sz w:val="24"/>
          <w:szCs w:val="24"/>
        </w:rPr>
        <w:t xml:space="preserve"> measures of restriction, at least for the population of working economic age. It even invested in an advertising campaign whose </w:t>
      </w:r>
      <w:proofErr w:type="gramStart"/>
      <w:r>
        <w:rPr>
          <w:rFonts w:ascii="Times New Roman" w:eastAsia="Times New Roman" w:hAnsi="Times New Roman" w:cs="Times New Roman"/>
          <w:i/>
          <w:color w:val="000000"/>
          <w:sz w:val="24"/>
          <w:szCs w:val="24"/>
        </w:rPr>
        <w:t xml:space="preserve">slogan </w:t>
      </w:r>
      <w:r>
        <w:rPr>
          <w:rFonts w:ascii="Times New Roman" w:eastAsia="Times New Roman" w:hAnsi="Times New Roman" w:cs="Times New Roman"/>
          <w:color w:val="000000"/>
          <w:sz w:val="24"/>
          <w:szCs w:val="24"/>
        </w:rPr>
        <w:t xml:space="preserve"> was</w:t>
      </w:r>
      <w:proofErr w:type="gramEnd"/>
      <w:r>
        <w:rPr>
          <w:rFonts w:ascii="Times New Roman" w:eastAsia="Times New Roman" w:hAnsi="Times New Roman" w:cs="Times New Roman"/>
          <w:color w:val="000000"/>
          <w:sz w:val="24"/>
          <w:szCs w:val="24"/>
        </w:rPr>
        <w:t xml:space="preserve"> “Brazil cannot stop”, to polarize the clash between compliance with the restriction measures, necessary to face the health crisis, and the intention of the Federal Government, which was the resumption of economic activities without any affectation</w:t>
      </w:r>
      <w:r>
        <w:rPr>
          <w:rFonts w:ascii="Times New Roman" w:eastAsia="Times New Roman" w:hAnsi="Times New Roman" w:cs="Times New Roman"/>
          <w:color w:val="000000"/>
          <w:sz w:val="24"/>
          <w:szCs w:val="24"/>
          <w:vertAlign w:val="superscript"/>
        </w:rPr>
        <w:footnoteReference w:id="8"/>
      </w:r>
      <w:r>
        <w:rPr>
          <w:rFonts w:ascii="Times New Roman" w:eastAsia="Times New Roman" w:hAnsi="Times New Roman" w:cs="Times New Roman"/>
          <w:color w:val="000000"/>
          <w:sz w:val="24"/>
          <w:szCs w:val="24"/>
        </w:rPr>
        <w:t>.</w:t>
      </w:r>
    </w:p>
    <w:p w14:paraId="0000004A" w14:textId="77777777" w:rsidR="00692458"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finding present in the Final Report approved within the scope of the </w:t>
      </w:r>
      <w:proofErr w:type="gramStart"/>
      <w:r>
        <w:rPr>
          <w:rFonts w:ascii="Times New Roman" w:eastAsia="Times New Roman" w:hAnsi="Times New Roman" w:cs="Times New Roman"/>
          <w:color w:val="000000"/>
          <w:sz w:val="24"/>
          <w:szCs w:val="24"/>
        </w:rPr>
        <w:t>aforementioned Parliamentary</w:t>
      </w:r>
      <w:proofErr w:type="gramEnd"/>
      <w:r>
        <w:rPr>
          <w:rFonts w:ascii="Times New Roman" w:eastAsia="Times New Roman" w:hAnsi="Times New Roman" w:cs="Times New Roman"/>
          <w:color w:val="000000"/>
          <w:sz w:val="24"/>
          <w:szCs w:val="24"/>
        </w:rPr>
        <w:t xml:space="preserve"> Committee of Inquiry originates from a study by the Center for Studies and Research on Health Law of the University of São Paulo</w:t>
      </w:r>
      <w:r>
        <w:rPr>
          <w:rFonts w:ascii="Times New Roman" w:eastAsia="Times New Roman" w:hAnsi="Times New Roman" w:cs="Times New Roman"/>
          <w:color w:val="000000"/>
          <w:sz w:val="24"/>
          <w:szCs w:val="24"/>
          <w:vertAlign w:val="superscript"/>
        </w:rPr>
        <w:footnoteReference w:id="9"/>
      </w:r>
      <w:r>
        <w:rPr>
          <w:rFonts w:ascii="Times New Roman" w:eastAsia="Times New Roman" w:hAnsi="Times New Roman" w:cs="Times New Roman"/>
          <w:color w:val="000000"/>
          <w:sz w:val="24"/>
          <w:szCs w:val="24"/>
        </w:rPr>
        <w:t xml:space="preserve"> . As a result of the research developed by CEPEDISA, it is possible to point out the existence of three axes that supported the collective contagion strategy adopted by the Federal Government. The first are acts of government that implied acts of sabotage against measures adopted by state, municipal and district governments that were contrary to the government's intention to relax restrictions, especially those that had a negative impact on economic activities. The second axis presents a set of normative acts, especially regarding the legislation that defines the essential activities, which could continue to be developed in the context of restrictions. Finally, in the third axis, there is an institutionalized propaganda against public health, in order to disseminate a plexus of ideological, moral and economic arguments, as well as a set of false or decontextualized information, to hinder the </w:t>
      </w:r>
      <w:r>
        <w:rPr>
          <w:rFonts w:ascii="Times New Roman" w:eastAsia="Times New Roman" w:hAnsi="Times New Roman" w:cs="Times New Roman"/>
          <w:color w:val="000000"/>
          <w:sz w:val="24"/>
          <w:szCs w:val="24"/>
        </w:rPr>
        <w:lastRenderedPageBreak/>
        <w:t>implementation of measures necessary to face the health crisis and in line with the guidelines of the World Health Organization</w:t>
      </w:r>
      <w:r>
        <w:rPr>
          <w:rFonts w:ascii="Times New Roman" w:eastAsia="Times New Roman" w:hAnsi="Times New Roman" w:cs="Times New Roman"/>
          <w:color w:val="000000"/>
          <w:sz w:val="24"/>
          <w:szCs w:val="24"/>
          <w:vertAlign w:val="superscript"/>
        </w:rPr>
        <w:footnoteReference w:id="10"/>
      </w:r>
      <w:r>
        <w:rPr>
          <w:rFonts w:ascii="Times New Roman" w:eastAsia="Times New Roman" w:hAnsi="Times New Roman" w:cs="Times New Roman"/>
          <w:color w:val="000000"/>
          <w:sz w:val="24"/>
          <w:szCs w:val="24"/>
        </w:rPr>
        <w:t>.</w:t>
      </w:r>
    </w:p>
    <w:p w14:paraId="0000004B" w14:textId="77777777" w:rsidR="00692458"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Finally, still in relation to this first topic highlighted in the CPI Report, it is possible to indicate that, also within the scope of the SIDH, there was the recognition that the Brazilian Federal Government adopted the strategy of collective contamination, a practice that was condemned by the V Annual Report of the Special Rapporteur on Economic, Social, Cultural and Environmental Rights of 2021: </w:t>
      </w:r>
    </w:p>
    <w:p w14:paraId="0000004C" w14:textId="77777777" w:rsidR="00692458" w:rsidRPr="00EB1BF5" w:rsidRDefault="00EB1BF5">
      <w:pPr>
        <w:pBdr>
          <w:top w:val="nil"/>
          <w:left w:val="nil"/>
          <w:bottom w:val="nil"/>
          <w:right w:val="nil"/>
          <w:between w:val="nil"/>
        </w:pBdr>
        <w:shd w:val="clear" w:color="auto" w:fill="FFFFFF"/>
        <w:spacing w:before="240" w:after="240" w:line="240" w:lineRule="auto"/>
        <w:ind w:left="2260"/>
        <w:jc w:val="both"/>
        <w:rPr>
          <w:rFonts w:ascii="Times New Roman" w:eastAsia="Times New Roman" w:hAnsi="Times New Roman" w:cs="Times New Roman"/>
          <w:color w:val="000000"/>
          <w:sz w:val="20"/>
          <w:szCs w:val="20"/>
        </w:rPr>
      </w:pPr>
      <w:r w:rsidRPr="00EB1BF5">
        <w:rPr>
          <w:rFonts w:ascii="Times New Roman" w:eastAsia="Times New Roman" w:hAnsi="Times New Roman" w:cs="Times New Roman"/>
          <w:color w:val="000000"/>
          <w:sz w:val="20"/>
          <w:szCs w:val="20"/>
        </w:rPr>
        <w:t>Likewise, SRESCER is concerned about the information received that the Brazilian government defended the thesis of herd (or collective) immunity by contagion (or transmission) as a form of response to COVID-19, spreading the belief that "natural immunity" derived from infection by the virus would protect individuals and lead to control of the pandemic, as well as estimates that would have lacked rigor on the number of deaths and the date of the end of the pandemic. In the same way, the incitement to expose the population to the virus and non-compliance with preventive health measures, based on the denial of the seriousness of the disease, the apology of value and the supposed existence of early treatment for COVID-19, with the use of chloroquine and its hydroxychloroquine derivative in the treatment protocol, are observed with concern</w:t>
      </w:r>
      <w:r w:rsidRPr="00EB1BF5">
        <w:rPr>
          <w:rFonts w:ascii="Times New Roman" w:eastAsia="Times New Roman" w:hAnsi="Times New Roman" w:cs="Times New Roman"/>
          <w:color w:val="000000"/>
          <w:sz w:val="20"/>
          <w:szCs w:val="20"/>
          <w:vertAlign w:val="superscript"/>
        </w:rPr>
        <w:footnoteReference w:id="11"/>
      </w:r>
      <w:r w:rsidRPr="00EB1BF5">
        <w:rPr>
          <w:rFonts w:ascii="Times New Roman" w:eastAsia="Times New Roman" w:hAnsi="Times New Roman" w:cs="Times New Roman"/>
          <w:color w:val="000000"/>
          <w:sz w:val="20"/>
          <w:szCs w:val="20"/>
        </w:rPr>
        <w:t xml:space="preserve">. </w:t>
      </w:r>
    </w:p>
    <w:p w14:paraId="0000004D" w14:textId="77777777" w:rsidR="00692458"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second element of governance characterized in this note is the political campaign carried out by the Federal Government so that the population made use of ineffective drugs for the prevention and/or aid in treatment for infected people. In addition to the various manifestations of high authorities of the Federal Government, the structures of the Brazilian Army were instrumentalized</w:t>
      </w:r>
      <w:r>
        <w:rPr>
          <w:rFonts w:ascii="Times New Roman" w:eastAsia="Times New Roman" w:hAnsi="Times New Roman" w:cs="Times New Roman"/>
          <w:color w:val="000000"/>
          <w:sz w:val="24"/>
          <w:szCs w:val="24"/>
          <w:vertAlign w:val="superscript"/>
        </w:rPr>
        <w:footnoteReference w:id="12"/>
      </w:r>
      <w:r>
        <w:rPr>
          <w:rFonts w:ascii="Times New Roman" w:eastAsia="Times New Roman" w:hAnsi="Times New Roman" w:cs="Times New Roman"/>
          <w:color w:val="000000"/>
          <w:sz w:val="24"/>
          <w:szCs w:val="24"/>
          <w:vertAlign w:val="superscript"/>
        </w:rPr>
        <w:t xml:space="preserve"> </w:t>
      </w:r>
      <w:r>
        <w:rPr>
          <w:rFonts w:ascii="Times New Roman" w:eastAsia="Times New Roman" w:hAnsi="Times New Roman" w:cs="Times New Roman"/>
          <w:color w:val="000000"/>
          <w:sz w:val="24"/>
          <w:szCs w:val="24"/>
        </w:rPr>
        <w:t>to enhance the production of chloroquine in the country, in addition to the availability of an application for drug prescription without clinical parameters</w:t>
      </w:r>
      <w:r>
        <w:rPr>
          <w:rFonts w:ascii="Times New Roman" w:eastAsia="Times New Roman" w:hAnsi="Times New Roman" w:cs="Times New Roman"/>
          <w:color w:val="000000"/>
          <w:sz w:val="24"/>
          <w:szCs w:val="24"/>
          <w:vertAlign w:val="superscript"/>
        </w:rPr>
        <w:footnoteReference w:id="13"/>
      </w:r>
      <w:r>
        <w:rPr>
          <w:rFonts w:ascii="Times New Roman" w:eastAsia="Times New Roman" w:hAnsi="Times New Roman" w:cs="Times New Roman"/>
          <w:color w:val="000000"/>
          <w:sz w:val="24"/>
          <w:szCs w:val="24"/>
        </w:rPr>
        <w:t>.</w:t>
      </w:r>
    </w:p>
    <w:p w14:paraId="0000004E" w14:textId="77777777" w:rsidR="00692458"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third element that appears in the CPI report and which is directly related to the right to life, corresponds to the third axis of the collective contamination strategy already pointed out by CEPEDISA studies. Thus, the CPI also found elements to corroborate the conclusion that the Federal Government worked to ensure that non-pharmacological measures, such as social distancing and the use of masks, were discredited by the population</w:t>
      </w:r>
      <w:r>
        <w:rPr>
          <w:rFonts w:ascii="Times New Roman" w:eastAsia="Times New Roman" w:hAnsi="Times New Roman" w:cs="Times New Roman"/>
          <w:color w:val="000000"/>
          <w:sz w:val="24"/>
          <w:szCs w:val="24"/>
          <w:vertAlign w:val="superscript"/>
        </w:rPr>
        <w:footnoteReference w:id="14"/>
      </w:r>
      <w:r>
        <w:rPr>
          <w:rFonts w:ascii="Times New Roman" w:eastAsia="Times New Roman" w:hAnsi="Times New Roman" w:cs="Times New Roman"/>
          <w:color w:val="000000"/>
          <w:sz w:val="24"/>
          <w:szCs w:val="24"/>
        </w:rPr>
        <w:t>.</w:t>
      </w:r>
    </w:p>
    <w:p w14:paraId="0000004F" w14:textId="77777777" w:rsidR="00692458" w:rsidRPr="001B15F7"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rPr>
      </w:pPr>
      <w:r w:rsidRPr="001B15F7">
        <w:rPr>
          <w:rFonts w:ascii="Times New Roman" w:eastAsia="Times New Roman" w:hAnsi="Times New Roman" w:cs="Times New Roman"/>
          <w:color w:val="000000"/>
        </w:rPr>
        <w:lastRenderedPageBreak/>
        <w:t>The fourth element indicates that not only was the communication of the Federal Government and its senior officials directed against non-pharmacological measures, but also against the official registration of infection and death data, which marked different measures in that context</w:t>
      </w:r>
      <w:r w:rsidRPr="001B15F7">
        <w:rPr>
          <w:rFonts w:ascii="Times New Roman" w:eastAsia="Times New Roman" w:hAnsi="Times New Roman" w:cs="Times New Roman"/>
          <w:color w:val="000000"/>
          <w:vertAlign w:val="superscript"/>
        </w:rPr>
        <w:footnoteReference w:id="15"/>
      </w:r>
      <w:r w:rsidRPr="001B15F7">
        <w:rPr>
          <w:rFonts w:ascii="Times New Roman" w:eastAsia="Times New Roman" w:hAnsi="Times New Roman" w:cs="Times New Roman"/>
          <w:color w:val="000000"/>
        </w:rPr>
        <w:t>. More than that, when managing a range of information capable of shaping the subjectivity of different segments of the population, what occurred was not the simple questioning of statistical records, but a denial of the violence and catastrophe that were experienced by these same people. Instead of the necessary measures, ignorance and a conspiratorial climate spread, where only the then President of the Republic would be the oracle capable of properly interpreting the conjuncture.</w:t>
      </w:r>
    </w:p>
    <w:p w14:paraId="00000050" w14:textId="77777777" w:rsidR="00692458" w:rsidRPr="001B15F7"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rPr>
      </w:pPr>
      <w:r w:rsidRPr="001B15F7">
        <w:rPr>
          <w:rFonts w:ascii="Times New Roman" w:eastAsia="Times New Roman" w:hAnsi="Times New Roman" w:cs="Times New Roman"/>
          <w:color w:val="000000"/>
        </w:rPr>
        <w:t>Then the fifth element of genocidal governance comes from refusing to acquire and defend available vaccines. There was a possibility of acquiring vaccines, but the federal government preferred not to purchase the lots offered, justifying the refusal from the (standardized) clauses of the contract</w:t>
      </w:r>
      <w:r w:rsidRPr="001B15F7">
        <w:rPr>
          <w:rFonts w:ascii="Times New Roman" w:eastAsia="Times New Roman" w:hAnsi="Times New Roman" w:cs="Times New Roman"/>
          <w:color w:val="000000"/>
          <w:vertAlign w:val="superscript"/>
        </w:rPr>
        <w:footnoteReference w:id="16"/>
      </w:r>
      <w:r w:rsidRPr="001B15F7">
        <w:rPr>
          <w:rFonts w:ascii="Times New Roman" w:eastAsia="Times New Roman" w:hAnsi="Times New Roman" w:cs="Times New Roman"/>
          <w:color w:val="000000"/>
        </w:rPr>
        <w:t>, which in this context only reveals the intention to suspend the supply of medication to the population. In line with the reluctance to acquire immunizers, the President of the Republic, several times declared</w:t>
      </w:r>
      <w:r w:rsidRPr="001B15F7">
        <w:rPr>
          <w:rFonts w:ascii="Times New Roman" w:eastAsia="Times New Roman" w:hAnsi="Times New Roman" w:cs="Times New Roman"/>
          <w:color w:val="000000"/>
          <w:vertAlign w:val="superscript"/>
        </w:rPr>
        <w:footnoteReference w:id="17"/>
      </w:r>
      <w:r w:rsidRPr="001B15F7">
        <w:rPr>
          <w:rFonts w:ascii="Times New Roman" w:eastAsia="Times New Roman" w:hAnsi="Times New Roman" w:cs="Times New Roman"/>
          <w:color w:val="000000"/>
          <w:vertAlign w:val="superscript"/>
        </w:rPr>
        <w:t xml:space="preserve"> </w:t>
      </w:r>
      <w:r w:rsidRPr="001B15F7">
        <w:rPr>
          <w:rFonts w:ascii="Times New Roman" w:eastAsia="Times New Roman" w:hAnsi="Times New Roman" w:cs="Times New Roman"/>
          <w:color w:val="000000"/>
        </w:rPr>
        <w:t>that he would not take the vaccine, a communication and governance technique that causes, as a direct effect, an alignment of his supporters to adopt the same decision for their own lives. In addition, he also declared that his own 11-year-old daughter would not be vaccinated</w:t>
      </w:r>
      <w:r w:rsidRPr="001B15F7">
        <w:rPr>
          <w:rFonts w:ascii="Times New Roman" w:eastAsia="Times New Roman" w:hAnsi="Times New Roman" w:cs="Times New Roman"/>
          <w:color w:val="000000"/>
          <w:vertAlign w:val="superscript"/>
        </w:rPr>
        <w:footnoteReference w:id="18"/>
      </w:r>
      <w:r w:rsidRPr="001B15F7">
        <w:rPr>
          <w:rFonts w:ascii="Times New Roman" w:eastAsia="Times New Roman" w:hAnsi="Times New Roman" w:cs="Times New Roman"/>
          <w:color w:val="000000"/>
        </w:rPr>
        <w:t xml:space="preserve">, which, </w:t>
      </w:r>
      <w:proofErr w:type="gramStart"/>
      <w:r w:rsidRPr="001B15F7">
        <w:rPr>
          <w:rFonts w:ascii="Times New Roman" w:eastAsia="Times New Roman" w:hAnsi="Times New Roman" w:cs="Times New Roman"/>
          <w:color w:val="000000"/>
        </w:rPr>
        <w:t>as a consequence of</w:t>
      </w:r>
      <w:proofErr w:type="gramEnd"/>
      <w:r w:rsidRPr="001B15F7">
        <w:rPr>
          <w:rFonts w:ascii="Times New Roman" w:eastAsia="Times New Roman" w:hAnsi="Times New Roman" w:cs="Times New Roman"/>
          <w:color w:val="000000"/>
        </w:rPr>
        <w:t xml:space="preserve"> the ideologization of the vaccine, caused child vaccination coverage as a whole to be impaired in Brazil, which in 2021 regressed to the same level as in 1987</w:t>
      </w:r>
      <w:r w:rsidRPr="001B15F7">
        <w:rPr>
          <w:rFonts w:ascii="Times New Roman" w:eastAsia="Times New Roman" w:hAnsi="Times New Roman" w:cs="Times New Roman"/>
          <w:color w:val="000000"/>
          <w:vertAlign w:val="superscript"/>
        </w:rPr>
        <w:footnoteReference w:id="19"/>
      </w:r>
      <w:r w:rsidRPr="001B15F7">
        <w:rPr>
          <w:rFonts w:ascii="Times New Roman" w:eastAsia="Times New Roman" w:hAnsi="Times New Roman" w:cs="Times New Roman"/>
          <w:color w:val="000000"/>
        </w:rPr>
        <w:t>. The president's stance, coupled with the dissemination of false news about possible collateral damage, as well as the politicization of vaccine sources, if they were not exclusive causes of the phenomenon, certainly contributed decisively to the situation suffering a more severe deterioration.</w:t>
      </w:r>
    </w:p>
    <w:p w14:paraId="00000051" w14:textId="77777777" w:rsidR="00692458" w:rsidRPr="00485138"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rPr>
      </w:pPr>
      <w:r w:rsidRPr="001B15F7">
        <w:rPr>
          <w:rFonts w:ascii="Times New Roman" w:eastAsia="Times New Roman" w:hAnsi="Times New Roman" w:cs="Times New Roman"/>
          <w:color w:val="000000"/>
        </w:rPr>
        <w:t xml:space="preserve">The sixth and final element involves one of the greatest </w:t>
      </w:r>
      <w:proofErr w:type="gramStart"/>
      <w:r w:rsidRPr="001B15F7">
        <w:rPr>
          <w:rFonts w:ascii="Times New Roman" w:eastAsia="Times New Roman" w:hAnsi="Times New Roman" w:cs="Times New Roman"/>
          <w:color w:val="000000"/>
        </w:rPr>
        <w:t>evidences</w:t>
      </w:r>
      <w:proofErr w:type="gramEnd"/>
      <w:r w:rsidRPr="001B15F7">
        <w:rPr>
          <w:rFonts w:ascii="Times New Roman" w:eastAsia="Times New Roman" w:hAnsi="Times New Roman" w:cs="Times New Roman"/>
          <w:color w:val="000000"/>
        </w:rPr>
        <w:t xml:space="preserve"> of the catastrophe that was the management of the health crisis in Brazil. This is because throughout the month of January 2021 there was still no possibility of vaccination at scale, since the first dose was only applied in Brazil on January 17 of that year</w:t>
      </w:r>
      <w:r w:rsidRPr="001B15F7">
        <w:rPr>
          <w:rFonts w:ascii="Times New Roman" w:eastAsia="Times New Roman" w:hAnsi="Times New Roman" w:cs="Times New Roman"/>
          <w:color w:val="000000"/>
          <w:vertAlign w:val="superscript"/>
        </w:rPr>
        <w:footnoteReference w:id="20"/>
      </w:r>
      <w:r w:rsidRPr="001B15F7">
        <w:rPr>
          <w:rFonts w:ascii="Times New Roman" w:eastAsia="Times New Roman" w:hAnsi="Times New Roman" w:cs="Times New Roman"/>
          <w:color w:val="000000"/>
        </w:rPr>
        <w:t>, non-pharmacological sanitary measures such as the use of masks and social distancing measures were undergoing a peak of social questioning from</w:t>
      </w:r>
      <w:r w:rsidRPr="001B15F7">
        <w:rPr>
          <w:rFonts w:ascii="Times New Roman" w:eastAsia="Times New Roman" w:hAnsi="Times New Roman" w:cs="Times New Roman"/>
          <w:color w:val="000000"/>
          <w:vertAlign w:val="superscript"/>
        </w:rPr>
        <w:footnoteReference w:id="21"/>
      </w:r>
      <w:r w:rsidRPr="001B15F7">
        <w:rPr>
          <w:rFonts w:ascii="Times New Roman" w:eastAsia="Times New Roman" w:hAnsi="Times New Roman" w:cs="Times New Roman"/>
          <w:color w:val="000000"/>
        </w:rPr>
        <w:t xml:space="preserve"> the repeated manifestations of senior officials of the Federal Government. As an alternative, both as a means of preventing contagion and as a treatment in case of infection, the Ministry of Health proposes the use of chloroquine. In this context, there</w:t>
      </w:r>
      <w:r w:rsidRPr="00485138">
        <w:rPr>
          <w:rFonts w:ascii="Times New Roman" w:eastAsia="Times New Roman" w:hAnsi="Times New Roman" w:cs="Times New Roman"/>
          <w:color w:val="000000"/>
        </w:rPr>
        <w:t xml:space="preserve"> was an outbreak of cases in Manaus that resulted in </w:t>
      </w:r>
      <w:r w:rsidRPr="00485138">
        <w:rPr>
          <w:rFonts w:ascii="Times New Roman" w:eastAsia="Times New Roman" w:hAnsi="Times New Roman" w:cs="Times New Roman"/>
          <w:color w:val="000000"/>
        </w:rPr>
        <w:lastRenderedPageBreak/>
        <w:t>at least 113,732 cases and 5,506 deaths</w:t>
      </w:r>
      <w:r w:rsidRPr="00485138">
        <w:rPr>
          <w:rFonts w:ascii="Times New Roman" w:eastAsia="Times New Roman" w:hAnsi="Times New Roman" w:cs="Times New Roman"/>
          <w:color w:val="000000"/>
          <w:vertAlign w:val="superscript"/>
        </w:rPr>
        <w:footnoteReference w:id="22"/>
      </w:r>
      <w:r w:rsidRPr="00485138">
        <w:rPr>
          <w:rFonts w:ascii="Times New Roman" w:eastAsia="Times New Roman" w:hAnsi="Times New Roman" w:cs="Times New Roman"/>
          <w:color w:val="000000"/>
        </w:rPr>
        <w:t xml:space="preserve"> due to COVID-19 in the State of Amazonas</w:t>
      </w:r>
      <w:r w:rsidRPr="00485138">
        <w:rPr>
          <w:rFonts w:ascii="Times New Roman" w:eastAsia="Times New Roman" w:hAnsi="Times New Roman" w:cs="Times New Roman"/>
          <w:color w:val="000000"/>
          <w:vertAlign w:val="superscript"/>
        </w:rPr>
        <w:footnoteReference w:id="23"/>
      </w:r>
      <w:r w:rsidRPr="00485138">
        <w:rPr>
          <w:rFonts w:ascii="Times New Roman" w:eastAsia="Times New Roman" w:hAnsi="Times New Roman" w:cs="Times New Roman"/>
          <w:color w:val="000000"/>
        </w:rPr>
        <w:t xml:space="preserve"> . These figures show not only the intentional absence of adequate public policies and in line with international standards, but also the complete ineptitude in promoting the right to life regarding the management of the most basic inputs for coping with the health crisis, as was the case with the lack of oxygen</w:t>
      </w:r>
      <w:r w:rsidRPr="00485138">
        <w:rPr>
          <w:rFonts w:ascii="Times New Roman" w:eastAsia="Times New Roman" w:hAnsi="Times New Roman" w:cs="Times New Roman"/>
          <w:color w:val="000000"/>
          <w:vertAlign w:val="superscript"/>
        </w:rPr>
        <w:footnoteReference w:id="24"/>
      </w:r>
      <w:r w:rsidRPr="00485138">
        <w:rPr>
          <w:rFonts w:ascii="Times New Roman" w:eastAsia="Times New Roman" w:hAnsi="Times New Roman" w:cs="Times New Roman"/>
          <w:color w:val="000000"/>
        </w:rPr>
        <w:t>. This case is so emblematic because there was a resource available for the acquisition of oxygen, as recorded by the then Executive Secretary of the Ministry of Health recorded in his testimony before the CPI</w:t>
      </w:r>
      <w:r w:rsidRPr="00485138">
        <w:rPr>
          <w:rFonts w:ascii="Times New Roman" w:eastAsia="Times New Roman" w:hAnsi="Times New Roman" w:cs="Times New Roman"/>
          <w:color w:val="000000"/>
          <w:vertAlign w:val="superscript"/>
        </w:rPr>
        <w:footnoteReference w:id="25"/>
      </w:r>
      <w:r w:rsidRPr="00485138">
        <w:rPr>
          <w:rFonts w:ascii="Times New Roman" w:eastAsia="Times New Roman" w:hAnsi="Times New Roman" w:cs="Times New Roman"/>
          <w:color w:val="000000"/>
        </w:rPr>
        <w:t>.</w:t>
      </w:r>
    </w:p>
    <w:p w14:paraId="00000052" w14:textId="77777777" w:rsidR="00692458" w:rsidRPr="00485138"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rPr>
      </w:pPr>
      <w:r w:rsidRPr="00485138">
        <w:rPr>
          <w:rFonts w:ascii="Times New Roman" w:eastAsia="Times New Roman" w:hAnsi="Times New Roman" w:cs="Times New Roman"/>
          <w:color w:val="000000"/>
        </w:rPr>
        <w:t xml:space="preserve">Among all the elements indicated from the different approaches selected from the Final Report presented by the COVID-19 CPI of the Federal Senate, one of the most striking manifestations, which denote the strong load of intentionality in the various manifestations of violence experienced by the Brazilian people in the context of the health crisis, stands out the understanding of sovereignty portrayed by the former Minister of Health, Eduardo </w:t>
      </w:r>
      <w:proofErr w:type="spellStart"/>
      <w:r w:rsidRPr="00485138">
        <w:rPr>
          <w:rFonts w:ascii="Times New Roman" w:eastAsia="Times New Roman" w:hAnsi="Times New Roman" w:cs="Times New Roman"/>
          <w:color w:val="000000"/>
        </w:rPr>
        <w:t>Pazuello</w:t>
      </w:r>
      <w:proofErr w:type="spellEnd"/>
      <w:r w:rsidRPr="00485138">
        <w:rPr>
          <w:rFonts w:ascii="Times New Roman" w:eastAsia="Times New Roman" w:hAnsi="Times New Roman" w:cs="Times New Roman"/>
          <w:color w:val="000000"/>
        </w:rPr>
        <w:t xml:space="preserve">: </w:t>
      </w:r>
    </w:p>
    <w:p w14:paraId="00000053" w14:textId="77777777" w:rsidR="00692458" w:rsidRPr="00485138" w:rsidRDefault="00EB1BF5">
      <w:pPr>
        <w:pBdr>
          <w:top w:val="nil"/>
          <w:left w:val="nil"/>
          <w:bottom w:val="nil"/>
          <w:right w:val="nil"/>
          <w:between w:val="nil"/>
        </w:pBdr>
        <w:shd w:val="clear" w:color="auto" w:fill="FFFFFF"/>
        <w:spacing w:before="240" w:after="240" w:line="240" w:lineRule="auto"/>
        <w:ind w:left="2260"/>
        <w:jc w:val="both"/>
        <w:rPr>
          <w:rFonts w:ascii="Times New Roman" w:eastAsia="Times New Roman" w:hAnsi="Times New Roman" w:cs="Times New Roman"/>
          <w:color w:val="000000"/>
          <w:sz w:val="20"/>
          <w:szCs w:val="20"/>
        </w:rPr>
      </w:pPr>
      <w:r w:rsidRPr="00485138">
        <w:rPr>
          <w:rFonts w:ascii="Times New Roman" w:eastAsia="Times New Roman" w:hAnsi="Times New Roman" w:cs="Times New Roman"/>
          <w:color w:val="000000"/>
          <w:sz w:val="20"/>
          <w:szCs w:val="20"/>
        </w:rPr>
        <w:t>Our decision is complete, Brazil is sovereign to make its decisions in any area, including health. No, we are not obliged to follow any kind of guidance from the WHO or the UN or anywhere else. We are sovereign.</w:t>
      </w:r>
      <w:r w:rsidRPr="00485138">
        <w:rPr>
          <w:rFonts w:ascii="Times New Roman" w:eastAsia="Times New Roman" w:hAnsi="Times New Roman" w:cs="Times New Roman"/>
          <w:color w:val="000000"/>
          <w:sz w:val="20"/>
          <w:szCs w:val="20"/>
          <w:vertAlign w:val="superscript"/>
        </w:rPr>
        <w:footnoteReference w:id="26"/>
      </w:r>
    </w:p>
    <w:p w14:paraId="00000054" w14:textId="77777777" w:rsidR="00692458" w:rsidRPr="00485138"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rPr>
      </w:pPr>
      <w:r w:rsidRPr="00485138">
        <w:rPr>
          <w:rFonts w:ascii="Times New Roman" w:eastAsia="Times New Roman" w:hAnsi="Times New Roman" w:cs="Times New Roman"/>
          <w:color w:val="000000"/>
        </w:rPr>
        <w:t>Certainly, not all the deaths that occurred on Brazilian soil were caused by the political options adopted at the time. Death is still an inherent fatality of the human condition.</w:t>
      </w:r>
      <w:r>
        <w:rPr>
          <w:rFonts w:ascii="Times New Roman" w:eastAsia="Times New Roman" w:hAnsi="Times New Roman" w:cs="Times New Roman"/>
          <w:color w:val="000000"/>
          <w:sz w:val="24"/>
          <w:szCs w:val="24"/>
        </w:rPr>
        <w:t xml:space="preserve"> </w:t>
      </w:r>
      <w:r w:rsidRPr="00485138">
        <w:rPr>
          <w:rFonts w:ascii="Times New Roman" w:eastAsia="Times New Roman" w:hAnsi="Times New Roman" w:cs="Times New Roman"/>
          <w:color w:val="000000"/>
        </w:rPr>
        <w:t>However, the speech is revealing because it explains the lack of adherence to international parameters for coping with COVID-19 as a way of affirming a national political power that escapes the scope of the International Covenants and the foundations and objectives of the Federal Constitution itself.</w:t>
      </w:r>
    </w:p>
    <w:p w14:paraId="00000055" w14:textId="77777777" w:rsidR="00692458" w:rsidRPr="00485138"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highlight w:val="white"/>
        </w:rPr>
      </w:pPr>
      <w:r w:rsidRPr="00485138">
        <w:rPr>
          <w:rFonts w:ascii="Times New Roman" w:eastAsia="Times New Roman" w:hAnsi="Times New Roman" w:cs="Times New Roman"/>
          <w:color w:val="000000"/>
        </w:rPr>
        <w:t xml:space="preserve">Finally, the document dated December 28, </w:t>
      </w:r>
      <w:proofErr w:type="gramStart"/>
      <w:r w:rsidRPr="00485138">
        <w:rPr>
          <w:rFonts w:ascii="Times New Roman" w:eastAsia="Times New Roman" w:hAnsi="Times New Roman" w:cs="Times New Roman"/>
          <w:color w:val="000000"/>
        </w:rPr>
        <w:t>2022</w:t>
      </w:r>
      <w:proofErr w:type="gramEnd"/>
      <w:r w:rsidRPr="00485138">
        <w:rPr>
          <w:rFonts w:ascii="Times New Roman" w:eastAsia="Times New Roman" w:hAnsi="Times New Roman" w:cs="Times New Roman"/>
          <w:color w:val="000000"/>
        </w:rPr>
        <w:t xml:space="preserve"> indicating ADPF 709/2020 seems to suggest that the determinations of the Federal Supreme Court were fulfilled by the government then in power. Nothing further from the truth, while the international bodies – the Inter-American Commission on Human Rights and the International Criminal Court – received demands against the country and complaints against Jair Bolsonaro, respectively, the highest Court in Brazil issued successive decisions for the Executive Branch to adopt emergency measures in favor of indigenous peoples, </w:t>
      </w:r>
      <w:r w:rsidRPr="00485138">
        <w:rPr>
          <w:rFonts w:ascii="Times New Roman" w:eastAsia="Times New Roman" w:hAnsi="Times New Roman" w:cs="Times New Roman"/>
          <w:color w:val="000000"/>
        </w:rPr>
        <w:lastRenderedPageBreak/>
        <w:t xml:space="preserve">whether with regard to the need for isolation, medical resources, pharmaceuticals and vaccines, or territorial protection regardless of whether indigenous lands are approved. The numerous versions that the government presented of the </w:t>
      </w:r>
      <w:r w:rsidRPr="00485138">
        <w:rPr>
          <w:rFonts w:ascii="Times New Roman" w:eastAsia="Times New Roman" w:hAnsi="Times New Roman" w:cs="Times New Roman"/>
          <w:color w:val="000000"/>
          <w:highlight w:val="white"/>
        </w:rPr>
        <w:t>General Plan for Coping with COVID-19 for Indigenous Peoples and the Governance and Monitoring Plan were declared unsatisfactory by the judge reporting on the Process, who repeatedly stated that the government then failed to comply with internal and international standards protecting the rights of indigenous peoples.</w:t>
      </w:r>
    </w:p>
    <w:p w14:paraId="00000056" w14:textId="77777777" w:rsidR="00692458" w:rsidRPr="00485138" w:rsidRDefault="00EB1BF5">
      <w:pPr>
        <w:pBdr>
          <w:top w:val="nil"/>
          <w:left w:val="nil"/>
          <w:bottom w:val="nil"/>
          <w:right w:val="nil"/>
          <w:between w:val="nil"/>
        </w:pBdr>
        <w:shd w:val="clear" w:color="auto" w:fill="FFFFFF"/>
        <w:spacing w:before="240" w:after="240" w:line="240" w:lineRule="auto"/>
        <w:jc w:val="both"/>
        <w:rPr>
          <w:rFonts w:ascii="Times New Roman" w:eastAsia="Times New Roman" w:hAnsi="Times New Roman" w:cs="Times New Roman"/>
          <w:color w:val="000000"/>
          <w:highlight w:val="white"/>
        </w:rPr>
      </w:pPr>
      <w:r w:rsidRPr="00485138">
        <w:rPr>
          <w:rFonts w:ascii="Times New Roman" w:eastAsia="Times New Roman" w:hAnsi="Times New Roman" w:cs="Times New Roman"/>
          <w:color w:val="000000"/>
          <w:highlight w:val="white"/>
        </w:rPr>
        <w:t>We list below the positions signed by the CNDH on the subject:</w:t>
      </w:r>
    </w:p>
    <w:p w14:paraId="00000057" w14:textId="77777777" w:rsidR="00692458" w:rsidRPr="00EB1BF5" w:rsidRDefault="00EB1BF5">
      <w:pPr>
        <w:pBdr>
          <w:top w:val="nil"/>
          <w:left w:val="nil"/>
          <w:bottom w:val="nil"/>
          <w:right w:val="nil"/>
          <w:between w:val="nil"/>
        </w:pBdr>
        <w:shd w:val="clear" w:color="auto" w:fill="FFFFFF"/>
        <w:spacing w:after="240" w:line="240" w:lineRule="auto"/>
        <w:ind w:left="1133"/>
        <w:jc w:val="both"/>
        <w:rPr>
          <w:rFonts w:ascii="Times New Roman" w:eastAsia="Times New Roman" w:hAnsi="Times New Roman" w:cs="Times New Roman"/>
          <w:color w:val="000000"/>
          <w:sz w:val="20"/>
          <w:szCs w:val="20"/>
          <w:highlight w:val="white"/>
        </w:rPr>
      </w:pPr>
      <w:r w:rsidRPr="00EB1BF5">
        <w:rPr>
          <w:rFonts w:ascii="Times New Roman" w:eastAsia="Times New Roman" w:hAnsi="Times New Roman" w:cs="Times New Roman"/>
          <w:b/>
          <w:color w:val="000000"/>
          <w:sz w:val="20"/>
          <w:szCs w:val="20"/>
          <w:highlight w:val="white"/>
        </w:rPr>
        <w:t>Recommendation No. 05, of March 18, 2021</w:t>
      </w:r>
      <w:r w:rsidRPr="00EB1BF5">
        <w:rPr>
          <w:rFonts w:ascii="Times New Roman" w:eastAsia="Times New Roman" w:hAnsi="Times New Roman" w:cs="Times New Roman"/>
          <w:color w:val="000000"/>
          <w:sz w:val="20"/>
          <w:szCs w:val="20"/>
          <w:highlight w:val="white"/>
        </w:rPr>
        <w:t xml:space="preserve"> - Recommends the adoption of measures for migration management and border planning in the Municipality of </w:t>
      </w:r>
      <w:proofErr w:type="spellStart"/>
      <w:r w:rsidRPr="00EB1BF5">
        <w:rPr>
          <w:rFonts w:ascii="Times New Roman" w:eastAsia="Times New Roman" w:hAnsi="Times New Roman" w:cs="Times New Roman"/>
          <w:color w:val="000000"/>
          <w:sz w:val="20"/>
          <w:szCs w:val="20"/>
          <w:highlight w:val="white"/>
        </w:rPr>
        <w:t>Pacaraima</w:t>
      </w:r>
      <w:proofErr w:type="spellEnd"/>
      <w:r w:rsidRPr="00EB1BF5">
        <w:rPr>
          <w:rFonts w:ascii="Times New Roman" w:eastAsia="Times New Roman" w:hAnsi="Times New Roman" w:cs="Times New Roman"/>
          <w:color w:val="000000"/>
          <w:sz w:val="20"/>
          <w:szCs w:val="20"/>
          <w:highlight w:val="white"/>
        </w:rPr>
        <w:t xml:space="preserve">/RR and guaranteeing the rights of undocumented migrants in the context of the covid-19 </w:t>
      </w:r>
      <w:proofErr w:type="gramStart"/>
      <w:r w:rsidRPr="00EB1BF5">
        <w:rPr>
          <w:rFonts w:ascii="Times New Roman" w:eastAsia="Times New Roman" w:hAnsi="Times New Roman" w:cs="Times New Roman"/>
          <w:color w:val="000000"/>
          <w:sz w:val="20"/>
          <w:szCs w:val="20"/>
          <w:highlight w:val="white"/>
        </w:rPr>
        <w:t>pandemic</w:t>
      </w:r>
      <w:proofErr w:type="gramEnd"/>
    </w:p>
    <w:p w14:paraId="00000058" w14:textId="5309C5A5" w:rsidR="00692458" w:rsidRPr="00EB1BF5" w:rsidRDefault="00EB1BF5">
      <w:pPr>
        <w:pBdr>
          <w:top w:val="nil"/>
          <w:left w:val="nil"/>
          <w:bottom w:val="nil"/>
          <w:right w:val="nil"/>
          <w:between w:val="nil"/>
        </w:pBdr>
        <w:shd w:val="clear" w:color="auto" w:fill="FFFFFF"/>
        <w:spacing w:after="240" w:line="240" w:lineRule="auto"/>
        <w:ind w:left="1133"/>
        <w:jc w:val="both"/>
        <w:rPr>
          <w:rFonts w:ascii="Times New Roman" w:eastAsia="Times New Roman" w:hAnsi="Times New Roman" w:cs="Times New Roman"/>
          <w:color w:val="000000"/>
          <w:sz w:val="20"/>
          <w:szCs w:val="20"/>
          <w:highlight w:val="white"/>
        </w:rPr>
      </w:pPr>
      <w:r w:rsidRPr="00EB1BF5">
        <w:rPr>
          <w:rFonts w:ascii="Times New Roman" w:eastAsia="Times New Roman" w:hAnsi="Times New Roman" w:cs="Times New Roman"/>
          <w:b/>
          <w:color w:val="000000"/>
          <w:sz w:val="20"/>
          <w:szCs w:val="20"/>
          <w:highlight w:val="white"/>
        </w:rPr>
        <w:t>Recommendation No. 06, of March 23, 2021</w:t>
      </w:r>
      <w:r w:rsidRPr="00EB1BF5">
        <w:rPr>
          <w:rFonts w:ascii="Times New Roman" w:eastAsia="Times New Roman" w:hAnsi="Times New Roman" w:cs="Times New Roman"/>
          <w:color w:val="000000"/>
          <w:sz w:val="20"/>
          <w:szCs w:val="20"/>
          <w:highlight w:val="white"/>
        </w:rPr>
        <w:t xml:space="preserve"> - Recommends the adoption of sanitary and economic measures in view of the worsening of the Covid-19 pandemic throughout the national territory. </w:t>
      </w:r>
    </w:p>
    <w:p w14:paraId="00000059" w14:textId="02C732D4" w:rsidR="00692458" w:rsidRPr="00EB1BF5" w:rsidRDefault="00EB1BF5">
      <w:pPr>
        <w:pBdr>
          <w:top w:val="nil"/>
          <w:left w:val="nil"/>
          <w:bottom w:val="nil"/>
          <w:right w:val="nil"/>
          <w:between w:val="nil"/>
        </w:pBdr>
        <w:shd w:val="clear" w:color="auto" w:fill="FFFFFF"/>
        <w:spacing w:after="240" w:line="240" w:lineRule="auto"/>
        <w:ind w:left="1133"/>
        <w:jc w:val="both"/>
        <w:rPr>
          <w:rFonts w:ascii="Times New Roman" w:eastAsia="Times New Roman" w:hAnsi="Times New Roman" w:cs="Times New Roman"/>
          <w:color w:val="000000"/>
          <w:sz w:val="20"/>
          <w:szCs w:val="20"/>
          <w:highlight w:val="white"/>
        </w:rPr>
      </w:pPr>
      <w:r w:rsidRPr="00EB1BF5">
        <w:rPr>
          <w:rFonts w:ascii="Times New Roman" w:eastAsia="Times New Roman" w:hAnsi="Times New Roman" w:cs="Times New Roman"/>
          <w:b/>
          <w:color w:val="000000"/>
          <w:sz w:val="20"/>
          <w:szCs w:val="20"/>
          <w:highlight w:val="white"/>
        </w:rPr>
        <w:t>Recommendation No. 10, of April 13, 2021</w:t>
      </w:r>
      <w:r w:rsidRPr="00EB1BF5">
        <w:rPr>
          <w:rFonts w:ascii="Times New Roman" w:eastAsia="Times New Roman" w:hAnsi="Times New Roman" w:cs="Times New Roman"/>
          <w:color w:val="000000"/>
          <w:sz w:val="20"/>
          <w:szCs w:val="20"/>
          <w:highlight w:val="white"/>
        </w:rPr>
        <w:t xml:space="preserve"> - Recommends the withdrawal of the agenda from Bill No. 948/2021, which amends the provisions of Law No. 14,125/2021, or any other initiation that deals with the purchase, handling and application of vaccines against Covid-19, maintaining what is provided for in the current law and the already existing regulatory frameworks that guarantee vaccination by the Unified Health System.</w:t>
      </w:r>
    </w:p>
    <w:p w14:paraId="0000005A" w14:textId="77777777" w:rsidR="00692458" w:rsidRPr="00EB1BF5" w:rsidRDefault="00EB1BF5">
      <w:pPr>
        <w:pBdr>
          <w:top w:val="nil"/>
          <w:left w:val="nil"/>
          <w:bottom w:val="nil"/>
          <w:right w:val="nil"/>
          <w:between w:val="nil"/>
        </w:pBdr>
        <w:shd w:val="clear" w:color="auto" w:fill="FFFFFF"/>
        <w:spacing w:after="240" w:line="240" w:lineRule="auto"/>
        <w:ind w:left="1133"/>
        <w:jc w:val="both"/>
        <w:rPr>
          <w:rFonts w:ascii="Times New Roman" w:eastAsia="Times New Roman" w:hAnsi="Times New Roman" w:cs="Times New Roman"/>
          <w:color w:val="000000"/>
          <w:sz w:val="20"/>
          <w:szCs w:val="20"/>
          <w:highlight w:val="white"/>
        </w:rPr>
      </w:pPr>
      <w:r w:rsidRPr="00EB1BF5">
        <w:rPr>
          <w:rFonts w:ascii="Times New Roman" w:eastAsia="Times New Roman" w:hAnsi="Times New Roman" w:cs="Times New Roman"/>
          <w:b/>
          <w:color w:val="000000"/>
          <w:sz w:val="20"/>
          <w:szCs w:val="20"/>
          <w:highlight w:val="white"/>
        </w:rPr>
        <w:t>Recommendation No. 12, of May 13, 2021</w:t>
      </w:r>
      <w:r w:rsidRPr="00EB1BF5">
        <w:rPr>
          <w:rFonts w:ascii="Times New Roman" w:eastAsia="Times New Roman" w:hAnsi="Times New Roman" w:cs="Times New Roman"/>
          <w:color w:val="000000"/>
          <w:sz w:val="20"/>
          <w:szCs w:val="20"/>
          <w:highlight w:val="white"/>
        </w:rPr>
        <w:t xml:space="preserve"> - Recommendation to the Ministers of Women, Family and Human Rights, Foreign Affairs, Health and Justice and Public Security, regarding the need to preserve the right to information and the isonomy of non-national persons and to ensure better sanitary conditions regardless of their migratory status, among other measures.</w:t>
      </w:r>
    </w:p>
    <w:p w14:paraId="0000005B" w14:textId="77777777" w:rsidR="00692458" w:rsidRPr="00EB1BF5" w:rsidRDefault="00EB1BF5">
      <w:pPr>
        <w:pBdr>
          <w:top w:val="nil"/>
          <w:left w:val="nil"/>
          <w:bottom w:val="nil"/>
          <w:right w:val="nil"/>
          <w:between w:val="nil"/>
        </w:pBdr>
        <w:shd w:val="clear" w:color="auto" w:fill="FFFFFF"/>
        <w:spacing w:after="240" w:line="240" w:lineRule="auto"/>
        <w:ind w:left="1133"/>
        <w:jc w:val="both"/>
        <w:rPr>
          <w:rFonts w:ascii="Times New Roman" w:eastAsia="Times New Roman" w:hAnsi="Times New Roman" w:cs="Times New Roman"/>
          <w:color w:val="000000"/>
          <w:sz w:val="20"/>
          <w:szCs w:val="20"/>
          <w:highlight w:val="white"/>
        </w:rPr>
      </w:pPr>
      <w:r w:rsidRPr="00EB1BF5">
        <w:rPr>
          <w:rFonts w:ascii="Times New Roman" w:eastAsia="Times New Roman" w:hAnsi="Times New Roman" w:cs="Times New Roman"/>
          <w:b/>
          <w:color w:val="000000"/>
          <w:sz w:val="20"/>
          <w:szCs w:val="20"/>
          <w:highlight w:val="white"/>
        </w:rPr>
        <w:t>Recommendation No. 18, of June 2, 2021 -</w:t>
      </w:r>
      <w:r w:rsidRPr="00EB1BF5">
        <w:rPr>
          <w:rFonts w:ascii="Times New Roman" w:eastAsia="Times New Roman" w:hAnsi="Times New Roman" w:cs="Times New Roman"/>
          <w:color w:val="000000"/>
          <w:sz w:val="20"/>
          <w:szCs w:val="20"/>
          <w:highlight w:val="white"/>
        </w:rPr>
        <w:t xml:space="preserve"> Recommends not to hold the Copa América (CONMEBOL) 2021 in Brazil and to present information and documents regarding the negotiations for the tournament in the country and to ensure that the event does not aggravate the pandemic health crisis.</w:t>
      </w:r>
    </w:p>
    <w:p w14:paraId="0000005C" w14:textId="77777777" w:rsidR="00692458" w:rsidRPr="00EB1BF5" w:rsidRDefault="00EB1BF5">
      <w:pPr>
        <w:pBdr>
          <w:top w:val="nil"/>
          <w:left w:val="nil"/>
          <w:bottom w:val="nil"/>
          <w:right w:val="nil"/>
          <w:between w:val="nil"/>
        </w:pBdr>
        <w:shd w:val="clear" w:color="auto" w:fill="FFFFFF"/>
        <w:spacing w:after="240" w:line="240" w:lineRule="auto"/>
        <w:ind w:left="1133"/>
        <w:jc w:val="both"/>
        <w:rPr>
          <w:rFonts w:ascii="Times New Roman" w:eastAsia="Times New Roman" w:hAnsi="Times New Roman" w:cs="Times New Roman"/>
          <w:color w:val="000000"/>
          <w:sz w:val="20"/>
          <w:szCs w:val="20"/>
          <w:highlight w:val="white"/>
        </w:rPr>
      </w:pPr>
      <w:r w:rsidRPr="00EB1BF5">
        <w:rPr>
          <w:rFonts w:ascii="Times New Roman" w:eastAsia="Times New Roman" w:hAnsi="Times New Roman" w:cs="Times New Roman"/>
          <w:b/>
          <w:color w:val="000000"/>
          <w:sz w:val="20"/>
          <w:szCs w:val="20"/>
          <w:highlight w:val="white"/>
        </w:rPr>
        <w:t>Recommendation No. 20, of June 11, 2021</w:t>
      </w:r>
      <w:hyperlink r:id="rId8">
        <w:r w:rsidRPr="00EB1BF5">
          <w:rPr>
            <w:rFonts w:ascii="Times New Roman" w:eastAsia="Times New Roman" w:hAnsi="Times New Roman" w:cs="Times New Roman"/>
            <w:color w:val="000000"/>
            <w:sz w:val="20"/>
            <w:szCs w:val="20"/>
            <w:highlight w:val="white"/>
          </w:rPr>
          <w:t xml:space="preserve"> </w:t>
        </w:r>
      </w:hyperlink>
      <w:r w:rsidRPr="00EB1BF5">
        <w:rPr>
          <w:rFonts w:ascii="Times New Roman" w:eastAsia="Times New Roman" w:hAnsi="Times New Roman" w:cs="Times New Roman"/>
          <w:color w:val="000000"/>
          <w:sz w:val="20"/>
          <w:szCs w:val="20"/>
          <w:highlight w:val="white"/>
        </w:rPr>
        <w:t>- Recommends the suspension of the process, within the scope of the Federal Senate, of the bill that establishes the general environmental licensing law while the pandemic situation in Brazil lasts, as well as, when it is resumed, a broad debate with Brazilian society through existing means and mechanisms, within a reasonable and lasting time that broadly contemplates the essential and necessary participation of social actors interested in the topic.</w:t>
      </w:r>
    </w:p>
    <w:p w14:paraId="0000005D" w14:textId="77777777" w:rsidR="00692458" w:rsidRPr="00EB1BF5" w:rsidRDefault="00EB1BF5">
      <w:pPr>
        <w:pBdr>
          <w:top w:val="nil"/>
          <w:left w:val="nil"/>
          <w:bottom w:val="nil"/>
          <w:right w:val="nil"/>
          <w:between w:val="nil"/>
        </w:pBdr>
        <w:shd w:val="clear" w:color="auto" w:fill="FFFFFF"/>
        <w:spacing w:after="240" w:line="240" w:lineRule="auto"/>
        <w:ind w:left="1133"/>
        <w:jc w:val="both"/>
        <w:rPr>
          <w:rFonts w:ascii="Times New Roman" w:eastAsia="Times New Roman" w:hAnsi="Times New Roman" w:cs="Times New Roman"/>
          <w:color w:val="000000"/>
          <w:sz w:val="20"/>
          <w:szCs w:val="20"/>
          <w:highlight w:val="white"/>
        </w:rPr>
      </w:pPr>
      <w:r w:rsidRPr="00EB1BF5">
        <w:rPr>
          <w:rFonts w:ascii="Times New Roman" w:eastAsia="Times New Roman" w:hAnsi="Times New Roman" w:cs="Times New Roman"/>
          <w:b/>
          <w:color w:val="000000"/>
          <w:sz w:val="20"/>
          <w:szCs w:val="20"/>
          <w:highlight w:val="white"/>
        </w:rPr>
        <w:t>Joint Recommendation by CNDH, DPU and DPE/RJ, of October 21, 2022 -</w:t>
      </w:r>
      <w:r w:rsidRPr="00EB1BF5">
        <w:rPr>
          <w:rFonts w:ascii="Times New Roman" w:eastAsia="Times New Roman" w:hAnsi="Times New Roman" w:cs="Times New Roman"/>
          <w:color w:val="000000"/>
          <w:sz w:val="20"/>
          <w:szCs w:val="20"/>
          <w:highlight w:val="white"/>
        </w:rPr>
        <w:t xml:space="preserve"> They recommend to the Ministry of Health to present, within 10 days, the schedule for the vaccination of all children from 6 months against covid-19.</w:t>
      </w:r>
    </w:p>
    <w:p w14:paraId="0000005E" w14:textId="77777777" w:rsidR="00692458" w:rsidRPr="00EB1BF5" w:rsidRDefault="00EB1BF5">
      <w:pPr>
        <w:pBdr>
          <w:top w:val="nil"/>
          <w:left w:val="nil"/>
          <w:bottom w:val="nil"/>
          <w:right w:val="nil"/>
          <w:between w:val="nil"/>
        </w:pBdr>
        <w:shd w:val="clear" w:color="auto" w:fill="FFFFFF"/>
        <w:spacing w:after="240" w:line="240" w:lineRule="auto"/>
        <w:ind w:left="1133"/>
        <w:jc w:val="both"/>
        <w:rPr>
          <w:rFonts w:ascii="Times New Roman" w:eastAsia="Times New Roman" w:hAnsi="Times New Roman" w:cs="Times New Roman"/>
          <w:color w:val="000000"/>
          <w:sz w:val="20"/>
          <w:szCs w:val="20"/>
          <w:highlight w:val="white"/>
        </w:rPr>
      </w:pPr>
      <w:r w:rsidRPr="00EB1BF5">
        <w:rPr>
          <w:rFonts w:ascii="Times New Roman" w:eastAsia="Times New Roman" w:hAnsi="Times New Roman" w:cs="Times New Roman"/>
          <w:b/>
          <w:color w:val="000000"/>
          <w:sz w:val="20"/>
          <w:szCs w:val="20"/>
          <w:highlight w:val="white"/>
        </w:rPr>
        <w:t xml:space="preserve">Report of the Information Survey Mission on Covid-19 Outbreak in State Psychiatric Hospitals in the State of Rio Grande do Sul: </w:t>
      </w:r>
      <w:r w:rsidRPr="00EB1BF5">
        <w:rPr>
          <w:rFonts w:ascii="Times New Roman" w:eastAsia="Times New Roman" w:hAnsi="Times New Roman" w:cs="Times New Roman"/>
          <w:color w:val="000000"/>
          <w:sz w:val="20"/>
          <w:szCs w:val="20"/>
          <w:highlight w:val="white"/>
        </w:rPr>
        <w:t>Activities and Recommendations</w:t>
      </w:r>
    </w:p>
    <w:p w14:paraId="0000005F" w14:textId="77A18F4D" w:rsidR="00692458" w:rsidRPr="00EB1BF5" w:rsidRDefault="00EB1BF5">
      <w:pPr>
        <w:pBdr>
          <w:top w:val="nil"/>
          <w:left w:val="nil"/>
          <w:bottom w:val="nil"/>
          <w:right w:val="nil"/>
          <w:between w:val="nil"/>
        </w:pBdr>
        <w:shd w:val="clear" w:color="auto" w:fill="FFFFFF"/>
        <w:spacing w:before="240" w:after="240" w:line="240" w:lineRule="auto"/>
        <w:ind w:left="1133"/>
        <w:jc w:val="both"/>
        <w:rPr>
          <w:rFonts w:ascii="Times New Roman" w:eastAsia="Times New Roman" w:hAnsi="Times New Roman" w:cs="Times New Roman"/>
          <w:b/>
          <w:color w:val="000000"/>
          <w:sz w:val="20"/>
          <w:szCs w:val="20"/>
          <w:highlight w:val="white"/>
        </w:rPr>
      </w:pPr>
      <w:r w:rsidRPr="00EB1BF5">
        <w:rPr>
          <w:rFonts w:ascii="Times New Roman" w:eastAsia="Times New Roman" w:hAnsi="Times New Roman" w:cs="Times New Roman"/>
          <w:b/>
          <w:color w:val="000000"/>
          <w:sz w:val="20"/>
          <w:szCs w:val="20"/>
          <w:highlight w:val="white"/>
        </w:rPr>
        <w:t>Statement by the CNDH to the IACHR on human rights violations in the context of the Covid-19 pandemic in Brazil</w:t>
      </w:r>
      <w:r w:rsidR="00EB4B95" w:rsidRPr="00EB1BF5">
        <w:rPr>
          <w:rFonts w:ascii="Times New Roman" w:eastAsia="Times New Roman" w:hAnsi="Times New Roman" w:cs="Times New Roman"/>
          <w:b/>
          <w:color w:val="000000"/>
          <w:sz w:val="20"/>
          <w:szCs w:val="20"/>
          <w:highlight w:val="white"/>
        </w:rPr>
        <w:t xml:space="preserve"> </w:t>
      </w:r>
    </w:p>
    <w:p w14:paraId="1771908E" w14:textId="0342600D" w:rsidR="00EB4B95" w:rsidRDefault="00EB4B95" w:rsidP="00EB1BF5">
      <w:pPr>
        <w:pBdr>
          <w:top w:val="nil"/>
          <w:left w:val="nil"/>
          <w:bottom w:val="nil"/>
          <w:right w:val="nil"/>
          <w:between w:val="nil"/>
        </w:pBdr>
        <w:shd w:val="clear" w:color="auto" w:fill="FFFFFF"/>
        <w:spacing w:before="240" w:after="240" w:line="240" w:lineRule="auto"/>
        <w:jc w:val="right"/>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 xml:space="preserve">August 2023 </w:t>
      </w:r>
    </w:p>
    <w:p w14:paraId="66BE78A3" w14:textId="0C8847EF" w:rsidR="00EB1BF5" w:rsidRDefault="00EB1BF5" w:rsidP="00EB1BF5">
      <w:pPr>
        <w:pBdr>
          <w:top w:val="nil"/>
          <w:left w:val="nil"/>
          <w:bottom w:val="nil"/>
          <w:right w:val="nil"/>
          <w:between w:val="nil"/>
        </w:pBdr>
        <w:shd w:val="clear" w:color="auto" w:fill="FFFFFF"/>
        <w:spacing w:before="240" w:after="240" w:line="24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______________________________</w:t>
      </w:r>
    </w:p>
    <w:p w14:paraId="00000060" w14:textId="1B905B98" w:rsidR="00692458" w:rsidRDefault="00EB4B95" w:rsidP="001B15F7">
      <w:pPr>
        <w:pBdr>
          <w:top w:val="nil"/>
          <w:left w:val="nil"/>
          <w:bottom w:val="nil"/>
          <w:right w:val="nil"/>
          <w:between w:val="nil"/>
        </w:pBdr>
        <w:shd w:val="clear" w:color="auto" w:fill="FFFFFF"/>
        <w:spacing w:before="240" w:after="240" w:line="24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color w:val="000000"/>
          <w:sz w:val="24"/>
          <w:szCs w:val="24"/>
          <w:highlight w:val="white"/>
        </w:rPr>
        <w:t>National Human Rights Council</w:t>
      </w:r>
    </w:p>
    <w:sectPr w:rsidR="00692458">
      <w:headerReference w:type="default" r:id="rId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CE291" w14:textId="77777777" w:rsidR="0000278E" w:rsidRDefault="0000278E">
      <w:pPr>
        <w:spacing w:after="0" w:line="240" w:lineRule="auto"/>
      </w:pPr>
      <w:r>
        <w:separator/>
      </w:r>
    </w:p>
  </w:endnote>
  <w:endnote w:type="continuationSeparator" w:id="0">
    <w:p w14:paraId="25AA5033" w14:textId="77777777" w:rsidR="0000278E" w:rsidRDefault="00002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0515D" w14:textId="77777777" w:rsidR="0000278E" w:rsidRDefault="0000278E">
      <w:pPr>
        <w:spacing w:after="0" w:line="240" w:lineRule="auto"/>
      </w:pPr>
      <w:r>
        <w:separator/>
      </w:r>
    </w:p>
  </w:footnote>
  <w:footnote w:type="continuationSeparator" w:id="0">
    <w:p w14:paraId="27AF9A7B" w14:textId="77777777" w:rsidR="0000278E" w:rsidRDefault="0000278E">
      <w:pPr>
        <w:spacing w:after="0" w:line="240" w:lineRule="auto"/>
      </w:pPr>
      <w:r>
        <w:continuationSeparator/>
      </w:r>
    </w:p>
  </w:footnote>
  <w:footnote w:id="1">
    <w:p w14:paraId="000000B8" w14:textId="77777777" w:rsidR="00692458" w:rsidRPr="00EB4B95" w:rsidRDefault="00EB1BF5" w:rsidP="00EB4B95">
      <w:pPr>
        <w:spacing w:after="0" w:line="240" w:lineRule="auto"/>
        <w:jc w:val="both"/>
        <w:rPr>
          <w:rFonts w:asciiTheme="majorHAnsi" w:hAnsiTheme="majorHAnsi" w:cstheme="majorHAnsi"/>
          <w:sz w:val="20"/>
          <w:szCs w:val="20"/>
        </w:rPr>
      </w:pPr>
      <w:r w:rsidRPr="00EB4B95">
        <w:rPr>
          <w:rFonts w:asciiTheme="majorHAnsi" w:hAnsiTheme="majorHAnsi" w:cstheme="majorHAnsi"/>
          <w:sz w:val="20"/>
          <w:szCs w:val="20"/>
          <w:vertAlign w:val="superscript"/>
        </w:rPr>
        <w:footnoteRef/>
      </w:r>
      <w:r w:rsidRPr="00EB4B95">
        <w:rPr>
          <w:rFonts w:asciiTheme="majorHAnsi" w:hAnsiTheme="majorHAnsi" w:cstheme="majorHAnsi"/>
          <w:sz w:val="20"/>
          <w:szCs w:val="20"/>
          <w:vertAlign w:val="superscript"/>
        </w:rPr>
        <w:t xml:space="preserve"> </w:t>
      </w:r>
      <w:r w:rsidRPr="00EB4B95">
        <w:rPr>
          <w:rFonts w:asciiTheme="majorHAnsi" w:eastAsia="Times New Roman" w:hAnsiTheme="majorHAnsi" w:cstheme="majorHAnsi"/>
          <w:sz w:val="20"/>
          <w:szCs w:val="20"/>
        </w:rPr>
        <w:t>STF. ADPF 709/2020. Available at: https://portal.stf.jus.br/processos/detalhe.asp?incident=5952986</w:t>
      </w:r>
    </w:p>
  </w:footnote>
  <w:footnote w:id="2">
    <w:p w14:paraId="000000B9" w14:textId="77777777" w:rsidR="00692458" w:rsidRPr="00EB4B95" w:rsidRDefault="00EB1BF5" w:rsidP="00EB4B95">
      <w:pPr>
        <w:spacing w:after="0" w:line="240" w:lineRule="auto"/>
        <w:jc w:val="both"/>
        <w:rPr>
          <w:rFonts w:asciiTheme="majorHAnsi" w:hAnsiTheme="majorHAnsi" w:cstheme="majorHAnsi"/>
          <w:sz w:val="20"/>
          <w:szCs w:val="20"/>
        </w:rPr>
      </w:pPr>
      <w:r w:rsidRPr="00EB4B95">
        <w:rPr>
          <w:rFonts w:asciiTheme="majorHAnsi" w:hAnsiTheme="majorHAnsi" w:cstheme="majorHAnsi"/>
          <w:sz w:val="20"/>
          <w:szCs w:val="20"/>
          <w:vertAlign w:val="superscript"/>
        </w:rPr>
        <w:footnoteRef/>
      </w:r>
      <w:r w:rsidRPr="00EB4B95">
        <w:rPr>
          <w:rFonts w:asciiTheme="majorHAnsi" w:hAnsiTheme="majorHAnsi" w:cstheme="majorHAnsi"/>
          <w:sz w:val="20"/>
          <w:szCs w:val="20"/>
          <w:vertAlign w:val="superscript"/>
        </w:rPr>
        <w:t xml:space="preserve"> </w:t>
      </w:r>
      <w:hyperlink r:id="rId1">
        <w:r w:rsidRPr="00EB4B95">
          <w:rPr>
            <w:rFonts w:asciiTheme="majorHAnsi" w:eastAsia="Times New Roman" w:hAnsiTheme="majorHAnsi" w:cstheme="majorHAnsi"/>
            <w:sz w:val="20"/>
            <w:szCs w:val="20"/>
            <w:u w:val="single"/>
          </w:rPr>
          <w:t>https://www.oas.org/es/cidh/decisiones/pdf/2020/35-20MC563-20-BR-PT.pdf</w:t>
        </w:r>
      </w:hyperlink>
      <w:r w:rsidRPr="00EB4B95">
        <w:rPr>
          <w:rFonts w:asciiTheme="majorHAnsi" w:eastAsia="Times New Roman" w:hAnsiTheme="majorHAnsi" w:cstheme="majorHAnsi"/>
          <w:sz w:val="20"/>
          <w:szCs w:val="20"/>
        </w:rPr>
        <w:t>. Accessed on May 26. 2023.</w:t>
      </w:r>
    </w:p>
  </w:footnote>
  <w:footnote w:id="3">
    <w:p w14:paraId="000000BA" w14:textId="77777777" w:rsidR="00692458" w:rsidRPr="00EB4B95" w:rsidRDefault="00EB1BF5" w:rsidP="00EB4B95">
      <w:pPr>
        <w:spacing w:after="0" w:line="240" w:lineRule="auto"/>
        <w:jc w:val="both"/>
        <w:rPr>
          <w:rFonts w:asciiTheme="majorHAnsi" w:hAnsiTheme="majorHAnsi" w:cstheme="majorHAnsi"/>
          <w:sz w:val="20"/>
          <w:szCs w:val="20"/>
        </w:rPr>
      </w:pPr>
      <w:r w:rsidRPr="00EB4B95">
        <w:rPr>
          <w:rFonts w:asciiTheme="majorHAnsi" w:hAnsiTheme="majorHAnsi" w:cstheme="majorHAnsi"/>
          <w:sz w:val="20"/>
          <w:szCs w:val="20"/>
          <w:vertAlign w:val="superscript"/>
        </w:rPr>
        <w:footnoteRef/>
      </w:r>
      <w:r w:rsidRPr="00EB4B95">
        <w:rPr>
          <w:rFonts w:asciiTheme="majorHAnsi" w:hAnsiTheme="majorHAnsi" w:cstheme="majorHAnsi"/>
          <w:sz w:val="20"/>
          <w:szCs w:val="20"/>
          <w:vertAlign w:val="superscript"/>
        </w:rPr>
        <w:t xml:space="preserve"> </w:t>
      </w:r>
      <w:r w:rsidRPr="00EB4B95">
        <w:rPr>
          <w:rFonts w:asciiTheme="majorHAnsi" w:eastAsia="Times New Roman" w:hAnsiTheme="majorHAnsi" w:cstheme="majorHAnsi"/>
          <w:sz w:val="20"/>
          <w:szCs w:val="20"/>
        </w:rPr>
        <w:t xml:space="preserve"> IACHR. Available at</w:t>
      </w:r>
      <w:hyperlink r:id="rId2">
        <w:r w:rsidRPr="00EB4B95">
          <w:rPr>
            <w:rFonts w:asciiTheme="majorHAnsi" w:eastAsia="Times New Roman" w:hAnsiTheme="majorHAnsi" w:cstheme="majorHAnsi"/>
            <w:sz w:val="20"/>
            <w:szCs w:val="20"/>
          </w:rPr>
          <w:t xml:space="preserve"> </w:t>
        </w:r>
      </w:hyperlink>
      <w:hyperlink r:id="rId3">
        <w:r w:rsidRPr="00EB4B95">
          <w:rPr>
            <w:rFonts w:asciiTheme="majorHAnsi" w:eastAsia="Times New Roman" w:hAnsiTheme="majorHAnsi" w:cstheme="majorHAnsi"/>
            <w:sz w:val="20"/>
            <w:szCs w:val="20"/>
            <w:u w:val="single"/>
          </w:rPr>
          <w:t>:</w:t>
        </w:r>
      </w:hyperlink>
      <w:r w:rsidRPr="00EB4B95">
        <w:rPr>
          <w:rFonts w:asciiTheme="majorHAnsi" w:eastAsia="Times New Roman" w:hAnsiTheme="majorHAnsi" w:cstheme="majorHAnsi"/>
          <w:sz w:val="20"/>
          <w:szCs w:val="20"/>
        </w:rPr>
        <w:t xml:space="preserve"> </w:t>
      </w:r>
      <w:r w:rsidRPr="00EB4B95">
        <w:rPr>
          <w:rFonts w:asciiTheme="majorHAnsi" w:eastAsia="Times New Roman" w:hAnsiTheme="majorHAnsi" w:cstheme="majorHAnsi"/>
          <w:sz w:val="20"/>
          <w:szCs w:val="20"/>
          <w:u w:val="single"/>
        </w:rPr>
        <w:t>https://www.oas.org/pt/cidh/decisiones/pdf/44-20MC1211-19-BR-pt.pdf.</w:t>
      </w:r>
      <w:r w:rsidRPr="00EB4B95">
        <w:rPr>
          <w:rFonts w:asciiTheme="majorHAnsi" w:eastAsia="Times New Roman" w:hAnsiTheme="majorHAnsi" w:cstheme="majorHAnsi"/>
          <w:sz w:val="20"/>
          <w:szCs w:val="20"/>
        </w:rPr>
        <w:t xml:space="preserve"> Accessed on May 26. 2023.</w:t>
      </w:r>
    </w:p>
  </w:footnote>
  <w:footnote w:id="4">
    <w:p w14:paraId="000000BB" w14:textId="77777777" w:rsidR="00692458" w:rsidRPr="00EB4B95" w:rsidRDefault="00EB1BF5" w:rsidP="00EB4B95">
      <w:pPr>
        <w:spacing w:after="0" w:line="240" w:lineRule="auto"/>
        <w:jc w:val="both"/>
        <w:rPr>
          <w:rFonts w:asciiTheme="majorHAnsi" w:hAnsiTheme="majorHAnsi" w:cstheme="majorHAnsi"/>
          <w:sz w:val="20"/>
          <w:szCs w:val="20"/>
        </w:rPr>
      </w:pPr>
      <w:r w:rsidRPr="00EB4B95">
        <w:rPr>
          <w:rFonts w:asciiTheme="majorHAnsi" w:hAnsiTheme="majorHAnsi" w:cstheme="majorHAnsi"/>
          <w:sz w:val="20"/>
          <w:szCs w:val="20"/>
          <w:vertAlign w:val="superscript"/>
        </w:rPr>
        <w:footnoteRef/>
      </w:r>
      <w:r w:rsidRPr="00EB4B95">
        <w:rPr>
          <w:rFonts w:asciiTheme="majorHAnsi" w:hAnsiTheme="majorHAnsi" w:cstheme="majorHAnsi"/>
          <w:sz w:val="20"/>
          <w:szCs w:val="20"/>
        </w:rPr>
        <w:t xml:space="preserve"> </w:t>
      </w:r>
      <w:r w:rsidRPr="00EB4B95">
        <w:rPr>
          <w:rFonts w:asciiTheme="majorHAnsi" w:eastAsia="Times New Roman" w:hAnsiTheme="majorHAnsi" w:cstheme="majorHAnsi"/>
          <w:sz w:val="20"/>
          <w:szCs w:val="20"/>
        </w:rPr>
        <w:t xml:space="preserve">IACHR. Available </w:t>
      </w:r>
      <w:hyperlink r:id="rId4">
        <w:r w:rsidRPr="00EB4B95">
          <w:rPr>
            <w:rFonts w:asciiTheme="majorHAnsi" w:eastAsia="Times New Roman" w:hAnsiTheme="majorHAnsi" w:cstheme="majorHAnsi"/>
            <w:sz w:val="20"/>
            <w:szCs w:val="20"/>
          </w:rPr>
          <w:t xml:space="preserve"> at</w:t>
        </w:r>
      </w:hyperlink>
      <w:r w:rsidRPr="00EB4B95">
        <w:rPr>
          <w:rFonts w:asciiTheme="majorHAnsi" w:eastAsia="Times New Roman" w:hAnsiTheme="majorHAnsi" w:cstheme="majorHAnsi"/>
          <w:sz w:val="20"/>
          <w:szCs w:val="20"/>
        </w:rPr>
        <w:t xml:space="preserve"> </w:t>
      </w:r>
      <w:r w:rsidRPr="00EB4B95">
        <w:rPr>
          <w:rFonts w:asciiTheme="majorHAnsi" w:eastAsia="Times New Roman" w:hAnsiTheme="majorHAnsi" w:cstheme="majorHAnsi"/>
          <w:sz w:val="20"/>
          <w:szCs w:val="20"/>
          <w:u w:val="single"/>
        </w:rPr>
        <w:t xml:space="preserve">https://www.oas.org/en/cidh/decisiones/pdf/94-20MC679-20-BR.pdf. </w:t>
      </w:r>
      <w:r w:rsidRPr="00EB4B95">
        <w:rPr>
          <w:rFonts w:asciiTheme="majorHAnsi" w:eastAsia="Times New Roman" w:hAnsiTheme="majorHAnsi" w:cstheme="majorHAnsi"/>
          <w:sz w:val="20"/>
          <w:szCs w:val="20"/>
        </w:rPr>
        <w:t>May/26 2023.</w:t>
      </w:r>
    </w:p>
  </w:footnote>
  <w:footnote w:id="5">
    <w:p w14:paraId="000000BC" w14:textId="77777777" w:rsidR="00692458" w:rsidRPr="00EB4B95" w:rsidRDefault="00EB1BF5" w:rsidP="00EB4B95">
      <w:pPr>
        <w:spacing w:after="0" w:line="240" w:lineRule="auto"/>
        <w:jc w:val="both"/>
        <w:rPr>
          <w:rFonts w:asciiTheme="majorHAnsi" w:hAnsiTheme="majorHAnsi" w:cstheme="majorHAnsi"/>
          <w:sz w:val="20"/>
          <w:szCs w:val="20"/>
        </w:rPr>
      </w:pPr>
      <w:r w:rsidRPr="00EB4B95">
        <w:rPr>
          <w:rFonts w:asciiTheme="majorHAnsi" w:hAnsiTheme="majorHAnsi" w:cstheme="majorHAnsi"/>
          <w:sz w:val="20"/>
          <w:szCs w:val="20"/>
          <w:vertAlign w:val="superscript"/>
        </w:rPr>
        <w:footnoteRef/>
      </w:r>
      <w:r w:rsidRPr="00EB4B95">
        <w:rPr>
          <w:rFonts w:asciiTheme="majorHAnsi" w:hAnsiTheme="majorHAnsi" w:cstheme="majorHAnsi"/>
          <w:sz w:val="20"/>
          <w:szCs w:val="20"/>
          <w:vertAlign w:val="superscript"/>
        </w:rPr>
        <w:t xml:space="preserve"> </w:t>
      </w:r>
      <w:r w:rsidRPr="00EB4B95">
        <w:rPr>
          <w:rFonts w:asciiTheme="majorHAnsi" w:eastAsia="Times New Roman" w:hAnsiTheme="majorHAnsi" w:cstheme="majorHAnsi"/>
          <w:sz w:val="20"/>
          <w:szCs w:val="20"/>
        </w:rPr>
        <w:t xml:space="preserve">IACHR. Available </w:t>
      </w:r>
      <w:hyperlink r:id="rId5">
        <w:r w:rsidRPr="00EB4B95">
          <w:rPr>
            <w:rFonts w:asciiTheme="majorHAnsi" w:eastAsia="Times New Roman" w:hAnsiTheme="majorHAnsi" w:cstheme="majorHAnsi"/>
            <w:sz w:val="20"/>
            <w:szCs w:val="20"/>
          </w:rPr>
          <w:t xml:space="preserve"> </w:t>
        </w:r>
      </w:hyperlink>
      <w:hyperlink r:id="rId6">
        <w:r w:rsidRPr="00EB4B95">
          <w:rPr>
            <w:rFonts w:asciiTheme="majorHAnsi" w:eastAsia="Times New Roman" w:hAnsiTheme="majorHAnsi" w:cstheme="majorHAnsi"/>
            <w:color w:val="000000"/>
            <w:sz w:val="20"/>
            <w:szCs w:val="20"/>
          </w:rPr>
          <w:t xml:space="preserve">at </w:t>
        </w:r>
      </w:hyperlink>
      <w:hyperlink r:id="rId7">
        <w:r w:rsidRPr="00EB4B95">
          <w:rPr>
            <w:rFonts w:asciiTheme="majorHAnsi" w:eastAsia="Times New Roman" w:hAnsiTheme="majorHAnsi" w:cstheme="majorHAnsi"/>
            <w:color w:val="000000"/>
            <w:sz w:val="20"/>
            <w:szCs w:val="20"/>
            <w:u w:val="single"/>
          </w:rPr>
          <w:t xml:space="preserve"> https://www.oas.org/es/cidh/decisiones/mc/2021/res_1-21_mc</w:t>
        </w:r>
      </w:hyperlink>
      <w:r w:rsidRPr="00EB4B95">
        <w:rPr>
          <w:rFonts w:asciiTheme="majorHAnsi" w:eastAsia="Times New Roman" w:hAnsiTheme="majorHAnsi" w:cstheme="majorHAnsi"/>
          <w:sz w:val="20"/>
          <w:szCs w:val="20"/>
          <w:u w:val="single"/>
        </w:rPr>
        <w:t xml:space="preserve"> 754-20_br_es.pdf.</w:t>
      </w:r>
      <w:r w:rsidRPr="00EB4B95">
        <w:rPr>
          <w:rFonts w:asciiTheme="majorHAnsi" w:eastAsia="Times New Roman" w:hAnsiTheme="majorHAnsi" w:cstheme="majorHAnsi"/>
          <w:sz w:val="20"/>
          <w:szCs w:val="20"/>
        </w:rPr>
        <w:t xml:space="preserve"> May/26 2023.</w:t>
      </w:r>
    </w:p>
  </w:footnote>
  <w:footnote w:id="6">
    <w:p w14:paraId="000000BD" w14:textId="77777777" w:rsidR="00692458" w:rsidRPr="00EB4B95" w:rsidRDefault="00EB1BF5" w:rsidP="00EB4B95">
      <w:pPr>
        <w:spacing w:after="0" w:line="240" w:lineRule="auto"/>
        <w:jc w:val="both"/>
        <w:rPr>
          <w:rFonts w:asciiTheme="majorHAnsi" w:hAnsiTheme="majorHAnsi" w:cstheme="majorHAnsi"/>
          <w:sz w:val="20"/>
          <w:szCs w:val="20"/>
        </w:rPr>
      </w:pPr>
      <w:r w:rsidRPr="00EB4B95">
        <w:rPr>
          <w:rFonts w:asciiTheme="majorHAnsi" w:hAnsiTheme="majorHAnsi" w:cstheme="majorHAnsi"/>
          <w:sz w:val="20"/>
          <w:szCs w:val="20"/>
          <w:vertAlign w:val="superscript"/>
        </w:rPr>
        <w:footnoteRef/>
      </w:r>
      <w:r w:rsidRPr="00EB4B95">
        <w:rPr>
          <w:rFonts w:asciiTheme="majorHAnsi" w:hAnsiTheme="majorHAnsi" w:cstheme="majorHAnsi"/>
          <w:sz w:val="20"/>
          <w:szCs w:val="20"/>
          <w:vertAlign w:val="superscript"/>
        </w:rPr>
        <w:t xml:space="preserve"> </w:t>
      </w:r>
      <w:r w:rsidRPr="00EB4B95">
        <w:rPr>
          <w:rFonts w:asciiTheme="majorHAnsi" w:eastAsia="Times New Roman" w:hAnsiTheme="majorHAnsi" w:cstheme="majorHAnsi"/>
          <w:sz w:val="20"/>
          <w:szCs w:val="20"/>
        </w:rPr>
        <w:t>ABJD. Complaint 04/03/2020 Available at</w:t>
      </w:r>
      <w:hyperlink r:id="rId8">
        <w:r w:rsidRPr="00EB4B95">
          <w:rPr>
            <w:rFonts w:asciiTheme="majorHAnsi" w:eastAsia="Times New Roman" w:hAnsiTheme="majorHAnsi" w:cstheme="majorHAnsi"/>
            <w:sz w:val="20"/>
            <w:szCs w:val="20"/>
          </w:rPr>
          <w:t xml:space="preserve"> </w:t>
        </w:r>
      </w:hyperlink>
      <w:hyperlink r:id="rId9">
        <w:r w:rsidRPr="00EB4B95">
          <w:rPr>
            <w:rFonts w:asciiTheme="majorHAnsi" w:eastAsia="Times New Roman" w:hAnsiTheme="majorHAnsi" w:cstheme="majorHAnsi"/>
            <w:sz w:val="20"/>
            <w:szCs w:val="20"/>
            <w:u w:val="single"/>
          </w:rPr>
          <w:t>https://static.congressoemfoco.uol.com.br/2020/04/TPI_ABJD_020420.pdf</w:t>
        </w:r>
      </w:hyperlink>
      <w:r w:rsidRPr="00EB4B95">
        <w:rPr>
          <w:rFonts w:asciiTheme="majorHAnsi" w:eastAsia="Times New Roman" w:hAnsiTheme="majorHAnsi" w:cstheme="majorHAnsi"/>
          <w:sz w:val="20"/>
          <w:szCs w:val="20"/>
        </w:rPr>
        <w:t>; PDT. Complaint 06/01/2020 Available at</w:t>
      </w:r>
      <w:hyperlink r:id="rId10">
        <w:r w:rsidRPr="00EB4B95">
          <w:rPr>
            <w:rFonts w:asciiTheme="majorHAnsi" w:eastAsia="Times New Roman" w:hAnsiTheme="majorHAnsi" w:cstheme="majorHAnsi"/>
            <w:sz w:val="20"/>
            <w:szCs w:val="20"/>
          </w:rPr>
          <w:t xml:space="preserve"> </w:t>
        </w:r>
      </w:hyperlink>
      <w:hyperlink r:id="rId11">
        <w:r w:rsidRPr="00EB4B95">
          <w:rPr>
            <w:rFonts w:asciiTheme="majorHAnsi" w:eastAsia="Times New Roman" w:hAnsiTheme="majorHAnsi" w:cstheme="majorHAnsi"/>
            <w:sz w:val="20"/>
            <w:szCs w:val="20"/>
            <w:u w:val="single"/>
          </w:rPr>
          <w:t>https://static.poder360.com.br/2020/07/PDT-acusa-Jair-Bolsņ-de-crime-contra-a-humanidade.pdf</w:t>
        </w:r>
      </w:hyperlink>
      <w:r w:rsidRPr="00EB4B95">
        <w:rPr>
          <w:rFonts w:asciiTheme="majorHAnsi" w:eastAsia="Times New Roman" w:hAnsiTheme="majorHAnsi" w:cstheme="majorHAnsi"/>
          <w:sz w:val="20"/>
          <w:szCs w:val="20"/>
        </w:rPr>
        <w:t>; UNISAÚDE. Criminal complaint. Available at</w:t>
      </w:r>
      <w:hyperlink r:id="rId12">
        <w:r w:rsidRPr="00EB4B95">
          <w:rPr>
            <w:rFonts w:asciiTheme="majorHAnsi" w:eastAsia="Times New Roman" w:hAnsiTheme="majorHAnsi" w:cstheme="majorHAnsi"/>
            <w:sz w:val="20"/>
            <w:szCs w:val="20"/>
          </w:rPr>
          <w:t xml:space="preserve"> </w:t>
        </w:r>
      </w:hyperlink>
      <w:hyperlink r:id="rId13">
        <w:r w:rsidRPr="00EB4B95">
          <w:rPr>
            <w:rFonts w:asciiTheme="majorHAnsi" w:eastAsia="Times New Roman" w:hAnsiTheme="majorHAnsi" w:cstheme="majorHAnsi"/>
            <w:sz w:val="20"/>
            <w:szCs w:val="20"/>
            <w:u w:val="single"/>
          </w:rPr>
          <w:t>https://uniglobalunion.org/sites/default/files/imce/english_denuncia_presidente_icc_final.pdf</w:t>
        </w:r>
      </w:hyperlink>
      <w:r w:rsidRPr="00EB4B95">
        <w:rPr>
          <w:rFonts w:asciiTheme="majorHAnsi" w:eastAsia="Times New Roman" w:hAnsiTheme="majorHAnsi" w:cstheme="majorHAnsi"/>
          <w:sz w:val="20"/>
          <w:szCs w:val="20"/>
        </w:rPr>
        <w:t xml:space="preserve">; ARTICULATION OF INDIGENOUS PEOPLES OF BRAZIL (APIB); SURUÍ, </w:t>
      </w:r>
      <w:r w:rsidRPr="00EB4B95">
        <w:rPr>
          <w:rFonts w:asciiTheme="majorHAnsi" w:eastAsia="Times New Roman" w:hAnsiTheme="majorHAnsi" w:cstheme="majorHAnsi"/>
          <w:sz w:val="20"/>
          <w:szCs w:val="20"/>
        </w:rPr>
        <w:t>Almir; METUKTIRE, Raoni. Communication pursuant to Article 15 of the Rome Statute. Available at</w:t>
      </w:r>
      <w:hyperlink r:id="rId14">
        <w:r w:rsidRPr="00EB4B95">
          <w:rPr>
            <w:rFonts w:asciiTheme="majorHAnsi" w:eastAsia="Times New Roman" w:hAnsiTheme="majorHAnsi" w:cstheme="majorHAnsi"/>
            <w:sz w:val="20"/>
            <w:szCs w:val="20"/>
          </w:rPr>
          <w:t xml:space="preserve"> </w:t>
        </w:r>
      </w:hyperlink>
      <w:hyperlink r:id="rId15">
        <w:r w:rsidRPr="00EB4B95">
          <w:rPr>
            <w:rFonts w:asciiTheme="majorHAnsi" w:eastAsia="Times New Roman" w:hAnsiTheme="majorHAnsi" w:cstheme="majorHAnsi"/>
            <w:sz w:val="20"/>
            <w:szCs w:val="20"/>
            <w:u w:val="single"/>
          </w:rPr>
          <w:t>https://documentacao.socioambiental.org/noticias/anexo_noticia/53148_20210125_091016.PDF</w:t>
        </w:r>
      </w:hyperlink>
      <w:r w:rsidRPr="00EB4B95">
        <w:rPr>
          <w:rFonts w:asciiTheme="majorHAnsi" w:eastAsia="Times New Roman" w:hAnsiTheme="majorHAnsi" w:cstheme="majorHAnsi"/>
          <w:sz w:val="20"/>
          <w:szCs w:val="20"/>
        </w:rPr>
        <w:t>.</w:t>
      </w:r>
    </w:p>
  </w:footnote>
  <w:footnote w:id="7">
    <w:p w14:paraId="000000BE" w14:textId="77777777" w:rsidR="00692458" w:rsidRPr="00EB4B95" w:rsidRDefault="00EB1BF5" w:rsidP="00EB4B95">
      <w:pPr>
        <w:spacing w:after="0" w:line="240" w:lineRule="auto"/>
        <w:jc w:val="both"/>
        <w:rPr>
          <w:rFonts w:asciiTheme="majorHAnsi" w:hAnsiTheme="majorHAnsi" w:cstheme="majorHAnsi"/>
          <w:sz w:val="20"/>
          <w:szCs w:val="20"/>
        </w:rPr>
      </w:pPr>
      <w:r w:rsidRPr="00EB4B95">
        <w:rPr>
          <w:rFonts w:asciiTheme="majorHAnsi" w:hAnsiTheme="majorHAnsi" w:cstheme="majorHAnsi"/>
          <w:sz w:val="20"/>
          <w:szCs w:val="20"/>
          <w:vertAlign w:val="superscript"/>
        </w:rPr>
        <w:footnoteRef/>
      </w:r>
      <w:r w:rsidRPr="00EB4B95">
        <w:rPr>
          <w:rFonts w:asciiTheme="majorHAnsi" w:hAnsiTheme="majorHAnsi" w:cstheme="majorHAnsi"/>
          <w:sz w:val="20"/>
          <w:szCs w:val="20"/>
        </w:rPr>
        <w:t xml:space="preserve"> </w:t>
      </w:r>
      <w:r w:rsidRPr="00EB4B95">
        <w:rPr>
          <w:rFonts w:asciiTheme="majorHAnsi" w:eastAsia="Times New Roman" w:hAnsiTheme="majorHAnsi" w:cstheme="majorHAnsi"/>
          <w:sz w:val="20"/>
          <w:szCs w:val="20"/>
        </w:rPr>
        <w:t xml:space="preserve">HALLAL, Pedro </w:t>
      </w:r>
      <w:r w:rsidRPr="00EB4B95">
        <w:rPr>
          <w:rFonts w:asciiTheme="majorHAnsi" w:eastAsia="Times New Roman" w:hAnsiTheme="majorHAnsi" w:cstheme="majorHAnsi"/>
          <w:i/>
          <w:sz w:val="20"/>
          <w:szCs w:val="20"/>
        </w:rPr>
        <w:t>In</w:t>
      </w:r>
      <w:r w:rsidRPr="00EB4B95">
        <w:rPr>
          <w:rFonts w:asciiTheme="majorHAnsi" w:eastAsia="Times New Roman" w:hAnsiTheme="majorHAnsi" w:cstheme="majorHAnsi"/>
          <w:sz w:val="20"/>
          <w:szCs w:val="20"/>
        </w:rPr>
        <w:t xml:space="preserve"> BARIFOUSE, Rafael. Expecting herd immunity “is absurd and unethical,” says study leader investigating how many had covid-19 in Brazil. BBC. 07/20/2020 Available at https://www.bbc.com/portuguese/brasil-53453245. Access: May 25, 2023.</w:t>
      </w:r>
    </w:p>
  </w:footnote>
  <w:footnote w:id="8">
    <w:p w14:paraId="000000BF" w14:textId="77777777" w:rsidR="00692458" w:rsidRPr="00EB4B95" w:rsidRDefault="00EB1BF5" w:rsidP="00EB4B95">
      <w:pPr>
        <w:spacing w:after="0" w:line="240" w:lineRule="auto"/>
        <w:jc w:val="both"/>
        <w:rPr>
          <w:rFonts w:asciiTheme="majorHAnsi" w:hAnsiTheme="majorHAnsi" w:cstheme="majorHAnsi"/>
          <w:sz w:val="20"/>
          <w:szCs w:val="20"/>
        </w:rPr>
      </w:pPr>
      <w:r w:rsidRPr="00EB4B95">
        <w:rPr>
          <w:rFonts w:asciiTheme="majorHAnsi" w:hAnsiTheme="majorHAnsi" w:cstheme="majorHAnsi"/>
          <w:sz w:val="20"/>
          <w:szCs w:val="20"/>
          <w:vertAlign w:val="superscript"/>
        </w:rPr>
        <w:footnoteRef/>
      </w:r>
      <w:r w:rsidRPr="00EB4B95">
        <w:rPr>
          <w:rFonts w:asciiTheme="majorHAnsi" w:hAnsiTheme="majorHAnsi" w:cstheme="majorHAnsi"/>
          <w:sz w:val="20"/>
          <w:szCs w:val="20"/>
        </w:rPr>
        <w:t xml:space="preserve"> </w:t>
      </w:r>
      <w:r w:rsidRPr="00EB4B95">
        <w:rPr>
          <w:rFonts w:asciiTheme="majorHAnsi" w:eastAsia="Times New Roman" w:hAnsiTheme="majorHAnsi" w:cstheme="majorHAnsi"/>
          <w:sz w:val="20"/>
          <w:szCs w:val="20"/>
        </w:rPr>
        <w:t xml:space="preserve">CPI. Final Report Approved by the Commission </w:t>
      </w:r>
      <w:r w:rsidRPr="00EB4B95">
        <w:rPr>
          <w:rFonts w:asciiTheme="majorHAnsi" w:eastAsia="Times New Roman" w:hAnsiTheme="majorHAnsi" w:cstheme="majorHAnsi"/>
          <w:sz w:val="20"/>
          <w:szCs w:val="20"/>
        </w:rPr>
        <w:t xml:space="preserve">on  October 26, 2021. Available </w:t>
      </w:r>
      <w:hyperlink r:id="rId16">
        <w:r w:rsidRPr="00EB4B95">
          <w:rPr>
            <w:rFonts w:asciiTheme="majorHAnsi" w:eastAsia="Times New Roman" w:hAnsiTheme="majorHAnsi" w:cstheme="majorHAnsi"/>
            <w:sz w:val="20"/>
            <w:szCs w:val="20"/>
          </w:rPr>
          <w:t xml:space="preserve"> </w:t>
        </w:r>
      </w:hyperlink>
      <w:hyperlink r:id="rId17">
        <w:r w:rsidRPr="00EB4B95">
          <w:rPr>
            <w:rFonts w:asciiTheme="majorHAnsi" w:eastAsia="Times New Roman" w:hAnsiTheme="majorHAnsi" w:cstheme="majorHAnsi"/>
            <w:sz w:val="20"/>
            <w:szCs w:val="20"/>
            <w:u w:val="single"/>
          </w:rPr>
          <w:t>at</w:t>
        </w:r>
      </w:hyperlink>
      <w:r w:rsidRPr="00EB4B95">
        <w:rPr>
          <w:rFonts w:asciiTheme="majorHAnsi" w:eastAsia="Times New Roman" w:hAnsiTheme="majorHAnsi" w:cstheme="majorHAnsi"/>
          <w:sz w:val="20"/>
          <w:szCs w:val="20"/>
        </w:rPr>
        <w:t xml:space="preserve"> </w:t>
      </w:r>
      <w:r w:rsidRPr="00EB4B95">
        <w:rPr>
          <w:rFonts w:asciiTheme="majorHAnsi" w:eastAsia="Times New Roman" w:hAnsiTheme="majorHAnsi" w:cstheme="majorHAnsi"/>
          <w:sz w:val="20"/>
          <w:szCs w:val="20"/>
          <w:u w:val="single"/>
        </w:rPr>
        <w:t>https://legis.senado.leg.br/sdleg-getter/documento/download/72c805d3-888b-4228-8682-260175471243.</w:t>
      </w:r>
      <w:r w:rsidRPr="00EB4B95">
        <w:rPr>
          <w:rFonts w:asciiTheme="majorHAnsi" w:eastAsia="Times New Roman" w:hAnsiTheme="majorHAnsi" w:cstheme="majorHAnsi"/>
          <w:sz w:val="20"/>
          <w:szCs w:val="20"/>
        </w:rPr>
        <w:t xml:space="preserve"> Access: May 25, 2023. p. 50-58.</w:t>
      </w:r>
    </w:p>
  </w:footnote>
  <w:footnote w:id="9">
    <w:p w14:paraId="000000C0" w14:textId="77777777" w:rsidR="00692458" w:rsidRPr="00EB4B95" w:rsidRDefault="00EB1BF5" w:rsidP="00EB4B95">
      <w:pPr>
        <w:spacing w:after="0" w:line="240" w:lineRule="auto"/>
        <w:jc w:val="both"/>
        <w:rPr>
          <w:rFonts w:asciiTheme="majorHAnsi" w:hAnsiTheme="majorHAnsi" w:cstheme="majorHAnsi"/>
          <w:sz w:val="20"/>
          <w:szCs w:val="20"/>
          <w:lang w:val="pt-BR"/>
        </w:rPr>
      </w:pPr>
      <w:r w:rsidRPr="00EB4B95">
        <w:rPr>
          <w:rFonts w:asciiTheme="majorHAnsi" w:hAnsiTheme="majorHAnsi" w:cstheme="majorHAnsi"/>
          <w:sz w:val="20"/>
          <w:szCs w:val="20"/>
          <w:vertAlign w:val="superscript"/>
        </w:rPr>
        <w:footnoteRef/>
      </w:r>
      <w:r w:rsidRPr="00EB4B95">
        <w:rPr>
          <w:rFonts w:asciiTheme="majorHAnsi" w:hAnsiTheme="majorHAnsi" w:cstheme="majorHAnsi"/>
          <w:sz w:val="20"/>
          <w:szCs w:val="20"/>
        </w:rPr>
        <w:t xml:space="preserve"> </w:t>
      </w:r>
      <w:r w:rsidRPr="00EB4B95">
        <w:rPr>
          <w:rFonts w:asciiTheme="majorHAnsi" w:eastAsia="Times New Roman" w:hAnsiTheme="majorHAnsi" w:cstheme="majorHAnsi"/>
          <w:sz w:val="20"/>
          <w:szCs w:val="20"/>
        </w:rPr>
        <w:t xml:space="preserve">In Brazil, it is possible to recognize the “existence of an institutional strategy for the spread of the virus, promoted by the Brazilian government under the leadership of the Presidency of the Republic.” CEPEDISA. Rights in the pandemic mapping and analysis of legal standards for response to covid-19 in Brazil. Bulletin No 10. 01/20/2021. p. 6. Available </w:t>
      </w:r>
      <w:hyperlink r:id="rId18">
        <w:r w:rsidRPr="00EB4B95">
          <w:rPr>
            <w:rFonts w:asciiTheme="majorHAnsi" w:eastAsia="Times New Roman" w:hAnsiTheme="majorHAnsi" w:cstheme="majorHAnsi"/>
            <w:sz w:val="20"/>
            <w:szCs w:val="20"/>
          </w:rPr>
          <w:t xml:space="preserve"> at</w:t>
        </w:r>
      </w:hyperlink>
      <w:r w:rsidRPr="00EB4B95">
        <w:rPr>
          <w:rFonts w:asciiTheme="majorHAnsi" w:eastAsia="Times New Roman" w:hAnsiTheme="majorHAnsi" w:cstheme="majorHAnsi"/>
          <w:sz w:val="20"/>
          <w:szCs w:val="20"/>
        </w:rPr>
        <w:t xml:space="preserve"> </w:t>
      </w:r>
      <w:r w:rsidRPr="00EB4B95">
        <w:rPr>
          <w:rFonts w:asciiTheme="majorHAnsi" w:eastAsia="Times New Roman" w:hAnsiTheme="majorHAnsi" w:cstheme="majorHAnsi"/>
          <w:sz w:val="20"/>
          <w:szCs w:val="20"/>
          <w:u w:val="single"/>
        </w:rPr>
        <w:t>https://cepedisa.org.br/wp-content/uploads/2021/02/Boletim_Direitos-na-Pandemia_ed_10.pdf.</w:t>
      </w:r>
      <w:r w:rsidRPr="00EB4B95">
        <w:rPr>
          <w:rFonts w:asciiTheme="majorHAnsi" w:eastAsia="Times New Roman" w:hAnsiTheme="majorHAnsi" w:cstheme="majorHAnsi"/>
          <w:sz w:val="20"/>
          <w:szCs w:val="20"/>
        </w:rPr>
        <w:t xml:space="preserve"> Access: May 25, 2023. The systematic results of the study conducted by CEPEDISA can also be found in the work of VENTURA, Deisy de Freitas Lima; AITH, Fernando </w:t>
      </w:r>
      <w:r w:rsidRPr="00EB4B95">
        <w:rPr>
          <w:rFonts w:asciiTheme="majorHAnsi" w:eastAsia="Times New Roman" w:hAnsiTheme="majorHAnsi" w:cstheme="majorHAnsi"/>
          <w:sz w:val="20"/>
          <w:szCs w:val="20"/>
        </w:rPr>
        <w:t xml:space="preserve">Mussa Abujamra; REIS, Rossana Rocha. </w:t>
      </w:r>
      <w:r w:rsidRPr="00EB4B95">
        <w:rPr>
          <w:rFonts w:asciiTheme="majorHAnsi" w:eastAsia="Times New Roman" w:hAnsiTheme="majorHAnsi" w:cstheme="majorHAnsi"/>
          <w:sz w:val="20"/>
          <w:szCs w:val="20"/>
          <w:lang w:val="pt-BR"/>
        </w:rPr>
        <w:t>Bolsonaro Genocide: Covid-19 pandemic. São Paulo: Elefante, 2021.</w:t>
      </w:r>
    </w:p>
  </w:footnote>
  <w:footnote w:id="10">
    <w:p w14:paraId="000000C1" w14:textId="77777777" w:rsidR="00692458" w:rsidRPr="00EB4B95" w:rsidRDefault="00EB1BF5" w:rsidP="00EB4B95">
      <w:pPr>
        <w:spacing w:after="0" w:line="240" w:lineRule="auto"/>
        <w:jc w:val="both"/>
        <w:rPr>
          <w:rFonts w:asciiTheme="majorHAnsi" w:hAnsiTheme="majorHAnsi" w:cstheme="majorHAnsi"/>
          <w:sz w:val="20"/>
          <w:szCs w:val="20"/>
        </w:rPr>
      </w:pPr>
      <w:r w:rsidRPr="00EB4B95">
        <w:rPr>
          <w:rFonts w:asciiTheme="majorHAnsi" w:hAnsiTheme="majorHAnsi" w:cstheme="majorHAnsi"/>
          <w:sz w:val="20"/>
          <w:szCs w:val="20"/>
          <w:vertAlign w:val="superscript"/>
        </w:rPr>
        <w:footnoteRef/>
      </w:r>
      <w:r w:rsidRPr="00EB4B95">
        <w:rPr>
          <w:rFonts w:asciiTheme="majorHAnsi" w:hAnsiTheme="majorHAnsi" w:cstheme="majorHAnsi"/>
          <w:sz w:val="20"/>
          <w:szCs w:val="20"/>
          <w:lang w:val="pt-BR"/>
        </w:rPr>
        <w:t xml:space="preserve"> </w:t>
      </w:r>
      <w:r w:rsidRPr="00EB4B95">
        <w:rPr>
          <w:rFonts w:asciiTheme="majorHAnsi" w:eastAsia="Times New Roman" w:hAnsiTheme="majorHAnsi" w:cstheme="majorHAnsi"/>
          <w:sz w:val="20"/>
          <w:szCs w:val="20"/>
          <w:lang w:val="pt-BR"/>
        </w:rPr>
        <w:t xml:space="preserve">VENTURA, </w:t>
      </w:r>
      <w:r w:rsidRPr="00EB4B95">
        <w:rPr>
          <w:rFonts w:asciiTheme="majorHAnsi" w:eastAsia="Times New Roman" w:hAnsiTheme="majorHAnsi" w:cstheme="majorHAnsi"/>
          <w:sz w:val="20"/>
          <w:szCs w:val="20"/>
          <w:lang w:val="pt-BR"/>
        </w:rPr>
        <w:t xml:space="preserve">Deisy de Freitas Lima; AITH, Fernando Mussa Abujamra; REIS, Rossana Rocha. </w:t>
      </w:r>
      <w:r w:rsidRPr="00EB4B95">
        <w:rPr>
          <w:rFonts w:asciiTheme="majorHAnsi" w:eastAsia="Times New Roman" w:hAnsiTheme="majorHAnsi" w:cstheme="majorHAnsi"/>
          <w:sz w:val="20"/>
          <w:szCs w:val="20"/>
        </w:rPr>
        <w:t>Bolsonaro Genocide: Covid-19 pandemic. São Paulo: Elefante, 2021.</w:t>
      </w:r>
    </w:p>
  </w:footnote>
  <w:footnote w:id="11">
    <w:p w14:paraId="000000C2" w14:textId="77777777" w:rsidR="00692458" w:rsidRPr="00EB4B95" w:rsidRDefault="00EB1BF5" w:rsidP="00EB4B95">
      <w:pPr>
        <w:spacing w:after="0" w:line="240" w:lineRule="auto"/>
        <w:jc w:val="both"/>
        <w:rPr>
          <w:rFonts w:asciiTheme="majorHAnsi" w:hAnsiTheme="majorHAnsi" w:cstheme="majorHAnsi"/>
          <w:sz w:val="20"/>
          <w:szCs w:val="20"/>
        </w:rPr>
      </w:pPr>
      <w:r w:rsidRPr="00EB4B95">
        <w:rPr>
          <w:rFonts w:asciiTheme="majorHAnsi" w:hAnsiTheme="majorHAnsi" w:cstheme="majorHAnsi"/>
          <w:sz w:val="20"/>
          <w:szCs w:val="20"/>
          <w:vertAlign w:val="superscript"/>
        </w:rPr>
        <w:footnoteRef/>
      </w:r>
      <w:r w:rsidRPr="00EB4B95">
        <w:rPr>
          <w:rFonts w:asciiTheme="majorHAnsi" w:hAnsiTheme="majorHAnsi" w:cstheme="majorHAnsi"/>
          <w:sz w:val="20"/>
          <w:szCs w:val="20"/>
        </w:rPr>
        <w:t xml:space="preserve"> </w:t>
      </w:r>
      <w:r w:rsidRPr="00EB4B95">
        <w:rPr>
          <w:rFonts w:asciiTheme="majorHAnsi" w:eastAsia="Times New Roman" w:hAnsiTheme="majorHAnsi" w:cstheme="majorHAnsi"/>
          <w:sz w:val="20"/>
          <w:szCs w:val="20"/>
        </w:rPr>
        <w:t xml:space="preserve">IACHR. V Annual Report of the Special Rapporteur on Economic, Social, Cultural and Environmental Rights of the Inter-American Commission on Human Rights, 2021. Available </w:t>
      </w:r>
      <w:hyperlink r:id="rId19">
        <w:r w:rsidRPr="00EB4B95">
          <w:rPr>
            <w:rFonts w:asciiTheme="majorHAnsi" w:eastAsia="Times New Roman" w:hAnsiTheme="majorHAnsi" w:cstheme="majorHAnsi"/>
            <w:sz w:val="20"/>
            <w:szCs w:val="20"/>
          </w:rPr>
          <w:t xml:space="preserve"> </w:t>
        </w:r>
      </w:hyperlink>
      <w:hyperlink r:id="rId20">
        <w:r w:rsidRPr="00EB4B95">
          <w:rPr>
            <w:rFonts w:asciiTheme="majorHAnsi" w:eastAsia="Times New Roman" w:hAnsiTheme="majorHAnsi" w:cstheme="majorHAnsi"/>
            <w:sz w:val="20"/>
            <w:szCs w:val="20"/>
            <w:u w:val="single"/>
          </w:rPr>
          <w:t>at</w:t>
        </w:r>
      </w:hyperlink>
      <w:r w:rsidRPr="00EB4B95">
        <w:rPr>
          <w:rFonts w:asciiTheme="majorHAnsi" w:eastAsia="Times New Roman" w:hAnsiTheme="majorHAnsi" w:cstheme="majorHAnsi"/>
          <w:sz w:val="20"/>
          <w:szCs w:val="20"/>
        </w:rPr>
        <w:t xml:space="preserve"> </w:t>
      </w:r>
      <w:r w:rsidRPr="00EB4B95">
        <w:rPr>
          <w:rFonts w:asciiTheme="majorHAnsi" w:eastAsia="Times New Roman" w:hAnsiTheme="majorHAnsi" w:cstheme="majorHAnsi"/>
          <w:sz w:val="20"/>
          <w:szCs w:val="20"/>
          <w:u w:val="single"/>
        </w:rPr>
        <w:t>https://www.oas.org/es/cidh/docs/anual/2021/capitulos/redesca-es.PDF</w:t>
      </w:r>
      <w:r w:rsidRPr="00EB4B95">
        <w:rPr>
          <w:rFonts w:asciiTheme="majorHAnsi" w:eastAsia="Times New Roman" w:hAnsiTheme="majorHAnsi" w:cstheme="majorHAnsi"/>
          <w:sz w:val="20"/>
          <w:szCs w:val="20"/>
        </w:rPr>
        <w:t>. Access: May 25, 2023. § 269.</w:t>
      </w:r>
    </w:p>
  </w:footnote>
  <w:footnote w:id="12">
    <w:p w14:paraId="000000C3" w14:textId="77777777" w:rsidR="00692458" w:rsidRPr="00EB4B95" w:rsidRDefault="00EB1BF5" w:rsidP="00EB4B95">
      <w:pPr>
        <w:spacing w:after="0" w:line="240" w:lineRule="auto"/>
        <w:jc w:val="both"/>
        <w:rPr>
          <w:rFonts w:asciiTheme="majorHAnsi" w:hAnsiTheme="majorHAnsi" w:cstheme="majorHAnsi"/>
          <w:sz w:val="20"/>
          <w:szCs w:val="20"/>
        </w:rPr>
      </w:pPr>
      <w:r w:rsidRPr="00EB4B95">
        <w:rPr>
          <w:rFonts w:asciiTheme="majorHAnsi" w:hAnsiTheme="majorHAnsi" w:cstheme="majorHAnsi"/>
          <w:sz w:val="20"/>
          <w:szCs w:val="20"/>
          <w:vertAlign w:val="superscript"/>
        </w:rPr>
        <w:footnoteRef/>
      </w:r>
      <w:r w:rsidRPr="00EB4B95">
        <w:rPr>
          <w:rFonts w:asciiTheme="majorHAnsi" w:hAnsiTheme="majorHAnsi" w:cstheme="majorHAnsi"/>
          <w:sz w:val="20"/>
          <w:szCs w:val="20"/>
        </w:rPr>
        <w:t xml:space="preserve"> </w:t>
      </w:r>
      <w:r w:rsidRPr="00EB4B95">
        <w:rPr>
          <w:rFonts w:asciiTheme="majorHAnsi" w:eastAsia="Times New Roman" w:hAnsiTheme="majorHAnsi" w:cstheme="majorHAnsi"/>
          <w:sz w:val="20"/>
          <w:szCs w:val="20"/>
        </w:rPr>
        <w:t xml:space="preserve">CPI. Final Report Approved by the Commission </w:t>
      </w:r>
      <w:r w:rsidRPr="00EB4B95">
        <w:rPr>
          <w:rFonts w:asciiTheme="majorHAnsi" w:eastAsia="Times New Roman" w:hAnsiTheme="majorHAnsi" w:cstheme="majorHAnsi"/>
          <w:sz w:val="20"/>
          <w:szCs w:val="20"/>
        </w:rPr>
        <w:t xml:space="preserve">on  October 26, 2021. Available </w:t>
      </w:r>
      <w:hyperlink r:id="rId21">
        <w:r w:rsidRPr="00EB4B95">
          <w:rPr>
            <w:rFonts w:asciiTheme="majorHAnsi" w:eastAsia="Times New Roman" w:hAnsiTheme="majorHAnsi" w:cstheme="majorHAnsi"/>
            <w:sz w:val="20"/>
            <w:szCs w:val="20"/>
          </w:rPr>
          <w:t xml:space="preserve"> </w:t>
        </w:r>
      </w:hyperlink>
      <w:hyperlink r:id="rId22">
        <w:r w:rsidRPr="00EB4B95">
          <w:rPr>
            <w:rFonts w:asciiTheme="majorHAnsi" w:eastAsia="Times New Roman" w:hAnsiTheme="majorHAnsi" w:cstheme="majorHAnsi"/>
            <w:sz w:val="20"/>
            <w:szCs w:val="20"/>
            <w:u w:val="single"/>
          </w:rPr>
          <w:t>at</w:t>
        </w:r>
      </w:hyperlink>
      <w:r w:rsidRPr="00EB4B95">
        <w:rPr>
          <w:rFonts w:asciiTheme="majorHAnsi" w:eastAsia="Times New Roman" w:hAnsiTheme="majorHAnsi" w:cstheme="majorHAnsi"/>
          <w:sz w:val="20"/>
          <w:szCs w:val="20"/>
        </w:rPr>
        <w:t xml:space="preserve"> </w:t>
      </w:r>
      <w:r w:rsidRPr="00EB4B95">
        <w:rPr>
          <w:rFonts w:asciiTheme="majorHAnsi" w:eastAsia="Times New Roman" w:hAnsiTheme="majorHAnsi" w:cstheme="majorHAnsi"/>
          <w:sz w:val="20"/>
          <w:szCs w:val="20"/>
          <w:u w:val="single"/>
        </w:rPr>
        <w:t>https://legis.senado.leg.br/sdleg-getter/documento/download/72c805d3-888b-4228-8682-260175471243</w:t>
      </w:r>
      <w:r w:rsidRPr="00EB4B95">
        <w:rPr>
          <w:rFonts w:asciiTheme="majorHAnsi" w:eastAsia="Times New Roman" w:hAnsiTheme="majorHAnsi" w:cstheme="majorHAnsi"/>
          <w:sz w:val="20"/>
          <w:szCs w:val="20"/>
        </w:rPr>
        <w:t>. Access: May 25, 2023. p. 112.</w:t>
      </w:r>
    </w:p>
  </w:footnote>
  <w:footnote w:id="13">
    <w:p w14:paraId="000000C4" w14:textId="77777777" w:rsidR="00692458" w:rsidRPr="00EB4B95" w:rsidRDefault="00EB1BF5" w:rsidP="00EB4B95">
      <w:pPr>
        <w:spacing w:after="0" w:line="240" w:lineRule="auto"/>
        <w:jc w:val="both"/>
        <w:rPr>
          <w:rFonts w:asciiTheme="majorHAnsi" w:hAnsiTheme="majorHAnsi" w:cstheme="majorHAnsi"/>
          <w:sz w:val="20"/>
          <w:szCs w:val="20"/>
        </w:rPr>
      </w:pPr>
      <w:r w:rsidRPr="00EB4B95">
        <w:rPr>
          <w:rFonts w:asciiTheme="majorHAnsi" w:hAnsiTheme="majorHAnsi" w:cstheme="majorHAnsi"/>
          <w:sz w:val="20"/>
          <w:szCs w:val="20"/>
          <w:vertAlign w:val="superscript"/>
        </w:rPr>
        <w:footnoteRef/>
      </w:r>
      <w:r w:rsidRPr="00EB4B95">
        <w:rPr>
          <w:rFonts w:asciiTheme="majorHAnsi" w:hAnsiTheme="majorHAnsi" w:cstheme="majorHAnsi"/>
          <w:sz w:val="20"/>
          <w:szCs w:val="20"/>
        </w:rPr>
        <w:t xml:space="preserve"> </w:t>
      </w:r>
      <w:hyperlink r:id="rId23" w:anchor="_ftnref14">
        <w:r w:rsidRPr="00EB4B95">
          <w:rPr>
            <w:rFonts w:asciiTheme="majorHAnsi" w:eastAsia="Times New Roman" w:hAnsiTheme="majorHAnsi" w:cstheme="majorHAnsi"/>
            <w:sz w:val="20"/>
            <w:szCs w:val="20"/>
            <w:u w:val="single"/>
          </w:rPr>
          <w:t>[14]</w:t>
        </w:r>
      </w:hyperlink>
      <w:r w:rsidRPr="00EB4B95">
        <w:rPr>
          <w:rFonts w:asciiTheme="majorHAnsi" w:eastAsia="Times New Roman" w:hAnsiTheme="majorHAnsi" w:cstheme="majorHAnsi"/>
          <w:sz w:val="20"/>
          <w:szCs w:val="20"/>
        </w:rPr>
        <w:t xml:space="preserve"> CPI. Final Report Approved by the Commission </w:t>
      </w:r>
      <w:r w:rsidRPr="00EB4B95">
        <w:rPr>
          <w:rFonts w:asciiTheme="majorHAnsi" w:eastAsia="Times New Roman" w:hAnsiTheme="majorHAnsi" w:cstheme="majorHAnsi"/>
          <w:sz w:val="20"/>
          <w:szCs w:val="20"/>
        </w:rPr>
        <w:t xml:space="preserve">on  October 26, 2021. Available  </w:t>
      </w:r>
      <w:hyperlink r:id="rId24">
        <w:r w:rsidRPr="00EB4B95">
          <w:rPr>
            <w:rFonts w:asciiTheme="majorHAnsi" w:eastAsia="Times New Roman" w:hAnsiTheme="majorHAnsi" w:cstheme="majorHAnsi"/>
            <w:sz w:val="20"/>
            <w:szCs w:val="20"/>
          </w:rPr>
          <w:t xml:space="preserve"> </w:t>
        </w:r>
      </w:hyperlink>
      <w:hyperlink r:id="rId25">
        <w:r w:rsidRPr="00EB4B95">
          <w:rPr>
            <w:rFonts w:asciiTheme="majorHAnsi" w:eastAsia="Times New Roman" w:hAnsiTheme="majorHAnsi" w:cstheme="majorHAnsi"/>
            <w:sz w:val="20"/>
            <w:szCs w:val="20"/>
            <w:u w:val="single"/>
          </w:rPr>
          <w:t>at</w:t>
        </w:r>
      </w:hyperlink>
      <w:r w:rsidRPr="00EB4B95">
        <w:rPr>
          <w:rFonts w:asciiTheme="majorHAnsi" w:eastAsia="Times New Roman" w:hAnsiTheme="majorHAnsi" w:cstheme="majorHAnsi"/>
          <w:sz w:val="20"/>
          <w:szCs w:val="20"/>
        </w:rPr>
        <w:t xml:space="preserve"> </w:t>
      </w:r>
      <w:r w:rsidRPr="00EB4B95">
        <w:rPr>
          <w:rFonts w:asciiTheme="majorHAnsi" w:eastAsia="Times New Roman" w:hAnsiTheme="majorHAnsi" w:cstheme="majorHAnsi"/>
          <w:sz w:val="20"/>
          <w:szCs w:val="20"/>
          <w:u w:val="single"/>
        </w:rPr>
        <w:t>https://legis.senado.leg.br/sdleg-getter/documento/download/72c805d3-888b-4228-8682-260175471243.</w:t>
      </w:r>
      <w:r w:rsidRPr="00EB4B95">
        <w:rPr>
          <w:rFonts w:asciiTheme="majorHAnsi" w:eastAsia="Times New Roman" w:hAnsiTheme="majorHAnsi" w:cstheme="majorHAnsi"/>
          <w:sz w:val="20"/>
          <w:szCs w:val="20"/>
        </w:rPr>
        <w:t xml:space="preserve"> Access: May 25, 2023. p. 106.</w:t>
      </w:r>
    </w:p>
  </w:footnote>
  <w:footnote w:id="14">
    <w:p w14:paraId="000000C5" w14:textId="77777777" w:rsidR="00692458" w:rsidRPr="00EB4B95" w:rsidRDefault="00EB1BF5" w:rsidP="00EB4B95">
      <w:pPr>
        <w:spacing w:after="0" w:line="240" w:lineRule="auto"/>
        <w:jc w:val="both"/>
        <w:rPr>
          <w:rFonts w:asciiTheme="majorHAnsi" w:hAnsiTheme="majorHAnsi" w:cstheme="majorHAnsi"/>
          <w:sz w:val="20"/>
          <w:szCs w:val="20"/>
        </w:rPr>
      </w:pPr>
      <w:r w:rsidRPr="00EB4B95">
        <w:rPr>
          <w:rFonts w:asciiTheme="majorHAnsi" w:hAnsiTheme="majorHAnsi" w:cstheme="majorHAnsi"/>
          <w:sz w:val="20"/>
          <w:szCs w:val="20"/>
          <w:vertAlign w:val="superscript"/>
        </w:rPr>
        <w:footnoteRef/>
      </w:r>
      <w:r w:rsidRPr="00EB4B95">
        <w:rPr>
          <w:rFonts w:asciiTheme="majorHAnsi" w:hAnsiTheme="majorHAnsi" w:cstheme="majorHAnsi"/>
          <w:sz w:val="20"/>
          <w:szCs w:val="20"/>
        </w:rPr>
        <w:t xml:space="preserve"> </w:t>
      </w:r>
      <w:r w:rsidRPr="00EB4B95">
        <w:rPr>
          <w:rFonts w:asciiTheme="majorHAnsi" w:eastAsia="Times New Roman" w:hAnsiTheme="majorHAnsi" w:cstheme="majorHAnsi"/>
          <w:sz w:val="20"/>
          <w:szCs w:val="20"/>
        </w:rPr>
        <w:t xml:space="preserve"> CPI. Final Report Approved by the Commission </w:t>
      </w:r>
      <w:r w:rsidRPr="00EB4B95">
        <w:rPr>
          <w:rFonts w:asciiTheme="majorHAnsi" w:eastAsia="Times New Roman" w:hAnsiTheme="majorHAnsi" w:cstheme="majorHAnsi"/>
          <w:sz w:val="20"/>
          <w:szCs w:val="20"/>
        </w:rPr>
        <w:t xml:space="preserve">on  October 26, 2021. Available </w:t>
      </w:r>
      <w:hyperlink r:id="rId26">
        <w:r w:rsidRPr="00EB4B95">
          <w:rPr>
            <w:rFonts w:asciiTheme="majorHAnsi" w:eastAsia="Times New Roman" w:hAnsiTheme="majorHAnsi" w:cstheme="majorHAnsi"/>
            <w:sz w:val="20"/>
            <w:szCs w:val="20"/>
          </w:rPr>
          <w:t xml:space="preserve"> </w:t>
        </w:r>
      </w:hyperlink>
      <w:hyperlink r:id="rId27">
        <w:r w:rsidRPr="00EB4B95">
          <w:rPr>
            <w:rFonts w:asciiTheme="majorHAnsi" w:eastAsia="Times New Roman" w:hAnsiTheme="majorHAnsi" w:cstheme="majorHAnsi"/>
            <w:sz w:val="20"/>
            <w:szCs w:val="20"/>
            <w:u w:val="single"/>
          </w:rPr>
          <w:t>at</w:t>
        </w:r>
      </w:hyperlink>
      <w:r w:rsidRPr="00EB4B95">
        <w:rPr>
          <w:rFonts w:asciiTheme="majorHAnsi" w:eastAsia="Times New Roman" w:hAnsiTheme="majorHAnsi" w:cstheme="majorHAnsi"/>
          <w:sz w:val="20"/>
          <w:szCs w:val="20"/>
        </w:rPr>
        <w:t xml:space="preserve"> </w:t>
      </w:r>
      <w:r w:rsidRPr="00EB4B95">
        <w:rPr>
          <w:rFonts w:asciiTheme="majorHAnsi" w:eastAsia="Times New Roman" w:hAnsiTheme="majorHAnsi" w:cstheme="majorHAnsi"/>
          <w:sz w:val="20"/>
          <w:szCs w:val="20"/>
          <w:u w:val="single"/>
        </w:rPr>
        <w:t>https://legis.senado.leg.br/sdleg-getter/documento/download/72c805d3-888b-4228-8682-260175471243.</w:t>
      </w:r>
      <w:r w:rsidRPr="00EB4B95">
        <w:rPr>
          <w:rFonts w:asciiTheme="majorHAnsi" w:eastAsia="Times New Roman" w:hAnsiTheme="majorHAnsi" w:cstheme="majorHAnsi"/>
          <w:sz w:val="20"/>
          <w:szCs w:val="20"/>
        </w:rPr>
        <w:t xml:space="preserve"> Access: May 25, 2023. p. 155-193</w:t>
      </w:r>
    </w:p>
  </w:footnote>
  <w:footnote w:id="15">
    <w:p w14:paraId="000000C6" w14:textId="77777777" w:rsidR="00692458" w:rsidRPr="00485138" w:rsidRDefault="00EB1BF5" w:rsidP="00EB4B95">
      <w:pPr>
        <w:spacing w:after="0" w:line="240" w:lineRule="auto"/>
        <w:jc w:val="both"/>
        <w:rPr>
          <w:rFonts w:asciiTheme="majorHAnsi" w:hAnsiTheme="majorHAnsi" w:cstheme="majorHAnsi"/>
          <w:sz w:val="16"/>
          <w:szCs w:val="16"/>
        </w:rPr>
      </w:pPr>
      <w:r w:rsidRPr="00485138">
        <w:rPr>
          <w:rFonts w:asciiTheme="majorHAnsi" w:hAnsiTheme="majorHAnsi" w:cstheme="majorHAnsi"/>
          <w:sz w:val="16"/>
          <w:szCs w:val="16"/>
          <w:vertAlign w:val="superscript"/>
        </w:rPr>
        <w:footnoteRef/>
      </w:r>
      <w:r w:rsidRPr="00485138">
        <w:rPr>
          <w:rFonts w:asciiTheme="majorHAnsi" w:hAnsiTheme="majorHAnsi" w:cstheme="majorHAnsi"/>
          <w:sz w:val="16"/>
          <w:szCs w:val="16"/>
        </w:rPr>
        <w:t xml:space="preserve"> </w:t>
      </w:r>
      <w:r w:rsidRPr="00485138">
        <w:rPr>
          <w:rFonts w:asciiTheme="majorHAnsi" w:eastAsia="Times New Roman" w:hAnsiTheme="majorHAnsi" w:cstheme="majorHAnsi"/>
          <w:sz w:val="16"/>
          <w:szCs w:val="16"/>
        </w:rPr>
        <w:t xml:space="preserve"> CPI. Final Report Approved by the Commission </w:t>
      </w:r>
      <w:r w:rsidRPr="00485138">
        <w:rPr>
          <w:rFonts w:asciiTheme="majorHAnsi" w:eastAsia="Times New Roman" w:hAnsiTheme="majorHAnsi" w:cstheme="majorHAnsi"/>
          <w:sz w:val="16"/>
          <w:szCs w:val="16"/>
        </w:rPr>
        <w:t xml:space="preserve">on  October 26, 2021. Available </w:t>
      </w:r>
      <w:hyperlink r:id="rId28">
        <w:r w:rsidRPr="00485138">
          <w:rPr>
            <w:rFonts w:asciiTheme="majorHAnsi" w:eastAsia="Times New Roman" w:hAnsiTheme="majorHAnsi" w:cstheme="majorHAnsi"/>
            <w:sz w:val="16"/>
            <w:szCs w:val="16"/>
          </w:rPr>
          <w:t xml:space="preserve"> </w:t>
        </w:r>
      </w:hyperlink>
      <w:hyperlink r:id="rId29">
        <w:r w:rsidRPr="00485138">
          <w:rPr>
            <w:rFonts w:asciiTheme="majorHAnsi" w:eastAsia="Times New Roman" w:hAnsiTheme="majorHAnsi" w:cstheme="majorHAnsi"/>
            <w:sz w:val="16"/>
            <w:szCs w:val="16"/>
            <w:u w:val="single"/>
          </w:rPr>
          <w:t>at</w:t>
        </w:r>
      </w:hyperlink>
      <w:r w:rsidRPr="00485138">
        <w:rPr>
          <w:rFonts w:asciiTheme="majorHAnsi" w:eastAsia="Times New Roman" w:hAnsiTheme="majorHAnsi" w:cstheme="majorHAnsi"/>
          <w:sz w:val="16"/>
          <w:szCs w:val="16"/>
        </w:rPr>
        <w:t xml:space="preserve"> </w:t>
      </w:r>
      <w:r w:rsidRPr="00485138">
        <w:rPr>
          <w:rFonts w:asciiTheme="majorHAnsi" w:eastAsia="Times New Roman" w:hAnsiTheme="majorHAnsi" w:cstheme="majorHAnsi"/>
          <w:sz w:val="16"/>
          <w:szCs w:val="16"/>
          <w:u w:val="single"/>
        </w:rPr>
        <w:t>https://legis.senado.leg.br/sdleg-getter/documento/download/72c805d3-888b-4228-8682-260175471243.</w:t>
      </w:r>
      <w:r w:rsidRPr="00485138">
        <w:rPr>
          <w:rFonts w:asciiTheme="majorHAnsi" w:eastAsia="Times New Roman" w:hAnsiTheme="majorHAnsi" w:cstheme="majorHAnsi"/>
          <w:sz w:val="16"/>
          <w:szCs w:val="16"/>
        </w:rPr>
        <w:t xml:space="preserve"> Access: May 25, 2023. p. 193-204</w:t>
      </w:r>
    </w:p>
  </w:footnote>
  <w:footnote w:id="16">
    <w:p w14:paraId="000000C7" w14:textId="77777777" w:rsidR="00692458" w:rsidRPr="00485138" w:rsidRDefault="00EB1BF5" w:rsidP="00EB4B95">
      <w:pPr>
        <w:spacing w:after="0" w:line="240" w:lineRule="auto"/>
        <w:jc w:val="both"/>
        <w:rPr>
          <w:rFonts w:asciiTheme="majorHAnsi" w:hAnsiTheme="majorHAnsi" w:cstheme="majorHAnsi"/>
          <w:sz w:val="16"/>
          <w:szCs w:val="16"/>
        </w:rPr>
      </w:pPr>
      <w:r w:rsidRPr="00485138">
        <w:rPr>
          <w:rFonts w:asciiTheme="majorHAnsi" w:hAnsiTheme="majorHAnsi" w:cstheme="majorHAnsi"/>
          <w:sz w:val="16"/>
          <w:szCs w:val="16"/>
          <w:vertAlign w:val="superscript"/>
        </w:rPr>
        <w:footnoteRef/>
      </w:r>
      <w:r w:rsidRPr="00485138">
        <w:rPr>
          <w:rFonts w:asciiTheme="majorHAnsi" w:hAnsiTheme="majorHAnsi" w:cstheme="majorHAnsi"/>
          <w:sz w:val="16"/>
          <w:szCs w:val="16"/>
        </w:rPr>
        <w:t xml:space="preserve"> </w:t>
      </w:r>
      <w:r w:rsidRPr="00485138">
        <w:rPr>
          <w:rFonts w:asciiTheme="majorHAnsi" w:eastAsia="Times New Roman" w:hAnsiTheme="majorHAnsi" w:cstheme="majorHAnsi"/>
          <w:sz w:val="16"/>
          <w:szCs w:val="16"/>
        </w:rPr>
        <w:t xml:space="preserve">CPI. Final Report Approved by the Commission </w:t>
      </w:r>
      <w:r w:rsidRPr="00485138">
        <w:rPr>
          <w:rFonts w:asciiTheme="majorHAnsi" w:eastAsia="Times New Roman" w:hAnsiTheme="majorHAnsi" w:cstheme="majorHAnsi"/>
          <w:sz w:val="16"/>
          <w:szCs w:val="16"/>
        </w:rPr>
        <w:t xml:space="preserve">on  October 26, 2021. Available </w:t>
      </w:r>
      <w:hyperlink r:id="rId30">
        <w:r w:rsidRPr="00485138">
          <w:rPr>
            <w:rFonts w:asciiTheme="majorHAnsi" w:eastAsia="Times New Roman" w:hAnsiTheme="majorHAnsi" w:cstheme="majorHAnsi"/>
            <w:sz w:val="16"/>
            <w:szCs w:val="16"/>
          </w:rPr>
          <w:t xml:space="preserve"> </w:t>
        </w:r>
      </w:hyperlink>
      <w:hyperlink r:id="rId31">
        <w:r w:rsidRPr="00485138">
          <w:rPr>
            <w:rFonts w:asciiTheme="majorHAnsi" w:eastAsia="Times New Roman" w:hAnsiTheme="majorHAnsi" w:cstheme="majorHAnsi"/>
            <w:sz w:val="16"/>
            <w:szCs w:val="16"/>
            <w:u w:val="single"/>
          </w:rPr>
          <w:t>at</w:t>
        </w:r>
      </w:hyperlink>
      <w:r w:rsidRPr="00485138">
        <w:rPr>
          <w:rFonts w:asciiTheme="majorHAnsi" w:eastAsia="Times New Roman" w:hAnsiTheme="majorHAnsi" w:cstheme="majorHAnsi"/>
          <w:sz w:val="16"/>
          <w:szCs w:val="16"/>
        </w:rPr>
        <w:t xml:space="preserve"> </w:t>
      </w:r>
      <w:r w:rsidRPr="00485138">
        <w:rPr>
          <w:rFonts w:asciiTheme="majorHAnsi" w:eastAsia="Times New Roman" w:hAnsiTheme="majorHAnsi" w:cstheme="majorHAnsi"/>
          <w:sz w:val="16"/>
          <w:szCs w:val="16"/>
          <w:u w:val="single"/>
        </w:rPr>
        <w:t>https://legis.senado.leg.br/sdleg-getter/documento/download/72c805d3-888b-4228-8682-260175471243.</w:t>
      </w:r>
      <w:r w:rsidRPr="00485138">
        <w:rPr>
          <w:rFonts w:asciiTheme="majorHAnsi" w:eastAsia="Times New Roman" w:hAnsiTheme="majorHAnsi" w:cstheme="majorHAnsi"/>
          <w:sz w:val="16"/>
          <w:szCs w:val="16"/>
        </w:rPr>
        <w:t xml:space="preserve"> Access: May 25, 2023. p. 208.</w:t>
      </w:r>
    </w:p>
  </w:footnote>
  <w:footnote w:id="17">
    <w:p w14:paraId="000000C8" w14:textId="77777777" w:rsidR="00692458" w:rsidRPr="00485138" w:rsidRDefault="00EB1BF5" w:rsidP="00EB4B95">
      <w:pPr>
        <w:spacing w:after="0" w:line="240" w:lineRule="auto"/>
        <w:jc w:val="both"/>
        <w:rPr>
          <w:rFonts w:asciiTheme="majorHAnsi" w:hAnsiTheme="majorHAnsi" w:cstheme="majorHAnsi"/>
          <w:sz w:val="16"/>
          <w:szCs w:val="16"/>
        </w:rPr>
      </w:pPr>
      <w:r w:rsidRPr="00485138">
        <w:rPr>
          <w:rFonts w:asciiTheme="majorHAnsi" w:hAnsiTheme="majorHAnsi" w:cstheme="majorHAnsi"/>
          <w:sz w:val="16"/>
          <w:szCs w:val="16"/>
          <w:vertAlign w:val="superscript"/>
        </w:rPr>
        <w:footnoteRef/>
      </w:r>
      <w:r w:rsidRPr="00485138">
        <w:rPr>
          <w:rFonts w:asciiTheme="majorHAnsi" w:hAnsiTheme="majorHAnsi" w:cstheme="majorHAnsi"/>
          <w:sz w:val="16"/>
          <w:szCs w:val="16"/>
        </w:rPr>
        <w:t xml:space="preserve"> </w:t>
      </w:r>
      <w:r w:rsidRPr="00485138">
        <w:rPr>
          <w:rFonts w:asciiTheme="majorHAnsi" w:eastAsia="Times New Roman" w:hAnsiTheme="majorHAnsi" w:cstheme="majorHAnsi"/>
          <w:sz w:val="16"/>
          <w:szCs w:val="16"/>
        </w:rPr>
        <w:t xml:space="preserve">G1. Bolsonaro says he will not get a vaccine; science recommends immunization of those who have already had Covid. Oct. / 13 2023. </w:t>
      </w:r>
      <w:hyperlink r:id="rId32">
        <w:r w:rsidRPr="00485138">
          <w:rPr>
            <w:rFonts w:asciiTheme="majorHAnsi" w:eastAsia="Times New Roman" w:hAnsiTheme="majorHAnsi" w:cstheme="majorHAnsi"/>
            <w:sz w:val="16"/>
            <w:szCs w:val="16"/>
          </w:rPr>
          <w:t xml:space="preserve"> </w:t>
        </w:r>
      </w:hyperlink>
      <w:hyperlink r:id="rId33">
        <w:r w:rsidRPr="00485138">
          <w:rPr>
            <w:rFonts w:asciiTheme="majorHAnsi" w:eastAsia="Times New Roman" w:hAnsiTheme="majorHAnsi" w:cstheme="majorHAnsi"/>
            <w:sz w:val="16"/>
            <w:szCs w:val="16"/>
            <w:u w:val="single"/>
          </w:rPr>
          <w:t>https://g1.globo.com/politica/noticia/2021/10/13/bolsonaro-diz-que-nao-tomara-vacina-ciencia-recomenda-imunizacao-de-quem-ja-teve-covid.ghtml</w:t>
        </w:r>
      </w:hyperlink>
      <w:r w:rsidRPr="00485138">
        <w:rPr>
          <w:rFonts w:asciiTheme="majorHAnsi" w:eastAsia="Times New Roman" w:hAnsiTheme="majorHAnsi" w:cstheme="majorHAnsi"/>
          <w:sz w:val="16"/>
          <w:szCs w:val="16"/>
        </w:rPr>
        <w:t>. Access: May 25, 2023.</w:t>
      </w:r>
    </w:p>
  </w:footnote>
  <w:footnote w:id="18">
    <w:p w14:paraId="000000C9" w14:textId="77777777" w:rsidR="00692458" w:rsidRPr="00485138" w:rsidRDefault="00EB1BF5" w:rsidP="00EB4B95">
      <w:pPr>
        <w:spacing w:after="0" w:line="240" w:lineRule="auto"/>
        <w:jc w:val="both"/>
        <w:rPr>
          <w:rFonts w:asciiTheme="majorHAnsi" w:hAnsiTheme="majorHAnsi" w:cstheme="majorHAnsi"/>
          <w:sz w:val="16"/>
          <w:szCs w:val="16"/>
        </w:rPr>
      </w:pPr>
      <w:r w:rsidRPr="00485138">
        <w:rPr>
          <w:rFonts w:asciiTheme="majorHAnsi" w:hAnsiTheme="majorHAnsi" w:cstheme="majorHAnsi"/>
          <w:sz w:val="16"/>
          <w:szCs w:val="16"/>
          <w:vertAlign w:val="superscript"/>
        </w:rPr>
        <w:footnoteRef/>
      </w:r>
      <w:r w:rsidRPr="00485138">
        <w:rPr>
          <w:rFonts w:asciiTheme="majorHAnsi" w:hAnsiTheme="majorHAnsi" w:cstheme="majorHAnsi"/>
          <w:sz w:val="16"/>
          <w:szCs w:val="16"/>
        </w:rPr>
        <w:t xml:space="preserve"> </w:t>
      </w:r>
      <w:r w:rsidRPr="00485138">
        <w:rPr>
          <w:rFonts w:asciiTheme="majorHAnsi" w:eastAsia="Times New Roman" w:hAnsiTheme="majorHAnsi" w:cstheme="majorHAnsi"/>
          <w:sz w:val="16"/>
          <w:szCs w:val="16"/>
        </w:rPr>
        <w:t xml:space="preserve">Ravasco, Gabrielle. My daughter will not get vaccinated against Covid-19, says Bolsonaro Dec. 27. 2021. Available </w:t>
      </w:r>
      <w:hyperlink r:id="rId34">
        <w:r w:rsidRPr="00485138">
          <w:rPr>
            <w:rFonts w:asciiTheme="majorHAnsi" w:eastAsia="Times New Roman" w:hAnsiTheme="majorHAnsi" w:cstheme="majorHAnsi"/>
            <w:sz w:val="16"/>
            <w:szCs w:val="16"/>
          </w:rPr>
          <w:t xml:space="preserve"> at</w:t>
        </w:r>
      </w:hyperlink>
      <w:r w:rsidRPr="00485138">
        <w:rPr>
          <w:rFonts w:asciiTheme="majorHAnsi" w:eastAsia="Times New Roman" w:hAnsiTheme="majorHAnsi" w:cstheme="majorHAnsi"/>
          <w:sz w:val="16"/>
          <w:szCs w:val="16"/>
        </w:rPr>
        <w:t xml:space="preserve"> </w:t>
      </w:r>
      <w:r w:rsidRPr="00485138">
        <w:rPr>
          <w:rFonts w:asciiTheme="majorHAnsi" w:eastAsia="Times New Roman" w:hAnsiTheme="majorHAnsi" w:cstheme="majorHAnsi"/>
          <w:sz w:val="16"/>
          <w:szCs w:val="16"/>
          <w:u w:val="single"/>
        </w:rPr>
        <w:t>https://www.cnnbrasil.com.br/politica/minha-filha-nao-vai-se-vacinar-contra-a-covid-19-afirma-bolsonaro/</w:t>
      </w:r>
      <w:r w:rsidRPr="00485138">
        <w:rPr>
          <w:rFonts w:asciiTheme="majorHAnsi" w:eastAsia="Times New Roman" w:hAnsiTheme="majorHAnsi" w:cstheme="majorHAnsi"/>
          <w:sz w:val="16"/>
          <w:szCs w:val="16"/>
        </w:rPr>
        <w:t>. Access: May 25,</w:t>
      </w:r>
    </w:p>
  </w:footnote>
  <w:footnote w:id="19">
    <w:p w14:paraId="000000CA" w14:textId="77777777" w:rsidR="00692458" w:rsidRPr="00485138" w:rsidRDefault="00EB1BF5" w:rsidP="00EB4B95">
      <w:pPr>
        <w:spacing w:after="0" w:line="240" w:lineRule="auto"/>
        <w:jc w:val="both"/>
        <w:rPr>
          <w:rFonts w:asciiTheme="majorHAnsi" w:hAnsiTheme="majorHAnsi" w:cstheme="majorHAnsi"/>
          <w:sz w:val="16"/>
          <w:szCs w:val="16"/>
        </w:rPr>
      </w:pPr>
      <w:r w:rsidRPr="00485138">
        <w:rPr>
          <w:rFonts w:asciiTheme="majorHAnsi" w:hAnsiTheme="majorHAnsi" w:cstheme="majorHAnsi"/>
          <w:sz w:val="16"/>
          <w:szCs w:val="16"/>
          <w:vertAlign w:val="superscript"/>
        </w:rPr>
        <w:footnoteRef/>
      </w:r>
      <w:r w:rsidRPr="00485138">
        <w:rPr>
          <w:rFonts w:asciiTheme="majorHAnsi" w:hAnsiTheme="majorHAnsi" w:cstheme="majorHAnsi"/>
          <w:sz w:val="16"/>
          <w:szCs w:val="16"/>
        </w:rPr>
        <w:t xml:space="preserve"> </w:t>
      </w:r>
      <w:r w:rsidRPr="00485138">
        <w:rPr>
          <w:rFonts w:asciiTheme="majorHAnsi" w:eastAsia="Times New Roman" w:hAnsiTheme="majorHAnsi" w:cstheme="majorHAnsi"/>
          <w:sz w:val="16"/>
          <w:szCs w:val="16"/>
        </w:rPr>
        <w:t>In 2021, childhood vaccination in the country reached its worst level in three decades. Coverage rates have returned to 1987 levels.</w:t>
      </w:r>
    </w:p>
  </w:footnote>
  <w:footnote w:id="20">
    <w:p w14:paraId="000000CB" w14:textId="77777777" w:rsidR="00692458" w:rsidRPr="00485138" w:rsidRDefault="00EB1BF5" w:rsidP="00EB4B95">
      <w:pPr>
        <w:spacing w:after="0" w:line="240" w:lineRule="auto"/>
        <w:jc w:val="both"/>
        <w:rPr>
          <w:rFonts w:asciiTheme="majorHAnsi" w:hAnsiTheme="majorHAnsi" w:cstheme="majorHAnsi"/>
          <w:sz w:val="16"/>
          <w:szCs w:val="16"/>
        </w:rPr>
      </w:pPr>
      <w:r w:rsidRPr="00485138">
        <w:rPr>
          <w:rFonts w:asciiTheme="majorHAnsi" w:hAnsiTheme="majorHAnsi" w:cstheme="majorHAnsi"/>
          <w:sz w:val="16"/>
          <w:szCs w:val="16"/>
          <w:vertAlign w:val="superscript"/>
        </w:rPr>
        <w:footnoteRef/>
      </w:r>
      <w:r w:rsidRPr="00485138">
        <w:rPr>
          <w:rFonts w:asciiTheme="majorHAnsi" w:hAnsiTheme="majorHAnsi" w:cstheme="majorHAnsi"/>
          <w:sz w:val="16"/>
          <w:szCs w:val="16"/>
        </w:rPr>
        <w:t xml:space="preserve"> </w:t>
      </w:r>
      <w:r w:rsidRPr="00485138">
        <w:rPr>
          <w:rFonts w:asciiTheme="majorHAnsi" w:eastAsia="Times New Roman" w:hAnsiTheme="majorHAnsi" w:cstheme="majorHAnsi"/>
          <w:sz w:val="16"/>
          <w:szCs w:val="16"/>
        </w:rPr>
        <w:t xml:space="preserve">RIBEIRO, Victor. A year ago, Brazil applied the first dose of vaccine against covid-19. Brazilian Communication Company, January 17, 2022. Available </w:t>
      </w:r>
      <w:hyperlink r:id="rId35">
        <w:r w:rsidRPr="00485138">
          <w:rPr>
            <w:rFonts w:asciiTheme="majorHAnsi" w:eastAsia="Times New Roman" w:hAnsiTheme="majorHAnsi" w:cstheme="majorHAnsi"/>
            <w:sz w:val="16"/>
            <w:szCs w:val="16"/>
          </w:rPr>
          <w:t xml:space="preserve"> at</w:t>
        </w:r>
      </w:hyperlink>
      <w:r w:rsidRPr="00485138">
        <w:rPr>
          <w:rFonts w:asciiTheme="majorHAnsi" w:eastAsia="Times New Roman" w:hAnsiTheme="majorHAnsi" w:cstheme="majorHAnsi"/>
          <w:sz w:val="16"/>
          <w:szCs w:val="16"/>
        </w:rPr>
        <w:t xml:space="preserve"> </w:t>
      </w:r>
      <w:r w:rsidRPr="00485138">
        <w:rPr>
          <w:rFonts w:asciiTheme="majorHAnsi" w:eastAsia="Times New Roman" w:hAnsiTheme="majorHAnsi" w:cstheme="majorHAnsi"/>
          <w:sz w:val="16"/>
          <w:szCs w:val="16"/>
          <w:u w:val="single"/>
        </w:rPr>
        <w:t>https://agenciabrasil.ebc.com.br/radioagencia-nacional/saude/audio/2022-01/ha-um-ano-brasil-aplicava-1a-dose-de-vacina-contra-covid-19.</w:t>
      </w:r>
      <w:r w:rsidRPr="00485138">
        <w:rPr>
          <w:rFonts w:asciiTheme="majorHAnsi" w:eastAsia="Times New Roman" w:hAnsiTheme="majorHAnsi" w:cstheme="majorHAnsi"/>
          <w:sz w:val="16"/>
          <w:szCs w:val="16"/>
        </w:rPr>
        <w:t xml:space="preserve"> Access: May 25, 2023.</w:t>
      </w:r>
    </w:p>
  </w:footnote>
  <w:footnote w:id="21">
    <w:p w14:paraId="000000CC" w14:textId="77777777" w:rsidR="00692458" w:rsidRPr="00EB4B95" w:rsidRDefault="00EB1BF5" w:rsidP="00EB4B95">
      <w:pPr>
        <w:spacing w:after="0" w:line="240" w:lineRule="auto"/>
        <w:jc w:val="both"/>
        <w:rPr>
          <w:rFonts w:asciiTheme="majorHAnsi" w:hAnsiTheme="majorHAnsi" w:cstheme="majorHAnsi"/>
          <w:sz w:val="20"/>
          <w:szCs w:val="20"/>
        </w:rPr>
      </w:pPr>
      <w:r w:rsidRPr="00EB4B95">
        <w:rPr>
          <w:rFonts w:asciiTheme="majorHAnsi" w:hAnsiTheme="majorHAnsi" w:cstheme="majorHAnsi"/>
          <w:sz w:val="20"/>
          <w:szCs w:val="20"/>
          <w:vertAlign w:val="superscript"/>
        </w:rPr>
        <w:footnoteRef/>
      </w:r>
      <w:r w:rsidRPr="00EB4B95">
        <w:rPr>
          <w:rFonts w:asciiTheme="majorHAnsi" w:hAnsiTheme="majorHAnsi" w:cstheme="majorHAnsi"/>
          <w:sz w:val="20"/>
          <w:szCs w:val="20"/>
        </w:rPr>
        <w:t xml:space="preserve"> </w:t>
      </w:r>
      <w:r w:rsidRPr="00EB4B95">
        <w:rPr>
          <w:rFonts w:asciiTheme="majorHAnsi" w:eastAsia="Times New Roman" w:hAnsiTheme="majorHAnsi" w:cstheme="majorHAnsi"/>
          <w:sz w:val="20"/>
          <w:szCs w:val="20"/>
        </w:rPr>
        <w:t xml:space="preserve">G1. Crowds protest in the center of Manaus against a new closure of the trade. 26-Dec </w:t>
      </w:r>
      <w:hyperlink r:id="rId36">
        <w:r w:rsidRPr="00EB4B95">
          <w:rPr>
            <w:rFonts w:asciiTheme="majorHAnsi" w:eastAsia="Times New Roman" w:hAnsiTheme="majorHAnsi" w:cstheme="majorHAnsi"/>
            <w:sz w:val="20"/>
            <w:szCs w:val="20"/>
          </w:rPr>
          <w:t xml:space="preserve"> </w:t>
        </w:r>
      </w:hyperlink>
      <w:hyperlink r:id="rId37">
        <w:r w:rsidRPr="00EB4B95">
          <w:rPr>
            <w:rFonts w:asciiTheme="majorHAnsi" w:eastAsia="Times New Roman" w:hAnsiTheme="majorHAnsi" w:cstheme="majorHAnsi"/>
            <w:sz w:val="20"/>
            <w:szCs w:val="20"/>
            <w:u w:val="single"/>
          </w:rPr>
          <w:t>2020.</w:t>
        </w:r>
      </w:hyperlink>
      <w:r w:rsidRPr="00EB4B95">
        <w:rPr>
          <w:rFonts w:asciiTheme="majorHAnsi" w:eastAsia="Times New Roman" w:hAnsiTheme="majorHAnsi" w:cstheme="majorHAnsi"/>
          <w:sz w:val="20"/>
          <w:szCs w:val="20"/>
        </w:rPr>
        <w:t xml:space="preserve"> </w:t>
      </w:r>
      <w:r w:rsidRPr="00EB4B95">
        <w:rPr>
          <w:rFonts w:asciiTheme="majorHAnsi" w:eastAsia="Times New Roman" w:hAnsiTheme="majorHAnsi" w:cstheme="majorHAnsi"/>
          <w:sz w:val="20"/>
          <w:szCs w:val="20"/>
          <w:u w:val="single"/>
        </w:rPr>
        <w:t>https://g1.globo.com/am/amazonas/noticia/2020/12/26/multidao-faz-protesto-no-centro-de-manaus-contra-novo-fecamento-do-comercio-video.ghtml.</w:t>
      </w:r>
      <w:r w:rsidRPr="00EB4B95">
        <w:rPr>
          <w:rFonts w:asciiTheme="majorHAnsi" w:eastAsia="Times New Roman" w:hAnsiTheme="majorHAnsi" w:cstheme="majorHAnsi"/>
          <w:sz w:val="20"/>
          <w:szCs w:val="20"/>
        </w:rPr>
        <w:t xml:space="preserve"> Access: May 25, 2023.</w:t>
      </w:r>
    </w:p>
  </w:footnote>
  <w:footnote w:id="22">
    <w:p w14:paraId="000000CD" w14:textId="77777777" w:rsidR="00692458" w:rsidRPr="00EB4B95" w:rsidRDefault="00EB1BF5" w:rsidP="00EB4B95">
      <w:pPr>
        <w:spacing w:after="0" w:line="240" w:lineRule="auto"/>
        <w:jc w:val="both"/>
        <w:rPr>
          <w:rFonts w:asciiTheme="majorHAnsi" w:hAnsiTheme="majorHAnsi" w:cstheme="majorHAnsi"/>
          <w:sz w:val="20"/>
          <w:szCs w:val="20"/>
        </w:rPr>
      </w:pPr>
      <w:r w:rsidRPr="00EB4B95">
        <w:rPr>
          <w:rFonts w:asciiTheme="majorHAnsi" w:hAnsiTheme="majorHAnsi" w:cstheme="majorHAnsi"/>
          <w:sz w:val="20"/>
          <w:szCs w:val="20"/>
          <w:vertAlign w:val="superscript"/>
        </w:rPr>
        <w:footnoteRef/>
      </w:r>
      <w:r w:rsidRPr="00EB4B95">
        <w:rPr>
          <w:rFonts w:asciiTheme="majorHAnsi" w:hAnsiTheme="majorHAnsi" w:cstheme="majorHAnsi"/>
          <w:sz w:val="20"/>
          <w:szCs w:val="20"/>
        </w:rPr>
        <w:t xml:space="preserve"> </w:t>
      </w:r>
      <w:r w:rsidRPr="00EB4B95">
        <w:rPr>
          <w:rFonts w:asciiTheme="majorHAnsi" w:eastAsia="Times New Roman" w:hAnsiTheme="majorHAnsi" w:cstheme="majorHAnsi"/>
          <w:sz w:val="20"/>
          <w:szCs w:val="20"/>
        </w:rPr>
        <w:t>To parameterize the meaning of these numbers in relation to the Amazonian population, it is reported that in the entire year of 2020, 5,325 deaths were recorded due to COVID. In 2021, 8,511 were recorded. That is, the deaths of the eight weeks corresponded to 103% of the deaths of the previous year and 64.6% of the entire year. Data extracted from CONASS. National panel: Covid-19: cases and deaths. Available at</w:t>
      </w:r>
      <w:hyperlink r:id="rId38" w:anchor=".Xt1mjjGS0V4.whatsapp">
        <w:r w:rsidRPr="00EB4B95">
          <w:rPr>
            <w:rFonts w:asciiTheme="majorHAnsi" w:eastAsia="Times New Roman" w:hAnsiTheme="majorHAnsi" w:cstheme="majorHAnsi"/>
            <w:sz w:val="20"/>
            <w:szCs w:val="20"/>
          </w:rPr>
          <w:t xml:space="preserve"> </w:t>
        </w:r>
      </w:hyperlink>
      <w:hyperlink r:id="rId39" w:anchor=".Xt1mjjGS0V4.whatsapp">
        <w:r w:rsidRPr="00EB4B95">
          <w:rPr>
            <w:rFonts w:asciiTheme="majorHAnsi" w:eastAsia="Times New Roman" w:hAnsiTheme="majorHAnsi" w:cstheme="majorHAnsi"/>
            <w:sz w:val="20"/>
            <w:szCs w:val="20"/>
            <w:u w:val="single"/>
          </w:rPr>
          <w:t>https://www.conass.org.br/painelconasscovid19/#.Xt1mjjGS0V4.whatsapp</w:t>
        </w:r>
      </w:hyperlink>
      <w:r w:rsidRPr="00EB4B95">
        <w:rPr>
          <w:rFonts w:asciiTheme="majorHAnsi" w:eastAsia="Times New Roman" w:hAnsiTheme="majorHAnsi" w:cstheme="majorHAnsi"/>
          <w:sz w:val="20"/>
          <w:szCs w:val="20"/>
        </w:rPr>
        <w:t>. Access: May 25, 2023.</w:t>
      </w:r>
    </w:p>
  </w:footnote>
  <w:footnote w:id="23">
    <w:p w14:paraId="000000CE" w14:textId="77777777" w:rsidR="00692458" w:rsidRPr="00EB4B95" w:rsidRDefault="00EB1BF5" w:rsidP="00EB4B95">
      <w:pPr>
        <w:spacing w:after="0" w:line="240" w:lineRule="auto"/>
        <w:jc w:val="both"/>
        <w:rPr>
          <w:rFonts w:asciiTheme="majorHAnsi" w:hAnsiTheme="majorHAnsi" w:cstheme="majorHAnsi"/>
          <w:sz w:val="20"/>
          <w:szCs w:val="20"/>
        </w:rPr>
      </w:pPr>
      <w:r w:rsidRPr="00EB4B95">
        <w:rPr>
          <w:rFonts w:asciiTheme="majorHAnsi" w:hAnsiTheme="majorHAnsi" w:cstheme="majorHAnsi"/>
          <w:sz w:val="20"/>
          <w:szCs w:val="20"/>
          <w:vertAlign w:val="superscript"/>
        </w:rPr>
        <w:footnoteRef/>
      </w:r>
      <w:r w:rsidRPr="00EB4B95">
        <w:rPr>
          <w:rFonts w:asciiTheme="majorHAnsi" w:hAnsiTheme="majorHAnsi" w:cstheme="majorHAnsi"/>
          <w:sz w:val="20"/>
          <w:szCs w:val="20"/>
        </w:rPr>
        <w:t xml:space="preserve"> </w:t>
      </w:r>
      <w:r w:rsidRPr="00EB4B95">
        <w:rPr>
          <w:rFonts w:asciiTheme="majorHAnsi" w:eastAsia="Times New Roman" w:hAnsiTheme="majorHAnsi" w:cstheme="majorHAnsi"/>
          <w:sz w:val="20"/>
          <w:szCs w:val="20"/>
        </w:rPr>
        <w:t xml:space="preserve">CPI. Final Report Approved by the Commission </w:t>
      </w:r>
      <w:r w:rsidRPr="00EB4B95">
        <w:rPr>
          <w:rFonts w:asciiTheme="majorHAnsi" w:eastAsia="Times New Roman" w:hAnsiTheme="majorHAnsi" w:cstheme="majorHAnsi"/>
          <w:sz w:val="20"/>
          <w:szCs w:val="20"/>
        </w:rPr>
        <w:t xml:space="preserve">on  October 26, 2021. Available </w:t>
      </w:r>
      <w:hyperlink r:id="rId40">
        <w:r w:rsidRPr="00EB4B95">
          <w:rPr>
            <w:rFonts w:asciiTheme="majorHAnsi" w:eastAsia="Times New Roman" w:hAnsiTheme="majorHAnsi" w:cstheme="majorHAnsi"/>
            <w:sz w:val="20"/>
            <w:szCs w:val="20"/>
          </w:rPr>
          <w:t xml:space="preserve"> </w:t>
        </w:r>
      </w:hyperlink>
      <w:hyperlink r:id="rId41">
        <w:r w:rsidRPr="00EB4B95">
          <w:rPr>
            <w:rFonts w:asciiTheme="majorHAnsi" w:eastAsia="Times New Roman" w:hAnsiTheme="majorHAnsi" w:cstheme="majorHAnsi"/>
            <w:sz w:val="20"/>
            <w:szCs w:val="20"/>
            <w:u w:val="single"/>
          </w:rPr>
          <w:t>at</w:t>
        </w:r>
      </w:hyperlink>
      <w:r w:rsidRPr="00EB4B95">
        <w:rPr>
          <w:rFonts w:asciiTheme="majorHAnsi" w:eastAsia="Times New Roman" w:hAnsiTheme="majorHAnsi" w:cstheme="majorHAnsi"/>
          <w:sz w:val="20"/>
          <w:szCs w:val="20"/>
        </w:rPr>
        <w:t xml:space="preserve"> </w:t>
      </w:r>
      <w:r w:rsidRPr="00EB4B95">
        <w:rPr>
          <w:rFonts w:asciiTheme="majorHAnsi" w:eastAsia="Times New Roman" w:hAnsiTheme="majorHAnsi" w:cstheme="majorHAnsi"/>
          <w:sz w:val="20"/>
          <w:szCs w:val="20"/>
          <w:u w:val="single"/>
        </w:rPr>
        <w:t>https://legis.senado.leg.br/sdleg-getter/documento/download/72c805d3-888b-4228-8682-260175471243.</w:t>
      </w:r>
      <w:r w:rsidRPr="00EB4B95">
        <w:rPr>
          <w:rFonts w:asciiTheme="majorHAnsi" w:eastAsia="Times New Roman" w:hAnsiTheme="majorHAnsi" w:cstheme="majorHAnsi"/>
          <w:sz w:val="20"/>
          <w:szCs w:val="20"/>
        </w:rPr>
        <w:t xml:space="preserve"> Access: May 25, 2023. p. 266.</w:t>
      </w:r>
    </w:p>
  </w:footnote>
  <w:footnote w:id="24">
    <w:p w14:paraId="000000CF" w14:textId="77777777" w:rsidR="00692458" w:rsidRPr="00EB4B95" w:rsidRDefault="00EB1BF5" w:rsidP="00EB4B95">
      <w:pPr>
        <w:spacing w:after="0" w:line="240" w:lineRule="auto"/>
        <w:jc w:val="both"/>
        <w:rPr>
          <w:rFonts w:asciiTheme="majorHAnsi" w:hAnsiTheme="majorHAnsi" w:cstheme="majorHAnsi"/>
          <w:sz w:val="20"/>
          <w:szCs w:val="20"/>
        </w:rPr>
      </w:pPr>
      <w:r w:rsidRPr="00EB4B95">
        <w:rPr>
          <w:rFonts w:asciiTheme="majorHAnsi" w:hAnsiTheme="majorHAnsi" w:cstheme="majorHAnsi"/>
          <w:sz w:val="20"/>
          <w:szCs w:val="20"/>
          <w:vertAlign w:val="superscript"/>
        </w:rPr>
        <w:footnoteRef/>
      </w:r>
      <w:r w:rsidRPr="00EB4B95">
        <w:rPr>
          <w:rFonts w:asciiTheme="majorHAnsi" w:hAnsiTheme="majorHAnsi" w:cstheme="majorHAnsi"/>
          <w:sz w:val="20"/>
          <w:szCs w:val="20"/>
        </w:rPr>
        <w:t xml:space="preserve"> </w:t>
      </w:r>
      <w:r w:rsidRPr="00EB4B95">
        <w:rPr>
          <w:rFonts w:asciiTheme="majorHAnsi" w:eastAsia="Times New Roman" w:hAnsiTheme="majorHAnsi" w:cstheme="majorHAnsi"/>
          <w:sz w:val="20"/>
          <w:szCs w:val="20"/>
        </w:rPr>
        <w:t xml:space="preserve">In order to measure what is intended to be referred to as lack of oxygen, the CPI cites a technical report that sought to identify situations of therapeutic gas deprivation in the state public network. Of the 184 medical records analyzed, considering the days of January 14 and 15, 34 patients presented critical deficit or lack of oxygen. CPI Final Report Approved by the Commission </w:t>
      </w:r>
      <w:r w:rsidRPr="00EB4B95">
        <w:rPr>
          <w:rFonts w:asciiTheme="majorHAnsi" w:eastAsia="Times New Roman" w:hAnsiTheme="majorHAnsi" w:cstheme="majorHAnsi"/>
          <w:sz w:val="20"/>
          <w:szCs w:val="20"/>
        </w:rPr>
        <w:t xml:space="preserve">on  October 26, 2021. Available </w:t>
      </w:r>
      <w:hyperlink r:id="rId42">
        <w:r w:rsidRPr="00EB4B95">
          <w:rPr>
            <w:rFonts w:asciiTheme="majorHAnsi" w:eastAsia="Times New Roman" w:hAnsiTheme="majorHAnsi" w:cstheme="majorHAnsi"/>
            <w:sz w:val="20"/>
            <w:szCs w:val="20"/>
          </w:rPr>
          <w:t xml:space="preserve"> </w:t>
        </w:r>
      </w:hyperlink>
      <w:hyperlink r:id="rId43">
        <w:r w:rsidRPr="00EB4B95">
          <w:rPr>
            <w:rFonts w:asciiTheme="majorHAnsi" w:eastAsia="Times New Roman" w:hAnsiTheme="majorHAnsi" w:cstheme="majorHAnsi"/>
            <w:sz w:val="20"/>
            <w:szCs w:val="20"/>
            <w:u w:val="single"/>
          </w:rPr>
          <w:t>at</w:t>
        </w:r>
      </w:hyperlink>
      <w:r w:rsidRPr="00EB4B95">
        <w:rPr>
          <w:rFonts w:asciiTheme="majorHAnsi" w:eastAsia="Times New Roman" w:hAnsiTheme="majorHAnsi" w:cstheme="majorHAnsi"/>
          <w:sz w:val="20"/>
          <w:szCs w:val="20"/>
        </w:rPr>
        <w:t xml:space="preserve"> </w:t>
      </w:r>
      <w:r w:rsidRPr="00EB4B95">
        <w:rPr>
          <w:rFonts w:asciiTheme="majorHAnsi" w:eastAsia="Times New Roman" w:hAnsiTheme="majorHAnsi" w:cstheme="majorHAnsi"/>
          <w:sz w:val="20"/>
          <w:szCs w:val="20"/>
          <w:u w:val="single"/>
        </w:rPr>
        <w:t>https://legis.senado.leg.br/sdleg-getter/documento/download/72c805d3-888b-4228-8682-260175471243</w:t>
      </w:r>
      <w:r w:rsidRPr="00EB4B95">
        <w:rPr>
          <w:rFonts w:asciiTheme="majorHAnsi" w:eastAsia="Times New Roman" w:hAnsiTheme="majorHAnsi" w:cstheme="majorHAnsi"/>
          <w:sz w:val="20"/>
          <w:szCs w:val="20"/>
        </w:rPr>
        <w:t>. Access: May 25, 2023. P. 272.</w:t>
      </w:r>
    </w:p>
  </w:footnote>
  <w:footnote w:id="25">
    <w:p w14:paraId="000000D0" w14:textId="77777777" w:rsidR="00692458" w:rsidRPr="00EB4B95" w:rsidRDefault="00EB1BF5" w:rsidP="00EB4B95">
      <w:pPr>
        <w:spacing w:after="0" w:line="240" w:lineRule="auto"/>
        <w:jc w:val="both"/>
        <w:rPr>
          <w:rFonts w:asciiTheme="majorHAnsi" w:hAnsiTheme="majorHAnsi" w:cstheme="majorHAnsi"/>
          <w:sz w:val="20"/>
          <w:szCs w:val="20"/>
        </w:rPr>
      </w:pPr>
      <w:r w:rsidRPr="00EB4B95">
        <w:rPr>
          <w:rFonts w:asciiTheme="majorHAnsi" w:hAnsiTheme="majorHAnsi" w:cstheme="majorHAnsi"/>
          <w:sz w:val="20"/>
          <w:szCs w:val="20"/>
          <w:vertAlign w:val="superscript"/>
        </w:rPr>
        <w:footnoteRef/>
      </w:r>
      <w:r w:rsidRPr="00EB4B95">
        <w:rPr>
          <w:rFonts w:asciiTheme="majorHAnsi" w:hAnsiTheme="majorHAnsi" w:cstheme="majorHAnsi"/>
          <w:sz w:val="20"/>
          <w:szCs w:val="20"/>
          <w:vertAlign w:val="superscript"/>
        </w:rPr>
        <w:t xml:space="preserve"> </w:t>
      </w:r>
      <w:r w:rsidRPr="00EB4B95">
        <w:rPr>
          <w:rFonts w:asciiTheme="majorHAnsi" w:eastAsia="Times New Roman" w:hAnsiTheme="majorHAnsi" w:cstheme="majorHAnsi"/>
          <w:sz w:val="20"/>
          <w:szCs w:val="20"/>
        </w:rPr>
        <w:t xml:space="preserve">“On December 31, the balance in the account of the State of Amazonas was R$ 478.1 million; and the balance in the accounts of the Municipal Health Fund of the Municipalities of the State of Amazonas was R$ 203.1 million” CPI. Final Report Approved by the Commission </w:t>
      </w:r>
      <w:r w:rsidRPr="00EB4B95">
        <w:rPr>
          <w:rFonts w:asciiTheme="majorHAnsi" w:eastAsia="Times New Roman" w:hAnsiTheme="majorHAnsi" w:cstheme="majorHAnsi"/>
          <w:sz w:val="20"/>
          <w:szCs w:val="20"/>
        </w:rPr>
        <w:t xml:space="preserve">on  October 26, 2021. Available </w:t>
      </w:r>
      <w:hyperlink r:id="rId44">
        <w:r w:rsidRPr="00EB4B95">
          <w:rPr>
            <w:rFonts w:asciiTheme="majorHAnsi" w:eastAsia="Times New Roman" w:hAnsiTheme="majorHAnsi" w:cstheme="majorHAnsi"/>
            <w:sz w:val="20"/>
            <w:szCs w:val="20"/>
          </w:rPr>
          <w:t xml:space="preserve"> </w:t>
        </w:r>
      </w:hyperlink>
      <w:hyperlink r:id="rId45">
        <w:r w:rsidRPr="00EB4B95">
          <w:rPr>
            <w:rFonts w:asciiTheme="majorHAnsi" w:eastAsia="Times New Roman" w:hAnsiTheme="majorHAnsi" w:cstheme="majorHAnsi"/>
            <w:sz w:val="20"/>
            <w:szCs w:val="20"/>
            <w:u w:val="single"/>
          </w:rPr>
          <w:t>at</w:t>
        </w:r>
      </w:hyperlink>
      <w:r w:rsidRPr="00EB4B95">
        <w:rPr>
          <w:rFonts w:asciiTheme="majorHAnsi" w:eastAsia="Times New Roman" w:hAnsiTheme="majorHAnsi" w:cstheme="majorHAnsi"/>
          <w:sz w:val="20"/>
          <w:szCs w:val="20"/>
        </w:rPr>
        <w:t xml:space="preserve"> </w:t>
      </w:r>
      <w:r w:rsidRPr="00EB4B95">
        <w:rPr>
          <w:rFonts w:asciiTheme="majorHAnsi" w:eastAsia="Times New Roman" w:hAnsiTheme="majorHAnsi" w:cstheme="majorHAnsi"/>
          <w:sz w:val="20"/>
          <w:szCs w:val="20"/>
          <w:u w:val="single"/>
        </w:rPr>
        <w:t>https://legis.senado.leg.br/sdleg-getter/documento/download/72c805d3-888b-4228-8682-260175471243.</w:t>
      </w:r>
      <w:r w:rsidRPr="00EB4B95">
        <w:rPr>
          <w:rFonts w:asciiTheme="majorHAnsi" w:eastAsia="Times New Roman" w:hAnsiTheme="majorHAnsi" w:cstheme="majorHAnsi"/>
          <w:sz w:val="20"/>
          <w:szCs w:val="20"/>
        </w:rPr>
        <w:t xml:space="preserve"> Access: May 25, 2023. p. 268.</w:t>
      </w:r>
    </w:p>
  </w:footnote>
  <w:footnote w:id="26">
    <w:p w14:paraId="000000D1" w14:textId="77777777" w:rsidR="00692458" w:rsidRPr="00EB4B95" w:rsidRDefault="00EB1BF5" w:rsidP="00EB4B95">
      <w:pPr>
        <w:spacing w:after="0" w:line="240" w:lineRule="auto"/>
        <w:jc w:val="both"/>
        <w:rPr>
          <w:rFonts w:asciiTheme="majorHAnsi" w:hAnsiTheme="majorHAnsi" w:cstheme="majorHAnsi"/>
          <w:sz w:val="20"/>
          <w:szCs w:val="20"/>
        </w:rPr>
      </w:pPr>
      <w:r w:rsidRPr="00EB4B95">
        <w:rPr>
          <w:rFonts w:asciiTheme="majorHAnsi" w:hAnsiTheme="majorHAnsi" w:cstheme="majorHAnsi"/>
          <w:sz w:val="20"/>
          <w:szCs w:val="20"/>
          <w:vertAlign w:val="superscript"/>
        </w:rPr>
        <w:footnoteRef/>
      </w:r>
      <w:r w:rsidRPr="00EB4B95">
        <w:rPr>
          <w:rFonts w:asciiTheme="majorHAnsi" w:hAnsiTheme="majorHAnsi" w:cstheme="majorHAnsi"/>
          <w:sz w:val="20"/>
          <w:szCs w:val="20"/>
        </w:rPr>
        <w:t xml:space="preserve"> </w:t>
      </w:r>
      <w:r w:rsidRPr="00EB4B95">
        <w:rPr>
          <w:rFonts w:asciiTheme="majorHAnsi" w:eastAsia="Times New Roman" w:hAnsiTheme="majorHAnsi" w:cstheme="majorHAnsi"/>
          <w:sz w:val="20"/>
          <w:szCs w:val="20"/>
        </w:rPr>
        <w:t xml:space="preserve">CPI. Final Report Approved by the Commission </w:t>
      </w:r>
      <w:r w:rsidRPr="00EB4B95">
        <w:rPr>
          <w:rFonts w:asciiTheme="majorHAnsi" w:eastAsia="Times New Roman" w:hAnsiTheme="majorHAnsi" w:cstheme="majorHAnsi"/>
          <w:sz w:val="20"/>
          <w:szCs w:val="20"/>
        </w:rPr>
        <w:t xml:space="preserve">on  October 26, 2021. Available </w:t>
      </w:r>
      <w:hyperlink r:id="rId46">
        <w:r w:rsidRPr="00EB4B95">
          <w:rPr>
            <w:rFonts w:asciiTheme="majorHAnsi" w:eastAsia="Times New Roman" w:hAnsiTheme="majorHAnsi" w:cstheme="majorHAnsi"/>
            <w:sz w:val="20"/>
            <w:szCs w:val="20"/>
          </w:rPr>
          <w:t xml:space="preserve"> </w:t>
        </w:r>
      </w:hyperlink>
      <w:hyperlink r:id="rId47">
        <w:r w:rsidRPr="00EB4B95">
          <w:rPr>
            <w:rFonts w:asciiTheme="majorHAnsi" w:eastAsia="Times New Roman" w:hAnsiTheme="majorHAnsi" w:cstheme="majorHAnsi"/>
            <w:sz w:val="20"/>
            <w:szCs w:val="20"/>
            <w:u w:val="single"/>
          </w:rPr>
          <w:t>at</w:t>
        </w:r>
      </w:hyperlink>
      <w:r w:rsidRPr="00EB4B95">
        <w:rPr>
          <w:rFonts w:asciiTheme="majorHAnsi" w:eastAsia="Times New Roman" w:hAnsiTheme="majorHAnsi" w:cstheme="majorHAnsi"/>
          <w:sz w:val="20"/>
          <w:szCs w:val="20"/>
        </w:rPr>
        <w:t xml:space="preserve"> </w:t>
      </w:r>
      <w:r w:rsidRPr="00EB4B95">
        <w:rPr>
          <w:rFonts w:asciiTheme="majorHAnsi" w:eastAsia="Times New Roman" w:hAnsiTheme="majorHAnsi" w:cstheme="majorHAnsi"/>
          <w:sz w:val="20"/>
          <w:szCs w:val="20"/>
          <w:u w:val="single"/>
        </w:rPr>
        <w:t>https://legis.senado.leg.br/sdleg-getter/documento/download/72c805d3-888b-4228-8682-260175471243</w:t>
      </w:r>
      <w:r w:rsidRPr="00EB4B95">
        <w:rPr>
          <w:rFonts w:asciiTheme="majorHAnsi" w:eastAsia="Times New Roman" w:hAnsiTheme="majorHAnsi" w:cstheme="majorHAnsi"/>
          <w:sz w:val="20"/>
          <w:szCs w:val="20"/>
        </w:rPr>
        <w:t>. Access: May 25, 2023. p. 189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284BE" w14:textId="2B2E9389" w:rsidR="00485138" w:rsidRDefault="00485138" w:rsidP="00485138">
    <w:pPr>
      <w:pStyle w:val="NoSpacing"/>
      <w:jc w:val="center"/>
    </w:pPr>
    <w:r>
      <w:rPr>
        <w:noProof/>
      </w:rPr>
      <w:drawing>
        <wp:inline distT="0" distB="0" distL="0" distR="0" wp14:anchorId="11558518" wp14:editId="287D2E20">
          <wp:extent cx="763929" cy="763929"/>
          <wp:effectExtent l="0" t="0" r="0" b="0"/>
          <wp:docPr id="675538911" name="Picture 1" descr="A green circle with white text and yellow and white w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538911" name="Picture 1" descr="A green circle with white text and yellow and white wave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359" cy="779359"/>
                  </a:xfrm>
                  <a:prstGeom prst="rect">
                    <a:avLst/>
                  </a:prstGeom>
                  <a:noFill/>
                  <a:ln>
                    <a:noFill/>
                  </a:ln>
                </pic:spPr>
              </pic:pic>
            </a:graphicData>
          </a:graphic>
        </wp:inline>
      </w:drawing>
    </w:r>
    <w:r>
      <w:t>​</w:t>
    </w:r>
  </w:p>
  <w:p w14:paraId="119BCB93" w14:textId="77777777" w:rsidR="00485138" w:rsidRPr="00485138" w:rsidRDefault="00485138" w:rsidP="00485138">
    <w:pPr>
      <w:pStyle w:val="NoSpacing"/>
      <w:jc w:val="center"/>
      <w:rPr>
        <w:lang/>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458"/>
    <w:rsid w:val="0000278E"/>
    <w:rsid w:val="00034431"/>
    <w:rsid w:val="001B15F7"/>
    <w:rsid w:val="003A27BD"/>
    <w:rsid w:val="003F7C96"/>
    <w:rsid w:val="00485138"/>
    <w:rsid w:val="00692458"/>
    <w:rsid w:val="007357F0"/>
    <w:rsid w:val="00840982"/>
    <w:rsid w:val="00842677"/>
    <w:rsid w:val="008762C5"/>
    <w:rsid w:val="00880E99"/>
    <w:rsid w:val="00A036C0"/>
    <w:rsid w:val="00BB5A13"/>
    <w:rsid w:val="00C27FE7"/>
    <w:rsid w:val="00C72B04"/>
    <w:rsid w:val="00E5095A"/>
    <w:rsid w:val="00EB1BF5"/>
    <w:rsid w:val="00EB4B95"/>
    <w:rsid w:val="00F12A2D"/>
    <w:rsid w:val="00F61A5B"/>
    <w:rsid w:val="00F673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3E1AC"/>
  <w15:docId w15:val="{F66BDCC6-29A2-488A-8ABC-7CC80AC16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spacing w:line="240" w:lineRule="auto"/>
      <w:outlineLvl w:val="2"/>
    </w:pPr>
    <w:rPr>
      <w:rFonts w:ascii="Times New Roman" w:eastAsia="Times New Roman" w:hAnsi="Times New Roman" w:cs="Times New Roman"/>
      <w:b/>
      <w:sz w:val="27"/>
      <w:szCs w:val="27"/>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4851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5138"/>
  </w:style>
  <w:style w:type="paragraph" w:styleId="Footer">
    <w:name w:val="footer"/>
    <w:basedOn w:val="Normal"/>
    <w:link w:val="FooterChar"/>
    <w:uiPriority w:val="99"/>
    <w:unhideWhenUsed/>
    <w:rsid w:val="004851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5138"/>
  </w:style>
  <w:style w:type="paragraph" w:customStyle="1" w:styleId="tabelatextocentralizado">
    <w:name w:val="tabela_texto_centralizado"/>
    <w:basedOn w:val="Normal"/>
    <w:rsid w:val="00485138"/>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Strong">
    <w:name w:val="Strong"/>
    <w:basedOn w:val="DefaultParagraphFont"/>
    <w:uiPriority w:val="22"/>
    <w:qFormat/>
    <w:rsid w:val="00485138"/>
    <w:rPr>
      <w:b/>
      <w:bCs/>
    </w:rPr>
  </w:style>
  <w:style w:type="paragraph" w:styleId="NoSpacing">
    <w:name w:val="No Spacing"/>
    <w:uiPriority w:val="1"/>
    <w:qFormat/>
    <w:rsid w:val="004851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58472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br/participamaisbrasil/recomendacao-n-20-de-2021" TargetMode="External"/><Relationship Id="rId3" Type="http://schemas.openxmlformats.org/officeDocument/2006/relationships/webSettings" Target="webSettings.xml"/><Relationship Id="rId7" Type="http://schemas.openxmlformats.org/officeDocument/2006/relationships/hyperlink" Target="https://www.gov.br/participamaisbrasil/nota-publica-do-conselho-nacional-dos-direitos-humanos-contra-a-criminalizacao-dos-movimentos-sociai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br/participamaisbrasil/cndh"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s://uniglobalunion.org/sites/default/files/imce/english_denuncia_presidente_icc_final.pdf" TargetMode="External"/><Relationship Id="rId18" Type="http://schemas.openxmlformats.org/officeDocument/2006/relationships/hyperlink" Target="https://cepedisa.org.br/wp-content/uploads/2021/02/Boletim_Direitos-na-Pandemia_ed_10.pdf" TargetMode="External"/><Relationship Id="rId26" Type="http://schemas.openxmlformats.org/officeDocument/2006/relationships/hyperlink" Target="https://legis.senado.leg.br/sdleg-getter/documento/download/72c805d3-888b-4228-8682-260175471243" TargetMode="External"/><Relationship Id="rId39" Type="http://schemas.openxmlformats.org/officeDocument/2006/relationships/hyperlink" Target="https://www.conass.org.br/painelconasscovid19/" TargetMode="External"/><Relationship Id="rId21" Type="http://schemas.openxmlformats.org/officeDocument/2006/relationships/hyperlink" Target="https://legis.senado.leg.br/sdleg-getter/documento/download/72c805d3-888b-4228-8682-260175471243" TargetMode="External"/><Relationship Id="rId34" Type="http://schemas.openxmlformats.org/officeDocument/2006/relationships/hyperlink" Target="https://www.cnnbrasil.com.br/politica/minha-filha-nao-vai-se-vacinar-contra-a-covid-19-afirma-bolsonaro/" TargetMode="External"/><Relationship Id="rId42" Type="http://schemas.openxmlformats.org/officeDocument/2006/relationships/hyperlink" Target="https://legis.senado.leg.br/sdleg-getter/documento/download/72c805d3-888b-4228-8682-260175471243" TargetMode="External"/><Relationship Id="rId47" Type="http://schemas.openxmlformats.org/officeDocument/2006/relationships/hyperlink" Target="https://legis.senado.leg.br/sdleg-getter/documento/download/72c805d3-888b-4228-8682-260175471243" TargetMode="External"/><Relationship Id="rId7" Type="http://schemas.openxmlformats.org/officeDocument/2006/relationships/hyperlink" Target="about:blank" TargetMode="External"/><Relationship Id="rId2" Type="http://schemas.openxmlformats.org/officeDocument/2006/relationships/hyperlink" Target="https://www.oas.org/pt/cidh/decisiones/pdf/44-20MC1211-19-BR-pt.pdf" TargetMode="External"/><Relationship Id="rId16" Type="http://schemas.openxmlformats.org/officeDocument/2006/relationships/hyperlink" Target="https://legis.senado.leg.br/sdleg-getter/documento/download/72c805d3-888b-4228-8682-260175471243" TargetMode="External"/><Relationship Id="rId29" Type="http://schemas.openxmlformats.org/officeDocument/2006/relationships/hyperlink" Target="https://legis.senado.leg.br/sdleg-getter/documento/download/72c805d3-888b-4228-8682-260175471243" TargetMode="External"/><Relationship Id="rId1" Type="http://schemas.openxmlformats.org/officeDocument/2006/relationships/hyperlink" Target="https://www.oas.org/es/cidh/decisiones/pdf/2020/35-20MC563-20-BR-PT.pdf" TargetMode="External"/><Relationship Id="rId6" Type="http://schemas.openxmlformats.org/officeDocument/2006/relationships/hyperlink" Target="about:blank" TargetMode="External"/><Relationship Id="rId11" Type="http://schemas.openxmlformats.org/officeDocument/2006/relationships/hyperlink" Target="https://static.poder360.com.br/2020/07/PDT-acusa-Jair-Bolsonaro-de-crime-contra-a-humanidade.pdf" TargetMode="External"/><Relationship Id="rId24" Type="http://schemas.openxmlformats.org/officeDocument/2006/relationships/hyperlink" Target="https://legis.senado.leg.br/sdleg-getter/documento/download/72c805d3-888b-4228-8682-260175471243" TargetMode="External"/><Relationship Id="rId32" Type="http://schemas.openxmlformats.org/officeDocument/2006/relationships/hyperlink" Target="https://g1.globo.com/politica/noticia/2021/10/13/bolsonaro-diz-que-nao-tomara-vacina-ciencia-recomenda-imunizacao-de-quem-ja-teve-covid.ghtml" TargetMode="External"/><Relationship Id="rId37" Type="http://schemas.openxmlformats.org/officeDocument/2006/relationships/hyperlink" Target="https://g1.globo.com/am/amazonas/noticia/2020/12/26/multidao-faz-protesto-no-centro-de-manaus-contra-novo-fechamento-do-comercio-video.ghtml" TargetMode="External"/><Relationship Id="rId40" Type="http://schemas.openxmlformats.org/officeDocument/2006/relationships/hyperlink" Target="https://legis.senado.leg.br/sdleg-getter/documento/download/72c805d3-888b-4228-8682-260175471243" TargetMode="External"/><Relationship Id="rId45" Type="http://schemas.openxmlformats.org/officeDocument/2006/relationships/hyperlink" Target="https://legis.senado.leg.br/sdleg-getter/documento/download/72c805d3-888b-4228-8682-260175471243" TargetMode="External"/><Relationship Id="rId5" Type="http://schemas.openxmlformats.org/officeDocument/2006/relationships/hyperlink" Target="https://www.oas.org/es/cidh/decisiones/mc/2021/res_1-21_mc%20754-20_br_es.pdf" TargetMode="External"/><Relationship Id="rId15" Type="http://schemas.openxmlformats.org/officeDocument/2006/relationships/hyperlink" Target="https://documentacao.socioambiental.org/noticias/anexo_noticia/53148_20210125_091016.PDF" TargetMode="External"/><Relationship Id="rId23" Type="http://schemas.openxmlformats.org/officeDocument/2006/relationships/hyperlink" Target="https://d.docs.live.net/2b409405669c8ced/%C3%81rea%20de%20Trabalho/Coisas%20da%20Marina%20na%20%C3%A1rea%20de%20trabalho%20do%20Maur%C3%ADcio/Nota%20te%CC%81cnica%20PIDCP%20-%20UNISINOS.docx" TargetMode="External"/><Relationship Id="rId28" Type="http://schemas.openxmlformats.org/officeDocument/2006/relationships/hyperlink" Target="https://legis.senado.leg.br/sdleg-getter/documento/download/72c805d3-888b-4228-8682-260175471243" TargetMode="External"/><Relationship Id="rId36" Type="http://schemas.openxmlformats.org/officeDocument/2006/relationships/hyperlink" Target="https://g1.globo.com/am/amazonas/noticia/2020/12/26/multidao-faz-protesto-no-centro-de-manaus-contra-novo-fechamento-do-comercio-video.ghtml" TargetMode="External"/><Relationship Id="rId10" Type="http://schemas.openxmlformats.org/officeDocument/2006/relationships/hyperlink" Target="https://static.poder360.com.br/2020/07/PDT-acusa-Jair-Bolsonaro-de-crime-contra-a-humanidade.pdf" TargetMode="External"/><Relationship Id="rId19" Type="http://schemas.openxmlformats.org/officeDocument/2006/relationships/hyperlink" Target="https://www.oas.org/es/cidh/docs/anual/2021/capitulos/redesca-es.PDF" TargetMode="External"/><Relationship Id="rId31" Type="http://schemas.openxmlformats.org/officeDocument/2006/relationships/hyperlink" Target="https://legis.senado.leg.br/sdleg-getter/documento/download/72c805d3-888b-4228-8682-260175471243" TargetMode="External"/><Relationship Id="rId44" Type="http://schemas.openxmlformats.org/officeDocument/2006/relationships/hyperlink" Target="https://legis.senado.leg.br/sdleg-getter/documento/download/72c805d3-888b-4228-8682-260175471243" TargetMode="External"/><Relationship Id="rId4" Type="http://schemas.openxmlformats.org/officeDocument/2006/relationships/hyperlink" Target="https://www.oas.org/pt/cidh/decisiones/pdf/94-20MC679-20-BR.pdf" TargetMode="External"/><Relationship Id="rId9" Type="http://schemas.openxmlformats.org/officeDocument/2006/relationships/hyperlink" Target="https://static.congressoemfoco.uol.com.br/2020/04/TPI_ABJD_020420.pdf" TargetMode="External"/><Relationship Id="rId14" Type="http://schemas.openxmlformats.org/officeDocument/2006/relationships/hyperlink" Target="https://documentacao.socioambiental.org/noticias/anexo_noticia/53148_20210125_091016.PDF" TargetMode="External"/><Relationship Id="rId22" Type="http://schemas.openxmlformats.org/officeDocument/2006/relationships/hyperlink" Target="https://legis.senado.leg.br/sdleg-getter/documento/download/72c805d3-888b-4228-8682-260175471243" TargetMode="External"/><Relationship Id="rId27" Type="http://schemas.openxmlformats.org/officeDocument/2006/relationships/hyperlink" Target="https://legis.senado.leg.br/sdleg-getter/documento/download/72c805d3-888b-4228-8682-260175471243" TargetMode="External"/><Relationship Id="rId30" Type="http://schemas.openxmlformats.org/officeDocument/2006/relationships/hyperlink" Target="https://legis.senado.leg.br/sdleg-getter/documento/download/72c805d3-888b-4228-8682-260175471243" TargetMode="External"/><Relationship Id="rId35" Type="http://schemas.openxmlformats.org/officeDocument/2006/relationships/hyperlink" Target="https://agenciabrasil.ebc.com.br/radioagencia-nacional/saude/audio/2022-01/ha-um-ano-brasil-aplicava-1a-dose-de-vacina-contra-covid-19" TargetMode="External"/><Relationship Id="rId43" Type="http://schemas.openxmlformats.org/officeDocument/2006/relationships/hyperlink" Target="https://legis.senado.leg.br/sdleg-getter/documento/download/72c805d3-888b-4228-8682-260175471243" TargetMode="External"/><Relationship Id="rId8" Type="http://schemas.openxmlformats.org/officeDocument/2006/relationships/hyperlink" Target="https://static.congressoemfoco.uol.com.br/2020/04/TPI_ABJD_020420.pdf" TargetMode="External"/><Relationship Id="rId3" Type="http://schemas.openxmlformats.org/officeDocument/2006/relationships/hyperlink" Target="https://www.oas.org/pt/cidh/decisiones/pdf/44-20MC1211-19-BR-pt.pdf" TargetMode="External"/><Relationship Id="rId12" Type="http://schemas.openxmlformats.org/officeDocument/2006/relationships/hyperlink" Target="https://uniglobalunion.org/sites/default/files/imce/english_denuncia_presidente_icc_final.pdf" TargetMode="External"/><Relationship Id="rId17" Type="http://schemas.openxmlformats.org/officeDocument/2006/relationships/hyperlink" Target="https://legis.senado.leg.br/sdleg-getter/documento/download/72c805d3-888b-4228-8682-260175471243" TargetMode="External"/><Relationship Id="rId25" Type="http://schemas.openxmlformats.org/officeDocument/2006/relationships/hyperlink" Target="https://legis.senado.leg.br/sdleg-getter/documento/download/72c805d3-888b-4228-8682-260175471243" TargetMode="External"/><Relationship Id="rId33" Type="http://schemas.openxmlformats.org/officeDocument/2006/relationships/hyperlink" Target="https://g1.globo.com/politica/noticia/2021/10/13/bolsonaro-diz-que-nao-tomara-vacina-ciencia-recomenda-imunizacao-de-quem-ja-teve-covid.ghtml" TargetMode="External"/><Relationship Id="rId38" Type="http://schemas.openxmlformats.org/officeDocument/2006/relationships/hyperlink" Target="https://www.conass.org.br/painelconasscovid19/" TargetMode="External"/><Relationship Id="rId46" Type="http://schemas.openxmlformats.org/officeDocument/2006/relationships/hyperlink" Target="https://legis.senado.leg.br/sdleg-getter/documento/download/72c805d3-888b-4228-8682-260175471243" TargetMode="External"/><Relationship Id="rId20" Type="http://schemas.openxmlformats.org/officeDocument/2006/relationships/hyperlink" Target="https://www.oas.org/es/cidh/docs/anual/2021/capitulos/redesca-es.PDF" TargetMode="External"/><Relationship Id="rId41" Type="http://schemas.openxmlformats.org/officeDocument/2006/relationships/hyperlink" Target="https://legis.senado.leg.br/sdleg-getter/documento/download/72c805d3-888b-4228-8682-26017547124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7184</Words>
  <Characters>38794</Characters>
  <Application>Microsoft Office Word</Application>
  <DocSecurity>0</DocSecurity>
  <Lines>587</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Camila Gomes de Lima</dc:creator>
  <cp:lastModifiedBy>Celine Reynaud</cp:lastModifiedBy>
  <cp:revision>2</cp:revision>
  <cp:lastPrinted>2023-08-29T10:23:00Z</cp:lastPrinted>
  <dcterms:created xsi:type="dcterms:W3CDTF">2023-08-29T11:14:00Z</dcterms:created>
  <dcterms:modified xsi:type="dcterms:W3CDTF">2023-08-29T11:14:00Z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d9abae9f753831adeaf176f2be57a6bc2f1312a2926f8e21ead1054a973d1a43</vt:lpwstr>
  </property>
</Properties>
</file>