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079FC" w14:textId="1E136A9D" w:rsidR="00CB5F9D" w:rsidRPr="00CB5F9D" w:rsidRDefault="00CB5F9D" w:rsidP="00775980">
      <w:pPr>
        <w:bidi/>
        <w:spacing w:line="240" w:lineRule="auto"/>
        <w:jc w:val="right"/>
        <w:rPr>
          <w:rFonts w:asciiTheme="majorBidi" w:hAnsiTheme="majorBidi" w:cstheme="majorBidi"/>
          <w:sz w:val="28"/>
          <w:szCs w:val="28"/>
          <w:rtl/>
        </w:rPr>
      </w:pPr>
    </w:p>
    <w:p w14:paraId="4BC4983B" w14:textId="77777777" w:rsidR="00CB5F9D" w:rsidRPr="00CB5F9D" w:rsidRDefault="00CB5F9D" w:rsidP="00775980">
      <w:pPr>
        <w:pBdr>
          <w:bottom w:val="single" w:sz="4" w:space="1" w:color="auto"/>
        </w:pBdr>
        <w:bidi/>
        <w:spacing w:line="240" w:lineRule="auto"/>
        <w:jc w:val="center"/>
        <w:rPr>
          <w:rFonts w:asciiTheme="majorBidi" w:hAnsiTheme="majorBidi" w:cstheme="majorBidi"/>
          <w:b/>
          <w:bCs/>
          <w:color w:val="365F91" w:themeColor="accent1" w:themeShade="BF"/>
          <w:sz w:val="28"/>
          <w:szCs w:val="28"/>
          <w:rtl/>
        </w:rPr>
      </w:pPr>
      <w:r w:rsidRPr="00CB5F9D">
        <w:rPr>
          <w:rFonts w:asciiTheme="majorBidi" w:hAnsiTheme="majorBidi" w:cstheme="majorBidi"/>
          <w:b/>
          <w:bCs/>
          <w:color w:val="365F91" w:themeColor="accent1" w:themeShade="BF"/>
          <w:sz w:val="28"/>
          <w:szCs w:val="28"/>
          <w:rtl/>
        </w:rPr>
        <w:t>تقرير مقدم إلي اللجنة المعنية بحقوق الإنسان بخصوص مصر</w:t>
      </w:r>
    </w:p>
    <w:p w14:paraId="5010F303" w14:textId="77777777" w:rsidR="00CB5F9D" w:rsidRPr="00CB5F9D" w:rsidRDefault="00CB5F9D" w:rsidP="00775980">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 xml:space="preserve">صادقت مصر على العهد الدولي للحقوق المدنية والسياسية في 14 يناير 1982 بموجب قرار رئيس الجمهورية رقم 536 لسنة 1981. لتكون من بين أوائل الدول في القارة الإفريقية وفي منطقة الشرق الأوسط وشمال افريقيا التي تنضم الي المعاهدة. وتمنح المادة 151 من الدستور المعاهدات الدولية قوة القوانين الداخلية بعد التصديق عليها. مما يمنح الحق لمن يتضرر من عدم إعمالها في اللجوء إلى القضاء. كما منحت المادة 93 وضعاً خاصاً للاتفاقيات الدولية لحقوق الإنسان التي يتم التصديق عليها ومنحها قوة القانون، مما يضفي على نصوص تلك الاتفاقيات الحماية المقررة للقاعدة الدستورية. </w:t>
      </w:r>
    </w:p>
    <w:p w14:paraId="3547A34A" w14:textId="77777777" w:rsidR="00CB5F9D" w:rsidRPr="00CB5F9D" w:rsidRDefault="00CB5F9D" w:rsidP="00D24578">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 xml:space="preserve">وقدمت مصر منذ التصديق على العهد خمسة تقارير دورية إلى اللجنة المعنية بحقوق الإنسان (يٌشار إليها فيما بعد باللجنة) كان أخرها في 12 نوفمبر 2019. </w:t>
      </w:r>
      <w:r w:rsidRPr="00CB5F9D">
        <w:rPr>
          <w:rFonts w:asciiTheme="majorBidi" w:hAnsiTheme="majorBidi" w:cstheme="majorBidi"/>
          <w:sz w:val="28"/>
          <w:szCs w:val="28"/>
          <w:rtl/>
          <w:lang w:bidi="ar-EG"/>
        </w:rPr>
        <w:t xml:space="preserve">وتقدم مؤسسة ماعت للسلام والتنمية وحقوق الإنسان هذا التقرير بعد أن أطلعت على التقرير الدوري الخامس التي قدمته مصر إلى اللجنة بالإضافة إلى قائمة المسائل التي قدمتها اللجنة أيضا في يونيو 2022. وبعد ان راجعت التطورات الأخيرة التي اتخذتها مصر في مسار معالجة أوضاع حقوق الإنسان لديها، كما لاحظت مؤسسة ماعت بعض التحديات التي لا تزال تواجه مصر في إعمال مبادئ وأحكام العهد الدولي للحقوق المدنية والسياسية والتي سيتضمنها التقرير. </w:t>
      </w:r>
    </w:p>
    <w:p w14:paraId="185028A0"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 xml:space="preserve">المادة 2: عدم التمييز </w:t>
      </w:r>
    </w:p>
    <w:p w14:paraId="56333453" w14:textId="77777777" w:rsidR="00CB5F9D" w:rsidRPr="00CB5F9D" w:rsidRDefault="00CB5F9D" w:rsidP="00775980">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يكفل الدستور المصري في المادة 53 المساواة وعدم التمييز بين جميع المواطنين وتنص المادة على إن" المواطنون لدي القانون سواء، لا تمييز بينهم لأي اعتبارات كالدين، أو العقيدة، أو الجنس، أو الأصل، أو العرق، أو اللون، المستوى الاجتماعي، أو الانتماء السياسي، أو الجغرافي، أو لأي سبب آخر". كما تعتبر ذات المادة أن التمييز والحض على الكراهية جريمة، يعاقب عليها القانون. كما أوردت المادة إنشاء مفوضية مستقلة للقضاء على التمييز لمواجهة هذه الممارسات متي جرت"</w:t>
      </w:r>
      <w:r w:rsidRPr="00CB5F9D">
        <w:rPr>
          <w:rStyle w:val="FootnoteReference"/>
          <w:rFonts w:asciiTheme="majorBidi" w:hAnsiTheme="majorBidi" w:cstheme="majorBidi"/>
          <w:sz w:val="28"/>
          <w:szCs w:val="28"/>
          <w:rtl/>
        </w:rPr>
        <w:footnoteReference w:id="1"/>
      </w:r>
      <w:r w:rsidRPr="00CB5F9D">
        <w:rPr>
          <w:rFonts w:asciiTheme="majorBidi" w:hAnsiTheme="majorBidi" w:cstheme="majorBidi"/>
          <w:sz w:val="28"/>
          <w:szCs w:val="28"/>
          <w:rtl/>
        </w:rPr>
        <w:t xml:space="preserve">. كما اطلعت مؤسسة ماعت على التدابير الإيجابية التي سردتها مصر في تقريرها الدوري إلي اللجنة لمنع التمييز. </w:t>
      </w:r>
    </w:p>
    <w:p w14:paraId="056B48D2" w14:textId="77777777" w:rsidR="00CB5F9D" w:rsidRPr="00CB5F9D" w:rsidRDefault="00CB5F9D" w:rsidP="00775980">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مع ذلك لاحظت مؤسسة ماعت بأن هناك بعض ممارسات التمييز مازالت تمارس ضد فئات مُحددة في المجتمع المصري سواء في القانون أو في الممارسة العملية، وفي 3 يناير 2021 أقرت المحكمة الدستورية العليا في مصر، بأن قانون العقوبات يميز بشكل غير دستوري ضد المرأة من خلال النص على فترات سجن أطول كعقوبةٍ ضد المرأة في قضايا معينة، وذلك بعد استئناف سيدة حكم عليها بالسجن لمدة عامين بتهمة الزنا</w:t>
      </w:r>
      <w:r w:rsidRPr="00CB5F9D">
        <w:rPr>
          <w:rStyle w:val="FootnoteReference"/>
          <w:rFonts w:asciiTheme="majorBidi" w:hAnsiTheme="majorBidi" w:cstheme="majorBidi"/>
          <w:sz w:val="28"/>
          <w:szCs w:val="28"/>
          <w:rtl/>
        </w:rPr>
        <w:footnoteReference w:id="2"/>
      </w:r>
      <w:r w:rsidRPr="00CB5F9D">
        <w:rPr>
          <w:rFonts w:asciiTheme="majorBidi" w:hAnsiTheme="majorBidi" w:cstheme="majorBidi"/>
          <w:sz w:val="28"/>
          <w:szCs w:val="28"/>
          <w:rtl/>
        </w:rPr>
        <w:t>. كما لا يعتبر قانون العقوبات الاغتصاب الزوجي جريمة تستوجب عقوبة علي الزوج حال القيام بها</w:t>
      </w:r>
      <w:r w:rsidRPr="00CB5F9D">
        <w:rPr>
          <w:rStyle w:val="FootnoteReference"/>
          <w:rFonts w:asciiTheme="majorBidi" w:hAnsiTheme="majorBidi" w:cstheme="majorBidi"/>
          <w:sz w:val="28"/>
          <w:szCs w:val="28"/>
          <w:rtl/>
        </w:rPr>
        <w:footnoteReference w:id="3"/>
      </w:r>
      <w:r w:rsidRPr="00CB5F9D">
        <w:rPr>
          <w:rFonts w:asciiTheme="majorBidi" w:hAnsiTheme="majorBidi" w:cstheme="majorBidi"/>
          <w:sz w:val="28"/>
          <w:szCs w:val="28"/>
          <w:rtl/>
        </w:rPr>
        <w:t xml:space="preserve">. </w:t>
      </w:r>
    </w:p>
    <w:p w14:paraId="7FD54CA5" w14:textId="77777777" w:rsidR="00CB5F9D" w:rsidRPr="00CB5F9D" w:rsidRDefault="00CB5F9D" w:rsidP="00775980">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 xml:space="preserve">وفي سياق منع التمييز ضد بعض المجموعات الضعيفة داخل ولاية الدولة لاحظت مؤسسة ماعت بعض الخطوات الإيجابية لصالح دمج اللاجئين وطالبي اللجوء في المجتمع المصري حيث أشار قرار لوزارة التربية والتعليم بإتاحة </w:t>
      </w:r>
      <w:r w:rsidRPr="00CB5F9D">
        <w:rPr>
          <w:rFonts w:asciiTheme="majorBidi" w:hAnsiTheme="majorBidi" w:cstheme="majorBidi"/>
          <w:sz w:val="28"/>
          <w:szCs w:val="28"/>
          <w:rtl/>
        </w:rPr>
        <w:lastRenderedPageBreak/>
        <w:t>التعلم الحكومي للاجئين وملتمسي اللجوء من السودان وجنوب السودان بجانب الأطفال من اليمن وسوريا على قدم المساواة مع المصريين، كما سمحت للأطفال الذين انتهت صلاحية وثائقهم بالتسجيل في نظام التعليم العام. كما نوهت الوزارة إن الخطوات لإدماج جنسيات اللاجئين الأخرى لاسيما من القارة الإفريقية جارية</w:t>
      </w:r>
      <w:r w:rsidRPr="00CB5F9D">
        <w:rPr>
          <w:rStyle w:val="FootnoteReference"/>
          <w:rFonts w:asciiTheme="majorBidi" w:hAnsiTheme="majorBidi" w:cstheme="majorBidi"/>
          <w:sz w:val="28"/>
          <w:szCs w:val="28"/>
          <w:rtl/>
        </w:rPr>
        <w:footnoteReference w:id="4"/>
      </w:r>
      <w:r w:rsidRPr="00CB5F9D">
        <w:rPr>
          <w:rFonts w:asciiTheme="majorBidi" w:hAnsiTheme="majorBidi" w:cstheme="majorBidi"/>
          <w:sz w:val="28"/>
          <w:szCs w:val="28"/>
          <w:rtl/>
        </w:rPr>
        <w:t xml:space="preserve">. </w:t>
      </w:r>
    </w:p>
    <w:p w14:paraId="34EA4429" w14:textId="77777777" w:rsidR="00CB5F9D" w:rsidRPr="00CB5F9D" w:rsidRDefault="00CB5F9D" w:rsidP="00775980">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 xml:space="preserve">وفي سياق أخر؛ لاحظت مؤسسة ماعت تدابير تمييزية يتعرض لها النساء المحجبات في دخول بعض المطاعم في مصر بذريعة السياسات الداخلية لهذه المطاعم، والتي غالبًا ما توجد في أحياء راقية في العاصمة المصرية القاهرة، ورغم إن النص الدستوري يكفل عدم التمييز بين جميع المواطنين في مصر إلا إنه لا يتوافق مع المادة الثانية من العهد حيث يٌشير لفظ المواطنين إلي الافراد الذين يملكون الجنسية المصرية بينما تنص المادة </w:t>
      </w:r>
      <w:proofErr w:type="gramStart"/>
      <w:r w:rsidRPr="00CB5F9D">
        <w:rPr>
          <w:rFonts w:asciiTheme="majorBidi" w:hAnsiTheme="majorBidi" w:cstheme="majorBidi"/>
          <w:sz w:val="28"/>
          <w:szCs w:val="28"/>
          <w:rtl/>
        </w:rPr>
        <w:t>علي  كفالة</w:t>
      </w:r>
      <w:proofErr w:type="gramEnd"/>
      <w:r w:rsidRPr="00CB5F9D">
        <w:rPr>
          <w:rFonts w:asciiTheme="majorBidi" w:hAnsiTheme="majorBidi" w:cstheme="majorBidi"/>
          <w:sz w:val="28"/>
          <w:szCs w:val="28"/>
          <w:rtl/>
        </w:rPr>
        <w:t xml:space="preserve"> عدم التمييز بين الجميع داخل النطاق الجغرافي للدولة بما في ذلك اللاجئين وطالبي اللجوء. كما لا يزال التباطؤ في انشاء مفوضية مستقلة لمكافحة التمييز بما يتفق مع المادة 53 من الدستور يتطلب توضيحًا من الوفد المصري اثناء الحوار مع اللجنة اثناء جلسة الاستعراض. </w:t>
      </w:r>
    </w:p>
    <w:p w14:paraId="1A45BA3B"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 xml:space="preserve">المادة الثالثة: المساواة بين الجنسين </w:t>
      </w:r>
    </w:p>
    <w:p w14:paraId="00061B0A" w14:textId="77777777" w:rsidR="00CB5F9D" w:rsidRPr="00CB5F9D" w:rsidRDefault="00CB5F9D" w:rsidP="0089747B">
      <w:pPr>
        <w:bidi/>
        <w:spacing w:line="240" w:lineRule="auto"/>
        <w:jc w:val="lowKashida"/>
        <w:rPr>
          <w:rFonts w:asciiTheme="majorBidi" w:hAnsiTheme="majorBidi" w:cstheme="majorBidi"/>
          <w:sz w:val="28"/>
          <w:szCs w:val="28"/>
          <w:rtl/>
          <w:lang w:bidi="ar-EG"/>
        </w:rPr>
      </w:pPr>
      <w:r w:rsidRPr="00CB5F9D">
        <w:rPr>
          <w:rFonts w:asciiTheme="majorBidi" w:hAnsiTheme="majorBidi" w:cstheme="majorBidi"/>
          <w:sz w:val="28"/>
          <w:szCs w:val="28"/>
          <w:rtl/>
        </w:rPr>
        <w:t>تكفل المادة الثالثة المساواة بين الرجال والنساء في التمتع بجميع الحقوق المدنية والسياسية. وفي سياق العمل على تفعيل وإعمال هذه المادة لاحظت مؤسسة ماعت مجموعة من الخطوات والتدابير الإيجابية التي شرعت فيها الحكومة المصرية لاسيما على مستوي كفالة المساواة في الحقوق السياسية أو فيما يتعلق بت</w:t>
      </w:r>
      <w:r w:rsidRPr="00CB5F9D">
        <w:rPr>
          <w:rFonts w:asciiTheme="majorBidi" w:hAnsiTheme="majorBidi" w:cstheme="majorBidi"/>
          <w:sz w:val="28"/>
          <w:szCs w:val="28"/>
          <w:rtl/>
          <w:lang w:bidi="ar-EG"/>
        </w:rPr>
        <w:t xml:space="preserve">ولي المناصب القيادية. فقد شهدت مصر ارتفاع ملحوظ لنسب المشاركة النسائية في المناصب السياسية مقارنة بالسنوات السابقة خاصة في الانتخابات النيابية؛ حيث ارتفع </w:t>
      </w:r>
      <w:r w:rsidRPr="00CB5F9D">
        <w:rPr>
          <w:rFonts w:asciiTheme="majorBidi" w:hAnsiTheme="majorBidi" w:cstheme="majorBidi"/>
          <w:i/>
          <w:sz w:val="28"/>
          <w:szCs w:val="28"/>
          <w:rtl/>
          <w:lang w:bidi="ar-EG"/>
        </w:rPr>
        <w:t>تمثيل المرأة في الانتخابات البرلمانية الأخيرة لعام 2020 إلى 163 نائبة ما بين انتخاب وتعين، مقارنة بـ 90 نائبة في انتخابات 2015. كما ارتفع تمثيل المرأة بالسلك القضائي، ليصل إلى 3115 قاضية عام 2022 مقارنة بـ 2130 قاضية عام 2014، كما أن نسبة تمثيل المرأة في مجلس الشيوخ زادت لتصل إلى 13.7% بعدد 41 مقعداً عام 2022، مقارنة بـ 5.7% بعدد 12 مقعداً عام 2012، بالإضافة إلى زيادة عدد القاضيات بالمحاكم لتصل إلى 66 قاضية عام 2022، مقارنة بـ 41 قاضية عام 2014، كما جري تعيين 36 مستشارة بمنصب نائبات لرئيس هيئة قضايا الدولة، فضلاً عن بلوغ عدد عضوات الهيئة 769 عضوة حتى عام 2022</w:t>
      </w:r>
      <w:r w:rsidRPr="00CB5F9D">
        <w:rPr>
          <w:rStyle w:val="FootnoteReference"/>
          <w:rFonts w:asciiTheme="majorBidi" w:hAnsiTheme="majorBidi" w:cstheme="majorBidi"/>
          <w:i/>
          <w:sz w:val="28"/>
          <w:szCs w:val="28"/>
          <w:rtl/>
          <w:lang w:bidi="ar-EG"/>
        </w:rPr>
        <w:footnoteReference w:id="5"/>
      </w:r>
      <w:r w:rsidRPr="00CB5F9D">
        <w:rPr>
          <w:rFonts w:asciiTheme="majorBidi" w:hAnsiTheme="majorBidi" w:cstheme="majorBidi"/>
          <w:i/>
          <w:sz w:val="28"/>
          <w:szCs w:val="28"/>
          <w:rtl/>
          <w:lang w:bidi="ar-EG"/>
        </w:rPr>
        <w:t xml:space="preserve">. </w:t>
      </w:r>
    </w:p>
    <w:p w14:paraId="05480B8E" w14:textId="77777777" w:rsidR="00CB5F9D" w:rsidRPr="00CB5F9D" w:rsidRDefault="00CB5F9D" w:rsidP="00775980">
      <w:pPr>
        <w:bidi/>
        <w:spacing w:line="240" w:lineRule="auto"/>
        <w:jc w:val="lowKashida"/>
        <w:rPr>
          <w:rFonts w:asciiTheme="majorBidi" w:hAnsiTheme="majorBidi" w:cstheme="majorBidi"/>
          <w:i/>
          <w:sz w:val="28"/>
          <w:szCs w:val="28"/>
          <w:rtl/>
          <w:lang w:bidi="ar-EG"/>
        </w:rPr>
      </w:pPr>
      <w:r w:rsidRPr="00CB5F9D">
        <w:rPr>
          <w:rFonts w:asciiTheme="majorBidi" w:hAnsiTheme="majorBidi" w:cstheme="majorBidi"/>
          <w:i/>
          <w:sz w:val="28"/>
          <w:szCs w:val="28"/>
          <w:rtl/>
          <w:lang w:bidi="ar-EG"/>
        </w:rPr>
        <w:t>كما شهدت الفترة الأخيرة تجاوزًا لعرف كان ساريًا في مجلس الدولة وهو أحد الهيئات القضائية التي تٌشكل السلطة القضائية في مصر وكان مجلس الدولة منذ انشائه يرفض تعيين النساء في المجلس وفقًا اعراف سارية في المجلس رغم إن قانون السلطة القضائية لا يحظر على المرأة التعيين في المجلس. إلا إن توجيهًا من رئيس الجمهورية إلي وزير العدل قد الغي هذا العرف ليجري تعيين 98 قضايًا في مجلس الدولة من خلال الندب من هيئي قضايا الدولة والنيابة الإدارية.</w:t>
      </w:r>
    </w:p>
    <w:p w14:paraId="37EFED8D" w14:textId="77777777" w:rsidR="00CB5F9D" w:rsidRPr="00CB5F9D" w:rsidRDefault="00CB5F9D" w:rsidP="00775980">
      <w:pPr>
        <w:bidi/>
        <w:spacing w:line="240" w:lineRule="auto"/>
        <w:jc w:val="lowKashida"/>
        <w:rPr>
          <w:rFonts w:asciiTheme="majorBidi" w:hAnsiTheme="majorBidi" w:cstheme="majorBidi"/>
          <w:i/>
          <w:sz w:val="28"/>
          <w:szCs w:val="28"/>
          <w:rtl/>
          <w:lang w:bidi="ar-EG"/>
        </w:rPr>
      </w:pPr>
      <w:r w:rsidRPr="00CB5F9D">
        <w:rPr>
          <w:rFonts w:asciiTheme="majorBidi" w:hAnsiTheme="majorBidi" w:cstheme="majorBidi"/>
          <w:i/>
          <w:sz w:val="28"/>
          <w:szCs w:val="28"/>
          <w:rtl/>
          <w:lang w:bidi="ar-EG"/>
        </w:rPr>
        <w:t>مع ذلك تلاحظ مؤسسة ماعت إن مصر لا تزال تأت متأخرة في المؤشرات الدولية التي تقيس الفجوة بين الجنسين. ففي عام 2021، جاءت مصر في المرتبة 129 من بين 156 دولة في المؤشر العالمي للفجوة بين الجنسين. كما احتلت المركز 146 من بين 156 دولة فيما يتعلق بمشاركة المرأة اقتصادياً وتكافؤ الفرص. كما أوضحت المؤشرات أن 20٪ فقط من النساء في سن العمل في مصر يشاركن في العملية الاقتصادية، مقارنة بنسبة 75٪ من الرجال</w:t>
      </w:r>
      <w:r w:rsidRPr="00CB5F9D">
        <w:rPr>
          <w:rStyle w:val="FootnoteReference"/>
          <w:rFonts w:asciiTheme="majorBidi" w:hAnsiTheme="majorBidi" w:cstheme="majorBidi"/>
          <w:i/>
          <w:sz w:val="28"/>
          <w:szCs w:val="28"/>
          <w:rtl/>
          <w:lang w:bidi="ar-EG"/>
        </w:rPr>
        <w:footnoteReference w:id="6"/>
      </w:r>
      <w:r w:rsidRPr="00CB5F9D">
        <w:rPr>
          <w:rFonts w:asciiTheme="majorBidi" w:hAnsiTheme="majorBidi" w:cstheme="majorBidi"/>
          <w:i/>
          <w:sz w:val="28"/>
          <w:szCs w:val="28"/>
          <w:rtl/>
          <w:lang w:bidi="ar-EG"/>
        </w:rPr>
        <w:t xml:space="preserve"> . </w:t>
      </w:r>
    </w:p>
    <w:p w14:paraId="0A790CBE" w14:textId="77777777" w:rsidR="00CB5F9D" w:rsidRPr="00CB5F9D" w:rsidRDefault="00CB5F9D" w:rsidP="00775980">
      <w:pPr>
        <w:bidi/>
        <w:spacing w:line="240" w:lineRule="auto"/>
        <w:jc w:val="lowKashida"/>
        <w:rPr>
          <w:rFonts w:asciiTheme="majorBidi" w:hAnsiTheme="majorBidi" w:cstheme="majorBidi"/>
          <w:i/>
          <w:sz w:val="28"/>
          <w:szCs w:val="28"/>
          <w:rtl/>
          <w:lang w:bidi="ar-EG"/>
        </w:rPr>
      </w:pPr>
      <w:r w:rsidRPr="00CB5F9D">
        <w:rPr>
          <w:rFonts w:asciiTheme="majorBidi" w:hAnsiTheme="majorBidi" w:cstheme="majorBidi"/>
          <w:i/>
          <w:sz w:val="28"/>
          <w:szCs w:val="28"/>
          <w:rtl/>
          <w:lang w:bidi="ar-EG"/>
        </w:rPr>
        <w:t>ويرجع ذلك الي عدد من الأسباب أهمها حصر المرأة في قوالب نمطية وأدوار محددة مثل العمل في المنزل والعمل في وظائف محددة وذلك رغم القرارات الوزارية التي حاولت الحد من هذه الفجوة حيث اتخذ وزير القوي العاملة القرار رقم 44 لسنة 2021 الذي ينظم قواعد العمل ليلًا للنساء</w:t>
      </w:r>
      <w:r w:rsidRPr="00CB5F9D">
        <w:rPr>
          <w:rStyle w:val="FootnoteReference"/>
          <w:rFonts w:asciiTheme="majorBidi" w:hAnsiTheme="majorBidi" w:cstheme="majorBidi"/>
          <w:i/>
          <w:sz w:val="28"/>
          <w:szCs w:val="28"/>
          <w:rtl/>
          <w:lang w:bidi="ar-EG"/>
        </w:rPr>
        <w:footnoteReference w:id="7"/>
      </w:r>
      <w:r w:rsidRPr="00CB5F9D">
        <w:rPr>
          <w:rFonts w:asciiTheme="majorBidi" w:hAnsiTheme="majorBidi" w:cstheme="majorBidi"/>
          <w:i/>
          <w:sz w:val="28"/>
          <w:szCs w:val="28"/>
          <w:rtl/>
          <w:lang w:bidi="ar-EG"/>
        </w:rPr>
        <w:t xml:space="preserve">.  في سياق متصل اطلعت مؤسسة ماعت على </w:t>
      </w:r>
      <w:r w:rsidRPr="00CB5F9D">
        <w:rPr>
          <w:rFonts w:asciiTheme="majorBidi" w:hAnsiTheme="majorBidi" w:cstheme="majorBidi"/>
          <w:i/>
          <w:sz w:val="28"/>
          <w:szCs w:val="28"/>
          <w:rtl/>
          <w:lang w:bidi="ar-EG"/>
        </w:rPr>
        <w:lastRenderedPageBreak/>
        <w:t>الملاحظات الختامية التي قدمتها اللجنة المعنية بالقضاء على جميع اشكال التمييز ضد المرأة بشأن التقرير الجامع للتقارير الدورية من الثامن إلى العاشر لمصر والذي اكدت أن تحفظات مصر على المادتين 2 و16 من الاتفاقية، هي تحفظات تتعارض مع هدف الاتفاقية والغرض منها وتقوض تنفيذ المبدأ الأساسي المتمثل في تحقيق المساواة الرسمية بين المرأة والرجل في جميع جوانب الحياة العامة والخاصة</w:t>
      </w:r>
      <w:r w:rsidRPr="00CB5F9D">
        <w:rPr>
          <w:rStyle w:val="FootnoteReference"/>
          <w:rFonts w:asciiTheme="majorBidi" w:hAnsiTheme="majorBidi" w:cstheme="majorBidi"/>
          <w:i/>
          <w:sz w:val="28"/>
          <w:szCs w:val="28"/>
          <w:rtl/>
          <w:lang w:bidi="ar-EG"/>
        </w:rPr>
        <w:footnoteReference w:id="8"/>
      </w:r>
      <w:r w:rsidRPr="00CB5F9D">
        <w:rPr>
          <w:rFonts w:asciiTheme="majorBidi" w:hAnsiTheme="majorBidi" w:cstheme="majorBidi"/>
          <w:i/>
          <w:sz w:val="28"/>
          <w:szCs w:val="28"/>
          <w:rtl/>
          <w:lang w:bidi="ar-EG"/>
        </w:rPr>
        <w:t xml:space="preserve">. وتؤكد مؤسسة ماعت أنه قد يٌنظر لاستمرار هذه التحفظات على انها خللًا في تحقيق المساواة بين الجنسين وإعمال هذه المادة على الوجه الأمثل. </w:t>
      </w:r>
    </w:p>
    <w:p w14:paraId="60EA801B"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 xml:space="preserve">المادة 4: حالة الطوارئ الاستثنائية </w:t>
      </w:r>
    </w:p>
    <w:p w14:paraId="1F4176A9" w14:textId="77777777" w:rsidR="00CB5F9D" w:rsidRPr="00CB5F9D" w:rsidRDefault="00CB5F9D" w:rsidP="00775980">
      <w:pPr>
        <w:bidi/>
        <w:spacing w:line="240" w:lineRule="auto"/>
        <w:jc w:val="lowKashida"/>
        <w:rPr>
          <w:rFonts w:asciiTheme="majorBidi" w:hAnsiTheme="majorBidi" w:cstheme="majorBidi"/>
          <w:i/>
          <w:sz w:val="28"/>
          <w:szCs w:val="28"/>
          <w:rtl/>
          <w:lang w:bidi="ar-EG"/>
        </w:rPr>
      </w:pPr>
      <w:r w:rsidRPr="00CB5F9D">
        <w:rPr>
          <w:rFonts w:asciiTheme="majorBidi" w:hAnsiTheme="majorBidi" w:cstheme="majorBidi"/>
          <w:i/>
          <w:sz w:val="28"/>
          <w:szCs w:val="28"/>
          <w:rtl/>
          <w:lang w:bidi="ar-EG"/>
        </w:rPr>
        <w:t>بررت الحكومة المصرية في تقريرها الدوري المقدم إلي اللجنة فرض حالة الطوارئ الي الظروف والتحديات المتمثلة في العمليات الإرهابية التي سعت لتقويض الاستقرار في مصر خاصة بعد استشراء الإرهاب بعد رحيل جماعة الإخوان المسلمين عن السلطة. وقد لاقت مؤسسة ماعت بترحيب القرار الذي اتخذه رئيس الجمهورية في</w:t>
      </w:r>
      <w:r w:rsidRPr="00CB5F9D">
        <w:rPr>
          <w:rFonts w:asciiTheme="majorBidi" w:hAnsiTheme="majorBidi" w:cstheme="majorBidi"/>
          <w:sz w:val="28"/>
          <w:szCs w:val="28"/>
          <w:rtl/>
          <w:lang w:bidi="ar-EG"/>
        </w:rPr>
        <w:t xml:space="preserve"> 25 أكتوبر 2021، القاضي بإلغاء قانون حالة الطوارئ، رقم 162 لسنة 1958</w:t>
      </w:r>
      <w:r w:rsidRPr="00CB5F9D">
        <w:rPr>
          <w:rStyle w:val="FootnoteReference"/>
          <w:rFonts w:asciiTheme="majorBidi" w:hAnsiTheme="majorBidi" w:cstheme="majorBidi"/>
          <w:sz w:val="28"/>
          <w:szCs w:val="28"/>
          <w:rtl/>
          <w:lang w:bidi="ar-EG"/>
        </w:rPr>
        <w:footnoteReference w:id="9"/>
      </w:r>
      <w:r w:rsidRPr="00CB5F9D">
        <w:rPr>
          <w:rFonts w:asciiTheme="majorBidi" w:hAnsiTheme="majorBidi" w:cstheme="majorBidi"/>
          <w:sz w:val="28"/>
          <w:szCs w:val="28"/>
          <w:rtl/>
          <w:lang w:bidi="ar-EG"/>
        </w:rPr>
        <w:t xml:space="preserve"> والتعديلات التي أدخلت عليه بداية من عام 2017، ومن المفترض أن يعقب إلغاء قانون الطوارئ سريان نظر محاكم امن الدولة العليا طوارئ، في القضايا التي أحيلت إليها وفقا لما جاء في المادة 19 من قانون الطوارئ</w:t>
      </w:r>
      <w:r w:rsidRPr="00CB5F9D">
        <w:rPr>
          <w:rStyle w:val="FootnoteReference"/>
          <w:rFonts w:asciiTheme="majorBidi" w:hAnsiTheme="majorBidi" w:cstheme="majorBidi"/>
          <w:sz w:val="28"/>
          <w:szCs w:val="28"/>
          <w:rtl/>
          <w:lang w:bidi="ar-EG"/>
        </w:rPr>
        <w:footnoteReference w:id="10"/>
      </w:r>
      <w:r w:rsidRPr="00CB5F9D">
        <w:rPr>
          <w:rFonts w:asciiTheme="majorBidi" w:hAnsiTheme="majorBidi" w:cstheme="majorBidi"/>
          <w:sz w:val="28"/>
          <w:szCs w:val="28"/>
          <w:rtl/>
          <w:lang w:bidi="ar-EG"/>
        </w:rPr>
        <w:t xml:space="preserve">. </w:t>
      </w:r>
    </w:p>
    <w:p w14:paraId="2D71E59F" w14:textId="77777777" w:rsidR="00CB5F9D" w:rsidRPr="00CB5F9D" w:rsidRDefault="00CB5F9D" w:rsidP="00775980">
      <w:pPr>
        <w:bidi/>
        <w:spacing w:line="240" w:lineRule="auto"/>
        <w:jc w:val="lowKashida"/>
        <w:rPr>
          <w:rFonts w:asciiTheme="majorBidi" w:hAnsiTheme="majorBidi" w:cstheme="majorBidi"/>
          <w:sz w:val="28"/>
          <w:szCs w:val="28"/>
          <w:rtl/>
          <w:lang w:bidi="ar-EG"/>
        </w:rPr>
      </w:pPr>
      <w:r w:rsidRPr="00CB5F9D">
        <w:rPr>
          <w:rFonts w:asciiTheme="majorBidi" w:hAnsiTheme="majorBidi" w:cstheme="majorBidi"/>
          <w:sz w:val="28"/>
          <w:szCs w:val="28"/>
          <w:rtl/>
          <w:lang w:bidi="ar-EG"/>
        </w:rPr>
        <w:t>كما ستظل الأحكام الصادرة في قضايا الطوارئ ولم يصادق عليها الحاكم العسكري منظورة امام محاكم أمن الدولة العليا طوارئ. لكن في ذات الوقت يبقي لرئيس الجمهورية كافة السلطات المقررة له بموجب القانون سالف الذكر بالنسبة للأحكام التي تكون قد صدر حكم فيها من محاكم أمن الدولة، قبل إلغاء حالة الطوارئ ولم يتم التصديق عليها. ما يعني أن القضايا التي أحيلت إلى محاكم أمن الدولة العليا طوارئ في ظل سريان القانون ستظل تتطلب موافقة رئيس الجمهورية عليها، وبدوره يحظى الرئيس بحق رفض التصديق عليها وتقرير إعادة المحاكمة فيها</w:t>
      </w:r>
      <w:r w:rsidRPr="00CB5F9D">
        <w:rPr>
          <w:rStyle w:val="FootnoteReference"/>
          <w:rFonts w:asciiTheme="majorBidi" w:hAnsiTheme="majorBidi" w:cstheme="majorBidi"/>
          <w:sz w:val="28"/>
          <w:szCs w:val="28"/>
          <w:rtl/>
          <w:lang w:bidi="ar-EG"/>
        </w:rPr>
        <w:footnoteReference w:id="11"/>
      </w:r>
      <w:r w:rsidRPr="00CB5F9D">
        <w:rPr>
          <w:rFonts w:asciiTheme="majorBidi" w:hAnsiTheme="majorBidi" w:cstheme="majorBidi"/>
          <w:sz w:val="28"/>
          <w:szCs w:val="28"/>
          <w:rtl/>
          <w:lang w:bidi="ar-EG"/>
        </w:rPr>
        <w:t xml:space="preserve">. </w:t>
      </w:r>
    </w:p>
    <w:p w14:paraId="0582CF65" w14:textId="77777777" w:rsidR="00CB5F9D" w:rsidRPr="00CB5F9D" w:rsidRDefault="00CB5F9D" w:rsidP="00775980">
      <w:pPr>
        <w:bidi/>
        <w:spacing w:line="240" w:lineRule="auto"/>
        <w:jc w:val="lowKashida"/>
        <w:rPr>
          <w:rFonts w:asciiTheme="majorBidi" w:hAnsiTheme="majorBidi" w:cstheme="majorBidi"/>
          <w:sz w:val="28"/>
          <w:szCs w:val="28"/>
          <w:rtl/>
          <w:lang w:bidi="ar-EG"/>
        </w:rPr>
      </w:pPr>
      <w:r w:rsidRPr="00CB5F9D">
        <w:rPr>
          <w:rFonts w:asciiTheme="majorBidi" w:hAnsiTheme="majorBidi" w:cstheme="majorBidi"/>
          <w:sz w:val="28"/>
          <w:szCs w:val="28"/>
          <w:rtl/>
          <w:lang w:bidi="ar-EG"/>
        </w:rPr>
        <w:t>أما الجرائم التي لا يكون المتهمون قد قُدموا فيها إلى المحاكم، فسوف تحُال إلى المحاكم العادية المختصة وتتبع في شأنها قواعد قانون الإجراءات الجنائية. ما يعني أن القضايا التي ما زالت في مرحلة التحقيقات، ولم تصدر النيابة العامة قرارًا بإحالتها للمحكمة، سوف تكون المحاكمة فيها أمام القضاء الطبيعي وليس محاكم أمن الدولة العليا طوارئ. كما سيٌنهي إلغاء حالة الطوارئ إحالة المتهمين أمام أي قضاء استثنائي، أحكامه غير قابلة للطعن.</w:t>
      </w:r>
    </w:p>
    <w:p w14:paraId="065B05E0" w14:textId="77777777" w:rsidR="00CB5F9D" w:rsidRPr="00CB5F9D" w:rsidRDefault="00CB5F9D" w:rsidP="00775980">
      <w:pPr>
        <w:bidi/>
        <w:spacing w:line="240" w:lineRule="auto"/>
        <w:jc w:val="lowKashida"/>
        <w:rPr>
          <w:rFonts w:asciiTheme="majorBidi" w:hAnsiTheme="majorBidi" w:cstheme="majorBidi"/>
          <w:sz w:val="28"/>
          <w:szCs w:val="28"/>
          <w:lang w:bidi="ar-EG"/>
        </w:rPr>
      </w:pPr>
      <w:r w:rsidRPr="00CB5F9D">
        <w:rPr>
          <w:rFonts w:asciiTheme="majorBidi" w:hAnsiTheme="majorBidi" w:cstheme="majorBidi"/>
          <w:sz w:val="28"/>
          <w:szCs w:val="28"/>
          <w:rtl/>
          <w:lang w:bidi="ar-EG"/>
        </w:rPr>
        <w:t>ويأتي إلغاء حالة الطوارئ  والتي فُرضت في 9  أبريل 2017 بعد تفجير عدد من الكنائس في الإسكندرية وطنطا</w:t>
      </w:r>
      <w:r w:rsidRPr="00CB5F9D">
        <w:rPr>
          <w:rStyle w:val="FootnoteReference"/>
          <w:rFonts w:asciiTheme="majorBidi" w:hAnsiTheme="majorBidi" w:cstheme="majorBidi"/>
          <w:sz w:val="28"/>
          <w:szCs w:val="28"/>
          <w:rtl/>
          <w:lang w:bidi="ar-EG"/>
        </w:rPr>
        <w:footnoteReference w:id="12"/>
      </w:r>
      <w:r w:rsidRPr="00CB5F9D">
        <w:rPr>
          <w:rFonts w:asciiTheme="majorBidi" w:hAnsiTheme="majorBidi" w:cstheme="majorBidi"/>
          <w:sz w:val="28"/>
          <w:szCs w:val="28"/>
          <w:rtl/>
          <w:lang w:bidi="ar-EG"/>
        </w:rPr>
        <w:t>، ليتسق مع مجموعة واسعة من النتائج والغايات التي استهدفتها الاستراتيجية الوطنية لحقوق الإنسان لاسيما في المحور الأول الخاص بالحقوق المدنية والسياسية وعلي وجه التحديد البند الفرعي الثالث الخاص بالحق في التقاضي وتعزيز ضمانات المحاكمة المنصفة حيث استهدفت الاستراتيجية في من بين طائفة من نتائج أخري؛ حصر الجرائم التي تختص بها محاكم الطوارئ، بالإضافة إلي وضع آلية لأخطار ذوي الشأن بنتيجة فحص التظلمات المسببة الصادرة في أحكام محاكم أمن الدولة العليا طوارئ، فبعد إلغاء مد حالة الطوارئ، ستنظر الجرائم قيد التحقيق والتي لم يحال فيها المتهمون إلي محاكم أمن الدولة العليا طوارئ امام محاكم عادية وقاضي طبيعي وحال صدور أحكام في هذه الجرائم سيكون من حق المتهمين الطعن علي هذه الأحكام خلافا لعدم جواز الطعن في الاحكام الصادرة من محكمة أمن الدولة العليا طوارئ بموجب المادة 10 من قانون الطوارئ رقم 162 لسنة 1958 وتعديلاته الذي تم إلغاء العمل به بمجرد إلغاء مد حالة الطوارئ</w:t>
      </w:r>
      <w:r w:rsidRPr="00CB5F9D">
        <w:rPr>
          <w:rStyle w:val="FootnoteReference"/>
          <w:rFonts w:asciiTheme="majorBidi" w:hAnsiTheme="majorBidi" w:cstheme="majorBidi"/>
          <w:sz w:val="28"/>
          <w:szCs w:val="28"/>
          <w:rtl/>
          <w:lang w:bidi="ar-EG"/>
        </w:rPr>
        <w:footnoteReference w:id="13"/>
      </w:r>
      <w:r w:rsidRPr="00CB5F9D">
        <w:rPr>
          <w:rFonts w:asciiTheme="majorBidi" w:hAnsiTheme="majorBidi" w:cstheme="majorBidi"/>
          <w:sz w:val="28"/>
          <w:szCs w:val="28"/>
          <w:rtl/>
          <w:lang w:bidi="ar-EG"/>
        </w:rPr>
        <w:t xml:space="preserve">. </w:t>
      </w:r>
    </w:p>
    <w:p w14:paraId="6CFD0DFB" w14:textId="77777777" w:rsidR="00CB5F9D" w:rsidRPr="00CB5F9D" w:rsidRDefault="00CB5F9D" w:rsidP="00775980">
      <w:pPr>
        <w:bidi/>
        <w:spacing w:line="240" w:lineRule="auto"/>
        <w:jc w:val="lowKashida"/>
        <w:rPr>
          <w:rFonts w:asciiTheme="majorBidi" w:hAnsiTheme="majorBidi" w:cstheme="majorBidi"/>
          <w:sz w:val="28"/>
          <w:szCs w:val="28"/>
          <w:rtl/>
          <w:lang w:bidi="ar-EG"/>
        </w:rPr>
      </w:pPr>
      <w:r w:rsidRPr="00CB5F9D">
        <w:rPr>
          <w:rFonts w:asciiTheme="majorBidi" w:hAnsiTheme="majorBidi" w:cstheme="majorBidi"/>
          <w:b/>
          <w:bCs/>
          <w:color w:val="0070C0"/>
          <w:sz w:val="28"/>
          <w:szCs w:val="28"/>
          <w:u w:val="single"/>
          <w:rtl/>
        </w:rPr>
        <w:lastRenderedPageBreak/>
        <w:t xml:space="preserve">المادة 6: الحق في الحياة </w:t>
      </w:r>
    </w:p>
    <w:p w14:paraId="430E4B72" w14:textId="77777777" w:rsidR="00CB5F9D" w:rsidRPr="00CB5F9D" w:rsidRDefault="00CB5F9D" w:rsidP="00775980">
      <w:pPr>
        <w:bidi/>
        <w:spacing w:line="240" w:lineRule="auto"/>
        <w:jc w:val="lowKashida"/>
        <w:rPr>
          <w:rFonts w:asciiTheme="majorBidi" w:hAnsiTheme="majorBidi" w:cstheme="majorBidi"/>
          <w:i/>
          <w:sz w:val="28"/>
          <w:szCs w:val="28"/>
          <w:rtl/>
          <w:lang w:bidi="ar-EG"/>
        </w:rPr>
      </w:pPr>
      <w:r w:rsidRPr="00CB5F9D">
        <w:rPr>
          <w:rFonts w:asciiTheme="majorBidi" w:hAnsiTheme="majorBidi" w:cstheme="majorBidi"/>
          <w:i/>
          <w:sz w:val="28"/>
          <w:szCs w:val="28"/>
          <w:rtl/>
          <w:lang w:bidi="ar-EG"/>
        </w:rPr>
        <w:t>اعتبرت مصر في تقريرها الدوري أن الحق في الحياة هو اسمي حقوق الإنسان ولا يجوز المساس به، وقد لاحظت مؤسسة ماعت تضاؤل فرص الإفلات من العقاب فيما يتعلق بانتهاك هذا الحق حيث اطلعت مؤسسة ماعت في 9 يونيو 2022 على حكم صادر من محكمة جنايات القاهرة يقضي بحبس ضابط يدعي " ه. أ" وكان يعمل رئيسًا مباحث قسم شرطة حلوان، وامين شرطة يدعي " ه. ع" بالسجن سبعة سنوات بتهم تتعلق بقتل مواطن. وتبرئتهم من تهم استخدام القوة ضده، غير ان تقارير اعتبرت أن هذه الـأحكام مخٌففًا مقارنة بالجرُم الذي وقع والتي تسبب في مقتل مواطن</w:t>
      </w:r>
      <w:r w:rsidRPr="00CB5F9D">
        <w:rPr>
          <w:rStyle w:val="FootnoteReference"/>
          <w:rFonts w:asciiTheme="majorBidi" w:hAnsiTheme="majorBidi" w:cstheme="majorBidi"/>
          <w:i/>
          <w:sz w:val="28"/>
          <w:szCs w:val="28"/>
          <w:rtl/>
          <w:lang w:bidi="ar-EG"/>
        </w:rPr>
        <w:footnoteReference w:id="14"/>
      </w:r>
      <w:r w:rsidRPr="00CB5F9D">
        <w:rPr>
          <w:rFonts w:asciiTheme="majorBidi" w:hAnsiTheme="majorBidi" w:cstheme="majorBidi"/>
          <w:i/>
          <w:sz w:val="28"/>
          <w:szCs w:val="28"/>
          <w:rtl/>
          <w:lang w:bidi="ar-EG"/>
        </w:rPr>
        <w:t>.</w:t>
      </w:r>
    </w:p>
    <w:p w14:paraId="16713899" w14:textId="77777777" w:rsidR="00CB5F9D" w:rsidRPr="00CB5F9D" w:rsidRDefault="00CB5F9D" w:rsidP="00775980">
      <w:pPr>
        <w:bidi/>
        <w:spacing w:line="240" w:lineRule="auto"/>
        <w:jc w:val="lowKashida"/>
        <w:rPr>
          <w:rFonts w:asciiTheme="majorBidi" w:eastAsia="SimSun" w:hAnsiTheme="majorBidi" w:cstheme="majorBidi"/>
          <w:sz w:val="28"/>
          <w:szCs w:val="28"/>
          <w:rtl/>
        </w:rPr>
      </w:pPr>
      <w:r w:rsidRPr="00CB5F9D">
        <w:rPr>
          <w:rFonts w:asciiTheme="majorBidi" w:hAnsiTheme="majorBidi" w:cstheme="majorBidi"/>
          <w:i/>
          <w:sz w:val="28"/>
          <w:szCs w:val="28"/>
          <w:rtl/>
          <w:lang w:bidi="ar-EG"/>
        </w:rPr>
        <w:t xml:space="preserve"> </w:t>
      </w:r>
      <w:r w:rsidRPr="00CB5F9D">
        <w:rPr>
          <w:rFonts w:asciiTheme="majorBidi" w:eastAsia="SimSun" w:hAnsiTheme="majorBidi" w:cstheme="majorBidi"/>
          <w:sz w:val="28"/>
          <w:szCs w:val="28"/>
          <w:rtl/>
        </w:rPr>
        <w:t xml:space="preserve">وقد لاحظت مؤسسة ماعت إن الاستراتيجية الوطنية لحقوق الإنسان التي أطلقها رئيس الجمهورية في 11 سبتمبر 2021، استهدفت في المحور الأول الخاص بالحقوق السياسة والمدنية الاستفادة من إطار مراجعة الجرائم الأشد خطورة التي توقع عنها عقوبة الإعدام بمراعاة الظروف المجتمعية والدراسات المتخصصة بما يتفق مع الاتفاقيات الدولية والإقليمية التي صادقت عليها مصر، كما استهدفت الاستراتيجية استحداث تعديل تشريعي يتيح لغير القادرين ماليا الطعن أمام محكمة النقض على الأحكام الصادرة بالإعدام، مع وجوب انتداب محام للمحكوم عليهم بالإعدام </w:t>
      </w:r>
    </w:p>
    <w:p w14:paraId="1094F371" w14:textId="77777777" w:rsidR="00CB5F9D" w:rsidRPr="00CB5F9D" w:rsidRDefault="00CB5F9D" w:rsidP="00775980">
      <w:pPr>
        <w:bidi/>
        <w:spacing w:line="240" w:lineRule="auto"/>
        <w:jc w:val="lowKashida"/>
        <w:rPr>
          <w:rFonts w:asciiTheme="majorBidi" w:eastAsia="SimSun" w:hAnsiTheme="majorBidi" w:cstheme="majorBidi"/>
          <w:sz w:val="28"/>
          <w:szCs w:val="28"/>
          <w:rtl/>
        </w:rPr>
      </w:pPr>
      <w:r w:rsidRPr="00CB5F9D">
        <w:rPr>
          <w:rFonts w:asciiTheme="majorBidi" w:eastAsia="SimSun" w:hAnsiTheme="majorBidi" w:cstheme="majorBidi"/>
          <w:sz w:val="28"/>
          <w:szCs w:val="28"/>
          <w:rtl/>
        </w:rPr>
        <w:t xml:space="preserve">وهي خطوة مفترض فيها معالجة الثغرة التشريعية التي كانت موجودة فيما قبل والمتمثلة في خلو قانون حالات وإجراءات الطعن أمام محكمة النقض رقم 57 لسنة 1959 من وجوب انتداب محامي للمحكوم عليهم بالإعدام، وأيضا عدم تمكين غير القادرين ماليا من المحكوم عليهم بالإعدام من الطعن امام محكمة النقض. إلا إنه ورغم مرور أكثر من عام على إطلاق الاستراتيجية لا تزال الجهود المبذولة لتحقيق هذه النتيجة بطيئة ومحدودة للغاية ولا تتعدي سوي بعض المطالبات من منظمات المجتمع المدني بضرورة تفعيل هذا النتيجة في الاستراتيجية. </w:t>
      </w:r>
    </w:p>
    <w:p w14:paraId="3D4BEFD2" w14:textId="77777777" w:rsidR="00CB5F9D" w:rsidRPr="00CB5F9D" w:rsidRDefault="00CB5F9D" w:rsidP="00775980">
      <w:pPr>
        <w:bidi/>
        <w:spacing w:line="240" w:lineRule="auto"/>
        <w:jc w:val="lowKashida"/>
        <w:rPr>
          <w:rFonts w:asciiTheme="majorBidi" w:hAnsiTheme="majorBidi" w:cstheme="majorBidi"/>
          <w:i/>
          <w:sz w:val="28"/>
          <w:szCs w:val="28"/>
          <w:rtl/>
          <w:lang w:bidi="ar-EG"/>
        </w:rPr>
      </w:pPr>
      <w:r w:rsidRPr="00CB5F9D">
        <w:rPr>
          <w:rFonts w:asciiTheme="majorBidi" w:eastAsia="SimSun" w:hAnsiTheme="majorBidi" w:cstheme="majorBidi"/>
          <w:sz w:val="28"/>
          <w:szCs w:val="28"/>
          <w:rtl/>
        </w:rPr>
        <w:t xml:space="preserve">ورغم الخطوات الإيجابية السابقة التي اتخذتها الحكومة المصرية لا يزال تطبيق عقوبة الإعدام ساريًا في الممارسة العملية وتستند مصر في تطبيق العقوبة إلى </w:t>
      </w:r>
      <w:r w:rsidRPr="00CB5F9D">
        <w:rPr>
          <w:rFonts w:asciiTheme="majorBidi" w:hAnsiTheme="majorBidi" w:cstheme="majorBidi"/>
          <w:i/>
          <w:sz w:val="28"/>
          <w:szCs w:val="28"/>
          <w:rtl/>
          <w:lang w:bidi="ar-EG"/>
        </w:rPr>
        <w:t xml:space="preserve">الفقرة الثانية في المادة 6 من العهد الدولي للحقوق المدنية والسياسية التي تنص على أنه " لا يجوز في البلدان التي لم تلغ عقوبة الإعدام، أن يحكم بهذه العقوبة إلا جزاء على أشد الجرائم خطورة وفقا للتشريع النافذ وقت ارتكاب الجريمة وغير المخالف لأحكام هذا العهد. ولا يجوز تطبيق هذه العقوبة إلا بمقتضى حكم نهائي صادر عن محكمة مختصة" وفي هذه السياق لم تلاحظ مؤسسة ماعت تطبيق أي احكام اعدام إلا بناءً على احكام قضائية. وفي تعليقها علي قضية الإعدام بررت مصر تطبيق العقوبة بإنها تشارك الأمم المتحدة نفس الرؤية التي جاءت في القرار 37/175 لعام 2018 والتي تعتبر إن عقوبة الإعدام مسألة قضائية وتشريعية تدخل ضمن نطاق سيادة الدول في تحديد نظام العدالة الجنائية القائم بها، وإن إلغاء العقوبة يلزمه طيف واسع من المناقشات المحلية على المستوي الوطني لدراسة أثر إلغاء العقوبة أو إيقاف تطبيقها لفترة محددة على حقوق الضحايا وسبيل الانتصاف الفعال لهؤلاء الضحايا وذويهم بجانب آثارها على انتشار الجرائم المروعة بالإضافة إلى الآثار علي سلامة وآمن المجتمع. ولاحظت مؤسسة ماعت إنه في بعض الحالات كانت ثمة مطالب غير حكومية بتنفيذ عقوبة الإعدام، خاصة في قضية مقتل الفتاة نيرة أشرف التي قتلت من قبل زميل لها في 20 يونيو 2022 في محافظة الدقهلية. </w:t>
      </w:r>
    </w:p>
    <w:p w14:paraId="253C26DA" w14:textId="77777777" w:rsidR="00CB5F9D" w:rsidRPr="00CB5F9D" w:rsidRDefault="00CB5F9D" w:rsidP="00A31B7D">
      <w:pPr>
        <w:bidi/>
        <w:spacing w:line="240" w:lineRule="auto"/>
        <w:jc w:val="lowKashida"/>
        <w:rPr>
          <w:rFonts w:asciiTheme="majorBidi" w:hAnsiTheme="majorBidi" w:cstheme="majorBidi"/>
          <w:i/>
          <w:sz w:val="28"/>
          <w:szCs w:val="28"/>
          <w:rtl/>
          <w:lang w:bidi="ar-EG"/>
        </w:rPr>
      </w:pPr>
      <w:r w:rsidRPr="00CB5F9D">
        <w:rPr>
          <w:rFonts w:asciiTheme="majorBidi" w:hAnsiTheme="majorBidi" w:cstheme="majorBidi"/>
          <w:i/>
          <w:sz w:val="28"/>
          <w:szCs w:val="28"/>
          <w:rtl/>
          <w:lang w:bidi="ar-EG"/>
        </w:rPr>
        <w:t xml:space="preserve">كما يجوز لرئيس الجمهورية أن يصدر قرارا بالعفو أو تخفيف الحكم في القضايا التي يتراءي له أن تستحق ذلك ففي 4 أغسطس 2021، أصدر رئيس الجمهورية القرار رقم 323 لسنة 2021 بتخفيف عقوبة الإعدام المحكوم بها على مواطن هندي يدعي واملنا باجو ايانا في القضية رقم 951 لسنة 2016 جنايات قسم مرسي علم المقيدة برقم 26 لسنة 2017 كلي البحر الأحمر إلي عقوبة السجن المؤبد.  ويستدعي مراجعة الجرائم التي يوقع عليها عقوبة الإعدام تنقيح القوانين الوطنية حيث زعمت تقارير إن 78 نص تشريعي في 5 قوانين أساسية تتيح عقوبة الإعدام كجزاء لحوالي 104 جريمة، منهم 35 جريمة منصوص عليها في قانون العقوبات. </w:t>
      </w:r>
    </w:p>
    <w:p w14:paraId="0FAB51B0"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 xml:space="preserve">المادة 7: مناهضة التعذيب </w:t>
      </w:r>
    </w:p>
    <w:p w14:paraId="3A699445" w14:textId="77777777" w:rsidR="00CB5F9D" w:rsidRPr="00CB5F9D" w:rsidRDefault="00CB5F9D" w:rsidP="00775980">
      <w:pPr>
        <w:bidi/>
        <w:spacing w:line="240" w:lineRule="auto"/>
        <w:jc w:val="lowKashida"/>
        <w:rPr>
          <w:rFonts w:asciiTheme="majorBidi" w:hAnsiTheme="majorBidi" w:cstheme="majorBidi"/>
          <w:sz w:val="28"/>
          <w:szCs w:val="28"/>
        </w:rPr>
      </w:pPr>
      <w:r w:rsidRPr="00CB5F9D">
        <w:rPr>
          <w:rFonts w:asciiTheme="majorBidi" w:hAnsiTheme="majorBidi" w:cstheme="majorBidi"/>
          <w:sz w:val="28"/>
          <w:szCs w:val="28"/>
          <w:rtl/>
        </w:rPr>
        <w:lastRenderedPageBreak/>
        <w:t xml:space="preserve">اطلعت مؤسسة ماعت على الخطوات الإيجابية التي اتخذتها مصر لمنع التعذيب في الممارسة العملية وجري تضمين هذه الممارسات في تقريرها الدوري المقدم إلي اللجنة. </w:t>
      </w:r>
    </w:p>
    <w:p w14:paraId="7F69F1E8" w14:textId="77777777" w:rsidR="00CB5F9D" w:rsidRPr="00CB5F9D" w:rsidRDefault="00CB5F9D" w:rsidP="00775980">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ويحظر الدستور في المادة 52 كافة أشكال التعذيب وينص على إن جميع صوره "جريمة لا تسقط بالتقادم"، ويجرم القانون جميع اشكال التعذيب والمعاملة غير الإنسانية والمهينة، سواء كان ذلك لانتزاع اعترافات او معلومات أو بغرض المعاقبة على أي عمل او كنوع من التمييز ضد بعض المواطنين، أو حتى كان بدعوي التخويف والترهيب أو ممارسة الاعتداءات المادية بجميع اشكالها. ويتفق هذا الحظر مع الفقرة رقم 13 في التعليق العام رقم 20 للجنة المعنية بمناهضة التعذيب. وينطوي قانون العقوبات المصري في المادة 40 على قاعدة عامة تتمثل في أن يكون الشخص شريكا في جريمة التعذيب متي حرص عليها او اتفق مع غيره على ارتكابها أو ساعد مرتكبها على الأعمال المجهزة أو المسهلة أو المتممة لها. وتعاقب المادة 41 من ذات القانون الشريك في الجريمة بنفس العقوبة المفروضة على الفاعل الأصلي. لا ينفصم كل ما سبق مع الاحكام التي ساقتها محكمة النقض بانه لا يمكن ان تكون أوامر الرؤساء ذريعة لممارسة التعذيب. كما تتجاهل المحكمة أي اعتراف ناجم عن التعذيب، ولا يمكن تطبيق العقوبات إلا بناءً على احكام قضائية، ولا يجوز محاكمة الشخص إلا على الجرائم التي ارتكبها القانون.</w:t>
      </w:r>
    </w:p>
    <w:p w14:paraId="1E723F21" w14:textId="77777777" w:rsidR="00CB5F9D" w:rsidRPr="00CB5F9D" w:rsidRDefault="00CB5F9D" w:rsidP="00775980">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كما استهدفت الاستراتيجية الوطنية لحقوق الإنسان في إطار البند الأول الخاص بالحق في الحياة والسلامة الجسدية، استمرار مكافحة التعذيب بجميع اشكاله والتحقيق في كافة الادعاءات ذات الصلة وحماية حقوق الضحايا بما يتفق والدستور والالتزامات المتعلقة بحقوق الإنسان التي صادقت عليها مصر. كما استهدفت الاستراتيجية في نفس البند الحد من كافة اشكال الممارسات الفردية التي تعد بمثابة انتهاكات لحرمة الجسد سواء في المؤسسات التنفيذية أو الأماكن العامة والخاصة.</w:t>
      </w:r>
    </w:p>
    <w:p w14:paraId="1FEC938E" w14:textId="77777777" w:rsidR="00CB5F9D" w:rsidRPr="00CB5F9D" w:rsidRDefault="00CB5F9D" w:rsidP="0021063F">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غير إن القانون لا يزال به ثغرات تشريعية التي لا تتفق مع تجريم وتعريف التعذيب في المعايير الدولية لاسيما المواد 126، 129 من قانون العقوبات المصري والتي لا تتضمن احكامهما تعريفًا لجريمة التعذيب تتسق مع ورد في تعريف التعذيب الوارد في المادة الأولي من اتفاقية مناهضة التعذيب التي صادقت عليها مصر، كما لم توقع مصر حتى الآن على البروتوكول الاختياري لاتفاقية مناهضة التعذيب.</w:t>
      </w:r>
    </w:p>
    <w:p w14:paraId="51E57BC3" w14:textId="77777777" w:rsidR="00CB5F9D" w:rsidRPr="00CB5F9D" w:rsidRDefault="00CB5F9D" w:rsidP="0021063F">
      <w:pPr>
        <w:bidi/>
        <w:spacing w:line="240" w:lineRule="auto"/>
        <w:jc w:val="lowKashida"/>
        <w:rPr>
          <w:rFonts w:asciiTheme="majorBidi" w:hAnsiTheme="majorBidi" w:cstheme="majorBidi"/>
          <w:sz w:val="28"/>
          <w:szCs w:val="28"/>
          <w:rtl/>
        </w:rPr>
      </w:pPr>
      <w:r w:rsidRPr="00CB5F9D">
        <w:rPr>
          <w:rFonts w:asciiTheme="majorBidi" w:hAnsiTheme="majorBidi" w:cstheme="majorBidi"/>
          <w:sz w:val="28"/>
          <w:szCs w:val="28"/>
          <w:rtl/>
        </w:rPr>
        <w:t>لكن ذلك لم يمنع الحكومة المصرية من الاعتراف بوقوع بعض الممارسات الفردية بين الحين والأخر، تُمثل خروجا عن حظر هذه الجريمة لكنها لا ترقي علي أي حال لتكون نهجا سائدة لقوات الشرطة، و هذه الممارسات يعقبها تحقيقات ومحاكمات جنائية لأفراد الشرطة، بالإضافة إلي الإدانات التأديبية كالنقل إلي درجة أدني او عدم الترقية، ومن بين الوقائع الدالة علي ذلك  المحاكمات الجنائية التي تعرض لها بعض من افراد الشرطة خلال السنتين الأخيرتين جراء ممارسة اعتداءات على المواطنين، ففي 19 أغسطس 2021، أصدرت النيابة العامة باعتبارها الجهة المخول لها تحريك الدعوي الجنائية في قضايا التعذيب المتهم بها الموظفين العمومين، بيانًا بحبس ضابط شرطة يعمل في قسم اول المنتزه بمحافظة الاسكندرية خمسة عشر يوما احتياطيا على ذمة القضية، بعد اعتداءه جسديا علي محام يدعي (إ. إ. ال) أثناء تأدية عمله داخل ديوان القسم، ما الحق بالأخير إصابات في المخ والرأس. وجددت محكمة جنح اول المنتزه حبس الضابط مرتين</w:t>
      </w:r>
      <w:r w:rsidRPr="00CB5F9D">
        <w:rPr>
          <w:rStyle w:val="FootnoteReference"/>
          <w:rFonts w:asciiTheme="majorBidi" w:hAnsiTheme="majorBidi" w:cstheme="majorBidi"/>
          <w:sz w:val="28"/>
          <w:szCs w:val="28"/>
          <w:rtl/>
        </w:rPr>
        <w:footnoteReference w:id="15"/>
      </w:r>
      <w:r w:rsidRPr="00CB5F9D">
        <w:rPr>
          <w:rFonts w:asciiTheme="majorBidi" w:hAnsiTheme="majorBidi" w:cstheme="majorBidi"/>
          <w:sz w:val="28"/>
          <w:szCs w:val="28"/>
          <w:rtl/>
        </w:rPr>
        <w:t xml:space="preserve">. </w:t>
      </w:r>
    </w:p>
    <w:p w14:paraId="6BC9C520" w14:textId="77777777" w:rsidR="00CB5F9D" w:rsidRPr="00CB5F9D" w:rsidRDefault="00CB5F9D" w:rsidP="00775980">
      <w:pPr>
        <w:bidi/>
        <w:spacing w:line="240" w:lineRule="auto"/>
        <w:jc w:val="lowKashida"/>
        <w:rPr>
          <w:rFonts w:asciiTheme="majorBidi" w:hAnsiTheme="majorBidi" w:cstheme="majorBidi"/>
          <w:sz w:val="28"/>
          <w:szCs w:val="28"/>
        </w:rPr>
      </w:pPr>
      <w:r w:rsidRPr="00CB5F9D">
        <w:rPr>
          <w:rFonts w:asciiTheme="majorBidi" w:hAnsiTheme="majorBidi" w:cstheme="majorBidi"/>
          <w:sz w:val="28"/>
          <w:szCs w:val="28"/>
          <w:rtl/>
        </w:rPr>
        <w:t>وفي سبتمبر 2020 قررت النيابة العامة حبس 4 أمناء شرطة لمدة 15 يوم،</w:t>
      </w:r>
      <w:r w:rsidRPr="00CB5F9D">
        <w:rPr>
          <w:rFonts w:asciiTheme="majorBidi" w:hAnsiTheme="majorBidi" w:cstheme="majorBidi"/>
          <w:sz w:val="28"/>
          <w:szCs w:val="28"/>
          <w:rtl/>
          <w:lang w:bidi="ar-EG"/>
        </w:rPr>
        <w:t xml:space="preserve"> وإخلاء سبيل ضابط شرطة بكفالة </w:t>
      </w:r>
      <w:r w:rsidRPr="00CB5F9D">
        <w:rPr>
          <w:rFonts w:asciiTheme="majorBidi" w:hAnsiTheme="majorBidi" w:cstheme="majorBidi"/>
          <w:sz w:val="28"/>
          <w:szCs w:val="28"/>
          <w:lang w:bidi="ar-EG"/>
        </w:rPr>
        <w:t>500</w:t>
      </w:r>
      <w:r w:rsidRPr="00CB5F9D">
        <w:rPr>
          <w:rFonts w:asciiTheme="majorBidi" w:hAnsiTheme="majorBidi" w:cstheme="majorBidi"/>
          <w:sz w:val="28"/>
          <w:szCs w:val="28"/>
          <w:rtl/>
          <w:lang w:bidi="ar-EG"/>
        </w:rPr>
        <w:t>جنيه، على ذمة التحقيقات</w:t>
      </w:r>
      <w:r w:rsidRPr="00CB5F9D">
        <w:rPr>
          <w:rFonts w:asciiTheme="majorBidi" w:hAnsiTheme="majorBidi" w:cstheme="majorBidi"/>
          <w:sz w:val="28"/>
          <w:szCs w:val="28"/>
          <w:rtl/>
        </w:rPr>
        <w:t>، وذلك بعد القبض عليهم بتهمة التورط في التعذيب وقتل الشاب " إ. إ" بمنطقة المنيب بالجيزة، وذلك بعد القبض عليه بيومين</w:t>
      </w:r>
      <w:r w:rsidRPr="00CB5F9D">
        <w:rPr>
          <w:rStyle w:val="FootnoteReference"/>
          <w:rFonts w:asciiTheme="majorBidi" w:hAnsiTheme="majorBidi" w:cstheme="majorBidi"/>
          <w:sz w:val="28"/>
          <w:szCs w:val="28"/>
          <w:rtl/>
        </w:rPr>
        <w:footnoteReference w:id="16"/>
      </w:r>
      <w:r w:rsidRPr="00CB5F9D">
        <w:rPr>
          <w:rFonts w:asciiTheme="majorBidi" w:hAnsiTheme="majorBidi" w:cstheme="majorBidi"/>
          <w:sz w:val="28"/>
          <w:szCs w:val="28"/>
          <w:rtl/>
        </w:rPr>
        <w:t xml:space="preserve">. </w:t>
      </w:r>
      <w:r w:rsidRPr="00CB5F9D">
        <w:rPr>
          <w:rFonts w:asciiTheme="majorBidi" w:hAnsiTheme="majorBidi" w:cstheme="majorBidi"/>
          <w:sz w:val="28"/>
          <w:szCs w:val="28"/>
          <w:rtl/>
          <w:lang w:bidi="ar-EG"/>
        </w:rPr>
        <w:t>وأوضحت كاميرات المراقبة وفقا لتحقيقات النيابة العامة ان دخول الضحية حيا إلى مقر قسم الشرطة كما سجلت الكاميرات أيضا اعتداء أمناء الشرطة على الضحية اثناء ضبطه</w:t>
      </w:r>
      <w:r w:rsidRPr="00CB5F9D">
        <w:rPr>
          <w:rStyle w:val="FootnoteReference"/>
          <w:rFonts w:asciiTheme="majorBidi" w:hAnsiTheme="majorBidi" w:cstheme="majorBidi"/>
          <w:sz w:val="28"/>
          <w:szCs w:val="28"/>
          <w:rtl/>
          <w:lang w:bidi="ar-EG"/>
        </w:rPr>
        <w:footnoteReference w:id="17"/>
      </w:r>
      <w:r w:rsidRPr="00CB5F9D">
        <w:rPr>
          <w:rFonts w:asciiTheme="majorBidi" w:hAnsiTheme="majorBidi" w:cstheme="majorBidi"/>
          <w:sz w:val="28"/>
          <w:szCs w:val="28"/>
          <w:rtl/>
          <w:lang w:bidi="ar-EG"/>
        </w:rPr>
        <w:t>.</w:t>
      </w:r>
      <w:r w:rsidRPr="00CB5F9D">
        <w:rPr>
          <w:rFonts w:asciiTheme="majorBidi" w:hAnsiTheme="majorBidi" w:cstheme="majorBidi"/>
          <w:sz w:val="28"/>
          <w:szCs w:val="28"/>
          <w:rtl/>
        </w:rPr>
        <w:t xml:space="preserve"> </w:t>
      </w:r>
      <w:r w:rsidRPr="00CB5F9D">
        <w:rPr>
          <w:rFonts w:asciiTheme="majorBidi" w:hAnsiTheme="majorBidi" w:cstheme="majorBidi"/>
          <w:sz w:val="28"/>
          <w:szCs w:val="28"/>
          <w:rtl/>
          <w:lang w:bidi="ar-EG"/>
        </w:rPr>
        <w:t xml:space="preserve">وفي 3 ديسمبر 2019، أصدرت محكمة جنايات الوايلي، حكما في القضية رقم 4126 لسنة 2016 بمعاقبة ضابط، </w:t>
      </w:r>
      <w:r w:rsidRPr="00CB5F9D">
        <w:rPr>
          <w:rFonts w:asciiTheme="majorBidi" w:hAnsiTheme="majorBidi" w:cstheme="majorBidi"/>
          <w:sz w:val="28"/>
          <w:szCs w:val="28"/>
          <w:rtl/>
          <w:lang w:bidi="ar-EG"/>
        </w:rPr>
        <w:lastRenderedPageBreak/>
        <w:t>وثمانية أمناء شرطة، بالسجن لـ 3 سنوات، على خلفية اتهامهم بالضرب العمدي للمجني عليه "ح. ف. ح" حتى توفي، وكان من بين الاتهامات التي وجهت للضابط أيضا استعمال القسوة مع المجني عليه وزوجته ونجله، وذلك استغلالاً لوظيفته</w:t>
      </w:r>
      <w:r w:rsidRPr="00CB5F9D">
        <w:rPr>
          <w:rStyle w:val="FootnoteReference"/>
          <w:rFonts w:asciiTheme="majorBidi" w:hAnsiTheme="majorBidi" w:cstheme="majorBidi"/>
          <w:sz w:val="28"/>
          <w:szCs w:val="28"/>
          <w:rtl/>
          <w:lang w:bidi="ar-EG"/>
        </w:rPr>
        <w:footnoteReference w:id="18"/>
      </w:r>
      <w:r w:rsidRPr="00CB5F9D">
        <w:rPr>
          <w:rFonts w:asciiTheme="majorBidi" w:hAnsiTheme="majorBidi" w:cstheme="majorBidi"/>
          <w:sz w:val="28"/>
          <w:szCs w:val="28"/>
          <w:rtl/>
          <w:lang w:bidi="ar-EG"/>
        </w:rPr>
        <w:t>.</w:t>
      </w:r>
    </w:p>
    <w:p w14:paraId="369C3BEF"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 xml:space="preserve">المادة 9: الحق في الحرية والأمان الشخصي </w:t>
      </w:r>
    </w:p>
    <w:p w14:paraId="22B41B77" w14:textId="77777777" w:rsidR="00CB5F9D" w:rsidRPr="00CB5F9D" w:rsidRDefault="00CB5F9D" w:rsidP="00CB5F9D">
      <w:pPr>
        <w:bidi/>
        <w:spacing w:line="240" w:lineRule="auto"/>
        <w:jc w:val="both"/>
        <w:rPr>
          <w:rFonts w:asciiTheme="majorBidi" w:hAnsiTheme="majorBidi" w:cstheme="majorBidi"/>
          <w:sz w:val="28"/>
          <w:szCs w:val="28"/>
          <w:rtl/>
          <w:lang w:bidi="ar-EG"/>
        </w:rPr>
      </w:pPr>
      <w:r w:rsidRPr="00CB5F9D">
        <w:rPr>
          <w:rFonts w:asciiTheme="majorBidi" w:hAnsiTheme="majorBidi" w:cstheme="majorBidi"/>
          <w:sz w:val="28"/>
          <w:szCs w:val="28"/>
          <w:rtl/>
          <w:lang w:bidi="ar-EG"/>
        </w:rPr>
        <w:t>تنص المادة التاسعة إن لكل فرد حق في الحرية وفى الأمان على شخصه.  كما نصت هذه المادة إن لكل شخص حرم من حريته بالتوقيف أو الاعتقال حق الرجوع إلى محكمة لكي تفصل هذه المحكمة دون إبطاء في قانونية اعتقاله، وتأمر بالإفراج عنه إذا كان الاعتقال غير قانوني. وشرعت الجهات القضائية المخول لها اصدار أوامر الحبس التوسع في تجديد أوامر الحبس الاحتياطي منذ عام 2015، إلا إن ثمة انفراجه لاحظتها مؤسسة ماعت منذ إعادة تفعيل لجنة العفو الرئاسي في أبريل 2022 حيث وصل اجمالي المفرج عنهم في إطار لجنة العفو الرئاسي لنحو 1200 شخص وذلك حتى نوفمبر 2022 مع توقعات بالإفراج عن دفعات أخري بعد فرز الطلبات المقدمة إلى اللجنة والتي وصلت حتي أكتوبر 2022 نحو 4237 طلبًا، ومن بين المُفرج عنهم المحبوسين احتياطيًا والمحكوم عليهم في قضايا نشر، أو مخالفة إجراءات قانون التظاهر</w:t>
      </w:r>
      <w:r w:rsidRPr="00CB5F9D">
        <w:rPr>
          <w:rStyle w:val="FootnoteReference"/>
          <w:rFonts w:asciiTheme="majorBidi" w:hAnsiTheme="majorBidi" w:cstheme="majorBidi"/>
          <w:sz w:val="28"/>
          <w:szCs w:val="28"/>
          <w:rtl/>
          <w:lang w:bidi="ar-EG"/>
        </w:rPr>
        <w:footnoteReference w:id="19"/>
      </w:r>
      <w:r w:rsidRPr="00CB5F9D">
        <w:rPr>
          <w:rFonts w:asciiTheme="majorBidi" w:hAnsiTheme="majorBidi" w:cstheme="majorBidi"/>
          <w:sz w:val="28"/>
          <w:szCs w:val="28"/>
          <w:rtl/>
          <w:lang w:bidi="ar-EG"/>
        </w:rPr>
        <w:t>. كما أكدت الحركة المدنية وهي بمثابة الكيان المعارض الرئيسي في مصر في الوقت الحالي إنها ليست لديها أي سجين رأي في مراكز الإصلاح والتأهيل في مصر</w:t>
      </w:r>
      <w:r w:rsidRPr="00CB5F9D">
        <w:rPr>
          <w:rStyle w:val="FootnoteReference"/>
          <w:rFonts w:asciiTheme="majorBidi" w:hAnsiTheme="majorBidi" w:cstheme="majorBidi"/>
          <w:sz w:val="28"/>
          <w:szCs w:val="28"/>
          <w:rtl/>
          <w:lang w:bidi="ar-EG"/>
        </w:rPr>
        <w:footnoteReference w:id="20"/>
      </w:r>
      <w:r w:rsidRPr="00CB5F9D">
        <w:rPr>
          <w:rFonts w:asciiTheme="majorBidi" w:hAnsiTheme="majorBidi" w:cstheme="majorBidi"/>
          <w:sz w:val="28"/>
          <w:szCs w:val="28"/>
          <w:rtl/>
          <w:lang w:bidi="ar-EG"/>
        </w:rPr>
        <w:t xml:space="preserve">. كما أصدر رئيس الجمهورية عفوًا عن بعض النشطاء الذين صدرت في حقهم احكامًا قضائية وكان أخرهم الناشط زياد العليمي الذي أفرج عنه في 24 أكتوبر 2022 بموجب القرار رقم 510 لسنة 2022 </w:t>
      </w:r>
      <w:r w:rsidRPr="00CB5F9D">
        <w:rPr>
          <w:rStyle w:val="FootnoteReference"/>
          <w:rFonts w:asciiTheme="majorBidi" w:hAnsiTheme="majorBidi" w:cstheme="majorBidi"/>
          <w:sz w:val="28"/>
          <w:szCs w:val="28"/>
          <w:rtl/>
          <w:lang w:bidi="ar-EG"/>
        </w:rPr>
        <w:footnoteReference w:id="21"/>
      </w:r>
      <w:r w:rsidRPr="00CB5F9D">
        <w:rPr>
          <w:rFonts w:asciiTheme="majorBidi" w:hAnsiTheme="majorBidi" w:cstheme="majorBidi"/>
          <w:sz w:val="28"/>
          <w:szCs w:val="28"/>
          <w:rtl/>
          <w:lang w:bidi="ar-EG"/>
        </w:rPr>
        <w:t>.</w:t>
      </w:r>
    </w:p>
    <w:p w14:paraId="728E5D53"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المادة 18: حرية الدين والمعتقد</w:t>
      </w:r>
    </w:p>
    <w:p w14:paraId="5A9F22BA" w14:textId="77777777" w:rsidR="00CB5F9D" w:rsidRPr="00CB5F9D" w:rsidRDefault="00CB5F9D" w:rsidP="00CB5F9D">
      <w:pPr>
        <w:bidi/>
        <w:spacing w:line="240" w:lineRule="auto"/>
        <w:jc w:val="both"/>
        <w:rPr>
          <w:rFonts w:asciiTheme="majorBidi" w:hAnsiTheme="majorBidi" w:cstheme="majorBidi"/>
          <w:sz w:val="28"/>
          <w:szCs w:val="28"/>
          <w:rtl/>
          <w:lang w:bidi="ar-EG"/>
        </w:rPr>
      </w:pPr>
      <w:r w:rsidRPr="00CB5F9D">
        <w:rPr>
          <w:rFonts w:asciiTheme="majorBidi" w:hAnsiTheme="majorBidi" w:cstheme="majorBidi"/>
          <w:sz w:val="28"/>
          <w:szCs w:val="28"/>
          <w:rtl/>
          <w:lang w:bidi="ar-EG"/>
        </w:rPr>
        <w:t>ينص الدستور على أن “حرية المعتقد مطلقة” وأن “حرية ممارسة الشعائر الدينية وإقامة دور العبادة لأتباع الديانات السماوية حق ينظمه القانون، وتعترف الحكومة بالديانات الثلاثة الإسلامية والمسيحية واليهودية، وقد لاحظت مؤسسة ماعت الخطوات التي اتخذتها الحكومة من أجل كفالة هذا الحق. فقد وصل على سبيل المثال عدد الكنائس التي وافق مجلس الوزراء على تقنينها حتى 14 نوفمبر 2022 نحو 2526 كنيسة ومبني خدمي تابع لها. ومنذ انشاء لجنة تقنين الكنائس برئاسة رئيس الوزراء تعاقبت القرارات الرامية الي تقنينها، ففي اجتماع مجلس الوزراء الأسبوعي في 14 نوفمبر 2022 وافق المجلس على تقنين أوضاع 125 كنيسة ومبني تابع لها. وفي 27 أبريل 2022 وافق مجلس الوزراء في اجتماعه الحكومي علي تنقين أوضاع 239 كنيسة ومبني تابعة لها. وفي 4 يناير 2022 وافقت اللجنة علي تنقين أوضاع 141 كنيسة ومبني خدمي تابع لها. جاء التقنين في إطار التناغم مع ما جاء في المستهدف الثامن في البند الثامن الخاص بحرية الدين والمعتقد في المحور الأول الخاص بالحقوق المدنية والسياسية والذي اشتمل على " مواصلة اللجنة المختصة بتقنين أوضاع الكنائس عملها من أجل تقنين أوضاع بقية الكنائس والمباني الخدمية التابعة لها التي لم تخضع للتنظيم بعد.</w:t>
      </w:r>
    </w:p>
    <w:p w14:paraId="260410DD"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 xml:space="preserve">المادة 21: التجمع السلمي </w:t>
      </w:r>
    </w:p>
    <w:p w14:paraId="0507B938" w14:textId="77777777" w:rsidR="00CB5F9D" w:rsidRPr="00CB5F9D" w:rsidRDefault="00CB5F9D" w:rsidP="00CB5F9D">
      <w:pPr>
        <w:bidi/>
        <w:spacing w:line="240" w:lineRule="auto"/>
        <w:jc w:val="both"/>
        <w:rPr>
          <w:rFonts w:asciiTheme="majorBidi" w:hAnsiTheme="majorBidi" w:cstheme="majorBidi"/>
          <w:sz w:val="28"/>
          <w:szCs w:val="28"/>
          <w:rtl/>
          <w:lang w:bidi="ar-EG"/>
        </w:rPr>
      </w:pPr>
      <w:r w:rsidRPr="00CB5F9D">
        <w:rPr>
          <w:rFonts w:asciiTheme="majorBidi" w:hAnsiTheme="majorBidi" w:cstheme="majorBidi"/>
          <w:sz w:val="28"/>
          <w:szCs w:val="28"/>
          <w:rtl/>
          <w:lang w:bidi="ar-EG"/>
        </w:rPr>
        <w:t xml:space="preserve">لاحظت مؤسسة ماعت إن ثمة خطوات إيجابية خلال الفترة الأخيرة اتخذت من قبل الحكومة لإعمال هذه المادة وبجانب الضمانات المنصوص عليها في الدستور لإتاحة هذا الحق، فقد استضافت مصر في الفترة من 12 إلى 18 نوفمبر 2022 المؤتمر السابع والعشرون للأطراف في اتفاقية الأمم المتحدة الإطارية بشأن تغير المناخ، وخلال هذه الفترة خصصت مصر مساحة للتظاهر بما في ذلك للمواطنين المصريين. كما سمحت الشرطة لبعض النقابات المهنية بتنظيم تجمعات اعتراضًا على بعض السياسات الخاصة بوزارة المالية المصرية، حيث نظمت نقابة المحامين </w:t>
      </w:r>
      <w:r w:rsidRPr="00CB5F9D">
        <w:rPr>
          <w:rFonts w:asciiTheme="majorBidi" w:hAnsiTheme="majorBidi" w:cstheme="majorBidi"/>
          <w:sz w:val="28"/>
          <w:szCs w:val="28"/>
          <w:rtl/>
          <w:lang w:bidi="ar-EG"/>
        </w:rPr>
        <w:lastRenderedPageBreak/>
        <w:t>المصرية في ديسمبر 2022 تجمعًا سلميًا رفضَا لقرار وزارة المالية بتطبيق الفاتورة الإليكترونية على المهن الحرة. وفي 8 ديسمبر 2022 صدر قرار من وزارة المالية بتأجيل التسجيل في هذه المنظومة حتى 30 ابريل 2023 استجابة لتجمع نقابة المحامين</w:t>
      </w:r>
      <w:r w:rsidRPr="00CB5F9D">
        <w:rPr>
          <w:rStyle w:val="FootnoteReference"/>
          <w:rFonts w:asciiTheme="majorBidi" w:hAnsiTheme="majorBidi" w:cstheme="majorBidi"/>
          <w:sz w:val="28"/>
          <w:szCs w:val="28"/>
          <w:rtl/>
          <w:lang w:bidi="ar-EG"/>
        </w:rPr>
        <w:footnoteReference w:id="22"/>
      </w:r>
      <w:r w:rsidRPr="00CB5F9D">
        <w:rPr>
          <w:rFonts w:asciiTheme="majorBidi" w:hAnsiTheme="majorBidi" w:cstheme="majorBidi"/>
          <w:sz w:val="28"/>
          <w:szCs w:val="28"/>
          <w:rtl/>
          <w:lang w:bidi="ar-EG"/>
        </w:rPr>
        <w:t xml:space="preserve">. </w:t>
      </w:r>
    </w:p>
    <w:p w14:paraId="14593F09" w14:textId="77777777" w:rsidR="00CB5F9D" w:rsidRPr="00CB5F9D" w:rsidRDefault="00CB5F9D" w:rsidP="00775980">
      <w:pPr>
        <w:bidi/>
        <w:spacing w:line="240" w:lineRule="auto"/>
        <w:jc w:val="lowKashida"/>
        <w:rPr>
          <w:rFonts w:asciiTheme="majorBidi" w:hAnsiTheme="majorBidi" w:cstheme="majorBidi"/>
          <w:sz w:val="28"/>
          <w:szCs w:val="28"/>
          <w:rtl/>
          <w:lang w:bidi="ar-EG"/>
        </w:rPr>
      </w:pPr>
      <w:r w:rsidRPr="00CB5F9D">
        <w:rPr>
          <w:rFonts w:asciiTheme="majorBidi" w:hAnsiTheme="majorBidi" w:cstheme="majorBidi"/>
          <w:sz w:val="28"/>
          <w:szCs w:val="28"/>
          <w:rtl/>
          <w:lang w:bidi="ar-EG"/>
        </w:rPr>
        <w:t xml:space="preserve">ولاحظت مؤسسة ماعت إن الشرطة المصرية لم تتعرض لهذه الوقفات وان ثمة التزامًا بقانون التظاهر مارسه جميع الأطراف. وفي 3 ديسمبر 2022 عقدت أحزاب الحركة المدنية الديمقراطية في مصر وهي أحزاب مٌعارضة مؤتمرًا جماهيريًا في محافظة القاهرة لعرض برنامجها السياسي والاقتصادي وتضمنت مداخلات بعض الحضور انتقادًا للحكومة المصرية الحالية، ولم يعترض هذا المؤتمر أي عقبات. وفي 12 نوفمبر 2022 سمحت الحكومة المصرية لممثلي 12 منظمة حقوقية، مصرية وإقليمية ودولية، بالاجتماع في العاصمة المصرية القاهرة، في مائدة مستديرة استضافتها منظمة غير حكومية، للنقاش حول فرص تعزيز وحماية حقوق الإنسان في مصر خلال السنوات الأخيرة ورغم انتقاد هذه المنظمات لأوضاع حقوق الإنسان إلا إنها اعتبرت السماح لها بتنظيم هذا الاجتماع بمثابة تطور إيجابي. </w:t>
      </w:r>
    </w:p>
    <w:p w14:paraId="3ED3FDC2"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المادة 22: تكوين الجمعيات</w:t>
      </w:r>
    </w:p>
    <w:p w14:paraId="65BACBDF" w14:textId="77777777" w:rsidR="00CB5F9D" w:rsidRPr="00CB5F9D" w:rsidRDefault="00CB5F9D" w:rsidP="00775980">
      <w:pPr>
        <w:bidi/>
        <w:spacing w:line="240" w:lineRule="auto"/>
        <w:jc w:val="lowKashida"/>
        <w:rPr>
          <w:rFonts w:asciiTheme="majorBidi" w:hAnsiTheme="majorBidi" w:cstheme="majorBidi"/>
          <w:sz w:val="28"/>
          <w:szCs w:val="28"/>
          <w:rtl/>
          <w:lang w:bidi="ar-EG"/>
        </w:rPr>
      </w:pPr>
      <w:r w:rsidRPr="00CB5F9D">
        <w:rPr>
          <w:rFonts w:asciiTheme="majorBidi" w:hAnsiTheme="majorBidi" w:cstheme="majorBidi"/>
          <w:sz w:val="28"/>
          <w:szCs w:val="28"/>
          <w:rtl/>
          <w:lang w:bidi="ar-EG"/>
        </w:rPr>
        <w:t>يتيح الدستور الحق في تكوين الجمعيات وقد أصدرت المحكمة الدستورية في فبراير 2019 قرارًا بعدم جواز حل الجمعيات الأهلية بقرار اداري، وجاء القانون رقم 149 لسنة 2019 الخاص بممارسة العمل الأهلي بمثابة طوق النجاة للمجتمع المدني في مصر، وهو بديل عن القانون70 لسنة 2017 الخاص بممارسة العمل الأهلي، والذي رفضته غالبية منظمات المجتمع المدني ما جعل رئيس الجمهورية يطالب بإعادة النظر فيه وطرحه لحوار مجتمعي، وما نجم عن ذلك من إلغاء القانون برمته وإصدار القانون رقم 149 لسنة 2019 واللائحة التنفيذية المكملة له. وقد ألغي القانون الجديد أي عقوبات سالبة للحرية من قبيل الحبس المطول او الحبس الاحتياطي كانت منصوص عليها في القانون رقم 70 لسنة 2017 واكتفي بفرض غرامات لمخالفة أحكام القانون.</w:t>
      </w:r>
    </w:p>
    <w:p w14:paraId="4A2C2664" w14:textId="77777777" w:rsidR="00CB5F9D" w:rsidRPr="00CB5F9D" w:rsidRDefault="00CB5F9D" w:rsidP="00CB5F9D">
      <w:pPr>
        <w:bidi/>
        <w:spacing w:line="240" w:lineRule="auto"/>
        <w:jc w:val="both"/>
        <w:rPr>
          <w:rFonts w:asciiTheme="majorBidi" w:hAnsiTheme="majorBidi" w:cstheme="majorBidi"/>
          <w:sz w:val="28"/>
          <w:szCs w:val="28"/>
          <w:rtl/>
          <w:lang w:bidi="ar-EG"/>
        </w:rPr>
      </w:pPr>
      <w:r w:rsidRPr="00CB5F9D">
        <w:rPr>
          <w:rFonts w:asciiTheme="majorBidi" w:hAnsiTheme="majorBidi" w:cstheme="majorBidi"/>
          <w:sz w:val="28"/>
          <w:szCs w:val="28"/>
          <w:rtl/>
          <w:lang w:bidi="ar-EG"/>
        </w:rPr>
        <w:t xml:space="preserve">وفي 11 ابريل 2022، صدر  القانون رقم 23 لسنة 2022، القاضي بتعديل بعض أحكام قانون ممارسة العمل الأهلي ليمد في المادة الثانية من القانون فترة توفيق أوضاع منظمات المجتمع المدني ست أشهر من تاريخ العمل بالقانون، مع اتاحة مدة هذه الفترة مرة واحد فقط بقرار من وزير التضامن الاجتماعي، وقد جاء هذا التعديل ليتفق مع مطالبات عديدة من منظمات المجتمع المدني وفي مقدمتها مؤسسة ماعت، خاصة من أجل إتاحة الفرصة لتوفيق أوضاع المؤسسات والجمعيات الأهلية، التي لم تتمكن من توفيق أوضاعها بسبب المعرفة المحدودة لهذه المنظمات في التعامل مع المنظومة الإلكترونية الخاصة بالتسجيل. وفي 12 أكتوبر 2022 أصدرت وزيرة التضامن الاجتماعي بعد موافقة مجلس الوزراء قرارًا بمد مدة توفيق أوضاع الجمعيات والمؤسسات الأهلية والمنظمات الإقليمية والأجنبية غير الحكومية لمدة ستة أشهر تنتهي في إبريل 2023 وهي المرة الثانية التي يقُرر مد هذه المهلة التي كان مقرر لها يناير 2022. وحتى أكتوبر 2022 قد انهت 32 ألف جمعية ومؤسسة أهلية من إجراءات توفيق أوضاعهم، ورغم هذه التطورات الإيجابية ثمة عقبات تواجه الجمعيات الأهلية من أجل ممارسة أنشطتها ومن بينها الإجراءات المرهقة للحصول على تمويلات من الجهات المانحة ما قد يحول عن استدامة عمل هذه المنظمات. ومن بين الانتقادات التي وجهت للائحة التنفيذية إلزامها الجمعية برد الأموال للجهة المانحة في غضون خمسة أيام فقط حال رفضت الجهة الإدارية حصول المنظمة على المنحة، واعتبرت تقارير إن هذا الإجراء من شأنه أن يضيع على المنظمة فرصة الطعن على قرار الجهة الإدارية. والحصول على المنحة حال صدر حكمًا لصالح المنظمة. </w:t>
      </w:r>
    </w:p>
    <w:p w14:paraId="1AC9B840" w14:textId="77777777" w:rsidR="00CB5F9D" w:rsidRPr="00CB5F9D" w:rsidRDefault="00CB5F9D" w:rsidP="00775980">
      <w:pPr>
        <w:bidi/>
        <w:spacing w:line="240" w:lineRule="auto"/>
        <w:jc w:val="lowKashida"/>
        <w:rPr>
          <w:rFonts w:asciiTheme="majorBidi" w:hAnsiTheme="majorBidi" w:cstheme="majorBidi"/>
          <w:b/>
          <w:bCs/>
          <w:color w:val="0070C0"/>
          <w:sz w:val="28"/>
          <w:szCs w:val="28"/>
          <w:u w:val="single"/>
          <w:rtl/>
        </w:rPr>
      </w:pPr>
      <w:r w:rsidRPr="00CB5F9D">
        <w:rPr>
          <w:rFonts w:asciiTheme="majorBidi" w:hAnsiTheme="majorBidi" w:cstheme="majorBidi"/>
          <w:b/>
          <w:bCs/>
          <w:color w:val="0070C0"/>
          <w:sz w:val="28"/>
          <w:szCs w:val="28"/>
          <w:u w:val="single"/>
          <w:rtl/>
        </w:rPr>
        <w:t>توصي مؤسس ماعت بالآتي:</w:t>
      </w:r>
    </w:p>
    <w:p w14:paraId="47AE34A2" w14:textId="77777777" w:rsidR="00CB5F9D" w:rsidRPr="00CB5F9D" w:rsidRDefault="00CB5F9D" w:rsidP="00CB5F9D">
      <w:pPr>
        <w:pStyle w:val="ListParagraph"/>
        <w:numPr>
          <w:ilvl w:val="0"/>
          <w:numId w:val="19"/>
        </w:numPr>
        <w:bidi/>
        <w:spacing w:line="240" w:lineRule="auto"/>
        <w:ind w:left="270" w:firstLine="0"/>
        <w:jc w:val="lowKashida"/>
        <w:rPr>
          <w:rFonts w:asciiTheme="majorBidi" w:hAnsiTheme="majorBidi" w:cstheme="majorBidi"/>
          <w:sz w:val="28"/>
          <w:szCs w:val="28"/>
        </w:rPr>
      </w:pPr>
      <w:r w:rsidRPr="00CB5F9D">
        <w:rPr>
          <w:rFonts w:asciiTheme="majorBidi" w:hAnsiTheme="majorBidi" w:cstheme="majorBidi"/>
          <w:sz w:val="28"/>
          <w:szCs w:val="28"/>
          <w:rtl/>
        </w:rPr>
        <w:t xml:space="preserve">النظر في إنشاء المفوضية المستقلة لمكافحة التمييز بما يتفق مع المادة 53 من الدستور المصري </w:t>
      </w:r>
    </w:p>
    <w:p w14:paraId="01260C56" w14:textId="77777777" w:rsidR="00CB5F9D" w:rsidRPr="00CB5F9D" w:rsidRDefault="00CB5F9D" w:rsidP="00CB5F9D">
      <w:pPr>
        <w:pStyle w:val="ListParagraph"/>
        <w:numPr>
          <w:ilvl w:val="0"/>
          <w:numId w:val="19"/>
        </w:numPr>
        <w:bidi/>
        <w:spacing w:line="240" w:lineRule="auto"/>
        <w:ind w:left="270" w:firstLine="0"/>
        <w:jc w:val="lowKashida"/>
        <w:rPr>
          <w:rFonts w:asciiTheme="majorBidi" w:hAnsiTheme="majorBidi" w:cstheme="majorBidi"/>
          <w:sz w:val="28"/>
          <w:szCs w:val="28"/>
        </w:rPr>
      </w:pPr>
      <w:r w:rsidRPr="00CB5F9D">
        <w:rPr>
          <w:rFonts w:asciiTheme="majorBidi" w:hAnsiTheme="majorBidi" w:cstheme="majorBidi"/>
          <w:sz w:val="28"/>
          <w:szCs w:val="28"/>
          <w:rtl/>
        </w:rPr>
        <w:lastRenderedPageBreak/>
        <w:t xml:space="preserve">النظر في إزالة كافة اشكال التمييز ضد النساء والمجموعات الضعيفة في مصر بما في ذلك اللاجئين وطالبي اللجوء </w:t>
      </w:r>
    </w:p>
    <w:p w14:paraId="2BB3FEC8" w14:textId="77777777" w:rsidR="00CB5F9D" w:rsidRPr="00CB5F9D" w:rsidRDefault="00CB5F9D" w:rsidP="00CB5F9D">
      <w:pPr>
        <w:pStyle w:val="ListParagraph"/>
        <w:numPr>
          <w:ilvl w:val="0"/>
          <w:numId w:val="19"/>
        </w:numPr>
        <w:bidi/>
        <w:spacing w:line="240" w:lineRule="auto"/>
        <w:ind w:left="270" w:firstLine="0"/>
        <w:jc w:val="lowKashida"/>
        <w:rPr>
          <w:rFonts w:asciiTheme="majorBidi" w:hAnsiTheme="majorBidi" w:cstheme="majorBidi"/>
          <w:sz w:val="28"/>
          <w:szCs w:val="28"/>
        </w:rPr>
      </w:pPr>
      <w:r w:rsidRPr="00CB5F9D">
        <w:rPr>
          <w:rFonts w:asciiTheme="majorBidi" w:hAnsiTheme="majorBidi" w:cstheme="majorBidi"/>
          <w:sz w:val="28"/>
          <w:szCs w:val="28"/>
          <w:rtl/>
        </w:rPr>
        <w:t xml:space="preserve">إلغاء التحفظات التي تبديها مصر على اتفاقية القضاء على التمييز ضد المرأة بما يساهم تحقيق المساواة الفعلية بين الجنسين؛ </w:t>
      </w:r>
    </w:p>
    <w:p w14:paraId="334219B2" w14:textId="77777777" w:rsidR="00CB5F9D" w:rsidRPr="00CB5F9D" w:rsidRDefault="00CB5F9D" w:rsidP="00CB5F9D">
      <w:pPr>
        <w:pStyle w:val="ListParagraph"/>
        <w:numPr>
          <w:ilvl w:val="0"/>
          <w:numId w:val="19"/>
        </w:numPr>
        <w:bidi/>
        <w:spacing w:line="240" w:lineRule="auto"/>
        <w:ind w:left="270" w:firstLine="0"/>
        <w:jc w:val="lowKashida"/>
        <w:rPr>
          <w:rFonts w:asciiTheme="majorBidi" w:hAnsiTheme="majorBidi" w:cstheme="majorBidi"/>
          <w:sz w:val="28"/>
          <w:szCs w:val="28"/>
        </w:rPr>
      </w:pPr>
      <w:r w:rsidRPr="00CB5F9D">
        <w:rPr>
          <w:rFonts w:asciiTheme="majorBidi" w:hAnsiTheme="majorBidi" w:cstheme="majorBidi"/>
          <w:sz w:val="28"/>
          <w:szCs w:val="28"/>
          <w:rtl/>
        </w:rPr>
        <w:t xml:space="preserve">النظر في مؤامة تعريف التعذيب الوارد في القانون المصري مع التعريف الوارد في المادة الاولي التي صادقت عليها مصر؛ </w:t>
      </w:r>
    </w:p>
    <w:p w14:paraId="09E09B3F" w14:textId="77777777" w:rsidR="00CB5F9D" w:rsidRPr="00CB5F9D" w:rsidRDefault="00CB5F9D" w:rsidP="00CB5F9D">
      <w:pPr>
        <w:pStyle w:val="ListParagraph"/>
        <w:numPr>
          <w:ilvl w:val="0"/>
          <w:numId w:val="19"/>
        </w:numPr>
        <w:bidi/>
        <w:spacing w:line="240" w:lineRule="auto"/>
        <w:ind w:left="270" w:firstLine="0"/>
        <w:jc w:val="lowKashida"/>
        <w:rPr>
          <w:rFonts w:asciiTheme="majorBidi" w:hAnsiTheme="majorBidi" w:cstheme="majorBidi"/>
          <w:sz w:val="28"/>
          <w:szCs w:val="28"/>
        </w:rPr>
      </w:pPr>
      <w:r w:rsidRPr="00CB5F9D">
        <w:rPr>
          <w:rFonts w:asciiTheme="majorBidi" w:hAnsiTheme="majorBidi" w:cstheme="majorBidi"/>
          <w:sz w:val="28"/>
          <w:szCs w:val="28"/>
          <w:rtl/>
        </w:rPr>
        <w:t>النظر في فحص باقي الطلبات المقدمة الي لجنة العفو الرئاسي والإفراج عن دفعات اخري من المحبوسين احتياطيا.</w:t>
      </w:r>
    </w:p>
    <w:p w14:paraId="38F3F5DF" w14:textId="77777777" w:rsidR="00C41B4E" w:rsidRPr="00CB5F9D" w:rsidRDefault="00C41B4E" w:rsidP="00295CF7">
      <w:pPr>
        <w:bidi/>
        <w:rPr>
          <w:rFonts w:asciiTheme="majorBidi" w:hAnsiTheme="majorBidi" w:cstheme="majorBidi"/>
          <w:sz w:val="28"/>
          <w:szCs w:val="28"/>
          <w:rtl/>
          <w:lang w:bidi="ar-EG"/>
        </w:rPr>
      </w:pPr>
    </w:p>
    <w:sectPr w:rsidR="00C41B4E" w:rsidRPr="00CB5F9D"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51215" w14:textId="77777777" w:rsidR="00882270" w:rsidRDefault="00882270" w:rsidP="00CF1B4C">
      <w:pPr>
        <w:spacing w:after="0" w:line="240" w:lineRule="auto"/>
      </w:pPr>
      <w:r>
        <w:separator/>
      </w:r>
    </w:p>
  </w:endnote>
  <w:endnote w:type="continuationSeparator" w:id="0">
    <w:p w14:paraId="530BB774" w14:textId="77777777" w:rsidR="00882270" w:rsidRDefault="00882270"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458E7B2B"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2DD117BF" wp14:editId="4988D8F2">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06180973"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4F649076" w14:textId="77777777" w:rsidTr="0036671B">
      <w:trPr>
        <w:jc w:val="center"/>
      </w:trPr>
      <w:tc>
        <w:tcPr>
          <w:tcW w:w="646" w:type="pct"/>
          <w:vMerge w:val="restart"/>
          <w:vAlign w:val="center"/>
        </w:tcPr>
        <w:p w14:paraId="05713BB6" w14:textId="77777777" w:rsidR="006B714E" w:rsidRDefault="006B714E" w:rsidP="006B714E">
          <w:pPr>
            <w:spacing w:after="60" w:line="240" w:lineRule="auto"/>
            <w:jc w:val="center"/>
            <w:rPr>
              <w:noProof/>
              <w:rtl/>
            </w:rPr>
          </w:pPr>
          <w:r>
            <w:rPr>
              <w:rFonts w:hint="cs"/>
              <w:noProof/>
            </w:rPr>
            <w:drawing>
              <wp:inline distT="0" distB="0" distL="0" distR="0" wp14:anchorId="1F3C6D82" wp14:editId="6C41E84B">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640C6033" w14:textId="77777777" w:rsidR="006B714E" w:rsidRDefault="006B714E" w:rsidP="006B714E">
          <w:pPr>
            <w:spacing w:after="60" w:line="240" w:lineRule="auto"/>
            <w:rPr>
              <w:rFonts w:ascii="Times New Roman" w:hAnsi="Times New Roman" w:cs="Times New Roman"/>
              <w:b/>
              <w:bCs/>
              <w:color w:val="000066"/>
              <w:sz w:val="20"/>
              <w:szCs w:val="20"/>
            </w:rPr>
          </w:pPr>
        </w:p>
        <w:p w14:paraId="49D36F60"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23E8ADCB" w14:textId="77777777" w:rsidTr="0036671B">
      <w:trPr>
        <w:jc w:val="center"/>
      </w:trPr>
      <w:tc>
        <w:tcPr>
          <w:tcW w:w="646" w:type="pct"/>
          <w:vMerge/>
        </w:tcPr>
        <w:p w14:paraId="6006EFDB" w14:textId="77777777" w:rsidR="006B714E" w:rsidRDefault="006B714E" w:rsidP="006B714E">
          <w:pPr>
            <w:spacing w:after="0"/>
            <w:jc w:val="center"/>
            <w:rPr>
              <w:b/>
              <w:bCs/>
              <w:noProof/>
              <w:lang w:bidi="ar-EG"/>
            </w:rPr>
          </w:pPr>
        </w:p>
      </w:tc>
      <w:tc>
        <w:tcPr>
          <w:tcW w:w="278" w:type="pct"/>
          <w:vMerge w:val="restart"/>
          <w:vAlign w:val="center"/>
        </w:tcPr>
        <w:p w14:paraId="052CA178" w14:textId="77777777" w:rsidR="006B714E" w:rsidRPr="000F15D5" w:rsidRDefault="006B714E" w:rsidP="006B714E">
          <w:pPr>
            <w:spacing w:after="0"/>
            <w:jc w:val="center"/>
            <w:rPr>
              <w:b/>
              <w:bCs/>
              <w:lang w:bidi="ar-EG"/>
            </w:rPr>
          </w:pPr>
          <w:r>
            <w:rPr>
              <w:b/>
              <w:bCs/>
              <w:noProof/>
              <w:lang w:bidi="ar-EG"/>
            </w:rPr>
            <w:drawing>
              <wp:inline distT="0" distB="0" distL="0" distR="0" wp14:anchorId="37797DCE" wp14:editId="4ADC2BB7">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C3B2434"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48CB88A4" w14:textId="77777777" w:rsidTr="0036671B">
      <w:trPr>
        <w:jc w:val="center"/>
      </w:trPr>
      <w:tc>
        <w:tcPr>
          <w:tcW w:w="646" w:type="pct"/>
          <w:vMerge/>
        </w:tcPr>
        <w:p w14:paraId="3060027D" w14:textId="77777777" w:rsidR="006B714E" w:rsidRDefault="006B714E" w:rsidP="006B714E">
          <w:pPr>
            <w:spacing w:after="0"/>
            <w:jc w:val="center"/>
            <w:rPr>
              <w:lang w:bidi="ar-EG"/>
            </w:rPr>
          </w:pPr>
        </w:p>
      </w:tc>
      <w:tc>
        <w:tcPr>
          <w:tcW w:w="278" w:type="pct"/>
          <w:vMerge/>
          <w:vAlign w:val="center"/>
        </w:tcPr>
        <w:p w14:paraId="6E4C42A9" w14:textId="77777777" w:rsidR="006B714E" w:rsidRDefault="006B714E" w:rsidP="006B714E">
          <w:pPr>
            <w:spacing w:after="0"/>
            <w:jc w:val="center"/>
            <w:rPr>
              <w:lang w:bidi="ar-EG"/>
            </w:rPr>
          </w:pPr>
        </w:p>
      </w:tc>
      <w:tc>
        <w:tcPr>
          <w:tcW w:w="4076" w:type="pct"/>
          <w:gridSpan w:val="5"/>
          <w:vAlign w:val="center"/>
        </w:tcPr>
        <w:p w14:paraId="7EA631A5"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7C714142" w14:textId="77777777" w:rsidTr="0036671B">
      <w:trPr>
        <w:jc w:val="center"/>
      </w:trPr>
      <w:tc>
        <w:tcPr>
          <w:tcW w:w="646" w:type="pct"/>
          <w:vMerge/>
        </w:tcPr>
        <w:p w14:paraId="4345E59A" w14:textId="77777777" w:rsidR="006B714E" w:rsidRDefault="006B714E" w:rsidP="006B714E">
          <w:pPr>
            <w:spacing w:after="0"/>
            <w:jc w:val="center"/>
            <w:rPr>
              <w:noProof/>
              <w:lang w:bidi="ar-EG"/>
            </w:rPr>
          </w:pPr>
        </w:p>
      </w:tc>
      <w:tc>
        <w:tcPr>
          <w:tcW w:w="278" w:type="pct"/>
          <w:vAlign w:val="center"/>
        </w:tcPr>
        <w:p w14:paraId="6B861F9B" w14:textId="77777777" w:rsidR="006B714E" w:rsidRDefault="006B714E" w:rsidP="006B714E">
          <w:pPr>
            <w:spacing w:after="0"/>
            <w:jc w:val="center"/>
            <w:rPr>
              <w:lang w:bidi="ar-EG"/>
            </w:rPr>
          </w:pPr>
          <w:r>
            <w:rPr>
              <w:noProof/>
              <w:lang w:bidi="ar-EG"/>
            </w:rPr>
            <w:drawing>
              <wp:inline distT="0" distB="0" distL="0" distR="0" wp14:anchorId="7B85EA30" wp14:editId="5B76240E">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13777546"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68DAAA8F"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27CE2FA1"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5E520739" wp14:editId="0BEC0341">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2C05FABF"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35B3AB4C" w14:textId="77777777" w:rsidTr="0036671B">
      <w:trPr>
        <w:jc w:val="center"/>
      </w:trPr>
      <w:tc>
        <w:tcPr>
          <w:tcW w:w="646" w:type="pct"/>
          <w:vMerge/>
        </w:tcPr>
        <w:p w14:paraId="1FE172F2" w14:textId="77777777" w:rsidR="006B714E" w:rsidRDefault="006B714E" w:rsidP="006B714E">
          <w:pPr>
            <w:spacing w:after="0"/>
            <w:jc w:val="center"/>
            <w:rPr>
              <w:noProof/>
              <w:lang w:bidi="ar-EG"/>
            </w:rPr>
          </w:pPr>
        </w:p>
      </w:tc>
      <w:tc>
        <w:tcPr>
          <w:tcW w:w="278" w:type="pct"/>
          <w:vAlign w:val="center"/>
        </w:tcPr>
        <w:p w14:paraId="27036C08" w14:textId="77777777" w:rsidR="006B714E" w:rsidRDefault="006B714E" w:rsidP="006B714E">
          <w:pPr>
            <w:spacing w:after="0"/>
            <w:jc w:val="center"/>
            <w:rPr>
              <w:noProof/>
              <w:lang w:bidi="ar-EG"/>
            </w:rPr>
          </w:pPr>
          <w:r>
            <w:rPr>
              <w:noProof/>
              <w:lang w:bidi="ar-EG"/>
            </w:rPr>
            <w:drawing>
              <wp:inline distT="0" distB="0" distL="0" distR="0" wp14:anchorId="78459D84" wp14:editId="21B8C70B">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495438A3"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3F0D94DD"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0714BF5A"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48B8AEA9" wp14:editId="7011760A">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41FD83BC"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48BF60F2"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68EA4601" wp14:editId="7E8C959C">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2341" w14:textId="77777777" w:rsidR="00882270" w:rsidRDefault="00882270" w:rsidP="00CF1B4C">
      <w:pPr>
        <w:spacing w:after="0" w:line="240" w:lineRule="auto"/>
      </w:pPr>
      <w:r>
        <w:separator/>
      </w:r>
    </w:p>
  </w:footnote>
  <w:footnote w:type="continuationSeparator" w:id="0">
    <w:p w14:paraId="3B57D68B" w14:textId="77777777" w:rsidR="00882270" w:rsidRDefault="00882270" w:rsidP="00CF1B4C">
      <w:pPr>
        <w:spacing w:after="0" w:line="240" w:lineRule="auto"/>
      </w:pPr>
      <w:r>
        <w:continuationSeparator/>
      </w:r>
    </w:p>
  </w:footnote>
  <w:footnote w:id="1">
    <w:p w14:paraId="6CD4F468" w14:textId="77777777" w:rsidR="00CB5F9D" w:rsidRPr="001A6C60" w:rsidRDefault="00CB5F9D" w:rsidP="001A6C60">
      <w:pPr>
        <w:pStyle w:val="FootnoteText"/>
        <w:bidi/>
        <w:rPr>
          <w:rtl/>
          <w:lang w:bidi="ar-EG"/>
        </w:rPr>
      </w:pPr>
      <w:r>
        <w:rPr>
          <w:rStyle w:val="FootnoteReference"/>
        </w:rPr>
        <w:footnoteRef/>
      </w:r>
      <w:r>
        <w:t xml:space="preserve"> </w:t>
      </w:r>
      <w:r>
        <w:rPr>
          <w:rFonts w:hint="cs"/>
          <w:rtl/>
          <w:lang w:bidi="ar-EG"/>
        </w:rPr>
        <w:t xml:space="preserve"> الدستور المصري المعدل لعام 2019، منشورات قانونية، المادة 53، على الرابط التالي:</w:t>
      </w:r>
      <w:r w:rsidRPr="001A6C60">
        <w:t xml:space="preserve"> </w:t>
      </w:r>
      <w:hyperlink r:id="rId1" w:history="1">
        <w:r w:rsidRPr="00EB53B3">
          <w:rPr>
            <w:rStyle w:val="Hyperlink"/>
            <w:lang w:bidi="ar-EG"/>
          </w:rPr>
          <w:t>https://manshurat.org/node/14675</w:t>
        </w:r>
      </w:hyperlink>
      <w:r>
        <w:rPr>
          <w:rFonts w:hint="cs"/>
          <w:rtl/>
          <w:lang w:bidi="ar-EG"/>
        </w:rPr>
        <w:t xml:space="preserve"> </w:t>
      </w:r>
    </w:p>
  </w:footnote>
  <w:footnote w:id="2">
    <w:p w14:paraId="40B13856" w14:textId="77777777" w:rsidR="00CB5F9D" w:rsidRPr="0045329C" w:rsidRDefault="00CB5F9D">
      <w:pPr>
        <w:pStyle w:val="FootnoteText"/>
        <w:rPr>
          <w:lang w:bidi="ar-EG"/>
        </w:rPr>
      </w:pPr>
      <w:r>
        <w:rPr>
          <w:rStyle w:val="FootnoteReference"/>
        </w:rPr>
        <w:footnoteRef/>
      </w:r>
      <w:r>
        <w:t xml:space="preserve"> </w:t>
      </w:r>
      <w:r w:rsidRPr="0045329C">
        <w:t>EGYPT 2021 HUMAN RIGHTS REPORT</w:t>
      </w:r>
      <w:r>
        <w:t xml:space="preserve">, </w:t>
      </w:r>
      <w:r w:rsidRPr="0045329C">
        <w:t>U.S. Embassy in Egypt</w:t>
      </w:r>
      <w:r>
        <w:rPr>
          <w:lang w:bidi="ar-EG"/>
        </w:rPr>
        <w:t xml:space="preserve">, </w:t>
      </w:r>
      <w:hyperlink r:id="rId2" w:history="1">
        <w:r w:rsidRPr="00EB53B3">
          <w:rPr>
            <w:rStyle w:val="Hyperlink"/>
            <w:lang w:bidi="ar-EG"/>
          </w:rPr>
          <w:t>https://eg.usembassy.gov/egypt-2021-human-rights-report/</w:t>
        </w:r>
      </w:hyperlink>
      <w:r>
        <w:rPr>
          <w:lang w:bidi="ar-EG"/>
        </w:rPr>
        <w:t xml:space="preserve"> </w:t>
      </w:r>
    </w:p>
  </w:footnote>
  <w:footnote w:id="3">
    <w:p w14:paraId="69CB0D23" w14:textId="77777777" w:rsidR="00CB5F9D" w:rsidRPr="001F7919" w:rsidRDefault="00CB5F9D" w:rsidP="001F7919">
      <w:pPr>
        <w:pStyle w:val="FootnoteText"/>
        <w:bidi/>
        <w:rPr>
          <w:rtl/>
          <w:lang w:bidi="ar-EG"/>
        </w:rPr>
      </w:pPr>
      <w:r>
        <w:rPr>
          <w:rStyle w:val="FootnoteReference"/>
        </w:rPr>
        <w:footnoteRef/>
      </w:r>
      <w:r>
        <w:t xml:space="preserve"> </w:t>
      </w:r>
      <w:r>
        <w:rPr>
          <w:rFonts w:hint="cs"/>
          <w:rtl/>
          <w:lang w:bidi="ar-EG"/>
        </w:rPr>
        <w:t xml:space="preserve"> </w:t>
      </w:r>
      <w:r w:rsidRPr="001F7919">
        <w:rPr>
          <w:rFonts w:cs="Arial"/>
          <w:rtl/>
          <w:lang w:bidi="ar-EG"/>
        </w:rPr>
        <w:t>الاغتصاب الزوجي: جدل متجدد في مصر بين دعوات تجريمه و"حكم الشرع" في امتناع الزوجة</w:t>
      </w:r>
      <w:r>
        <w:rPr>
          <w:rFonts w:cs="Arial" w:hint="cs"/>
          <w:rtl/>
          <w:lang w:bidi="ar-EG"/>
        </w:rPr>
        <w:t xml:space="preserve">، بي بي سي عربية، </w:t>
      </w:r>
      <w:hyperlink r:id="rId3" w:history="1">
        <w:r w:rsidRPr="00EB53B3">
          <w:rPr>
            <w:rStyle w:val="Hyperlink"/>
            <w:rFonts w:cs="Arial"/>
            <w:lang w:bidi="ar-EG"/>
          </w:rPr>
          <w:t>https://www.bbc.com/arabic/trending-57558476</w:t>
        </w:r>
      </w:hyperlink>
      <w:r>
        <w:rPr>
          <w:rFonts w:cs="Arial" w:hint="cs"/>
          <w:rtl/>
          <w:lang w:bidi="ar-EG"/>
        </w:rPr>
        <w:t xml:space="preserve"> </w:t>
      </w:r>
    </w:p>
  </w:footnote>
  <w:footnote w:id="4">
    <w:p w14:paraId="2DC3E603" w14:textId="77777777" w:rsidR="00CB5F9D" w:rsidRDefault="00CB5F9D" w:rsidP="00B52FB8">
      <w:pPr>
        <w:pStyle w:val="FootnoteText"/>
        <w:bidi/>
        <w:rPr>
          <w:rtl/>
          <w:lang w:bidi="ar-EG"/>
        </w:rPr>
      </w:pPr>
      <w:r>
        <w:rPr>
          <w:rStyle w:val="FootnoteReference"/>
        </w:rPr>
        <w:footnoteRef/>
      </w:r>
      <w:r>
        <w:t xml:space="preserve"> </w:t>
      </w:r>
      <w:r>
        <w:rPr>
          <w:rFonts w:hint="cs"/>
          <w:rtl/>
          <w:lang w:bidi="ar-EG"/>
        </w:rPr>
        <w:t xml:space="preserve">  انظر مفوضية اللاجئين على الرابط التالي: </w:t>
      </w:r>
      <w:hyperlink r:id="rId4" w:history="1">
        <w:r w:rsidRPr="00EB53B3">
          <w:rPr>
            <w:rStyle w:val="Hyperlink"/>
            <w:lang w:bidi="ar-EG"/>
          </w:rPr>
          <w:t>https://bit.ly/3BofQNp</w:t>
        </w:r>
      </w:hyperlink>
      <w:r>
        <w:rPr>
          <w:rFonts w:hint="cs"/>
          <w:rtl/>
          <w:lang w:bidi="ar-EG"/>
        </w:rPr>
        <w:t xml:space="preserve"> </w:t>
      </w:r>
    </w:p>
  </w:footnote>
  <w:footnote w:id="5">
    <w:p w14:paraId="4F5BC2F4" w14:textId="77777777" w:rsidR="00CB5F9D" w:rsidRDefault="00CB5F9D" w:rsidP="00BA7D45">
      <w:pPr>
        <w:pStyle w:val="FootnoteText"/>
        <w:bidi/>
        <w:rPr>
          <w:rtl/>
        </w:rPr>
      </w:pPr>
      <w:r>
        <w:rPr>
          <w:rStyle w:val="FootnoteReference"/>
        </w:rPr>
        <w:footnoteRef/>
      </w:r>
      <w:r>
        <w:rPr>
          <w:rtl/>
        </w:rPr>
        <w:t xml:space="preserve"> </w:t>
      </w:r>
      <w:r>
        <w:rPr>
          <w:rFonts w:cs="Arial" w:hint="cs"/>
          <w:rtl/>
        </w:rPr>
        <w:t>انظر الرابط التالي:</w:t>
      </w:r>
      <w:r w:rsidRPr="000C3299">
        <w:t xml:space="preserve"> </w:t>
      </w:r>
      <w:hyperlink r:id="rId5" w:history="1">
        <w:r w:rsidRPr="00EB53B3">
          <w:rPr>
            <w:rStyle w:val="Hyperlink"/>
            <w:rFonts w:cs="Arial"/>
          </w:rPr>
          <w:t>https://bit.ly/3hdCqS3</w:t>
        </w:r>
      </w:hyperlink>
      <w:r>
        <w:rPr>
          <w:rFonts w:cs="Arial" w:hint="cs"/>
          <w:rtl/>
        </w:rPr>
        <w:t xml:space="preserve"> </w:t>
      </w:r>
      <w:r>
        <w:rPr>
          <w:rFonts w:hint="cs"/>
          <w:rtl/>
        </w:rPr>
        <w:t xml:space="preserve"> </w:t>
      </w:r>
    </w:p>
  </w:footnote>
  <w:footnote w:id="6">
    <w:p w14:paraId="0E52D785" w14:textId="77777777" w:rsidR="00CB5F9D" w:rsidRPr="000A363F" w:rsidRDefault="00CB5F9D" w:rsidP="000A363F">
      <w:pPr>
        <w:pStyle w:val="FootnoteText"/>
        <w:rPr>
          <w:lang w:bidi="ar-EG"/>
        </w:rPr>
      </w:pPr>
      <w:r>
        <w:rPr>
          <w:rStyle w:val="FootnoteReference"/>
        </w:rPr>
        <w:footnoteRef/>
      </w:r>
      <w:r>
        <w:t xml:space="preserve"> </w:t>
      </w:r>
      <w:r w:rsidRPr="000A363F">
        <w:t>PROMOTING GENDER EQUALITY AND WOMEN'S EMPOWERMENT</w:t>
      </w:r>
      <w:r>
        <w:t>, USAID</w:t>
      </w:r>
      <w:r>
        <w:rPr>
          <w:lang w:bidi="ar-EG"/>
        </w:rPr>
        <w:t xml:space="preserve">, </w:t>
      </w:r>
      <w:hyperlink r:id="rId6" w:history="1">
        <w:r w:rsidRPr="00EB53B3">
          <w:rPr>
            <w:rStyle w:val="Hyperlink"/>
            <w:lang w:bidi="ar-EG"/>
          </w:rPr>
          <w:t>https://bit.ly/3uBfhfs</w:t>
        </w:r>
      </w:hyperlink>
      <w:r>
        <w:rPr>
          <w:lang w:bidi="ar-EG"/>
        </w:rPr>
        <w:t xml:space="preserve"> </w:t>
      </w:r>
    </w:p>
  </w:footnote>
  <w:footnote w:id="7">
    <w:p w14:paraId="1B22CABB" w14:textId="77777777" w:rsidR="00CB5F9D" w:rsidRPr="00A617E4" w:rsidRDefault="00CB5F9D" w:rsidP="00A617E4">
      <w:pPr>
        <w:pStyle w:val="FootnoteText"/>
        <w:bidi/>
        <w:rPr>
          <w:rtl/>
          <w:lang w:bidi="ar-EG"/>
        </w:rPr>
      </w:pPr>
      <w:r>
        <w:rPr>
          <w:rStyle w:val="FootnoteReference"/>
        </w:rPr>
        <w:footnoteRef/>
      </w:r>
      <w:r>
        <w:t xml:space="preserve"> </w:t>
      </w:r>
      <w:r>
        <w:rPr>
          <w:rFonts w:hint="cs"/>
          <w:rtl/>
          <w:lang w:bidi="ar-EG"/>
        </w:rPr>
        <w:t xml:space="preserve"> قرار رقم 44 لسنة 2021، الجريدة الرسمية، على الرابط التالي:</w:t>
      </w:r>
      <w:r w:rsidRPr="00A617E4">
        <w:t xml:space="preserve"> </w:t>
      </w:r>
      <w:hyperlink r:id="rId7" w:history="1">
        <w:r w:rsidRPr="00EB53B3">
          <w:rPr>
            <w:rStyle w:val="Hyperlink"/>
            <w:lang w:bidi="ar-EG"/>
          </w:rPr>
          <w:t>https://bit.ly/3VJ7JTG</w:t>
        </w:r>
      </w:hyperlink>
      <w:r>
        <w:rPr>
          <w:rFonts w:hint="cs"/>
          <w:rtl/>
          <w:lang w:bidi="ar-EG"/>
        </w:rPr>
        <w:t xml:space="preserve"> </w:t>
      </w:r>
    </w:p>
  </w:footnote>
  <w:footnote w:id="8">
    <w:p w14:paraId="20C8315E" w14:textId="77777777" w:rsidR="00CB5F9D" w:rsidRPr="00A6607C" w:rsidRDefault="00CB5F9D">
      <w:pPr>
        <w:pStyle w:val="FootnoteText"/>
        <w:rPr>
          <w:rtl/>
          <w:lang w:bidi="ar-EG"/>
        </w:rPr>
      </w:pPr>
      <w:r>
        <w:rPr>
          <w:rStyle w:val="FootnoteReference"/>
        </w:rPr>
        <w:footnoteRef/>
      </w:r>
      <w:r>
        <w:t xml:space="preserve"> </w:t>
      </w:r>
      <w:r w:rsidRPr="00A6607C">
        <w:t>Concluding observations on the combined eighth to tenth periodic reports of Egypt</w:t>
      </w:r>
      <w:r>
        <w:t xml:space="preserve">, </w:t>
      </w:r>
      <w:hyperlink r:id="rId8" w:history="1">
        <w:r w:rsidRPr="00EB53B3">
          <w:rPr>
            <w:rStyle w:val="Hyperlink"/>
          </w:rPr>
          <w:t>https://bit.ly/3FatdlC</w:t>
        </w:r>
      </w:hyperlink>
      <w:r>
        <w:t xml:space="preserve"> </w:t>
      </w:r>
    </w:p>
  </w:footnote>
  <w:footnote w:id="9">
    <w:p w14:paraId="3B1A96ED" w14:textId="77777777" w:rsidR="00CB5F9D" w:rsidRDefault="00CB5F9D" w:rsidP="001B589C">
      <w:pPr>
        <w:pStyle w:val="FootnoteText"/>
        <w:bidi/>
        <w:rPr>
          <w:lang w:bidi="ar-EG"/>
        </w:rPr>
      </w:pPr>
      <w:r>
        <w:rPr>
          <w:rStyle w:val="FootnoteReference"/>
        </w:rPr>
        <w:footnoteRef/>
      </w:r>
      <w:r>
        <w:t xml:space="preserve"> </w:t>
      </w:r>
      <w:r>
        <w:rPr>
          <w:rFonts w:hint="cs"/>
          <w:rtl/>
          <w:lang w:bidi="ar-EG"/>
        </w:rPr>
        <w:t xml:space="preserve"> متاح على الرابط التالي:</w:t>
      </w:r>
      <w:r w:rsidRPr="007C14E7">
        <w:t xml:space="preserve"> </w:t>
      </w:r>
      <w:hyperlink r:id="rId9" w:history="1">
        <w:r w:rsidRPr="002A045E">
          <w:rPr>
            <w:rStyle w:val="Hyperlink"/>
            <w:lang w:bidi="ar-EG"/>
          </w:rPr>
          <w:t>https://bit.ly/3ChPACW</w:t>
        </w:r>
      </w:hyperlink>
      <w:r>
        <w:rPr>
          <w:lang w:bidi="ar-EG"/>
        </w:rPr>
        <w:t xml:space="preserve"> </w:t>
      </w:r>
    </w:p>
  </w:footnote>
  <w:footnote w:id="10">
    <w:p w14:paraId="061CC949" w14:textId="77777777" w:rsidR="00CB5F9D" w:rsidRPr="006E6CB6" w:rsidRDefault="00CB5F9D" w:rsidP="001B589C">
      <w:pPr>
        <w:pStyle w:val="FootnoteText"/>
        <w:bidi/>
        <w:rPr>
          <w:rtl/>
          <w:lang w:bidi="ar-EG"/>
        </w:rPr>
      </w:pPr>
      <w:r>
        <w:rPr>
          <w:rStyle w:val="FootnoteReference"/>
        </w:rPr>
        <w:footnoteRef/>
      </w:r>
      <w:r>
        <w:t xml:space="preserve"> </w:t>
      </w:r>
      <w:r>
        <w:rPr>
          <w:rFonts w:hint="cs"/>
          <w:rtl/>
          <w:lang w:bidi="ar-EG"/>
        </w:rPr>
        <w:t>قانون حالة الطوارئ رقم 162 لسنة 1958، منشورات قانونية، على الرابط التالي:</w:t>
      </w:r>
      <w:r w:rsidRPr="006A6AC8">
        <w:t xml:space="preserve"> </w:t>
      </w:r>
      <w:hyperlink r:id="rId10" w:history="1">
        <w:r w:rsidRPr="002A045E">
          <w:rPr>
            <w:rStyle w:val="Hyperlink"/>
            <w:lang w:bidi="ar-EG"/>
          </w:rPr>
          <w:t>https://bit.ly/3vJiJV8</w:t>
        </w:r>
      </w:hyperlink>
    </w:p>
  </w:footnote>
  <w:footnote w:id="11">
    <w:p w14:paraId="19629810" w14:textId="77777777" w:rsidR="00CB5F9D" w:rsidRDefault="00CB5F9D" w:rsidP="001B589C">
      <w:pPr>
        <w:pStyle w:val="FootnoteText"/>
        <w:bidi/>
        <w:rPr>
          <w:rtl/>
          <w:lang w:bidi="ar-EG"/>
        </w:rPr>
      </w:pPr>
      <w:r>
        <w:rPr>
          <w:rStyle w:val="FootnoteReference"/>
        </w:rPr>
        <w:footnoteRef/>
      </w:r>
      <w:r>
        <w:t xml:space="preserve"> </w:t>
      </w:r>
      <w:r>
        <w:rPr>
          <w:rFonts w:hint="cs"/>
          <w:rtl/>
          <w:lang w:bidi="ar-EG"/>
        </w:rPr>
        <w:t>نفس المرجع السابق</w:t>
      </w:r>
    </w:p>
  </w:footnote>
  <w:footnote w:id="12">
    <w:p w14:paraId="76706D89" w14:textId="77777777" w:rsidR="00CB5F9D" w:rsidRPr="006F6074" w:rsidRDefault="00CB5F9D" w:rsidP="001B589C">
      <w:pPr>
        <w:pStyle w:val="FootnoteText"/>
        <w:bidi/>
        <w:rPr>
          <w:rtl/>
          <w:lang w:bidi="ar-EG"/>
        </w:rPr>
      </w:pPr>
      <w:r>
        <w:rPr>
          <w:rStyle w:val="FootnoteReference"/>
        </w:rPr>
        <w:footnoteRef/>
      </w:r>
      <w:r>
        <w:t xml:space="preserve"> </w:t>
      </w:r>
      <w:r w:rsidRPr="006F6074">
        <w:rPr>
          <w:rFonts w:cs="Arial"/>
          <w:rtl/>
        </w:rPr>
        <w:t xml:space="preserve">إعلان حالة الطوارئ في مصر عقب تفجير كنيستين في طنطا </w:t>
      </w:r>
      <w:r>
        <w:rPr>
          <w:rFonts w:cs="Arial" w:hint="cs"/>
          <w:rtl/>
        </w:rPr>
        <w:t>والإسكندرية، بي بي سي عربية، 9 أبريل 2017، على الرابط التالي:</w:t>
      </w:r>
      <w:r w:rsidRPr="009D29DD">
        <w:t xml:space="preserve"> </w:t>
      </w:r>
      <w:hyperlink r:id="rId11" w:history="1">
        <w:r w:rsidRPr="00DB4A39">
          <w:rPr>
            <w:rStyle w:val="Hyperlink"/>
            <w:rFonts w:cs="Arial"/>
          </w:rPr>
          <w:t>https://bbc.in/3IYwFk5</w:t>
        </w:r>
      </w:hyperlink>
      <w:r>
        <w:rPr>
          <w:rFonts w:cs="Arial" w:hint="cs"/>
          <w:rtl/>
        </w:rPr>
        <w:t xml:space="preserve"> </w:t>
      </w:r>
    </w:p>
  </w:footnote>
  <w:footnote w:id="13">
    <w:p w14:paraId="522704CC" w14:textId="77777777" w:rsidR="00CB5F9D" w:rsidRPr="000C3299" w:rsidRDefault="00CB5F9D" w:rsidP="000C3299">
      <w:pPr>
        <w:pStyle w:val="FootnoteText"/>
        <w:bidi/>
        <w:rPr>
          <w:lang w:bidi="ar-EG"/>
        </w:rPr>
      </w:pPr>
      <w:r>
        <w:rPr>
          <w:rStyle w:val="FootnoteReference"/>
        </w:rPr>
        <w:footnoteRef/>
      </w:r>
      <w:r>
        <w:t xml:space="preserve"> </w:t>
      </w:r>
      <w:r>
        <w:rPr>
          <w:rFonts w:hint="cs"/>
          <w:rtl/>
          <w:lang w:bidi="ar-EG"/>
        </w:rPr>
        <w:t xml:space="preserve"> الاستراتيجية الوطنية لحقوق الإنسان، المحور الخاص بالحقوق المدنية والسياسية، على الرابط التالي:</w:t>
      </w:r>
      <w:r w:rsidRPr="000C3299">
        <w:t xml:space="preserve"> </w:t>
      </w:r>
      <w:hyperlink r:id="rId12" w:history="1">
        <w:r w:rsidRPr="00EB53B3">
          <w:rPr>
            <w:rStyle w:val="Hyperlink"/>
            <w:lang w:bidi="ar-EG"/>
          </w:rPr>
          <w:t>https://sschr.gov.eg/media/xaonutei/arabic-strategy-final.pdf</w:t>
        </w:r>
      </w:hyperlink>
      <w:r>
        <w:rPr>
          <w:lang w:bidi="ar-EG"/>
        </w:rPr>
        <w:t xml:space="preserve"> </w:t>
      </w:r>
    </w:p>
  </w:footnote>
  <w:footnote w:id="14">
    <w:p w14:paraId="3DEFF2D5" w14:textId="77777777" w:rsidR="00CB5F9D" w:rsidRPr="00C61C92" w:rsidRDefault="00CB5F9D" w:rsidP="00C61C92">
      <w:pPr>
        <w:pStyle w:val="FootnoteText"/>
        <w:bidi/>
        <w:rPr>
          <w:rtl/>
          <w:lang w:bidi="ar-EG"/>
        </w:rPr>
      </w:pPr>
      <w:r>
        <w:rPr>
          <w:rStyle w:val="FootnoteReference"/>
        </w:rPr>
        <w:footnoteRef/>
      </w:r>
      <w:r>
        <w:t xml:space="preserve"> </w:t>
      </w:r>
      <w:r>
        <w:rPr>
          <w:rFonts w:hint="cs"/>
          <w:rtl/>
          <w:lang w:bidi="ar-EG"/>
        </w:rPr>
        <w:t xml:space="preserve"> </w:t>
      </w:r>
      <w:r w:rsidRPr="00C61C92">
        <w:rPr>
          <w:rFonts w:cs="Arial"/>
          <w:rtl/>
          <w:lang w:bidi="ar-EG"/>
        </w:rPr>
        <w:t>السجن 7 سنوات لضابط وأمين شرطة بتهمة قتل مواطن في حلوان</w:t>
      </w:r>
      <w:r>
        <w:rPr>
          <w:rFonts w:cs="Arial" w:hint="cs"/>
          <w:rtl/>
          <w:lang w:bidi="ar-EG"/>
        </w:rPr>
        <w:t>، الشروق، على الرابط التالي:</w:t>
      </w:r>
      <w:r w:rsidRPr="00C61C92">
        <w:t xml:space="preserve"> </w:t>
      </w:r>
      <w:hyperlink r:id="rId13" w:history="1">
        <w:r w:rsidRPr="00EB53B3">
          <w:rPr>
            <w:rStyle w:val="Hyperlink"/>
            <w:rFonts w:cs="Arial"/>
            <w:lang w:bidi="ar-EG"/>
          </w:rPr>
          <w:t>https://bit.ly/3FyDWYh</w:t>
        </w:r>
      </w:hyperlink>
      <w:r>
        <w:rPr>
          <w:rFonts w:cs="Arial" w:hint="cs"/>
          <w:rtl/>
          <w:lang w:bidi="ar-EG"/>
        </w:rPr>
        <w:t xml:space="preserve"> </w:t>
      </w:r>
    </w:p>
  </w:footnote>
  <w:footnote w:id="15">
    <w:p w14:paraId="39439E5C" w14:textId="77777777" w:rsidR="00CB5F9D" w:rsidRDefault="00CB5F9D" w:rsidP="00525F0A">
      <w:pPr>
        <w:pStyle w:val="FootnoteText"/>
        <w:bidi/>
        <w:rPr>
          <w:rtl/>
          <w:lang w:bidi="ar-EG"/>
        </w:rPr>
      </w:pPr>
      <w:r>
        <w:rPr>
          <w:rStyle w:val="FootnoteReference"/>
        </w:rPr>
        <w:footnoteRef/>
      </w:r>
      <w:r>
        <w:t xml:space="preserve"> </w:t>
      </w:r>
      <w:r w:rsidRPr="0091290D">
        <w:rPr>
          <w:rFonts w:cs="Arial"/>
          <w:rtl/>
        </w:rPr>
        <w:t xml:space="preserve">اخلاء سبيل الضابط المتهم بالتعدي على محامي بقسم </w:t>
      </w:r>
      <w:proofErr w:type="spellStart"/>
      <w:r w:rsidRPr="0091290D">
        <w:rPr>
          <w:rFonts w:cs="Arial"/>
          <w:rtl/>
        </w:rPr>
        <w:t>المنتزة</w:t>
      </w:r>
      <w:proofErr w:type="spellEnd"/>
      <w:r w:rsidRPr="0091290D">
        <w:rPr>
          <w:rFonts w:cs="Arial"/>
          <w:rtl/>
        </w:rPr>
        <w:t xml:space="preserve"> بكفالة 5 آلاف جنيه</w:t>
      </w:r>
      <w:r>
        <w:rPr>
          <w:rFonts w:cs="Arial" w:hint="cs"/>
          <w:rtl/>
        </w:rPr>
        <w:t>، المصري اليوم، على الرابط التالي:</w:t>
      </w:r>
      <w:r w:rsidRPr="0091290D">
        <w:t xml:space="preserve"> </w:t>
      </w:r>
      <w:hyperlink r:id="rId14" w:history="1">
        <w:r w:rsidRPr="00EB53B3">
          <w:rPr>
            <w:rStyle w:val="Hyperlink"/>
            <w:rFonts w:cs="Arial"/>
          </w:rPr>
          <w:t>https://www.almasryalyoum.com/news/details/2446992</w:t>
        </w:r>
      </w:hyperlink>
      <w:r>
        <w:rPr>
          <w:rFonts w:cs="Arial" w:hint="cs"/>
          <w:rtl/>
        </w:rPr>
        <w:t xml:space="preserve"> </w:t>
      </w:r>
    </w:p>
  </w:footnote>
  <w:footnote w:id="16">
    <w:p w14:paraId="721F061C" w14:textId="77777777" w:rsidR="00CB5F9D" w:rsidRPr="00EF43EA" w:rsidRDefault="00CB5F9D" w:rsidP="00D4788B">
      <w:pPr>
        <w:pStyle w:val="FootnoteText"/>
        <w:bidi/>
        <w:rPr>
          <w:rFonts w:asciiTheme="minorBidi" w:hAnsiTheme="minorBidi"/>
          <w:lang w:bidi="ar-EG"/>
        </w:rPr>
      </w:pPr>
      <w:r w:rsidRPr="00EF43EA">
        <w:rPr>
          <w:rStyle w:val="FootnoteReference"/>
          <w:rFonts w:asciiTheme="minorBidi" w:hAnsiTheme="minorBidi"/>
        </w:rPr>
        <w:footnoteRef/>
      </w:r>
      <w:r w:rsidRPr="00EF43EA">
        <w:rPr>
          <w:rFonts w:asciiTheme="minorBidi" w:hAnsiTheme="minorBidi"/>
          <w:rtl/>
        </w:rPr>
        <w:t xml:space="preserve"> </w:t>
      </w:r>
      <w:r w:rsidRPr="00EF43EA">
        <w:rPr>
          <w:rFonts w:asciiTheme="minorBidi" w:hAnsiTheme="minorBidi"/>
          <w:rtl/>
          <w:lang w:bidi="ar-EG"/>
        </w:rPr>
        <w:t xml:space="preserve">قضية قتل اسلام الأسترالي.. الحلم بوطن بلا تعذيب، السفير العربي، 17 سبتمبر 2020. </w:t>
      </w:r>
      <w:hyperlink r:id="rId15" w:history="1">
        <w:r w:rsidRPr="00EF43EA">
          <w:rPr>
            <w:rStyle w:val="Hyperlink"/>
            <w:rFonts w:asciiTheme="minorBidi" w:hAnsiTheme="minorBidi"/>
            <w:lang w:bidi="ar-EG"/>
          </w:rPr>
          <w:t>https://bit.ly/3hevqjm</w:t>
        </w:r>
      </w:hyperlink>
    </w:p>
  </w:footnote>
  <w:footnote w:id="17">
    <w:p w14:paraId="2B3A6672" w14:textId="77777777" w:rsidR="00CB5F9D" w:rsidRPr="00EF43EA" w:rsidRDefault="00CB5F9D" w:rsidP="00D4788B">
      <w:pPr>
        <w:pStyle w:val="FootnoteText"/>
        <w:bidi/>
        <w:rPr>
          <w:rFonts w:asciiTheme="minorBidi" w:hAnsiTheme="minorBidi"/>
          <w:rtl/>
          <w:lang w:bidi="ar-EG"/>
        </w:rPr>
      </w:pPr>
      <w:r w:rsidRPr="00EF43EA">
        <w:rPr>
          <w:rStyle w:val="FootnoteReference"/>
          <w:rFonts w:asciiTheme="minorBidi" w:hAnsiTheme="minorBidi"/>
        </w:rPr>
        <w:footnoteRef/>
      </w:r>
      <w:r w:rsidRPr="00EF43EA">
        <w:rPr>
          <w:rFonts w:asciiTheme="minorBidi" w:hAnsiTheme="minorBidi"/>
        </w:rPr>
        <w:t xml:space="preserve"> </w:t>
      </w:r>
      <w:r w:rsidRPr="00EF43EA">
        <w:rPr>
          <w:rFonts w:asciiTheme="minorBidi" w:hAnsiTheme="minorBidi"/>
          <w:rtl/>
          <w:lang w:bidi="ar-EG"/>
        </w:rPr>
        <w:t xml:space="preserve"> وسط حراسة مشددة.. تجديد حبس أمناء الشرطة المتهمين بقتل «إسلام الأسترالي»، المصري اليوم، 13 سبتمبر 2019، للمزيد على الرابط التالي:</w:t>
      </w:r>
      <w:r w:rsidRPr="00EF43EA">
        <w:rPr>
          <w:rFonts w:asciiTheme="minorBidi" w:hAnsiTheme="minorBidi"/>
        </w:rPr>
        <w:t xml:space="preserve"> </w:t>
      </w:r>
      <w:hyperlink r:id="rId16" w:history="1">
        <w:r w:rsidRPr="00EF43EA">
          <w:rPr>
            <w:rStyle w:val="Hyperlink"/>
            <w:rFonts w:asciiTheme="minorBidi" w:hAnsiTheme="minorBidi"/>
            <w:lang w:bidi="ar-EG"/>
          </w:rPr>
          <w:t>https://www.almasryalyoum.com/news/details/2035180</w:t>
        </w:r>
      </w:hyperlink>
      <w:r w:rsidRPr="00EF43EA">
        <w:rPr>
          <w:rFonts w:asciiTheme="minorBidi" w:hAnsiTheme="minorBidi"/>
          <w:rtl/>
          <w:lang w:bidi="ar-EG"/>
        </w:rPr>
        <w:t xml:space="preserve"> </w:t>
      </w:r>
    </w:p>
  </w:footnote>
  <w:footnote w:id="18">
    <w:p w14:paraId="7A78EA11" w14:textId="77777777" w:rsidR="00CB5F9D" w:rsidRPr="00EF43EA" w:rsidRDefault="00CB5F9D" w:rsidP="00D4788B">
      <w:pPr>
        <w:pStyle w:val="FootnoteText"/>
        <w:bidi/>
        <w:rPr>
          <w:rFonts w:asciiTheme="minorBidi" w:hAnsiTheme="minorBidi"/>
          <w:rtl/>
        </w:rPr>
      </w:pPr>
      <w:r w:rsidRPr="00EF43EA">
        <w:rPr>
          <w:rStyle w:val="FootnoteReference"/>
          <w:rFonts w:asciiTheme="minorBidi" w:hAnsiTheme="minorBidi"/>
        </w:rPr>
        <w:footnoteRef/>
      </w:r>
      <w:r w:rsidRPr="00EF43EA">
        <w:rPr>
          <w:rFonts w:asciiTheme="minorBidi" w:hAnsiTheme="minorBidi"/>
        </w:rPr>
        <w:t xml:space="preserve"> </w:t>
      </w:r>
      <w:r w:rsidRPr="00EF43EA">
        <w:rPr>
          <w:rFonts w:asciiTheme="minorBidi" w:hAnsiTheme="minorBidi"/>
          <w:rtl/>
          <w:lang w:bidi="ar-EG"/>
        </w:rPr>
        <w:t xml:space="preserve"> السجن 3 سنوات لضابط و8 أمناء شرطة لضربهم مواطن حتى الموت، أخبار اليوم، 3 ديسمبر 2019، للمزيد على الرابط التالي:</w:t>
      </w:r>
      <w:r w:rsidRPr="00EF43EA">
        <w:rPr>
          <w:rFonts w:asciiTheme="minorBidi" w:hAnsiTheme="minorBidi"/>
        </w:rPr>
        <w:t xml:space="preserve"> </w:t>
      </w:r>
      <w:hyperlink r:id="rId17" w:history="1">
        <w:r w:rsidRPr="00EF43EA">
          <w:rPr>
            <w:rStyle w:val="Hyperlink"/>
            <w:rFonts w:asciiTheme="minorBidi" w:hAnsiTheme="minorBidi"/>
          </w:rPr>
          <w:t>https://bit.ly/2WE1cwC</w:t>
        </w:r>
      </w:hyperlink>
    </w:p>
  </w:footnote>
  <w:footnote w:id="19">
    <w:p w14:paraId="0BB89965" w14:textId="77777777" w:rsidR="00CB5F9D" w:rsidRPr="00F65ADB" w:rsidRDefault="00CB5F9D" w:rsidP="00F65ADB">
      <w:pPr>
        <w:pStyle w:val="FootnoteText"/>
        <w:bidi/>
        <w:rPr>
          <w:rtl/>
          <w:lang w:bidi="ar-EG"/>
        </w:rPr>
      </w:pPr>
      <w:r>
        <w:rPr>
          <w:rStyle w:val="FootnoteReference"/>
        </w:rPr>
        <w:footnoteRef/>
      </w:r>
      <w:r>
        <w:t xml:space="preserve"> </w:t>
      </w:r>
      <w:r>
        <w:rPr>
          <w:rFonts w:hint="cs"/>
          <w:rtl/>
          <w:lang w:bidi="ar-EG"/>
        </w:rPr>
        <w:t xml:space="preserve"> </w:t>
      </w:r>
      <w:r w:rsidRPr="00F65ADB">
        <w:rPr>
          <w:rFonts w:cs="Arial"/>
          <w:rtl/>
          <w:lang w:bidi="ar-EG"/>
        </w:rPr>
        <w:t>عضو «العفو الرئاسي» يكشف إجمالي عدد المفرج عنهم منذ إعادة تفعيل اللجنة</w:t>
      </w:r>
      <w:r>
        <w:rPr>
          <w:rFonts w:cs="Arial" w:hint="cs"/>
          <w:rtl/>
          <w:lang w:bidi="ar-EG"/>
        </w:rPr>
        <w:t>، المصري اليوم، على الرابط التالي:</w:t>
      </w:r>
      <w:r w:rsidRPr="00F65ADB">
        <w:t xml:space="preserve"> </w:t>
      </w:r>
      <w:hyperlink r:id="rId18" w:history="1">
        <w:r w:rsidRPr="00EB53B3">
          <w:rPr>
            <w:rStyle w:val="Hyperlink"/>
            <w:rFonts w:cs="Arial"/>
            <w:lang w:bidi="ar-EG"/>
          </w:rPr>
          <w:t>https://www.almasryalyoum.com/news/details/2743273</w:t>
        </w:r>
      </w:hyperlink>
      <w:r>
        <w:rPr>
          <w:rFonts w:cs="Arial" w:hint="cs"/>
          <w:rtl/>
          <w:lang w:bidi="ar-EG"/>
        </w:rPr>
        <w:t xml:space="preserve"> </w:t>
      </w:r>
    </w:p>
  </w:footnote>
  <w:footnote w:id="20">
    <w:p w14:paraId="43E17E0D" w14:textId="77777777" w:rsidR="00CB5F9D" w:rsidRPr="00C61C92" w:rsidRDefault="00CB5F9D" w:rsidP="00C61C92">
      <w:pPr>
        <w:pStyle w:val="FootnoteText"/>
        <w:bidi/>
        <w:rPr>
          <w:rtl/>
          <w:lang w:bidi="ar-EG"/>
        </w:rPr>
      </w:pPr>
      <w:r>
        <w:rPr>
          <w:rStyle w:val="FootnoteReference"/>
        </w:rPr>
        <w:footnoteRef/>
      </w:r>
      <w:r>
        <w:t xml:space="preserve"> </w:t>
      </w:r>
      <w:r w:rsidRPr="00FA1908">
        <w:rPr>
          <w:rFonts w:cs="Arial"/>
          <w:rtl/>
        </w:rPr>
        <w:t>خالد داوود: أحزاب الحركة المدنية ليس لديها أي سجين رأي حاليًا</w:t>
      </w:r>
      <w:r>
        <w:rPr>
          <w:rFonts w:cs="Arial" w:hint="cs"/>
          <w:rtl/>
        </w:rPr>
        <w:t>، على الرابط التالي:</w:t>
      </w:r>
      <w:r w:rsidRPr="00FA1908">
        <w:t xml:space="preserve"> </w:t>
      </w:r>
      <w:hyperlink r:id="rId19" w:history="1">
        <w:r w:rsidRPr="00EB53B3">
          <w:rPr>
            <w:rStyle w:val="Hyperlink"/>
            <w:rFonts w:cs="Arial"/>
          </w:rPr>
          <w:t>https://www.almasryalyoum.com/news/details/2732816</w:t>
        </w:r>
      </w:hyperlink>
      <w:r>
        <w:rPr>
          <w:rFonts w:cs="Arial" w:hint="cs"/>
          <w:rtl/>
        </w:rPr>
        <w:t xml:space="preserve"> </w:t>
      </w:r>
    </w:p>
  </w:footnote>
  <w:footnote w:id="21">
    <w:p w14:paraId="3CAD81B4" w14:textId="77777777" w:rsidR="00CB5F9D" w:rsidRPr="00EF43EA" w:rsidRDefault="00CB5F9D" w:rsidP="00EF43EA">
      <w:pPr>
        <w:pStyle w:val="FootnoteText"/>
        <w:bidi/>
        <w:rPr>
          <w:rtl/>
          <w:lang w:bidi="ar-EG"/>
        </w:rPr>
      </w:pPr>
      <w:r w:rsidRPr="00EF43EA">
        <w:rPr>
          <w:rStyle w:val="FootnoteReference"/>
          <w:rFonts w:asciiTheme="minorBidi" w:hAnsiTheme="minorBidi"/>
        </w:rPr>
        <w:footnoteRef/>
      </w:r>
      <w:r w:rsidRPr="00EF43EA">
        <w:rPr>
          <w:rFonts w:asciiTheme="minorBidi" w:hAnsiTheme="minorBidi"/>
        </w:rPr>
        <w:t xml:space="preserve"> </w:t>
      </w:r>
      <w:r w:rsidRPr="00EF43EA">
        <w:rPr>
          <w:rFonts w:asciiTheme="minorBidi" w:hAnsiTheme="minorBidi"/>
          <w:rtl/>
          <w:lang w:bidi="ar-EG"/>
        </w:rPr>
        <w:t xml:space="preserve"> الرئيس السيسي يصدر قرارا بالعفو عن زياد العليمي، الشروق، </w:t>
      </w:r>
      <w:r w:rsidRPr="00EF43EA">
        <w:rPr>
          <w:rFonts w:asciiTheme="minorBidi" w:hAnsiTheme="minorBidi" w:hint="cs"/>
          <w:rtl/>
          <w:lang w:bidi="ar-EG"/>
        </w:rPr>
        <w:t>على</w:t>
      </w:r>
      <w:r w:rsidRPr="00EF43EA">
        <w:rPr>
          <w:rFonts w:asciiTheme="minorBidi" w:hAnsiTheme="minorBidi"/>
          <w:rtl/>
          <w:lang w:bidi="ar-EG"/>
        </w:rPr>
        <w:t xml:space="preserve"> الرابط التالي:</w:t>
      </w:r>
      <w:r w:rsidRPr="00EF43EA">
        <w:rPr>
          <w:rFonts w:asciiTheme="minorBidi" w:hAnsiTheme="minorBidi"/>
        </w:rPr>
        <w:t xml:space="preserve"> </w:t>
      </w:r>
      <w:hyperlink r:id="rId20" w:history="1">
        <w:r w:rsidRPr="00EF43EA">
          <w:rPr>
            <w:rStyle w:val="Hyperlink"/>
            <w:rFonts w:asciiTheme="minorBidi" w:hAnsiTheme="minorBidi"/>
            <w:lang w:bidi="ar-EG"/>
          </w:rPr>
          <w:t>https://bit.ly/3FfPdeV</w:t>
        </w:r>
      </w:hyperlink>
      <w:r>
        <w:rPr>
          <w:rFonts w:cs="Arial" w:hint="cs"/>
          <w:rtl/>
          <w:lang w:bidi="ar-EG"/>
        </w:rPr>
        <w:t xml:space="preserve"> </w:t>
      </w:r>
    </w:p>
  </w:footnote>
  <w:footnote w:id="22">
    <w:p w14:paraId="6755AD15" w14:textId="77777777" w:rsidR="00CB5F9D" w:rsidRPr="00FA1908" w:rsidRDefault="00CB5F9D" w:rsidP="00FA1908">
      <w:pPr>
        <w:pStyle w:val="FootnoteText"/>
        <w:bidi/>
        <w:rPr>
          <w:rtl/>
          <w:lang w:bidi="ar-EG"/>
        </w:rPr>
      </w:pPr>
      <w:r>
        <w:rPr>
          <w:rStyle w:val="FootnoteReference"/>
        </w:rPr>
        <w:footnoteRef/>
      </w:r>
      <w:r>
        <w:t xml:space="preserve"> </w:t>
      </w:r>
      <w:r>
        <w:rPr>
          <w:rFonts w:hint="cs"/>
          <w:rtl/>
          <w:lang w:bidi="ar-EG"/>
        </w:rPr>
        <w:t xml:space="preserve"> </w:t>
      </w:r>
      <w:r w:rsidRPr="00FA1908">
        <w:rPr>
          <w:rFonts w:cs="Arial"/>
          <w:rtl/>
          <w:lang w:bidi="ar-EG"/>
        </w:rPr>
        <w:t>بيان عاجل من نقيب المحامين بشأن قرار وزير المالية بتأجيل التسجيل في الفاتورة الالكترونية</w:t>
      </w:r>
      <w:r>
        <w:rPr>
          <w:rFonts w:cs="Arial" w:hint="cs"/>
          <w:rtl/>
          <w:lang w:bidi="ar-EG"/>
        </w:rPr>
        <w:t>، على الرابط التالي، على الرابط التالي:</w:t>
      </w:r>
      <w:r w:rsidRPr="00FA1908">
        <w:t xml:space="preserve"> </w:t>
      </w:r>
      <w:hyperlink r:id="rId21" w:history="1">
        <w:r w:rsidRPr="00EB53B3">
          <w:rPr>
            <w:rStyle w:val="Hyperlink"/>
            <w:rFonts w:cs="Arial"/>
            <w:lang w:bidi="ar-EG"/>
          </w:rPr>
          <w:t>https://egyls.com/218724-2</w:t>
        </w:r>
        <w:r w:rsidRPr="00EB53B3">
          <w:rPr>
            <w:rStyle w:val="Hyperlink"/>
            <w:rFonts w:cs="Arial"/>
            <w:rtl/>
            <w:lang w:bidi="ar-EG"/>
          </w:rPr>
          <w:t>/</w:t>
        </w:r>
      </w:hyperlink>
      <w:r>
        <w:rPr>
          <w:rFonts w:cs="Arial"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9F06A" w14:textId="77777777" w:rsidR="00AC72CC" w:rsidRDefault="00EB74DC">
    <w:r>
      <w:rPr>
        <w:rFonts w:hint="cs"/>
        <w:noProof/>
      </w:rPr>
      <w:drawing>
        <wp:inline distT="0" distB="0" distL="0" distR="0" wp14:anchorId="1ECFAE17" wp14:editId="20566799">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071584D6" w14:textId="77777777" w:rsidTr="00295CF7">
      <w:tc>
        <w:tcPr>
          <w:tcW w:w="2500" w:type="pct"/>
        </w:tcPr>
        <w:p w14:paraId="259E0BA8" w14:textId="77777777" w:rsidR="006B714E" w:rsidRDefault="006B714E" w:rsidP="006B714E">
          <w:pPr>
            <w:pStyle w:val="Header"/>
          </w:pPr>
          <w:r>
            <w:rPr>
              <w:rFonts w:hint="cs"/>
              <w:noProof/>
            </w:rPr>
            <w:drawing>
              <wp:inline distT="0" distB="0" distL="0" distR="0" wp14:anchorId="21F79E99" wp14:editId="338C0F87">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3B31F875" w14:textId="77777777" w:rsidR="006B714E" w:rsidRDefault="006B714E" w:rsidP="006B714E">
          <w:pPr>
            <w:pStyle w:val="Header"/>
          </w:pPr>
        </w:p>
      </w:tc>
    </w:tr>
  </w:tbl>
  <w:p w14:paraId="5F95C189"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1434137"/>
    <w:multiLevelType w:val="hybridMultilevel"/>
    <w:tmpl w:val="4132A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8"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8335916">
    <w:abstractNumId w:val="18"/>
  </w:num>
  <w:num w:numId="2" w16cid:durableId="1591039763">
    <w:abstractNumId w:val="2"/>
  </w:num>
  <w:num w:numId="3" w16cid:durableId="1694258570">
    <w:abstractNumId w:val="12"/>
  </w:num>
  <w:num w:numId="4" w16cid:durableId="127549604">
    <w:abstractNumId w:val="9"/>
  </w:num>
  <w:num w:numId="5" w16cid:durableId="266742709">
    <w:abstractNumId w:val="11"/>
  </w:num>
  <w:num w:numId="6" w16cid:durableId="2081097032">
    <w:abstractNumId w:val="1"/>
  </w:num>
  <w:num w:numId="7" w16cid:durableId="1490294627">
    <w:abstractNumId w:val="15"/>
  </w:num>
  <w:num w:numId="8" w16cid:durableId="580025633">
    <w:abstractNumId w:val="7"/>
  </w:num>
  <w:num w:numId="9" w16cid:durableId="1640187308">
    <w:abstractNumId w:val="6"/>
  </w:num>
  <w:num w:numId="10" w16cid:durableId="1370685614">
    <w:abstractNumId w:val="14"/>
  </w:num>
  <w:num w:numId="11" w16cid:durableId="1718627195">
    <w:abstractNumId w:val="10"/>
  </w:num>
  <w:num w:numId="12" w16cid:durableId="436293579">
    <w:abstractNumId w:val="16"/>
  </w:num>
  <w:num w:numId="13" w16cid:durableId="1432163968">
    <w:abstractNumId w:val="17"/>
  </w:num>
  <w:num w:numId="14" w16cid:durableId="897982935">
    <w:abstractNumId w:val="0"/>
  </w:num>
  <w:num w:numId="15" w16cid:durableId="1577593126">
    <w:abstractNumId w:val="8"/>
  </w:num>
  <w:num w:numId="16" w16cid:durableId="9332331">
    <w:abstractNumId w:val="4"/>
  </w:num>
  <w:num w:numId="17" w16cid:durableId="1676151494">
    <w:abstractNumId w:val="3"/>
  </w:num>
  <w:num w:numId="18" w16cid:durableId="1442064497">
    <w:abstractNumId w:val="5"/>
  </w:num>
  <w:num w:numId="19" w16cid:durableId="87492832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F9D"/>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389F"/>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270"/>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653A0"/>
    <w:rsid w:val="00C73853"/>
    <w:rsid w:val="00C74890"/>
    <w:rsid w:val="00C76D0E"/>
    <w:rsid w:val="00C83345"/>
    <w:rsid w:val="00C84439"/>
    <w:rsid w:val="00C90633"/>
    <w:rsid w:val="00C91E5F"/>
    <w:rsid w:val="00C95822"/>
    <w:rsid w:val="00C95B56"/>
    <w:rsid w:val="00C95F75"/>
    <w:rsid w:val="00CA737E"/>
    <w:rsid w:val="00CB00CE"/>
    <w:rsid w:val="00CB04C1"/>
    <w:rsid w:val="00CB5F9D"/>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D0A31"/>
  <w15:docId w15:val="{AEC18EA9-C8BE-43D2-8FB6-427989994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FatdlC" TargetMode="External"/><Relationship Id="rId13" Type="http://schemas.openxmlformats.org/officeDocument/2006/relationships/hyperlink" Target="https://bit.ly/3FyDWYh" TargetMode="External"/><Relationship Id="rId18" Type="http://schemas.openxmlformats.org/officeDocument/2006/relationships/hyperlink" Target="https://www.almasryalyoum.com/news/details/2743273" TargetMode="External"/><Relationship Id="rId3" Type="http://schemas.openxmlformats.org/officeDocument/2006/relationships/hyperlink" Target="https://www.bbc.com/arabic/trending-57558476" TargetMode="External"/><Relationship Id="rId21" Type="http://schemas.openxmlformats.org/officeDocument/2006/relationships/hyperlink" Target="https://egyls.com/218724-2/" TargetMode="External"/><Relationship Id="rId7" Type="http://schemas.openxmlformats.org/officeDocument/2006/relationships/hyperlink" Target="https://bit.ly/3VJ7JTG" TargetMode="External"/><Relationship Id="rId12" Type="http://schemas.openxmlformats.org/officeDocument/2006/relationships/hyperlink" Target="https://sschr.gov.eg/media/xaonutei/arabic-strategy-final.pdf" TargetMode="External"/><Relationship Id="rId17" Type="http://schemas.openxmlformats.org/officeDocument/2006/relationships/hyperlink" Target="https://bit.ly/2WE1cwC" TargetMode="External"/><Relationship Id="rId2" Type="http://schemas.openxmlformats.org/officeDocument/2006/relationships/hyperlink" Target="https://eg.usembassy.gov/egypt-2021-human-rights-report/" TargetMode="External"/><Relationship Id="rId16" Type="http://schemas.openxmlformats.org/officeDocument/2006/relationships/hyperlink" Target="https://www.almasryalyoum.com/news/details/2035180" TargetMode="External"/><Relationship Id="rId20" Type="http://schemas.openxmlformats.org/officeDocument/2006/relationships/hyperlink" Target="https://bit.ly/3FfPdeV" TargetMode="External"/><Relationship Id="rId1" Type="http://schemas.openxmlformats.org/officeDocument/2006/relationships/hyperlink" Target="https://manshurat.org/node/14675" TargetMode="External"/><Relationship Id="rId6" Type="http://schemas.openxmlformats.org/officeDocument/2006/relationships/hyperlink" Target="https://bit.ly/3uBfhfs" TargetMode="External"/><Relationship Id="rId11" Type="http://schemas.openxmlformats.org/officeDocument/2006/relationships/hyperlink" Target="https://bbc.in/3IYwFk5" TargetMode="External"/><Relationship Id="rId5" Type="http://schemas.openxmlformats.org/officeDocument/2006/relationships/hyperlink" Target="https://bit.ly/3hdCqS3" TargetMode="External"/><Relationship Id="rId15" Type="http://schemas.openxmlformats.org/officeDocument/2006/relationships/hyperlink" Target="https://bit.ly/3hevqjm" TargetMode="External"/><Relationship Id="rId10" Type="http://schemas.openxmlformats.org/officeDocument/2006/relationships/hyperlink" Target="https://bit.ly/3vJiJV8" TargetMode="External"/><Relationship Id="rId19" Type="http://schemas.openxmlformats.org/officeDocument/2006/relationships/hyperlink" Target="https://www.almasryalyoum.com/news/details/2732816" TargetMode="External"/><Relationship Id="rId4" Type="http://schemas.openxmlformats.org/officeDocument/2006/relationships/hyperlink" Target="https://bit.ly/3BofQNp" TargetMode="External"/><Relationship Id="rId9" Type="http://schemas.openxmlformats.org/officeDocument/2006/relationships/hyperlink" Target="https://bit.ly/3ChPACW" TargetMode="External"/><Relationship Id="rId14" Type="http://schemas.openxmlformats.org/officeDocument/2006/relationships/hyperlink" Target="https://www.almasryalyoum.com/news/details/24469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CGS\Download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2</TotalTime>
  <Pages>8</Pages>
  <Words>3243</Words>
  <Characters>18489</Characters>
  <Application>Microsoft Office Word</Application>
  <DocSecurity>0</DocSecurity>
  <Lines>154</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dc:creator>
  <cp:keywords/>
  <dc:description/>
  <cp:lastModifiedBy>Yasser Gamal</cp:lastModifiedBy>
  <cp:revision>2</cp:revision>
  <dcterms:created xsi:type="dcterms:W3CDTF">2023-01-30T14:56:00Z</dcterms:created>
  <dcterms:modified xsi:type="dcterms:W3CDTF">2023-01-30T14:59:00Z</dcterms:modified>
  <cp:category/>
</cp:coreProperties>
</file>