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b w:val="1"/>
          <w:sz w:val="24"/>
          <w:szCs w:val="24"/>
        </w:rPr>
      </w:pPr>
      <w:r w:rsidDel="00000000" w:rsidR="00000000" w:rsidRPr="00000000">
        <w:rPr>
          <w:rtl w:val="0"/>
        </w:rPr>
      </w:r>
    </w:p>
    <w:p w:rsidR="00000000" w:rsidDel="00000000" w:rsidP="00000000" w:rsidRDefault="00000000" w:rsidRPr="00000000" w14:paraId="00000002">
      <w:pPr>
        <w:spacing w:line="276" w:lineRule="auto"/>
        <w:rPr>
          <w:b w:val="1"/>
          <w:sz w:val="24"/>
          <w:szCs w:val="24"/>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SUMMARY REPORT ON FAMILY-RELATED ISSUES IN MALAYSIA</w:t>
      </w:r>
    </w:p>
    <w:p w:rsidR="00000000" w:rsidDel="00000000" w:rsidP="00000000" w:rsidRDefault="00000000" w:rsidRPr="00000000" w14:paraId="00000004">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88th CEDAW Session, May 2024</w:t>
      </w:r>
    </w:p>
    <w:p w:rsidR="00000000" w:rsidDel="00000000" w:rsidP="00000000" w:rsidRDefault="00000000" w:rsidRPr="00000000" w14:paraId="00000005">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The Global Campaign for Equality in Family Law</w:t>
      </w:r>
      <w:r w:rsidDel="00000000" w:rsidR="00000000" w:rsidRPr="00000000">
        <w:rPr>
          <w:rFonts w:ascii="Calibri" w:cs="Calibri" w:eastAsia="Calibri" w:hAnsi="Calibri"/>
          <w:b w:val="1"/>
          <w:vertAlign w:val="superscript"/>
        </w:rPr>
        <w:footnoteReference w:customMarkFollows="0" w:id="0"/>
      </w:r>
      <w:r w:rsidDel="00000000" w:rsidR="00000000" w:rsidRPr="00000000">
        <w:rPr>
          <w:rFonts w:ascii="Calibri" w:cs="Calibri" w:eastAsia="Calibri" w:hAnsi="Calibri"/>
          <w:b w:val="1"/>
          <w:rtl w:val="0"/>
        </w:rPr>
        <w:t xml:space="preserve"> (GCEFL’s) submission of this summary report to the Committee on the Elimination of Discrimination Against Women (CEDAW) on Malaysia’s periodic report for the 88th CEDAW Session, May 13th - 31st, 2024.</w:t>
      </w:r>
    </w:p>
    <w:p w:rsidR="00000000" w:rsidDel="00000000" w:rsidP="00000000" w:rsidRDefault="00000000" w:rsidRPr="00000000" w14:paraId="0000000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Following the briefing to the CEDAW Committee in October 2023 on Article 16 and family law, the</w:t>
      </w:r>
      <w:r w:rsidDel="00000000" w:rsidR="00000000" w:rsidRPr="00000000">
        <w:rPr>
          <w:rFonts w:ascii="Calibri" w:cs="Calibri" w:eastAsia="Calibri" w:hAnsi="Calibri"/>
          <w:rtl w:val="0"/>
        </w:rPr>
        <w:t xml:space="preserve"> Global Campaign for Equality in Family Law (GCEFL) respectfully submits this summary report to contribute to the analysis of Malaysia’s compliance with the Convention on the Elimination of All Forms of Discrimination against Women (“the Convention”). In this report, we focus on articles 1 (equality), 2 (non-discrimination), 5 (gender stereotypes), 9 (nationality), 11 (employment), and 16 (marriage and family) of the Convention, providing a general overview of discriminatory aspects related to family law and practices. The issues in this report related to economic participation, including inheritance, parental leave, and guardianship, are sourced from The World Bank’s Women, Business and the Law 2024 report on women’s economic opportunity in economies.</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On matters pertaining specifically to the Muslim family laws of Malaysia, GCEFL would also like to draw the attention of the CEDAW Committee to the thematic report submitted for the 88th session by Musawah - a coordinating committee member of the GCEFL. </w:t>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GCEFL remains deeply concerned about Malaysia’s reservations to Article 16, paragraphs 1 (a), (c), (f) and (g), and paragraph 2 of CEDAW. Article 16 continues to be the most reserved Article of any convention. Hence, we would like to urge the CEDAW Committee once again to kindly consider granting more time and specific attention to Article 16-related matters during the Constructive Dialogues, especially for countries with reservations. </w:t>
      </w:r>
      <w:r w:rsidDel="00000000" w:rsidR="00000000" w:rsidRPr="00000000">
        <w:rPr>
          <w:rtl w:val="0"/>
        </w:rPr>
      </w:r>
    </w:p>
    <w:p w:rsidR="00000000" w:rsidDel="00000000" w:rsidP="00000000" w:rsidRDefault="00000000" w:rsidRPr="00000000" w14:paraId="0000000B">
      <w:pPr>
        <w:spacing w:line="276" w:lineRule="auto"/>
        <w:rPr>
          <w:rFonts w:ascii="Calibri" w:cs="Calibri" w:eastAsia="Calibri" w:hAnsi="Calibri"/>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2670"/>
        <w:gridCol w:w="5370"/>
        <w:tblGridChange w:id="0">
          <w:tblGrid>
            <w:gridCol w:w="1320"/>
            <w:gridCol w:w="2670"/>
            <w:gridCol w:w="5370"/>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Related CEDAW Arts.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Issues Related to Family Law / Practices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1, 2, 16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76" w:lineRule="auto"/>
              <w:rPr>
                <w:rFonts w:ascii="Calibri" w:cs="Calibri" w:eastAsia="Calibri" w:hAnsi="Calibri"/>
              </w:rPr>
            </w:pPr>
            <w:r w:rsidDel="00000000" w:rsidR="00000000" w:rsidRPr="00000000">
              <w:rPr>
                <w:rFonts w:ascii="Calibri" w:cs="Calibri" w:eastAsia="Calibri" w:hAnsi="Calibri"/>
                <w:b w:val="1"/>
                <w:rtl w:val="0"/>
              </w:rPr>
              <w:t xml:space="preserve">Marriage:</w:t>
            </w:r>
            <w:r w:rsidDel="00000000" w:rsidR="00000000" w:rsidRPr="00000000">
              <w:rPr>
                <w:rtl w:val="0"/>
              </w:rPr>
            </w:r>
          </w:p>
          <w:p w:rsidR="00000000" w:rsidDel="00000000" w:rsidP="00000000" w:rsidRDefault="00000000" w:rsidRPr="00000000" w14:paraId="00000011">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Interfaith marriage</w:t>
            </w:r>
          </w:p>
          <w:p w:rsidR="00000000" w:rsidDel="00000000" w:rsidP="00000000" w:rsidRDefault="00000000" w:rsidRPr="00000000" w14:paraId="00000012">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3">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4">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5">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Child marriage </w:t>
            </w:r>
          </w:p>
          <w:p w:rsidR="00000000" w:rsidDel="00000000" w:rsidP="00000000" w:rsidRDefault="00000000" w:rsidRPr="00000000" w14:paraId="00000016">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7">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8">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9">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A">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C">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Guardianship</w:t>
            </w:r>
          </w:p>
          <w:p w:rsidR="00000000" w:rsidDel="00000000" w:rsidP="00000000" w:rsidRDefault="00000000" w:rsidRPr="00000000" w14:paraId="0000001D">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E">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F">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0">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1">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2">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3">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4">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5">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Remarriage</w:t>
            </w:r>
          </w:p>
          <w:p w:rsidR="00000000" w:rsidDel="00000000" w:rsidP="00000000" w:rsidRDefault="00000000" w:rsidRPr="00000000" w14:paraId="00000026">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7">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8">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Polygamy</w:t>
            </w:r>
          </w:p>
          <w:p w:rsidR="00000000" w:rsidDel="00000000" w:rsidP="00000000" w:rsidRDefault="00000000" w:rsidRPr="00000000" w14:paraId="00000029">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A">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B">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C">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D">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Inheritance </w:t>
            </w:r>
          </w:p>
          <w:p w:rsidR="00000000" w:rsidDel="00000000" w:rsidP="00000000" w:rsidRDefault="00000000" w:rsidRPr="00000000" w14:paraId="0000002E">
            <w:pPr>
              <w:widowControl w:val="0"/>
              <w:spacing w:line="276"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Non-Muslims may not marry Muslims under the law. The </w:t>
            </w:r>
            <w:r w:rsidDel="00000000" w:rsidR="00000000" w:rsidRPr="00000000">
              <w:rPr>
                <w:rFonts w:ascii="Calibri" w:cs="Calibri" w:eastAsia="Calibri" w:hAnsi="Calibri"/>
                <w:i w:val="1"/>
                <w:rtl w:val="0"/>
              </w:rPr>
              <w:t xml:space="preserve">Law Reform (Marriage &amp; Divorce) Act, 1976</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does not apply to Muslims, and marriage to a non-Muslim is prohibited under the </w:t>
            </w:r>
            <w:r w:rsidDel="00000000" w:rsidR="00000000" w:rsidRPr="00000000">
              <w:rPr>
                <w:rFonts w:ascii="Calibri" w:cs="Calibri" w:eastAsia="Calibri" w:hAnsi="Calibri"/>
                <w:i w:val="1"/>
                <w:rtl w:val="0"/>
              </w:rPr>
              <w:t xml:space="preserve">Islamic Family Law Act, 1984.</w:t>
            </w:r>
            <w:r w:rsidDel="00000000" w:rsidR="00000000" w:rsidRPr="00000000">
              <w:rPr>
                <w:rFonts w:ascii="Calibri" w:cs="Calibri" w:eastAsia="Calibri" w:hAnsi="Calibri"/>
                <w:vertAlign w:val="superscript"/>
              </w:rPr>
              <w:footnoteReference w:customMarkFollows="0" w:id="3"/>
            </w:r>
            <w:r w:rsidDel="00000000" w:rsidR="00000000" w:rsidRPr="00000000">
              <w:rPr>
                <w:rtl w:val="0"/>
              </w:rPr>
            </w:r>
          </w:p>
          <w:p w:rsidR="00000000" w:rsidDel="00000000" w:rsidP="00000000" w:rsidRDefault="00000000" w:rsidRPr="00000000" w14:paraId="00000030">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1">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 minimum age of marriage for Muslim men is 18 and for Muslim women is 16. </w:t>
            </w:r>
            <w:r w:rsidDel="00000000" w:rsidR="00000000" w:rsidRPr="00000000">
              <w:rPr>
                <w:rFonts w:ascii="Calibri" w:cs="Calibri" w:eastAsia="Calibri" w:hAnsi="Calibri"/>
                <w:i w:val="1"/>
                <w:rtl w:val="0"/>
              </w:rPr>
              <w:t xml:space="preserve">Islamic Family Law Act, Art. 8</w:t>
            </w:r>
            <w:r w:rsidDel="00000000" w:rsidR="00000000" w:rsidRPr="00000000">
              <w:rPr>
                <w:rFonts w:ascii="Calibri" w:cs="Calibri" w:eastAsia="Calibri" w:hAnsi="Calibri"/>
                <w:rtl w:val="0"/>
              </w:rPr>
              <w:t xml:space="preserve">. </w:t>
            </w:r>
          </w:p>
          <w:p w:rsidR="00000000" w:rsidDel="00000000" w:rsidP="00000000" w:rsidRDefault="00000000" w:rsidRPr="00000000" w14:paraId="00000032">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For non-Muslim men and women, the minimum legal age is 18. However, non-Muslim women over the age of 16 can marry if granted a license by the Chief Minister. </w:t>
            </w:r>
            <w:r w:rsidDel="00000000" w:rsidR="00000000" w:rsidRPr="00000000">
              <w:rPr>
                <w:rFonts w:ascii="Calibri" w:cs="Calibri" w:eastAsia="Calibri" w:hAnsi="Calibri"/>
                <w:i w:val="1"/>
                <w:rtl w:val="0"/>
              </w:rPr>
              <w:t xml:space="preserve">Law Reform Act, 1976, Art. 10.</w:t>
            </w:r>
          </w:p>
          <w:p w:rsidR="00000000" w:rsidDel="00000000" w:rsidP="00000000" w:rsidRDefault="00000000" w:rsidRPr="00000000" w14:paraId="00000033">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4">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The law contains legal provisions that require married Muslim women to obey their husbands. </w:t>
            </w:r>
            <w:r w:rsidDel="00000000" w:rsidR="00000000" w:rsidRPr="00000000">
              <w:rPr>
                <w:rFonts w:ascii="Calibri" w:cs="Calibri" w:eastAsia="Calibri" w:hAnsi="Calibri"/>
                <w:i w:val="1"/>
                <w:rtl w:val="0"/>
              </w:rPr>
              <w:t xml:space="preserve">Islamic Family Law Act, Art. 129.</w:t>
            </w:r>
          </w:p>
          <w:p w:rsidR="00000000" w:rsidDel="00000000" w:rsidP="00000000" w:rsidRDefault="00000000" w:rsidRPr="00000000" w14:paraId="00000035">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Muslim women cannot choose where to live in the same way as men. </w:t>
            </w:r>
            <w:r w:rsidDel="00000000" w:rsidR="00000000" w:rsidRPr="00000000">
              <w:rPr>
                <w:rFonts w:ascii="Calibri" w:cs="Calibri" w:eastAsia="Calibri" w:hAnsi="Calibri"/>
                <w:i w:val="1"/>
                <w:rtl w:val="0"/>
              </w:rPr>
              <w:t xml:space="preserve">Islamic Family Law Act, Art. 59(2)(c).</w:t>
            </w:r>
          </w:p>
          <w:p w:rsidR="00000000" w:rsidDel="00000000" w:rsidP="00000000" w:rsidRDefault="00000000" w:rsidRPr="00000000" w14:paraId="00000036">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Muslim women cannot travel outside of their homes in the same way as men. </w:t>
            </w:r>
            <w:r w:rsidDel="00000000" w:rsidR="00000000" w:rsidRPr="00000000">
              <w:rPr>
                <w:rFonts w:ascii="Calibri" w:cs="Calibri" w:eastAsia="Calibri" w:hAnsi="Calibri"/>
                <w:i w:val="1"/>
                <w:rtl w:val="0"/>
              </w:rPr>
              <w:t xml:space="preserve">Islamic Family Law Act, Art. 59(2)(b).</w:t>
            </w:r>
          </w:p>
          <w:p w:rsidR="00000000" w:rsidDel="00000000" w:rsidP="00000000" w:rsidRDefault="00000000" w:rsidRPr="00000000" w14:paraId="00000037">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8">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Muslim women do not have the same rights to remarry as men. </w:t>
            </w:r>
            <w:r w:rsidDel="00000000" w:rsidR="00000000" w:rsidRPr="00000000">
              <w:rPr>
                <w:rFonts w:ascii="Calibri" w:cs="Calibri" w:eastAsia="Calibri" w:hAnsi="Calibri"/>
                <w:i w:val="1"/>
                <w:rtl w:val="0"/>
              </w:rPr>
              <w:t xml:space="preserve">Islamic Family Law Act, Arts. 47(16) and 47(17)</w:t>
            </w:r>
          </w:p>
          <w:p w:rsidR="00000000" w:rsidDel="00000000" w:rsidP="00000000" w:rsidRDefault="00000000" w:rsidRPr="00000000" w14:paraId="00000039">
            <w:pPr>
              <w:widowControl w:val="0"/>
              <w:spacing w:line="276"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3A">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For Muslims, polygamy is legal with the written permission of the Court. </w:t>
            </w:r>
            <w:r w:rsidDel="00000000" w:rsidR="00000000" w:rsidRPr="00000000">
              <w:rPr>
                <w:rFonts w:ascii="Calibri" w:cs="Calibri" w:eastAsia="Calibri" w:hAnsi="Calibri"/>
                <w:i w:val="1"/>
                <w:rtl w:val="0"/>
              </w:rPr>
              <w:t xml:space="preserve">Islamic Family Law Act, Art. 23</w:t>
            </w:r>
            <w:r w:rsidDel="00000000" w:rsidR="00000000" w:rsidRPr="00000000">
              <w:rPr>
                <w:rFonts w:ascii="Calibri" w:cs="Calibri" w:eastAsia="Calibri" w:hAnsi="Calibri"/>
                <w:rtl w:val="0"/>
              </w:rPr>
              <w:t xml:space="preserve">.</w:t>
            </w:r>
          </w:p>
          <w:p w:rsidR="00000000" w:rsidDel="00000000" w:rsidP="00000000" w:rsidRDefault="00000000" w:rsidRPr="00000000" w14:paraId="0000003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Polygamy is illegal for non-Muslims. </w:t>
            </w:r>
            <w:r w:rsidDel="00000000" w:rsidR="00000000" w:rsidRPr="00000000">
              <w:rPr>
                <w:rFonts w:ascii="Calibri" w:cs="Calibri" w:eastAsia="Calibri" w:hAnsi="Calibri"/>
                <w:i w:val="1"/>
                <w:rtl w:val="0"/>
              </w:rPr>
              <w:t xml:space="preserve">Law Reform Act, 1976, Art. 6</w:t>
            </w:r>
            <w:r w:rsidDel="00000000" w:rsidR="00000000" w:rsidRPr="00000000">
              <w:rPr>
                <w:rFonts w:ascii="Calibri" w:cs="Calibri" w:eastAsia="Calibri" w:hAnsi="Calibri"/>
                <w:rtl w:val="0"/>
              </w:rPr>
              <w:t xml:space="preserve">.</w:t>
            </w:r>
          </w:p>
          <w:p w:rsidR="00000000" w:rsidDel="00000000" w:rsidP="00000000" w:rsidRDefault="00000000" w:rsidRPr="00000000" w14:paraId="0000003C">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D">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Muslim daughters are entitled to half the inheritance as given to sons.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(See Musawah </w:t>
            </w:r>
            <w:hyperlink r:id="rId7">
              <w:r w:rsidDel="00000000" w:rsidR="00000000" w:rsidRPr="00000000">
                <w:rPr>
                  <w:rFonts w:ascii="Calibri" w:cs="Calibri" w:eastAsia="Calibri" w:hAnsi="Calibri"/>
                  <w:i w:val="1"/>
                  <w:color w:val="1155cc"/>
                  <w:u w:val="single"/>
                  <w:rtl w:val="0"/>
                </w:rPr>
                <w:t xml:space="preserve">country table for Malaysia</w:t>
              </w:r>
            </w:hyperlink>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i w:val="1"/>
                <w:vertAlign w:val="superscript"/>
              </w:rPr>
              <w:footnoteReference w:customMarkFollows="0" w:id="4"/>
            </w:r>
            <w:r w:rsidDel="00000000" w:rsidR="00000000" w:rsidRPr="00000000">
              <w:rPr>
                <w:rtl w:val="0"/>
              </w:rPr>
            </w:r>
          </w:p>
          <w:p w:rsidR="00000000" w:rsidDel="00000000" w:rsidP="00000000" w:rsidRDefault="00000000" w:rsidRPr="00000000" w14:paraId="0000003E">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Muslim female surviving spouses are entitled to half the inheritance assets as given to a surviving husband. </w:t>
            </w:r>
            <w:r w:rsidDel="00000000" w:rsidR="00000000" w:rsidRPr="00000000">
              <w:rPr>
                <w:rFonts w:ascii="Calibri" w:cs="Calibri" w:eastAsia="Calibri" w:hAnsi="Calibri"/>
                <w:i w:val="1"/>
                <w:rtl w:val="0"/>
              </w:rPr>
              <w:t xml:space="preserve">Faraid.</w:t>
            </w:r>
          </w:p>
          <w:p w:rsidR="00000000" w:rsidDel="00000000" w:rsidP="00000000" w:rsidRDefault="00000000" w:rsidRPr="00000000" w14:paraId="0000003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Non-Muslim surviving wives and daughters inherit equally to surviving husbands and sons. </w:t>
            </w:r>
            <w:r w:rsidDel="00000000" w:rsidR="00000000" w:rsidRPr="00000000">
              <w:rPr>
                <w:rFonts w:ascii="Calibri" w:cs="Calibri" w:eastAsia="Calibri" w:hAnsi="Calibri"/>
                <w:i w:val="1"/>
                <w:rtl w:val="0"/>
              </w:rPr>
              <w:t xml:space="preserve">Distribution Act 1958, Art. 2.</w:t>
            </w:r>
            <w:r w:rsidDel="00000000" w:rsidR="00000000" w:rsidRPr="00000000">
              <w:rPr>
                <w:rFonts w:ascii="Calibri" w:cs="Calibri" w:eastAsia="Calibri" w:hAnsi="Calibri"/>
                <w:i w:val="1"/>
                <w:vertAlign w:val="superscript"/>
              </w:rPr>
              <w:footnoteReference w:customMarkFollows="0" w:id="5"/>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1, 2, 16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76" w:lineRule="auto"/>
              <w:rPr>
                <w:rFonts w:ascii="Calibri" w:cs="Calibri" w:eastAsia="Calibri" w:hAnsi="Calibri"/>
              </w:rPr>
            </w:pPr>
            <w:r w:rsidDel="00000000" w:rsidR="00000000" w:rsidRPr="00000000">
              <w:rPr>
                <w:rFonts w:ascii="Calibri" w:cs="Calibri" w:eastAsia="Calibri" w:hAnsi="Calibri"/>
                <w:b w:val="1"/>
                <w:rtl w:val="0"/>
              </w:rPr>
              <w:t xml:space="preserve">Divorce:</w:t>
            </w:r>
            <w:r w:rsidDel="00000000" w:rsidR="00000000" w:rsidRPr="00000000">
              <w:rPr>
                <w:rtl w:val="0"/>
              </w:rPr>
            </w:r>
          </w:p>
          <w:p w:rsidR="00000000" w:rsidDel="00000000" w:rsidP="00000000" w:rsidRDefault="00000000" w:rsidRPr="00000000" w14:paraId="00000042">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Control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76" w:lineRule="auto"/>
              <w:rPr>
                <w:rFonts w:ascii="Calibri" w:cs="Calibri" w:eastAsia="Calibri" w:hAnsi="Calibri"/>
                <w:i w:val="1"/>
              </w:rPr>
            </w:pPr>
            <w:r w:rsidDel="00000000" w:rsidR="00000000" w:rsidRPr="00000000">
              <w:rPr>
                <w:rFonts w:ascii="Calibri" w:cs="Calibri" w:eastAsia="Calibri" w:hAnsi="Calibri"/>
                <w:rtl w:val="0"/>
              </w:rPr>
              <w:t xml:space="preserve">Muslim women cannot obtain a judgment of divorce in the same way as men - talaq. </w:t>
            </w:r>
            <w:r w:rsidDel="00000000" w:rsidR="00000000" w:rsidRPr="00000000">
              <w:rPr>
                <w:rFonts w:ascii="Calibri" w:cs="Calibri" w:eastAsia="Calibri" w:hAnsi="Calibri"/>
                <w:i w:val="1"/>
                <w:rtl w:val="0"/>
              </w:rPr>
              <w:t xml:space="preserve">Islamic Family Law Act, Arts. 47-52.</w:t>
            </w:r>
          </w:p>
          <w:p w:rsidR="00000000" w:rsidDel="00000000" w:rsidP="00000000" w:rsidRDefault="00000000" w:rsidRPr="00000000" w14:paraId="00000044">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Non-Muslim men and women may petition for divorce with equal rights. </w:t>
            </w:r>
            <w:r w:rsidDel="00000000" w:rsidR="00000000" w:rsidRPr="00000000">
              <w:rPr>
                <w:rFonts w:ascii="Calibri" w:cs="Calibri" w:eastAsia="Calibri" w:hAnsi="Calibri"/>
                <w:i w:val="1"/>
                <w:rtl w:val="0"/>
              </w:rPr>
              <w:t xml:space="preserve">Law Reform Act, 1976, Arts. 52, 53</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1, 2, 9, 11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Parental leave</w:t>
            </w:r>
          </w:p>
          <w:p w:rsidR="00000000" w:rsidDel="00000000" w:rsidP="00000000" w:rsidRDefault="00000000" w:rsidRPr="00000000" w14:paraId="00000047">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8">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Nationality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There is no paid maternity leave of at least 14 weeks (only 60 days), and the government does not administer 100% of maternity leave benefits. </w:t>
            </w:r>
            <w:r w:rsidDel="00000000" w:rsidR="00000000" w:rsidRPr="00000000">
              <w:rPr>
                <w:rFonts w:ascii="Calibri" w:cs="Calibri" w:eastAsia="Calibri" w:hAnsi="Calibri"/>
                <w:i w:val="1"/>
                <w:rtl w:val="0"/>
              </w:rPr>
              <w:t xml:space="preserve">Employment Act 1955, § 37.</w:t>
            </w:r>
            <w:r w:rsidDel="00000000" w:rsidR="00000000" w:rsidRPr="00000000">
              <w:rPr>
                <w:rFonts w:ascii="Calibri" w:cs="Calibri" w:eastAsia="Calibri" w:hAnsi="Calibri"/>
                <w:i w:val="1"/>
                <w:vertAlign w:val="superscript"/>
              </w:rPr>
              <w:footnoteReference w:customMarkFollows="0" w:id="6"/>
            </w:r>
            <w:r w:rsidDel="00000000" w:rsidR="00000000" w:rsidRPr="00000000">
              <w:rPr>
                <w:rtl w:val="0"/>
              </w:rPr>
            </w:r>
          </w:p>
          <w:p w:rsidR="00000000" w:rsidDel="00000000" w:rsidP="00000000" w:rsidRDefault="00000000" w:rsidRPr="00000000" w14:paraId="0000004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There is no paid leave available to fathers or paid parental leave.</w:t>
            </w:r>
            <w:r w:rsidDel="00000000" w:rsidR="00000000" w:rsidRPr="00000000">
              <w:rPr>
                <w:rFonts w:ascii="Calibri" w:cs="Calibri" w:eastAsia="Calibri" w:hAnsi="Calibri"/>
                <w:vertAlign w:val="superscript"/>
              </w:rPr>
              <w:footnoteReference w:customMarkFollows="0" w:id="7"/>
            </w:r>
            <w:r w:rsidDel="00000000" w:rsidR="00000000" w:rsidRPr="00000000">
              <w:rPr>
                <w:rtl w:val="0"/>
              </w:rPr>
            </w:r>
          </w:p>
          <w:p w:rsidR="00000000" w:rsidDel="00000000" w:rsidP="00000000" w:rsidRDefault="00000000" w:rsidRPr="00000000" w14:paraId="00000050">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1">
            <w:pPr>
              <w:widowControl w:val="0"/>
              <w:spacing w:line="276" w:lineRule="auto"/>
              <w:rPr>
                <w:rFonts w:ascii="Calibri" w:cs="Calibri" w:eastAsia="Calibri" w:hAnsi="Calibri"/>
                <w:highlight w:val="yellow"/>
              </w:rPr>
            </w:pPr>
            <w:r w:rsidDel="00000000" w:rsidR="00000000" w:rsidRPr="00000000">
              <w:rPr>
                <w:rFonts w:ascii="Calibri" w:cs="Calibri" w:eastAsia="Calibri" w:hAnsi="Calibri"/>
                <w:rtl w:val="0"/>
              </w:rPr>
              <w:t xml:space="preserve">Married women cannot pass nationality to their foreign spouses and mothers cannot automatically pass nationality to children born abroad. </w:t>
            </w:r>
            <w:r w:rsidDel="00000000" w:rsidR="00000000" w:rsidRPr="00000000">
              <w:rPr>
                <w:rFonts w:ascii="Calibri" w:cs="Calibri" w:eastAsia="Calibri" w:hAnsi="Calibri"/>
                <w:i w:val="1"/>
                <w:rtl w:val="0"/>
              </w:rPr>
              <w:t xml:space="preserve">Malaysia 1957 Constitution, Arts. 14, 15</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8"/>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1, 2, 5, 16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Harmful Practices &amp; Gender-Based Violence:</w:t>
            </w:r>
          </w:p>
          <w:p w:rsidR="00000000" w:rsidDel="00000000" w:rsidP="00000000" w:rsidRDefault="00000000" w:rsidRPr="00000000" w14:paraId="00000054">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Marital Rape</w:t>
            </w:r>
          </w:p>
          <w:p w:rsidR="00000000" w:rsidDel="00000000" w:rsidP="00000000" w:rsidRDefault="00000000" w:rsidRPr="00000000" w14:paraId="00000055">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Female Genital Mutilation</w:t>
            </w:r>
            <w:r w:rsidDel="00000000" w:rsidR="00000000" w:rsidRPr="00000000">
              <w:rPr>
                <w:rFonts w:ascii="Calibri" w:cs="Calibri" w:eastAsia="Calibri" w:hAnsi="Calibri"/>
                <w:rtl w:val="0"/>
              </w:rPr>
              <w:t xml:space="preserve">/Circumcision (FGM/C)</w:t>
            </w:r>
          </w:p>
          <w:p w:rsidR="00000000" w:rsidDel="00000000" w:rsidP="00000000" w:rsidRDefault="00000000" w:rsidRPr="00000000" w14:paraId="00000058">
            <w:pPr>
              <w:widowControl w:val="0"/>
              <w:spacing w:line="276"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 Penal Code criminalizes the use of violence by a husband to have sex with his wife. </w:t>
            </w:r>
            <w:r w:rsidDel="00000000" w:rsidR="00000000" w:rsidRPr="00000000">
              <w:rPr>
                <w:rFonts w:ascii="Calibri" w:cs="Calibri" w:eastAsia="Calibri" w:hAnsi="Calibri"/>
                <w:i w:val="1"/>
                <w:rtl w:val="0"/>
              </w:rPr>
              <w:t xml:space="preserve">Penal Code § 375(a)</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However, this is only based on force, not a lack of freely given consent. </w:t>
            </w:r>
            <w:r w:rsidDel="00000000" w:rsidR="00000000" w:rsidRPr="00000000">
              <w:rPr>
                <w:rtl w:val="0"/>
              </w:rPr>
            </w:r>
          </w:p>
          <w:p w:rsidR="00000000" w:rsidDel="00000000" w:rsidP="00000000" w:rsidRDefault="00000000" w:rsidRPr="00000000" w14:paraId="0000005A">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There is no legislation criminalizing the practice of FGM/C in Malaysia.</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222222"/>
                <w:highlight w:val="white"/>
                <w:rtl w:val="0"/>
              </w:rPr>
              <w:t xml:space="preserve">The impact of the lack of legislation on FGM is compounded by the 2009 fatwa issued by the Islamic Development Department (JAKIM) which declares female circumcision as obligatory. This has contributed to the continued high prevalence of FGM in Malaysia, with one study estimating 93% prevalence amongst the female ethnic Malay community.</w:t>
            </w:r>
            <w:r w:rsidDel="00000000" w:rsidR="00000000" w:rsidRPr="00000000">
              <w:rPr>
                <w:rFonts w:ascii="Calibri" w:cs="Calibri" w:eastAsia="Calibri" w:hAnsi="Calibri"/>
                <w:color w:val="222222"/>
                <w:highlight w:val="white"/>
                <w:vertAlign w:val="superscript"/>
              </w:rPr>
              <w:footnoteReference w:customMarkFollows="0" w:id="11"/>
            </w:r>
            <w:r w:rsidDel="00000000" w:rsidR="00000000" w:rsidRPr="00000000">
              <w:rPr>
                <w:color w:val="222222"/>
                <w:highlight w:val="white"/>
                <w:rtl w:val="0"/>
              </w:rPr>
              <w:t xml:space="preserve"> </w:t>
            </w:r>
            <w:r w:rsidDel="00000000" w:rsidR="00000000" w:rsidRPr="00000000">
              <w:rPr>
                <w:rtl w:val="0"/>
              </w:rPr>
            </w:r>
          </w:p>
        </w:tc>
      </w:tr>
    </w:tbl>
    <w:p w:rsidR="00000000" w:rsidDel="00000000" w:rsidP="00000000" w:rsidRDefault="00000000" w:rsidRPr="00000000" w14:paraId="0000005C">
      <w:pPr>
        <w:spacing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CEDAW Committee has also highlighted and issued recommendations on issues pertaining to Article 16 in its previous Concluding Observations to Malaysia:</w:t>
      </w:r>
      <w:r w:rsidDel="00000000" w:rsidR="00000000" w:rsidRPr="00000000">
        <w:rPr>
          <w:rFonts w:ascii="Calibri" w:cs="Calibri" w:eastAsia="Calibri" w:hAnsi="Calibri"/>
          <w:vertAlign w:val="superscript"/>
        </w:rPr>
        <w:footnoteReference w:customMarkFollows="0" w:id="12"/>
      </w:r>
      <w:r w:rsidDel="00000000" w:rsidR="00000000" w:rsidRPr="00000000">
        <w:rPr>
          <w:rtl w:val="0"/>
        </w:rPr>
      </w:r>
    </w:p>
    <w:p w:rsidR="00000000" w:rsidDel="00000000" w:rsidP="00000000" w:rsidRDefault="00000000" w:rsidRPr="00000000" w14:paraId="0000005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F">
      <w:pPr>
        <w:numPr>
          <w:ilvl w:val="0"/>
          <w:numId w:val="1"/>
        </w:numPr>
        <w:spacing w:line="276" w:lineRule="auto"/>
        <w:ind w:left="45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Marriage and Family:</w:t>
      </w:r>
      <w:r w:rsidDel="00000000" w:rsidR="00000000" w:rsidRPr="00000000">
        <w:rPr>
          <w:rFonts w:ascii="Calibri" w:cs="Calibri" w:eastAsia="Calibri" w:hAnsi="Calibri"/>
          <w:rtl w:val="0"/>
        </w:rPr>
        <w:t xml:space="preserve"> “Ensure that Muslim women have equal rights in all family and marriage matters, including equal capacity as men to enter into marriage and to divorce, and that they enjoy equal rights with regard to the maintenance, custody and guardianship of their children and inheritance.”</w:t>
      </w:r>
    </w:p>
    <w:p w:rsidR="00000000" w:rsidDel="00000000" w:rsidP="00000000" w:rsidRDefault="00000000" w:rsidRPr="00000000" w14:paraId="00000060">
      <w:pPr>
        <w:numPr>
          <w:ilvl w:val="0"/>
          <w:numId w:val="1"/>
        </w:numPr>
        <w:spacing w:line="276" w:lineRule="auto"/>
        <w:ind w:left="45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Child, Early and Forced Marriage: </w:t>
      </w:r>
      <w:r w:rsidDel="00000000" w:rsidR="00000000" w:rsidRPr="00000000">
        <w:rPr>
          <w:rFonts w:ascii="Calibri" w:cs="Calibri" w:eastAsia="Calibri" w:hAnsi="Calibri"/>
          <w:rtl w:val="0"/>
        </w:rPr>
        <w:t xml:space="preserve">“Raise the minimum age of marriage to 18 for women and men for both civil and Muslim marriages and require the full consent of women for any marriage.”</w:t>
      </w:r>
    </w:p>
    <w:p w:rsidR="00000000" w:rsidDel="00000000" w:rsidP="00000000" w:rsidRDefault="00000000" w:rsidRPr="00000000" w14:paraId="00000061">
      <w:pPr>
        <w:numPr>
          <w:ilvl w:val="0"/>
          <w:numId w:val="1"/>
        </w:numPr>
        <w:spacing w:line="276" w:lineRule="auto"/>
        <w:ind w:left="45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Marital Rape &amp; Domestic Violence:</w:t>
      </w:r>
      <w:r w:rsidDel="00000000" w:rsidR="00000000" w:rsidRPr="00000000">
        <w:rPr>
          <w:rFonts w:ascii="Calibri" w:cs="Calibri" w:eastAsia="Calibri" w:hAnsi="Calibri"/>
          <w:rtl w:val="0"/>
        </w:rPr>
        <w:t xml:space="preserve"> “Criminalize marital rape in national legislation, defining such rape on the basis of the lack of freely given consent of the woman; (c) Ensure that victims of intimate partner violence have access to protection orders and compensation on an equal footing with married women.”</w:t>
      </w:r>
    </w:p>
    <w:p w:rsidR="00000000" w:rsidDel="00000000" w:rsidP="00000000" w:rsidRDefault="00000000" w:rsidRPr="00000000" w14:paraId="00000062">
      <w:pPr>
        <w:numPr>
          <w:ilvl w:val="0"/>
          <w:numId w:val="1"/>
        </w:numPr>
        <w:spacing w:line="276" w:lineRule="auto"/>
        <w:ind w:left="45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Nationality: </w:t>
      </w:r>
      <w:r w:rsidDel="00000000" w:rsidR="00000000" w:rsidRPr="00000000">
        <w:rPr>
          <w:rFonts w:ascii="Calibri" w:cs="Calibri" w:eastAsia="Calibri" w:hAnsi="Calibri"/>
          <w:rtl w:val="0"/>
        </w:rPr>
        <w:t xml:space="preserve">“The Committee remains concerned about the discriminatory provisions in the Federal Constitution with regard to nationality, including the inability of Malaysian women married to foreigners to transmit their nationality to their children born abroad and to transmit their nationality to their spouses on an equal basis with Malaysian men.”</w:t>
      </w:r>
      <w:r w:rsidDel="00000000" w:rsidR="00000000" w:rsidRPr="00000000">
        <w:rPr>
          <w:rtl w:val="0"/>
        </w:rPr>
      </w:r>
    </w:p>
    <w:p w:rsidR="00000000" w:rsidDel="00000000" w:rsidP="00000000" w:rsidRDefault="00000000" w:rsidRPr="00000000" w14:paraId="00000063">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64">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SUGGESTED RECOMMENDATIONS FOR THE CONCLUDING OBSERVATIONS </w:t>
      </w:r>
    </w:p>
    <w:p w:rsidR="00000000" w:rsidDel="00000000" w:rsidP="00000000" w:rsidRDefault="00000000" w:rsidRPr="00000000" w14:paraId="00000065">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Remove restrictions on interfaith marriages under the family laws of Malaysia by allowing interfaith couples to marry under the </w:t>
      </w:r>
      <w:r w:rsidDel="00000000" w:rsidR="00000000" w:rsidRPr="00000000">
        <w:rPr>
          <w:rFonts w:ascii="Calibri" w:cs="Calibri" w:eastAsia="Calibri" w:hAnsi="Calibri"/>
          <w:i w:val="1"/>
          <w:rtl w:val="0"/>
        </w:rPr>
        <w:t xml:space="preserve">Law Reform (Marriage &amp; Divorce) Act, 1976</w:t>
      </w:r>
      <w:r w:rsidDel="00000000" w:rsidR="00000000" w:rsidRPr="00000000">
        <w:rPr>
          <w:rFonts w:ascii="Calibri" w:cs="Calibri" w:eastAsia="Calibri" w:hAnsi="Calibri"/>
          <w:rtl w:val="0"/>
        </w:rPr>
        <w:t xml:space="preserve">; </w:t>
      </w:r>
    </w:p>
    <w:p w:rsidR="00000000" w:rsidDel="00000000" w:rsidP="00000000" w:rsidRDefault="00000000" w:rsidRPr="00000000" w14:paraId="00000066">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At the federal and state levels, raise the minimum age of marriage to 18 without any exceptions for women and men for both civil and Muslim marriages and require the full consent of women for any marriage; </w:t>
      </w:r>
    </w:p>
    <w:p w:rsidR="00000000" w:rsidDel="00000000" w:rsidP="00000000" w:rsidRDefault="00000000" w:rsidRPr="00000000" w14:paraId="00000067">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Ensure that Muslim women have equal rights in all family and marriage matters, including equal capacity as men to enter into marriage and to divorce, and that they enjoy equal rights concerning the maintenance, custody, and guardianship of their children and remarriage. Take concrete measures to abolish the practice of polygamy in law and practice while protecting the rights of women already in polygamous marriages; </w:t>
      </w:r>
    </w:p>
    <w:p w:rsidR="00000000" w:rsidDel="00000000" w:rsidP="00000000" w:rsidRDefault="00000000" w:rsidRPr="00000000" w14:paraId="00000068">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Ensure that provision for the distribution of inheritance is equal for sons and daughters; </w:t>
      </w:r>
    </w:p>
    <w:p w:rsidR="00000000" w:rsidDel="00000000" w:rsidP="00000000" w:rsidRDefault="00000000" w:rsidRPr="00000000" w14:paraId="00000069">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Take concrete measures to eliminate gender-based violence and harmful practices against women and girls in Malaysia, including by criminalising FGM/C and marital rape;  </w:t>
      </w:r>
    </w:p>
    <w:p w:rsidR="00000000" w:rsidDel="00000000" w:rsidP="00000000" w:rsidRDefault="00000000" w:rsidRPr="00000000" w14:paraId="0000006A">
      <w:pPr>
        <w:numPr>
          <w:ilvl w:val="0"/>
          <w:numId w:val="2"/>
        </w:numPr>
        <w:spacing w:line="276" w:lineRule="auto"/>
        <w:ind w:left="540" w:hanging="360"/>
        <w:jc w:val="both"/>
        <w:rPr>
          <w:rFonts w:ascii="Calibri" w:cs="Calibri" w:eastAsia="Calibri" w:hAnsi="Calibri"/>
        </w:rPr>
      </w:pPr>
      <w:r w:rsidDel="00000000" w:rsidR="00000000" w:rsidRPr="00000000">
        <w:rPr>
          <w:rFonts w:ascii="Calibri" w:cs="Calibri" w:eastAsia="Calibri" w:hAnsi="Calibri"/>
          <w:rtl w:val="0"/>
        </w:rPr>
        <w:t xml:space="preserve">Ensure that Malaysian women married to foreigners can transmit their nationality to their children born abroad and to their spouses on an equal basis with Malaysian men.</w:t>
      </w:r>
    </w:p>
    <w:p w:rsidR="00000000" w:rsidDel="00000000" w:rsidP="00000000" w:rsidRDefault="00000000" w:rsidRPr="00000000" w14:paraId="0000006B">
      <w:pPr>
        <w:spacing w:line="276" w:lineRule="auto"/>
        <w:rPr>
          <w:rFonts w:ascii="Calibri" w:cs="Calibri" w:eastAsia="Calibri" w:hAnsi="Calibri"/>
          <w:b w:val="1"/>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Global Campaign for Equality in Family Law (GCEFL) </w:t>
      </w:r>
      <w:r w:rsidDel="00000000" w:rsidR="00000000" w:rsidRPr="00000000">
        <w:rPr>
          <w:rFonts w:ascii="Calibri" w:cs="Calibri" w:eastAsia="Calibri" w:hAnsi="Calibri"/>
          <w:color w:val="321f16"/>
          <w:sz w:val="18"/>
          <w:szCs w:val="18"/>
          <w:highlight w:val="white"/>
          <w:rtl w:val="0"/>
        </w:rPr>
        <w:t xml:space="preserve">is led by a coalition of 8 women’s rights, human rights and faith-based organisations including Equality Now, Act Church of Sweden, CLADEM (Latin American and Caribbean Committee for the Defense of Women’s Rights), Musawah, Muslims for Progressive Values, SOAWR (Solidarity for African Women’s Rights) network represented by FEMNET, Women’s Learning Partnership, and UN Women. More info: </w:t>
      </w:r>
      <w:hyperlink r:id="rId1">
        <w:r w:rsidDel="00000000" w:rsidR="00000000" w:rsidRPr="00000000">
          <w:rPr>
            <w:rFonts w:ascii="Calibri" w:cs="Calibri" w:eastAsia="Calibri" w:hAnsi="Calibri"/>
            <w:color w:val="1155cc"/>
            <w:sz w:val="18"/>
            <w:szCs w:val="18"/>
            <w:highlight w:val="white"/>
            <w:u w:val="single"/>
            <w:rtl w:val="0"/>
          </w:rPr>
          <w:t xml:space="preserve">www.equalfamilylaws.org</w:t>
        </w:r>
      </w:hyperlink>
      <w:r w:rsidDel="00000000" w:rsidR="00000000" w:rsidRPr="00000000">
        <w:rPr>
          <w:rFonts w:ascii="Calibri" w:cs="Calibri" w:eastAsia="Calibri" w:hAnsi="Calibri"/>
          <w:color w:val="321f16"/>
          <w:sz w:val="18"/>
          <w:szCs w:val="18"/>
          <w:highlight w:val="white"/>
          <w:rtl w:val="0"/>
        </w:rPr>
        <w:t xml:space="preserve"> </w:t>
      </w:r>
      <w:r w:rsidDel="00000000" w:rsidR="00000000" w:rsidRPr="00000000">
        <w:rPr>
          <w:rtl w:val="0"/>
        </w:rPr>
      </w:r>
    </w:p>
  </w:footnote>
  <w:footnote w:id="1">
    <w:p w:rsidR="00000000" w:rsidDel="00000000" w:rsidP="00000000" w:rsidRDefault="00000000" w:rsidRPr="00000000" w14:paraId="0000007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Economy Data: Malaysia</w:t>
      </w:r>
      <w:r w:rsidDel="00000000" w:rsidR="00000000" w:rsidRPr="00000000">
        <w:rPr>
          <w:rFonts w:ascii="Calibri" w:cs="Calibri" w:eastAsia="Calibri" w:hAnsi="Calibri"/>
          <w:sz w:val="18"/>
          <w:szCs w:val="18"/>
          <w:rtl w:val="0"/>
        </w:rPr>
        <w:t xml:space="preserve">, Women, Business and the Law, </w:t>
      </w:r>
      <w:hyperlink r:id="rId2">
        <w:r w:rsidDel="00000000" w:rsidR="00000000" w:rsidRPr="00000000">
          <w:rPr>
            <w:rFonts w:ascii="Calibri" w:cs="Calibri" w:eastAsia="Calibri" w:hAnsi="Calibri"/>
            <w:color w:val="1155cc"/>
            <w:sz w:val="18"/>
            <w:szCs w:val="18"/>
            <w:u w:val="single"/>
            <w:rtl w:val="0"/>
          </w:rPr>
          <w:t xml:space="preserve">https://wbl.worldbank.org/en/data/exploreeconomies/malaysia/2024</w:t>
        </w:r>
      </w:hyperlink>
      <w:r w:rsidDel="00000000" w:rsidR="00000000" w:rsidRPr="00000000">
        <w:rPr>
          <w:rFonts w:ascii="Calibri" w:cs="Calibri" w:eastAsia="Calibri" w:hAnsi="Calibri"/>
          <w:sz w:val="18"/>
          <w:szCs w:val="18"/>
          <w:rtl w:val="0"/>
        </w:rPr>
        <w:t xml:space="preserve"> (2024). </w:t>
      </w:r>
    </w:p>
  </w:footnote>
  <w:footnote w:id="7">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Economy Data: Malaysia</w:t>
      </w:r>
      <w:r w:rsidDel="00000000" w:rsidR="00000000" w:rsidRPr="00000000">
        <w:rPr>
          <w:rFonts w:ascii="Calibri" w:cs="Calibri" w:eastAsia="Calibri" w:hAnsi="Calibri"/>
          <w:sz w:val="18"/>
          <w:szCs w:val="18"/>
          <w:rtl w:val="0"/>
        </w:rPr>
        <w:t xml:space="preserve">, Women, Business and the Law, </w:t>
      </w:r>
      <w:hyperlink r:id="rId3">
        <w:r w:rsidDel="00000000" w:rsidR="00000000" w:rsidRPr="00000000">
          <w:rPr>
            <w:rFonts w:ascii="Calibri" w:cs="Calibri" w:eastAsia="Calibri" w:hAnsi="Calibri"/>
            <w:color w:val="1155cc"/>
            <w:sz w:val="18"/>
            <w:szCs w:val="18"/>
            <w:u w:val="single"/>
            <w:rtl w:val="0"/>
          </w:rPr>
          <w:t xml:space="preserve">https://wbl.worldbank.org/en/data/exploreeconomies/malaysia/2024</w:t>
        </w:r>
      </w:hyperlink>
      <w:r w:rsidDel="00000000" w:rsidR="00000000" w:rsidRPr="00000000">
        <w:rPr>
          <w:rFonts w:ascii="Calibri" w:cs="Calibri" w:eastAsia="Calibri" w:hAnsi="Calibri"/>
          <w:sz w:val="18"/>
          <w:szCs w:val="18"/>
          <w:rtl w:val="0"/>
        </w:rPr>
        <w:t xml:space="preserve"> (2024). </w:t>
      </w:r>
      <w:r w:rsidDel="00000000" w:rsidR="00000000" w:rsidRPr="00000000">
        <w:rPr>
          <w:rtl w:val="0"/>
        </w:rPr>
      </w:r>
    </w:p>
  </w:footnote>
  <w:footnote w:id="12">
    <w:p w:rsidR="00000000" w:rsidDel="00000000" w:rsidP="00000000" w:rsidRDefault="00000000" w:rsidRPr="00000000" w14:paraId="0000007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Concluding observations on the combined third to fifth periodic reports of Malaysia</w:t>
      </w:r>
      <w:r w:rsidDel="00000000" w:rsidR="00000000" w:rsidRPr="00000000">
        <w:rPr>
          <w:rFonts w:ascii="Calibri" w:cs="Calibri" w:eastAsia="Calibri" w:hAnsi="Calibri"/>
          <w:sz w:val="18"/>
          <w:szCs w:val="18"/>
          <w:rtl w:val="0"/>
        </w:rPr>
        <w:t xml:space="preserve">, CEDAW/C/MYS/CO/3-5 (2018), </w:t>
      </w:r>
      <w:hyperlink r:id="rId4">
        <w:r w:rsidDel="00000000" w:rsidR="00000000" w:rsidRPr="00000000">
          <w:rPr>
            <w:rFonts w:ascii="Calibri" w:cs="Calibri" w:eastAsia="Calibri" w:hAnsi="Calibri"/>
            <w:color w:val="1155cc"/>
            <w:sz w:val="18"/>
            <w:szCs w:val="18"/>
            <w:u w:val="single"/>
            <w:rtl w:val="0"/>
          </w:rPr>
          <w:t xml:space="preserve">https://tbinternet.ohchr.org/_layouts/15/treatybodyexternal/Download.aspx?symbolno=CEDAW%2FC%2FMYS%2FCO%2F3-5&amp;Lang=en</w:t>
        </w:r>
      </w:hyperlink>
      <w:r w:rsidDel="00000000" w:rsidR="00000000" w:rsidRPr="00000000">
        <w:rPr>
          <w:rFonts w:ascii="Calibri" w:cs="Calibri" w:eastAsia="Calibri" w:hAnsi="Calibri"/>
          <w:sz w:val="18"/>
          <w:szCs w:val="18"/>
          <w:rtl w:val="0"/>
        </w:rPr>
        <w:t xml:space="preserve">. </w:t>
      </w:r>
    </w:p>
  </w:footnote>
  <w:footnote w:id="8">
    <w:p w:rsidR="00000000" w:rsidDel="00000000" w:rsidP="00000000" w:rsidRDefault="00000000" w:rsidRPr="00000000" w14:paraId="0000007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Malaysia 1957 Constitution</w:t>
      </w:r>
      <w:r w:rsidDel="00000000" w:rsidR="00000000" w:rsidRPr="00000000">
        <w:rPr>
          <w:rFonts w:ascii="Calibri" w:cs="Calibri" w:eastAsia="Calibri" w:hAnsi="Calibri"/>
          <w:sz w:val="18"/>
          <w:szCs w:val="18"/>
          <w:rtl w:val="0"/>
        </w:rPr>
        <w:t xml:space="preserve">, </w:t>
      </w:r>
      <w:hyperlink r:id="rId5">
        <w:r w:rsidDel="00000000" w:rsidR="00000000" w:rsidRPr="00000000">
          <w:rPr>
            <w:rFonts w:ascii="Calibri" w:cs="Calibri" w:eastAsia="Calibri" w:hAnsi="Calibri"/>
            <w:color w:val="1155cc"/>
            <w:sz w:val="18"/>
            <w:szCs w:val="18"/>
            <w:u w:val="single"/>
            <w:rtl w:val="0"/>
          </w:rPr>
          <w:t xml:space="preserve">https://www.constituteproject.org/constitution/Malaysia_2007</w:t>
        </w:r>
      </w:hyperlink>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For</w:t>
      </w:r>
      <w:r w:rsidDel="00000000" w:rsidR="00000000" w:rsidRPr="00000000">
        <w:rPr>
          <w:rFonts w:ascii="Calibri" w:cs="Calibri" w:eastAsia="Calibri" w:hAnsi="Calibri"/>
          <w:sz w:val="18"/>
          <w:szCs w:val="18"/>
          <w:rtl w:val="0"/>
        </w:rPr>
        <w:t xml:space="preserve"> further details please also see joint submission by the Global Campaign for Equal Nationality Rights et al.</w:t>
      </w:r>
    </w:p>
  </w:footnote>
  <w:footnote w:id="2">
    <w:p w:rsidR="00000000" w:rsidDel="00000000" w:rsidP="00000000" w:rsidRDefault="00000000" w:rsidRPr="00000000" w14:paraId="00000075">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Law Reform (Marriage &amp; Divorce) Act, 1976</w:t>
      </w:r>
      <w:r w:rsidDel="00000000" w:rsidR="00000000" w:rsidRPr="00000000">
        <w:rPr>
          <w:rFonts w:ascii="Calibri" w:cs="Calibri" w:eastAsia="Calibri" w:hAnsi="Calibri"/>
          <w:sz w:val="18"/>
          <w:szCs w:val="18"/>
          <w:rtl w:val="0"/>
        </w:rPr>
        <w:t xml:space="preserve">, </w:t>
      </w:r>
      <w:hyperlink r:id="rId6">
        <w:r w:rsidDel="00000000" w:rsidR="00000000" w:rsidRPr="00000000">
          <w:rPr>
            <w:rFonts w:ascii="Calibri" w:cs="Calibri" w:eastAsia="Calibri" w:hAnsi="Calibri"/>
            <w:color w:val="1155cc"/>
            <w:sz w:val="18"/>
            <w:szCs w:val="18"/>
            <w:u w:val="single"/>
            <w:rtl w:val="0"/>
          </w:rPr>
          <w:t xml:space="preserve">http://jafbase.fr/docAsie/Malaisie/Mariage&amp;Divorce.PDF</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footnote>
  <w:footnote w:id="3">
    <w:p w:rsidR="00000000" w:rsidDel="00000000" w:rsidP="00000000" w:rsidRDefault="00000000" w:rsidRPr="00000000" w14:paraId="00000076">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Islamic Family Law (Federal Territories) Act, 1984</w:t>
      </w:r>
      <w:r w:rsidDel="00000000" w:rsidR="00000000" w:rsidRPr="00000000">
        <w:rPr>
          <w:rFonts w:ascii="Calibri" w:cs="Calibri" w:eastAsia="Calibri" w:hAnsi="Calibri"/>
          <w:sz w:val="18"/>
          <w:szCs w:val="18"/>
          <w:rtl w:val="0"/>
        </w:rPr>
        <w:t xml:space="preserve">, </w:t>
      </w:r>
      <w:hyperlink r:id="rId7">
        <w:r w:rsidDel="00000000" w:rsidR="00000000" w:rsidRPr="00000000">
          <w:rPr>
            <w:rFonts w:ascii="Calibri" w:cs="Calibri" w:eastAsia="Calibri" w:hAnsi="Calibri"/>
            <w:color w:val="1155cc"/>
            <w:sz w:val="18"/>
            <w:szCs w:val="18"/>
            <w:u w:val="single"/>
            <w:rtl w:val="0"/>
          </w:rPr>
          <w:t xml:space="preserve">http://www.commonlii.org/my/legis/consol_act/iflta1984362/</w:t>
        </w:r>
      </w:hyperlink>
      <w:r w:rsidDel="00000000" w:rsidR="00000000" w:rsidRPr="00000000">
        <w:rPr>
          <w:rFonts w:ascii="Calibri" w:cs="Calibri" w:eastAsia="Calibri" w:hAnsi="Calibri"/>
          <w:sz w:val="18"/>
          <w:szCs w:val="18"/>
          <w:rtl w:val="0"/>
        </w:rPr>
        <w:t xml:space="preserve">. </w:t>
      </w:r>
    </w:p>
  </w:footnote>
  <w:footnote w:id="5">
    <w:p w:rsidR="00000000" w:rsidDel="00000000" w:rsidP="00000000" w:rsidRDefault="00000000" w:rsidRPr="00000000" w14:paraId="0000007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Distribution Act, 1958</w:t>
      </w:r>
      <w:r w:rsidDel="00000000" w:rsidR="00000000" w:rsidRPr="00000000">
        <w:rPr>
          <w:rFonts w:ascii="Calibri" w:cs="Calibri" w:eastAsia="Calibri" w:hAnsi="Calibri"/>
          <w:sz w:val="18"/>
          <w:szCs w:val="18"/>
          <w:rtl w:val="0"/>
        </w:rPr>
        <w:t xml:space="preserve">, </w:t>
      </w:r>
      <w:hyperlink r:id="rId8">
        <w:r w:rsidDel="00000000" w:rsidR="00000000" w:rsidRPr="00000000">
          <w:rPr>
            <w:rFonts w:ascii="Calibri" w:cs="Calibri" w:eastAsia="Calibri" w:hAnsi="Calibri"/>
            <w:color w:val="1155cc"/>
            <w:sz w:val="18"/>
            <w:szCs w:val="18"/>
            <w:u w:val="single"/>
            <w:rtl w:val="0"/>
          </w:rPr>
          <w:t xml:space="preserve">http://www.commonlii.org/my/legis/consol_act/da19581983244/</w:t>
        </w:r>
      </w:hyperlink>
      <w:r w:rsidDel="00000000" w:rsidR="00000000" w:rsidRPr="00000000">
        <w:rPr>
          <w:rFonts w:ascii="Calibri" w:cs="Calibri" w:eastAsia="Calibri" w:hAnsi="Calibri"/>
          <w:sz w:val="18"/>
          <w:szCs w:val="18"/>
          <w:rtl w:val="0"/>
        </w:rPr>
        <w:t xml:space="preserve">. </w:t>
      </w:r>
    </w:p>
  </w:footnote>
  <w:footnote w:id="6">
    <w:p w:rsidR="00000000" w:rsidDel="00000000" w:rsidP="00000000" w:rsidRDefault="00000000" w:rsidRPr="00000000" w14:paraId="00000078">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Employment Act 1955, </w:t>
      </w:r>
      <w:hyperlink r:id="rId9">
        <w:r w:rsidDel="00000000" w:rsidR="00000000" w:rsidRPr="00000000">
          <w:rPr>
            <w:rFonts w:ascii="Calibri" w:cs="Calibri" w:eastAsia="Calibri" w:hAnsi="Calibri"/>
            <w:i w:val="1"/>
            <w:color w:val="1155cc"/>
            <w:sz w:val="18"/>
            <w:szCs w:val="18"/>
            <w:u w:val="single"/>
            <w:rtl w:val="0"/>
          </w:rPr>
          <w:t xml:space="preserve">https://equalitynow.org/resource/female-genital-mutilation-cutting-a-call-for-a-global-response/</w:t>
        </w:r>
      </w:hyperlink>
      <w:hyperlink r:id="rId10">
        <w:r w:rsidDel="00000000" w:rsidR="00000000" w:rsidRPr="00000000">
          <w:rPr>
            <w:rFonts w:ascii="Calibri" w:cs="Calibri" w:eastAsia="Calibri" w:hAnsi="Calibri"/>
            <w:color w:val="1155cc"/>
            <w:sz w:val="18"/>
            <w:szCs w:val="18"/>
            <w:u w:val="single"/>
            <w:rtl w:val="0"/>
          </w:rPr>
          <w:t xml:space="preserve">https://jtksm.mohr.gov.my/sites/default/files/2023-11/Akta%20Kerja%201955%20%28Akta%20265%29.pdf</w:t>
        </w:r>
      </w:hyperlink>
      <w:r w:rsidDel="00000000" w:rsidR="00000000" w:rsidRPr="00000000">
        <w:rPr>
          <w:rFonts w:ascii="Calibri" w:cs="Calibri" w:eastAsia="Calibri" w:hAnsi="Calibri"/>
          <w:sz w:val="18"/>
          <w:szCs w:val="18"/>
          <w:rtl w:val="0"/>
        </w:rPr>
        <w:t xml:space="preserve">. </w:t>
      </w:r>
    </w:p>
  </w:footnote>
  <w:footnote w:id="9">
    <w:p w:rsidR="00000000" w:rsidDel="00000000" w:rsidP="00000000" w:rsidRDefault="00000000" w:rsidRPr="00000000" w14:paraId="00000079">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Malaysia Penal Code, 2015</w:t>
      </w:r>
      <w:r w:rsidDel="00000000" w:rsidR="00000000" w:rsidRPr="00000000">
        <w:rPr>
          <w:rFonts w:ascii="Calibri" w:cs="Calibri" w:eastAsia="Calibri" w:hAnsi="Calibri"/>
          <w:sz w:val="18"/>
          <w:szCs w:val="18"/>
          <w:rtl w:val="0"/>
        </w:rPr>
        <w:t xml:space="preserve">, </w:t>
      </w:r>
      <w:hyperlink r:id="rId11">
        <w:r w:rsidDel="00000000" w:rsidR="00000000" w:rsidRPr="00000000">
          <w:rPr>
            <w:rFonts w:ascii="Calibri" w:cs="Calibri" w:eastAsia="Calibri" w:hAnsi="Calibri"/>
            <w:color w:val="1155cc"/>
            <w:sz w:val="18"/>
            <w:szCs w:val="18"/>
            <w:u w:val="single"/>
            <w:rtl w:val="0"/>
          </w:rPr>
          <w:t xml:space="preserve">https://www.rcrc-resilience-southeastasia.org/wp-content/uploads/2017/12/Penal-Code-Act-574.pdf</w:t>
        </w:r>
      </w:hyperlink>
      <w:r w:rsidDel="00000000" w:rsidR="00000000" w:rsidRPr="00000000">
        <w:rPr>
          <w:rFonts w:ascii="Calibri" w:cs="Calibri" w:eastAsia="Calibri" w:hAnsi="Calibri"/>
          <w:sz w:val="18"/>
          <w:szCs w:val="18"/>
          <w:rtl w:val="0"/>
        </w:rPr>
        <w:t xml:space="preserve">. </w:t>
      </w:r>
    </w:p>
  </w:footnote>
  <w:footnote w:id="4">
    <w:p w:rsidR="00000000" w:rsidDel="00000000" w:rsidP="00000000" w:rsidRDefault="00000000" w:rsidRPr="00000000" w14:paraId="0000007A">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Musawah - Country table on Muslim family Laws Malaysia </w:t>
      </w:r>
      <w:hyperlink r:id="rId12">
        <w:r w:rsidDel="00000000" w:rsidR="00000000" w:rsidRPr="00000000">
          <w:rPr>
            <w:rFonts w:ascii="Calibri" w:cs="Calibri" w:eastAsia="Calibri" w:hAnsi="Calibri"/>
            <w:color w:val="1155cc"/>
            <w:sz w:val="18"/>
            <w:szCs w:val="18"/>
            <w:u w:val="single"/>
            <w:rtl w:val="0"/>
          </w:rPr>
          <w:t xml:space="preserve">https://www.musawah.org/resources/country-table-malaysia/</w:t>
        </w:r>
      </w:hyperlink>
      <w:r w:rsidDel="00000000" w:rsidR="00000000" w:rsidRPr="00000000">
        <w:rPr>
          <w:rFonts w:ascii="Calibri" w:cs="Calibri" w:eastAsia="Calibri" w:hAnsi="Calibri"/>
          <w:sz w:val="18"/>
          <w:szCs w:val="18"/>
          <w:rtl w:val="0"/>
        </w:rPr>
        <w:t xml:space="preserve"> </w:t>
      </w:r>
    </w:p>
  </w:footnote>
  <w:footnote w:id="11">
    <w:p w:rsidR="00000000" w:rsidDel="00000000" w:rsidP="00000000" w:rsidRDefault="00000000" w:rsidRPr="00000000" w14:paraId="0000007B">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8"/>
          <w:szCs w:val="18"/>
          <w:rtl w:val="0"/>
        </w:rPr>
        <w:t xml:space="preserve">The Orchid Project and Asia Network to End FGM/C, </w:t>
      </w:r>
      <w:r w:rsidDel="00000000" w:rsidR="00000000" w:rsidRPr="00000000">
        <w:rPr>
          <w:rFonts w:ascii="Calibri" w:cs="Calibri" w:eastAsia="Calibri" w:hAnsi="Calibri"/>
          <w:i w:val="1"/>
          <w:sz w:val="18"/>
          <w:szCs w:val="18"/>
          <w:rtl w:val="0"/>
        </w:rPr>
        <w:t xml:space="preserve">Country Profile - FGC in Malaysia </w:t>
      </w:r>
      <w:r w:rsidDel="00000000" w:rsidR="00000000" w:rsidRPr="00000000">
        <w:rPr>
          <w:rFonts w:ascii="Calibri" w:cs="Calibri" w:eastAsia="Calibri" w:hAnsi="Calibri"/>
          <w:sz w:val="18"/>
          <w:szCs w:val="18"/>
          <w:rtl w:val="0"/>
        </w:rPr>
        <w:t xml:space="preserve">(2024), </w:t>
      </w:r>
      <w:r w:rsidDel="00000000" w:rsidR="00000000" w:rsidRPr="00000000">
        <w:rPr>
          <w:rFonts w:ascii="Calibri" w:cs="Calibri" w:eastAsia="Calibri" w:hAnsi="Calibri"/>
          <w:sz w:val="18"/>
          <w:szCs w:val="18"/>
          <w:rtl w:val="0"/>
        </w:rPr>
        <w:t xml:space="preserve">​​</w:t>
      </w:r>
      <w:hyperlink r:id="rId13">
        <w:r w:rsidDel="00000000" w:rsidR="00000000" w:rsidRPr="00000000">
          <w:rPr>
            <w:rFonts w:ascii="Calibri" w:cs="Calibri" w:eastAsia="Calibri" w:hAnsi="Calibri"/>
            <w:color w:val="1155cc"/>
            <w:sz w:val="18"/>
            <w:szCs w:val="18"/>
            <w:highlight w:val="white"/>
            <w:u w:val="single"/>
            <w:rtl w:val="0"/>
          </w:rPr>
          <w:t xml:space="preserve">https://www.fgmcri.org/media/uploads/Country%20Research%20and%20Resources/Malaysia/malaysia_country_profile_v1_(march_2024).pdf</w:t>
        </w:r>
      </w:hyperlink>
      <w:r w:rsidDel="00000000" w:rsidR="00000000" w:rsidRPr="00000000">
        <w:rPr>
          <w:rFonts w:ascii="Calibri" w:cs="Calibri" w:eastAsia="Calibri" w:hAnsi="Calibri"/>
          <w:sz w:val="18"/>
          <w:szCs w:val="18"/>
          <w:rtl w:val="0"/>
        </w:rPr>
        <w:t xml:space="preserve">.</w:t>
      </w:r>
      <w:r w:rsidDel="00000000" w:rsidR="00000000" w:rsidRPr="00000000">
        <w:rPr>
          <w:rtl w:val="0"/>
        </w:rPr>
      </w:r>
    </w:p>
  </w:footnote>
  <w:footnote w:id="10">
    <w:p w:rsidR="00000000" w:rsidDel="00000000" w:rsidP="00000000" w:rsidRDefault="00000000" w:rsidRPr="00000000" w14:paraId="0000007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Female Genital Mutilation/Cutting: A Call For A Global Response</w:t>
      </w:r>
      <w:r w:rsidDel="00000000" w:rsidR="00000000" w:rsidRPr="00000000">
        <w:rPr>
          <w:rFonts w:ascii="Calibri" w:cs="Calibri" w:eastAsia="Calibri" w:hAnsi="Calibri"/>
          <w:sz w:val="18"/>
          <w:szCs w:val="18"/>
          <w:rtl w:val="0"/>
        </w:rPr>
        <w:t xml:space="preserve">, Equality Now at 33 (2020), </w:t>
      </w:r>
      <w:hyperlink r:id="rId14">
        <w:r w:rsidDel="00000000" w:rsidR="00000000" w:rsidRPr="00000000">
          <w:rPr>
            <w:rFonts w:ascii="Calibri" w:cs="Calibri" w:eastAsia="Calibri" w:hAnsi="Calibri"/>
            <w:color w:val="1155cc"/>
            <w:sz w:val="18"/>
            <w:szCs w:val="18"/>
            <w:u w:val="single"/>
            <w:rtl w:val="0"/>
          </w:rPr>
          <w:t xml:space="preserve">https://equalitynow.org/resource/female-genital-mutilation-cutting-a-call-for-a-global-response/</w:t>
        </w:r>
      </w:hyperlink>
      <w:r w:rsidDel="00000000" w:rsidR="00000000" w:rsidRPr="00000000">
        <w:rPr>
          <w:rFonts w:ascii="Calibri" w:cs="Calibri" w:eastAsia="Calibri" w:hAnsi="Calibri"/>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jc w:val="left"/>
      <w:rPr/>
    </w:pPr>
    <w:r w:rsidDel="00000000" w:rsidR="00000000" w:rsidRPr="00000000">
      <w:rPr>
        <w:rtl w:val="0"/>
      </w:rPr>
    </w:r>
  </w:p>
  <w:p w:rsidR="00000000" w:rsidDel="00000000" w:rsidP="00000000" w:rsidRDefault="00000000" w:rsidRPr="00000000" w14:paraId="0000006E">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2514600</wp:posOffset>
          </wp:positionH>
          <wp:positionV relativeFrom="paragraph">
            <wp:posOffset>-266699</wp:posOffset>
          </wp:positionV>
          <wp:extent cx="913867" cy="1166813"/>
          <wp:effectExtent b="0" l="0" r="0" t="0"/>
          <wp:wrapNone/>
          <wp:docPr descr="https://lh4.googleusercontent.com/d5Z-toYisO6c7tSlRvSG4qvPtG3ryPvArvYoZ-SYs8r8f4v3lQQiWi7S76JWnf5n81wrxCDzNqjHR9cLc2t7O9KkRr5i8qOdcbmJxKjyOc4MM8LBTq0Z72rb7oC72Dl_ZsMZUPk_2LN2r8V52GajAe0" id="1" name="image1.png"/>
          <a:graphic>
            <a:graphicData uri="http://schemas.openxmlformats.org/drawingml/2006/picture">
              <pic:pic>
                <pic:nvPicPr>
                  <pic:cNvPr descr="https://lh4.googleusercontent.com/d5Z-toYisO6c7tSlRvSG4qvPtG3ryPvArvYoZ-SYs8r8f4v3lQQiWi7S76JWnf5n81wrxCDzNqjHR9cLc2t7O9KkRr5i8qOdcbmJxKjyOc4MM8LBTq0Z72rb7oC72Dl_ZsMZUPk_2LN2r8V52GajAe0" id="0" name="image1.png"/>
                  <pic:cNvPicPr preferRelativeResize="0"/>
                </pic:nvPicPr>
                <pic:blipFill>
                  <a:blip r:embed="rId1"/>
                  <a:srcRect b="-17622" l="38148" r="34630" t="0"/>
                  <a:stretch>
                    <a:fillRect/>
                  </a:stretch>
                </pic:blipFill>
                <pic:spPr>
                  <a:xfrm>
                    <a:off x="0" y="0"/>
                    <a:ext cx="913867" cy="11668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yperlink" Target="https://www.musawah.org/resources/country-table-malaysia/" TargetMode="External"/><Relationship Id="rId12"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1" Type="http://schemas.openxmlformats.org/officeDocument/2006/relationships/hyperlink" Target="https://www.rcrc-resilience-southeastasia.org/wp-content/uploads/2017/12/Penal-Code-Act-574.pdf" TargetMode="External"/><Relationship Id="rId10" Type="http://schemas.openxmlformats.org/officeDocument/2006/relationships/hyperlink" Target="https://jtksm.mohr.gov.my/sites/default/files/2023-11/Akta%20Kerja%201955%20%28Akta%20265%29.pdf" TargetMode="External"/><Relationship Id="rId13" Type="http://schemas.openxmlformats.org/officeDocument/2006/relationships/hyperlink" Target="https://www.fgmcri.org/media/uploads/Country%20Research%20and%20Resources/Malaysia/malaysia_country_profile_v1_(march_2024).pdf" TargetMode="External"/><Relationship Id="rId12" Type="http://schemas.openxmlformats.org/officeDocument/2006/relationships/hyperlink" Target="https://www.musawah.org/resources/country-table-malaysia/" TargetMode="External"/><Relationship Id="rId1" Type="http://schemas.openxmlformats.org/officeDocument/2006/relationships/hyperlink" Target="http://www.equalfamilylaws.org" TargetMode="External"/><Relationship Id="rId2" Type="http://schemas.openxmlformats.org/officeDocument/2006/relationships/hyperlink" Target="https://wbl.worldbank.org/en/data/exploreeconomies/malaysia/2024" TargetMode="External"/><Relationship Id="rId3" Type="http://schemas.openxmlformats.org/officeDocument/2006/relationships/hyperlink" Target="https://wbl.worldbank.org/en/data/exploreeconomies/malaysia/2024" TargetMode="External"/><Relationship Id="rId4" Type="http://schemas.openxmlformats.org/officeDocument/2006/relationships/hyperlink" Target="https://tbinternet.ohchr.org/_layouts/15/treatybodyexternal/Download.aspx?symbolno=CEDAW%2FC%2FMYS%2FCO%2F3-5&amp;Lang=en" TargetMode="External"/><Relationship Id="rId9" Type="http://schemas.openxmlformats.org/officeDocument/2006/relationships/hyperlink" Target="https://equalitynow.org/resource/female-genital-mutilation-cutting-a-call-for-a-global-response/" TargetMode="External"/><Relationship Id="rId14" Type="http://schemas.openxmlformats.org/officeDocument/2006/relationships/hyperlink" Target="https://equalitynow.org/resource/female-genital-mutilation-cutting-a-call-for-a-global-response/" TargetMode="External"/><Relationship Id="rId5" Type="http://schemas.openxmlformats.org/officeDocument/2006/relationships/hyperlink" Target="https://www.constituteproject.org/constitution/Malaysia_2007" TargetMode="External"/><Relationship Id="rId6" Type="http://schemas.openxmlformats.org/officeDocument/2006/relationships/hyperlink" Target="http://jafbase.fr/docAsie/Malaisie/Mariage&amp;Divorce.PDF" TargetMode="External"/><Relationship Id="rId7" Type="http://schemas.openxmlformats.org/officeDocument/2006/relationships/hyperlink" Target="http://www.commonlii.org/my/legis/consol_act/iflta1984362/" TargetMode="External"/><Relationship Id="rId8" Type="http://schemas.openxmlformats.org/officeDocument/2006/relationships/hyperlink" Target="http://www.commonlii.org/my/legis/consol_act/da1958198324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3E35E6-892A-4EA5-AF04-CA50EA8B3B66}"/>
</file>

<file path=customXml/itemProps2.xml><?xml version="1.0" encoding="utf-8"?>
<ds:datastoreItem xmlns:ds="http://schemas.openxmlformats.org/officeDocument/2006/customXml" ds:itemID="{2DED37CE-274B-4FC6-9656-DD28169A56A6}"/>
</file>