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EBAA8" w14:textId="400EC088" w:rsidR="00D34A9A" w:rsidRDefault="00121C99">
      <w:pPr>
        <w:spacing w:after="0" w:line="240" w:lineRule="auto"/>
        <w:jc w:val="center"/>
        <w:rPr>
          <w:rFonts w:ascii="Book Antiqua" w:eastAsia="Book Antiqua" w:hAnsi="Book Antiqua" w:cs="Book Antiqua"/>
          <w:b/>
        </w:rPr>
      </w:pPr>
      <w:r w:rsidRPr="00121C99">
        <w:rPr>
          <w:rFonts w:ascii="Book Antiqua" w:eastAsia="Book Antiqua" w:hAnsi="Book Antiqua" w:cs="Book Antiqua"/>
          <w:b/>
        </w:rPr>
        <w:drawing>
          <wp:inline distT="0" distB="0" distL="0" distR="0" wp14:anchorId="10FCF0AF" wp14:editId="618D055E">
            <wp:extent cx="1751330" cy="738935"/>
            <wp:effectExtent l="0" t="0" r="1270" b="0"/>
            <wp:docPr id="608975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75374" name=""/>
                    <pic:cNvPicPr/>
                  </pic:nvPicPr>
                  <pic:blipFill>
                    <a:blip r:embed="rId8"/>
                    <a:stretch>
                      <a:fillRect/>
                    </a:stretch>
                  </pic:blipFill>
                  <pic:spPr>
                    <a:xfrm>
                      <a:off x="0" y="0"/>
                      <a:ext cx="1773619" cy="748339"/>
                    </a:xfrm>
                    <a:prstGeom prst="rect">
                      <a:avLst/>
                    </a:prstGeom>
                  </pic:spPr>
                </pic:pic>
              </a:graphicData>
            </a:graphic>
          </wp:inline>
        </w:drawing>
      </w:r>
      <w:r w:rsidR="00D34A9A">
        <w:rPr>
          <w:rFonts w:eastAsia="Cambria"/>
          <w:noProof/>
          <w:color w:val="000000"/>
        </w:rPr>
        <w:drawing>
          <wp:inline distT="0" distB="0" distL="0" distR="0" wp14:anchorId="18F12781" wp14:editId="25B0C475">
            <wp:extent cx="1621790" cy="737787"/>
            <wp:effectExtent l="0" t="0" r="381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37800" cy="745070"/>
                    </a:xfrm>
                    <a:prstGeom prst="rect">
                      <a:avLst/>
                    </a:prstGeom>
                    <a:ln/>
                  </pic:spPr>
                </pic:pic>
              </a:graphicData>
            </a:graphic>
          </wp:inline>
        </w:drawing>
      </w:r>
    </w:p>
    <w:p w14:paraId="69C93721" w14:textId="77777777" w:rsidR="00D34A9A" w:rsidRDefault="00D34A9A">
      <w:pPr>
        <w:spacing w:after="0" w:line="240" w:lineRule="auto"/>
        <w:jc w:val="center"/>
        <w:rPr>
          <w:rFonts w:ascii="Book Antiqua" w:eastAsia="Book Antiqua" w:hAnsi="Book Antiqua" w:cs="Book Antiqua"/>
          <w:b/>
        </w:rPr>
      </w:pPr>
    </w:p>
    <w:p w14:paraId="4E945393" w14:textId="77777777" w:rsidR="00D34A9A" w:rsidRDefault="00D34A9A">
      <w:pPr>
        <w:spacing w:after="0" w:line="240" w:lineRule="auto"/>
        <w:jc w:val="center"/>
        <w:rPr>
          <w:rFonts w:ascii="Book Antiqua" w:eastAsia="Book Antiqua" w:hAnsi="Book Antiqua" w:cs="Book Antiqua"/>
          <w:b/>
        </w:rPr>
      </w:pPr>
    </w:p>
    <w:p w14:paraId="47B2A3DD" w14:textId="77777777" w:rsidR="00D34A9A" w:rsidRDefault="00D34A9A">
      <w:pPr>
        <w:spacing w:after="0" w:line="240" w:lineRule="auto"/>
        <w:jc w:val="center"/>
        <w:rPr>
          <w:rFonts w:ascii="Book Antiqua" w:eastAsia="Book Antiqua" w:hAnsi="Book Antiqua" w:cs="Book Antiqua"/>
          <w:b/>
        </w:rPr>
      </w:pPr>
    </w:p>
    <w:p w14:paraId="00000001" w14:textId="2B571AFA" w:rsidR="00C73E3F" w:rsidRDefault="00000000">
      <w:pPr>
        <w:spacing w:after="0" w:line="240" w:lineRule="auto"/>
        <w:jc w:val="center"/>
        <w:rPr>
          <w:rFonts w:ascii="Book Antiqua" w:eastAsia="Book Antiqua" w:hAnsi="Book Antiqua" w:cs="Book Antiqua"/>
          <w:b/>
        </w:rPr>
      </w:pPr>
      <w:r>
        <w:rPr>
          <w:rFonts w:ascii="Book Antiqua" w:eastAsia="Book Antiqua" w:hAnsi="Book Antiqua" w:cs="Book Antiqua"/>
          <w:b/>
        </w:rPr>
        <w:t>Informe Sombra “Violencia contra las Mujeres en México”</w:t>
      </w:r>
    </w:p>
    <w:p w14:paraId="00000002" w14:textId="77777777" w:rsidR="00C73E3F" w:rsidRDefault="00C73E3F">
      <w:pPr>
        <w:spacing w:line="240" w:lineRule="auto"/>
        <w:jc w:val="center"/>
        <w:rPr>
          <w:rFonts w:ascii="Book Antiqua" w:eastAsia="Book Antiqua" w:hAnsi="Book Antiqua" w:cs="Book Antiqua"/>
          <w:sz w:val="24"/>
          <w:szCs w:val="24"/>
        </w:rPr>
      </w:pPr>
    </w:p>
    <w:p w14:paraId="00000003" w14:textId="77777777" w:rsidR="00C73E3F" w:rsidRDefault="00000000">
      <w:pPr>
        <w:spacing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 xml:space="preserve">Décimo Informe Periódico de México ante el Comité CEDAW </w:t>
      </w:r>
    </w:p>
    <w:p w14:paraId="00000004" w14:textId="22AA8566" w:rsidR="00C73E3F" w:rsidRDefault="00D34A9A">
      <w:pPr>
        <w:spacing w:line="240" w:lineRule="auto"/>
        <w:jc w:val="center"/>
        <w:rPr>
          <w:rFonts w:ascii="Book Antiqua" w:eastAsia="Book Antiqua" w:hAnsi="Book Antiqua" w:cs="Book Antiqua"/>
          <w:sz w:val="24"/>
          <w:szCs w:val="24"/>
        </w:rPr>
      </w:pPr>
      <w:r>
        <w:rPr>
          <w:rFonts w:ascii="Book Antiqua" w:eastAsia="Book Antiqua" w:hAnsi="Book Antiqua" w:cs="Book Antiqua"/>
          <w:sz w:val="24"/>
          <w:szCs w:val="24"/>
        </w:rPr>
        <w:t>Mayo, 2025</w:t>
      </w:r>
    </w:p>
    <w:p w14:paraId="00000005" w14:textId="77777777" w:rsidR="00C73E3F" w:rsidRDefault="00C73E3F">
      <w:pPr>
        <w:spacing w:after="0" w:line="240" w:lineRule="auto"/>
        <w:jc w:val="center"/>
        <w:rPr>
          <w:rFonts w:ascii="Book Antiqua" w:eastAsia="Book Antiqua" w:hAnsi="Book Antiqua" w:cs="Book Antiqua"/>
          <w:b/>
        </w:rPr>
      </w:pPr>
    </w:p>
    <w:p w14:paraId="00000006" w14:textId="77777777" w:rsidR="00C73E3F" w:rsidRDefault="00000000">
      <w:pPr>
        <w:spacing w:after="0" w:line="240" w:lineRule="auto"/>
        <w:jc w:val="center"/>
        <w:rPr>
          <w:rFonts w:ascii="Book Antiqua" w:eastAsia="Book Antiqua" w:hAnsi="Book Antiqua" w:cs="Book Antiqua"/>
          <w:b/>
        </w:rPr>
      </w:pPr>
      <w:r>
        <w:rPr>
          <w:rFonts w:ascii="Book Antiqua" w:eastAsia="Book Antiqua" w:hAnsi="Book Antiqua" w:cs="Book Antiqua"/>
          <w:b/>
        </w:rPr>
        <w:t>Se autoriza la publicación del presente documento al Comité CEDAW</w:t>
      </w:r>
    </w:p>
    <w:p w14:paraId="1D169770" w14:textId="77777777" w:rsidR="00D34A9A" w:rsidRDefault="00D34A9A">
      <w:pPr>
        <w:spacing w:after="0" w:line="240" w:lineRule="auto"/>
        <w:jc w:val="center"/>
        <w:rPr>
          <w:rFonts w:ascii="Book Antiqua" w:eastAsia="Book Antiqua" w:hAnsi="Book Antiqua" w:cs="Book Antiqua"/>
          <w:b/>
        </w:rPr>
      </w:pPr>
    </w:p>
    <w:p w14:paraId="05261861" w14:textId="77777777" w:rsidR="00D34A9A" w:rsidRDefault="00D34A9A">
      <w:pPr>
        <w:spacing w:after="0" w:line="240" w:lineRule="auto"/>
        <w:jc w:val="center"/>
        <w:rPr>
          <w:rFonts w:ascii="Book Antiqua" w:eastAsia="Book Antiqua" w:hAnsi="Book Antiqua" w:cs="Book Antiqua"/>
          <w:b/>
        </w:rPr>
      </w:pPr>
    </w:p>
    <w:p w14:paraId="00000007" w14:textId="77777777" w:rsidR="00C73E3F" w:rsidRDefault="00000000">
      <w:pPr>
        <w:pBdr>
          <w:top w:val="nil"/>
          <w:left w:val="nil"/>
          <w:bottom w:val="nil"/>
          <w:right w:val="nil"/>
          <w:between w:val="nil"/>
        </w:pBdr>
        <w:spacing w:line="240" w:lineRule="auto"/>
        <w:jc w:val="center"/>
        <w:rPr>
          <w:rFonts w:ascii="Book Antiqua" w:eastAsia="Book Antiqua" w:hAnsi="Book Antiqua" w:cs="Book Antiqua"/>
          <w:color w:val="000000"/>
        </w:rPr>
      </w:pPr>
      <w:r>
        <w:rPr>
          <w:rFonts w:ascii="Book Antiqua" w:eastAsia="Book Antiqua" w:hAnsi="Book Antiqua" w:cs="Book Antiqua"/>
          <w:color w:val="000000"/>
        </w:rPr>
        <w:t>INFORME</w:t>
      </w:r>
      <w:r>
        <w:rPr>
          <w:rFonts w:ascii="Book Antiqua" w:eastAsia="Book Antiqua" w:hAnsi="Book Antiqua" w:cs="Book Antiqua"/>
          <w:color w:val="000000"/>
          <w:vertAlign w:val="superscript"/>
        </w:rPr>
        <w:footnoteReference w:id="1"/>
      </w:r>
    </w:p>
    <w:p w14:paraId="00000009" w14:textId="6F5217BE"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Este documento incluye el informe y recomendaciones al Estado Mexicano</w:t>
      </w:r>
      <w:r w:rsidR="00343B77" w:rsidRPr="00343B77">
        <w:rPr>
          <w:rFonts w:ascii="Book Antiqua" w:eastAsia="Book Antiqua" w:hAnsi="Book Antiqua" w:cs="Book Antiqua"/>
          <w:color w:val="000000"/>
        </w:rPr>
        <w:t>.</w:t>
      </w:r>
      <w:r w:rsidR="00721C58">
        <w:rPr>
          <w:rFonts w:ascii="Book Antiqua" w:eastAsia="Book Antiqua" w:hAnsi="Book Antiqua" w:cs="Book Antiqua"/>
          <w:color w:val="000000"/>
        </w:rPr>
        <w:t xml:space="preserve"> H</w:t>
      </w:r>
      <w:r>
        <w:rPr>
          <w:rFonts w:ascii="Book Antiqua" w:eastAsia="Book Antiqua" w:hAnsi="Book Antiqua" w:cs="Book Antiqua"/>
          <w:color w:val="000000"/>
        </w:rPr>
        <w:t xml:space="preserve">a sido coordinado por </w:t>
      </w:r>
      <w:proofErr w:type="spellStart"/>
      <w:r>
        <w:rPr>
          <w:rFonts w:ascii="Book Antiqua" w:eastAsia="Book Antiqua" w:hAnsi="Book Antiqua" w:cs="Book Antiqua"/>
          <w:color w:val="000000"/>
        </w:rPr>
        <w:t>Aimée</w:t>
      </w:r>
      <w:proofErr w:type="spellEnd"/>
      <w:r>
        <w:rPr>
          <w:rFonts w:ascii="Book Antiqua" w:eastAsia="Book Antiqua" w:hAnsi="Book Antiqua" w:cs="Book Antiqua"/>
          <w:color w:val="000000"/>
        </w:rPr>
        <w:t xml:space="preserve"> Vega Montiel, investigadora del CEIICH de la UNAM y presidenta de la Global Alliance </w:t>
      </w:r>
      <w:proofErr w:type="spellStart"/>
      <w:r>
        <w:rPr>
          <w:rFonts w:ascii="Book Antiqua" w:eastAsia="Book Antiqua" w:hAnsi="Book Antiqua" w:cs="Book Antiqua"/>
          <w:color w:val="000000"/>
        </w:rPr>
        <w:t>on</w:t>
      </w:r>
      <w:proofErr w:type="spellEnd"/>
      <w:r>
        <w:rPr>
          <w:rFonts w:ascii="Book Antiqua" w:eastAsia="Book Antiqua" w:hAnsi="Book Antiqua" w:cs="Book Antiqua"/>
          <w:color w:val="000000"/>
        </w:rPr>
        <w:t xml:space="preserve"> Media and </w:t>
      </w:r>
      <w:proofErr w:type="spellStart"/>
      <w:r>
        <w:rPr>
          <w:rFonts w:ascii="Book Antiqua" w:eastAsia="Book Antiqua" w:hAnsi="Book Antiqua" w:cs="Book Antiqua"/>
          <w:color w:val="000000"/>
        </w:rPr>
        <w:t>Gender</w:t>
      </w:r>
      <w:proofErr w:type="spellEnd"/>
      <w:r>
        <w:rPr>
          <w:rFonts w:ascii="Book Antiqua" w:eastAsia="Book Antiqua" w:hAnsi="Book Antiqua" w:cs="Book Antiqua"/>
          <w:color w:val="000000"/>
        </w:rPr>
        <w:t xml:space="preserve"> (GAMAG). Las autoras del informe representan diversas organizaciones feministas especializadas en la atención y defensa de los </w:t>
      </w:r>
      <w:r w:rsidR="00D34A9A">
        <w:rPr>
          <w:rFonts w:ascii="Book Antiqua" w:eastAsia="Book Antiqua" w:hAnsi="Book Antiqua" w:cs="Book Antiqua"/>
          <w:color w:val="000000"/>
        </w:rPr>
        <w:t>derechos humanos</w:t>
      </w:r>
      <w:r>
        <w:rPr>
          <w:rFonts w:ascii="Book Antiqua" w:eastAsia="Book Antiqua" w:hAnsi="Book Antiqua" w:cs="Book Antiqua"/>
          <w:color w:val="000000"/>
        </w:rPr>
        <w:t xml:space="preserve"> de las mujeres. Autoras: </w:t>
      </w:r>
      <w:proofErr w:type="spellStart"/>
      <w:r>
        <w:rPr>
          <w:rFonts w:ascii="Book Antiqua" w:eastAsia="Book Antiqua" w:hAnsi="Book Antiqua" w:cs="Book Antiqua"/>
          <w:color w:val="000000"/>
        </w:rPr>
        <w:t>Adina</w:t>
      </w:r>
      <w:proofErr w:type="spellEnd"/>
      <w:r>
        <w:rPr>
          <w:rFonts w:ascii="Book Antiqua" w:eastAsia="Book Antiqua" w:hAnsi="Book Antiqua" w:cs="Book Antiqua"/>
          <w:color w:val="000000"/>
        </w:rPr>
        <w:t xml:space="preserve"> Barrera, Adriana </w:t>
      </w:r>
      <w:proofErr w:type="spellStart"/>
      <w:r>
        <w:rPr>
          <w:rFonts w:ascii="Book Antiqua" w:eastAsia="Book Antiqua" w:hAnsi="Book Antiqua" w:cs="Book Antiqua"/>
          <w:color w:val="000000"/>
        </w:rPr>
        <w:t>Lecona</w:t>
      </w:r>
      <w:proofErr w:type="spellEnd"/>
      <w:r>
        <w:rPr>
          <w:rFonts w:ascii="Book Antiqua" w:eastAsia="Book Antiqua" w:hAnsi="Book Antiqua" w:cs="Book Antiqua"/>
          <w:color w:val="000000"/>
        </w:rPr>
        <w:t xml:space="preserve">, </w:t>
      </w:r>
      <w:proofErr w:type="spellStart"/>
      <w:r>
        <w:rPr>
          <w:rFonts w:ascii="Book Antiqua" w:eastAsia="Book Antiqua" w:hAnsi="Book Antiqua" w:cs="Book Antiqua"/>
          <w:color w:val="000000"/>
        </w:rPr>
        <w:t>Aimée</w:t>
      </w:r>
      <w:proofErr w:type="spellEnd"/>
      <w:r>
        <w:rPr>
          <w:rFonts w:ascii="Book Antiqua" w:eastAsia="Book Antiqua" w:hAnsi="Book Antiqua" w:cs="Book Antiqua"/>
          <w:color w:val="000000"/>
        </w:rPr>
        <w:t xml:space="preserve"> Vega Montiel, Andrea Medina Rosas, Verónica Caporal Pérez, Angélica de la Peña, </w:t>
      </w:r>
      <w:r w:rsidR="00D34A9A">
        <w:rPr>
          <w:rFonts w:ascii="Book Antiqua" w:eastAsia="Book Antiqua" w:hAnsi="Book Antiqua" w:cs="Book Antiqua"/>
          <w:color w:val="000000"/>
        </w:rPr>
        <w:t xml:space="preserve">Carolina Pacheco Luna, </w:t>
      </w:r>
      <w:r>
        <w:rPr>
          <w:rFonts w:ascii="Book Antiqua" w:eastAsia="Book Antiqua" w:hAnsi="Book Antiqua" w:cs="Book Antiqua"/>
          <w:color w:val="000000"/>
        </w:rPr>
        <w:t xml:space="preserve">Daniela Esquivel, </w:t>
      </w:r>
      <w:proofErr w:type="spellStart"/>
      <w:r>
        <w:rPr>
          <w:rFonts w:ascii="Book Antiqua" w:eastAsia="Book Antiqua" w:hAnsi="Book Antiqua" w:cs="Book Antiqua"/>
          <w:color w:val="000000"/>
        </w:rPr>
        <w:t>Eleane</w:t>
      </w:r>
      <w:proofErr w:type="spellEnd"/>
      <w:r>
        <w:rPr>
          <w:rFonts w:ascii="Book Antiqua" w:eastAsia="Book Antiqua" w:hAnsi="Book Antiqua" w:cs="Book Antiqua"/>
          <w:color w:val="000000"/>
        </w:rPr>
        <w:t xml:space="preserve"> Proo, Imelda Marrufo</w:t>
      </w:r>
      <w:r w:rsidR="00D34A9A">
        <w:rPr>
          <w:rFonts w:ascii="Book Antiqua" w:eastAsia="Book Antiqua" w:hAnsi="Book Antiqua" w:cs="Book Antiqua"/>
          <w:color w:val="000000"/>
        </w:rPr>
        <w:t>,</w:t>
      </w:r>
      <w:r>
        <w:rPr>
          <w:rFonts w:ascii="Book Antiqua" w:eastAsia="Book Antiqua" w:hAnsi="Book Antiqua" w:cs="Book Antiqua"/>
          <w:color w:val="000000"/>
        </w:rPr>
        <w:t xml:space="preserve"> Redmyh AC</w:t>
      </w:r>
      <w:r>
        <w:rPr>
          <w:rFonts w:ascii="Book Antiqua" w:eastAsia="Book Antiqua" w:hAnsi="Book Antiqua" w:cs="Book Antiqua"/>
          <w:color w:val="000000"/>
          <w:vertAlign w:val="superscript"/>
        </w:rPr>
        <w:footnoteReference w:id="2"/>
      </w:r>
      <w:r>
        <w:rPr>
          <w:rFonts w:ascii="Book Antiqua" w:eastAsia="Book Antiqua" w:hAnsi="Book Antiqua" w:cs="Book Antiqua"/>
          <w:color w:val="000000"/>
        </w:rPr>
        <w:t>, Red Mesa de Mujeres de Ciudad Juárez y Yadira López Velasco.</w:t>
      </w:r>
    </w:p>
    <w:p w14:paraId="0000000A" w14:textId="77777777" w:rsidR="00C73E3F" w:rsidRDefault="00C73E3F">
      <w:pPr>
        <w:spacing w:line="240" w:lineRule="auto"/>
        <w:jc w:val="both"/>
        <w:rPr>
          <w:rFonts w:ascii="Book Antiqua" w:eastAsia="Book Antiqua" w:hAnsi="Book Antiqua" w:cs="Book Antiqua"/>
        </w:rPr>
      </w:pPr>
    </w:p>
    <w:p w14:paraId="0000000B" w14:textId="77777777" w:rsidR="00C73E3F" w:rsidRPr="00D34A9A" w:rsidRDefault="00C73E3F">
      <w:pPr>
        <w:spacing w:line="240" w:lineRule="auto"/>
        <w:jc w:val="both"/>
        <w:rPr>
          <w:rFonts w:ascii="Book Antiqua" w:eastAsia="Book Antiqua" w:hAnsi="Book Antiqua" w:cs="Book Antiqua"/>
          <w:color w:val="F6F6F6"/>
        </w:rPr>
      </w:pPr>
    </w:p>
    <w:p w14:paraId="0000000C" w14:textId="77777777" w:rsidR="00C73E3F" w:rsidRDefault="00C73E3F">
      <w:pPr>
        <w:spacing w:line="240" w:lineRule="auto"/>
        <w:jc w:val="both"/>
        <w:rPr>
          <w:rFonts w:ascii="Book Antiqua" w:eastAsia="Book Antiqua" w:hAnsi="Book Antiqua" w:cs="Book Antiqua"/>
          <w:color w:val="F6F6F6"/>
        </w:rPr>
      </w:pPr>
    </w:p>
    <w:p w14:paraId="48D131C1" w14:textId="77777777" w:rsidR="00721C58" w:rsidRDefault="00721C58">
      <w:pPr>
        <w:spacing w:line="240" w:lineRule="auto"/>
        <w:jc w:val="both"/>
        <w:rPr>
          <w:rFonts w:ascii="Book Antiqua" w:eastAsia="Book Antiqua" w:hAnsi="Book Antiqua" w:cs="Book Antiqua"/>
          <w:color w:val="F6F6F6"/>
        </w:rPr>
      </w:pPr>
    </w:p>
    <w:p w14:paraId="5814174E" w14:textId="77777777" w:rsidR="00721C58" w:rsidRDefault="00721C58">
      <w:pPr>
        <w:spacing w:line="240" w:lineRule="auto"/>
        <w:jc w:val="both"/>
        <w:rPr>
          <w:rFonts w:ascii="Book Antiqua" w:eastAsia="Book Antiqua" w:hAnsi="Book Antiqua" w:cs="Book Antiqua"/>
          <w:color w:val="F6F6F6"/>
        </w:rPr>
      </w:pPr>
    </w:p>
    <w:p w14:paraId="3DEA1922" w14:textId="77777777" w:rsidR="00721C58" w:rsidRDefault="00721C58">
      <w:pPr>
        <w:spacing w:line="240" w:lineRule="auto"/>
        <w:jc w:val="both"/>
        <w:rPr>
          <w:rFonts w:ascii="Book Antiqua" w:eastAsia="Book Antiqua" w:hAnsi="Book Antiqua" w:cs="Book Antiqua"/>
          <w:color w:val="F6F6F6"/>
        </w:rPr>
      </w:pPr>
    </w:p>
    <w:p w14:paraId="2F88F9D9" w14:textId="77777777" w:rsidR="00721C58" w:rsidRDefault="00721C58">
      <w:pPr>
        <w:spacing w:line="240" w:lineRule="auto"/>
        <w:jc w:val="both"/>
        <w:rPr>
          <w:rFonts w:ascii="Book Antiqua" w:eastAsia="Book Antiqua" w:hAnsi="Book Antiqua" w:cs="Book Antiqua"/>
          <w:color w:val="F6F6F6"/>
        </w:rPr>
      </w:pPr>
    </w:p>
    <w:p w14:paraId="70271CF4" w14:textId="77777777" w:rsidR="00721C58" w:rsidRDefault="00721C58">
      <w:pPr>
        <w:spacing w:line="240" w:lineRule="auto"/>
        <w:jc w:val="both"/>
        <w:rPr>
          <w:rFonts w:ascii="Book Antiqua" w:eastAsia="Book Antiqua" w:hAnsi="Book Antiqua" w:cs="Book Antiqua"/>
          <w:color w:val="F6F6F6"/>
        </w:rPr>
      </w:pPr>
    </w:p>
    <w:p w14:paraId="2ADE118F" w14:textId="77777777" w:rsidR="00721C58" w:rsidRPr="00D34A9A" w:rsidRDefault="00721C58">
      <w:pPr>
        <w:spacing w:line="240" w:lineRule="auto"/>
        <w:jc w:val="both"/>
        <w:rPr>
          <w:rFonts w:ascii="Book Antiqua" w:eastAsia="Book Antiqua" w:hAnsi="Book Antiqua" w:cs="Book Antiqua"/>
          <w:color w:val="F6F6F6"/>
        </w:rPr>
      </w:pPr>
    </w:p>
    <w:p w14:paraId="22393C0A" w14:textId="77777777" w:rsidR="00D34A9A" w:rsidRDefault="00D34A9A" w:rsidP="006E2AB3">
      <w:pPr>
        <w:spacing w:after="0" w:line="240" w:lineRule="auto"/>
        <w:rPr>
          <w:rFonts w:ascii="Book Antiqua" w:eastAsia="Book Antiqua" w:hAnsi="Book Antiqua" w:cs="Book Antiqua"/>
          <w:color w:val="F6F6F6"/>
        </w:rPr>
      </w:pPr>
    </w:p>
    <w:p w14:paraId="3DAA1753" w14:textId="77777777" w:rsidR="00343B77" w:rsidRDefault="00343B77" w:rsidP="006E2AB3">
      <w:pPr>
        <w:spacing w:after="0" w:line="240" w:lineRule="auto"/>
        <w:rPr>
          <w:rFonts w:ascii="Book Antiqua" w:eastAsia="Book Antiqua" w:hAnsi="Book Antiqua" w:cs="Book Antiqua"/>
          <w:color w:val="F6F6F6"/>
        </w:rPr>
      </w:pPr>
    </w:p>
    <w:p w14:paraId="00000015" w14:textId="508F3D8D" w:rsidR="00C73E3F" w:rsidRPr="006E2AB3" w:rsidRDefault="00000000" w:rsidP="00D34A9A">
      <w:pPr>
        <w:spacing w:after="0" w:line="240" w:lineRule="auto"/>
        <w:jc w:val="center"/>
        <w:rPr>
          <w:rFonts w:ascii="Book Antiqua" w:eastAsia="Book Antiqua" w:hAnsi="Book Antiqua" w:cs="Book Antiqua"/>
          <w:b/>
          <w:color w:val="000000" w:themeColor="text1"/>
        </w:rPr>
      </w:pPr>
      <w:r w:rsidRPr="006E2AB3">
        <w:rPr>
          <w:rFonts w:ascii="Book Antiqua" w:eastAsia="Book Antiqua" w:hAnsi="Book Antiqua" w:cs="Book Antiqua"/>
          <w:b/>
          <w:color w:val="000000" w:themeColor="text1"/>
        </w:rPr>
        <w:t>Concepto de violencia contra las mujeres y el ámbito de obligación del Estado</w:t>
      </w:r>
    </w:p>
    <w:p w14:paraId="00000016" w14:textId="28B52BAE" w:rsidR="00C73E3F" w:rsidRPr="006E2AB3" w:rsidRDefault="00D34A9A" w:rsidP="00D34A9A">
      <w:pPr>
        <w:spacing w:after="0" w:line="240" w:lineRule="auto"/>
        <w:jc w:val="center"/>
        <w:rPr>
          <w:rFonts w:ascii="Book Antiqua" w:eastAsia="Book Antiqua" w:hAnsi="Book Antiqua" w:cs="Book Antiqua"/>
          <w:b/>
          <w:color w:val="000000" w:themeColor="text1"/>
        </w:rPr>
      </w:pPr>
      <w:r w:rsidRPr="006E2AB3">
        <w:rPr>
          <w:rFonts w:ascii="Book Antiqua" w:eastAsia="Book Antiqua" w:hAnsi="Book Antiqua" w:cs="Book Antiqua"/>
          <w:b/>
          <w:color w:val="000000" w:themeColor="text1"/>
        </w:rPr>
        <w:t>en la reforma constitucional del 15 noviembre de 2024</w:t>
      </w:r>
    </w:p>
    <w:p w14:paraId="00000017" w14:textId="77777777" w:rsidR="00C73E3F" w:rsidRPr="006E2AB3" w:rsidRDefault="00C73E3F">
      <w:pPr>
        <w:spacing w:line="240" w:lineRule="auto"/>
        <w:jc w:val="both"/>
        <w:rPr>
          <w:rFonts w:ascii="Book Antiqua" w:eastAsia="Book Antiqua" w:hAnsi="Book Antiqua" w:cs="Book Antiqua"/>
          <w:color w:val="000000" w:themeColor="text1"/>
        </w:rPr>
      </w:pPr>
    </w:p>
    <w:p w14:paraId="00000018" w14:textId="77777777" w:rsidR="00C73E3F" w:rsidRPr="006E2AB3" w:rsidRDefault="00000000">
      <w:pPr>
        <w:spacing w:line="240" w:lineRule="auto"/>
        <w:jc w:val="both"/>
        <w:rPr>
          <w:rFonts w:ascii="Book Antiqua" w:eastAsia="Book Antiqua" w:hAnsi="Book Antiqua" w:cs="Book Antiqua"/>
          <w:color w:val="000000" w:themeColor="text1"/>
        </w:rPr>
      </w:pPr>
      <w:r w:rsidRPr="006E2AB3">
        <w:rPr>
          <w:rFonts w:ascii="Book Antiqua" w:eastAsia="Book Antiqua" w:hAnsi="Book Antiqua" w:cs="Book Antiqua"/>
          <w:color w:val="000000" w:themeColor="text1"/>
        </w:rPr>
        <w:t>Informe</w:t>
      </w:r>
    </w:p>
    <w:p w14:paraId="00000019" w14:textId="41F50B57" w:rsidR="00C73E3F" w:rsidRPr="006E2AB3" w:rsidRDefault="00000000">
      <w:pPr>
        <w:numPr>
          <w:ilvl w:val="0"/>
          <w:numId w:val="2"/>
        </w:numPr>
        <w:spacing w:after="0" w:line="240" w:lineRule="auto"/>
        <w:jc w:val="both"/>
        <w:rPr>
          <w:rFonts w:ascii="Book Antiqua" w:eastAsia="Book Antiqua" w:hAnsi="Book Antiqua" w:cs="Book Antiqua"/>
          <w:color w:val="000000" w:themeColor="text1"/>
        </w:rPr>
      </w:pPr>
      <w:r w:rsidRPr="006E2AB3">
        <w:rPr>
          <w:rFonts w:ascii="Book Antiqua" w:eastAsia="Book Antiqua" w:hAnsi="Book Antiqua" w:cs="Book Antiqua"/>
          <w:color w:val="000000" w:themeColor="text1"/>
        </w:rPr>
        <w:t>El 15 de noviembre de 2024, se realizó una reforma con el objetivo de reconocer el derecho de las mujeres a una vida libre de violencia a nivel constitucional, así como detallar las obligaciones del Estado frente a la violencia contra las mujeres. La reforma se aprobó en menos de dos meses a partir de su presentación, sin dar tiempo y espacio a un real debate público.</w:t>
      </w:r>
    </w:p>
    <w:p w14:paraId="0000001A" w14:textId="5C5869BA" w:rsidR="00C73E3F" w:rsidRPr="006E2AB3" w:rsidRDefault="00000000">
      <w:pPr>
        <w:numPr>
          <w:ilvl w:val="0"/>
          <w:numId w:val="2"/>
        </w:numPr>
        <w:spacing w:after="0" w:line="240" w:lineRule="auto"/>
        <w:jc w:val="both"/>
        <w:rPr>
          <w:rFonts w:ascii="Book Antiqua" w:eastAsia="Book Antiqua" w:hAnsi="Book Antiqua" w:cs="Book Antiqua"/>
          <w:color w:val="000000" w:themeColor="text1"/>
        </w:rPr>
      </w:pPr>
      <w:r w:rsidRPr="006E2AB3">
        <w:rPr>
          <w:rFonts w:ascii="Book Antiqua" w:eastAsia="Book Antiqua" w:hAnsi="Book Antiqua" w:cs="Book Antiqua"/>
          <w:color w:val="000000" w:themeColor="text1"/>
        </w:rPr>
        <w:t xml:space="preserve">La iniciativa inicial, presentada como uno de los primeros actos de la actual </w:t>
      </w:r>
      <w:proofErr w:type="gramStart"/>
      <w:r w:rsidRPr="006E2AB3">
        <w:rPr>
          <w:rFonts w:ascii="Book Antiqua" w:eastAsia="Book Antiqua" w:hAnsi="Book Antiqua" w:cs="Book Antiqua"/>
          <w:color w:val="000000" w:themeColor="text1"/>
        </w:rPr>
        <w:t>Presidenta</w:t>
      </w:r>
      <w:proofErr w:type="gramEnd"/>
      <w:r w:rsidRPr="006E2AB3">
        <w:rPr>
          <w:rFonts w:ascii="Book Antiqua" w:eastAsia="Book Antiqua" w:hAnsi="Book Antiqua" w:cs="Book Antiqua"/>
          <w:color w:val="000000" w:themeColor="text1"/>
        </w:rPr>
        <w:t xml:space="preserve"> de la República, incluyó tanto la reforma constitucional, como a las leyes de igualdad entre mujeres y hombres, laborales, de acceso de las mujeres a una vida libre de violencia, del sistema de seguridad pública y los códigos de procedimientos penales, civiles y familiares. Prácticamente todas las reformas propuestas fueron aprobadas.</w:t>
      </w:r>
    </w:p>
    <w:p w14:paraId="0000001B" w14:textId="777A7EE1" w:rsidR="00C73E3F" w:rsidRPr="006E2AB3" w:rsidRDefault="00FB40A4">
      <w:pPr>
        <w:numPr>
          <w:ilvl w:val="0"/>
          <w:numId w:val="2"/>
        </w:numPr>
        <w:spacing w:after="0" w:line="240" w:lineRule="auto"/>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Nuestro</w:t>
      </w:r>
      <w:r w:rsidR="00000000" w:rsidRPr="006E2AB3">
        <w:rPr>
          <w:rFonts w:ascii="Book Antiqua" w:eastAsia="Book Antiqua" w:hAnsi="Book Antiqua" w:cs="Book Antiqua"/>
          <w:color w:val="000000" w:themeColor="text1"/>
        </w:rPr>
        <w:t xml:space="preserve"> informe se centra sólo en el punto de la conceptualización, que se relaciona directamente con la interpretación y operación del derecho de las mujeres a una vida libre de violencia</w:t>
      </w:r>
      <w:r w:rsidR="00D34A9A" w:rsidRPr="006E2AB3">
        <w:rPr>
          <w:rFonts w:ascii="Book Antiqua" w:eastAsia="Book Antiqua" w:hAnsi="Book Antiqua" w:cs="Book Antiqua"/>
          <w:color w:val="000000" w:themeColor="text1"/>
        </w:rPr>
        <w:t>:</w:t>
      </w:r>
    </w:p>
    <w:p w14:paraId="0000001C" w14:textId="7969CCD6" w:rsidR="00C73E3F" w:rsidRPr="006E2AB3" w:rsidRDefault="00000000" w:rsidP="00D34A9A">
      <w:pPr>
        <w:spacing w:after="0" w:line="240" w:lineRule="auto"/>
        <w:ind w:left="720"/>
        <w:jc w:val="both"/>
        <w:rPr>
          <w:rFonts w:ascii="Book Antiqua" w:eastAsia="Times New Roman" w:hAnsi="Book Antiqua" w:cs="Times New Roman"/>
          <w:color w:val="000000" w:themeColor="text1"/>
        </w:rPr>
      </w:pPr>
      <w:r w:rsidRPr="006E2AB3">
        <w:rPr>
          <w:rFonts w:ascii="Book Antiqua" w:eastAsia="Times New Roman" w:hAnsi="Book Antiqua" w:cs="Times New Roman"/>
          <w:color w:val="000000" w:themeColor="text1"/>
        </w:rPr>
        <w:t xml:space="preserve">A) La reforma elimina la especificidad </w:t>
      </w:r>
      <w:proofErr w:type="spellStart"/>
      <w:r w:rsidRPr="006E2AB3">
        <w:rPr>
          <w:rFonts w:ascii="Book Antiqua" w:eastAsia="Times New Roman" w:hAnsi="Book Antiqua" w:cs="Times New Roman"/>
          <w:color w:val="000000" w:themeColor="text1"/>
        </w:rPr>
        <w:t>sexogenérica</w:t>
      </w:r>
      <w:proofErr w:type="spellEnd"/>
      <w:r w:rsidRPr="006E2AB3">
        <w:rPr>
          <w:rFonts w:ascii="Book Antiqua" w:eastAsia="Times New Roman" w:hAnsi="Book Antiqua" w:cs="Times New Roman"/>
          <w:color w:val="000000" w:themeColor="text1"/>
        </w:rPr>
        <w:t xml:space="preserve"> del derecho de las mujeres a una vida libre de violencia, por un lado, ampliándolo a todas las personas y, por el otro, mezclándolo con los derechos de niños y adolescentes.</w:t>
      </w:r>
      <w:r w:rsidRPr="006E2AB3">
        <w:rPr>
          <w:rFonts w:ascii="Book Antiqua" w:eastAsia="Times New Roman" w:hAnsi="Book Antiqua" w:cs="Times New Roman"/>
          <w:color w:val="000000" w:themeColor="text1"/>
          <w:vertAlign w:val="superscript"/>
        </w:rPr>
        <w:footnoteReference w:id="3"/>
      </w:r>
      <w:r w:rsidRPr="006E2AB3">
        <w:rPr>
          <w:rFonts w:ascii="Book Antiqua" w:eastAsia="Times New Roman" w:hAnsi="Book Antiqua" w:cs="Times New Roman"/>
          <w:color w:val="000000" w:themeColor="text1"/>
        </w:rPr>
        <w:t xml:space="preserve"> Esto no sólo </w:t>
      </w:r>
      <w:r w:rsidR="00D34A9A" w:rsidRPr="006E2AB3">
        <w:rPr>
          <w:rFonts w:ascii="Book Antiqua" w:eastAsia="Times New Roman" w:hAnsi="Book Antiqua" w:cs="Times New Roman"/>
          <w:color w:val="000000" w:themeColor="text1"/>
        </w:rPr>
        <w:t>quedó asentado</w:t>
      </w:r>
      <w:r w:rsidRPr="006E2AB3">
        <w:rPr>
          <w:rFonts w:ascii="Book Antiqua" w:eastAsia="Times New Roman" w:hAnsi="Book Antiqua" w:cs="Times New Roman"/>
          <w:color w:val="000000" w:themeColor="text1"/>
        </w:rPr>
        <w:t xml:space="preserve"> en la Constitución, también en la reforma </w:t>
      </w:r>
      <w:r w:rsidR="00FB40A4">
        <w:rPr>
          <w:rFonts w:ascii="Book Antiqua" w:eastAsia="Times New Roman" w:hAnsi="Book Antiqua" w:cs="Times New Roman"/>
          <w:color w:val="000000" w:themeColor="text1"/>
        </w:rPr>
        <w:t>d</w:t>
      </w:r>
      <w:r w:rsidRPr="006E2AB3">
        <w:rPr>
          <w:rFonts w:ascii="Book Antiqua" w:eastAsia="Times New Roman" w:hAnsi="Book Antiqua" w:cs="Times New Roman"/>
          <w:color w:val="000000" w:themeColor="text1"/>
        </w:rPr>
        <w:t xml:space="preserve">el 16 de diciembre de 2024 a la Ley General de Acceso de las Mujeres a una Vida libre de </w:t>
      </w:r>
      <w:r w:rsidR="00D34A9A" w:rsidRPr="006E2AB3">
        <w:rPr>
          <w:rFonts w:ascii="Book Antiqua" w:eastAsia="Times New Roman" w:hAnsi="Book Antiqua" w:cs="Times New Roman"/>
          <w:color w:val="000000" w:themeColor="text1"/>
        </w:rPr>
        <w:t>V</w:t>
      </w:r>
      <w:r w:rsidRPr="006E2AB3">
        <w:rPr>
          <w:rFonts w:ascii="Book Antiqua" w:eastAsia="Times New Roman" w:hAnsi="Book Antiqua" w:cs="Times New Roman"/>
          <w:color w:val="000000" w:themeColor="text1"/>
        </w:rPr>
        <w:t xml:space="preserve">iolencia (Ley General de Acceso). Se incluye a los niños y adolescentes hombres en las medidas u órdenes de protección que, por supuesto tienen ese derecho pero, en lugar de hacer estas reformas en Ley General de Niñas, Niños y Adolescentes, </w:t>
      </w:r>
      <w:r w:rsidR="00D34A9A" w:rsidRPr="006E2AB3">
        <w:rPr>
          <w:rFonts w:ascii="Book Antiqua" w:eastAsia="Times New Roman" w:hAnsi="Book Antiqua" w:cs="Times New Roman"/>
          <w:color w:val="000000" w:themeColor="text1"/>
        </w:rPr>
        <w:t>rompieron</w:t>
      </w:r>
      <w:r w:rsidRPr="006E2AB3">
        <w:rPr>
          <w:rFonts w:ascii="Book Antiqua" w:eastAsia="Times New Roman" w:hAnsi="Book Antiqua" w:cs="Times New Roman"/>
          <w:color w:val="000000" w:themeColor="text1"/>
        </w:rPr>
        <w:t xml:space="preserve"> la especificidad </w:t>
      </w:r>
      <w:proofErr w:type="spellStart"/>
      <w:r w:rsidRPr="006E2AB3">
        <w:rPr>
          <w:rFonts w:ascii="Book Antiqua" w:eastAsia="Times New Roman" w:hAnsi="Book Antiqua" w:cs="Times New Roman"/>
          <w:color w:val="000000" w:themeColor="text1"/>
        </w:rPr>
        <w:t>sexogenérica</w:t>
      </w:r>
      <w:proofErr w:type="spellEnd"/>
      <w:r w:rsidRPr="006E2AB3">
        <w:rPr>
          <w:rFonts w:ascii="Book Antiqua" w:eastAsia="Times New Roman" w:hAnsi="Book Antiqua" w:cs="Times New Roman"/>
          <w:color w:val="000000" w:themeColor="text1"/>
        </w:rPr>
        <w:t xml:space="preserve"> de la Ley General de Acceso y en ella incluyen a los niños y adolescentes hombres.</w:t>
      </w:r>
      <w:r w:rsidRPr="006E2AB3">
        <w:rPr>
          <w:rFonts w:ascii="Book Antiqua" w:eastAsia="Times New Roman" w:hAnsi="Book Antiqua" w:cs="Times New Roman"/>
          <w:color w:val="000000" w:themeColor="text1"/>
          <w:vertAlign w:val="superscript"/>
        </w:rPr>
        <w:footnoteReference w:id="4"/>
      </w:r>
      <w:r w:rsidRPr="006E2AB3">
        <w:rPr>
          <w:rFonts w:ascii="Book Antiqua" w:eastAsia="Times New Roman" w:hAnsi="Book Antiqua" w:cs="Times New Roman"/>
          <w:color w:val="000000" w:themeColor="text1"/>
        </w:rPr>
        <w:t xml:space="preserve"> Con esto, la reforma Constitucional y de la ley Reglamentaria, que pareciera un gran avance, rompe con el elemento central de la especificidad y sentido tanto de la Ley de Acceso, como de las Recomendaciones generales número 12, 19 y 35 del Comité de la CEDAW.</w:t>
      </w:r>
    </w:p>
    <w:p w14:paraId="0000001D" w14:textId="18204CDB" w:rsidR="00C73E3F" w:rsidRPr="006E2AB3" w:rsidRDefault="00000000" w:rsidP="00D34A9A">
      <w:pPr>
        <w:spacing w:after="0" w:line="240" w:lineRule="auto"/>
        <w:ind w:left="720"/>
        <w:jc w:val="both"/>
        <w:rPr>
          <w:rFonts w:ascii="Book Antiqua" w:eastAsia="Times New Roman" w:hAnsi="Book Antiqua" w:cs="Times New Roman"/>
          <w:color w:val="000000" w:themeColor="text1"/>
        </w:rPr>
      </w:pPr>
      <w:r w:rsidRPr="006E2AB3">
        <w:rPr>
          <w:rFonts w:ascii="Book Antiqua" w:eastAsia="Times New Roman" w:hAnsi="Book Antiqua" w:cs="Times New Roman"/>
          <w:color w:val="000000" w:themeColor="text1"/>
        </w:rPr>
        <w:lastRenderedPageBreak/>
        <w:t xml:space="preserve">B) La reforma también elimina un segundo elemento conceptual fundamental para la comprensión jurídica y para la política pública de la violencia contra las mujeres, por un lado, respecto de su relación indispensable con la discriminación, que es causa y consecuencia de esta violencia; </w:t>
      </w:r>
      <w:proofErr w:type="gramStart"/>
      <w:r w:rsidRPr="006E2AB3">
        <w:rPr>
          <w:rFonts w:ascii="Book Antiqua" w:eastAsia="Times New Roman" w:hAnsi="Book Antiqua" w:cs="Times New Roman"/>
          <w:color w:val="000000" w:themeColor="text1"/>
        </w:rPr>
        <w:t>y</w:t>
      </w:r>
      <w:proofErr w:type="gramEnd"/>
      <w:r w:rsidRPr="006E2AB3">
        <w:rPr>
          <w:rFonts w:ascii="Book Antiqua" w:eastAsia="Times New Roman" w:hAnsi="Book Antiqua" w:cs="Times New Roman"/>
          <w:color w:val="000000" w:themeColor="text1"/>
        </w:rPr>
        <w:t xml:space="preserve"> por otro lado, la comprensión de la interdependencia de todas las modalidades y tipos en los que se manifiesta y registra la violencia contra las mujeres. La reforma constitucional modifica el concepto y ahora nombra en plural la violencia. “El derecho de las mujeres a una vida libre de </w:t>
      </w:r>
      <w:r w:rsidRPr="006E2AB3">
        <w:rPr>
          <w:rFonts w:ascii="Book Antiqua" w:eastAsia="Times New Roman" w:hAnsi="Book Antiqua" w:cs="Times New Roman"/>
          <w:b/>
          <w:color w:val="000000" w:themeColor="text1"/>
        </w:rPr>
        <w:t>violencias”</w:t>
      </w:r>
      <w:r w:rsidRPr="006E2AB3">
        <w:rPr>
          <w:rFonts w:ascii="Book Antiqua" w:eastAsia="Times New Roman" w:hAnsi="Book Antiqua" w:cs="Times New Roman"/>
          <w:color w:val="000000" w:themeColor="text1"/>
        </w:rPr>
        <w:t xml:space="preserve"> y </w:t>
      </w:r>
      <w:r w:rsidRPr="006E2AB3">
        <w:rPr>
          <w:rFonts w:ascii="Book Antiqua" w:eastAsia="Times New Roman" w:hAnsi="Book Antiqua" w:cs="Times New Roman"/>
          <w:b/>
          <w:color w:val="000000" w:themeColor="text1"/>
        </w:rPr>
        <w:t xml:space="preserve">“las violencias </w:t>
      </w:r>
      <w:r w:rsidRPr="006E2AB3">
        <w:rPr>
          <w:rFonts w:ascii="Book Antiqua" w:eastAsia="Times New Roman" w:hAnsi="Book Antiqua" w:cs="Times New Roman"/>
          <w:color w:val="000000" w:themeColor="text1"/>
        </w:rPr>
        <w:t xml:space="preserve">de género contra las mujeres” permea toda la Constitución </w:t>
      </w:r>
      <w:r w:rsidR="00D34A9A" w:rsidRPr="006E2AB3">
        <w:rPr>
          <w:rFonts w:ascii="Book Antiqua" w:eastAsia="Times New Roman" w:hAnsi="Book Antiqua" w:cs="Times New Roman"/>
          <w:color w:val="000000" w:themeColor="text1"/>
        </w:rPr>
        <w:t>M</w:t>
      </w:r>
      <w:r w:rsidRPr="006E2AB3">
        <w:rPr>
          <w:rFonts w:ascii="Book Antiqua" w:eastAsia="Times New Roman" w:hAnsi="Book Antiqua" w:cs="Times New Roman"/>
          <w:color w:val="000000" w:themeColor="text1"/>
        </w:rPr>
        <w:t>exicana y la Ley General de Acceso (que sólo mantiene el singular en su título).</w:t>
      </w:r>
      <w:r w:rsidRPr="006E2AB3">
        <w:rPr>
          <w:rFonts w:ascii="Book Antiqua" w:eastAsia="Times New Roman" w:hAnsi="Book Antiqua" w:cs="Times New Roman"/>
          <w:color w:val="000000" w:themeColor="text1"/>
          <w:vertAlign w:val="superscript"/>
        </w:rPr>
        <w:footnoteReference w:id="5"/>
      </w:r>
    </w:p>
    <w:p w14:paraId="0000001E" w14:textId="77777777" w:rsidR="00C73E3F" w:rsidRPr="006E2AB3" w:rsidRDefault="00000000" w:rsidP="00D34A9A">
      <w:pPr>
        <w:spacing w:line="240" w:lineRule="auto"/>
        <w:ind w:left="720"/>
        <w:jc w:val="both"/>
        <w:rPr>
          <w:rFonts w:ascii="Book Antiqua" w:eastAsia="Times New Roman" w:hAnsi="Book Antiqua" w:cs="Times New Roman"/>
          <w:color w:val="000000" w:themeColor="text1"/>
        </w:rPr>
      </w:pPr>
      <w:r w:rsidRPr="006E2AB3">
        <w:rPr>
          <w:rFonts w:ascii="Book Antiqua" w:eastAsia="Times New Roman" w:hAnsi="Book Antiqua" w:cs="Times New Roman"/>
          <w:color w:val="000000" w:themeColor="text1"/>
        </w:rPr>
        <w:t>C) La reforma constitucional restringe los deberes reforzados que hace explícitos del derecho de las mujeres a una vida libre de violencia, sólo al ámbito jurídico penal y de la seguridad pública.</w:t>
      </w:r>
      <w:r w:rsidRPr="006E2AB3">
        <w:rPr>
          <w:rFonts w:ascii="Book Antiqua" w:eastAsia="Times New Roman" w:hAnsi="Book Antiqua" w:cs="Times New Roman"/>
          <w:color w:val="000000" w:themeColor="text1"/>
          <w:vertAlign w:val="superscript"/>
        </w:rPr>
        <w:footnoteReference w:id="6"/>
      </w:r>
      <w:r w:rsidRPr="006E2AB3">
        <w:rPr>
          <w:rFonts w:ascii="Book Antiqua" w:eastAsia="Times New Roman" w:hAnsi="Book Antiqua" w:cs="Times New Roman"/>
          <w:color w:val="000000" w:themeColor="text1"/>
        </w:rPr>
        <w:t xml:space="preserve"> Desde 1996 México logró el reconocimiento de la violencia en el ámbito privado, específicamente en el familiar, a través de la legislación administrativa y al año siguiente en lo penal, civil y familiar. En el año 2007, México avanzó de manera profunda con la publicación de la Ley General de Acceso, en la que se logró el reconocimiento de este derecho en todas las materias jurídicas, así como para el ámbito público y privado, y como es obligatorio </w:t>
      </w:r>
      <w:proofErr w:type="gramStart"/>
      <w:r w:rsidRPr="006E2AB3">
        <w:rPr>
          <w:rFonts w:ascii="Book Antiqua" w:eastAsia="Times New Roman" w:hAnsi="Book Antiqua" w:cs="Times New Roman"/>
          <w:color w:val="000000" w:themeColor="text1"/>
        </w:rPr>
        <w:t>de acuerdo a</w:t>
      </w:r>
      <w:proofErr w:type="gramEnd"/>
      <w:r w:rsidRPr="006E2AB3">
        <w:rPr>
          <w:rFonts w:ascii="Book Antiqua" w:eastAsia="Times New Roman" w:hAnsi="Book Antiqua" w:cs="Times New Roman"/>
          <w:color w:val="000000" w:themeColor="text1"/>
        </w:rPr>
        <w:t xml:space="preserve"> la CEDAW.</w:t>
      </w:r>
    </w:p>
    <w:p w14:paraId="0000001F" w14:textId="77777777" w:rsidR="00C73E3F" w:rsidRPr="006E2AB3" w:rsidRDefault="00000000">
      <w:pPr>
        <w:spacing w:line="240" w:lineRule="auto"/>
        <w:jc w:val="both"/>
        <w:rPr>
          <w:rFonts w:ascii="Book Antiqua" w:eastAsia="Book Antiqua" w:hAnsi="Book Antiqua" w:cs="Book Antiqua"/>
          <w:color w:val="000000" w:themeColor="text1"/>
        </w:rPr>
      </w:pPr>
      <w:r w:rsidRPr="006E2AB3">
        <w:rPr>
          <w:rFonts w:ascii="Book Antiqua" w:eastAsia="Book Antiqua" w:hAnsi="Book Antiqua" w:cs="Book Antiqua"/>
          <w:color w:val="000000" w:themeColor="text1"/>
        </w:rPr>
        <w:t>Recomendaciones al Estado Mexicano:</w:t>
      </w:r>
    </w:p>
    <w:p w14:paraId="00000020" w14:textId="6401BF32" w:rsidR="00C73E3F" w:rsidRPr="006E2AB3" w:rsidRDefault="00000000">
      <w:pPr>
        <w:numPr>
          <w:ilvl w:val="0"/>
          <w:numId w:val="1"/>
        </w:numPr>
        <w:spacing w:after="0" w:line="240" w:lineRule="auto"/>
        <w:jc w:val="both"/>
        <w:rPr>
          <w:rFonts w:ascii="Book Antiqua" w:eastAsia="Book Antiqua" w:hAnsi="Book Antiqua" w:cs="Book Antiqua"/>
          <w:color w:val="000000" w:themeColor="text1"/>
        </w:rPr>
      </w:pPr>
      <w:r w:rsidRPr="006E2AB3">
        <w:rPr>
          <w:rFonts w:ascii="Book Antiqua" w:eastAsia="Book Antiqua" w:hAnsi="Book Antiqua" w:cs="Book Antiqua"/>
          <w:color w:val="000000" w:themeColor="text1"/>
        </w:rPr>
        <w:t xml:space="preserve">Armonizar el concepto de violencia contra las mujeres en singular y específico para las mujeres en todas sus diferentes condiciones sociales, para no perder la relación con la causa y consecuencia de esta violencia con la </w:t>
      </w:r>
      <w:r w:rsidR="00124BBD" w:rsidRPr="006E2AB3">
        <w:rPr>
          <w:rFonts w:ascii="Book Antiqua" w:eastAsia="Book Antiqua" w:hAnsi="Book Antiqua" w:cs="Book Antiqua"/>
          <w:color w:val="000000" w:themeColor="text1"/>
        </w:rPr>
        <w:t>discriminación</w:t>
      </w:r>
      <w:r w:rsidRPr="006E2AB3">
        <w:rPr>
          <w:rFonts w:ascii="Book Antiqua" w:eastAsia="Book Antiqua" w:hAnsi="Book Antiqua" w:cs="Book Antiqua"/>
          <w:color w:val="000000" w:themeColor="text1"/>
        </w:rPr>
        <w:t xml:space="preserve"> contra las </w:t>
      </w:r>
      <w:proofErr w:type="gramStart"/>
      <w:r w:rsidRPr="006E2AB3">
        <w:rPr>
          <w:rFonts w:ascii="Book Antiqua" w:eastAsia="Book Antiqua" w:hAnsi="Book Antiqua" w:cs="Book Antiqua"/>
          <w:color w:val="000000" w:themeColor="text1"/>
        </w:rPr>
        <w:t>mujeres,  y</w:t>
      </w:r>
      <w:proofErr w:type="gramEnd"/>
      <w:r w:rsidRPr="006E2AB3">
        <w:rPr>
          <w:rFonts w:ascii="Book Antiqua" w:eastAsia="Book Antiqua" w:hAnsi="Book Antiqua" w:cs="Book Antiqua"/>
          <w:color w:val="000000" w:themeColor="text1"/>
        </w:rPr>
        <w:t xml:space="preserve"> comprender la interdependencia que tienen los tipos y modalidades de esta violencia. </w:t>
      </w:r>
    </w:p>
    <w:p w14:paraId="00000021" w14:textId="77777777" w:rsidR="00C73E3F" w:rsidRPr="006E2AB3" w:rsidRDefault="00000000">
      <w:pPr>
        <w:numPr>
          <w:ilvl w:val="0"/>
          <w:numId w:val="1"/>
        </w:numPr>
        <w:spacing w:line="240" w:lineRule="auto"/>
        <w:jc w:val="both"/>
        <w:rPr>
          <w:rFonts w:ascii="Book Antiqua" w:eastAsia="Book Antiqua" w:hAnsi="Book Antiqua" w:cs="Book Antiqua"/>
          <w:color w:val="000000" w:themeColor="text1"/>
        </w:rPr>
      </w:pPr>
      <w:proofErr w:type="gramStart"/>
      <w:r w:rsidRPr="006E2AB3">
        <w:rPr>
          <w:rFonts w:ascii="Book Antiqua" w:eastAsia="Book Antiqua" w:hAnsi="Book Antiqua" w:cs="Book Antiqua"/>
          <w:color w:val="000000" w:themeColor="text1"/>
        </w:rPr>
        <w:t>Especificar</w:t>
      </w:r>
      <w:proofErr w:type="gramEnd"/>
      <w:r w:rsidRPr="006E2AB3">
        <w:rPr>
          <w:rFonts w:ascii="Book Antiqua" w:eastAsia="Book Antiqua" w:hAnsi="Book Antiqua" w:cs="Book Antiqua"/>
          <w:color w:val="000000" w:themeColor="text1"/>
        </w:rPr>
        <w:t xml:space="preserve"> que el Derecho de las mujeres a una vida libre de violencia requiere de una respuesta integral y coordinada entre todas las instituciones, poderes y órdenes de gobierno del Estado mexicano, y todas las materias jurídicas, para cumplir con </w:t>
      </w:r>
      <w:r w:rsidRPr="006E2AB3">
        <w:rPr>
          <w:rFonts w:ascii="Book Antiqua" w:eastAsia="Book Antiqua" w:hAnsi="Book Antiqua" w:cs="Book Antiqua"/>
          <w:color w:val="000000" w:themeColor="text1"/>
        </w:rPr>
        <w:lastRenderedPageBreak/>
        <w:t>los deberes reforzados ante este derecho, no sólo en el ámbito penal y no sólo en seguridad pública, a fin de que permita articular acciones, tanto en el ámbito público como privado.</w:t>
      </w:r>
    </w:p>
    <w:p w14:paraId="00000022" w14:textId="77777777" w:rsidR="00C73E3F" w:rsidRPr="006E2AB3" w:rsidRDefault="00C73E3F">
      <w:pPr>
        <w:spacing w:line="240" w:lineRule="auto"/>
        <w:rPr>
          <w:rFonts w:ascii="Book Antiqua" w:eastAsia="Book Antiqua" w:hAnsi="Book Antiqua" w:cs="Book Antiqua"/>
          <w:b/>
        </w:rPr>
      </w:pPr>
    </w:p>
    <w:p w14:paraId="695BCDDE" w14:textId="77777777" w:rsidR="00D34A9A" w:rsidRPr="006E2AB3" w:rsidRDefault="00D34A9A">
      <w:pPr>
        <w:spacing w:line="240" w:lineRule="auto"/>
        <w:rPr>
          <w:rFonts w:ascii="Book Antiqua" w:eastAsia="Book Antiqua" w:hAnsi="Book Antiqua" w:cs="Book Antiqua"/>
          <w:b/>
        </w:rPr>
      </w:pPr>
    </w:p>
    <w:p w14:paraId="4AF72C13" w14:textId="77777777" w:rsidR="00D34A9A" w:rsidRPr="006E2AB3" w:rsidRDefault="00D34A9A">
      <w:pPr>
        <w:spacing w:line="240" w:lineRule="auto"/>
        <w:rPr>
          <w:rFonts w:ascii="Book Antiqua" w:eastAsia="Book Antiqua" w:hAnsi="Book Antiqua" w:cs="Book Antiqua"/>
          <w:b/>
        </w:rPr>
      </w:pPr>
    </w:p>
    <w:p w14:paraId="70AB4E20" w14:textId="77777777" w:rsidR="00D34A9A" w:rsidRPr="006E2AB3" w:rsidRDefault="00D34A9A">
      <w:pPr>
        <w:spacing w:line="240" w:lineRule="auto"/>
        <w:rPr>
          <w:rFonts w:ascii="Book Antiqua" w:eastAsia="Book Antiqua" w:hAnsi="Book Antiqua" w:cs="Book Antiqua"/>
          <w:b/>
        </w:rPr>
      </w:pPr>
    </w:p>
    <w:p w14:paraId="34B940E6" w14:textId="77777777" w:rsidR="00D34A9A" w:rsidRPr="006E2AB3" w:rsidRDefault="00D34A9A">
      <w:pPr>
        <w:spacing w:line="240" w:lineRule="auto"/>
        <w:rPr>
          <w:rFonts w:ascii="Book Antiqua" w:eastAsia="Book Antiqua" w:hAnsi="Book Antiqua" w:cs="Book Antiqua"/>
          <w:b/>
        </w:rPr>
      </w:pPr>
    </w:p>
    <w:p w14:paraId="6C3093E9" w14:textId="77777777" w:rsidR="00D34A9A" w:rsidRPr="006E2AB3" w:rsidRDefault="00D34A9A">
      <w:pPr>
        <w:spacing w:line="240" w:lineRule="auto"/>
        <w:rPr>
          <w:rFonts w:ascii="Book Antiqua" w:eastAsia="Book Antiqua" w:hAnsi="Book Antiqua" w:cs="Book Antiqua"/>
          <w:b/>
        </w:rPr>
      </w:pPr>
    </w:p>
    <w:p w14:paraId="12ED8FBD" w14:textId="77777777" w:rsidR="00D34A9A" w:rsidRPr="006E2AB3" w:rsidRDefault="00D34A9A">
      <w:pPr>
        <w:spacing w:line="240" w:lineRule="auto"/>
        <w:rPr>
          <w:rFonts w:ascii="Book Antiqua" w:eastAsia="Book Antiqua" w:hAnsi="Book Antiqua" w:cs="Book Antiqua"/>
          <w:b/>
        </w:rPr>
      </w:pPr>
    </w:p>
    <w:p w14:paraId="017F53AC" w14:textId="77777777" w:rsidR="00D34A9A" w:rsidRPr="006E2AB3" w:rsidRDefault="00D34A9A">
      <w:pPr>
        <w:spacing w:line="240" w:lineRule="auto"/>
        <w:rPr>
          <w:rFonts w:ascii="Book Antiqua" w:eastAsia="Book Antiqua" w:hAnsi="Book Antiqua" w:cs="Book Antiqua"/>
          <w:b/>
        </w:rPr>
      </w:pPr>
    </w:p>
    <w:p w14:paraId="49F05D10" w14:textId="77777777" w:rsidR="00D34A9A" w:rsidRPr="006E2AB3" w:rsidRDefault="00D34A9A">
      <w:pPr>
        <w:spacing w:line="240" w:lineRule="auto"/>
        <w:rPr>
          <w:rFonts w:ascii="Book Antiqua" w:eastAsia="Book Antiqua" w:hAnsi="Book Antiqua" w:cs="Book Antiqua"/>
          <w:b/>
        </w:rPr>
      </w:pPr>
    </w:p>
    <w:p w14:paraId="1A7858B4" w14:textId="77777777" w:rsidR="00D34A9A" w:rsidRPr="006E2AB3" w:rsidRDefault="00D34A9A">
      <w:pPr>
        <w:spacing w:line="240" w:lineRule="auto"/>
        <w:rPr>
          <w:rFonts w:ascii="Book Antiqua" w:eastAsia="Book Antiqua" w:hAnsi="Book Antiqua" w:cs="Book Antiqua"/>
          <w:b/>
        </w:rPr>
      </w:pPr>
    </w:p>
    <w:p w14:paraId="2743D6EC" w14:textId="77777777" w:rsidR="00D34A9A" w:rsidRPr="006E2AB3" w:rsidRDefault="00D34A9A">
      <w:pPr>
        <w:spacing w:line="240" w:lineRule="auto"/>
        <w:rPr>
          <w:rFonts w:ascii="Book Antiqua" w:eastAsia="Book Antiqua" w:hAnsi="Book Antiqua" w:cs="Book Antiqua"/>
          <w:b/>
        </w:rPr>
      </w:pPr>
    </w:p>
    <w:p w14:paraId="3735459D" w14:textId="77777777" w:rsidR="00D34A9A" w:rsidRDefault="00D34A9A">
      <w:pPr>
        <w:spacing w:line="240" w:lineRule="auto"/>
        <w:rPr>
          <w:rFonts w:ascii="Book Antiqua" w:eastAsia="Book Antiqua" w:hAnsi="Book Antiqua" w:cs="Book Antiqua"/>
          <w:b/>
        </w:rPr>
      </w:pPr>
    </w:p>
    <w:p w14:paraId="540AEA3A" w14:textId="77777777" w:rsidR="00721C58" w:rsidRDefault="00721C58">
      <w:pPr>
        <w:spacing w:line="240" w:lineRule="auto"/>
        <w:rPr>
          <w:rFonts w:ascii="Book Antiqua" w:eastAsia="Book Antiqua" w:hAnsi="Book Antiqua" w:cs="Book Antiqua"/>
          <w:b/>
        </w:rPr>
      </w:pPr>
    </w:p>
    <w:p w14:paraId="484DDBBC" w14:textId="77777777" w:rsidR="00721C58" w:rsidRDefault="00721C58">
      <w:pPr>
        <w:spacing w:line="240" w:lineRule="auto"/>
        <w:rPr>
          <w:rFonts w:ascii="Book Antiqua" w:eastAsia="Book Antiqua" w:hAnsi="Book Antiqua" w:cs="Book Antiqua"/>
          <w:b/>
        </w:rPr>
      </w:pPr>
    </w:p>
    <w:p w14:paraId="361A40F7" w14:textId="77777777" w:rsidR="00721C58" w:rsidRDefault="00721C58">
      <w:pPr>
        <w:spacing w:line="240" w:lineRule="auto"/>
        <w:rPr>
          <w:rFonts w:ascii="Book Antiqua" w:eastAsia="Book Antiqua" w:hAnsi="Book Antiqua" w:cs="Book Antiqua"/>
          <w:b/>
        </w:rPr>
      </w:pPr>
    </w:p>
    <w:p w14:paraId="7B2A26E7" w14:textId="77777777" w:rsidR="00721C58" w:rsidRDefault="00721C58">
      <w:pPr>
        <w:spacing w:line="240" w:lineRule="auto"/>
        <w:rPr>
          <w:rFonts w:ascii="Book Antiqua" w:eastAsia="Book Antiqua" w:hAnsi="Book Antiqua" w:cs="Book Antiqua"/>
          <w:b/>
        </w:rPr>
      </w:pPr>
    </w:p>
    <w:p w14:paraId="38343BCE" w14:textId="77777777" w:rsidR="00721C58" w:rsidRDefault="00721C58">
      <w:pPr>
        <w:spacing w:line="240" w:lineRule="auto"/>
        <w:rPr>
          <w:rFonts w:ascii="Book Antiqua" w:eastAsia="Book Antiqua" w:hAnsi="Book Antiqua" w:cs="Book Antiqua"/>
          <w:b/>
        </w:rPr>
      </w:pPr>
    </w:p>
    <w:p w14:paraId="29E4AC4F" w14:textId="77777777" w:rsidR="00721C58" w:rsidRDefault="00721C58">
      <w:pPr>
        <w:spacing w:line="240" w:lineRule="auto"/>
        <w:rPr>
          <w:rFonts w:ascii="Book Antiqua" w:eastAsia="Book Antiqua" w:hAnsi="Book Antiqua" w:cs="Book Antiqua"/>
          <w:b/>
        </w:rPr>
      </w:pPr>
    </w:p>
    <w:p w14:paraId="2816E370" w14:textId="77777777" w:rsidR="00721C58" w:rsidRDefault="00721C58">
      <w:pPr>
        <w:spacing w:line="240" w:lineRule="auto"/>
        <w:rPr>
          <w:rFonts w:ascii="Book Antiqua" w:eastAsia="Book Antiqua" w:hAnsi="Book Antiqua" w:cs="Book Antiqua"/>
          <w:b/>
        </w:rPr>
      </w:pPr>
    </w:p>
    <w:p w14:paraId="13A06E56" w14:textId="77777777" w:rsidR="00721C58" w:rsidRDefault="00721C58">
      <w:pPr>
        <w:spacing w:line="240" w:lineRule="auto"/>
        <w:rPr>
          <w:rFonts w:ascii="Book Antiqua" w:eastAsia="Book Antiqua" w:hAnsi="Book Antiqua" w:cs="Book Antiqua"/>
          <w:b/>
        </w:rPr>
      </w:pPr>
    </w:p>
    <w:p w14:paraId="2C2C1D49" w14:textId="77777777" w:rsidR="00721C58" w:rsidRDefault="00721C58">
      <w:pPr>
        <w:spacing w:line="240" w:lineRule="auto"/>
        <w:rPr>
          <w:rFonts w:ascii="Book Antiqua" w:eastAsia="Book Antiqua" w:hAnsi="Book Antiqua" w:cs="Book Antiqua"/>
          <w:b/>
        </w:rPr>
      </w:pPr>
    </w:p>
    <w:p w14:paraId="59C49043" w14:textId="77777777" w:rsidR="00721C58" w:rsidRDefault="00721C58">
      <w:pPr>
        <w:spacing w:line="240" w:lineRule="auto"/>
        <w:rPr>
          <w:rFonts w:ascii="Book Antiqua" w:eastAsia="Book Antiqua" w:hAnsi="Book Antiqua" w:cs="Book Antiqua"/>
          <w:b/>
        </w:rPr>
      </w:pPr>
    </w:p>
    <w:p w14:paraId="63D2E402" w14:textId="77777777" w:rsidR="00721C58" w:rsidRDefault="00721C58">
      <w:pPr>
        <w:spacing w:line="240" w:lineRule="auto"/>
        <w:rPr>
          <w:rFonts w:ascii="Book Antiqua" w:eastAsia="Book Antiqua" w:hAnsi="Book Antiqua" w:cs="Book Antiqua"/>
          <w:b/>
        </w:rPr>
      </w:pPr>
    </w:p>
    <w:p w14:paraId="13C96395" w14:textId="77777777" w:rsidR="00721C58" w:rsidRDefault="00721C58">
      <w:pPr>
        <w:spacing w:line="240" w:lineRule="auto"/>
        <w:rPr>
          <w:rFonts w:ascii="Book Antiqua" w:eastAsia="Book Antiqua" w:hAnsi="Book Antiqua" w:cs="Book Antiqua"/>
          <w:b/>
        </w:rPr>
      </w:pPr>
    </w:p>
    <w:p w14:paraId="3CB04268" w14:textId="77777777" w:rsidR="00721C58" w:rsidRDefault="00721C58">
      <w:pPr>
        <w:spacing w:line="240" w:lineRule="auto"/>
        <w:rPr>
          <w:rFonts w:ascii="Book Antiqua" w:eastAsia="Book Antiqua" w:hAnsi="Book Antiqua" w:cs="Book Antiqua"/>
          <w:b/>
        </w:rPr>
      </w:pPr>
    </w:p>
    <w:p w14:paraId="2FF182E1" w14:textId="77777777" w:rsidR="00721C58" w:rsidRPr="006E2AB3" w:rsidRDefault="00721C58">
      <w:pPr>
        <w:spacing w:line="240" w:lineRule="auto"/>
        <w:rPr>
          <w:rFonts w:ascii="Book Antiqua" w:eastAsia="Book Antiqua" w:hAnsi="Book Antiqua" w:cs="Book Antiqua"/>
          <w:b/>
        </w:rPr>
      </w:pPr>
    </w:p>
    <w:p w14:paraId="00000023" w14:textId="77777777" w:rsidR="00C73E3F" w:rsidRPr="006E2AB3" w:rsidRDefault="00000000">
      <w:pPr>
        <w:spacing w:line="240" w:lineRule="auto"/>
        <w:jc w:val="center"/>
        <w:rPr>
          <w:rFonts w:ascii="Book Antiqua" w:eastAsia="Book Antiqua" w:hAnsi="Book Antiqua" w:cs="Book Antiqua"/>
          <w:b/>
        </w:rPr>
      </w:pPr>
      <w:r w:rsidRPr="006E2AB3">
        <w:rPr>
          <w:rFonts w:ascii="Book Antiqua" w:eastAsia="Book Antiqua" w:hAnsi="Book Antiqua" w:cs="Book Antiqua"/>
          <w:b/>
        </w:rPr>
        <w:lastRenderedPageBreak/>
        <w:t>Explotación reproductiva a través de vientres de alquiler</w:t>
      </w:r>
    </w:p>
    <w:p w14:paraId="00000024" w14:textId="77777777" w:rsidR="00C73E3F" w:rsidRPr="006E2AB3" w:rsidRDefault="00000000">
      <w:pPr>
        <w:spacing w:line="240" w:lineRule="auto"/>
        <w:jc w:val="both"/>
        <w:rPr>
          <w:rFonts w:ascii="Book Antiqua" w:eastAsia="Book Antiqua" w:hAnsi="Book Antiqua" w:cs="Book Antiqua"/>
        </w:rPr>
      </w:pPr>
      <w:r w:rsidRPr="006E2AB3">
        <w:rPr>
          <w:rFonts w:ascii="Book Antiqua" w:eastAsia="Book Antiqua" w:hAnsi="Book Antiqua" w:cs="Book Antiqua"/>
        </w:rPr>
        <w:t>Informe</w:t>
      </w:r>
    </w:p>
    <w:p w14:paraId="00000025" w14:textId="6AE42E18" w:rsidR="00C73E3F" w:rsidRPr="006E2AB3" w:rsidRDefault="00000000">
      <w:pPr>
        <w:numPr>
          <w:ilvl w:val="0"/>
          <w:numId w:val="15"/>
        </w:numPr>
        <w:pBdr>
          <w:top w:val="nil"/>
          <w:left w:val="nil"/>
          <w:bottom w:val="nil"/>
          <w:right w:val="nil"/>
          <w:between w:val="nil"/>
        </w:pBdr>
        <w:spacing w:after="0"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L</w:t>
      </w:r>
      <w:r w:rsidR="00FB40A4">
        <w:rPr>
          <w:rFonts w:ascii="Book Antiqua" w:eastAsia="Book Antiqua" w:hAnsi="Book Antiqua" w:cs="Book Antiqua"/>
          <w:color w:val="000000"/>
        </w:rPr>
        <w:t>a industria de los</w:t>
      </w:r>
      <w:r w:rsidRPr="006E2AB3">
        <w:rPr>
          <w:rFonts w:ascii="Book Antiqua" w:eastAsia="Book Antiqua" w:hAnsi="Book Antiqua" w:cs="Book Antiqua"/>
          <w:color w:val="000000"/>
        </w:rPr>
        <w:t xml:space="preserve"> vientres de </w:t>
      </w:r>
      <w:proofErr w:type="gramStart"/>
      <w:r w:rsidRPr="006E2AB3">
        <w:rPr>
          <w:rFonts w:ascii="Book Antiqua" w:eastAsia="Book Antiqua" w:hAnsi="Book Antiqua" w:cs="Book Antiqua"/>
          <w:color w:val="000000"/>
        </w:rPr>
        <w:t>alquiler,</w:t>
      </w:r>
      <w:proofErr w:type="gramEnd"/>
      <w:r w:rsidRPr="006E2AB3">
        <w:rPr>
          <w:rFonts w:ascii="Book Antiqua" w:eastAsia="Book Antiqua" w:hAnsi="Book Antiqua" w:cs="Book Antiqua"/>
          <w:color w:val="000000"/>
        </w:rPr>
        <w:t xml:space="preserve"> aument</w:t>
      </w:r>
      <w:r w:rsidR="00FB40A4">
        <w:rPr>
          <w:rFonts w:ascii="Book Antiqua" w:eastAsia="Book Antiqua" w:hAnsi="Book Antiqua" w:cs="Book Antiqua"/>
          <w:color w:val="000000"/>
        </w:rPr>
        <w:t xml:space="preserve">ó </w:t>
      </w:r>
      <w:r w:rsidRPr="006E2AB3">
        <w:rPr>
          <w:rFonts w:ascii="Book Antiqua" w:eastAsia="Book Antiqua" w:hAnsi="Book Antiqua" w:cs="Book Antiqua"/>
          <w:color w:val="000000"/>
        </w:rPr>
        <w:t xml:space="preserve">sus beneficios económicos </w:t>
      </w:r>
      <w:r w:rsidR="00FB40A4">
        <w:rPr>
          <w:rFonts w:ascii="Book Antiqua" w:eastAsia="Book Antiqua" w:hAnsi="Book Antiqua" w:cs="Book Antiqua"/>
          <w:color w:val="000000"/>
        </w:rPr>
        <w:t xml:space="preserve">en México </w:t>
      </w:r>
      <w:r w:rsidRPr="006E2AB3">
        <w:rPr>
          <w:rFonts w:ascii="Book Antiqua" w:eastAsia="Book Antiqua" w:hAnsi="Book Antiqua" w:cs="Book Antiqua"/>
          <w:color w:val="000000"/>
        </w:rPr>
        <w:t>durante la pandemia debido a la agudización de la feminización de la pobreza</w:t>
      </w:r>
      <w:r w:rsidRPr="006E2AB3">
        <w:rPr>
          <w:rFonts w:ascii="Book Antiqua" w:eastAsia="Book Antiqua" w:hAnsi="Book Antiqua" w:cs="Book Antiqua"/>
          <w:color w:val="000000"/>
          <w:vertAlign w:val="superscript"/>
        </w:rPr>
        <w:footnoteReference w:id="7"/>
      </w:r>
      <w:r w:rsidRPr="006E2AB3">
        <w:rPr>
          <w:rFonts w:ascii="Book Antiqua" w:eastAsia="Book Antiqua" w:hAnsi="Book Antiqua" w:cs="Book Antiqua"/>
          <w:color w:val="000000"/>
        </w:rPr>
        <w:t xml:space="preserve">. </w:t>
      </w:r>
    </w:p>
    <w:p w14:paraId="00000027" w14:textId="721E056D" w:rsidR="00C73E3F" w:rsidRPr="006E2AB3" w:rsidRDefault="00000000">
      <w:pPr>
        <w:numPr>
          <w:ilvl w:val="0"/>
          <w:numId w:val="15"/>
        </w:numPr>
        <w:pBdr>
          <w:top w:val="nil"/>
          <w:left w:val="nil"/>
          <w:bottom w:val="nil"/>
          <w:right w:val="nil"/>
          <w:between w:val="nil"/>
        </w:pBdr>
        <w:spacing w:after="0"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Entre otras violaciones a derechos humanos a las mujeres</w:t>
      </w:r>
      <w:r w:rsidR="00FB40A4">
        <w:rPr>
          <w:rFonts w:ascii="Book Antiqua" w:eastAsia="Book Antiqua" w:hAnsi="Book Antiqua" w:cs="Book Antiqua"/>
          <w:color w:val="000000"/>
        </w:rPr>
        <w:t xml:space="preserve"> por esta industria</w:t>
      </w:r>
      <w:r w:rsidRPr="006E2AB3">
        <w:rPr>
          <w:rFonts w:ascii="Book Antiqua" w:eastAsia="Book Antiqua" w:hAnsi="Book Antiqua" w:cs="Book Antiqua"/>
          <w:color w:val="000000"/>
        </w:rPr>
        <w:t xml:space="preserve">, destacan su </w:t>
      </w:r>
      <w:proofErr w:type="spellStart"/>
      <w:r w:rsidRPr="006E2AB3">
        <w:rPr>
          <w:rFonts w:ascii="Book Antiqua" w:eastAsia="Book Antiqua" w:hAnsi="Book Antiqua" w:cs="Book Antiqua"/>
          <w:color w:val="000000"/>
        </w:rPr>
        <w:t>hiperhormonización</w:t>
      </w:r>
      <w:proofErr w:type="spellEnd"/>
      <w:r w:rsidRPr="006E2AB3">
        <w:rPr>
          <w:rFonts w:ascii="Book Antiqua" w:eastAsia="Book Antiqua" w:hAnsi="Book Antiqua" w:cs="Book Antiqua"/>
          <w:color w:val="000000"/>
        </w:rPr>
        <w:t xml:space="preserve">, los abortos selectivos, el control sobre las decisiones en cuanto a sus propios cuerpos, así como una constante vigilancia que les impide abandonar el contrato o cambiar de parecer respecto a sus derechos de filiación.  </w:t>
      </w:r>
    </w:p>
    <w:p w14:paraId="00000028" w14:textId="4AC0AA77" w:rsidR="00C73E3F" w:rsidRPr="006E2AB3" w:rsidRDefault="00000000">
      <w:pPr>
        <w:numPr>
          <w:ilvl w:val="0"/>
          <w:numId w:val="15"/>
        </w:numPr>
        <w:pBdr>
          <w:top w:val="nil"/>
          <w:left w:val="nil"/>
          <w:bottom w:val="nil"/>
          <w:right w:val="nil"/>
          <w:between w:val="nil"/>
        </w:pBdr>
        <w:spacing w:after="0"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 xml:space="preserve">Estos procedimientos se han llevado a cabo en Tabasco desde 1997 y en Sinaloa desde 2013, aunque la falta de datos concretos sobre el número de agencias y contratos en el país dificulta su evaluación precisa. </w:t>
      </w:r>
    </w:p>
    <w:p w14:paraId="00000029" w14:textId="028AC8BA" w:rsidR="00C73E3F" w:rsidRPr="006E2AB3" w:rsidRDefault="00000000">
      <w:pPr>
        <w:numPr>
          <w:ilvl w:val="0"/>
          <w:numId w:val="15"/>
        </w:numPr>
        <w:pBdr>
          <w:top w:val="nil"/>
          <w:left w:val="nil"/>
          <w:bottom w:val="nil"/>
          <w:right w:val="nil"/>
          <w:between w:val="nil"/>
        </w:pBdr>
        <w:spacing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 xml:space="preserve">La decisión de la Suprema Corte de Justicia de la Nación (SCJN) de otorgar un amparo en 2015 a una pareja de hombres que tuvo un hijo a través de una mujer gestante mexicana, ha establecido un precedente que es utilizado como estrategia de marketing por agencias intermediarias para atraer clientes internacionales, lo que plantea preocupaciones sobre los derechos humanos de las mujeres. El Poder Judicial mexicano, desde entonces, se ha pronunciado a favor de regular este comercio como parte de los derechos de las personas extranjeras para acceder a servicios de bajo costo que en otros países encontrarían restrictivos.  </w:t>
      </w:r>
      <w:r w:rsidR="00965CE1">
        <w:rPr>
          <w:rFonts w:ascii="Book Antiqua" w:eastAsia="Book Antiqua" w:hAnsi="Book Antiqua" w:cs="Book Antiqua"/>
          <w:color w:val="000000"/>
        </w:rPr>
        <w:t>E</w:t>
      </w:r>
      <w:r w:rsidRPr="006E2AB3">
        <w:rPr>
          <w:rFonts w:ascii="Book Antiqua" w:eastAsia="Book Antiqua" w:hAnsi="Book Antiqua" w:cs="Book Antiqua"/>
          <w:color w:val="000000"/>
        </w:rPr>
        <w:t xml:space="preserve">n una tergiversación de los derechos reproductivos y la demanda por el acceso a la interrupción legal del embarazo, esta industria ha sido defendida </w:t>
      </w:r>
      <w:r w:rsidRPr="006E2AB3">
        <w:rPr>
          <w:rFonts w:ascii="Book Antiqua" w:eastAsia="Book Antiqua" w:hAnsi="Book Antiqua" w:cs="Book Antiqua"/>
        </w:rPr>
        <w:t>por la SCJN</w:t>
      </w:r>
      <w:r w:rsidRPr="006E2AB3">
        <w:rPr>
          <w:rFonts w:ascii="Book Antiqua" w:eastAsia="Book Antiqua" w:hAnsi="Book Antiqua" w:cs="Book Antiqua"/>
          <w:color w:val="000000"/>
        </w:rPr>
        <w:t xml:space="preserve"> como parte del derecho a decidir, lo que puede significar una trampa conceptual que legitime este comercio desde la ley. </w:t>
      </w:r>
    </w:p>
    <w:p w14:paraId="0000002A" w14:textId="77777777" w:rsidR="00C73E3F" w:rsidRPr="006E2AB3" w:rsidRDefault="00000000">
      <w:pPr>
        <w:spacing w:line="240" w:lineRule="auto"/>
        <w:jc w:val="both"/>
        <w:rPr>
          <w:rFonts w:ascii="Book Antiqua" w:eastAsia="Book Antiqua" w:hAnsi="Book Antiqua" w:cs="Book Antiqua"/>
        </w:rPr>
      </w:pPr>
      <w:r w:rsidRPr="006E2AB3">
        <w:rPr>
          <w:rFonts w:ascii="Book Antiqua" w:eastAsia="Book Antiqua" w:hAnsi="Book Antiqua" w:cs="Book Antiqua"/>
        </w:rPr>
        <w:t>Recomendaciones al Estado Mexicano</w:t>
      </w:r>
    </w:p>
    <w:p w14:paraId="0000002C" w14:textId="21433F8B" w:rsidR="00C73E3F" w:rsidRPr="006E2AB3" w:rsidRDefault="00000000">
      <w:pPr>
        <w:numPr>
          <w:ilvl w:val="0"/>
          <w:numId w:val="16"/>
        </w:numPr>
        <w:pBdr>
          <w:top w:val="nil"/>
          <w:left w:val="nil"/>
          <w:bottom w:val="nil"/>
          <w:right w:val="nil"/>
          <w:between w:val="nil"/>
        </w:pBdr>
        <w:spacing w:after="0"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 xml:space="preserve">Retomar los conceptos del derecho a decidir y los derechos reproductivos para diferenciarlos de una práctica donde las decisiones corporales son ajenas a la propia voluntad y sujetas a un contrato que favorece a los solicitantes y no a las mujeres que gestan para terceros. </w:t>
      </w:r>
    </w:p>
    <w:p w14:paraId="0000002D" w14:textId="77777777" w:rsidR="00C73E3F" w:rsidRPr="006E2AB3" w:rsidRDefault="00000000">
      <w:pPr>
        <w:numPr>
          <w:ilvl w:val="0"/>
          <w:numId w:val="16"/>
        </w:numPr>
        <w:pBdr>
          <w:top w:val="nil"/>
          <w:left w:val="nil"/>
          <w:bottom w:val="nil"/>
          <w:right w:val="nil"/>
          <w:between w:val="nil"/>
        </w:pBdr>
        <w:spacing w:after="0"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 xml:space="preserve">Seguimiento a las denuncias interpuestas por las mujeres gestantes violentadas en estos procesos, así como la promoción hacia otras mujeres para generar los mecanismos necesarios que les permitan realizar una denuncia respecto a las violaciones a sus derechos humanos en estos procesos (con agencias intermediarias y personas contratantes).  </w:t>
      </w:r>
    </w:p>
    <w:p w14:paraId="0000002E" w14:textId="77777777" w:rsidR="00C73E3F" w:rsidRPr="006E2AB3" w:rsidRDefault="00000000">
      <w:pPr>
        <w:numPr>
          <w:ilvl w:val="0"/>
          <w:numId w:val="16"/>
        </w:numPr>
        <w:pBdr>
          <w:top w:val="nil"/>
          <w:left w:val="nil"/>
          <w:bottom w:val="nil"/>
          <w:right w:val="nil"/>
          <w:between w:val="nil"/>
        </w:pBdr>
        <w:spacing w:line="240" w:lineRule="auto"/>
        <w:jc w:val="both"/>
        <w:rPr>
          <w:rFonts w:ascii="Book Antiqua" w:eastAsia="Book Antiqua" w:hAnsi="Book Antiqua" w:cs="Book Antiqua"/>
          <w:color w:val="000000"/>
        </w:rPr>
      </w:pPr>
      <w:r w:rsidRPr="006E2AB3">
        <w:rPr>
          <w:rFonts w:ascii="Book Antiqua" w:eastAsia="Book Antiqua" w:hAnsi="Book Antiqua" w:cs="Book Antiqua"/>
          <w:color w:val="000000"/>
        </w:rPr>
        <w:t xml:space="preserve">Para prevenir y erradicar la explotación reproductiva de mujeres mediante el comercio de la gestación subrogada, se requiere implicarse en un marco internacional de protección más amplio que abarque las legislaciones mundiales, en este sentido, se recomienda seguir las pautas establecidas por el parlamento europeo que califica de violencia contra las mujeres a esta práctica y la prohíbe de manera unánime. </w:t>
      </w:r>
    </w:p>
    <w:p w14:paraId="0D304329" w14:textId="77777777" w:rsidR="00965CE1" w:rsidRPr="0070176A" w:rsidRDefault="00965CE1" w:rsidP="0070176A">
      <w:pPr>
        <w:widowControl w:val="0"/>
        <w:pBdr>
          <w:top w:val="nil"/>
          <w:left w:val="nil"/>
          <w:bottom w:val="nil"/>
          <w:right w:val="nil"/>
          <w:between w:val="nil"/>
        </w:pBdr>
        <w:spacing w:line="240" w:lineRule="auto"/>
        <w:jc w:val="both"/>
        <w:rPr>
          <w:rFonts w:ascii="Book Antiqua" w:eastAsia="Book Antiqua" w:hAnsi="Book Antiqua" w:cs="Book Antiqua"/>
        </w:rPr>
      </w:pPr>
    </w:p>
    <w:p w14:paraId="0000003F" w14:textId="77777777" w:rsidR="00C73E3F" w:rsidRPr="0070176A" w:rsidRDefault="00000000">
      <w:pPr>
        <w:widowControl w:val="0"/>
        <w:pBdr>
          <w:top w:val="nil"/>
          <w:left w:val="nil"/>
          <w:bottom w:val="nil"/>
          <w:right w:val="nil"/>
          <w:between w:val="nil"/>
        </w:pBdr>
        <w:spacing w:line="240" w:lineRule="auto"/>
        <w:jc w:val="center"/>
        <w:rPr>
          <w:rFonts w:ascii="Book Antiqua" w:eastAsia="Book Antiqua" w:hAnsi="Book Antiqua" w:cs="Book Antiqua"/>
          <w:b/>
          <w:color w:val="000000" w:themeColor="text1"/>
        </w:rPr>
      </w:pPr>
      <w:r w:rsidRPr="0070176A">
        <w:rPr>
          <w:rFonts w:ascii="Book Antiqua" w:eastAsia="Book Antiqua" w:hAnsi="Book Antiqua" w:cs="Book Antiqua"/>
          <w:b/>
          <w:color w:val="000000" w:themeColor="text1"/>
        </w:rPr>
        <w:lastRenderedPageBreak/>
        <w:t>Violencia sexual y la trampa del consentimiento jurídico</w:t>
      </w:r>
    </w:p>
    <w:p w14:paraId="00000040" w14:textId="77777777" w:rsidR="00C73E3F" w:rsidRPr="0070176A" w:rsidRDefault="00000000">
      <w:pPr>
        <w:widowControl w:val="0"/>
        <w:pBdr>
          <w:top w:val="nil"/>
          <w:left w:val="nil"/>
          <w:bottom w:val="nil"/>
          <w:right w:val="nil"/>
          <w:between w:val="nil"/>
        </w:pBdr>
        <w:spacing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Informe</w:t>
      </w:r>
    </w:p>
    <w:p w14:paraId="00000041" w14:textId="6C914794" w:rsidR="00C73E3F" w:rsidRPr="0070176A" w:rsidRDefault="00000000">
      <w:pPr>
        <w:widowControl w:val="0"/>
        <w:numPr>
          <w:ilvl w:val="0"/>
          <w:numId w:val="19"/>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El 21 de noviembre de 2024</w:t>
      </w:r>
      <w:r w:rsidR="00D34A9A" w:rsidRPr="0070176A">
        <w:rPr>
          <w:rFonts w:ascii="Book Antiqua" w:eastAsia="Book Antiqua" w:hAnsi="Book Antiqua" w:cs="Book Antiqua"/>
          <w:color w:val="000000" w:themeColor="text1"/>
        </w:rPr>
        <w:t>,</w:t>
      </w:r>
      <w:r w:rsidRPr="0070176A">
        <w:rPr>
          <w:rFonts w:ascii="Book Antiqua" w:eastAsia="Book Antiqua" w:hAnsi="Book Antiqua" w:cs="Book Antiqua"/>
          <w:color w:val="000000" w:themeColor="text1"/>
        </w:rPr>
        <w:t xml:space="preserve"> se presentó en el Congreso de la Ciudad de México una iniciativa para reformar en su totalidad el título sobre delitos sexuales del Código </w:t>
      </w:r>
      <w:r w:rsidR="00D34A9A" w:rsidRPr="0070176A">
        <w:rPr>
          <w:rFonts w:ascii="Book Antiqua" w:eastAsia="Book Antiqua" w:hAnsi="Book Antiqua" w:cs="Book Antiqua"/>
          <w:color w:val="000000" w:themeColor="text1"/>
        </w:rPr>
        <w:t>P</w:t>
      </w:r>
      <w:r w:rsidRPr="0070176A">
        <w:rPr>
          <w:rFonts w:ascii="Book Antiqua" w:eastAsia="Book Antiqua" w:hAnsi="Book Antiqua" w:cs="Book Antiqua"/>
          <w:color w:val="000000" w:themeColor="text1"/>
        </w:rPr>
        <w:t>enal de la Ciudad de México.</w:t>
      </w:r>
      <w:r w:rsidRPr="0070176A">
        <w:rPr>
          <w:rFonts w:ascii="Book Antiqua" w:eastAsia="Book Antiqua" w:hAnsi="Book Antiqua" w:cs="Book Antiqua"/>
          <w:color w:val="000000" w:themeColor="text1"/>
          <w:vertAlign w:val="superscript"/>
        </w:rPr>
        <w:footnoteReference w:id="8"/>
      </w:r>
      <w:r w:rsidRPr="0070176A">
        <w:rPr>
          <w:rFonts w:ascii="Book Antiqua" w:eastAsia="Book Antiqua" w:hAnsi="Book Antiqua" w:cs="Book Antiqua"/>
          <w:color w:val="000000" w:themeColor="text1"/>
        </w:rPr>
        <w:t xml:space="preserve"> La iniciativa propone eliminar los conceptos de violencia física y moral como elementos de tipo, en todos los delitos sexuales del Código </w:t>
      </w:r>
      <w:r w:rsidR="00D34A9A" w:rsidRPr="0070176A">
        <w:rPr>
          <w:rFonts w:ascii="Book Antiqua" w:eastAsia="Book Antiqua" w:hAnsi="Book Antiqua" w:cs="Book Antiqua"/>
          <w:color w:val="000000" w:themeColor="text1"/>
        </w:rPr>
        <w:t>P</w:t>
      </w:r>
      <w:r w:rsidRPr="0070176A">
        <w:rPr>
          <w:rFonts w:ascii="Book Antiqua" w:eastAsia="Book Antiqua" w:hAnsi="Book Antiqua" w:cs="Book Antiqua"/>
          <w:color w:val="000000" w:themeColor="text1"/>
        </w:rPr>
        <w:t xml:space="preserve">enal,  y centrar el título en la definición del consentimiento que, la iniciativa establece, debe  cumplir con los criterios de aceptación de participar en actos sexuales de </w:t>
      </w:r>
      <w:r w:rsidR="00D34A9A" w:rsidRPr="0070176A">
        <w:rPr>
          <w:rFonts w:ascii="Book Antiqua" w:eastAsia="Book Antiqua" w:hAnsi="Book Antiqua" w:cs="Book Antiqua"/>
          <w:color w:val="000000" w:themeColor="text1"/>
        </w:rPr>
        <w:t xml:space="preserve">manera </w:t>
      </w:r>
      <w:r w:rsidRPr="0070176A">
        <w:rPr>
          <w:rFonts w:ascii="Book Antiqua" w:eastAsia="Book Antiqua" w:hAnsi="Book Antiqua" w:cs="Book Antiqua"/>
          <w:color w:val="000000" w:themeColor="text1"/>
        </w:rPr>
        <w:t xml:space="preserve">voluntaria, libre, y autónoma, modificando o eliminando los conceptos y criterios básicos del </w:t>
      </w:r>
      <w:r w:rsidR="00D34A9A" w:rsidRPr="0070176A">
        <w:rPr>
          <w:rFonts w:ascii="Book Antiqua" w:eastAsia="Book Antiqua" w:hAnsi="Book Antiqua" w:cs="Book Antiqua"/>
          <w:color w:val="000000" w:themeColor="text1"/>
        </w:rPr>
        <w:t>C</w:t>
      </w:r>
      <w:r w:rsidRPr="0070176A">
        <w:rPr>
          <w:rFonts w:ascii="Book Antiqua" w:eastAsia="Book Antiqua" w:hAnsi="Book Antiqua" w:cs="Book Antiqua"/>
          <w:color w:val="000000" w:themeColor="text1"/>
        </w:rPr>
        <w:t xml:space="preserve">ódigo </w:t>
      </w:r>
      <w:r w:rsidR="00D34A9A" w:rsidRPr="0070176A">
        <w:rPr>
          <w:rFonts w:ascii="Book Antiqua" w:eastAsia="Book Antiqua" w:hAnsi="Book Antiqua" w:cs="Book Antiqua"/>
          <w:color w:val="000000" w:themeColor="text1"/>
        </w:rPr>
        <w:t>P</w:t>
      </w:r>
      <w:r w:rsidRPr="0070176A">
        <w:rPr>
          <w:rFonts w:ascii="Book Antiqua" w:eastAsia="Book Antiqua" w:hAnsi="Book Antiqua" w:cs="Book Antiqua"/>
          <w:color w:val="000000" w:themeColor="text1"/>
        </w:rPr>
        <w:t xml:space="preserve">enal y de la jurisprudencia vigente, que </w:t>
      </w:r>
      <w:r w:rsidR="00D34A9A" w:rsidRPr="0070176A">
        <w:rPr>
          <w:rFonts w:ascii="Book Antiqua" w:eastAsia="Book Antiqua" w:hAnsi="Book Antiqua" w:cs="Book Antiqua"/>
          <w:color w:val="000000" w:themeColor="text1"/>
        </w:rPr>
        <w:t>han sido</w:t>
      </w:r>
      <w:r w:rsidRPr="0070176A">
        <w:rPr>
          <w:rFonts w:ascii="Book Antiqua" w:eastAsia="Book Antiqua" w:hAnsi="Book Antiqua" w:cs="Book Antiqua"/>
          <w:color w:val="000000" w:themeColor="text1"/>
        </w:rPr>
        <w:t xml:space="preserve"> desarrollado</w:t>
      </w:r>
      <w:r w:rsidR="00D34A9A" w:rsidRPr="0070176A">
        <w:rPr>
          <w:rFonts w:ascii="Book Antiqua" w:eastAsia="Book Antiqua" w:hAnsi="Book Antiqua" w:cs="Book Antiqua"/>
          <w:color w:val="000000" w:themeColor="text1"/>
        </w:rPr>
        <w:t>s</w:t>
      </w:r>
      <w:r w:rsidRPr="0070176A">
        <w:rPr>
          <w:rFonts w:ascii="Book Antiqua" w:eastAsia="Book Antiqua" w:hAnsi="Book Antiqua" w:cs="Book Antiqua"/>
          <w:color w:val="000000" w:themeColor="text1"/>
        </w:rPr>
        <w:t xml:space="preserve"> bajo los estándares de derechos humanos de las mujeres</w:t>
      </w:r>
      <w:r w:rsidR="00D34A9A" w:rsidRPr="0070176A">
        <w:rPr>
          <w:rFonts w:ascii="Book Antiqua" w:eastAsia="Book Antiqua" w:hAnsi="Book Antiqua" w:cs="Book Antiqua"/>
          <w:color w:val="000000" w:themeColor="text1"/>
        </w:rPr>
        <w:t xml:space="preserve"> </w:t>
      </w:r>
      <w:r w:rsidRPr="0070176A">
        <w:rPr>
          <w:rFonts w:ascii="Book Antiqua" w:eastAsia="Book Antiqua" w:hAnsi="Book Antiqua" w:cs="Book Antiqua"/>
          <w:color w:val="000000" w:themeColor="text1"/>
        </w:rPr>
        <w:t>en las últimas cuatro décadas en México.</w:t>
      </w:r>
    </w:p>
    <w:p w14:paraId="00000042" w14:textId="1E43A578" w:rsidR="00C73E3F" w:rsidRPr="0070176A" w:rsidRDefault="00000000">
      <w:pPr>
        <w:widowControl w:val="0"/>
        <w:numPr>
          <w:ilvl w:val="0"/>
          <w:numId w:val="19"/>
        </w:numPr>
        <w:pBdr>
          <w:top w:val="nil"/>
          <w:left w:val="nil"/>
          <w:bottom w:val="nil"/>
          <w:right w:val="nil"/>
          <w:between w:val="nil"/>
        </w:pBdr>
        <w:spacing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 xml:space="preserve">Dicha Iniciativa fue dictaminada para pasar a su votación a pleno el pasado mes de marzo de 2025. Actualmente se encuentra en revisión ante la exigencia de expertas, organizaciones civiles, defensoras de derechos humanos y víctimas que han expresado su gran preocupación ante la iniciativa de reforma, por ejemplo, </w:t>
      </w:r>
      <w:r w:rsidR="00D34A9A" w:rsidRPr="0070176A">
        <w:rPr>
          <w:rFonts w:ascii="Book Antiqua" w:eastAsia="Book Antiqua" w:hAnsi="Book Antiqua" w:cs="Book Antiqua"/>
          <w:color w:val="000000" w:themeColor="text1"/>
        </w:rPr>
        <w:t xml:space="preserve">ante </w:t>
      </w:r>
      <w:r w:rsidRPr="0070176A">
        <w:rPr>
          <w:rFonts w:ascii="Book Antiqua" w:eastAsia="Book Antiqua" w:hAnsi="Book Antiqua" w:cs="Book Antiqua"/>
          <w:color w:val="000000" w:themeColor="text1"/>
        </w:rPr>
        <w:t>el riesgo de excarcelación de personas sentenciadas previamente, pues los delitos penales cambian en su totalidad, de fracturar la dogmática penal a partir y específicamente para los delitos sexuales, de pasar la carga de la prueba principalmente a las víctimas, de reducir la libertad de las mujeres a sólo el concepto de consentimiento, entre otros aspectos graves.</w:t>
      </w:r>
    </w:p>
    <w:p w14:paraId="00000043" w14:textId="77777777" w:rsidR="00C73E3F" w:rsidRPr="0070176A" w:rsidRDefault="00000000">
      <w:pPr>
        <w:widowControl w:val="0"/>
        <w:spacing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Recomendaciones al Estado Mexicano</w:t>
      </w:r>
    </w:p>
    <w:p w14:paraId="00000044" w14:textId="77777777" w:rsidR="00C73E3F" w:rsidRPr="0070176A" w:rsidRDefault="00000000">
      <w:pPr>
        <w:numPr>
          <w:ilvl w:val="0"/>
          <w:numId w:val="1"/>
        </w:numPr>
        <w:spacing w:after="0"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Realizar un diagnóstico sobre las condiciones y obstáculos para la operación de las fiscalías de delitos sexuales en todo el país, acorde a los criterios definidos en la Recomendación General  número 33 del Comité de la CEDAW, así como del sistema de indicadores de cumplimiento progresivo de las obligaciones en materia de derecho humanos del Sistema Universal de Derechos Humanos, en particular del derecho de las mujeres a una vida libre de violencia.</w:t>
      </w:r>
    </w:p>
    <w:p w14:paraId="00000045" w14:textId="54995790" w:rsidR="00C73E3F" w:rsidRPr="0070176A" w:rsidRDefault="00000000">
      <w:pPr>
        <w:numPr>
          <w:ilvl w:val="0"/>
          <w:numId w:val="1"/>
        </w:numPr>
        <w:spacing w:after="0"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 xml:space="preserve">Diseñar e implementar con carácter de urgente una política pública de fortalecimiento estructural y de capacidades institucionales en las fiscalías de delitos sexuales, acorde a los estándares del derecho de las mujeres a una vida libre de violencia y para prevenir y erradicar toda forma de </w:t>
      </w:r>
      <w:r w:rsidR="00D34A9A" w:rsidRPr="0070176A">
        <w:rPr>
          <w:rFonts w:ascii="Book Antiqua" w:eastAsia="Book Antiqua" w:hAnsi="Book Antiqua" w:cs="Book Antiqua"/>
          <w:color w:val="000000" w:themeColor="text1"/>
        </w:rPr>
        <w:t>discriminación</w:t>
      </w:r>
      <w:r w:rsidRPr="0070176A">
        <w:rPr>
          <w:rFonts w:ascii="Book Antiqua" w:eastAsia="Book Antiqua" w:hAnsi="Book Antiqua" w:cs="Book Antiqua"/>
          <w:color w:val="000000" w:themeColor="text1"/>
        </w:rPr>
        <w:t xml:space="preserve"> contra las mujeres.</w:t>
      </w:r>
    </w:p>
    <w:p w14:paraId="00000046" w14:textId="2186D0E7" w:rsidR="00C73E3F" w:rsidRPr="0070176A" w:rsidRDefault="00000000">
      <w:pPr>
        <w:numPr>
          <w:ilvl w:val="0"/>
          <w:numId w:val="1"/>
        </w:numPr>
        <w:spacing w:line="240" w:lineRule="auto"/>
        <w:jc w:val="both"/>
        <w:rPr>
          <w:rFonts w:ascii="Book Antiqua" w:eastAsia="Book Antiqua" w:hAnsi="Book Antiqua" w:cs="Book Antiqua"/>
          <w:color w:val="000000" w:themeColor="text1"/>
        </w:rPr>
      </w:pPr>
      <w:r w:rsidRPr="0070176A">
        <w:rPr>
          <w:rFonts w:ascii="Book Antiqua" w:eastAsia="Book Antiqua" w:hAnsi="Book Antiqua" w:cs="Book Antiqua"/>
          <w:color w:val="000000" w:themeColor="text1"/>
        </w:rPr>
        <w:t xml:space="preserve">Realizar un proceso de formación progresivo en sus contenidos y de manera permanente, para el personal de procuración de justicia (investigación, peritos, psicólogas, etcétera) y de administración de justicia (juzgadores, magistraturas, etcétera), con el objetivo de que identifiquen las manifestaciones y resultados de la </w:t>
      </w:r>
      <w:r w:rsidR="00D34A9A" w:rsidRPr="0070176A">
        <w:rPr>
          <w:rFonts w:ascii="Book Antiqua" w:eastAsia="Book Antiqua" w:hAnsi="Book Antiqua" w:cs="Book Antiqua"/>
          <w:color w:val="000000" w:themeColor="text1"/>
        </w:rPr>
        <w:t>discriminación</w:t>
      </w:r>
      <w:r w:rsidRPr="0070176A">
        <w:rPr>
          <w:rFonts w:ascii="Book Antiqua" w:eastAsia="Book Antiqua" w:hAnsi="Book Antiqua" w:cs="Book Antiqua"/>
          <w:color w:val="000000" w:themeColor="text1"/>
        </w:rPr>
        <w:t xml:space="preserve"> contra las mujeres, la violencia contra las mujeres y en particular la violencia sexual.</w:t>
      </w:r>
    </w:p>
    <w:p w14:paraId="00000047" w14:textId="77777777" w:rsidR="00C73E3F" w:rsidRPr="0070176A" w:rsidRDefault="00C73E3F">
      <w:pPr>
        <w:widowControl w:val="0"/>
        <w:pBdr>
          <w:top w:val="nil"/>
          <w:left w:val="nil"/>
          <w:bottom w:val="nil"/>
          <w:right w:val="nil"/>
          <w:between w:val="nil"/>
        </w:pBdr>
        <w:spacing w:line="240" w:lineRule="auto"/>
        <w:ind w:left="360"/>
        <w:jc w:val="both"/>
        <w:rPr>
          <w:rFonts w:ascii="Book Antiqua" w:eastAsia="Book Antiqua" w:hAnsi="Book Antiqua" w:cs="Book Antiqua"/>
          <w:color w:val="000000" w:themeColor="text1"/>
        </w:rPr>
      </w:pPr>
    </w:p>
    <w:p w14:paraId="00000048" w14:textId="77777777" w:rsidR="00C73E3F" w:rsidRDefault="00000000">
      <w:pPr>
        <w:pBdr>
          <w:top w:val="nil"/>
          <w:left w:val="nil"/>
          <w:bottom w:val="nil"/>
          <w:right w:val="nil"/>
          <w:between w:val="nil"/>
        </w:pBdr>
        <w:spacing w:line="240" w:lineRule="auto"/>
        <w:jc w:val="center"/>
        <w:rPr>
          <w:rFonts w:ascii="Book Antiqua" w:eastAsia="Book Antiqua" w:hAnsi="Book Antiqua" w:cs="Book Antiqua"/>
          <w:b/>
          <w:color w:val="000000"/>
        </w:rPr>
      </w:pPr>
      <w:r>
        <w:rPr>
          <w:rFonts w:ascii="Book Antiqua" w:eastAsia="Book Antiqua" w:hAnsi="Book Antiqua" w:cs="Book Antiqua"/>
          <w:b/>
          <w:color w:val="000000"/>
        </w:rPr>
        <w:lastRenderedPageBreak/>
        <w:t>Violencia Política</w:t>
      </w:r>
    </w:p>
    <w:p w14:paraId="00000049"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0000004A" w14:textId="77777777" w:rsidR="00C73E3F" w:rsidRDefault="00000000">
      <w:pPr>
        <w:numPr>
          <w:ilvl w:val="0"/>
          <w:numId w:val="1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En 2019 se reformó la Constitución para asegurar el principio de paridad. Debido al efecto negativo en el incremento de la violencia política (VP), se reformaron nueve leyes generales, incluida la Ley General de Acceso de las Mujeres a una Vida Libre de Violencia (LGAMVLV) que la incorporó como Modalidad</w:t>
      </w:r>
      <w:r>
        <w:rPr>
          <w:rFonts w:ascii="Book Antiqua" w:eastAsia="Book Antiqua" w:hAnsi="Book Antiqua" w:cs="Book Antiqua"/>
          <w:color w:val="000000"/>
          <w:vertAlign w:val="superscript"/>
        </w:rPr>
        <w:footnoteReference w:id="9"/>
      </w:r>
      <w:r>
        <w:rPr>
          <w:rFonts w:ascii="Book Antiqua" w:eastAsia="Book Antiqua" w:hAnsi="Book Antiqua" w:cs="Book Antiqua"/>
          <w:color w:val="000000"/>
        </w:rPr>
        <w:t xml:space="preserve">. </w:t>
      </w:r>
    </w:p>
    <w:p w14:paraId="0000004B" w14:textId="77777777" w:rsidR="00C73E3F" w:rsidRDefault="00000000">
      <w:pPr>
        <w:numPr>
          <w:ilvl w:val="0"/>
          <w:numId w:val="1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Resultado de esta reforma el Instituto Nacional Electoral (INE) diseñó lineamientos, protocolos, guías de denuncia e instancias de atención a la VP y criterios para juzgar con PG</w:t>
      </w:r>
      <w:r>
        <w:rPr>
          <w:rFonts w:ascii="Book Antiqua" w:eastAsia="Book Antiqua" w:hAnsi="Book Antiqua" w:cs="Book Antiqua"/>
          <w:color w:val="000000"/>
          <w:vertAlign w:val="superscript"/>
        </w:rPr>
        <w:footnoteReference w:id="10"/>
      </w:r>
      <w:r>
        <w:rPr>
          <w:rFonts w:ascii="Book Antiqua" w:eastAsia="Book Antiqua" w:hAnsi="Book Antiqua" w:cs="Book Antiqua"/>
          <w:color w:val="000000"/>
        </w:rPr>
        <w:t xml:space="preserve">. </w:t>
      </w:r>
    </w:p>
    <w:p w14:paraId="0000004C" w14:textId="77777777" w:rsidR="00C73E3F" w:rsidRDefault="00000000">
      <w:pPr>
        <w:numPr>
          <w:ilvl w:val="0"/>
          <w:numId w:val="1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La acreditación de la VP ante la autoridad para las víctimas ha resultado problemática dada la dificultad de recabar los elementos de prueba de las agresiones en su contra, además de carecer de asesoría y acompañamiento jurídico especializado en el complejo derecho electoral mexicano, situación que complica el avance en las denuncias y en consecuencia la emisión de sanciones, propiciando que las quejas o denuncias resulten inoperantes o sean desechadas, aunado a que el personal ministerial y judicial no se encuentra debidamente capacitado en esta modalidad de VCM ni en perspectiva de género.</w:t>
      </w:r>
    </w:p>
    <w:p w14:paraId="0000004D" w14:textId="77777777" w:rsidR="00C73E3F" w:rsidRDefault="00000000">
      <w:pPr>
        <w:numPr>
          <w:ilvl w:val="0"/>
          <w:numId w:val="1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El proceso electoral 2020-2021 fue el más violento contra las mujeres</w:t>
      </w:r>
      <w:r>
        <w:rPr>
          <w:rFonts w:ascii="Book Antiqua" w:eastAsia="Book Antiqua" w:hAnsi="Book Antiqua" w:cs="Book Antiqua"/>
          <w:color w:val="000000"/>
          <w:vertAlign w:val="superscript"/>
        </w:rPr>
        <w:footnoteReference w:id="11"/>
      </w:r>
      <w:r>
        <w:rPr>
          <w:rFonts w:ascii="Book Antiqua" w:eastAsia="Book Antiqua" w:hAnsi="Book Antiqua" w:cs="Book Antiqua"/>
          <w:color w:val="000000"/>
        </w:rPr>
        <w:t>.</w:t>
      </w:r>
    </w:p>
    <w:p w14:paraId="0000004E" w14:textId="77777777" w:rsidR="00C73E3F" w:rsidRDefault="00000000">
      <w:pPr>
        <w:numPr>
          <w:ilvl w:val="0"/>
          <w:numId w:val="1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lastRenderedPageBreak/>
        <w:t>Feministas impulsaron y lograron la aprobación de la iniciativa 3 de 3 contra la violencia, hasta convertirla en reforma Constitucional. Busca garantizar que personas condenadas por actos de VP no puedan ser postuladas para ocupar cargos de elección popular, particularmente en casos de violencia familiar, violencia sexual y el incumplimiento de obligaciones alimentarias. Sin embargo, ha encontrado resistencia por parte de partidos políticos</w:t>
      </w:r>
      <w:r>
        <w:rPr>
          <w:rFonts w:ascii="Book Antiqua" w:eastAsia="Book Antiqua" w:hAnsi="Book Antiqua" w:cs="Book Antiqua"/>
          <w:color w:val="000000"/>
          <w:vertAlign w:val="superscript"/>
        </w:rPr>
        <w:footnoteReference w:id="12"/>
      </w:r>
      <w:r>
        <w:rPr>
          <w:rFonts w:ascii="Book Antiqua" w:eastAsia="Book Antiqua" w:hAnsi="Book Antiqua" w:cs="Book Antiqua"/>
          <w:color w:val="000000"/>
        </w:rPr>
        <w:t xml:space="preserve">. </w:t>
      </w:r>
    </w:p>
    <w:p w14:paraId="0000004F" w14:textId="77777777" w:rsidR="00C73E3F" w:rsidRDefault="00000000">
      <w:pPr>
        <w:numPr>
          <w:ilvl w:val="0"/>
          <w:numId w:val="1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Los partidos políticos continúan encabezando la lista de perpetradores de VP al incumplir con su responsabilidad de ajustarse a las reglas de paridad interna y de diseño y aplicación de protocolos y mecanismos de prevención, atención y erradicación de la VP ni en sus documentos básicos, ni en la práctica al interior de sus estructuras</w:t>
      </w:r>
      <w:r>
        <w:rPr>
          <w:rFonts w:ascii="Book Antiqua" w:eastAsia="Book Antiqua" w:hAnsi="Book Antiqua" w:cs="Book Antiqua"/>
          <w:color w:val="000000"/>
          <w:vertAlign w:val="superscript"/>
        </w:rPr>
        <w:footnoteReference w:id="13"/>
      </w:r>
      <w:r>
        <w:rPr>
          <w:rFonts w:ascii="Book Antiqua" w:eastAsia="Book Antiqua" w:hAnsi="Book Antiqua" w:cs="Book Antiqua"/>
          <w:color w:val="000000"/>
        </w:rPr>
        <w:t xml:space="preserve">. </w:t>
      </w:r>
    </w:p>
    <w:p w14:paraId="00000050"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Recomendaciones al Estado Mexicano</w:t>
      </w:r>
    </w:p>
    <w:p w14:paraId="00000051" w14:textId="77777777" w:rsidR="00C73E3F" w:rsidRDefault="00000000">
      <w:pPr>
        <w:numPr>
          <w:ilvl w:val="0"/>
          <w:numId w:val="1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Legislar para garantizar la participación paritaria de las mujeres en las presidencias de los órganos internos de gobierno de los congresos a nivel nacional y local. </w:t>
      </w:r>
    </w:p>
    <w:p w14:paraId="00000052" w14:textId="77777777" w:rsidR="00C73E3F" w:rsidRDefault="00000000">
      <w:pPr>
        <w:numPr>
          <w:ilvl w:val="0"/>
          <w:numId w:val="1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Legislar para garantizar el cumplimiento de la iniciativa 3 de 3 contra la VP.</w:t>
      </w:r>
    </w:p>
    <w:p w14:paraId="00000053" w14:textId="77777777" w:rsidR="00C73E3F" w:rsidRDefault="00000000">
      <w:pPr>
        <w:numPr>
          <w:ilvl w:val="0"/>
          <w:numId w:val="1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lastRenderedPageBreak/>
        <w:t>Promover acciones de capacitación en materia de VP a juezas, jueces, personas servidoras públicas, ministerios públicos, peritos, policías ministeriales, funcionariado electoral para garantizar la protección de los derechos políticos y electorales de las mujeres.</w:t>
      </w:r>
    </w:p>
    <w:p w14:paraId="00000054" w14:textId="77777777" w:rsidR="00C73E3F" w:rsidRDefault="00000000">
      <w:pPr>
        <w:numPr>
          <w:ilvl w:val="0"/>
          <w:numId w:val="1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Crear una defensoría pública especializada en derechos políticos y electorales de las mujeres. </w:t>
      </w:r>
    </w:p>
    <w:p w14:paraId="00000055" w14:textId="77777777" w:rsidR="00C73E3F" w:rsidRDefault="00000000">
      <w:pPr>
        <w:numPr>
          <w:ilvl w:val="0"/>
          <w:numId w:val="1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Implementar medidas de autoasignación de género reforzadas, a fin de prevenir fraude a la paridad de género mediante falsas autopercepciones a través de las cuales se pretendan usurpar los espacios políticos ganados para las mujeres. </w:t>
      </w:r>
    </w:p>
    <w:p w14:paraId="00000056" w14:textId="77777777" w:rsidR="00C73E3F" w:rsidRDefault="00000000">
      <w:pPr>
        <w:numPr>
          <w:ilvl w:val="0"/>
          <w:numId w:val="1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Desarrollar bases de datos sobre quejas y denuncias por VP en todas las instituciones de prevención, atención y sanción responsables.</w:t>
      </w:r>
    </w:p>
    <w:p w14:paraId="00000057" w14:textId="77777777" w:rsidR="00C73E3F" w:rsidRDefault="00C73E3F">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10DA7665"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249E6709"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14E7F8D9"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67AA9A5E"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327C3430"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0918F470"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74DDDB0B"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0D04C1A0"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22045723"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7235E846"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7DD140E0"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6747AD4E"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2F8483F9"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4E9A3A6E"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27F3A550"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79BB4141"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251DEEA3"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4C26589D" w14:textId="77777777" w:rsidR="00D34A9A" w:rsidRDefault="00D34A9A">
      <w:pPr>
        <w:pBdr>
          <w:top w:val="nil"/>
          <w:left w:val="nil"/>
          <w:bottom w:val="nil"/>
          <w:right w:val="nil"/>
          <w:between w:val="nil"/>
        </w:pBdr>
        <w:spacing w:line="240" w:lineRule="auto"/>
        <w:ind w:left="360"/>
        <w:jc w:val="both"/>
        <w:rPr>
          <w:rFonts w:ascii="Book Antiqua" w:eastAsia="Book Antiqua" w:hAnsi="Book Antiqua" w:cs="Book Antiqua"/>
          <w:color w:val="000000"/>
        </w:rPr>
      </w:pPr>
    </w:p>
    <w:p w14:paraId="3607A680" w14:textId="77777777" w:rsidR="00D34A9A" w:rsidRDefault="00D34A9A" w:rsidP="00D34A9A">
      <w:pPr>
        <w:pBdr>
          <w:top w:val="nil"/>
          <w:left w:val="nil"/>
          <w:bottom w:val="nil"/>
          <w:right w:val="nil"/>
          <w:between w:val="nil"/>
        </w:pBdr>
        <w:spacing w:line="240" w:lineRule="auto"/>
        <w:jc w:val="both"/>
        <w:rPr>
          <w:rFonts w:ascii="Book Antiqua" w:eastAsia="Book Antiqua" w:hAnsi="Book Antiqua" w:cs="Book Antiqua"/>
          <w:color w:val="000000"/>
        </w:rPr>
      </w:pPr>
    </w:p>
    <w:p w14:paraId="00000058" w14:textId="7BFA6D04" w:rsidR="00C73E3F" w:rsidRDefault="00000000">
      <w:pPr>
        <w:pBdr>
          <w:top w:val="nil"/>
          <w:left w:val="nil"/>
          <w:bottom w:val="nil"/>
          <w:right w:val="nil"/>
          <w:between w:val="nil"/>
        </w:pBdr>
        <w:spacing w:line="240" w:lineRule="auto"/>
        <w:jc w:val="center"/>
        <w:rPr>
          <w:rFonts w:ascii="Book Antiqua" w:eastAsia="Book Antiqua" w:hAnsi="Book Antiqua" w:cs="Book Antiqua"/>
          <w:b/>
          <w:color w:val="000000"/>
        </w:rPr>
      </w:pPr>
      <w:r>
        <w:rPr>
          <w:rFonts w:ascii="Book Antiqua" w:eastAsia="Book Antiqua" w:hAnsi="Book Antiqua" w:cs="Book Antiqua"/>
          <w:b/>
          <w:color w:val="000000"/>
        </w:rPr>
        <w:lastRenderedPageBreak/>
        <w:t>Violencia</w:t>
      </w:r>
      <w:r w:rsidR="00D34A9A">
        <w:rPr>
          <w:rFonts w:ascii="Book Antiqua" w:eastAsia="Book Antiqua" w:hAnsi="Book Antiqua" w:cs="Book Antiqua"/>
          <w:b/>
          <w:color w:val="000000"/>
        </w:rPr>
        <w:t xml:space="preserve"> contra las Mujeres</w:t>
      </w:r>
      <w:r>
        <w:rPr>
          <w:rFonts w:ascii="Book Antiqua" w:eastAsia="Book Antiqua" w:hAnsi="Book Antiqua" w:cs="Book Antiqua"/>
          <w:b/>
          <w:color w:val="000000"/>
        </w:rPr>
        <w:t xml:space="preserve"> en las Instituciones de Educación Superior (IES)</w:t>
      </w:r>
    </w:p>
    <w:p w14:paraId="00000059"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0000005A" w14:textId="77777777" w:rsidR="00C73E3F" w:rsidRDefault="00000000">
      <w:pPr>
        <w:numPr>
          <w:ilvl w:val="0"/>
          <w:numId w:val="4"/>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En las IES persisten condiciones de desventaja para las mujeres -alumnas, académicas, trabajadoras administrativas y sindicalizadas-. Por razones de estatus, las universidades niegan la existencia de violencia contra las mujeres, lo que coloca a las mujeres universitarias en riesgo. </w:t>
      </w:r>
    </w:p>
    <w:p w14:paraId="0000005B" w14:textId="77777777" w:rsidR="00C73E3F" w:rsidRDefault="00000000">
      <w:pPr>
        <w:numPr>
          <w:ilvl w:val="0"/>
          <w:numId w:val="4"/>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Se registra la existencia de varias dificultades que obstaculizan el derecho de las mujeres a una vida libre de violencia en las IES</w:t>
      </w:r>
      <w:r>
        <w:rPr>
          <w:rFonts w:ascii="Book Antiqua" w:eastAsia="Book Antiqua" w:hAnsi="Book Antiqua" w:cs="Book Antiqua"/>
          <w:color w:val="000000"/>
          <w:vertAlign w:val="superscript"/>
        </w:rPr>
        <w:footnoteReference w:id="14"/>
      </w:r>
      <w:r>
        <w:rPr>
          <w:rFonts w:ascii="Book Antiqua" w:eastAsia="Book Antiqua" w:hAnsi="Book Antiqua" w:cs="Book Antiqua"/>
          <w:color w:val="000000"/>
        </w:rPr>
        <w:t>.</w:t>
      </w:r>
    </w:p>
    <w:p w14:paraId="0000005C" w14:textId="77777777" w:rsidR="00C73E3F" w:rsidRDefault="00C73E3F">
      <w:pPr>
        <w:pBdr>
          <w:top w:val="nil"/>
          <w:left w:val="nil"/>
          <w:bottom w:val="nil"/>
          <w:right w:val="nil"/>
          <w:between w:val="nil"/>
        </w:pBdr>
        <w:spacing w:line="240" w:lineRule="auto"/>
        <w:jc w:val="both"/>
        <w:rPr>
          <w:rFonts w:ascii="Book Antiqua" w:eastAsia="Book Antiqua" w:hAnsi="Book Antiqua" w:cs="Book Antiqua"/>
          <w:color w:val="000000"/>
        </w:rPr>
      </w:pPr>
    </w:p>
    <w:p w14:paraId="0000005D"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Recomendaciones al Estado Mexicano</w:t>
      </w:r>
    </w:p>
    <w:p w14:paraId="0000005E" w14:textId="77777777" w:rsidR="00C73E3F" w:rsidRDefault="00000000">
      <w:pPr>
        <w:numPr>
          <w:ilvl w:val="0"/>
          <w:numId w:val="5"/>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Que las IES armonicen sus marcos normativos con los instrumentos internacionales de derechos humanos de las mujeres. Estas reformas deben explicitar los principios de igualdad y no discriminación por razones de sexo y el principio </w:t>
      </w:r>
      <w:proofErr w:type="spellStart"/>
      <w:proofErr w:type="gramStart"/>
      <w:r>
        <w:rPr>
          <w:rFonts w:ascii="Book Antiqua" w:eastAsia="Book Antiqua" w:hAnsi="Book Antiqua" w:cs="Book Antiqua"/>
          <w:color w:val="000000"/>
        </w:rPr>
        <w:t>pro</w:t>
      </w:r>
      <w:proofErr w:type="spellEnd"/>
      <w:r>
        <w:rPr>
          <w:rFonts w:ascii="Book Antiqua" w:eastAsia="Book Antiqua" w:hAnsi="Book Antiqua" w:cs="Book Antiqua"/>
          <w:color w:val="000000"/>
        </w:rPr>
        <w:t xml:space="preserve"> persona</w:t>
      </w:r>
      <w:proofErr w:type="gramEnd"/>
      <w:r>
        <w:rPr>
          <w:rFonts w:ascii="Book Antiqua" w:eastAsia="Book Antiqua" w:hAnsi="Book Antiqua" w:cs="Book Antiqua"/>
          <w:color w:val="000000"/>
        </w:rPr>
        <w:t>.</w:t>
      </w:r>
    </w:p>
    <w:p w14:paraId="0000005F" w14:textId="77777777" w:rsidR="00C73E3F" w:rsidRDefault="00000000">
      <w:pPr>
        <w:numPr>
          <w:ilvl w:val="0"/>
          <w:numId w:val="5"/>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Las reformas deben establecer sus competencias para prevenir, investigar, atender, sancionar, reparar y erradicar todas las formas de discriminación y violencia contra las mujeres.</w:t>
      </w:r>
    </w:p>
    <w:p w14:paraId="00000060" w14:textId="77777777" w:rsidR="00C73E3F" w:rsidRDefault="00000000">
      <w:pPr>
        <w:numPr>
          <w:ilvl w:val="0"/>
          <w:numId w:val="5"/>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Las IES deben generar los estatutos, reglamentos, lineamientos, códigos, protocolos entre otros instrumentos que sean necesarios para promover, respetar, proteger y garantizar los derechos humanos de las mujeres, así como para prevenir, investigar, atender, sancionar, reparar y erradicar todas las formas de discriminación y violencia contra las mujeres, en la esfera educativa.</w:t>
      </w:r>
    </w:p>
    <w:p w14:paraId="00000061" w14:textId="77777777" w:rsidR="00C73E3F" w:rsidRDefault="00C73E3F">
      <w:pPr>
        <w:pBdr>
          <w:top w:val="nil"/>
          <w:left w:val="nil"/>
          <w:bottom w:val="nil"/>
          <w:right w:val="nil"/>
          <w:between w:val="nil"/>
        </w:pBdr>
        <w:spacing w:line="240" w:lineRule="auto"/>
        <w:jc w:val="both"/>
        <w:rPr>
          <w:rFonts w:ascii="Book Antiqua" w:eastAsia="Book Antiqua" w:hAnsi="Book Antiqua" w:cs="Book Antiqua"/>
          <w:color w:val="000000"/>
        </w:rPr>
      </w:pPr>
    </w:p>
    <w:p w14:paraId="00000062" w14:textId="77777777" w:rsidR="00C73E3F" w:rsidRDefault="00000000">
      <w:pPr>
        <w:pBdr>
          <w:top w:val="nil"/>
          <w:left w:val="nil"/>
          <w:bottom w:val="nil"/>
          <w:right w:val="nil"/>
          <w:between w:val="nil"/>
        </w:pBdr>
        <w:spacing w:line="240" w:lineRule="auto"/>
        <w:jc w:val="center"/>
        <w:rPr>
          <w:rFonts w:ascii="Book Antiqua" w:eastAsia="Book Antiqua" w:hAnsi="Book Antiqua" w:cs="Book Antiqua"/>
          <w:b/>
          <w:color w:val="000000"/>
        </w:rPr>
      </w:pPr>
      <w:r>
        <w:rPr>
          <w:rFonts w:ascii="Book Antiqua" w:eastAsia="Book Antiqua" w:hAnsi="Book Antiqua" w:cs="Book Antiqua"/>
          <w:b/>
          <w:color w:val="000000"/>
        </w:rPr>
        <w:t>Mujeres privadas de la libertad</w:t>
      </w:r>
    </w:p>
    <w:p w14:paraId="00000063"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00000064"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En los últimos 6 años, los centros de reclusión exclusivos para mujeres aumentaron, además fue implementada mayor infraestructura en algunos de ellos y se impulsó su visibilidad desde un enfoque de derechos humanos</w:t>
      </w:r>
      <w:r>
        <w:rPr>
          <w:rFonts w:ascii="Book Antiqua" w:eastAsia="Book Antiqua" w:hAnsi="Book Antiqua" w:cs="Book Antiqua"/>
          <w:color w:val="000000"/>
          <w:vertAlign w:val="superscript"/>
        </w:rPr>
        <w:footnoteReference w:id="15"/>
      </w:r>
      <w:r>
        <w:rPr>
          <w:rFonts w:ascii="Book Antiqua" w:eastAsia="Book Antiqua" w:hAnsi="Book Antiqua" w:cs="Book Antiqua"/>
          <w:color w:val="000000"/>
        </w:rPr>
        <w:t xml:space="preserve">. </w:t>
      </w:r>
    </w:p>
    <w:p w14:paraId="00000065"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Si bien el Estado Mexicano observa un avance importante en la separación entre hombres y mujeres con la implementación de infraestructura penitenciaria en varias entidades, aún persisten estados en donde no hay centros exclusivos para las mujeres, siendo que estas deben permanecer en lugares que garanticen el pleno acceso en igualdad de derechos a los servicios, bienes y satisfactores necesarios para el ejercicio de sus derechos sexuales y reproductivos.</w:t>
      </w:r>
    </w:p>
    <w:p w14:paraId="00000066"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Los centros penitenciarios ubicados en las zonas rurales, especialmente los centros distritales o municipales en municipios indígenas, no garantizan las condiciones de estancia digna, con pertinencia cultural y garantizando el acceso a los 5 ejes de reinserción social  al no brindar instalaciones para la capacitación y el empleo, no existir industria penitenciaria y no facilitar la salida y venta de los productos que las mujeres elaboran, llegando a existir condiciones de trabajo servil sin remuneración justa y adecuada.</w:t>
      </w:r>
    </w:p>
    <w:p w14:paraId="00000067"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Persiste un alto número de mujeres en centros de detención, privadas de libertad bajo la figura de procesadas, sin que tengan acceso a una sentencia justa, adecuada y con perspectiva de género.</w:t>
      </w:r>
    </w:p>
    <w:p w14:paraId="00000068"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Además de que no se garantiza el acceso en igualdad de condiciones a los mecanismos de procedimientos abreviados, alternativos a la prisión y en particular no se atienden a los principios que la propia Ley Nacional de Ejecución Penal y las Reglas de Bangkok establecen respecto a la obligación del Estado Mexicano de atender aspectos como son la gravedad y el tipo del delito, si es o no reincidente, y las condiciones de la mujer u hombre en relación con estar embarazadas, tener hijos en edad lactantes, neonato, o con alguna condición de discapacidad, que le permita llevar el proceso bajo prisión domiciliaria. </w:t>
      </w:r>
    </w:p>
    <w:p w14:paraId="00000069"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Pese a existir un marco de referencia para la aplicación de estándares de protección a los derechos humanos de las mujeres en conflicto con la ley, en México aún no se dispone de un mecanismo de defensa y protección de sus derechos en forma adecuada, con perspectiva de género y esto se ve también afectado por la aplicación de una justicia que las prejuzga e impone un doble castigo, a la falta “moral” y al delito cometido y que se </w:t>
      </w:r>
      <w:r>
        <w:rPr>
          <w:rFonts w:ascii="Book Antiqua" w:eastAsia="Book Antiqua" w:hAnsi="Book Antiqua" w:cs="Book Antiqua"/>
          <w:color w:val="000000"/>
        </w:rPr>
        <w:lastRenderedPageBreak/>
        <w:t xml:space="preserve">refleja en penas más severas contra las mujeres, particularmente cuando estos se relacionan con obligaciones que la sociedad ha destinado a las mujeres.  </w:t>
      </w:r>
    </w:p>
    <w:p w14:paraId="0000006A" w14:textId="77777777" w:rsidR="00C73E3F" w:rsidRDefault="00000000">
      <w:pPr>
        <w:numPr>
          <w:ilvl w:val="0"/>
          <w:numId w:val="6"/>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Continúa prevaleciendo el abandono familiar de las mujeres y en casos en los que se mantiene el vínculo familiar, ellas siguen siendo proveedoras de satisfactores para sus hijas e hijos, pese a la falta de trabajos remunerados.</w:t>
      </w:r>
    </w:p>
    <w:p w14:paraId="0000006B"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Recomendaciones al Estado Mexicano</w:t>
      </w:r>
    </w:p>
    <w:p w14:paraId="0000006C" w14:textId="77777777" w:rsidR="00C73E3F" w:rsidRDefault="00000000">
      <w:pPr>
        <w:numPr>
          <w:ilvl w:val="0"/>
          <w:numId w:val="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Promover la aplicación de los mecanismos alternativos de justicia a través de una política judicial en los juzgados del Poder Judicial en las entidades federativas y el Poder Judicial de la Federación, especialmente en las localidades y entidades en donde aún prevalecen sesgos de tipo sociocultural con respecto a las expectativas de obediencia y sumisión de las mujeres.</w:t>
      </w:r>
    </w:p>
    <w:p w14:paraId="0000006D" w14:textId="77777777" w:rsidR="00C73E3F" w:rsidRDefault="00000000">
      <w:pPr>
        <w:numPr>
          <w:ilvl w:val="0"/>
          <w:numId w:val="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Realizar un diagnóstico y posteriormente un censo sobre aquellos casos que destacan porque son mujeres que han compurgado el 50 </w:t>
      </w:r>
      <w:proofErr w:type="spellStart"/>
      <w:r>
        <w:rPr>
          <w:rFonts w:ascii="Book Antiqua" w:eastAsia="Book Antiqua" w:hAnsi="Book Antiqua" w:cs="Book Antiqua"/>
          <w:color w:val="000000"/>
        </w:rPr>
        <w:t>ó</w:t>
      </w:r>
      <w:proofErr w:type="spellEnd"/>
      <w:r>
        <w:rPr>
          <w:rFonts w:ascii="Book Antiqua" w:eastAsia="Book Antiqua" w:hAnsi="Book Antiqua" w:cs="Book Antiqua"/>
          <w:color w:val="000000"/>
        </w:rPr>
        <w:t xml:space="preserve"> 70% de sus sentencias y que aún no son beneficiadas, especialmente las que fueron sentenciadas por delitos de homicidio en grado de parentesco, infanticidios, aborto, o que fueron cometidos a instancias de la pareja y que no fueron juzgadas con perspectiva de género, sin un traductor en caso de ser indígenas o que fueran identificadas como lesbianas.</w:t>
      </w:r>
    </w:p>
    <w:p w14:paraId="0000006E" w14:textId="77777777" w:rsidR="00C73E3F" w:rsidRDefault="00000000">
      <w:pPr>
        <w:numPr>
          <w:ilvl w:val="0"/>
          <w:numId w:val="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Desarrollar un mecanismo de acceso a la justicia para los casos identificados brindándoles los beneficios de ser externadas mediante el seguimiento en libertad de los jueces de ejecución para el pago de las reparaciones establecidas en </w:t>
      </w:r>
      <w:proofErr w:type="gramStart"/>
      <w:r>
        <w:rPr>
          <w:rFonts w:ascii="Book Antiqua" w:eastAsia="Book Antiqua" w:hAnsi="Book Antiqua" w:cs="Book Antiqua"/>
          <w:color w:val="000000"/>
        </w:rPr>
        <w:t>la sentencias</w:t>
      </w:r>
      <w:proofErr w:type="gramEnd"/>
      <w:r>
        <w:rPr>
          <w:rFonts w:ascii="Book Antiqua" w:eastAsia="Book Antiqua" w:hAnsi="Book Antiqua" w:cs="Book Antiqua"/>
          <w:color w:val="000000"/>
        </w:rPr>
        <w:t>, a fin de que esta no sea una razón para mantenerlas en prisión.</w:t>
      </w:r>
    </w:p>
    <w:p w14:paraId="0000006F" w14:textId="77777777" w:rsidR="00C73E3F" w:rsidRDefault="00000000">
      <w:pPr>
        <w:numPr>
          <w:ilvl w:val="0"/>
          <w:numId w:val="7"/>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Que los centros penitenciarios involucren </w:t>
      </w:r>
      <w:r>
        <w:rPr>
          <w:rFonts w:ascii="Book Antiqua" w:eastAsia="Book Antiqua" w:hAnsi="Book Antiqua" w:cs="Book Antiqua"/>
        </w:rPr>
        <w:t>a grupos</w:t>
      </w:r>
      <w:r>
        <w:rPr>
          <w:rFonts w:ascii="Book Antiqua" w:eastAsia="Book Antiqua" w:hAnsi="Book Antiqua" w:cs="Book Antiqua"/>
          <w:color w:val="000000"/>
        </w:rPr>
        <w:t xml:space="preserve"> de mujeres de la sociedad civil en las entidades federativas a fin de acercar y facilitar información sobre sus derechos sexuales y reproductivos a las mujeres privadas de libertad.</w:t>
      </w:r>
    </w:p>
    <w:p w14:paraId="00000070" w14:textId="77777777" w:rsidR="00C73E3F" w:rsidRDefault="00C73E3F">
      <w:pPr>
        <w:pBdr>
          <w:top w:val="nil"/>
          <w:left w:val="nil"/>
          <w:bottom w:val="nil"/>
          <w:right w:val="nil"/>
          <w:between w:val="nil"/>
        </w:pBdr>
        <w:spacing w:line="240" w:lineRule="auto"/>
        <w:jc w:val="center"/>
        <w:rPr>
          <w:rFonts w:ascii="Book Antiqua" w:eastAsia="Book Antiqua" w:hAnsi="Book Antiqua" w:cs="Book Antiqua"/>
          <w:b/>
          <w:color w:val="000000"/>
        </w:rPr>
      </w:pPr>
    </w:p>
    <w:p w14:paraId="014124A5"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7412E942"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48203B33"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6DDBE3CB"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5DF919EC"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7B788DF5"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0283CDA1"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27552CF4"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661C7188" w14:textId="77777777" w:rsidR="00D34A9A" w:rsidRDefault="00D34A9A">
      <w:pPr>
        <w:pBdr>
          <w:top w:val="nil"/>
          <w:left w:val="nil"/>
          <w:bottom w:val="nil"/>
          <w:right w:val="nil"/>
          <w:between w:val="nil"/>
        </w:pBdr>
        <w:spacing w:line="240" w:lineRule="auto"/>
        <w:jc w:val="center"/>
        <w:rPr>
          <w:rFonts w:ascii="Book Antiqua" w:eastAsia="Book Antiqua" w:hAnsi="Book Antiqua" w:cs="Book Antiqua"/>
          <w:b/>
          <w:color w:val="000000"/>
        </w:rPr>
      </w:pPr>
    </w:p>
    <w:p w14:paraId="69521252" w14:textId="77777777" w:rsidR="00D34A9A" w:rsidRDefault="00D34A9A" w:rsidP="00D34A9A">
      <w:pPr>
        <w:pBdr>
          <w:top w:val="nil"/>
          <w:left w:val="nil"/>
          <w:bottom w:val="nil"/>
          <w:right w:val="nil"/>
          <w:between w:val="nil"/>
        </w:pBdr>
        <w:spacing w:line="240" w:lineRule="auto"/>
        <w:rPr>
          <w:rFonts w:ascii="Book Antiqua" w:eastAsia="Book Antiqua" w:hAnsi="Book Antiqua" w:cs="Book Antiqua"/>
          <w:b/>
          <w:color w:val="000000"/>
        </w:rPr>
      </w:pPr>
    </w:p>
    <w:p w14:paraId="00000071" w14:textId="77777777" w:rsidR="00C73E3F" w:rsidRDefault="00000000">
      <w:pPr>
        <w:pBdr>
          <w:top w:val="nil"/>
          <w:left w:val="nil"/>
          <w:bottom w:val="nil"/>
          <w:right w:val="nil"/>
          <w:between w:val="nil"/>
        </w:pBdr>
        <w:spacing w:line="240" w:lineRule="auto"/>
        <w:jc w:val="center"/>
        <w:rPr>
          <w:rFonts w:ascii="Book Antiqua" w:eastAsia="Book Antiqua" w:hAnsi="Book Antiqua" w:cs="Book Antiqua"/>
          <w:b/>
          <w:color w:val="000000"/>
        </w:rPr>
      </w:pPr>
      <w:r>
        <w:rPr>
          <w:rFonts w:ascii="Book Antiqua" w:eastAsia="Book Antiqua" w:hAnsi="Book Antiqua" w:cs="Book Antiqua"/>
          <w:b/>
          <w:color w:val="000000"/>
        </w:rPr>
        <w:lastRenderedPageBreak/>
        <w:t>Matrimonio infantil</w:t>
      </w:r>
    </w:p>
    <w:p w14:paraId="00000072"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00000073" w14:textId="77777777" w:rsidR="00C73E3F" w:rsidRDefault="00000000">
      <w:pPr>
        <w:numPr>
          <w:ilvl w:val="0"/>
          <w:numId w:val="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El matrimonio infantil está prohibido en la ley y en los códigos civiles y penales en México, desde 2014</w:t>
      </w:r>
      <w:r>
        <w:rPr>
          <w:rFonts w:ascii="Book Antiqua" w:eastAsia="Book Antiqua" w:hAnsi="Book Antiqua" w:cs="Book Antiqua"/>
          <w:color w:val="000000"/>
          <w:vertAlign w:val="superscript"/>
        </w:rPr>
        <w:footnoteReference w:id="16"/>
      </w:r>
      <w:r>
        <w:rPr>
          <w:rFonts w:ascii="Book Antiqua" w:eastAsia="Book Antiqua" w:hAnsi="Book Antiqua" w:cs="Book Antiqua"/>
          <w:color w:val="000000"/>
        </w:rPr>
        <w:t xml:space="preserve">. </w:t>
      </w:r>
    </w:p>
    <w:p w14:paraId="00000074" w14:textId="77777777" w:rsidR="00C73E3F" w:rsidRDefault="00000000">
      <w:pPr>
        <w:numPr>
          <w:ilvl w:val="0"/>
          <w:numId w:val="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Las autoridades no han adoptado medidas para eliminar los usos, costumbres y prácticas culturales que favorecen el matrimonio infantil en México, particularmente en territorios donde rigen sistemas normativos de usos y costumbres de pueblos indígenas y afrodescendientes. </w:t>
      </w:r>
    </w:p>
    <w:p w14:paraId="00000075" w14:textId="77777777" w:rsidR="00C73E3F" w:rsidRDefault="00000000">
      <w:pPr>
        <w:numPr>
          <w:ilvl w:val="0"/>
          <w:numId w:val="8"/>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Hay una falta de políticas coordinadas entre las autoridades de los tres órdenes de gobierno para prevenir y erradicar el matrimonio infantil y prevenir el embarazo en adolescentes. </w:t>
      </w:r>
    </w:p>
    <w:p w14:paraId="00000076" w14:textId="77777777" w:rsidR="00C73E3F" w:rsidRDefault="00000000">
      <w:pPr>
        <w:spacing w:line="240" w:lineRule="auto"/>
        <w:jc w:val="both"/>
        <w:rPr>
          <w:rFonts w:ascii="Book Antiqua" w:eastAsia="Book Antiqua" w:hAnsi="Book Antiqua" w:cs="Book Antiqua"/>
        </w:rPr>
      </w:pPr>
      <w:r>
        <w:rPr>
          <w:rFonts w:ascii="Book Antiqua" w:eastAsia="Book Antiqua" w:hAnsi="Book Antiqua" w:cs="Book Antiqua"/>
        </w:rPr>
        <w:t>Recomendaciones al Estado Mexicano</w:t>
      </w:r>
    </w:p>
    <w:p w14:paraId="00000077" w14:textId="77777777" w:rsidR="00C73E3F" w:rsidRDefault="00000000">
      <w:pPr>
        <w:numPr>
          <w:ilvl w:val="0"/>
          <w:numId w:val="9"/>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Adoptar medidas para la eliminación y erradicación del matrimonio infantil, inscritas en el principio del Interés Superior de la Niñez.</w:t>
      </w:r>
    </w:p>
    <w:p w14:paraId="00000078" w14:textId="77777777" w:rsidR="00C73E3F" w:rsidRDefault="00000000">
      <w:pPr>
        <w:numPr>
          <w:ilvl w:val="0"/>
          <w:numId w:val="9"/>
        </w:num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Las autoridades locales deben adoptar medidas para garantizar una vida libre de violencia de niñas y adolescentes, incluidas las relacionadas con la erradicación del matrimonio infantil.</w:t>
      </w:r>
    </w:p>
    <w:p w14:paraId="00000079" w14:textId="77777777" w:rsidR="00C73E3F" w:rsidRDefault="00C73E3F">
      <w:pPr>
        <w:spacing w:after="0" w:line="240" w:lineRule="auto"/>
        <w:jc w:val="both"/>
        <w:rPr>
          <w:rFonts w:ascii="Book Antiqua" w:eastAsia="Book Antiqua" w:hAnsi="Book Antiqua" w:cs="Book Antiqua"/>
        </w:rPr>
      </w:pPr>
    </w:p>
    <w:p w14:paraId="10E9A260" w14:textId="77777777" w:rsidR="00D34A9A" w:rsidRDefault="00D34A9A">
      <w:pPr>
        <w:spacing w:after="0" w:line="240" w:lineRule="auto"/>
        <w:jc w:val="both"/>
        <w:rPr>
          <w:rFonts w:ascii="Book Antiqua" w:eastAsia="Book Antiqua" w:hAnsi="Book Antiqua" w:cs="Book Antiqua"/>
        </w:rPr>
      </w:pPr>
    </w:p>
    <w:p w14:paraId="1B2B5F46" w14:textId="77777777" w:rsidR="00D34A9A" w:rsidRDefault="00D34A9A">
      <w:pPr>
        <w:spacing w:after="0" w:line="240" w:lineRule="auto"/>
        <w:jc w:val="both"/>
        <w:rPr>
          <w:rFonts w:ascii="Book Antiqua" w:eastAsia="Book Antiqua" w:hAnsi="Book Antiqua" w:cs="Book Antiqua"/>
        </w:rPr>
      </w:pPr>
    </w:p>
    <w:p w14:paraId="2330EBD0" w14:textId="77777777" w:rsidR="00D34A9A" w:rsidRDefault="00D34A9A">
      <w:pPr>
        <w:spacing w:after="0" w:line="240" w:lineRule="auto"/>
        <w:jc w:val="both"/>
        <w:rPr>
          <w:rFonts w:ascii="Book Antiqua" w:eastAsia="Book Antiqua" w:hAnsi="Book Antiqua" w:cs="Book Antiqua"/>
        </w:rPr>
      </w:pPr>
    </w:p>
    <w:p w14:paraId="11F70C30" w14:textId="77777777" w:rsidR="00D34A9A" w:rsidRDefault="00D34A9A">
      <w:pPr>
        <w:spacing w:after="0" w:line="240" w:lineRule="auto"/>
        <w:jc w:val="both"/>
        <w:rPr>
          <w:rFonts w:ascii="Book Antiqua" w:eastAsia="Book Antiqua" w:hAnsi="Book Antiqua" w:cs="Book Antiqua"/>
        </w:rPr>
      </w:pPr>
    </w:p>
    <w:p w14:paraId="56A6333B" w14:textId="77777777" w:rsidR="00D34A9A" w:rsidRDefault="00D34A9A">
      <w:pPr>
        <w:spacing w:after="0" w:line="240" w:lineRule="auto"/>
        <w:jc w:val="both"/>
        <w:rPr>
          <w:rFonts w:ascii="Book Antiqua" w:eastAsia="Book Antiqua" w:hAnsi="Book Antiqua" w:cs="Book Antiqua"/>
        </w:rPr>
      </w:pPr>
    </w:p>
    <w:p w14:paraId="77A23637" w14:textId="77777777" w:rsidR="00D34A9A" w:rsidRDefault="00D34A9A">
      <w:pPr>
        <w:spacing w:after="0" w:line="240" w:lineRule="auto"/>
        <w:jc w:val="both"/>
        <w:rPr>
          <w:rFonts w:ascii="Book Antiqua" w:eastAsia="Book Antiqua" w:hAnsi="Book Antiqua" w:cs="Book Antiqua"/>
        </w:rPr>
      </w:pPr>
    </w:p>
    <w:p w14:paraId="0FAD71B1" w14:textId="77777777" w:rsidR="00D34A9A" w:rsidRDefault="00D34A9A">
      <w:pPr>
        <w:spacing w:after="0" w:line="240" w:lineRule="auto"/>
        <w:jc w:val="both"/>
        <w:rPr>
          <w:rFonts w:ascii="Book Antiqua" w:eastAsia="Book Antiqua" w:hAnsi="Book Antiqua" w:cs="Book Antiqua"/>
        </w:rPr>
      </w:pPr>
    </w:p>
    <w:p w14:paraId="7624AA55" w14:textId="77777777" w:rsidR="00D34A9A" w:rsidRDefault="00D34A9A">
      <w:pPr>
        <w:spacing w:after="0" w:line="240" w:lineRule="auto"/>
        <w:jc w:val="both"/>
        <w:rPr>
          <w:rFonts w:ascii="Book Antiqua" w:eastAsia="Book Antiqua" w:hAnsi="Book Antiqua" w:cs="Book Antiqua"/>
        </w:rPr>
      </w:pPr>
    </w:p>
    <w:p w14:paraId="6DC09173" w14:textId="77777777" w:rsidR="00D34A9A" w:rsidRDefault="00D34A9A">
      <w:pPr>
        <w:spacing w:after="0" w:line="240" w:lineRule="auto"/>
        <w:jc w:val="both"/>
        <w:rPr>
          <w:rFonts w:ascii="Book Antiqua" w:eastAsia="Book Antiqua" w:hAnsi="Book Antiqua" w:cs="Book Antiqua"/>
        </w:rPr>
      </w:pPr>
    </w:p>
    <w:p w14:paraId="73B0EAA8" w14:textId="77777777" w:rsidR="00D34A9A" w:rsidRDefault="00D34A9A">
      <w:pPr>
        <w:spacing w:after="0" w:line="240" w:lineRule="auto"/>
        <w:jc w:val="both"/>
        <w:rPr>
          <w:rFonts w:ascii="Book Antiqua" w:eastAsia="Book Antiqua" w:hAnsi="Book Antiqua" w:cs="Book Antiqua"/>
        </w:rPr>
      </w:pPr>
    </w:p>
    <w:p w14:paraId="2C17F970" w14:textId="77777777" w:rsidR="00D34A9A" w:rsidRDefault="00D34A9A">
      <w:pPr>
        <w:spacing w:after="0" w:line="240" w:lineRule="auto"/>
        <w:jc w:val="both"/>
        <w:rPr>
          <w:rFonts w:ascii="Book Antiqua" w:eastAsia="Book Antiqua" w:hAnsi="Book Antiqua" w:cs="Book Antiqua"/>
        </w:rPr>
      </w:pPr>
    </w:p>
    <w:p w14:paraId="720319F2" w14:textId="77777777" w:rsidR="00D34A9A" w:rsidRDefault="00D34A9A">
      <w:pPr>
        <w:spacing w:after="0" w:line="240" w:lineRule="auto"/>
        <w:jc w:val="both"/>
        <w:rPr>
          <w:rFonts w:ascii="Book Antiqua" w:eastAsia="Book Antiqua" w:hAnsi="Book Antiqua" w:cs="Book Antiqua"/>
        </w:rPr>
      </w:pPr>
    </w:p>
    <w:p w14:paraId="41B8FCA6" w14:textId="77777777" w:rsidR="00D34A9A" w:rsidRDefault="00D34A9A">
      <w:pPr>
        <w:spacing w:after="0" w:line="240" w:lineRule="auto"/>
        <w:jc w:val="both"/>
        <w:rPr>
          <w:rFonts w:ascii="Book Antiqua" w:eastAsia="Book Antiqua" w:hAnsi="Book Antiqua" w:cs="Book Antiqua"/>
        </w:rPr>
      </w:pPr>
    </w:p>
    <w:p w14:paraId="3F3FE70C" w14:textId="77777777" w:rsidR="00D34A9A" w:rsidRDefault="00D34A9A">
      <w:pPr>
        <w:spacing w:after="0" w:line="240" w:lineRule="auto"/>
        <w:jc w:val="both"/>
        <w:rPr>
          <w:rFonts w:ascii="Book Antiqua" w:eastAsia="Book Antiqua" w:hAnsi="Book Antiqua" w:cs="Book Antiqua"/>
        </w:rPr>
      </w:pPr>
    </w:p>
    <w:p w14:paraId="7982F7DC" w14:textId="77777777" w:rsidR="00D34A9A" w:rsidRDefault="00D34A9A">
      <w:pPr>
        <w:spacing w:after="0" w:line="240" w:lineRule="auto"/>
        <w:jc w:val="both"/>
        <w:rPr>
          <w:rFonts w:ascii="Book Antiqua" w:eastAsia="Book Antiqua" w:hAnsi="Book Antiqua" w:cs="Book Antiqua"/>
        </w:rPr>
      </w:pPr>
    </w:p>
    <w:p w14:paraId="0000007A" w14:textId="77777777" w:rsidR="00C73E3F" w:rsidRPr="00D34A9A" w:rsidRDefault="00000000">
      <w:pPr>
        <w:spacing w:after="0" w:line="240" w:lineRule="auto"/>
        <w:jc w:val="center"/>
        <w:rPr>
          <w:rFonts w:ascii="Book Antiqua" w:eastAsia="Book Antiqua" w:hAnsi="Book Antiqua" w:cs="Book Antiqua"/>
          <w:b/>
          <w:color w:val="000000" w:themeColor="text1"/>
        </w:rPr>
      </w:pPr>
      <w:r w:rsidRPr="00D34A9A">
        <w:rPr>
          <w:rFonts w:ascii="Book Antiqua" w:eastAsia="Book Antiqua" w:hAnsi="Book Antiqua" w:cs="Book Antiqua"/>
          <w:b/>
          <w:color w:val="000000" w:themeColor="text1"/>
        </w:rPr>
        <w:lastRenderedPageBreak/>
        <w:t>Violencia feminicida contra niñas y adolescentes</w:t>
      </w:r>
    </w:p>
    <w:p w14:paraId="0000007B" w14:textId="77777777" w:rsidR="00C73E3F" w:rsidRPr="00D34A9A" w:rsidRDefault="00C73E3F">
      <w:pPr>
        <w:spacing w:after="0" w:line="240" w:lineRule="auto"/>
        <w:jc w:val="both"/>
        <w:rPr>
          <w:rFonts w:ascii="Book Antiqua" w:eastAsia="Book Antiqua" w:hAnsi="Book Antiqua" w:cs="Book Antiqua"/>
          <w:color w:val="000000" w:themeColor="text1"/>
        </w:rPr>
      </w:pPr>
    </w:p>
    <w:p w14:paraId="0000007C" w14:textId="77777777" w:rsidR="00C73E3F" w:rsidRPr="00D34A9A" w:rsidRDefault="00000000">
      <w:pP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Informe</w:t>
      </w:r>
    </w:p>
    <w:p w14:paraId="0000007D" w14:textId="18AF0E46" w:rsidR="00C73E3F" w:rsidRPr="00D34A9A" w:rsidRDefault="00000000">
      <w:pPr>
        <w:numPr>
          <w:ilvl w:val="0"/>
          <w:numId w:val="10"/>
        </w:numP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Los últimos datos en México</w:t>
      </w:r>
      <w:r w:rsidRPr="00D34A9A">
        <w:rPr>
          <w:rFonts w:ascii="Book Antiqua" w:eastAsia="Book Antiqua" w:hAnsi="Book Antiqua" w:cs="Book Antiqua"/>
          <w:color w:val="000000" w:themeColor="text1"/>
          <w:vertAlign w:val="superscript"/>
        </w:rPr>
        <w:footnoteReference w:id="17"/>
      </w:r>
      <w:r w:rsidRPr="00D34A9A">
        <w:rPr>
          <w:rFonts w:ascii="Book Antiqua" w:eastAsia="Book Antiqua" w:hAnsi="Book Antiqua" w:cs="Book Antiqua"/>
          <w:color w:val="000000" w:themeColor="text1"/>
        </w:rPr>
        <w:t xml:space="preserve"> sobre las víctimas de homicidios dolosos</w:t>
      </w:r>
      <w:r w:rsidR="00D34A9A" w:rsidRP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tienen un cambio significativo por género y edad. La tendencia general ha sido que las principales víctimas de los homicidios </w:t>
      </w:r>
      <w:proofErr w:type="gramStart"/>
      <w:r w:rsidRPr="00D34A9A">
        <w:rPr>
          <w:rFonts w:ascii="Book Antiqua" w:eastAsia="Book Antiqua" w:hAnsi="Book Antiqua" w:cs="Book Antiqua"/>
          <w:color w:val="000000" w:themeColor="text1"/>
        </w:rPr>
        <w:t>dolosos,</w:t>
      </w:r>
      <w:proofErr w:type="gramEnd"/>
      <w:r w:rsidRPr="00D34A9A">
        <w:rPr>
          <w:rFonts w:ascii="Book Antiqua" w:eastAsia="Book Antiqua" w:hAnsi="Book Antiqua" w:cs="Book Antiqua"/>
          <w:color w:val="000000" w:themeColor="text1"/>
        </w:rPr>
        <w:t xml:space="preserve"> son hombres jóvenes, menores de 35 años, precarizados por la baja escolaridad (secundaria incompleta) y sin ocupación remunerada al momento de la agresión. Sin embargo</w:t>
      </w:r>
      <w:r w:rsidR="00D34A9A" w:rsidRP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con los datos del INEGI correspondientes al año 2023, las niñas y adolescentes en México menores de 15 años</w:t>
      </w:r>
      <w:r w:rsidR="00D34A9A" w:rsidRP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son el 4% del total de los asesinatos de mujeres en el país. Es decir, son 5 veces más asesinadas en ese rango de edad, que sus pares hombres. Los niños y adolescentes en México son asesinados en menos de un 1% del total de hombres, pero las niñas y adolescentes lo son más del 4%del total de mujeres asesinadas, en un contexto de 96% de impunidad en los casos de homicidio doloso. Esto construye como característica de riesgo para ser víctima de homicidio en México</w:t>
      </w:r>
      <w:r w:rsidR="00D34A9A" w:rsidRP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el ser niña menor de 15 años, particularmente en zonas precarizadas.</w:t>
      </w:r>
    </w:p>
    <w:p w14:paraId="0000007E" w14:textId="0EC34A5B" w:rsidR="00C73E3F" w:rsidRPr="00D34A9A" w:rsidRDefault="00000000">
      <w:pPr>
        <w:numPr>
          <w:ilvl w:val="0"/>
          <w:numId w:val="10"/>
        </w:numP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 xml:space="preserve">Todavía se registra el grave problema respecto de las cifras de muertes violentas en México. Actualmente se identifica una relación entre la disminución de homicidios dolosos y el aumento de suicidios y desapariciones forzadas.  </w:t>
      </w:r>
      <w:proofErr w:type="gramStart"/>
      <w:r w:rsidRPr="00D34A9A">
        <w:rPr>
          <w:rFonts w:ascii="Book Antiqua" w:eastAsia="Book Antiqua" w:hAnsi="Book Antiqua" w:cs="Book Antiqua"/>
          <w:color w:val="000000" w:themeColor="text1"/>
        </w:rPr>
        <w:t>En relación a</w:t>
      </w:r>
      <w:proofErr w:type="gramEnd"/>
      <w:r w:rsidRPr="00D34A9A">
        <w:rPr>
          <w:rFonts w:ascii="Book Antiqua" w:eastAsia="Book Antiqua" w:hAnsi="Book Antiqua" w:cs="Book Antiqua"/>
          <w:color w:val="000000" w:themeColor="text1"/>
        </w:rPr>
        <w:t xml:space="preserve"> la desaparición de personas, los datos revelan que las mujeres de 9 a 29 años de edad tienen mayor probabilidad de ser desaparecidas de manera forzada que los hombres. Cada vez se tienen más datos</w:t>
      </w:r>
      <w:r w:rsidRPr="00D34A9A">
        <w:rPr>
          <w:rFonts w:ascii="Book Antiqua" w:eastAsia="Book Antiqua" w:hAnsi="Book Antiqua" w:cs="Book Antiqua"/>
          <w:color w:val="000000" w:themeColor="text1"/>
          <w:vertAlign w:val="superscript"/>
        </w:rPr>
        <w:footnoteReference w:id="18"/>
      </w:r>
      <w:r w:rsidRPr="00D34A9A">
        <w:rPr>
          <w:rFonts w:ascii="Book Antiqua" w:eastAsia="Book Antiqua" w:hAnsi="Book Antiqua" w:cs="Book Antiqua"/>
          <w:color w:val="000000" w:themeColor="text1"/>
        </w:rPr>
        <w:t xml:space="preserve"> y casos (como el caso de Arroyo del Navajo en Ciudad Juárez, Chihuahua</w:t>
      </w:r>
      <w:r w:rsidRPr="00D34A9A">
        <w:rPr>
          <w:rFonts w:ascii="Book Antiqua" w:eastAsia="Book Antiqua" w:hAnsi="Book Antiqua" w:cs="Book Antiqua"/>
          <w:color w:val="000000" w:themeColor="text1"/>
          <w:vertAlign w:val="superscript"/>
        </w:rPr>
        <w:footnoteReference w:id="19"/>
      </w:r>
      <w:r w:rsidRPr="00D34A9A">
        <w:rPr>
          <w:rFonts w:ascii="Book Antiqua" w:eastAsia="Book Antiqua" w:hAnsi="Book Antiqua" w:cs="Book Antiqua"/>
          <w:color w:val="000000" w:themeColor="text1"/>
        </w:rPr>
        <w:t>) en los que se prueba que la desaparición forzada de mujeres está vinculada principalmente a fines de explotación sexual.</w:t>
      </w:r>
    </w:p>
    <w:p w14:paraId="0000007F" w14:textId="77777777" w:rsidR="00C73E3F" w:rsidRPr="00D34A9A" w:rsidRDefault="00C73E3F">
      <w:pPr>
        <w:spacing w:after="0" w:line="240" w:lineRule="auto"/>
        <w:jc w:val="both"/>
        <w:rPr>
          <w:rFonts w:ascii="Book Antiqua" w:eastAsia="Book Antiqua" w:hAnsi="Book Antiqua" w:cs="Book Antiqua"/>
          <w:color w:val="000000" w:themeColor="text1"/>
        </w:rPr>
      </w:pPr>
    </w:p>
    <w:p w14:paraId="583F8800" w14:textId="77777777" w:rsidR="00D34A9A" w:rsidRPr="00D34A9A" w:rsidRDefault="00D34A9A">
      <w:pPr>
        <w:spacing w:after="0" w:line="240" w:lineRule="auto"/>
        <w:jc w:val="both"/>
        <w:rPr>
          <w:rFonts w:ascii="Book Antiqua" w:eastAsia="Book Antiqua" w:hAnsi="Book Antiqua" w:cs="Book Antiqua"/>
          <w:color w:val="000000" w:themeColor="text1"/>
        </w:rPr>
      </w:pPr>
    </w:p>
    <w:p w14:paraId="00000080" w14:textId="77777777" w:rsidR="00C73E3F" w:rsidRPr="00D34A9A" w:rsidRDefault="00000000">
      <w:pPr>
        <w:spacing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Recomendaciones al Estado Mexicano:</w:t>
      </w:r>
    </w:p>
    <w:p w14:paraId="00000081" w14:textId="77777777" w:rsidR="00C73E3F" w:rsidRPr="00D34A9A" w:rsidRDefault="00000000">
      <w:pPr>
        <w:numPr>
          <w:ilvl w:val="0"/>
          <w:numId w:val="11"/>
        </w:numP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Identificar las zonas donde se da esta incidencia de violencia feminicida contra las niñas en México y utilizar efectivamente la garantía jurídica con que cuenta el Estado mexicano: la alerta de violencia de género contra las mujeres, para realizar acciones de emergencia con el objetivo de erradicarla.</w:t>
      </w:r>
    </w:p>
    <w:p w14:paraId="00000082" w14:textId="2AF64300" w:rsidR="00C73E3F" w:rsidRPr="00D34A9A" w:rsidRDefault="00000000">
      <w:pPr>
        <w:widowControl w:val="0"/>
        <w:numPr>
          <w:ilvl w:val="0"/>
          <w:numId w:val="11"/>
        </w:numPr>
        <w:tabs>
          <w:tab w:val="left" w:pos="709"/>
        </w:tabs>
        <w:spacing w:line="240" w:lineRule="auto"/>
        <w:ind w:right="-2"/>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Reportar los avances para la erradicación de la violencia feminicida contra las niñas</w:t>
      </w:r>
      <w:r w:rsidR="00D34A9A" w:rsidRP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a través del sistema de indicadores de cumplimiento progresivo de las obligaciones en materia de derecho humanos del Sistema Universal de Derechos Humanos, en particular del derecho de las mujeres a una vida libre de violencia. </w:t>
      </w:r>
    </w:p>
    <w:p w14:paraId="00000083" w14:textId="77777777" w:rsidR="00C73E3F" w:rsidRDefault="00C73E3F">
      <w:pPr>
        <w:spacing w:after="0" w:line="240" w:lineRule="auto"/>
        <w:jc w:val="both"/>
        <w:rPr>
          <w:rFonts w:ascii="Book Antiqua" w:eastAsia="Book Antiqua" w:hAnsi="Book Antiqua" w:cs="Book Antiqua"/>
        </w:rPr>
      </w:pPr>
    </w:p>
    <w:p w14:paraId="40273864" w14:textId="77777777" w:rsidR="00D34A9A" w:rsidRDefault="00D34A9A">
      <w:pPr>
        <w:spacing w:after="0" w:line="240" w:lineRule="auto"/>
        <w:jc w:val="center"/>
        <w:rPr>
          <w:rFonts w:ascii="Book Antiqua" w:eastAsia="Book Antiqua" w:hAnsi="Book Antiqua" w:cs="Book Antiqua"/>
          <w:b/>
        </w:rPr>
      </w:pPr>
    </w:p>
    <w:p w14:paraId="530EE48E" w14:textId="77777777" w:rsidR="00105DDB" w:rsidRDefault="00105DDB">
      <w:pPr>
        <w:spacing w:after="0" w:line="240" w:lineRule="auto"/>
        <w:jc w:val="center"/>
        <w:rPr>
          <w:rFonts w:ascii="Book Antiqua" w:eastAsia="Book Antiqua" w:hAnsi="Book Antiqua" w:cs="Book Antiqua"/>
          <w:b/>
        </w:rPr>
      </w:pPr>
    </w:p>
    <w:p w14:paraId="277A324F" w14:textId="77777777" w:rsidR="00D34A9A" w:rsidRDefault="00D34A9A" w:rsidP="006E2AB3">
      <w:pPr>
        <w:spacing w:after="0" w:line="240" w:lineRule="auto"/>
        <w:rPr>
          <w:rFonts w:ascii="Book Antiqua" w:eastAsia="Book Antiqua" w:hAnsi="Book Antiqua" w:cs="Book Antiqua"/>
          <w:b/>
        </w:rPr>
      </w:pPr>
    </w:p>
    <w:p w14:paraId="00000084" w14:textId="31EF8B62" w:rsidR="00C73E3F" w:rsidRDefault="00000000" w:rsidP="00D34A9A">
      <w:pPr>
        <w:spacing w:after="0" w:line="240" w:lineRule="auto"/>
        <w:jc w:val="center"/>
        <w:rPr>
          <w:rFonts w:ascii="Book Antiqua" w:eastAsia="Book Antiqua" w:hAnsi="Book Antiqua" w:cs="Book Antiqua"/>
          <w:b/>
        </w:rPr>
      </w:pPr>
      <w:r>
        <w:rPr>
          <w:rFonts w:ascii="Book Antiqua" w:eastAsia="Book Antiqua" w:hAnsi="Book Antiqua" w:cs="Book Antiqua"/>
          <w:b/>
        </w:rPr>
        <w:lastRenderedPageBreak/>
        <w:t>Alerta de Violencia de género contra las Mujeres para</w:t>
      </w:r>
    </w:p>
    <w:p w14:paraId="00000085" w14:textId="77777777" w:rsidR="00C73E3F" w:rsidRDefault="00000000">
      <w:pPr>
        <w:spacing w:after="0" w:line="240" w:lineRule="auto"/>
        <w:jc w:val="center"/>
        <w:rPr>
          <w:rFonts w:ascii="Book Antiqua" w:eastAsia="Book Antiqua" w:hAnsi="Book Antiqua" w:cs="Book Antiqua"/>
          <w:b/>
        </w:rPr>
      </w:pPr>
      <w:r>
        <w:rPr>
          <w:rFonts w:ascii="Book Antiqua" w:eastAsia="Book Antiqua" w:hAnsi="Book Antiqua" w:cs="Book Antiqua"/>
          <w:b/>
        </w:rPr>
        <w:t>cinco municipios del Estado de Chihuahua</w:t>
      </w:r>
    </w:p>
    <w:p w14:paraId="00000086" w14:textId="77777777" w:rsidR="00C73E3F" w:rsidRDefault="00C73E3F">
      <w:pPr>
        <w:spacing w:after="0" w:line="240" w:lineRule="auto"/>
        <w:jc w:val="both"/>
        <w:rPr>
          <w:rFonts w:ascii="Book Antiqua" w:eastAsia="Book Antiqua" w:hAnsi="Book Antiqua" w:cs="Book Antiqua"/>
          <w:b/>
        </w:rPr>
      </w:pPr>
    </w:p>
    <w:p w14:paraId="00000087"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00000088" w14:textId="47131856" w:rsidR="00C73E3F" w:rsidRDefault="00000000">
      <w:pPr>
        <w:widowControl w:val="0"/>
        <w:numPr>
          <w:ilvl w:val="0"/>
          <w:numId w:val="14"/>
        </w:numPr>
        <w:pBdr>
          <w:top w:val="nil"/>
          <w:left w:val="nil"/>
          <w:bottom w:val="nil"/>
          <w:right w:val="nil"/>
          <w:between w:val="nil"/>
        </w:pBdr>
        <w:tabs>
          <w:tab w:val="left" w:pos="709"/>
        </w:tabs>
        <w:spacing w:after="0" w:line="240" w:lineRule="auto"/>
        <w:ind w:right="-2"/>
        <w:jc w:val="both"/>
        <w:rPr>
          <w:rFonts w:ascii="Book Antiqua" w:eastAsia="Book Antiqua" w:hAnsi="Book Antiqua" w:cs="Book Antiqua"/>
          <w:color w:val="000000"/>
        </w:rPr>
      </w:pPr>
      <w:r>
        <w:rPr>
          <w:rFonts w:ascii="Book Antiqua" w:eastAsia="Book Antiqua" w:hAnsi="Book Antiqua" w:cs="Book Antiqua"/>
          <w:color w:val="000000"/>
        </w:rPr>
        <w:t xml:space="preserve">En la Alerta de Violencia de género contra las mujeres para cinco municipios del Estado de Chihuahua se definió que se utilizará para la evaluación los indicadores elaborados por el Mecanismo de Seguimiento a la Convención de Belém do </w:t>
      </w:r>
      <w:r w:rsidR="00C86EE5">
        <w:rPr>
          <w:rFonts w:ascii="Book Antiqua" w:eastAsia="Book Antiqua" w:hAnsi="Book Antiqua" w:cs="Book Antiqua"/>
          <w:color w:val="000000"/>
        </w:rPr>
        <w:t>Pará, del</w:t>
      </w:r>
      <w:r>
        <w:rPr>
          <w:rFonts w:ascii="Book Antiqua" w:eastAsia="Book Antiqua" w:hAnsi="Book Antiqua" w:cs="Book Antiqua"/>
          <w:color w:val="000000"/>
        </w:rPr>
        <w:t xml:space="preserve"> Comité de Expertas del (MESECVI).</w:t>
      </w:r>
    </w:p>
    <w:p w14:paraId="00000089" w14:textId="77777777" w:rsidR="00C73E3F" w:rsidRDefault="00000000">
      <w:pPr>
        <w:widowControl w:val="0"/>
        <w:numPr>
          <w:ilvl w:val="0"/>
          <w:numId w:val="14"/>
        </w:numPr>
        <w:pBdr>
          <w:top w:val="nil"/>
          <w:left w:val="nil"/>
          <w:bottom w:val="nil"/>
          <w:right w:val="nil"/>
          <w:between w:val="nil"/>
        </w:pBdr>
        <w:tabs>
          <w:tab w:val="left" w:pos="709"/>
        </w:tabs>
        <w:spacing w:line="240" w:lineRule="auto"/>
        <w:ind w:right="-2"/>
        <w:jc w:val="both"/>
        <w:rPr>
          <w:rFonts w:ascii="Book Antiqua" w:eastAsia="Book Antiqua" w:hAnsi="Book Antiqua" w:cs="Book Antiqua"/>
          <w:color w:val="000000"/>
        </w:rPr>
      </w:pPr>
      <w:r>
        <w:rPr>
          <w:rFonts w:ascii="Book Antiqua" w:eastAsia="Book Antiqua" w:hAnsi="Book Antiqua" w:cs="Book Antiqua"/>
          <w:color w:val="000000"/>
        </w:rPr>
        <w:t xml:space="preserve">Puesto que dos de los cinco municipios alertados en Chihuahua, suman recomendaciones del </w:t>
      </w:r>
      <w:proofErr w:type="spellStart"/>
      <w:r>
        <w:rPr>
          <w:rFonts w:ascii="Book Antiqua" w:eastAsia="Book Antiqua" w:hAnsi="Book Antiqua" w:cs="Book Antiqua"/>
          <w:color w:val="000000"/>
        </w:rPr>
        <w:t>CoCEDAW</w:t>
      </w:r>
      <w:proofErr w:type="spellEnd"/>
      <w:r>
        <w:rPr>
          <w:rFonts w:ascii="Book Antiqua" w:eastAsia="Book Antiqua" w:hAnsi="Book Antiqua" w:cs="Book Antiqua"/>
          <w:color w:val="000000"/>
        </w:rPr>
        <w:t xml:space="preserve"> y otros mecanismos del Sistema Universal e Interamericano de Derechos humanos, incluidas disposiciones de la sentencia de la Corte Interamericana de Derechos Humanos. </w:t>
      </w:r>
    </w:p>
    <w:p w14:paraId="0000008A" w14:textId="77777777" w:rsidR="00C73E3F" w:rsidRDefault="00000000">
      <w:pPr>
        <w:spacing w:line="240" w:lineRule="auto"/>
        <w:jc w:val="both"/>
        <w:rPr>
          <w:rFonts w:ascii="Book Antiqua" w:eastAsia="Book Antiqua" w:hAnsi="Book Antiqua" w:cs="Book Antiqua"/>
        </w:rPr>
      </w:pPr>
      <w:r>
        <w:rPr>
          <w:rFonts w:ascii="Book Antiqua" w:eastAsia="Book Antiqua" w:hAnsi="Book Antiqua" w:cs="Book Antiqua"/>
        </w:rPr>
        <w:t>Recomendaciones al Estado Mexicano</w:t>
      </w:r>
    </w:p>
    <w:p w14:paraId="0000008B" w14:textId="77777777" w:rsidR="00C73E3F" w:rsidRDefault="00000000">
      <w:pPr>
        <w:widowControl w:val="0"/>
        <w:numPr>
          <w:ilvl w:val="0"/>
          <w:numId w:val="11"/>
        </w:numPr>
        <w:pBdr>
          <w:top w:val="nil"/>
          <w:left w:val="nil"/>
          <w:bottom w:val="nil"/>
          <w:right w:val="nil"/>
          <w:between w:val="nil"/>
        </w:pBdr>
        <w:tabs>
          <w:tab w:val="left" w:pos="709"/>
        </w:tabs>
        <w:spacing w:line="240" w:lineRule="auto"/>
        <w:ind w:right="-2"/>
        <w:jc w:val="both"/>
        <w:rPr>
          <w:rFonts w:ascii="Book Antiqua" w:eastAsia="Book Antiqua" w:hAnsi="Book Antiqua" w:cs="Book Antiqua"/>
          <w:color w:val="000000"/>
        </w:rPr>
      </w:pPr>
      <w:r>
        <w:rPr>
          <w:rFonts w:ascii="Book Antiqua" w:eastAsia="Book Antiqua" w:hAnsi="Book Antiqua" w:cs="Book Antiqua"/>
          <w:color w:val="000000"/>
        </w:rPr>
        <w:t xml:space="preserve">Incorporar en los mecanismos oficiales de seguimiento y evaluación de las acciones en materia de derechos humanos, el sistema de indicadores de cumplimiento de las obligaciones en materia de derecho humanos del Sistema Universal de Derechos Humanos, en particular del derecho de las mujeres a una vida libre de violencia. </w:t>
      </w:r>
    </w:p>
    <w:p w14:paraId="0000008C" w14:textId="4F169E79" w:rsidR="00C73E3F" w:rsidRPr="00105DDB" w:rsidRDefault="00105DDB" w:rsidP="00C86EE5">
      <w:pPr>
        <w:widowControl w:val="0"/>
        <w:numPr>
          <w:ilvl w:val="0"/>
          <w:numId w:val="11"/>
        </w:numPr>
        <w:pBdr>
          <w:top w:val="nil"/>
          <w:left w:val="nil"/>
          <w:bottom w:val="nil"/>
          <w:right w:val="nil"/>
          <w:between w:val="nil"/>
        </w:pBdr>
        <w:tabs>
          <w:tab w:val="left" w:pos="709"/>
        </w:tabs>
        <w:spacing w:after="0" w:line="240" w:lineRule="auto"/>
        <w:ind w:right="-2"/>
        <w:jc w:val="both"/>
        <w:rPr>
          <w:rFonts w:ascii="Book Antiqua" w:eastAsia="Book Antiqua" w:hAnsi="Book Antiqua" w:cs="Book Antiqua"/>
        </w:rPr>
      </w:pPr>
      <w:r w:rsidRPr="00105DDB">
        <w:rPr>
          <w:rFonts w:ascii="Book Antiqua" w:eastAsia="Book Antiqua" w:hAnsi="Book Antiqua" w:cs="Book Antiqua"/>
          <w:color w:val="000000"/>
        </w:rPr>
        <w:t>Informar</w:t>
      </w:r>
      <w:r w:rsidR="009A52F1" w:rsidRPr="00105DDB">
        <w:rPr>
          <w:rFonts w:ascii="Book Antiqua" w:eastAsia="Book Antiqua" w:hAnsi="Book Antiqua" w:cs="Book Antiqua"/>
          <w:color w:val="000000"/>
        </w:rPr>
        <w:t xml:space="preserve"> </w:t>
      </w:r>
      <w:r w:rsidR="00C86EE5" w:rsidRPr="00105DDB">
        <w:rPr>
          <w:rFonts w:ascii="Book Antiqua" w:eastAsia="Book Antiqua" w:hAnsi="Book Antiqua" w:cs="Book Antiqua"/>
          <w:color w:val="000000"/>
        </w:rPr>
        <w:t>si tiene un p</w:t>
      </w:r>
      <w:r w:rsidR="009A52F1" w:rsidRPr="00105DDB">
        <w:rPr>
          <w:rFonts w:ascii="Book Antiqua" w:eastAsia="Book Antiqua" w:hAnsi="Book Antiqua" w:cs="Book Antiqua"/>
          <w:color w:val="000000"/>
        </w:rPr>
        <w:t>rograma</w:t>
      </w:r>
      <w:r w:rsidR="00C86EE5" w:rsidRPr="00105DDB">
        <w:rPr>
          <w:rFonts w:ascii="Book Antiqua" w:eastAsia="Book Antiqua" w:hAnsi="Book Antiqua" w:cs="Book Antiqua"/>
          <w:color w:val="000000"/>
        </w:rPr>
        <w:t xml:space="preserve"> que fortalezca </w:t>
      </w:r>
      <w:r w:rsidR="009A52F1" w:rsidRPr="00105DDB">
        <w:rPr>
          <w:rFonts w:ascii="Book Antiqua" w:eastAsia="Book Antiqua" w:hAnsi="Book Antiqua" w:cs="Book Antiqua"/>
          <w:color w:val="000000"/>
        </w:rPr>
        <w:t xml:space="preserve">al mecanismo de </w:t>
      </w:r>
      <w:r w:rsidR="00C86EE5" w:rsidRPr="00105DDB">
        <w:rPr>
          <w:rFonts w:ascii="Book Antiqua" w:eastAsia="Book Antiqua" w:hAnsi="Book Antiqua" w:cs="Book Antiqua"/>
          <w:color w:val="000000"/>
        </w:rPr>
        <w:t>Alerta de Violencia de Género y d</w:t>
      </w:r>
      <w:r w:rsidR="00B1663F" w:rsidRPr="00105DDB">
        <w:rPr>
          <w:rFonts w:ascii="Book Antiqua" w:eastAsia="Book Antiqua" w:hAnsi="Book Antiqua" w:cs="Book Antiqua"/>
          <w:color w:val="000000"/>
        </w:rPr>
        <w:t>etalle</w:t>
      </w:r>
      <w:r w:rsidR="00C86EE5" w:rsidRPr="00105DDB">
        <w:rPr>
          <w:rFonts w:ascii="Book Antiqua" w:eastAsia="Book Antiqua" w:hAnsi="Book Antiqua" w:cs="Book Antiqua"/>
          <w:color w:val="000000"/>
        </w:rPr>
        <w:t xml:space="preserve"> </w:t>
      </w:r>
      <w:r w:rsidR="009A52F1" w:rsidRPr="00105DDB">
        <w:rPr>
          <w:rFonts w:ascii="Book Antiqua" w:eastAsia="Book Antiqua" w:hAnsi="Book Antiqua" w:cs="Book Antiqua"/>
          <w:color w:val="000000"/>
        </w:rPr>
        <w:t xml:space="preserve">el plan de </w:t>
      </w:r>
      <w:r w:rsidR="00C86EE5" w:rsidRPr="00105DDB">
        <w:rPr>
          <w:rFonts w:ascii="Book Antiqua" w:eastAsia="Book Antiqua" w:hAnsi="Book Antiqua" w:cs="Book Antiqua"/>
          <w:color w:val="000000"/>
        </w:rPr>
        <w:t>coordinación</w:t>
      </w:r>
      <w:r w:rsidR="009A52F1" w:rsidRPr="00105DDB">
        <w:rPr>
          <w:rFonts w:ascii="Book Antiqua" w:eastAsia="Book Antiqua" w:hAnsi="Book Antiqua" w:cs="Book Antiqua"/>
          <w:color w:val="000000"/>
        </w:rPr>
        <w:t xml:space="preserve"> de la Secretar</w:t>
      </w:r>
      <w:r w:rsidR="00124BBD">
        <w:rPr>
          <w:rFonts w:ascii="Book Antiqua" w:eastAsia="Book Antiqua" w:hAnsi="Book Antiqua" w:cs="Book Antiqua"/>
          <w:color w:val="000000"/>
        </w:rPr>
        <w:t>í</w:t>
      </w:r>
      <w:r w:rsidR="009A52F1" w:rsidRPr="00105DDB">
        <w:rPr>
          <w:rFonts w:ascii="Book Antiqua" w:eastAsia="Book Antiqua" w:hAnsi="Book Antiqua" w:cs="Book Antiqua"/>
          <w:color w:val="000000"/>
        </w:rPr>
        <w:t>a de las Mujeres con los</w:t>
      </w:r>
      <w:r w:rsidR="00C86EE5" w:rsidRPr="00105DDB">
        <w:rPr>
          <w:rFonts w:ascii="Book Antiqua" w:eastAsia="Book Antiqua" w:hAnsi="Book Antiqua" w:cs="Book Antiqua"/>
          <w:color w:val="000000"/>
        </w:rPr>
        <w:t xml:space="preserve"> niveles de gobierno para </w:t>
      </w:r>
      <w:r w:rsidR="00B1663F" w:rsidRPr="00105DDB">
        <w:rPr>
          <w:rFonts w:ascii="Book Antiqua" w:eastAsia="Book Antiqua" w:hAnsi="Book Antiqua" w:cs="Book Antiqua"/>
          <w:color w:val="000000"/>
        </w:rPr>
        <w:t xml:space="preserve">cumplir con </w:t>
      </w:r>
      <w:r w:rsidR="00C86EE5" w:rsidRPr="00105DDB">
        <w:rPr>
          <w:rFonts w:ascii="Book Antiqua" w:eastAsia="Book Antiqua" w:hAnsi="Book Antiqua" w:cs="Book Antiqua"/>
          <w:color w:val="000000"/>
        </w:rPr>
        <w:t xml:space="preserve">las garantías de prevención, investigación y sanción en las entidades, en particular con </w:t>
      </w:r>
      <w:r w:rsidR="009A52F1" w:rsidRPr="00105DDB">
        <w:rPr>
          <w:rFonts w:ascii="Book Antiqua" w:eastAsia="Book Antiqua" w:hAnsi="Book Antiqua" w:cs="Book Antiqua"/>
          <w:color w:val="000000"/>
        </w:rPr>
        <w:t>Chihuahua, dado</w:t>
      </w:r>
      <w:r w:rsidR="00C86EE5" w:rsidRPr="00105DDB">
        <w:rPr>
          <w:rFonts w:ascii="Book Antiqua" w:eastAsia="Book Antiqua" w:hAnsi="Book Antiqua" w:cs="Book Antiqua"/>
          <w:color w:val="000000"/>
        </w:rPr>
        <w:t xml:space="preserve"> que es </w:t>
      </w:r>
      <w:r w:rsidR="009A52F1" w:rsidRPr="00105DDB">
        <w:rPr>
          <w:rFonts w:ascii="Book Antiqua" w:eastAsia="Book Antiqua" w:hAnsi="Book Antiqua" w:cs="Book Antiqua"/>
          <w:color w:val="000000"/>
        </w:rPr>
        <w:t xml:space="preserve">uno de los </w:t>
      </w:r>
      <w:r w:rsidR="00C86EE5" w:rsidRPr="00105DDB">
        <w:rPr>
          <w:rFonts w:ascii="Book Antiqua" w:eastAsia="Book Antiqua" w:hAnsi="Book Antiqua" w:cs="Book Antiqua"/>
          <w:color w:val="000000"/>
        </w:rPr>
        <w:t>estado</w:t>
      </w:r>
      <w:r w:rsidR="009A52F1" w:rsidRPr="00105DDB">
        <w:rPr>
          <w:rFonts w:ascii="Book Antiqua" w:eastAsia="Book Antiqua" w:hAnsi="Book Antiqua" w:cs="Book Antiqua"/>
          <w:color w:val="000000"/>
        </w:rPr>
        <w:t>s</w:t>
      </w:r>
      <w:r w:rsidR="00C86EE5" w:rsidRPr="00105DDB">
        <w:rPr>
          <w:rFonts w:ascii="Book Antiqua" w:eastAsia="Book Antiqua" w:hAnsi="Book Antiqua" w:cs="Book Antiqua"/>
          <w:color w:val="000000"/>
        </w:rPr>
        <w:t xml:space="preserve"> que</w:t>
      </w:r>
      <w:r w:rsidR="009A52F1" w:rsidRPr="00105DDB">
        <w:rPr>
          <w:rFonts w:ascii="Book Antiqua" w:eastAsia="Book Antiqua" w:hAnsi="Book Antiqua" w:cs="Book Antiqua"/>
          <w:color w:val="000000"/>
        </w:rPr>
        <w:t xml:space="preserve"> </w:t>
      </w:r>
      <w:r w:rsidR="00C86EE5" w:rsidRPr="00105DDB">
        <w:rPr>
          <w:rFonts w:ascii="Book Antiqua" w:eastAsia="Book Antiqua" w:hAnsi="Book Antiqua" w:cs="Book Antiqua"/>
          <w:color w:val="000000"/>
        </w:rPr>
        <w:t>cuenta con más recomendaciones internacion</w:t>
      </w:r>
      <w:r>
        <w:rPr>
          <w:rFonts w:ascii="Book Antiqua" w:eastAsia="Book Antiqua" w:hAnsi="Book Antiqua" w:cs="Book Antiqua"/>
          <w:color w:val="000000"/>
        </w:rPr>
        <w:t>al</w:t>
      </w:r>
      <w:r w:rsidR="00C86EE5" w:rsidRPr="00105DDB">
        <w:rPr>
          <w:rFonts w:ascii="Book Antiqua" w:eastAsia="Book Antiqua" w:hAnsi="Book Antiqua" w:cs="Book Antiqua"/>
          <w:color w:val="000000"/>
        </w:rPr>
        <w:t>es</w:t>
      </w:r>
      <w:r w:rsidR="009A52F1" w:rsidRPr="00105DDB">
        <w:rPr>
          <w:rFonts w:ascii="Book Antiqua" w:eastAsia="Book Antiqua" w:hAnsi="Book Antiqua" w:cs="Book Antiqua"/>
          <w:color w:val="000000"/>
        </w:rPr>
        <w:t xml:space="preserve">, procesos y sentencias </w:t>
      </w:r>
      <w:r w:rsidR="00B1663F" w:rsidRPr="00105DDB">
        <w:rPr>
          <w:rFonts w:ascii="Book Antiqua" w:eastAsia="Book Antiqua" w:hAnsi="Book Antiqua" w:cs="Book Antiqua"/>
          <w:color w:val="000000"/>
        </w:rPr>
        <w:t>ante la Corte Interamericana</w:t>
      </w:r>
      <w:r w:rsidR="009A52F1" w:rsidRPr="00105DDB">
        <w:rPr>
          <w:rFonts w:ascii="Book Antiqua" w:eastAsia="Book Antiqua" w:hAnsi="Book Antiqua" w:cs="Book Antiqua"/>
          <w:color w:val="000000"/>
        </w:rPr>
        <w:t xml:space="preserve"> de Derechos Humanos</w:t>
      </w:r>
      <w:r w:rsidR="00C86EE5" w:rsidRPr="00105DDB">
        <w:rPr>
          <w:rFonts w:ascii="Book Antiqua" w:eastAsia="Book Antiqua" w:hAnsi="Book Antiqua" w:cs="Book Antiqua"/>
          <w:color w:val="000000"/>
        </w:rPr>
        <w:t>.</w:t>
      </w:r>
    </w:p>
    <w:p w14:paraId="5501A19D" w14:textId="77777777" w:rsidR="00504D22" w:rsidRDefault="00504D22">
      <w:pPr>
        <w:spacing w:after="0" w:line="240" w:lineRule="auto"/>
        <w:jc w:val="both"/>
        <w:rPr>
          <w:rFonts w:ascii="Book Antiqua" w:eastAsia="Book Antiqua" w:hAnsi="Book Antiqua" w:cs="Book Antiqua"/>
        </w:rPr>
      </w:pPr>
    </w:p>
    <w:p w14:paraId="6F876382" w14:textId="77777777" w:rsidR="00504D22" w:rsidRDefault="00504D22">
      <w:pPr>
        <w:spacing w:after="0" w:line="240" w:lineRule="auto"/>
        <w:jc w:val="both"/>
        <w:rPr>
          <w:rFonts w:ascii="Book Antiqua" w:eastAsia="Book Antiqua" w:hAnsi="Book Antiqua" w:cs="Book Antiqua"/>
        </w:rPr>
      </w:pPr>
    </w:p>
    <w:p w14:paraId="29FA3E6F" w14:textId="77777777" w:rsidR="00504D22" w:rsidRDefault="00504D22">
      <w:pPr>
        <w:spacing w:after="0" w:line="240" w:lineRule="auto"/>
        <w:jc w:val="both"/>
        <w:rPr>
          <w:rFonts w:ascii="Book Antiqua" w:eastAsia="Book Antiqua" w:hAnsi="Book Antiqua" w:cs="Book Antiqua"/>
        </w:rPr>
      </w:pPr>
    </w:p>
    <w:p w14:paraId="4B0A8718" w14:textId="77777777" w:rsidR="00504D22" w:rsidRDefault="00504D22">
      <w:pPr>
        <w:spacing w:after="0" w:line="240" w:lineRule="auto"/>
        <w:jc w:val="both"/>
        <w:rPr>
          <w:rFonts w:ascii="Book Antiqua" w:eastAsia="Book Antiqua" w:hAnsi="Book Antiqua" w:cs="Book Antiqua"/>
        </w:rPr>
      </w:pPr>
    </w:p>
    <w:p w14:paraId="4D5AFB76" w14:textId="77777777" w:rsidR="00504D22" w:rsidRDefault="00504D22">
      <w:pPr>
        <w:spacing w:after="0" w:line="240" w:lineRule="auto"/>
        <w:jc w:val="both"/>
        <w:rPr>
          <w:rFonts w:ascii="Book Antiqua" w:eastAsia="Book Antiqua" w:hAnsi="Book Antiqua" w:cs="Book Antiqua"/>
        </w:rPr>
      </w:pPr>
    </w:p>
    <w:p w14:paraId="2A166D76" w14:textId="77777777" w:rsidR="00504D22" w:rsidRDefault="00504D22">
      <w:pPr>
        <w:spacing w:after="0" w:line="240" w:lineRule="auto"/>
        <w:jc w:val="both"/>
        <w:rPr>
          <w:rFonts w:ascii="Book Antiqua" w:eastAsia="Book Antiqua" w:hAnsi="Book Antiqua" w:cs="Book Antiqua"/>
        </w:rPr>
      </w:pPr>
    </w:p>
    <w:p w14:paraId="69A3B883" w14:textId="77777777" w:rsidR="00504D22" w:rsidRDefault="00504D22">
      <w:pPr>
        <w:spacing w:after="0" w:line="240" w:lineRule="auto"/>
        <w:jc w:val="both"/>
        <w:rPr>
          <w:rFonts w:ascii="Book Antiqua" w:eastAsia="Book Antiqua" w:hAnsi="Book Antiqua" w:cs="Book Antiqua"/>
        </w:rPr>
      </w:pPr>
    </w:p>
    <w:p w14:paraId="62ABDC51" w14:textId="77777777" w:rsidR="00504D22" w:rsidRDefault="00504D22">
      <w:pPr>
        <w:spacing w:after="0" w:line="240" w:lineRule="auto"/>
        <w:jc w:val="both"/>
        <w:rPr>
          <w:rFonts w:ascii="Book Antiqua" w:eastAsia="Book Antiqua" w:hAnsi="Book Antiqua" w:cs="Book Antiqua"/>
        </w:rPr>
      </w:pPr>
    </w:p>
    <w:p w14:paraId="2BA3B2DF" w14:textId="77777777" w:rsidR="00504D22" w:rsidRDefault="00504D22">
      <w:pPr>
        <w:spacing w:after="0" w:line="240" w:lineRule="auto"/>
        <w:jc w:val="both"/>
        <w:rPr>
          <w:rFonts w:ascii="Book Antiqua" w:eastAsia="Book Antiqua" w:hAnsi="Book Antiqua" w:cs="Book Antiqua"/>
        </w:rPr>
      </w:pPr>
    </w:p>
    <w:p w14:paraId="416D1C40" w14:textId="77777777" w:rsidR="00504D22" w:rsidRDefault="00504D22">
      <w:pPr>
        <w:spacing w:after="0" w:line="240" w:lineRule="auto"/>
        <w:jc w:val="both"/>
        <w:rPr>
          <w:rFonts w:ascii="Book Antiqua" w:eastAsia="Book Antiqua" w:hAnsi="Book Antiqua" w:cs="Book Antiqua"/>
        </w:rPr>
      </w:pPr>
    </w:p>
    <w:p w14:paraId="196AF4FA" w14:textId="77777777" w:rsidR="00504D22" w:rsidRDefault="00504D22">
      <w:pPr>
        <w:spacing w:after="0" w:line="240" w:lineRule="auto"/>
        <w:jc w:val="both"/>
        <w:rPr>
          <w:rFonts w:ascii="Book Antiqua" w:eastAsia="Book Antiqua" w:hAnsi="Book Antiqua" w:cs="Book Antiqua"/>
        </w:rPr>
      </w:pPr>
    </w:p>
    <w:p w14:paraId="65B68AC3" w14:textId="77777777" w:rsidR="00504D22" w:rsidRDefault="00504D22">
      <w:pPr>
        <w:spacing w:after="0" w:line="240" w:lineRule="auto"/>
        <w:jc w:val="both"/>
        <w:rPr>
          <w:rFonts w:ascii="Book Antiqua" w:eastAsia="Book Antiqua" w:hAnsi="Book Antiqua" w:cs="Book Antiqua"/>
        </w:rPr>
      </w:pPr>
    </w:p>
    <w:p w14:paraId="5185E3E5" w14:textId="77777777" w:rsidR="00504D22" w:rsidRDefault="00504D22">
      <w:pPr>
        <w:spacing w:after="0" w:line="240" w:lineRule="auto"/>
        <w:jc w:val="both"/>
        <w:rPr>
          <w:rFonts w:ascii="Book Antiqua" w:eastAsia="Book Antiqua" w:hAnsi="Book Antiqua" w:cs="Book Antiqua"/>
        </w:rPr>
      </w:pPr>
    </w:p>
    <w:p w14:paraId="34CFCCFE" w14:textId="77777777" w:rsidR="00504D22" w:rsidRDefault="00504D22">
      <w:pPr>
        <w:spacing w:after="0" w:line="240" w:lineRule="auto"/>
        <w:jc w:val="both"/>
        <w:rPr>
          <w:rFonts w:ascii="Book Antiqua" w:eastAsia="Book Antiqua" w:hAnsi="Book Antiqua" w:cs="Book Antiqua"/>
        </w:rPr>
      </w:pPr>
    </w:p>
    <w:p w14:paraId="1C7D4156" w14:textId="77777777" w:rsidR="00504D22" w:rsidRDefault="00504D22">
      <w:pPr>
        <w:spacing w:after="0" w:line="240" w:lineRule="auto"/>
        <w:jc w:val="both"/>
        <w:rPr>
          <w:rFonts w:ascii="Book Antiqua" w:eastAsia="Book Antiqua" w:hAnsi="Book Antiqua" w:cs="Book Antiqua"/>
        </w:rPr>
      </w:pPr>
    </w:p>
    <w:p w14:paraId="16E761B1" w14:textId="77777777" w:rsidR="00504D22" w:rsidRDefault="00504D22">
      <w:pPr>
        <w:spacing w:after="0" w:line="240" w:lineRule="auto"/>
        <w:jc w:val="both"/>
        <w:rPr>
          <w:rFonts w:ascii="Book Antiqua" w:eastAsia="Book Antiqua" w:hAnsi="Book Antiqua" w:cs="Book Antiqua"/>
        </w:rPr>
      </w:pPr>
    </w:p>
    <w:p w14:paraId="7725CD9A" w14:textId="77777777" w:rsidR="00504D22" w:rsidRDefault="00504D22">
      <w:pPr>
        <w:spacing w:after="0" w:line="240" w:lineRule="auto"/>
        <w:jc w:val="both"/>
        <w:rPr>
          <w:rFonts w:ascii="Book Antiqua" w:eastAsia="Book Antiqua" w:hAnsi="Book Antiqua" w:cs="Book Antiqua"/>
        </w:rPr>
      </w:pPr>
    </w:p>
    <w:p w14:paraId="3832D350" w14:textId="77777777" w:rsidR="00504D22" w:rsidRDefault="00504D22">
      <w:pPr>
        <w:spacing w:after="0" w:line="240" w:lineRule="auto"/>
        <w:jc w:val="both"/>
        <w:rPr>
          <w:rFonts w:ascii="Book Antiqua" w:eastAsia="Book Antiqua" w:hAnsi="Book Antiqua" w:cs="Book Antiqua"/>
        </w:rPr>
      </w:pPr>
    </w:p>
    <w:p w14:paraId="361801EF" w14:textId="77777777" w:rsidR="00504D22" w:rsidRDefault="00504D22">
      <w:pPr>
        <w:spacing w:after="0" w:line="240" w:lineRule="auto"/>
        <w:jc w:val="both"/>
        <w:rPr>
          <w:rFonts w:ascii="Book Antiqua" w:eastAsia="Book Antiqua" w:hAnsi="Book Antiqua" w:cs="Book Antiqua"/>
        </w:rPr>
      </w:pPr>
    </w:p>
    <w:p w14:paraId="23C5CC07" w14:textId="77777777" w:rsidR="00504D22" w:rsidRDefault="00504D22">
      <w:pPr>
        <w:spacing w:after="0" w:line="240" w:lineRule="auto"/>
        <w:jc w:val="both"/>
        <w:rPr>
          <w:rFonts w:ascii="Book Antiqua" w:eastAsia="Book Antiqua" w:hAnsi="Book Antiqua" w:cs="Book Antiqua"/>
        </w:rPr>
      </w:pPr>
    </w:p>
    <w:p w14:paraId="12A40CF5" w14:textId="77777777" w:rsidR="00504D22" w:rsidRDefault="00504D22">
      <w:pPr>
        <w:spacing w:after="0" w:line="240" w:lineRule="auto"/>
        <w:jc w:val="both"/>
        <w:rPr>
          <w:rFonts w:ascii="Book Antiqua" w:eastAsia="Book Antiqua" w:hAnsi="Book Antiqua" w:cs="Book Antiqua"/>
        </w:rPr>
      </w:pPr>
    </w:p>
    <w:p w14:paraId="4688AFB0" w14:textId="77777777" w:rsidR="00504D22" w:rsidRDefault="00504D22">
      <w:pPr>
        <w:spacing w:after="0" w:line="240" w:lineRule="auto"/>
        <w:jc w:val="both"/>
        <w:rPr>
          <w:rFonts w:ascii="Book Antiqua" w:eastAsia="Book Antiqua" w:hAnsi="Book Antiqua" w:cs="Book Antiqua"/>
        </w:rPr>
      </w:pPr>
    </w:p>
    <w:p w14:paraId="0000008D" w14:textId="77777777" w:rsidR="00C73E3F" w:rsidRPr="00D34A9A" w:rsidRDefault="00000000">
      <w:pPr>
        <w:spacing w:after="0" w:line="240" w:lineRule="auto"/>
        <w:jc w:val="center"/>
        <w:rPr>
          <w:rFonts w:ascii="Book Antiqua" w:eastAsia="Book Antiqua" w:hAnsi="Book Antiqua" w:cs="Book Antiqua"/>
          <w:b/>
        </w:rPr>
      </w:pPr>
      <w:r w:rsidRPr="00D34A9A">
        <w:rPr>
          <w:rFonts w:ascii="Book Antiqua" w:eastAsia="Book Antiqua" w:hAnsi="Book Antiqua" w:cs="Book Antiqua"/>
          <w:b/>
        </w:rPr>
        <w:lastRenderedPageBreak/>
        <w:t xml:space="preserve">Mujeres </w:t>
      </w:r>
      <w:sdt>
        <w:sdtPr>
          <w:tag w:val="goog_rdk_0"/>
          <w:id w:val="1558042593"/>
        </w:sdtPr>
        <w:sdtContent/>
      </w:sdt>
      <w:r w:rsidRPr="00D34A9A">
        <w:rPr>
          <w:rFonts w:ascii="Book Antiqua" w:eastAsia="Book Antiqua" w:hAnsi="Book Antiqua" w:cs="Book Antiqua"/>
          <w:b/>
        </w:rPr>
        <w:t>Indígenas</w:t>
      </w:r>
    </w:p>
    <w:p w14:paraId="0000008E" w14:textId="77777777" w:rsidR="00C73E3F" w:rsidRPr="00D34A9A" w:rsidRDefault="00C73E3F">
      <w:pPr>
        <w:pBdr>
          <w:top w:val="nil"/>
          <w:left w:val="nil"/>
          <w:bottom w:val="nil"/>
          <w:right w:val="nil"/>
          <w:between w:val="nil"/>
        </w:pBdr>
        <w:spacing w:line="240" w:lineRule="auto"/>
        <w:jc w:val="both"/>
        <w:rPr>
          <w:rFonts w:ascii="Book Antiqua" w:eastAsia="Book Antiqua" w:hAnsi="Book Antiqua" w:cs="Book Antiqua"/>
        </w:rPr>
      </w:pPr>
    </w:p>
    <w:p w14:paraId="0000008F" w14:textId="77777777" w:rsidR="00C73E3F" w:rsidRPr="00D34A9A"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sidRPr="00D34A9A">
        <w:rPr>
          <w:rFonts w:ascii="Book Antiqua" w:eastAsia="Book Antiqua" w:hAnsi="Book Antiqua" w:cs="Book Antiqua"/>
          <w:color w:val="000000"/>
        </w:rPr>
        <w:t xml:space="preserve">Informe </w:t>
      </w:r>
    </w:p>
    <w:p w14:paraId="3CF21851" w14:textId="1C6F5310" w:rsidR="00D34A9A" w:rsidRPr="00D34A9A" w:rsidRDefault="00D34A9A">
      <w:pPr>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rPr>
      </w:pPr>
      <w:r w:rsidRPr="00D34A9A">
        <w:rPr>
          <w:rFonts w:ascii="Book Antiqua" w:eastAsia="Book Antiqua" w:hAnsi="Book Antiqua" w:cs="Book Antiqua"/>
          <w:color w:val="000000"/>
        </w:rPr>
        <w:t xml:space="preserve">La reforma de septiembre de 2024 al Art. 2 de la Constitución, incluye aspectos importantes relacionados con los derechos de las mujeres indígenas, lo que constituye un avance. Sin embargo, la situación de las mujeres indígenas en México continúa siendo precaria, como registramos a continuación. </w:t>
      </w:r>
    </w:p>
    <w:p w14:paraId="00000091" w14:textId="628AA308" w:rsidR="00C73E3F" w:rsidRDefault="00000000">
      <w:pPr>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rPr>
      </w:pPr>
      <w:r w:rsidRPr="00D34A9A">
        <w:rPr>
          <w:rFonts w:ascii="Book Antiqua" w:eastAsia="Book Antiqua" w:hAnsi="Book Antiqua" w:cs="Book Antiqua"/>
          <w:color w:val="000000"/>
        </w:rPr>
        <w:t>La seguridad alimentaria de mujeres indígenas puede verse afectada en algunas comunidades por las dificultades de acceso a alimentos debido a los cierres de servicios en escuelas y comunidades, escasez de alimentos por falta de producción, exceso de demanda, entre otros, y por las restricciones de circulación. Adicionalmente, las medidas de aislamiento social</w:t>
      </w:r>
      <w:r w:rsidR="00636639">
        <w:rPr>
          <w:rFonts w:ascii="Book Antiqua" w:eastAsia="Book Antiqua" w:hAnsi="Book Antiqua" w:cs="Book Antiqua"/>
          <w:color w:val="000000"/>
        </w:rPr>
        <w:t xml:space="preserve"> en la pandemia</w:t>
      </w:r>
      <w:r w:rsidRPr="00D34A9A">
        <w:rPr>
          <w:rFonts w:ascii="Book Antiqua" w:eastAsia="Book Antiqua" w:hAnsi="Book Antiqua" w:cs="Book Antiqua"/>
          <w:color w:val="000000"/>
        </w:rPr>
        <w:t xml:space="preserve"> implicaron la cancelación de actividades económicas, por ejemplo, el cierre de mercados, que representan un ingreso crucial para cubrir las necesidades alimentarias de las familias en las comunidades. Este</w:t>
      </w:r>
      <w:r>
        <w:rPr>
          <w:rFonts w:ascii="Book Antiqua" w:eastAsia="Book Antiqua" w:hAnsi="Book Antiqua" w:cs="Book Antiqua"/>
          <w:color w:val="000000"/>
        </w:rPr>
        <w:t xml:space="preserve"> impacto fue mayor para las madres sin pareja </w:t>
      </w:r>
      <w:proofErr w:type="spellStart"/>
      <w:r>
        <w:rPr>
          <w:rFonts w:ascii="Book Antiqua" w:eastAsia="Book Antiqua" w:hAnsi="Book Antiqua" w:cs="Book Antiqua"/>
          <w:color w:val="000000"/>
        </w:rPr>
        <w:t>corresidente</w:t>
      </w:r>
      <w:proofErr w:type="spellEnd"/>
      <w:r>
        <w:rPr>
          <w:rFonts w:ascii="Book Antiqua" w:eastAsia="Book Antiqua" w:hAnsi="Book Antiqua" w:cs="Book Antiqua"/>
          <w:color w:val="000000"/>
        </w:rPr>
        <w:t xml:space="preserve"> (de los hogares indígenas, 23.4% tienen jefatura femenina). </w:t>
      </w:r>
    </w:p>
    <w:p w14:paraId="00000092" w14:textId="31673960" w:rsidR="00C73E3F" w:rsidRDefault="00000000">
      <w:pPr>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La </w:t>
      </w:r>
      <w:r w:rsidR="00636639">
        <w:rPr>
          <w:rFonts w:ascii="Book Antiqua" w:eastAsia="Book Antiqua" w:hAnsi="Book Antiqua" w:cs="Book Antiqua"/>
          <w:color w:val="000000"/>
        </w:rPr>
        <w:t>pandemia</w:t>
      </w:r>
      <w:r>
        <w:rPr>
          <w:rFonts w:ascii="Book Antiqua" w:eastAsia="Book Antiqua" w:hAnsi="Book Antiqua" w:cs="Book Antiqua"/>
          <w:color w:val="000000"/>
        </w:rPr>
        <w:t xml:space="preserve"> ha tenido impactos en la salud y la seguridad de las mujeres. Además de las consecuencias causadas directamente por la enfermedad, las mujeres han padecido la dificultad de acceder a servicios básicos de salud sexual y reproductiva. </w:t>
      </w:r>
    </w:p>
    <w:p w14:paraId="00000093" w14:textId="77777777" w:rsidR="00C73E3F" w:rsidRDefault="00000000">
      <w:pPr>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A partir de los 15 años, 67.5% de las adolescentes y 64.9% de los adolescentes indígenas no estudian. Ante la contingencia por la pandemia de COVID-19, el cierre de escuelas incrementó el abandono escolar, principalmente entre la población de mujeres.</w:t>
      </w:r>
    </w:p>
    <w:p w14:paraId="00000094" w14:textId="77777777" w:rsidR="00C73E3F" w:rsidRDefault="00C73E3F">
      <w:pPr>
        <w:spacing w:after="0" w:line="240" w:lineRule="auto"/>
        <w:jc w:val="both"/>
        <w:rPr>
          <w:rFonts w:ascii="Book Antiqua" w:eastAsia="Book Antiqua" w:hAnsi="Book Antiqua" w:cs="Book Antiqua"/>
        </w:rPr>
      </w:pPr>
    </w:p>
    <w:p w14:paraId="00000095" w14:textId="77777777" w:rsidR="00C73E3F" w:rsidRDefault="00000000">
      <w:pPr>
        <w:spacing w:after="0" w:line="240" w:lineRule="auto"/>
        <w:jc w:val="both"/>
        <w:rPr>
          <w:rFonts w:ascii="Book Antiqua" w:eastAsia="Book Antiqua" w:hAnsi="Book Antiqua" w:cs="Book Antiqua"/>
        </w:rPr>
      </w:pPr>
      <w:r>
        <w:rPr>
          <w:rFonts w:ascii="Book Antiqua" w:eastAsia="Book Antiqua" w:hAnsi="Book Antiqua" w:cs="Book Antiqua"/>
        </w:rPr>
        <w:t>Recomendaciones al Estado Mexicano</w:t>
      </w:r>
    </w:p>
    <w:p w14:paraId="00000096" w14:textId="77777777" w:rsidR="00C73E3F" w:rsidRDefault="00C73E3F">
      <w:pPr>
        <w:spacing w:after="0" w:line="240" w:lineRule="auto"/>
        <w:jc w:val="both"/>
        <w:rPr>
          <w:rFonts w:ascii="Book Antiqua" w:eastAsia="Book Antiqua" w:hAnsi="Book Antiqua" w:cs="Book Antiqua"/>
        </w:rPr>
      </w:pPr>
    </w:p>
    <w:p w14:paraId="00000097" w14:textId="77777777" w:rsidR="00C73E3F"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Incluir el enfoque de género e intercultural en la información sobre COVID-19, así como implementar medidas para disponer de datos y estadísticas desagregadas por sexo y etnia que nos permitan conocer la realidad de las mujeres indígenas a la luz de la emergencia sanitaria y en general, y las secuelas que ésta dejo en las comunidades indígenas y qué impacto tuvo en la vida cotidiana de las mujeres.</w:t>
      </w:r>
    </w:p>
    <w:p w14:paraId="00000098" w14:textId="77777777" w:rsidR="00C73E3F" w:rsidRDefault="00C73E3F">
      <w:pPr>
        <w:spacing w:after="0" w:line="240" w:lineRule="auto"/>
        <w:jc w:val="both"/>
        <w:rPr>
          <w:rFonts w:ascii="Book Antiqua" w:eastAsia="Book Antiqua" w:hAnsi="Book Antiqua" w:cs="Book Antiqua"/>
        </w:rPr>
      </w:pPr>
    </w:p>
    <w:p w14:paraId="00000099" w14:textId="77777777" w:rsidR="00C73E3F" w:rsidRDefault="00C73E3F">
      <w:pPr>
        <w:spacing w:after="0" w:line="240" w:lineRule="auto"/>
        <w:jc w:val="both"/>
        <w:rPr>
          <w:rFonts w:ascii="Book Antiqua" w:eastAsia="Book Antiqua" w:hAnsi="Book Antiqua" w:cs="Book Antiqua"/>
        </w:rPr>
      </w:pPr>
    </w:p>
    <w:p w14:paraId="79EA4DAB" w14:textId="77777777" w:rsidR="00D34A9A" w:rsidRDefault="00D34A9A">
      <w:pPr>
        <w:spacing w:after="0" w:line="240" w:lineRule="auto"/>
        <w:jc w:val="both"/>
        <w:rPr>
          <w:rFonts w:ascii="Book Antiqua" w:eastAsia="Book Antiqua" w:hAnsi="Book Antiqua" w:cs="Book Antiqua"/>
        </w:rPr>
      </w:pPr>
    </w:p>
    <w:p w14:paraId="5AF0140D" w14:textId="77777777" w:rsidR="00D34A9A" w:rsidRDefault="00D34A9A">
      <w:pPr>
        <w:spacing w:after="0" w:line="240" w:lineRule="auto"/>
        <w:jc w:val="both"/>
        <w:rPr>
          <w:rFonts w:ascii="Book Antiqua" w:eastAsia="Book Antiqua" w:hAnsi="Book Antiqua" w:cs="Book Antiqua"/>
        </w:rPr>
      </w:pPr>
    </w:p>
    <w:p w14:paraId="37B16093" w14:textId="77777777" w:rsidR="00D34A9A" w:rsidRDefault="00D34A9A">
      <w:pPr>
        <w:spacing w:after="0" w:line="240" w:lineRule="auto"/>
        <w:jc w:val="both"/>
        <w:rPr>
          <w:rFonts w:ascii="Book Antiqua" w:eastAsia="Book Antiqua" w:hAnsi="Book Antiqua" w:cs="Book Antiqua"/>
        </w:rPr>
      </w:pPr>
    </w:p>
    <w:p w14:paraId="70217227" w14:textId="77777777" w:rsidR="00D34A9A" w:rsidRDefault="00D34A9A">
      <w:pPr>
        <w:spacing w:after="0" w:line="240" w:lineRule="auto"/>
        <w:jc w:val="both"/>
        <w:rPr>
          <w:rFonts w:ascii="Book Antiqua" w:eastAsia="Book Antiqua" w:hAnsi="Book Antiqua" w:cs="Book Antiqua"/>
        </w:rPr>
      </w:pPr>
    </w:p>
    <w:p w14:paraId="04D4FAAE" w14:textId="77777777" w:rsidR="00D34A9A" w:rsidRDefault="00D34A9A">
      <w:pPr>
        <w:spacing w:after="0" w:line="240" w:lineRule="auto"/>
        <w:jc w:val="both"/>
        <w:rPr>
          <w:rFonts w:ascii="Book Antiqua" w:eastAsia="Book Antiqua" w:hAnsi="Book Antiqua" w:cs="Book Antiqua"/>
        </w:rPr>
      </w:pPr>
    </w:p>
    <w:p w14:paraId="496DF276" w14:textId="77777777" w:rsidR="00D34A9A" w:rsidRDefault="00D34A9A">
      <w:pPr>
        <w:spacing w:after="0" w:line="240" w:lineRule="auto"/>
        <w:jc w:val="both"/>
        <w:rPr>
          <w:rFonts w:ascii="Book Antiqua" w:eastAsia="Book Antiqua" w:hAnsi="Book Antiqua" w:cs="Book Antiqua"/>
        </w:rPr>
      </w:pPr>
    </w:p>
    <w:p w14:paraId="5D0DAB34" w14:textId="77777777" w:rsidR="00D34A9A" w:rsidRDefault="00D34A9A">
      <w:pPr>
        <w:spacing w:after="0" w:line="240" w:lineRule="auto"/>
        <w:jc w:val="both"/>
        <w:rPr>
          <w:rFonts w:ascii="Book Antiqua" w:eastAsia="Book Antiqua" w:hAnsi="Book Antiqua" w:cs="Book Antiqua"/>
        </w:rPr>
      </w:pPr>
    </w:p>
    <w:p w14:paraId="3E84A866" w14:textId="77777777" w:rsidR="00D34A9A" w:rsidRDefault="00D34A9A">
      <w:pPr>
        <w:spacing w:after="0" w:line="240" w:lineRule="auto"/>
        <w:jc w:val="both"/>
        <w:rPr>
          <w:rFonts w:ascii="Book Antiqua" w:eastAsia="Book Antiqua" w:hAnsi="Book Antiqua" w:cs="Book Antiqua"/>
        </w:rPr>
      </w:pPr>
    </w:p>
    <w:p w14:paraId="034F9F97" w14:textId="77777777" w:rsidR="00636639" w:rsidRDefault="00636639">
      <w:pPr>
        <w:spacing w:after="0" w:line="240" w:lineRule="auto"/>
        <w:jc w:val="both"/>
        <w:rPr>
          <w:rFonts w:ascii="Book Antiqua" w:eastAsia="Book Antiqua" w:hAnsi="Book Antiqua" w:cs="Book Antiqua"/>
        </w:rPr>
      </w:pPr>
    </w:p>
    <w:p w14:paraId="38146C24" w14:textId="77777777" w:rsidR="00636639" w:rsidRDefault="00636639">
      <w:pPr>
        <w:spacing w:after="0" w:line="240" w:lineRule="auto"/>
        <w:jc w:val="both"/>
        <w:rPr>
          <w:rFonts w:ascii="Book Antiqua" w:eastAsia="Book Antiqua" w:hAnsi="Book Antiqua" w:cs="Book Antiqua"/>
        </w:rPr>
      </w:pPr>
    </w:p>
    <w:p w14:paraId="54454C80" w14:textId="77777777" w:rsidR="00636639" w:rsidRDefault="00636639">
      <w:pPr>
        <w:spacing w:after="0" w:line="240" w:lineRule="auto"/>
        <w:jc w:val="both"/>
        <w:rPr>
          <w:rFonts w:ascii="Book Antiqua" w:eastAsia="Book Antiqua" w:hAnsi="Book Antiqua" w:cs="Book Antiqua"/>
        </w:rPr>
      </w:pPr>
    </w:p>
    <w:p w14:paraId="414305D2" w14:textId="77777777" w:rsidR="00636639" w:rsidRDefault="00636639">
      <w:pPr>
        <w:spacing w:after="0" w:line="240" w:lineRule="auto"/>
        <w:jc w:val="both"/>
        <w:rPr>
          <w:rFonts w:ascii="Book Antiqua" w:eastAsia="Book Antiqua" w:hAnsi="Book Antiqua" w:cs="Book Antiqua"/>
        </w:rPr>
      </w:pPr>
    </w:p>
    <w:p w14:paraId="00711418" w14:textId="77777777" w:rsidR="00636639" w:rsidRDefault="00636639">
      <w:pPr>
        <w:spacing w:after="0" w:line="240" w:lineRule="auto"/>
        <w:jc w:val="both"/>
        <w:rPr>
          <w:rFonts w:ascii="Book Antiqua" w:eastAsia="Book Antiqua" w:hAnsi="Book Antiqua" w:cs="Book Antiqua"/>
        </w:rPr>
      </w:pPr>
    </w:p>
    <w:p w14:paraId="1E05269F" w14:textId="77777777" w:rsidR="00636639" w:rsidRDefault="00636639">
      <w:pPr>
        <w:spacing w:after="0" w:line="240" w:lineRule="auto"/>
        <w:jc w:val="both"/>
        <w:rPr>
          <w:rFonts w:ascii="Book Antiqua" w:eastAsia="Book Antiqua" w:hAnsi="Book Antiqua" w:cs="Book Antiqua"/>
        </w:rPr>
      </w:pPr>
    </w:p>
    <w:p w14:paraId="0000009A" w14:textId="77777777" w:rsidR="00C73E3F" w:rsidRDefault="00C73E3F">
      <w:pPr>
        <w:spacing w:after="0" w:line="240" w:lineRule="auto"/>
        <w:jc w:val="both"/>
        <w:rPr>
          <w:rFonts w:ascii="Book Antiqua" w:eastAsia="Book Antiqua" w:hAnsi="Book Antiqua" w:cs="Book Antiqua"/>
        </w:rPr>
      </w:pPr>
    </w:p>
    <w:p w14:paraId="0000009B" w14:textId="77777777" w:rsidR="00C73E3F" w:rsidRDefault="00000000">
      <w:pPr>
        <w:spacing w:after="0" w:line="240" w:lineRule="auto"/>
        <w:jc w:val="center"/>
        <w:rPr>
          <w:rFonts w:ascii="Book Antiqua" w:eastAsia="Book Antiqua" w:hAnsi="Book Antiqua" w:cs="Book Antiqua"/>
          <w:b/>
          <w:color w:val="000000"/>
        </w:rPr>
      </w:pPr>
      <w:r>
        <w:rPr>
          <w:rFonts w:ascii="Book Antiqua" w:eastAsia="Book Antiqua" w:hAnsi="Book Antiqua" w:cs="Book Antiqua"/>
          <w:b/>
          <w:color w:val="000000"/>
        </w:rPr>
        <w:lastRenderedPageBreak/>
        <w:t>Trata de mujeres con fines de explotación sexual</w:t>
      </w:r>
    </w:p>
    <w:p w14:paraId="0000009C"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rPr>
      </w:pPr>
      <w:r>
        <w:rPr>
          <w:rFonts w:ascii="Book Antiqua" w:eastAsia="Book Antiqua" w:hAnsi="Book Antiqua" w:cs="Book Antiqua"/>
          <w:color w:val="000000"/>
        </w:rPr>
        <w:t>Informe</w:t>
      </w:r>
    </w:p>
    <w:p w14:paraId="0000009D" w14:textId="77777777" w:rsidR="00C73E3F" w:rsidRPr="00D34A9A"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Siguen siendo las mujeres, las niñas y las adolescentes las más afectadas, representan el 42%, las menores 18%, un 60% del total de las víctimas de trata a nivel mundial. </w:t>
      </w:r>
      <w:r w:rsidRPr="00D34A9A">
        <w:rPr>
          <w:rFonts w:ascii="Book Antiqua" w:eastAsia="Roboto" w:hAnsi="Book Antiqua" w:cs="Roboto"/>
          <w:color w:val="000000" w:themeColor="text1"/>
          <w:highlight w:val="white"/>
        </w:rPr>
        <w:t>Las mujeres y las niñas siguen representando la mayoría de las víctimas detectadas en todo el mundo (61% en 2022). La mayoría de las niñas víctimas (60%) detectadas siguen siendo víctimas de trata con fines de explotación sexual. (Informe Mundial sobre Trata de Personas 2024 de la Oficina de las Naciones Unidas contra la Droga y el Delito (UNODC).</w:t>
      </w:r>
    </w:p>
    <w:p w14:paraId="0000009E" w14:textId="58F37E97" w:rsidR="00C73E3F" w:rsidRPr="00D34A9A" w:rsidRDefault="00000000">
      <w:pPr>
        <w:numPr>
          <w:ilvl w:val="0"/>
          <w:numId w:val="10"/>
        </w:numPr>
        <w:pBdr>
          <w:top w:val="nil"/>
          <w:left w:val="nil"/>
          <w:bottom w:val="nil"/>
          <w:right w:val="nil"/>
          <w:between w:val="nil"/>
        </w:pBdr>
        <w:spacing w:after="0" w:line="240" w:lineRule="auto"/>
        <w:jc w:val="both"/>
        <w:rPr>
          <w:rFonts w:ascii="Book Antiqua" w:eastAsia="Roboto" w:hAnsi="Book Antiqua" w:cs="Roboto"/>
          <w:color w:val="000000" w:themeColor="text1"/>
          <w:highlight w:val="white"/>
        </w:rPr>
      </w:pPr>
      <w:r w:rsidRPr="00D34A9A">
        <w:rPr>
          <w:rFonts w:ascii="Book Antiqua" w:eastAsia="Roboto" w:hAnsi="Book Antiqua" w:cs="Roboto"/>
          <w:color w:val="000000" w:themeColor="text1"/>
          <w:highlight w:val="white"/>
        </w:rPr>
        <w:t>Au</w:t>
      </w:r>
      <w:sdt>
        <w:sdtPr>
          <w:rPr>
            <w:rFonts w:ascii="Book Antiqua" w:hAnsi="Book Antiqua"/>
            <w:color w:val="000000" w:themeColor="text1"/>
          </w:rPr>
          <w:tag w:val="goog_rdk_1"/>
          <w:id w:val="533543606"/>
        </w:sdtPr>
        <w:sdtContent/>
      </w:sdt>
      <w:r w:rsidRPr="00D34A9A">
        <w:rPr>
          <w:rFonts w:ascii="Book Antiqua" w:eastAsia="Roboto" w:hAnsi="Book Antiqua" w:cs="Roboto"/>
          <w:color w:val="000000" w:themeColor="text1"/>
          <w:highlight w:val="white"/>
        </w:rPr>
        <w:t>mentó un 25% la explotación infantil y el trabajo forzado, no se identifica si son más niñas o niños las víctimas</w:t>
      </w:r>
      <w:r w:rsidR="00105DDB">
        <w:rPr>
          <w:rFonts w:ascii="Book Antiqua" w:eastAsia="Roboto" w:hAnsi="Book Antiqua" w:cs="Roboto"/>
          <w:color w:val="000000" w:themeColor="text1"/>
          <w:highlight w:val="white"/>
        </w:rPr>
        <w:t xml:space="preserve"> (UNODC)</w:t>
      </w:r>
      <w:r w:rsidRPr="00D34A9A">
        <w:rPr>
          <w:rFonts w:ascii="Book Antiqua" w:eastAsia="Roboto" w:hAnsi="Book Antiqua" w:cs="Roboto"/>
          <w:color w:val="000000" w:themeColor="text1"/>
          <w:highlight w:val="white"/>
        </w:rPr>
        <w:t xml:space="preserve">.  </w:t>
      </w:r>
    </w:p>
    <w:p w14:paraId="0000009F" w14:textId="4BA8E2E2" w:rsidR="00C73E3F" w:rsidRPr="00D34A9A"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Se mantiene la falta de estrategias de sensibilización, capacitación y formación de las personas servidoras públicas encargadas de la atención y la procuración de justicia que incluyan la perspectiva de g</w:t>
      </w:r>
      <w:r w:rsidR="00D34A9A">
        <w:rPr>
          <w:rFonts w:ascii="Book Antiqua" w:eastAsia="Book Antiqua" w:hAnsi="Book Antiqua" w:cs="Book Antiqua"/>
          <w:color w:val="000000" w:themeColor="text1"/>
        </w:rPr>
        <w:t>é</w:t>
      </w:r>
      <w:r w:rsidRPr="00D34A9A">
        <w:rPr>
          <w:rFonts w:ascii="Book Antiqua" w:eastAsia="Book Antiqua" w:hAnsi="Book Antiqua" w:cs="Book Antiqua"/>
          <w:color w:val="000000" w:themeColor="text1"/>
        </w:rPr>
        <w:t xml:space="preserve">nero feminista, el enfoque diferencial y de derechos humanos, para la prevención, detección y atención de los posibles casos de mujeres y niñas víctimas de trata con fines de explotación sexual. </w:t>
      </w:r>
    </w:p>
    <w:p w14:paraId="000000A1" w14:textId="48D31F0C" w:rsidR="00C73E3F" w:rsidRPr="00D34A9A"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 xml:space="preserve">Las desapariciones de niñas y jóvenes </w:t>
      </w:r>
      <w:proofErr w:type="gramStart"/>
      <w:r w:rsidRPr="00D34A9A">
        <w:rPr>
          <w:rFonts w:ascii="Book Antiqua" w:eastAsia="Book Antiqua" w:hAnsi="Book Antiqua" w:cs="Book Antiqua"/>
          <w:color w:val="000000" w:themeColor="text1"/>
        </w:rPr>
        <w:t>principalmente,</w:t>
      </w:r>
      <w:proofErr w:type="gramEnd"/>
      <w:r w:rsidRPr="00D34A9A">
        <w:rPr>
          <w:rFonts w:ascii="Book Antiqua" w:eastAsia="Book Antiqua" w:hAnsi="Book Antiqua" w:cs="Book Antiqua"/>
          <w:color w:val="000000" w:themeColor="text1"/>
        </w:rPr>
        <w:t xml:space="preserve"> están ligadas a la trata con fines de explotación sexual porque, en los Estados donde se identifican desapariciones de niñas y jóvenes, existe un contexto de explotación sexual. </w:t>
      </w:r>
    </w:p>
    <w:p w14:paraId="000000A2" w14:textId="37D2EC37" w:rsidR="00C73E3F" w:rsidRPr="00D34A9A"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 xml:space="preserve">Actualmente </w:t>
      </w:r>
      <w:r w:rsidR="00D34A9A">
        <w:rPr>
          <w:rFonts w:ascii="Book Antiqua" w:eastAsia="Book Antiqua" w:hAnsi="Book Antiqua" w:cs="Book Antiqua"/>
          <w:color w:val="000000" w:themeColor="text1"/>
        </w:rPr>
        <w:t>prevalece</w:t>
      </w:r>
      <w:r w:rsidRPr="00D34A9A">
        <w:rPr>
          <w:rFonts w:ascii="Book Antiqua" w:eastAsia="Book Antiqua" w:hAnsi="Book Antiqua" w:cs="Book Antiqua"/>
          <w:color w:val="000000" w:themeColor="text1"/>
        </w:rPr>
        <w:t xml:space="preserve"> una confusión entre prostitución y explotación sexual, </w:t>
      </w:r>
      <w:r w:rsidR="00D34A9A">
        <w:rPr>
          <w:rFonts w:ascii="Book Antiqua" w:eastAsia="Book Antiqua" w:hAnsi="Book Antiqua" w:cs="Book Antiqua"/>
          <w:color w:val="000000" w:themeColor="text1"/>
        </w:rPr>
        <w:t>lo que genera que agentes del Estado mexicano argumenten</w:t>
      </w:r>
      <w:r w:rsidRPr="00D34A9A">
        <w:rPr>
          <w:rFonts w:ascii="Book Antiqua" w:eastAsia="Book Antiqua" w:hAnsi="Book Antiqua" w:cs="Book Antiqua"/>
          <w:color w:val="000000" w:themeColor="text1"/>
        </w:rPr>
        <w:t xml:space="preserve"> el consentimiento y la agencia</w:t>
      </w:r>
      <w:r w:rsidR="00D34A9A">
        <w:rPr>
          <w:rFonts w:ascii="Book Antiqua" w:eastAsia="Book Antiqua" w:hAnsi="Book Antiqua" w:cs="Book Antiqua"/>
          <w:color w:val="000000" w:themeColor="text1"/>
        </w:rPr>
        <w:t xml:space="preserve"> de las niñas y mujeres que son</w:t>
      </w:r>
      <w:r w:rsidRPr="00D34A9A">
        <w:rPr>
          <w:rFonts w:ascii="Book Antiqua" w:eastAsia="Book Antiqua" w:hAnsi="Book Antiqua" w:cs="Book Antiqua"/>
          <w:color w:val="000000" w:themeColor="text1"/>
        </w:rPr>
        <w:t xml:space="preserve"> explotadas sexualmente, </w:t>
      </w:r>
      <w:r w:rsidR="00D34A9A">
        <w:rPr>
          <w:rFonts w:ascii="Book Antiqua" w:eastAsia="Book Antiqua" w:hAnsi="Book Antiqua" w:cs="Book Antiqua"/>
          <w:color w:val="000000" w:themeColor="text1"/>
        </w:rPr>
        <w:t>con el fin de lograr</w:t>
      </w:r>
      <w:r w:rsidRPr="00D34A9A">
        <w:rPr>
          <w:rFonts w:ascii="Book Antiqua" w:eastAsia="Book Antiqua" w:hAnsi="Book Antiqua" w:cs="Book Antiqua"/>
          <w:color w:val="000000" w:themeColor="text1"/>
        </w:rPr>
        <w:t xml:space="preserve"> una regulación de dicha actividad, que tendría como resultado el beneficio para las y los tratantes y explotadores, así como para los mal llamados clientes. En los contextos de prostitución no es posible identificar/separar a las víctimas de la trata con fines de explotación sexual, de las mujeres que argumentan estar por su elección.</w:t>
      </w:r>
    </w:p>
    <w:p w14:paraId="000000A3" w14:textId="55EACFC6" w:rsidR="00C73E3F" w:rsidRPr="00D34A9A" w:rsidRDefault="00000000">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En México</w:t>
      </w:r>
      <w:r w:rsid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el crimen organizado ha tomado el control de la trata de mujeres, niñas y jóvenes, siendo la desaparición y </w:t>
      </w:r>
      <w:r w:rsidR="00D34A9A">
        <w:rPr>
          <w:rFonts w:ascii="Book Antiqua" w:eastAsia="Book Antiqua" w:hAnsi="Book Antiqua" w:cs="Book Antiqua"/>
          <w:color w:val="000000" w:themeColor="text1"/>
        </w:rPr>
        <w:t>el feminicidio</w:t>
      </w:r>
      <w:r w:rsidRPr="00D34A9A">
        <w:rPr>
          <w:rFonts w:ascii="Book Antiqua" w:eastAsia="Book Antiqua" w:hAnsi="Book Antiqua" w:cs="Book Antiqua"/>
          <w:color w:val="000000" w:themeColor="text1"/>
        </w:rPr>
        <w:t xml:space="preserve"> fenómenos interrelacionados y que colocan a las mujeres en una situación de muy alta vulnerabilidad y violencia. </w:t>
      </w:r>
    </w:p>
    <w:p w14:paraId="000000A5" w14:textId="7B6F2DBD" w:rsidR="00C73E3F" w:rsidRPr="007D292A" w:rsidRDefault="00000000" w:rsidP="007D292A">
      <w:pPr>
        <w:numPr>
          <w:ilvl w:val="0"/>
          <w:numId w:val="10"/>
        </w:numPr>
        <w:pBdr>
          <w:top w:val="nil"/>
          <w:left w:val="nil"/>
          <w:bottom w:val="nil"/>
          <w:right w:val="nil"/>
          <w:between w:val="nil"/>
        </w:pBdr>
        <w:spacing w:after="0" w:line="240" w:lineRule="auto"/>
        <w:jc w:val="both"/>
        <w:rPr>
          <w:rFonts w:ascii="Book Antiqua" w:eastAsia="Book Antiqua" w:hAnsi="Book Antiqua" w:cs="Book Antiqua"/>
          <w:color w:val="000000" w:themeColor="text1"/>
        </w:rPr>
      </w:pPr>
      <w:r w:rsidRPr="00D34A9A">
        <w:rPr>
          <w:rFonts w:ascii="Book Antiqua" w:eastAsia="Book Antiqua" w:hAnsi="Book Antiqua" w:cs="Book Antiqua"/>
          <w:color w:val="000000" w:themeColor="text1"/>
        </w:rPr>
        <w:t xml:space="preserve">La migración, el tráfico, el secuestro y la trata de mujeres actualmente guardan una relación en el contexto de la movilidad humana irregular. </w:t>
      </w:r>
      <w:r w:rsidR="00D34A9A">
        <w:rPr>
          <w:rFonts w:ascii="Book Antiqua" w:eastAsia="Book Antiqua" w:hAnsi="Book Antiqua" w:cs="Book Antiqua"/>
          <w:color w:val="000000" w:themeColor="text1"/>
        </w:rPr>
        <w:t>E</w:t>
      </w:r>
      <w:r w:rsidRPr="00D34A9A">
        <w:rPr>
          <w:rFonts w:ascii="Book Antiqua" w:eastAsia="Book Antiqua" w:hAnsi="Book Antiqua" w:cs="Book Antiqua"/>
          <w:color w:val="000000" w:themeColor="text1"/>
        </w:rPr>
        <w:t>n estos trayectos</w:t>
      </w:r>
      <w:r w:rsidR="00D34A9A">
        <w:rPr>
          <w:rFonts w:ascii="Book Antiqua" w:eastAsia="Book Antiqua" w:hAnsi="Book Antiqua" w:cs="Book Antiqua"/>
          <w:color w:val="000000" w:themeColor="text1"/>
        </w:rPr>
        <w:t>,</w:t>
      </w:r>
      <w:r w:rsidRPr="00D34A9A">
        <w:rPr>
          <w:rFonts w:ascii="Book Antiqua" w:eastAsia="Book Antiqua" w:hAnsi="Book Antiqua" w:cs="Book Antiqua"/>
          <w:color w:val="000000" w:themeColor="text1"/>
        </w:rPr>
        <w:t xml:space="preserve"> las mujeres, niñas y jóvenes son víctimas de trata con fines de explotación sexual, secuestro, desapariciones</w:t>
      </w:r>
      <w:r w:rsidR="00D34A9A">
        <w:rPr>
          <w:rFonts w:ascii="Book Antiqua" w:eastAsia="Book Antiqua" w:hAnsi="Book Antiqua" w:cs="Book Antiqua"/>
          <w:color w:val="000000" w:themeColor="text1"/>
        </w:rPr>
        <w:t xml:space="preserve"> y feminicidio, además de que son</w:t>
      </w:r>
      <w:r w:rsidRPr="00D34A9A">
        <w:rPr>
          <w:rFonts w:ascii="Book Antiqua" w:eastAsia="Book Antiqua" w:hAnsi="Book Antiqua" w:cs="Book Antiqua"/>
          <w:color w:val="000000" w:themeColor="text1"/>
        </w:rPr>
        <w:t xml:space="preserve"> obligadas a participar en actividades criminales.</w:t>
      </w:r>
    </w:p>
    <w:p w14:paraId="000000A6" w14:textId="77777777" w:rsidR="00C73E3F" w:rsidRDefault="00C73E3F">
      <w:pPr>
        <w:spacing w:after="0" w:line="240" w:lineRule="auto"/>
        <w:jc w:val="both"/>
        <w:rPr>
          <w:rFonts w:ascii="Book Antiqua" w:eastAsia="Book Antiqua" w:hAnsi="Book Antiqua" w:cs="Book Antiqua"/>
        </w:rPr>
      </w:pPr>
    </w:p>
    <w:p w14:paraId="000000A7" w14:textId="77777777" w:rsidR="00C73E3F" w:rsidRDefault="00000000">
      <w:pPr>
        <w:spacing w:line="240" w:lineRule="auto"/>
        <w:jc w:val="both"/>
        <w:rPr>
          <w:rFonts w:ascii="Book Antiqua" w:eastAsia="Book Antiqua" w:hAnsi="Book Antiqua" w:cs="Book Antiqua"/>
        </w:rPr>
      </w:pPr>
      <w:r>
        <w:rPr>
          <w:rFonts w:ascii="Book Antiqua" w:eastAsia="Book Antiqua" w:hAnsi="Book Antiqua" w:cs="Book Antiqua"/>
        </w:rPr>
        <w:t>Recomendaciones al Estado Mexicano</w:t>
      </w:r>
    </w:p>
    <w:p w14:paraId="000000A8" w14:textId="3F902867" w:rsidR="00C73E3F" w:rsidRDefault="00000000">
      <w:pPr>
        <w:numPr>
          <w:ilvl w:val="0"/>
          <w:numId w:val="13"/>
        </w:numPr>
        <w:pBdr>
          <w:top w:val="nil"/>
          <w:left w:val="nil"/>
          <w:bottom w:val="nil"/>
          <w:right w:val="nil"/>
          <w:between w:val="nil"/>
        </w:pBdr>
        <w:spacing w:after="0" w:line="240" w:lineRule="auto"/>
        <w:jc w:val="both"/>
        <w:rPr>
          <w:rFonts w:ascii="Book Antiqua" w:eastAsia="Book Antiqua" w:hAnsi="Book Antiqua" w:cs="Book Antiqua"/>
          <w:color w:val="000000"/>
        </w:rPr>
      </w:pPr>
      <w:r>
        <w:rPr>
          <w:rFonts w:ascii="Book Antiqua" w:eastAsia="Book Antiqua" w:hAnsi="Book Antiqua" w:cs="Book Antiqua"/>
          <w:color w:val="000000"/>
        </w:rPr>
        <w:t xml:space="preserve">Realizar desde los tres poderes la discusión entre todas las partes involucradas y opiniones en torno a las obligaciones del Estado </w:t>
      </w:r>
      <w:r w:rsidR="00504D22">
        <w:rPr>
          <w:rFonts w:ascii="Book Antiqua" w:eastAsia="Book Antiqua" w:hAnsi="Book Antiqua" w:cs="Book Antiqua"/>
          <w:color w:val="000000"/>
        </w:rPr>
        <w:t>contra</w:t>
      </w:r>
      <w:r>
        <w:rPr>
          <w:rFonts w:ascii="Book Antiqua" w:eastAsia="Book Antiqua" w:hAnsi="Book Antiqua" w:cs="Book Antiqua"/>
          <w:color w:val="000000"/>
        </w:rPr>
        <w:t xml:space="preserve"> la prostitución y la manera de dar cumplimiento a ello.</w:t>
      </w:r>
    </w:p>
    <w:p w14:paraId="000000A9" w14:textId="7AB50300" w:rsidR="00C73E3F" w:rsidRDefault="00C73E3F">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04A64BC2" w14:textId="77777777" w:rsidR="00EB2EEE" w:rsidRDefault="00EB2EEE">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1582D34C" w14:textId="77777777" w:rsidR="00EB2EEE" w:rsidRDefault="00EB2EEE">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6F45A64E" w14:textId="77777777" w:rsidR="00EB2EEE" w:rsidRDefault="00EB2EEE">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3E2F400F" w14:textId="77777777" w:rsidR="00EB2EEE" w:rsidRDefault="00EB2EEE">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21756B23" w14:textId="77777777" w:rsidR="00EB2EEE" w:rsidRDefault="00EB2EEE">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663EE4C1" w14:textId="77777777" w:rsidR="00EB2EEE" w:rsidRDefault="00EB2EEE">
      <w:pPr>
        <w:pBdr>
          <w:top w:val="nil"/>
          <w:left w:val="nil"/>
          <w:bottom w:val="nil"/>
          <w:right w:val="nil"/>
          <w:between w:val="nil"/>
        </w:pBdr>
        <w:spacing w:after="0" w:line="240" w:lineRule="auto"/>
        <w:ind w:left="720"/>
        <w:jc w:val="both"/>
        <w:rPr>
          <w:rFonts w:ascii="Book Antiqua" w:eastAsia="Book Antiqua" w:hAnsi="Book Antiqua" w:cs="Book Antiqua"/>
          <w:color w:val="000000"/>
        </w:rPr>
      </w:pPr>
    </w:p>
    <w:p w14:paraId="6AD25047" w14:textId="77777777" w:rsidR="00EB2EEE" w:rsidRDefault="00EB2EEE" w:rsidP="007D292A">
      <w:pPr>
        <w:pBdr>
          <w:top w:val="nil"/>
          <w:left w:val="nil"/>
          <w:bottom w:val="nil"/>
          <w:right w:val="nil"/>
          <w:between w:val="nil"/>
        </w:pBdr>
        <w:spacing w:after="0" w:line="240" w:lineRule="auto"/>
        <w:jc w:val="both"/>
        <w:rPr>
          <w:rFonts w:ascii="Book Antiqua" w:eastAsia="Book Antiqua" w:hAnsi="Book Antiqua" w:cs="Book Antiqua"/>
          <w:color w:val="000000"/>
        </w:rPr>
      </w:pPr>
    </w:p>
    <w:sectPr w:rsidR="00EB2EEE">
      <w:footerReference w:type="even" r:id="rId10"/>
      <w:foot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846CD" w14:textId="77777777" w:rsidR="00FB0EB0" w:rsidRDefault="00FB0EB0">
      <w:pPr>
        <w:spacing w:after="0" w:line="240" w:lineRule="auto"/>
      </w:pPr>
      <w:r>
        <w:separator/>
      </w:r>
    </w:p>
  </w:endnote>
  <w:endnote w:type="continuationSeparator" w:id="0">
    <w:p w14:paraId="6BC33FBB" w14:textId="77777777" w:rsidR="00FB0EB0" w:rsidRDefault="00FB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8EDCEC6F-974E-B441-910F-EFB373240C60}"/>
  </w:font>
  <w:font w:name="Courier New">
    <w:panose1 w:val="02070309020205020404"/>
    <w:charset w:val="00"/>
    <w:family w:val="modern"/>
    <w:pitch w:val="fixed"/>
    <w:sig w:usb0="E0002AFF" w:usb1="C0007843" w:usb2="00000009" w:usb3="00000000" w:csb0="000001FF" w:csb1="00000000"/>
    <w:embedRegular r:id="rId2" w:fontKey="{BD22FDA3-29A3-E843-87E0-08AF268741F2}"/>
  </w:font>
  <w:font w:name="Symbol">
    <w:panose1 w:val="05050102010706020507"/>
    <w:charset w:val="02"/>
    <w:family w:val="decorative"/>
    <w:pitch w:val="variable"/>
    <w:sig w:usb0="00000000" w:usb1="10000000" w:usb2="00000000" w:usb3="00000000" w:csb0="80000000" w:csb1="00000000"/>
    <w:embedRegular r:id="rId3" w:fontKey="{B2D6E9CD-A510-4140-816E-750D7D4701CA}"/>
  </w:font>
  <w:font w:name="Times New Roman">
    <w:panose1 w:val="02020603050405020304"/>
    <w:charset w:val="00"/>
    <w:family w:val="roman"/>
    <w:pitch w:val="variable"/>
    <w:sig w:usb0="E0002EFF" w:usb1="C000785B" w:usb2="00000009" w:usb3="00000000" w:csb0="000001FF" w:csb1="00000000"/>
    <w:embedRegular r:id="rId4" w:fontKey="{EE7A097D-0316-214D-A00B-3AEEF34323D1}"/>
    <w:embedBold r:id="rId5" w:fontKey="{42077D72-00EF-8B49-810F-665C4A4D6CA1}"/>
    <w:embedItalic r:id="rId6" w:fontKey="{3BB77B97-63D0-1043-B448-4DA068DD70BB}"/>
  </w:font>
  <w:font w:name="Wingdings">
    <w:panose1 w:val="05000000000000000000"/>
    <w:charset w:val="4D"/>
    <w:family w:val="decorative"/>
    <w:pitch w:val="variable"/>
    <w:sig w:usb0="00000003" w:usb1="00000000" w:usb2="00000000" w:usb3="00000000" w:csb0="80000001" w:csb1="00000000"/>
    <w:embedRegular r:id="rId7" w:fontKey="{5F112ACA-B526-5848-9788-A31F164F1605}"/>
  </w:font>
  <w:font w:name="Calibri">
    <w:panose1 w:val="020F0502020204030204"/>
    <w:charset w:val="00"/>
    <w:family w:val="swiss"/>
    <w:pitch w:val="variable"/>
    <w:sig w:usb0="E0002AFF" w:usb1="C000247B" w:usb2="00000009" w:usb3="00000000" w:csb0="000001FF" w:csb1="00000000"/>
    <w:embedRegular r:id="rId8" w:fontKey="{B922C75E-6661-BE4B-A1BD-2F2E48EF568E}"/>
    <w:embedBold r:id="rId9" w:fontKey="{54098DA4-D514-E14A-AE20-F0E934E7E5BD}"/>
  </w:font>
  <w:font w:name="Arial">
    <w:panose1 w:val="020B0604020202020204"/>
    <w:charset w:val="00"/>
    <w:family w:val="swiss"/>
    <w:pitch w:val="variable"/>
    <w:sig w:usb0="E0002AFF" w:usb1="C0007843" w:usb2="00000009" w:usb3="00000000" w:csb0="000001FF" w:csb1="00000000"/>
    <w:embedRegular r:id="rId10" w:fontKey="{7C08580C-BEF6-2D4D-988F-CB2B7C620B6A}"/>
  </w:font>
  <w:font w:name="Georgia">
    <w:panose1 w:val="02040502050405020303"/>
    <w:charset w:val="00"/>
    <w:family w:val="roman"/>
    <w:pitch w:val="variable"/>
    <w:sig w:usb0="00000287" w:usb1="00000000" w:usb2="00000000" w:usb3="00000000" w:csb0="0000009F" w:csb1="00000000"/>
    <w:embedRegular r:id="rId11" w:fontKey="{699E8583-ACDA-174B-B3B7-9644723EA562}"/>
    <w:embedItalic r:id="rId12" w:fontKey="{BA4E0390-BFBB-8440-B68C-1ED12A71CC26}"/>
  </w:font>
  <w:font w:name="Book Antiqua">
    <w:panose1 w:val="02040602050305030304"/>
    <w:charset w:val="00"/>
    <w:family w:val="roman"/>
    <w:pitch w:val="variable"/>
    <w:sig w:usb0="00000287" w:usb1="00000000" w:usb2="00000000" w:usb3="00000000" w:csb0="0000009F" w:csb1="00000000"/>
    <w:embedRegular r:id="rId13" w:fontKey="{18DB67E0-6257-DD49-B40D-710B21F81F6A}"/>
    <w:embedBold r:id="rId14" w:fontKey="{077F867B-0C1A-7D4C-AFBC-B984B774A032}"/>
  </w:font>
  <w:font w:name="Cambria">
    <w:panose1 w:val="02040503050406030204"/>
    <w:charset w:val="00"/>
    <w:family w:val="roman"/>
    <w:pitch w:val="variable"/>
    <w:sig w:usb0="E00002FF" w:usb1="400004FF" w:usb2="00000000" w:usb3="00000000" w:csb0="0000019F" w:csb1="00000000"/>
    <w:embedRegular r:id="rId15" w:fontKey="{97F0B447-4E96-AA4D-A02D-70A1984C42DE}"/>
  </w:font>
  <w:font w:name="Roboto">
    <w:panose1 w:val="020B0604020202020204"/>
    <w:charset w:val="00"/>
    <w:family w:val="auto"/>
    <w:pitch w:val="variable"/>
    <w:sig w:usb0="E0000AFF" w:usb1="5000217F" w:usb2="00000021" w:usb3="00000000" w:csb0="0000019F" w:csb1="00000000"/>
    <w:embedRegular r:id="rId16" w:fontKey="{FB907EB8-4C19-D94A-A911-595FD9530839}"/>
  </w:font>
  <w:font w:name="Calibri Light">
    <w:panose1 w:val="020F0302020204030204"/>
    <w:charset w:val="00"/>
    <w:family w:val="swiss"/>
    <w:pitch w:val="variable"/>
    <w:sig w:usb0="E0002AFF" w:usb1="C000247B" w:usb2="00000009" w:usb3="00000000" w:csb0="000001FF" w:csb1="00000000"/>
    <w:embedRegular r:id="rId17" w:fontKey="{5104D254-B826-5F48-BB94-2B69E50E07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1" w14:textId="77777777" w:rsidR="00C73E3F"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C2" w14:textId="77777777" w:rsidR="00C73E3F" w:rsidRDefault="00C73E3F">
    <w:pPr>
      <w:pBdr>
        <w:top w:val="nil"/>
        <w:left w:val="nil"/>
        <w:bottom w:val="nil"/>
        <w:right w:val="nil"/>
        <w:between w:val="nil"/>
      </w:pBdr>
      <w:tabs>
        <w:tab w:val="center" w:pos="4419"/>
        <w:tab w:val="right" w:pos="8838"/>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3" w14:textId="3C6E2E57" w:rsidR="00C73E3F" w:rsidRDefault="00000000">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34A9A">
      <w:rPr>
        <w:noProof/>
        <w:color w:val="000000"/>
      </w:rPr>
      <w:t>1</w:t>
    </w:r>
    <w:r>
      <w:rPr>
        <w:color w:val="000000"/>
      </w:rPr>
      <w:fldChar w:fldCharType="end"/>
    </w:r>
  </w:p>
  <w:p w14:paraId="000000C4" w14:textId="77777777" w:rsidR="00C73E3F" w:rsidRDefault="00C73E3F">
    <w:pPr>
      <w:pBdr>
        <w:top w:val="nil"/>
        <w:left w:val="nil"/>
        <w:bottom w:val="nil"/>
        <w:right w:val="nil"/>
        <w:between w:val="nil"/>
      </w:pBdr>
      <w:tabs>
        <w:tab w:val="center" w:pos="4419"/>
        <w:tab w:val="right" w:pos="8838"/>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92A35" w14:textId="77777777" w:rsidR="00FB0EB0" w:rsidRDefault="00FB0EB0">
      <w:pPr>
        <w:spacing w:after="0" w:line="240" w:lineRule="auto"/>
      </w:pPr>
      <w:r>
        <w:separator/>
      </w:r>
    </w:p>
  </w:footnote>
  <w:footnote w:type="continuationSeparator" w:id="0">
    <w:p w14:paraId="3DFE1D2F" w14:textId="77777777" w:rsidR="00FB0EB0" w:rsidRDefault="00FB0EB0">
      <w:pPr>
        <w:spacing w:after="0" w:line="240" w:lineRule="auto"/>
      </w:pPr>
      <w:r>
        <w:continuationSeparator/>
      </w:r>
    </w:p>
  </w:footnote>
  <w:footnote w:id="1">
    <w:p w14:paraId="000000AA" w14:textId="77777777" w:rsidR="00C73E3F"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Contacto: aimeevegamx@yahoo.com.mx</w:t>
      </w:r>
    </w:p>
  </w:footnote>
  <w:footnote w:id="2">
    <w:p w14:paraId="000000AB" w14:textId="77777777" w:rsidR="00C73E3F"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Red de mujeres y hombres por una opinión pública con perspectiva de género en Campeche.</w:t>
      </w:r>
    </w:p>
  </w:footnote>
  <w:footnote w:id="3">
    <w:p w14:paraId="000000C5" w14:textId="77777777" w:rsidR="00C73E3F"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Adicionan el penúltimo párrafo del artículo 4 Constitucional “</w:t>
      </w:r>
      <w:r>
        <w:rPr>
          <w:rFonts w:ascii="Times New Roman" w:eastAsia="Times New Roman" w:hAnsi="Times New Roman" w:cs="Times New Roman"/>
          <w:b/>
          <w:sz w:val="20"/>
          <w:szCs w:val="20"/>
        </w:rPr>
        <w:t>Toda persona</w:t>
      </w:r>
      <w:r>
        <w:rPr>
          <w:rFonts w:ascii="Times New Roman" w:eastAsia="Times New Roman" w:hAnsi="Times New Roman" w:cs="Times New Roman"/>
          <w:sz w:val="20"/>
          <w:szCs w:val="20"/>
        </w:rPr>
        <w:t xml:space="preserve"> tiene derecho a vivir una vida libre de </w:t>
      </w:r>
      <w:r>
        <w:rPr>
          <w:rFonts w:ascii="Times New Roman" w:eastAsia="Times New Roman" w:hAnsi="Times New Roman" w:cs="Times New Roman"/>
          <w:b/>
          <w:sz w:val="20"/>
          <w:szCs w:val="20"/>
        </w:rPr>
        <w:t>violencias</w:t>
      </w:r>
      <w:r>
        <w:rPr>
          <w:rFonts w:ascii="Times New Roman" w:eastAsia="Times New Roman" w:hAnsi="Times New Roman" w:cs="Times New Roman"/>
          <w:sz w:val="20"/>
          <w:szCs w:val="20"/>
        </w:rPr>
        <w:t xml:space="preserve">, el Estado tiene </w:t>
      </w:r>
      <w:r>
        <w:rPr>
          <w:rFonts w:ascii="Times New Roman" w:eastAsia="Times New Roman" w:hAnsi="Times New Roman" w:cs="Times New Roman"/>
          <w:b/>
          <w:sz w:val="20"/>
          <w:szCs w:val="20"/>
        </w:rPr>
        <w:t>deberes reforzados de protección con las mujeres, adolescentes, niñas y niños</w:t>
      </w:r>
      <w:r>
        <w:rPr>
          <w:rFonts w:ascii="Times New Roman" w:eastAsia="Times New Roman" w:hAnsi="Times New Roman" w:cs="Times New Roman"/>
          <w:sz w:val="20"/>
          <w:szCs w:val="20"/>
        </w:rPr>
        <w:t>. La ley definirá las bases y modalidades para garantizar su realización de conformidad con lo previsto en los artículos 21, párrafo noveno y 73, fracción XXI, penúltimo párrafo de esta Constitución.”</w:t>
      </w:r>
    </w:p>
    <w:p w14:paraId="000000C6" w14:textId="77777777" w:rsidR="00C73E3F"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relación de la reforma con el artículo 73 es “El Congreso tiene facultad: XXI. (...) Para expedir: Las autoridades federales podrán conocer de los delitos del fuero común, cuando éstos tengan conexidad con delitos federales o delitos contra periodistas, personas o instalaciones que afecten, limiten o menoscaben el derecho a la información o las libertades de expresión o imprenta. También podrán conocer de las medidas u órdenes de protección que deriven de </w:t>
      </w:r>
      <w:r>
        <w:rPr>
          <w:rFonts w:ascii="Times New Roman" w:eastAsia="Times New Roman" w:hAnsi="Times New Roman" w:cs="Times New Roman"/>
          <w:b/>
          <w:sz w:val="20"/>
          <w:szCs w:val="20"/>
        </w:rPr>
        <w:t xml:space="preserve">violencias </w:t>
      </w:r>
      <w:r>
        <w:rPr>
          <w:rFonts w:ascii="Times New Roman" w:eastAsia="Times New Roman" w:hAnsi="Times New Roman" w:cs="Times New Roman"/>
          <w:sz w:val="20"/>
          <w:szCs w:val="20"/>
        </w:rPr>
        <w:t xml:space="preserve">de género en contra de las mujeres o de delitos del fuero común relacionados con </w:t>
      </w:r>
      <w:r>
        <w:rPr>
          <w:rFonts w:ascii="Times New Roman" w:eastAsia="Times New Roman" w:hAnsi="Times New Roman" w:cs="Times New Roman"/>
          <w:b/>
          <w:sz w:val="20"/>
          <w:szCs w:val="20"/>
        </w:rPr>
        <w:t xml:space="preserve">las violencias </w:t>
      </w:r>
      <w:r>
        <w:rPr>
          <w:rFonts w:ascii="Times New Roman" w:eastAsia="Times New Roman" w:hAnsi="Times New Roman" w:cs="Times New Roman"/>
          <w:sz w:val="20"/>
          <w:szCs w:val="20"/>
        </w:rPr>
        <w:t>de género contra las mujeres, en términos de las leyes correspondientes.</w:t>
      </w:r>
    </w:p>
  </w:footnote>
  <w:footnote w:id="4">
    <w:p w14:paraId="000000C9" w14:textId="77777777" w:rsidR="00C73E3F" w:rsidRDefault="00000000">
      <w:pPr>
        <w:spacing w:after="0"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Último párrafo del artículo 2 de la Ley de Acceso “Para garantizar el derecho a una vida libre de violencias se crea el Registro Nacional de Medidas u Órdenes de Protección de las Mujeres, Adolescentes, Niñas y Niños; como un instrumento de política pública tendiente a la erradicación de las violencias en contra de las mujeres, adolescentes, niñas y niños.”, así como en el artículo 5 </w:t>
      </w:r>
      <w:proofErr w:type="spellStart"/>
      <w:r>
        <w:rPr>
          <w:rFonts w:ascii="Times New Roman" w:eastAsia="Times New Roman" w:hAnsi="Times New Roman" w:cs="Times New Roman"/>
          <w:sz w:val="20"/>
          <w:szCs w:val="20"/>
        </w:rPr>
        <w:t>fcc</w:t>
      </w:r>
      <w:proofErr w:type="spellEnd"/>
      <w:r>
        <w:rPr>
          <w:rFonts w:ascii="Times New Roman" w:eastAsia="Times New Roman" w:hAnsi="Times New Roman" w:cs="Times New Roman"/>
          <w:sz w:val="20"/>
          <w:szCs w:val="20"/>
        </w:rPr>
        <w:t xml:space="preserve"> XIX, sobre el Registro Nacional: El Registro Nacional de Medidas u Órdenes de Protección de las Mujeres, Adolescentes, Niñas y Niños, vinculado al capítulo VII, con los artículos 34A al 34 G; y en los artículos 9, 27, 34 Bis.</w:t>
      </w:r>
    </w:p>
  </w:footnote>
  <w:footnote w:id="5">
    <w:p w14:paraId="000000C7" w14:textId="77777777" w:rsidR="00C73E3F"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Salvo en la reforma al artículo 2º constitucional, del 30 de septiembre de 2024, sobre los derechos de los pueblos indígenas, en el que, en el apartado D sobre los derechos humanos de las mujeres indígenas, sí se mantiene “Asimismo, para garantizar una vida libre de exclusión, </w:t>
      </w:r>
      <w:r>
        <w:rPr>
          <w:rFonts w:ascii="Times New Roman" w:eastAsia="Times New Roman" w:hAnsi="Times New Roman" w:cs="Times New Roman"/>
          <w:b/>
          <w:sz w:val="20"/>
          <w:szCs w:val="20"/>
        </w:rPr>
        <w:t>discriminación y violencia, en especial de la violencia sexual y de género</w:t>
      </w:r>
      <w:r>
        <w:rPr>
          <w:rFonts w:ascii="Times New Roman" w:eastAsia="Times New Roman" w:hAnsi="Times New Roman" w:cs="Times New Roman"/>
          <w:sz w:val="20"/>
          <w:szCs w:val="20"/>
        </w:rPr>
        <w:t>, y para establecer políticas dirigidas a prevenir y atender las adicciones, con visión de respeto a sus identidades culturales.”</w:t>
      </w:r>
    </w:p>
  </w:footnote>
  <w:footnote w:id="6">
    <w:p w14:paraId="000000CA" w14:textId="0E0B4E89" w:rsidR="00C73E3F"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El artículo 4º Constitucional, ahora señala que “</w:t>
      </w:r>
      <w:r>
        <w:rPr>
          <w:rFonts w:ascii="Times New Roman" w:eastAsia="Times New Roman" w:hAnsi="Times New Roman" w:cs="Times New Roman"/>
          <w:sz w:val="20"/>
          <w:szCs w:val="20"/>
        </w:rPr>
        <w:t xml:space="preserve">La ley definirá las bases y modalidades para garantizar su realización (de los deberes reforzados para las mujeres, adolescentes, </w:t>
      </w:r>
      <w:proofErr w:type="gramStart"/>
      <w:r>
        <w:rPr>
          <w:rFonts w:ascii="Times New Roman" w:eastAsia="Times New Roman" w:hAnsi="Times New Roman" w:cs="Times New Roman"/>
          <w:sz w:val="20"/>
          <w:szCs w:val="20"/>
        </w:rPr>
        <w:t>niños y niñas</w:t>
      </w:r>
      <w:proofErr w:type="gramEnd"/>
      <w:r>
        <w:rPr>
          <w:rFonts w:ascii="Times New Roman" w:eastAsia="Times New Roman" w:hAnsi="Times New Roman" w:cs="Times New Roman"/>
          <w:sz w:val="20"/>
          <w:szCs w:val="20"/>
        </w:rPr>
        <w:t xml:space="preserve"> ante </w:t>
      </w:r>
      <w:r>
        <w:rPr>
          <w:rFonts w:ascii="Times New Roman" w:eastAsia="Times New Roman" w:hAnsi="Times New Roman" w:cs="Times New Roman"/>
          <w:i/>
          <w:sz w:val="20"/>
          <w:szCs w:val="20"/>
        </w:rPr>
        <w:t xml:space="preserve">el derecho de toda persona a vivir libre de violencias) </w:t>
      </w:r>
      <w:r>
        <w:rPr>
          <w:rFonts w:ascii="Times New Roman" w:eastAsia="Times New Roman" w:hAnsi="Times New Roman" w:cs="Times New Roman"/>
          <w:sz w:val="20"/>
          <w:szCs w:val="20"/>
        </w:rPr>
        <w:t>de conformidad con lo previsto en los artículos 21, párrafo noveno y 73, fracción XXI, (</w:t>
      </w:r>
      <w:r w:rsidRPr="00124BBD">
        <w:rPr>
          <w:rFonts w:ascii="Times New Roman" w:eastAsia="Times New Roman" w:hAnsi="Times New Roman" w:cs="Times New Roman"/>
          <w:sz w:val="20"/>
          <w:szCs w:val="20"/>
        </w:rPr>
        <w:t>ya referido en la nota al pi</w:t>
      </w:r>
      <w:r w:rsidR="00D34A9A" w:rsidRPr="00124BBD">
        <w:rPr>
          <w:rFonts w:ascii="Times New Roman" w:eastAsia="Times New Roman" w:hAnsi="Times New Roman" w:cs="Times New Roman"/>
          <w:sz w:val="20"/>
          <w:szCs w:val="20"/>
        </w:rPr>
        <w:t>e</w:t>
      </w:r>
      <w:r w:rsidRPr="00124BBD">
        <w:rPr>
          <w:rFonts w:ascii="Times New Roman" w:eastAsia="Times New Roman" w:hAnsi="Times New Roman" w:cs="Times New Roman"/>
          <w:sz w:val="20"/>
          <w:szCs w:val="20"/>
        </w:rPr>
        <w:t xml:space="preserve"> 4)</w:t>
      </w:r>
      <w:r>
        <w:rPr>
          <w:rFonts w:ascii="Times New Roman" w:eastAsia="Times New Roman" w:hAnsi="Times New Roman" w:cs="Times New Roman"/>
          <w:sz w:val="20"/>
          <w:szCs w:val="20"/>
        </w:rPr>
        <w:t xml:space="preserve"> penúltimo párrafo de esta Constitución.” La reforma al artículo 21 de la Constitución, señala que  “La seguridad pública es una función del Estado a cargo de la Federación, las entidades federativas y los Municipios, cuyos fines son salvaguardar la vida, las libertades, la integridad y el patrimonio de las personas, de conformidad con lo dispuesto en el artículo 4o. de esta Constitución que </w:t>
      </w:r>
      <w:r>
        <w:rPr>
          <w:rFonts w:ascii="Times New Roman" w:eastAsia="Times New Roman" w:hAnsi="Times New Roman" w:cs="Times New Roman"/>
          <w:b/>
          <w:sz w:val="20"/>
          <w:szCs w:val="20"/>
        </w:rPr>
        <w:t>garantiza los deberes reforzados de protección del Estado con las mujeres, adolescentes, niñas y niños</w:t>
      </w:r>
      <w:r>
        <w:rPr>
          <w:rFonts w:ascii="Times New Roman" w:eastAsia="Times New Roman" w:hAnsi="Times New Roman" w:cs="Times New Roman"/>
          <w:sz w:val="20"/>
          <w:szCs w:val="20"/>
        </w:rPr>
        <w:t>; así como contribuir a la generación y preservación del orden público y la paz social, de conformidad con lo previsto en esta Constitución y las leyes en la materia. La seguridad pública comprende la prevención, investigación y persecución de los delitos, así como la sanción de las infracciones administrativas, en los términos de la ley, en las respectivas competencias que esta Constitución señala. La actuación de las instituciones de seguridad pública se regirá por los principios de legalidad, objetividad, eficiencia, profesionalismo y honradez, así como por la perspectiva de género y el respeto a los derechos humanos reconocidos en esta Constitución.”</w:t>
      </w:r>
    </w:p>
  </w:footnote>
  <w:footnote w:id="7">
    <w:p w14:paraId="000000AC" w14:textId="77777777" w:rsidR="00C73E3F"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Book Antiqua" w:eastAsia="Book Antiqua" w:hAnsi="Book Antiqua" w:cs="Book Antiqua"/>
          <w:color w:val="000000"/>
          <w:sz w:val="20"/>
          <w:szCs w:val="20"/>
        </w:rPr>
        <w:t>La crisis económica resultante llevó a las mujeres a empleos informales con bajos ingresos y al aumento de su trabajo exclusivo en el ámbito doméstico (IMCO, 2022: p.1), sumado a que la pobreza moderada aumentó 44.4% más en ellas que en los hombres (43.4%) (CONEVAL, 2021; p.18).</w:t>
      </w:r>
    </w:p>
  </w:footnote>
  <w:footnote w:id="8">
    <w:p w14:paraId="000000CD" w14:textId="77777777" w:rsidR="00C73E3F" w:rsidRDefault="00000000">
      <w:pPr>
        <w:spacing w:after="0" w:line="240" w:lineRule="auto"/>
        <w:rPr>
          <w:sz w:val="20"/>
          <w:szCs w:val="20"/>
        </w:rPr>
      </w:pPr>
      <w:r>
        <w:rPr>
          <w:vertAlign w:val="superscript"/>
        </w:rPr>
        <w:footnoteRef/>
      </w:r>
      <w:r>
        <w:rPr>
          <w:sz w:val="20"/>
          <w:szCs w:val="20"/>
        </w:rPr>
        <w:t>https://www.congresocdmx.gob.mx/media/documentos/c846a229d2c8364107b3dcf4f379fedd7aeb9ea6.pdf</w:t>
      </w:r>
    </w:p>
  </w:footnote>
  <w:footnote w:id="9">
    <w:p w14:paraId="000000AE"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Book Antiqua" w:eastAsia="Book Antiqua" w:hAnsi="Book Antiqua" w:cs="Book Antiqua"/>
          <w:color w:val="000000"/>
          <w:sz w:val="20"/>
          <w:szCs w:val="20"/>
        </w:rPr>
        <w:t>La violencia política contra las mujeres por razón de género es definida como una infracción a la normativa electoral sancionable por las vías electoral, administrativa y como un delito penal. Describe 22 conductas típicas mediante las cuales se pueden identificar actos de VPCMRG; designa las instancias competentes para su conocimiento, las rutas legales para su atención y especifica las razones de género que la distinguen de la violencia política en general, el conjunto de agresores que pueden perpetrarla y las sanciones para quienes la ejercen , ofreciendo un marco legal de atribuciones, competencias y responsabilidades a las autoridades para prevenir, atender, sancionar y erradicarla.</w:t>
      </w:r>
    </w:p>
  </w:footnote>
  <w:footnote w:id="10">
    <w:p w14:paraId="000000AF" w14:textId="77777777" w:rsidR="00C73E3F"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Book Antiqua" w:eastAsia="Book Antiqua" w:hAnsi="Book Antiqua" w:cs="Book Antiqua"/>
          <w:color w:val="000000"/>
          <w:sz w:val="20"/>
          <w:szCs w:val="20"/>
        </w:rPr>
        <w:t xml:space="preserve">El INE creó el Registro Nacional de Personas Sancionadas por VPCMRG a partir del proceso electoral 2020-2021, que es una lista pública de todas las personas sancionadas por ejercer </w:t>
      </w:r>
      <w:proofErr w:type="gramStart"/>
      <w:r>
        <w:rPr>
          <w:rFonts w:ascii="Book Antiqua" w:eastAsia="Book Antiqua" w:hAnsi="Book Antiqua" w:cs="Book Antiqua"/>
          <w:color w:val="000000"/>
          <w:sz w:val="20"/>
          <w:szCs w:val="20"/>
        </w:rPr>
        <w:t>VPCMRG .</w:t>
      </w:r>
      <w:proofErr w:type="gramEnd"/>
      <w:r>
        <w:rPr>
          <w:rFonts w:ascii="Book Antiqua" w:eastAsia="Book Antiqua" w:hAnsi="Book Antiqua" w:cs="Book Antiqua"/>
          <w:color w:val="000000"/>
          <w:sz w:val="20"/>
          <w:szCs w:val="20"/>
        </w:rPr>
        <w:t xml:space="preserve"> Hasta esta fecha cuenta con 304 registros de los cuales 58 son mujeres y 246 son hombres, entre los que se encuentran varios reincidentes, lo que nos indica la existencia de fallas en el mecanismo de sanciones que permite tal anomalía, como el de una persona del estado de Veracruz que ha sido sancionada 11 ocasiones; el ámbito territorial de mayor prevalencia es el municipal que acumula el 72% de las sanciones, seguido el ámbito estatal con el 17% de las </w:t>
      </w:r>
      <w:proofErr w:type="gramStart"/>
      <w:r>
        <w:rPr>
          <w:rFonts w:ascii="Book Antiqua" w:eastAsia="Book Antiqua" w:hAnsi="Book Antiqua" w:cs="Book Antiqua"/>
          <w:color w:val="000000"/>
          <w:sz w:val="20"/>
          <w:szCs w:val="20"/>
        </w:rPr>
        <w:t>sanciones .</w:t>
      </w:r>
      <w:proofErr w:type="gramEnd"/>
      <w:r>
        <w:rPr>
          <w:rFonts w:ascii="Book Antiqua" w:eastAsia="Book Antiqua" w:hAnsi="Book Antiqua" w:cs="Book Antiqua"/>
          <w:color w:val="000000"/>
          <w:sz w:val="20"/>
          <w:szCs w:val="20"/>
        </w:rPr>
        <w:t xml:space="preserve"> Este registro de denuncias sancionadas es el único instrumento estadístico institucional que existe para dimensionar la incidencia de la VPCMRG, ya que las instituciones competentes no tienen registros administrativos accesibles para consulta sobre las denuncias recibidas, y la VPCMRG aún no se integra en las mediciones estadísticas del INEGI como una de las modalidades de violencia contra las mujeres.</w:t>
      </w:r>
    </w:p>
  </w:footnote>
  <w:footnote w:id="11">
    <w:p w14:paraId="000000B0"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Book Antiqua" w:eastAsia="Book Antiqua" w:hAnsi="Book Antiqua" w:cs="Book Antiqua"/>
          <w:color w:val="000000"/>
          <w:sz w:val="20"/>
          <w:szCs w:val="20"/>
        </w:rPr>
        <w:t xml:space="preserve">Cifras de la consultora </w:t>
      </w:r>
      <w:proofErr w:type="spellStart"/>
      <w:r>
        <w:rPr>
          <w:rFonts w:ascii="Book Antiqua" w:eastAsia="Book Antiqua" w:hAnsi="Book Antiqua" w:cs="Book Antiqua"/>
          <w:color w:val="000000"/>
          <w:sz w:val="20"/>
          <w:szCs w:val="20"/>
        </w:rPr>
        <w:t>Etellekt</w:t>
      </w:r>
      <w:proofErr w:type="spellEnd"/>
      <w:r>
        <w:rPr>
          <w:rFonts w:ascii="Book Antiqua" w:eastAsia="Book Antiqua" w:hAnsi="Book Antiqua" w:cs="Book Antiqua"/>
          <w:color w:val="000000"/>
          <w:sz w:val="20"/>
          <w:szCs w:val="20"/>
        </w:rPr>
        <w:t xml:space="preserve"> arrojan que durante el proceso electoral 2020-2021, con la paridad en todo instituida y la VPCMRG tipificada, resultó ser el más violento de la historia, ante la notoria indiferencia de las autoridades estatales y federales. De las 954 víctimas de violencia política, 343 son mujeres 36% del total, registrando 21 candidatas asesinadas; el 77% de las víctimas competían por cargos municipales, 15% por cargos estatales y 8% por cargos federales; el 75% de las víctimas fueron opositoras a sus </w:t>
      </w:r>
      <w:proofErr w:type="gramStart"/>
      <w:r>
        <w:rPr>
          <w:rFonts w:ascii="Book Antiqua" w:eastAsia="Book Antiqua" w:hAnsi="Book Antiqua" w:cs="Book Antiqua"/>
          <w:color w:val="000000"/>
          <w:sz w:val="20"/>
          <w:szCs w:val="20"/>
        </w:rPr>
        <w:t>gobernadores .</w:t>
      </w:r>
      <w:proofErr w:type="gramEnd"/>
      <w:r>
        <w:rPr>
          <w:rFonts w:ascii="Book Antiqua" w:eastAsia="Book Antiqua" w:hAnsi="Book Antiqua" w:cs="Book Antiqua"/>
          <w:color w:val="000000"/>
          <w:sz w:val="20"/>
          <w:szCs w:val="20"/>
        </w:rPr>
        <w:t xml:space="preserve"> La violencia política en México ha cobrado visibilidad en la medida en que se ha homologado el calendario electoral, a mayor cantidad de cargos en disputa en elecciones concurrentes, incrementa la violencia política, situación que preocupa de cara al proceso electoral 2023-2024, calificado como el más grande de la historia del país en el que se disputarán cerca de 20 mil cargos de elección, incluyendo la presidencia de la república, de cuyas postulaciones la mitad deberán forzosamente para mujeres.</w:t>
      </w:r>
    </w:p>
  </w:footnote>
  <w:footnote w:id="12">
    <w:p w14:paraId="000000B1"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Book Antiqua" w:eastAsia="Book Antiqua" w:hAnsi="Book Antiqua" w:cs="Book Antiqua"/>
          <w:color w:val="000000"/>
          <w:sz w:val="20"/>
          <w:szCs w:val="20"/>
        </w:rPr>
        <w:t xml:space="preserve">La propuesta de reforma original de las feministas es un gran avance, sin embargo, las prácticas patriarcales de los partidos políticos establecieron en la ley obstáculos para infringir la norma, toda vez que el requisito para hacerla efectiva es la existencia de una sentencia penal firme, dejando fuera las resoluciones de la autoridad electoral tanto administrativa como jurisdiccional, cuyas resoluciones suelen ser más favorables a la igualdad de género. Lo anterior supone un obstáculo difícil de superar en un país como México en el que los niveles de impunidad se acercan al 95% de los delitos denunciados , por lo que las posibilidades reales de que una mujer obtenga una sentencia firme por el delito de VPCMRG son prácticamente nulas, además de que no estará en vigor para el presente proceso electoral 2022-2023 ya en curso , dado que se establecieron 180 días de plazo para realizar la armonización en los congresos subnacionales que no la hubieran aprobado. </w:t>
      </w:r>
    </w:p>
  </w:footnote>
  <w:footnote w:id="13">
    <w:p w14:paraId="000000B2" w14:textId="77777777" w:rsidR="00C73E3F" w:rsidRDefault="00000000">
      <w:pPr>
        <w:pBdr>
          <w:top w:val="nil"/>
          <w:left w:val="nil"/>
          <w:bottom w:val="nil"/>
          <w:right w:val="nil"/>
          <w:between w:val="nil"/>
        </w:pBdr>
        <w:spacing w:line="240" w:lineRule="auto"/>
        <w:jc w:val="both"/>
        <w:rPr>
          <w:rFonts w:ascii="Book Antiqua" w:eastAsia="Book Antiqua" w:hAnsi="Book Antiqua" w:cs="Book Antiqua"/>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Book Antiqua" w:eastAsia="Book Antiqua" w:hAnsi="Book Antiqua" w:cs="Book Antiqua"/>
          <w:color w:val="000000"/>
          <w:sz w:val="20"/>
          <w:szCs w:val="20"/>
        </w:rPr>
        <w:t xml:space="preserve">Las dirigencias de los 7 partidos políticos nacionales (PAN, PRI, PRD, MC, Morena, PVEM y PT) están encabezadas por hombres.  Existe poca o nula transparencia y difusión respecto a las denuncias por VPCMRG al interior de los partidos, probablemente una manifestación de la disciplina partidista que obliga a las mujeres a callar la violencia política de la que son objeto a costa de ver interrumpidas sus carreras políticas. El uso del 3% del financiamiento público que debe destinarse al fortalecimiento de liderazgo político de las mujeres es poco transparente, sin evidencias sobre la realización de las actividades o utilizado en actividades no relacionadas con el objetivo de fortalecer a las militantes y </w:t>
      </w:r>
      <w:proofErr w:type="gramStart"/>
      <w:r>
        <w:rPr>
          <w:rFonts w:ascii="Book Antiqua" w:eastAsia="Book Antiqua" w:hAnsi="Book Antiqua" w:cs="Book Antiqua"/>
          <w:color w:val="000000"/>
          <w:sz w:val="20"/>
          <w:szCs w:val="20"/>
        </w:rPr>
        <w:t>candidatas .</w:t>
      </w:r>
      <w:proofErr w:type="gramEnd"/>
      <w:r>
        <w:rPr>
          <w:rFonts w:ascii="Book Antiqua" w:eastAsia="Book Antiqua" w:hAnsi="Book Antiqua" w:cs="Book Antiqua"/>
          <w:color w:val="000000"/>
          <w:sz w:val="20"/>
          <w:szCs w:val="20"/>
        </w:rPr>
        <w:t xml:space="preserve"> Los partidos políticos reproducen la división sexual del trabajo asignando a las mujeres arduas tareas territoriales y de construcción de base social para encumbrar a candidatos hombres, o a las mujeres que entre los mismos dirigentes masculinos “pactan” para cumplir con la paridad en la postulación y en las listas de candidaturas, excluyendo a las mujeres de mayor trayectoria en el partido, a las que realizan en trabajo de base o a las que no se subordinan a la disciplina partidista, administrando sus aspiraciones para contender en elecciones posteriores o negándoles el derecho a ser postuladas para reelegirse u ocupar otro cargo de elección como castigo a la insubordinación, coartando su carrera política, lo que constituye VPCRG que suele resolverse al interior de la misma caja negra del partido político.</w:t>
      </w:r>
    </w:p>
    <w:p w14:paraId="000000B3" w14:textId="77777777" w:rsidR="00C73E3F" w:rsidRDefault="00C73E3F">
      <w:pPr>
        <w:pBdr>
          <w:top w:val="nil"/>
          <w:left w:val="nil"/>
          <w:bottom w:val="nil"/>
          <w:right w:val="nil"/>
          <w:between w:val="nil"/>
        </w:pBdr>
        <w:spacing w:after="0" w:line="240" w:lineRule="auto"/>
        <w:rPr>
          <w:color w:val="000000"/>
          <w:sz w:val="20"/>
          <w:szCs w:val="20"/>
        </w:rPr>
      </w:pPr>
    </w:p>
  </w:footnote>
  <w:footnote w:id="14">
    <w:p w14:paraId="000000B4" w14:textId="77777777" w:rsidR="00C73E3F" w:rsidRDefault="00000000">
      <w:pPr>
        <w:pBdr>
          <w:top w:val="nil"/>
          <w:left w:val="nil"/>
          <w:bottom w:val="nil"/>
          <w:right w:val="nil"/>
          <w:between w:val="nil"/>
        </w:pBdr>
        <w:spacing w:after="0" w:line="240" w:lineRule="auto"/>
        <w:rPr>
          <w:rFonts w:ascii="Book Antiqua" w:eastAsia="Book Antiqua" w:hAnsi="Book Antiqua" w:cs="Book Antiqua"/>
          <w:color w:val="000000"/>
          <w:sz w:val="20"/>
          <w:szCs w:val="20"/>
        </w:rPr>
      </w:pPr>
      <w:r>
        <w:rPr>
          <w:vertAlign w:val="superscript"/>
        </w:rPr>
        <w:footnoteRef/>
      </w:r>
      <w:r>
        <w:rPr>
          <w:rFonts w:ascii="Book Antiqua" w:eastAsia="Book Antiqua" w:hAnsi="Book Antiqua" w:cs="Book Antiqua"/>
          <w:color w:val="000000"/>
          <w:sz w:val="20"/>
          <w:szCs w:val="20"/>
        </w:rPr>
        <w:t xml:space="preserve"> Estos obstáculos incluyen:</w:t>
      </w:r>
    </w:p>
    <w:p w14:paraId="000000B5"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 xml:space="preserve">1) armonización los marcos legales de las IES con los instrumentos </w:t>
      </w:r>
      <w:r w:rsidRPr="00105DDB">
        <w:rPr>
          <w:rFonts w:ascii="Book Antiqua" w:eastAsia="Book Antiqua" w:hAnsi="Book Antiqua" w:cs="Book Antiqua"/>
          <w:color w:val="000000" w:themeColor="text1"/>
          <w:sz w:val="20"/>
          <w:szCs w:val="20"/>
        </w:rPr>
        <w:t xml:space="preserve">internacionales y nacionales  </w:t>
      </w:r>
      <w:r>
        <w:rPr>
          <w:rFonts w:ascii="Book Antiqua" w:eastAsia="Book Antiqua" w:hAnsi="Book Antiqua" w:cs="Book Antiqua"/>
          <w:color w:val="000000"/>
          <w:sz w:val="20"/>
          <w:szCs w:val="20"/>
        </w:rPr>
        <w:t>de derechos humanos de las mujeres;</w:t>
      </w:r>
    </w:p>
    <w:p w14:paraId="000000B6"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2) generación de nuevos instrumentos para prevenir, atender, investigar, sancionar, reparar y erradicar la discriminación y la violencia contra las mujeres en las IES;</w:t>
      </w:r>
    </w:p>
    <w:p w14:paraId="000000B7"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3) ausencia de una política integral para prevenir, atender, investigar, sancionar, reparar y erradicar la discriminación y la violencia contra las mujeres en las IES;</w:t>
      </w:r>
    </w:p>
    <w:p w14:paraId="000000B8"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4) resistencia a la aplicación de sanciones para quienes cometen actos de discriminación y violencia contra las mujeres en el ámbito educativo;</w:t>
      </w:r>
    </w:p>
    <w:p w14:paraId="000000B9"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5) resistencia a la aplicación de sanciones para las autoridades que obstaculizan el goce y ejercicio de derechos vinculados al debido proceso, una vez que las víctimas inician procesos de denuncia en las IES;</w:t>
      </w:r>
    </w:p>
    <w:p w14:paraId="000000BA"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 xml:space="preserve">6) ausencia de tribunales o mecanismos especializados que resuelvan casos de </w:t>
      </w:r>
      <w:proofErr w:type="spellStart"/>
      <w:r>
        <w:rPr>
          <w:rFonts w:ascii="Book Antiqua" w:eastAsia="Book Antiqua" w:hAnsi="Book Antiqua" w:cs="Book Antiqua"/>
          <w:color w:val="000000"/>
          <w:sz w:val="20"/>
          <w:szCs w:val="20"/>
        </w:rPr>
        <w:t>de</w:t>
      </w:r>
      <w:proofErr w:type="spellEnd"/>
      <w:r>
        <w:rPr>
          <w:rFonts w:ascii="Book Antiqua" w:eastAsia="Book Antiqua" w:hAnsi="Book Antiqua" w:cs="Book Antiqua"/>
          <w:color w:val="000000"/>
          <w:sz w:val="20"/>
          <w:szCs w:val="20"/>
        </w:rPr>
        <w:t xml:space="preserve"> discriminación y violencia contra las mujeres en el ámbito educativo, con perspectiva de género;</w:t>
      </w:r>
    </w:p>
    <w:p w14:paraId="000000BB"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7) falta de información sobre las causas, consecuencias, gravedad y situación de las violencias contra las mujeres en el ámbito educativo de las IES, así como la transparencia activa de estos datos;</w:t>
      </w:r>
    </w:p>
    <w:p w14:paraId="000000BC"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rFonts w:ascii="Book Antiqua" w:eastAsia="Book Antiqua" w:hAnsi="Book Antiqua" w:cs="Book Antiqua"/>
          <w:color w:val="000000"/>
          <w:sz w:val="20"/>
          <w:szCs w:val="20"/>
        </w:rPr>
        <w:t xml:space="preserve">8) discriminación directa de las autoridades de las IES, frente a las denuncias por violencia, dichos actos implicas actuaciones basadas en estereotipos y prejuicios de género, generación de climas hostiles para las denunciantes y </w:t>
      </w:r>
      <w:proofErr w:type="gramStart"/>
      <w:r>
        <w:rPr>
          <w:rFonts w:ascii="Book Antiqua" w:eastAsia="Book Antiqua" w:hAnsi="Book Antiqua" w:cs="Book Antiqua"/>
          <w:color w:val="000000"/>
          <w:sz w:val="20"/>
          <w:szCs w:val="20"/>
        </w:rPr>
        <w:t>las obstaculización</w:t>
      </w:r>
      <w:proofErr w:type="gramEnd"/>
      <w:r>
        <w:rPr>
          <w:rFonts w:ascii="Book Antiqua" w:eastAsia="Book Antiqua" w:hAnsi="Book Antiqua" w:cs="Book Antiqua"/>
          <w:color w:val="000000"/>
          <w:sz w:val="20"/>
          <w:szCs w:val="20"/>
        </w:rPr>
        <w:t xml:space="preserve"> para el ejercicio pleno de derechos como el de acceso a la justicia universitaria.</w:t>
      </w:r>
    </w:p>
    <w:p w14:paraId="000000BD" w14:textId="77777777" w:rsidR="00C73E3F" w:rsidRDefault="00C73E3F">
      <w:pPr>
        <w:pBdr>
          <w:top w:val="nil"/>
          <w:left w:val="nil"/>
          <w:bottom w:val="nil"/>
          <w:right w:val="nil"/>
          <w:between w:val="nil"/>
        </w:pBdr>
        <w:spacing w:after="0" w:line="240" w:lineRule="auto"/>
        <w:rPr>
          <w:color w:val="000000"/>
          <w:sz w:val="20"/>
          <w:szCs w:val="20"/>
        </w:rPr>
      </w:pPr>
    </w:p>
  </w:footnote>
  <w:footnote w:id="15">
    <w:p w14:paraId="000000BE" w14:textId="77777777" w:rsidR="00C73E3F" w:rsidRDefault="00000000">
      <w:pPr>
        <w:pBdr>
          <w:top w:val="nil"/>
          <w:left w:val="nil"/>
          <w:bottom w:val="nil"/>
          <w:right w:val="nil"/>
          <w:between w:val="nil"/>
        </w:pBdr>
        <w:spacing w:after="0" w:line="240" w:lineRule="auto"/>
        <w:jc w:val="both"/>
        <w:rPr>
          <w:rFonts w:ascii="Book Antiqua" w:eastAsia="Book Antiqua" w:hAnsi="Book Antiqua" w:cs="Book Antiqua"/>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Book Antiqua" w:eastAsia="Book Antiqua" w:hAnsi="Book Antiqua" w:cs="Book Antiqua"/>
          <w:color w:val="000000"/>
          <w:sz w:val="20"/>
          <w:szCs w:val="20"/>
        </w:rPr>
        <w:t xml:space="preserve">Se crearon áreas de maternidad, guarderías, centros de estimulación para las hijas e hijos de las mujeres con personal capacitado y especializado, asimismo se dotó de áreas de capacitación para el trabajo a algunos centros y se encuentran centros con industria penitenciaria en la zona centro del país particularmente. </w:t>
      </w:r>
    </w:p>
    <w:p w14:paraId="000000BF" w14:textId="77777777" w:rsidR="00C73E3F" w:rsidRDefault="00C73E3F">
      <w:pPr>
        <w:pBdr>
          <w:top w:val="nil"/>
          <w:left w:val="nil"/>
          <w:bottom w:val="nil"/>
          <w:right w:val="nil"/>
          <w:between w:val="nil"/>
        </w:pBdr>
        <w:spacing w:after="0" w:line="240" w:lineRule="auto"/>
        <w:rPr>
          <w:color w:val="000000"/>
          <w:sz w:val="20"/>
          <w:szCs w:val="20"/>
        </w:rPr>
      </w:pPr>
    </w:p>
  </w:footnote>
  <w:footnote w:id="16">
    <w:p w14:paraId="000000C0" w14:textId="77777777" w:rsidR="00C73E3F"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Book Antiqua" w:eastAsia="Book Antiqua" w:hAnsi="Book Antiqua" w:cs="Book Antiqua"/>
          <w:color w:val="000000"/>
          <w:sz w:val="20"/>
          <w:szCs w:val="20"/>
        </w:rPr>
        <w:t xml:space="preserve">La Ley General de Derechos de Niñas, Niños y Adolescente ordena en su artículo 45 que las leyes federales y locales establecerán como edad mínima para contraer matrimonio los 18 años. Hoy todos los Códigos Civiles de las 32 entidades federativas prohíben el matrimonio o el concubinato que involucren a una niña o niño menor de 18 años. El Código Penal Federal sanciona las cohabitaciones forzadas de menores con un adulto, también la venta o trueque de niñas. Establece que se castigará a quien obligue, coaccione, induzca, solicite o gestione u oferte a una o varias personas, a unirse informal o consuetudinariamente con o sin su consentimiento con alguien de su misma condición o con persona mayor de 18 años con el fin de convivir en forma constante e </w:t>
      </w:r>
      <w:proofErr w:type="gramStart"/>
      <w:r>
        <w:rPr>
          <w:rFonts w:ascii="Book Antiqua" w:eastAsia="Book Antiqua" w:hAnsi="Book Antiqua" w:cs="Book Antiqua"/>
          <w:color w:val="000000"/>
          <w:sz w:val="20"/>
          <w:szCs w:val="20"/>
        </w:rPr>
        <w:t>equiparable  a</w:t>
      </w:r>
      <w:proofErr w:type="gramEnd"/>
      <w:r>
        <w:rPr>
          <w:rFonts w:ascii="Book Antiqua" w:eastAsia="Book Antiqua" w:hAnsi="Book Antiqua" w:cs="Book Antiqua"/>
          <w:color w:val="000000"/>
          <w:sz w:val="20"/>
          <w:szCs w:val="20"/>
        </w:rPr>
        <w:t xml:space="preserve"> la de un matrimonio.</w:t>
      </w:r>
    </w:p>
  </w:footnote>
  <w:footnote w:id="17">
    <w:p w14:paraId="000000CC" w14:textId="77777777" w:rsidR="00C73E3F" w:rsidRPr="00D34A9A" w:rsidRDefault="00000000">
      <w:pPr>
        <w:spacing w:after="0" w:line="240" w:lineRule="auto"/>
        <w:jc w:val="both"/>
        <w:rPr>
          <w:color w:val="000000" w:themeColor="text1"/>
          <w:sz w:val="20"/>
          <w:szCs w:val="20"/>
        </w:rPr>
      </w:pPr>
      <w:r w:rsidRPr="00D34A9A">
        <w:rPr>
          <w:color w:val="000000" w:themeColor="text1"/>
          <w:vertAlign w:val="superscript"/>
        </w:rPr>
        <w:footnoteRef/>
      </w:r>
      <w:r w:rsidRPr="00D34A9A">
        <w:rPr>
          <w:color w:val="000000" w:themeColor="text1"/>
          <w:sz w:val="20"/>
          <w:szCs w:val="20"/>
        </w:rPr>
        <w:t xml:space="preserve"> </w:t>
      </w:r>
      <w:r w:rsidRPr="00D34A9A">
        <w:rPr>
          <w:rFonts w:ascii="Book Antiqua" w:eastAsia="Book Antiqua" w:hAnsi="Book Antiqua" w:cs="Book Antiqua"/>
          <w:color w:val="000000" w:themeColor="text1"/>
          <w:sz w:val="20"/>
          <w:szCs w:val="20"/>
        </w:rPr>
        <w:t xml:space="preserve">Acorde al análisis en la publicación “Atlas de homicidios” que realiza cada </w:t>
      </w:r>
      <w:proofErr w:type="gramStart"/>
      <w:r w:rsidRPr="00D34A9A">
        <w:rPr>
          <w:rFonts w:ascii="Book Antiqua" w:eastAsia="Book Antiqua" w:hAnsi="Book Antiqua" w:cs="Book Antiqua"/>
          <w:color w:val="000000" w:themeColor="text1"/>
          <w:sz w:val="20"/>
          <w:szCs w:val="20"/>
        </w:rPr>
        <w:t>año  la</w:t>
      </w:r>
      <w:proofErr w:type="gramEnd"/>
      <w:r w:rsidRPr="00D34A9A">
        <w:rPr>
          <w:rFonts w:ascii="Book Antiqua" w:eastAsia="Book Antiqua" w:hAnsi="Book Antiqua" w:cs="Book Antiqua"/>
          <w:color w:val="000000" w:themeColor="text1"/>
          <w:sz w:val="20"/>
          <w:szCs w:val="20"/>
        </w:rPr>
        <w:t xml:space="preserve"> organización civil, México Unido contra la delincuencia, con los datos que publica anualmente el INEGI (el 8 de noviembre de 2024 el INEGI publicó los datos del año 2023 sobre defunciones y homicidios dolosos), presentado por </w:t>
      </w:r>
      <w:proofErr w:type="spellStart"/>
      <w:r w:rsidRPr="00D34A9A">
        <w:rPr>
          <w:rFonts w:ascii="Book Antiqua" w:eastAsia="Book Antiqua" w:hAnsi="Book Antiqua" w:cs="Book Antiqua"/>
          <w:color w:val="000000" w:themeColor="text1"/>
          <w:sz w:val="20"/>
          <w:szCs w:val="20"/>
        </w:rPr>
        <w:t>LIsa</w:t>
      </w:r>
      <w:proofErr w:type="spellEnd"/>
      <w:r w:rsidRPr="00D34A9A">
        <w:rPr>
          <w:rFonts w:ascii="Book Antiqua" w:eastAsia="Book Antiqua" w:hAnsi="Book Antiqua" w:cs="Book Antiqua"/>
          <w:color w:val="000000" w:themeColor="text1"/>
          <w:sz w:val="20"/>
          <w:szCs w:val="20"/>
        </w:rPr>
        <w:t xml:space="preserve"> </w:t>
      </w:r>
      <w:proofErr w:type="spellStart"/>
      <w:r w:rsidRPr="00D34A9A">
        <w:rPr>
          <w:rFonts w:ascii="Book Antiqua" w:eastAsia="Book Antiqua" w:hAnsi="Book Antiqua" w:cs="Book Antiqua"/>
          <w:color w:val="000000" w:themeColor="text1"/>
          <w:sz w:val="20"/>
          <w:szCs w:val="20"/>
        </w:rPr>
        <w:t>sanchez</w:t>
      </w:r>
      <w:proofErr w:type="spellEnd"/>
      <w:r w:rsidRPr="00D34A9A">
        <w:rPr>
          <w:rFonts w:ascii="Book Antiqua" w:eastAsia="Book Antiqua" w:hAnsi="Book Antiqua" w:cs="Book Antiqua"/>
          <w:color w:val="000000" w:themeColor="text1"/>
          <w:sz w:val="20"/>
          <w:szCs w:val="20"/>
        </w:rPr>
        <w:t xml:space="preserve"> Ortega, Directora de México Unido contra la delincuencia. en entrevista en Aristegui Noticias del día 20 de diciembre de 2024.</w:t>
      </w:r>
    </w:p>
  </w:footnote>
  <w:footnote w:id="18">
    <w:p w14:paraId="000000CF" w14:textId="77777777" w:rsidR="00C73E3F" w:rsidRDefault="00000000">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https://cuadernosfem.blogspot.com/2017/06/mujeres-desaparecidas-en-mexico.html</w:t>
      </w:r>
    </w:p>
  </w:footnote>
  <w:footnote w:id="19">
    <w:p w14:paraId="000000CE" w14:textId="77777777" w:rsidR="00C73E3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https://igualdaddegenero.cndh.org.mx/doc/Seguimiento/Caso-Arroyo-Navajo-Ciudad-Juarez.pdf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6829"/>
    <w:multiLevelType w:val="multilevel"/>
    <w:tmpl w:val="7804D5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6255A95"/>
    <w:multiLevelType w:val="hybridMultilevel"/>
    <w:tmpl w:val="95D201E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149127F9"/>
    <w:multiLevelType w:val="multilevel"/>
    <w:tmpl w:val="864CBC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A492209"/>
    <w:multiLevelType w:val="multilevel"/>
    <w:tmpl w:val="F9F273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A6848E7"/>
    <w:multiLevelType w:val="multilevel"/>
    <w:tmpl w:val="361E8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C66645"/>
    <w:multiLevelType w:val="multilevel"/>
    <w:tmpl w:val="71240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6500BF"/>
    <w:multiLevelType w:val="multilevel"/>
    <w:tmpl w:val="BA8AF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3C2EE2"/>
    <w:multiLevelType w:val="hybridMultilevel"/>
    <w:tmpl w:val="95602A2A"/>
    <w:lvl w:ilvl="0" w:tplc="04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32BC227F"/>
    <w:multiLevelType w:val="hybridMultilevel"/>
    <w:tmpl w:val="383245B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 w15:restartNumberingAfterBreak="0">
    <w:nsid w:val="3ADD754C"/>
    <w:multiLevelType w:val="multilevel"/>
    <w:tmpl w:val="8E62AB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0E37B56"/>
    <w:multiLevelType w:val="multilevel"/>
    <w:tmpl w:val="B4A6F1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4B466F0"/>
    <w:multiLevelType w:val="multilevel"/>
    <w:tmpl w:val="A79C80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58F52B6"/>
    <w:multiLevelType w:val="multilevel"/>
    <w:tmpl w:val="C9705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976597"/>
    <w:multiLevelType w:val="multilevel"/>
    <w:tmpl w:val="33E678E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49A042B7"/>
    <w:multiLevelType w:val="multilevel"/>
    <w:tmpl w:val="2EC471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51E35E1"/>
    <w:multiLevelType w:val="multilevel"/>
    <w:tmpl w:val="8E76E8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558343B3"/>
    <w:multiLevelType w:val="multilevel"/>
    <w:tmpl w:val="D158C7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5A844791"/>
    <w:multiLevelType w:val="multilevel"/>
    <w:tmpl w:val="A67EDD4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B35373C"/>
    <w:multiLevelType w:val="multilevel"/>
    <w:tmpl w:val="82C2A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A536FD"/>
    <w:multiLevelType w:val="multilevel"/>
    <w:tmpl w:val="8DB28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65E431BC"/>
    <w:multiLevelType w:val="multilevel"/>
    <w:tmpl w:val="62FE21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07056E5"/>
    <w:multiLevelType w:val="multilevel"/>
    <w:tmpl w:val="88B8A4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75A925D8"/>
    <w:multiLevelType w:val="multilevel"/>
    <w:tmpl w:val="0FB295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786B7026"/>
    <w:multiLevelType w:val="multilevel"/>
    <w:tmpl w:val="487652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7B42760A"/>
    <w:multiLevelType w:val="hybridMultilevel"/>
    <w:tmpl w:val="6F209C7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5" w15:restartNumberingAfterBreak="0">
    <w:nsid w:val="7EE14554"/>
    <w:multiLevelType w:val="multilevel"/>
    <w:tmpl w:val="C13A7DF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636881283">
    <w:abstractNumId w:val="18"/>
  </w:num>
  <w:num w:numId="2" w16cid:durableId="2146004821">
    <w:abstractNumId w:val="12"/>
  </w:num>
  <w:num w:numId="3" w16cid:durableId="717824973">
    <w:abstractNumId w:val="25"/>
  </w:num>
  <w:num w:numId="4" w16cid:durableId="1039814695">
    <w:abstractNumId w:val="20"/>
  </w:num>
  <w:num w:numId="5" w16cid:durableId="1919442507">
    <w:abstractNumId w:val="3"/>
  </w:num>
  <w:num w:numId="6" w16cid:durableId="1662200593">
    <w:abstractNumId w:val="11"/>
  </w:num>
  <w:num w:numId="7" w16cid:durableId="549654493">
    <w:abstractNumId w:val="2"/>
  </w:num>
  <w:num w:numId="8" w16cid:durableId="1833523227">
    <w:abstractNumId w:val="16"/>
  </w:num>
  <w:num w:numId="9" w16cid:durableId="1858275569">
    <w:abstractNumId w:val="13"/>
  </w:num>
  <w:num w:numId="10" w16cid:durableId="1859999700">
    <w:abstractNumId w:val="14"/>
  </w:num>
  <w:num w:numId="11" w16cid:durableId="1231425021">
    <w:abstractNumId w:val="10"/>
  </w:num>
  <w:num w:numId="12" w16cid:durableId="368992041">
    <w:abstractNumId w:val="4"/>
  </w:num>
  <w:num w:numId="13" w16cid:durableId="1568227597">
    <w:abstractNumId w:val="17"/>
  </w:num>
  <w:num w:numId="14" w16cid:durableId="772558065">
    <w:abstractNumId w:val="22"/>
  </w:num>
  <w:num w:numId="15" w16cid:durableId="1663656142">
    <w:abstractNumId w:val="21"/>
  </w:num>
  <w:num w:numId="16" w16cid:durableId="666716913">
    <w:abstractNumId w:val="23"/>
  </w:num>
  <w:num w:numId="17" w16cid:durableId="785588646">
    <w:abstractNumId w:val="19"/>
  </w:num>
  <w:num w:numId="18" w16cid:durableId="1568807401">
    <w:abstractNumId w:val="0"/>
  </w:num>
  <w:num w:numId="19" w16cid:durableId="1636178672">
    <w:abstractNumId w:val="5"/>
  </w:num>
  <w:num w:numId="20" w16cid:durableId="348526349">
    <w:abstractNumId w:val="15"/>
  </w:num>
  <w:num w:numId="21" w16cid:durableId="351498719">
    <w:abstractNumId w:val="9"/>
  </w:num>
  <w:num w:numId="22" w16cid:durableId="197621561">
    <w:abstractNumId w:val="1"/>
  </w:num>
  <w:num w:numId="23" w16cid:durableId="525682326">
    <w:abstractNumId w:val="6"/>
  </w:num>
  <w:num w:numId="24" w16cid:durableId="518589190">
    <w:abstractNumId w:val="7"/>
  </w:num>
  <w:num w:numId="25" w16cid:durableId="1389643693">
    <w:abstractNumId w:val="24"/>
  </w:num>
  <w:num w:numId="26" w16cid:durableId="16975831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E3F"/>
    <w:rsid w:val="0005656D"/>
    <w:rsid w:val="000F6236"/>
    <w:rsid w:val="00105DDB"/>
    <w:rsid w:val="00121C99"/>
    <w:rsid w:val="00124BBD"/>
    <w:rsid w:val="001602BE"/>
    <w:rsid w:val="00177DAF"/>
    <w:rsid w:val="00343B77"/>
    <w:rsid w:val="003F0E6E"/>
    <w:rsid w:val="004A3BA5"/>
    <w:rsid w:val="004A49EC"/>
    <w:rsid w:val="00504D22"/>
    <w:rsid w:val="005961BA"/>
    <w:rsid w:val="00596796"/>
    <w:rsid w:val="005A1199"/>
    <w:rsid w:val="00636639"/>
    <w:rsid w:val="006E2AB3"/>
    <w:rsid w:val="0070176A"/>
    <w:rsid w:val="00721C58"/>
    <w:rsid w:val="007756EB"/>
    <w:rsid w:val="0078404C"/>
    <w:rsid w:val="007A316E"/>
    <w:rsid w:val="007D292A"/>
    <w:rsid w:val="00872222"/>
    <w:rsid w:val="00965CE1"/>
    <w:rsid w:val="009824B6"/>
    <w:rsid w:val="009A52F1"/>
    <w:rsid w:val="00AC5B8D"/>
    <w:rsid w:val="00B1663F"/>
    <w:rsid w:val="00C73E3F"/>
    <w:rsid w:val="00C86EE5"/>
    <w:rsid w:val="00D34A9A"/>
    <w:rsid w:val="00DE6252"/>
    <w:rsid w:val="00E72684"/>
    <w:rsid w:val="00EB2EEE"/>
    <w:rsid w:val="00EF2121"/>
    <w:rsid w:val="00F073B8"/>
    <w:rsid w:val="00F52957"/>
    <w:rsid w:val="00FB0EB0"/>
    <w:rsid w:val="00FB40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0997"/>
  <w15:docId w15:val="{1C7DE12C-858A-484D-9DD1-D5B324E9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E0E"/>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D006E1"/>
    <w:pPr>
      <w:spacing w:after="160" w:line="259" w:lineRule="auto"/>
      <w:ind w:left="316"/>
      <w:outlineLvl w:val="1"/>
    </w:pPr>
    <w:rPr>
      <w:rFonts w:ascii="Times New Roman" w:eastAsia="Times New Roman" w:hAnsi="Times New Roman" w:cs="Times New Roman"/>
      <w:b/>
      <w:bCs/>
      <w:sz w:val="28"/>
      <w:szCs w:val="28"/>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notapie">
    <w:name w:val="footnote text"/>
    <w:basedOn w:val="Normal"/>
    <w:link w:val="TextonotapieCar"/>
    <w:uiPriority w:val="99"/>
    <w:unhideWhenUsed/>
    <w:rsid w:val="00AE3E0E"/>
    <w:pPr>
      <w:spacing w:after="0" w:line="240" w:lineRule="auto"/>
    </w:pPr>
    <w:rPr>
      <w:sz w:val="20"/>
      <w:szCs w:val="20"/>
    </w:rPr>
  </w:style>
  <w:style w:type="character" w:customStyle="1" w:styleId="TextonotapieCar">
    <w:name w:val="Texto nota pie Car"/>
    <w:basedOn w:val="Fuentedeprrafopredeter"/>
    <w:link w:val="Textonotapie"/>
    <w:uiPriority w:val="99"/>
    <w:rsid w:val="00AE3E0E"/>
    <w:rPr>
      <w:kern w:val="0"/>
      <w:sz w:val="20"/>
      <w:szCs w:val="20"/>
    </w:rPr>
  </w:style>
  <w:style w:type="character" w:styleId="Refdenotaalpie">
    <w:name w:val="footnote reference"/>
    <w:basedOn w:val="Fuentedeprrafopredeter"/>
    <w:uiPriority w:val="99"/>
    <w:unhideWhenUsed/>
    <w:rsid w:val="00AE3E0E"/>
    <w:rPr>
      <w:vertAlign w:val="superscript"/>
    </w:rPr>
  </w:style>
  <w:style w:type="paragraph" w:styleId="NormalWeb">
    <w:name w:val="Normal (Web)"/>
    <w:basedOn w:val="Normal"/>
    <w:uiPriority w:val="99"/>
    <w:unhideWhenUsed/>
    <w:rsid w:val="00AE3E0E"/>
    <w:pPr>
      <w:spacing w:before="100" w:beforeAutospacing="1" w:after="100" w:afterAutospacing="1" w:line="240" w:lineRule="auto"/>
    </w:pPr>
    <w:rPr>
      <w:rFonts w:ascii="Times New Roman" w:eastAsiaTheme="minorEastAsia" w:hAnsi="Times New Roman" w:cs="Times New Roman"/>
      <w:sz w:val="20"/>
      <w:szCs w:val="20"/>
      <w:lang w:eastAsia="es-ES"/>
    </w:rPr>
  </w:style>
  <w:style w:type="paragraph" w:styleId="Prrafodelista">
    <w:name w:val="List Paragraph"/>
    <w:basedOn w:val="Normal"/>
    <w:uiPriority w:val="34"/>
    <w:qFormat/>
    <w:rsid w:val="00455EF0"/>
    <w:pPr>
      <w:ind w:left="720"/>
      <w:contextualSpacing/>
    </w:pPr>
  </w:style>
  <w:style w:type="paragraph" w:customStyle="1" w:styleId="Texto">
    <w:name w:val="Texto"/>
    <w:basedOn w:val="Normal"/>
    <w:rsid w:val="00455EF0"/>
    <w:pPr>
      <w:spacing w:after="101" w:line="216" w:lineRule="exact"/>
      <w:ind w:firstLine="288"/>
      <w:jc w:val="both"/>
    </w:pPr>
    <w:rPr>
      <w:rFonts w:ascii="Arial" w:eastAsia="Times New Roman" w:hAnsi="Arial" w:cs="Arial"/>
      <w:noProof/>
      <w:sz w:val="18"/>
      <w:szCs w:val="18"/>
      <w:lang w:eastAsia="es-ES"/>
    </w:rPr>
  </w:style>
  <w:style w:type="character" w:customStyle="1" w:styleId="Ttulo2Car">
    <w:name w:val="Título 2 Car"/>
    <w:basedOn w:val="Fuentedeprrafopredeter"/>
    <w:link w:val="Ttulo2"/>
    <w:uiPriority w:val="9"/>
    <w:rsid w:val="00D006E1"/>
    <w:rPr>
      <w:rFonts w:ascii="Times New Roman" w:eastAsia="Times New Roman" w:hAnsi="Times New Roman" w:cs="Times New Roman"/>
      <w:b/>
      <w:bCs/>
      <w:kern w:val="0"/>
      <w:sz w:val="28"/>
      <w:szCs w:val="28"/>
      <w:lang w:eastAsia="es-MX"/>
    </w:rPr>
  </w:style>
  <w:style w:type="paragraph" w:styleId="Piedepgina">
    <w:name w:val="footer"/>
    <w:basedOn w:val="Normal"/>
    <w:link w:val="PiedepginaCar"/>
    <w:uiPriority w:val="99"/>
    <w:unhideWhenUsed/>
    <w:rsid w:val="00490B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0B04"/>
    <w:rPr>
      <w:kern w:val="0"/>
      <w:sz w:val="22"/>
      <w:szCs w:val="22"/>
    </w:rPr>
  </w:style>
  <w:style w:type="character" w:styleId="Nmerodepgina">
    <w:name w:val="page number"/>
    <w:basedOn w:val="Fuentedeprrafopredeter"/>
    <w:uiPriority w:val="99"/>
    <w:semiHidden/>
    <w:unhideWhenUsed/>
    <w:rsid w:val="00490B04"/>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character" w:styleId="Hipervnculo">
    <w:name w:val="Hyperlink"/>
    <w:basedOn w:val="Fuentedeprrafopredeter"/>
    <w:uiPriority w:val="99"/>
    <w:unhideWhenUsed/>
    <w:rsid w:val="00DE62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I+M8ScaXCJ/BJ/J9IyflelUNdw==">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17</Pages>
  <Words>4615</Words>
  <Characters>24418</Characters>
  <Application>Microsoft Office Word</Application>
  <DocSecurity>0</DocSecurity>
  <Lines>567</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aimeevm</cp:lastModifiedBy>
  <cp:revision>8</cp:revision>
  <cp:lastPrinted>2025-05-19T04:05:00Z</cp:lastPrinted>
  <dcterms:created xsi:type="dcterms:W3CDTF">2025-05-19T04:35:00Z</dcterms:created>
  <dcterms:modified xsi:type="dcterms:W3CDTF">2025-05-19T05:24:00Z</dcterms:modified>
</cp:coreProperties>
</file>