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1CAC1C" w14:textId="77777777" w:rsidR="00940CF0" w:rsidRPr="00310AA7" w:rsidRDefault="00940CF0" w:rsidP="006C5F5C">
      <w:pPr>
        <w:spacing w:before="0" w:after="0"/>
        <w:jc w:val="center"/>
        <w:rPr>
          <w:color w:val="000000"/>
          <w:sz w:val="16"/>
          <w:szCs w:val="16"/>
          <w:lang w:val="en-GB"/>
        </w:rPr>
      </w:pPr>
      <w:r w:rsidRPr="00310AA7">
        <w:rPr>
          <w:rFonts w:ascii="Book Antiqua" w:hAnsi="Book Antiqua" w:cs="Arial"/>
          <w:noProof/>
          <w:color w:val="000000"/>
          <w:sz w:val="28"/>
          <w:szCs w:val="28"/>
          <w:lang w:eastAsia="hu-HU"/>
        </w:rPr>
        <w:drawing>
          <wp:inline distT="0" distB="0" distL="0" distR="0" wp14:anchorId="49CE8706" wp14:editId="131EC900">
            <wp:extent cx="2886710" cy="901065"/>
            <wp:effectExtent l="0" t="0" r="8890" b="0"/>
            <wp:docPr id="11" name="Kép 11" descr="parlamen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6" descr="parlament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6710" cy="901065"/>
                    </a:xfrm>
                    <a:prstGeom prst="rect">
                      <a:avLst/>
                    </a:prstGeom>
                    <a:noFill/>
                    <a:ln>
                      <a:noFill/>
                    </a:ln>
                  </pic:spPr>
                </pic:pic>
              </a:graphicData>
            </a:graphic>
          </wp:inline>
        </w:drawing>
      </w:r>
    </w:p>
    <w:p w14:paraId="1603B2A6" w14:textId="77777777" w:rsidR="00940CF0" w:rsidRPr="00310AA7" w:rsidRDefault="00940CF0" w:rsidP="006C5F5C">
      <w:pPr>
        <w:pStyle w:val="lfej"/>
        <w:pBdr>
          <w:bottom w:val="single" w:sz="4" w:space="1" w:color="auto"/>
        </w:pBdr>
        <w:tabs>
          <w:tab w:val="clear" w:pos="4536"/>
        </w:tabs>
        <w:spacing w:before="0" w:after="0"/>
        <w:jc w:val="center"/>
        <w:rPr>
          <w:rFonts w:ascii="Garamond" w:hAnsi="Garamond"/>
          <w:b/>
          <w:bCs/>
          <w:szCs w:val="18"/>
          <w:lang w:val="en-GB"/>
        </w:rPr>
      </w:pPr>
      <w:r w:rsidRPr="00310AA7">
        <w:rPr>
          <w:rFonts w:ascii="Garamond" w:hAnsi="Garamond"/>
          <w:b/>
          <w:bCs/>
          <w:szCs w:val="18"/>
          <w:lang w:val="en-GB"/>
        </w:rPr>
        <w:t xml:space="preserve">COMMISSIONER FOR FUNDAMENTAL RIGHTS </w:t>
      </w:r>
    </w:p>
    <w:p w14:paraId="26E9432D" w14:textId="77777777" w:rsidR="00940CF0" w:rsidRPr="00310AA7" w:rsidRDefault="00940CF0" w:rsidP="00940CF0">
      <w:pPr>
        <w:jc w:val="center"/>
        <w:rPr>
          <w:rFonts w:ascii="Garamond" w:hAnsi="Garamond"/>
          <w:b/>
          <w:sz w:val="28"/>
          <w:szCs w:val="24"/>
          <w:lang w:val="en-GB"/>
        </w:rPr>
      </w:pPr>
    </w:p>
    <w:p w14:paraId="5DC2EA04" w14:textId="77777777" w:rsidR="00940CF0" w:rsidRPr="00310AA7" w:rsidRDefault="00940CF0" w:rsidP="00940CF0">
      <w:pPr>
        <w:jc w:val="center"/>
        <w:rPr>
          <w:rFonts w:ascii="Garamond" w:hAnsi="Garamond"/>
          <w:b/>
          <w:sz w:val="28"/>
          <w:szCs w:val="24"/>
          <w:lang w:val="en-GB"/>
        </w:rPr>
      </w:pPr>
    </w:p>
    <w:p w14:paraId="79E440B5" w14:textId="77777777" w:rsidR="00FC18B3" w:rsidRPr="00310AA7" w:rsidRDefault="00940CF0" w:rsidP="00FC18B3">
      <w:pPr>
        <w:pStyle w:val="Cm"/>
        <w:jc w:val="center"/>
        <w:rPr>
          <w:lang w:val="en-GB"/>
        </w:rPr>
      </w:pPr>
      <w:r w:rsidRPr="00310AA7">
        <w:rPr>
          <w:lang w:val="en-GB"/>
        </w:rPr>
        <w:t xml:space="preserve">Written </w:t>
      </w:r>
      <w:r w:rsidR="00FC18B3" w:rsidRPr="00310AA7">
        <w:rPr>
          <w:lang w:val="en-GB"/>
        </w:rPr>
        <w:t xml:space="preserve">contribution </w:t>
      </w:r>
      <w:r w:rsidRPr="00310AA7">
        <w:rPr>
          <w:lang w:val="en-GB"/>
        </w:rPr>
        <w:t xml:space="preserve">of the </w:t>
      </w:r>
    </w:p>
    <w:p w14:paraId="662B1C6F" w14:textId="77777777" w:rsidR="00FC18B3" w:rsidRPr="00310AA7" w:rsidRDefault="00940CF0" w:rsidP="00FC18B3">
      <w:pPr>
        <w:pStyle w:val="Cm"/>
        <w:jc w:val="center"/>
        <w:rPr>
          <w:lang w:val="en-GB"/>
        </w:rPr>
      </w:pPr>
      <w:r w:rsidRPr="00310AA7">
        <w:rPr>
          <w:lang w:val="en-GB"/>
        </w:rPr>
        <w:t xml:space="preserve">Commissioner for Fundamental Rights (NHRI </w:t>
      </w:r>
      <w:r w:rsidR="003B0713" w:rsidRPr="00310AA7">
        <w:rPr>
          <w:lang w:val="en-GB"/>
        </w:rPr>
        <w:t xml:space="preserve">of </w:t>
      </w:r>
      <w:r w:rsidRPr="00310AA7">
        <w:rPr>
          <w:lang w:val="en-GB"/>
        </w:rPr>
        <w:t xml:space="preserve">Hungary) </w:t>
      </w:r>
    </w:p>
    <w:p w14:paraId="47FA9F4C" w14:textId="77777777" w:rsidR="00FC18B3" w:rsidRPr="00310AA7" w:rsidRDefault="00FC18B3" w:rsidP="00FC18B3">
      <w:pPr>
        <w:pStyle w:val="Cm"/>
        <w:jc w:val="center"/>
        <w:rPr>
          <w:lang w:val="en-GB"/>
        </w:rPr>
      </w:pPr>
    </w:p>
    <w:p w14:paraId="74BDF608" w14:textId="77777777" w:rsidR="00FC18B3" w:rsidRPr="00310AA7" w:rsidRDefault="00940CF0" w:rsidP="00FC18B3">
      <w:pPr>
        <w:pStyle w:val="Cm"/>
        <w:jc w:val="center"/>
        <w:rPr>
          <w:lang w:val="en-GB"/>
        </w:rPr>
      </w:pPr>
      <w:r w:rsidRPr="00310AA7">
        <w:rPr>
          <w:lang w:val="en-GB"/>
        </w:rPr>
        <w:t>to the 23</w:t>
      </w:r>
      <w:r w:rsidRPr="00310AA7">
        <w:rPr>
          <w:vertAlign w:val="superscript"/>
          <w:lang w:val="en-GB"/>
        </w:rPr>
        <w:t>rd</w:t>
      </w:r>
      <w:r w:rsidRPr="00310AA7">
        <w:rPr>
          <w:lang w:val="en-GB"/>
        </w:rPr>
        <w:t xml:space="preserve"> session of the Committee on the Rights of Persons with Disabilities</w:t>
      </w:r>
      <w:r w:rsidR="009C40E7" w:rsidRPr="00310AA7">
        <w:rPr>
          <w:lang w:val="en-GB"/>
        </w:rPr>
        <w:t xml:space="preserve"> </w:t>
      </w:r>
    </w:p>
    <w:p w14:paraId="79E94F70" w14:textId="77777777" w:rsidR="00FC18B3" w:rsidRPr="00310AA7" w:rsidRDefault="00FC18B3" w:rsidP="00FC18B3">
      <w:pPr>
        <w:pStyle w:val="Cm"/>
        <w:jc w:val="center"/>
        <w:rPr>
          <w:lang w:val="en-GB"/>
        </w:rPr>
      </w:pPr>
    </w:p>
    <w:p w14:paraId="19987F09" w14:textId="36947F6D" w:rsidR="00940CF0" w:rsidRPr="00310AA7" w:rsidRDefault="009C40E7" w:rsidP="00FC18B3">
      <w:pPr>
        <w:pStyle w:val="Cm"/>
        <w:jc w:val="center"/>
        <w:rPr>
          <w:lang w:val="en-GB"/>
        </w:rPr>
      </w:pPr>
      <w:r w:rsidRPr="00310AA7">
        <w:rPr>
          <w:lang w:val="en-GB"/>
        </w:rPr>
        <w:t xml:space="preserve">with regard to the </w:t>
      </w:r>
      <w:r w:rsidR="00FC18B3" w:rsidRPr="00310AA7">
        <w:rPr>
          <w:lang w:val="en-GB"/>
        </w:rPr>
        <w:t>combined second and third periodic reports submitted by Hungary</w:t>
      </w:r>
    </w:p>
    <w:p w14:paraId="0A4E3F1C" w14:textId="77777777" w:rsidR="00940CF0" w:rsidRPr="00310AA7" w:rsidRDefault="00940CF0" w:rsidP="003B0713">
      <w:pPr>
        <w:rPr>
          <w:rFonts w:ascii="Garamond" w:hAnsi="Garamond"/>
          <w:b/>
          <w:szCs w:val="24"/>
          <w:lang w:val="en-GB"/>
        </w:rPr>
      </w:pPr>
    </w:p>
    <w:p w14:paraId="4F5BD86D" w14:textId="77777777" w:rsidR="00940CF0" w:rsidRPr="00310AA7" w:rsidRDefault="00940CF0" w:rsidP="00940CF0">
      <w:pPr>
        <w:tabs>
          <w:tab w:val="left" w:pos="7920"/>
        </w:tabs>
        <w:rPr>
          <w:rFonts w:ascii="Garamond" w:hAnsi="Garamond"/>
          <w:b/>
          <w:bCs/>
          <w:szCs w:val="24"/>
          <w:lang w:val="en-GB" w:eastAsia="hu-HU"/>
        </w:rPr>
      </w:pPr>
    </w:p>
    <w:p w14:paraId="5DFD2537" w14:textId="77777777" w:rsidR="006C5F5C" w:rsidRPr="00310AA7" w:rsidRDefault="006C5F5C">
      <w:pPr>
        <w:spacing w:after="160" w:line="259" w:lineRule="auto"/>
        <w:rPr>
          <w:lang w:val="en-GB" w:eastAsia="hu-HU"/>
        </w:rPr>
      </w:pPr>
    </w:p>
    <w:p w14:paraId="5389A7B0" w14:textId="77777777" w:rsidR="006C5F5C" w:rsidRPr="00310AA7" w:rsidRDefault="006C5F5C">
      <w:pPr>
        <w:spacing w:after="160" w:line="259" w:lineRule="auto"/>
        <w:rPr>
          <w:lang w:val="en-GB" w:eastAsia="hu-HU"/>
        </w:rPr>
      </w:pPr>
    </w:p>
    <w:p w14:paraId="62F2FCAD" w14:textId="77777777" w:rsidR="006C5F5C" w:rsidRPr="00310AA7" w:rsidRDefault="006C5F5C">
      <w:pPr>
        <w:spacing w:after="160" w:line="259" w:lineRule="auto"/>
        <w:rPr>
          <w:lang w:val="en-GB" w:eastAsia="hu-HU"/>
        </w:rPr>
      </w:pPr>
    </w:p>
    <w:sdt>
      <w:sdtPr>
        <w:rPr>
          <w:rFonts w:asciiTheme="minorHAnsi" w:eastAsiaTheme="minorHAnsi" w:hAnsiTheme="minorHAnsi" w:cstheme="minorBidi"/>
          <w:color w:val="auto"/>
          <w:sz w:val="24"/>
          <w:szCs w:val="22"/>
          <w:lang w:val="en-GB" w:eastAsia="en-US"/>
        </w:rPr>
        <w:id w:val="-750888923"/>
        <w:docPartObj>
          <w:docPartGallery w:val="Table of Contents"/>
          <w:docPartUnique/>
        </w:docPartObj>
      </w:sdtPr>
      <w:sdtEndPr>
        <w:rPr>
          <w:b/>
          <w:bCs/>
        </w:rPr>
      </w:sdtEndPr>
      <w:sdtContent>
        <w:p w14:paraId="1ED46EB6" w14:textId="163828D9" w:rsidR="006C5F5C" w:rsidRPr="00310AA7" w:rsidRDefault="006C5F5C">
          <w:pPr>
            <w:pStyle w:val="Tartalomjegyzkcmsora"/>
            <w:rPr>
              <w:lang w:val="en-GB"/>
            </w:rPr>
          </w:pPr>
          <w:r w:rsidRPr="00310AA7">
            <w:rPr>
              <w:lang w:val="en-GB"/>
            </w:rPr>
            <w:t>Table of Contents</w:t>
          </w:r>
        </w:p>
        <w:p w14:paraId="48F92001" w14:textId="77777777" w:rsidR="00615FF7" w:rsidRPr="00615FF7" w:rsidRDefault="006C5F5C">
          <w:pPr>
            <w:pStyle w:val="TJ1"/>
            <w:tabs>
              <w:tab w:val="left" w:pos="440"/>
              <w:tab w:val="right" w:leader="dot" w:pos="9062"/>
            </w:tabs>
            <w:rPr>
              <w:rFonts w:eastAsiaTheme="minorEastAsia"/>
              <w:noProof/>
              <w:sz w:val="20"/>
              <w:lang w:eastAsia="hu-HU"/>
            </w:rPr>
          </w:pPr>
          <w:r w:rsidRPr="00615FF7">
            <w:rPr>
              <w:b/>
              <w:bCs/>
              <w:sz w:val="20"/>
              <w:lang w:val="en-GB"/>
            </w:rPr>
            <w:fldChar w:fldCharType="begin"/>
          </w:r>
          <w:r w:rsidRPr="00615FF7">
            <w:rPr>
              <w:b/>
              <w:bCs/>
              <w:sz w:val="20"/>
              <w:lang w:val="en-GB"/>
            </w:rPr>
            <w:instrText xml:space="preserve"> TOC \o "1-3" \h \z \u </w:instrText>
          </w:r>
          <w:r w:rsidRPr="00615FF7">
            <w:rPr>
              <w:b/>
              <w:bCs/>
              <w:sz w:val="20"/>
              <w:lang w:val="en-GB"/>
            </w:rPr>
            <w:fldChar w:fldCharType="separate"/>
          </w:r>
          <w:hyperlink w:anchor="_Toc31958367" w:history="1">
            <w:r w:rsidR="00615FF7" w:rsidRPr="00615FF7">
              <w:rPr>
                <w:rStyle w:val="Hiperhivatkozs"/>
                <w:noProof/>
                <w:sz w:val="22"/>
                <w:lang w:val="en-GB" w:eastAsia="hu-HU"/>
              </w:rPr>
              <w:t>1.</w:t>
            </w:r>
            <w:r w:rsidR="00615FF7" w:rsidRPr="00615FF7">
              <w:rPr>
                <w:rFonts w:eastAsiaTheme="minorEastAsia"/>
                <w:noProof/>
                <w:sz w:val="20"/>
                <w:lang w:eastAsia="hu-HU"/>
              </w:rPr>
              <w:tab/>
            </w:r>
            <w:r w:rsidR="00615FF7" w:rsidRPr="00615FF7">
              <w:rPr>
                <w:rStyle w:val="Hiperhivatkozs"/>
                <w:noProof/>
                <w:sz w:val="22"/>
                <w:lang w:val="en-GB" w:eastAsia="hu-HU"/>
              </w:rPr>
              <w:t>Introduction</w:t>
            </w:r>
            <w:r w:rsidR="00615FF7" w:rsidRPr="00615FF7">
              <w:rPr>
                <w:noProof/>
                <w:webHidden/>
                <w:sz w:val="22"/>
              </w:rPr>
              <w:tab/>
            </w:r>
            <w:r w:rsidR="00615FF7" w:rsidRPr="00615FF7">
              <w:rPr>
                <w:noProof/>
                <w:webHidden/>
                <w:sz w:val="22"/>
              </w:rPr>
              <w:fldChar w:fldCharType="begin"/>
            </w:r>
            <w:r w:rsidR="00615FF7" w:rsidRPr="00615FF7">
              <w:rPr>
                <w:noProof/>
                <w:webHidden/>
                <w:sz w:val="22"/>
              </w:rPr>
              <w:instrText xml:space="preserve"> PAGEREF _Toc31958367 \h </w:instrText>
            </w:r>
            <w:r w:rsidR="00615FF7" w:rsidRPr="00615FF7">
              <w:rPr>
                <w:noProof/>
                <w:webHidden/>
                <w:sz w:val="22"/>
              </w:rPr>
            </w:r>
            <w:r w:rsidR="00615FF7" w:rsidRPr="00615FF7">
              <w:rPr>
                <w:noProof/>
                <w:webHidden/>
                <w:sz w:val="22"/>
              </w:rPr>
              <w:fldChar w:fldCharType="separate"/>
            </w:r>
            <w:r w:rsidR="00615FF7" w:rsidRPr="00615FF7">
              <w:rPr>
                <w:noProof/>
                <w:webHidden/>
                <w:sz w:val="22"/>
              </w:rPr>
              <w:t>3</w:t>
            </w:r>
            <w:r w:rsidR="00615FF7" w:rsidRPr="00615FF7">
              <w:rPr>
                <w:noProof/>
                <w:webHidden/>
                <w:sz w:val="22"/>
              </w:rPr>
              <w:fldChar w:fldCharType="end"/>
            </w:r>
          </w:hyperlink>
        </w:p>
        <w:p w14:paraId="184DAC0B" w14:textId="77777777" w:rsidR="00615FF7" w:rsidRPr="00615FF7" w:rsidRDefault="00615FF7">
          <w:pPr>
            <w:pStyle w:val="TJ1"/>
            <w:tabs>
              <w:tab w:val="left" w:pos="440"/>
              <w:tab w:val="right" w:leader="dot" w:pos="9062"/>
            </w:tabs>
            <w:rPr>
              <w:rFonts w:eastAsiaTheme="minorEastAsia"/>
              <w:noProof/>
              <w:sz w:val="20"/>
              <w:lang w:eastAsia="hu-HU"/>
            </w:rPr>
          </w:pPr>
          <w:hyperlink w:anchor="_Toc31958368" w:history="1">
            <w:r w:rsidRPr="00615FF7">
              <w:rPr>
                <w:rStyle w:val="Hiperhivatkozs"/>
                <w:noProof/>
                <w:sz w:val="22"/>
                <w:lang w:val="en-GB" w:eastAsia="hu-HU"/>
              </w:rPr>
              <w:t>2.</w:t>
            </w:r>
            <w:r w:rsidRPr="00615FF7">
              <w:rPr>
                <w:rFonts w:eastAsiaTheme="minorEastAsia"/>
                <w:noProof/>
                <w:sz w:val="20"/>
                <w:lang w:eastAsia="hu-HU"/>
              </w:rPr>
              <w:tab/>
            </w:r>
            <w:r w:rsidRPr="00615FF7">
              <w:rPr>
                <w:rStyle w:val="Hiperhivatkozs"/>
                <w:noProof/>
                <w:sz w:val="22"/>
                <w:lang w:val="en-GB" w:eastAsia="hu-HU"/>
              </w:rPr>
              <w:t>Achievements</w:t>
            </w:r>
            <w:r w:rsidRPr="00615FF7">
              <w:rPr>
                <w:noProof/>
                <w:webHidden/>
                <w:sz w:val="22"/>
              </w:rPr>
              <w:tab/>
            </w:r>
            <w:r w:rsidRPr="00615FF7">
              <w:rPr>
                <w:noProof/>
                <w:webHidden/>
                <w:sz w:val="22"/>
              </w:rPr>
              <w:fldChar w:fldCharType="begin"/>
            </w:r>
            <w:r w:rsidRPr="00615FF7">
              <w:rPr>
                <w:noProof/>
                <w:webHidden/>
                <w:sz w:val="22"/>
              </w:rPr>
              <w:instrText xml:space="preserve"> PAGEREF _Toc31958368 \h </w:instrText>
            </w:r>
            <w:r w:rsidRPr="00615FF7">
              <w:rPr>
                <w:noProof/>
                <w:webHidden/>
                <w:sz w:val="22"/>
              </w:rPr>
            </w:r>
            <w:r w:rsidRPr="00615FF7">
              <w:rPr>
                <w:noProof/>
                <w:webHidden/>
                <w:sz w:val="22"/>
              </w:rPr>
              <w:fldChar w:fldCharType="separate"/>
            </w:r>
            <w:r w:rsidRPr="00615FF7">
              <w:rPr>
                <w:noProof/>
                <w:webHidden/>
                <w:sz w:val="22"/>
              </w:rPr>
              <w:t>5</w:t>
            </w:r>
            <w:r w:rsidRPr="00615FF7">
              <w:rPr>
                <w:noProof/>
                <w:webHidden/>
                <w:sz w:val="22"/>
              </w:rPr>
              <w:fldChar w:fldCharType="end"/>
            </w:r>
          </w:hyperlink>
        </w:p>
        <w:p w14:paraId="76CDE820" w14:textId="77777777" w:rsidR="00615FF7" w:rsidRPr="00615FF7" w:rsidRDefault="00615FF7">
          <w:pPr>
            <w:pStyle w:val="TJ1"/>
            <w:tabs>
              <w:tab w:val="left" w:pos="440"/>
              <w:tab w:val="right" w:leader="dot" w:pos="9062"/>
            </w:tabs>
            <w:rPr>
              <w:rFonts w:eastAsiaTheme="minorEastAsia"/>
              <w:noProof/>
              <w:sz w:val="20"/>
              <w:lang w:eastAsia="hu-HU"/>
            </w:rPr>
          </w:pPr>
          <w:hyperlink w:anchor="_Toc31958369" w:history="1">
            <w:r w:rsidRPr="00615FF7">
              <w:rPr>
                <w:rStyle w:val="Hiperhivatkozs"/>
                <w:noProof/>
                <w:sz w:val="22"/>
                <w:lang w:val="en-GB" w:eastAsia="hu-HU"/>
              </w:rPr>
              <w:t>3.</w:t>
            </w:r>
            <w:r w:rsidRPr="00615FF7">
              <w:rPr>
                <w:rFonts w:eastAsiaTheme="minorEastAsia"/>
                <w:noProof/>
                <w:sz w:val="20"/>
                <w:lang w:eastAsia="hu-HU"/>
              </w:rPr>
              <w:tab/>
            </w:r>
            <w:r w:rsidRPr="00615FF7">
              <w:rPr>
                <w:rStyle w:val="Hiperhivatkozs"/>
                <w:noProof/>
                <w:sz w:val="22"/>
                <w:lang w:val="en-GB"/>
              </w:rPr>
              <w:t>Equal dignity, as the constitutional basis for protective measures</w:t>
            </w:r>
            <w:r w:rsidRPr="00615FF7">
              <w:rPr>
                <w:noProof/>
                <w:webHidden/>
                <w:sz w:val="22"/>
              </w:rPr>
              <w:tab/>
            </w:r>
            <w:r w:rsidRPr="00615FF7">
              <w:rPr>
                <w:noProof/>
                <w:webHidden/>
                <w:sz w:val="22"/>
              </w:rPr>
              <w:fldChar w:fldCharType="begin"/>
            </w:r>
            <w:r w:rsidRPr="00615FF7">
              <w:rPr>
                <w:noProof/>
                <w:webHidden/>
                <w:sz w:val="22"/>
              </w:rPr>
              <w:instrText xml:space="preserve"> PAGEREF _Toc31958369 \h </w:instrText>
            </w:r>
            <w:r w:rsidRPr="00615FF7">
              <w:rPr>
                <w:noProof/>
                <w:webHidden/>
                <w:sz w:val="22"/>
              </w:rPr>
            </w:r>
            <w:r w:rsidRPr="00615FF7">
              <w:rPr>
                <w:noProof/>
                <w:webHidden/>
                <w:sz w:val="22"/>
              </w:rPr>
              <w:fldChar w:fldCharType="separate"/>
            </w:r>
            <w:r w:rsidRPr="00615FF7">
              <w:rPr>
                <w:noProof/>
                <w:webHidden/>
                <w:sz w:val="22"/>
              </w:rPr>
              <w:t>5</w:t>
            </w:r>
            <w:r w:rsidRPr="00615FF7">
              <w:rPr>
                <w:noProof/>
                <w:webHidden/>
                <w:sz w:val="22"/>
              </w:rPr>
              <w:fldChar w:fldCharType="end"/>
            </w:r>
          </w:hyperlink>
        </w:p>
        <w:p w14:paraId="544F146D" w14:textId="77777777" w:rsidR="00615FF7" w:rsidRPr="00615FF7" w:rsidRDefault="00615FF7">
          <w:pPr>
            <w:pStyle w:val="TJ1"/>
            <w:tabs>
              <w:tab w:val="left" w:pos="440"/>
              <w:tab w:val="right" w:leader="dot" w:pos="9062"/>
            </w:tabs>
            <w:rPr>
              <w:rFonts w:eastAsiaTheme="minorEastAsia"/>
              <w:noProof/>
              <w:sz w:val="20"/>
              <w:lang w:eastAsia="hu-HU"/>
            </w:rPr>
          </w:pPr>
          <w:hyperlink w:anchor="_Toc31958370" w:history="1">
            <w:r w:rsidRPr="00615FF7">
              <w:rPr>
                <w:rStyle w:val="Hiperhivatkozs"/>
                <w:noProof/>
                <w:sz w:val="22"/>
                <w:lang w:val="en-GB" w:eastAsia="hu-HU"/>
              </w:rPr>
              <w:t>4.</w:t>
            </w:r>
            <w:r w:rsidRPr="00615FF7">
              <w:rPr>
                <w:rFonts w:eastAsiaTheme="minorEastAsia"/>
                <w:noProof/>
                <w:sz w:val="20"/>
                <w:lang w:eastAsia="hu-HU"/>
              </w:rPr>
              <w:tab/>
            </w:r>
            <w:r w:rsidRPr="00615FF7">
              <w:rPr>
                <w:rStyle w:val="Hiperhivatkozs"/>
                <w:noProof/>
                <w:sz w:val="22"/>
                <w:lang w:val="en-GB" w:eastAsia="hu-HU"/>
              </w:rPr>
              <w:t>Particular issues</w:t>
            </w:r>
            <w:r w:rsidRPr="00615FF7">
              <w:rPr>
                <w:noProof/>
                <w:webHidden/>
                <w:sz w:val="22"/>
              </w:rPr>
              <w:tab/>
            </w:r>
            <w:r w:rsidRPr="00615FF7">
              <w:rPr>
                <w:noProof/>
                <w:webHidden/>
                <w:sz w:val="22"/>
              </w:rPr>
              <w:fldChar w:fldCharType="begin"/>
            </w:r>
            <w:r w:rsidRPr="00615FF7">
              <w:rPr>
                <w:noProof/>
                <w:webHidden/>
                <w:sz w:val="22"/>
              </w:rPr>
              <w:instrText xml:space="preserve"> PAGEREF _Toc31958370 \h </w:instrText>
            </w:r>
            <w:r w:rsidRPr="00615FF7">
              <w:rPr>
                <w:noProof/>
                <w:webHidden/>
                <w:sz w:val="22"/>
              </w:rPr>
            </w:r>
            <w:r w:rsidRPr="00615FF7">
              <w:rPr>
                <w:noProof/>
                <w:webHidden/>
                <w:sz w:val="22"/>
              </w:rPr>
              <w:fldChar w:fldCharType="separate"/>
            </w:r>
            <w:r w:rsidRPr="00615FF7">
              <w:rPr>
                <w:noProof/>
                <w:webHidden/>
                <w:sz w:val="22"/>
              </w:rPr>
              <w:t>7</w:t>
            </w:r>
            <w:r w:rsidRPr="00615FF7">
              <w:rPr>
                <w:noProof/>
                <w:webHidden/>
                <w:sz w:val="22"/>
              </w:rPr>
              <w:fldChar w:fldCharType="end"/>
            </w:r>
          </w:hyperlink>
        </w:p>
        <w:p w14:paraId="78CF7CBA" w14:textId="77777777" w:rsidR="00615FF7" w:rsidRPr="00615FF7" w:rsidRDefault="00615FF7">
          <w:pPr>
            <w:pStyle w:val="TJ2"/>
            <w:tabs>
              <w:tab w:val="left" w:pos="660"/>
              <w:tab w:val="right" w:leader="dot" w:pos="9062"/>
            </w:tabs>
            <w:rPr>
              <w:rFonts w:eastAsiaTheme="minorEastAsia"/>
              <w:noProof/>
              <w:sz w:val="20"/>
              <w:lang w:eastAsia="hu-HU"/>
            </w:rPr>
          </w:pPr>
          <w:hyperlink w:anchor="_Toc31958371" w:history="1">
            <w:r w:rsidRPr="00615FF7">
              <w:rPr>
                <w:rStyle w:val="Hiperhivatkozs"/>
                <w:noProof/>
                <w:sz w:val="22"/>
                <w:lang w:val="en-GB"/>
              </w:rPr>
              <w:t>A.</w:t>
            </w:r>
            <w:r w:rsidRPr="00615FF7">
              <w:rPr>
                <w:rFonts w:eastAsiaTheme="minorEastAsia"/>
                <w:noProof/>
                <w:sz w:val="20"/>
                <w:lang w:eastAsia="hu-HU"/>
              </w:rPr>
              <w:tab/>
            </w:r>
            <w:r w:rsidRPr="00615FF7">
              <w:rPr>
                <w:rStyle w:val="Hiperhivatkozs"/>
                <w:noProof/>
                <w:sz w:val="22"/>
                <w:lang w:val="en-GB"/>
              </w:rPr>
              <w:t>Autonomy and disabilities</w:t>
            </w:r>
            <w:r w:rsidRPr="00615FF7">
              <w:rPr>
                <w:noProof/>
                <w:webHidden/>
                <w:sz w:val="22"/>
              </w:rPr>
              <w:tab/>
            </w:r>
            <w:r w:rsidRPr="00615FF7">
              <w:rPr>
                <w:noProof/>
                <w:webHidden/>
                <w:sz w:val="22"/>
              </w:rPr>
              <w:fldChar w:fldCharType="begin"/>
            </w:r>
            <w:r w:rsidRPr="00615FF7">
              <w:rPr>
                <w:noProof/>
                <w:webHidden/>
                <w:sz w:val="22"/>
              </w:rPr>
              <w:instrText xml:space="preserve"> PAGEREF _Toc31958371 \h </w:instrText>
            </w:r>
            <w:r w:rsidRPr="00615FF7">
              <w:rPr>
                <w:noProof/>
                <w:webHidden/>
                <w:sz w:val="22"/>
              </w:rPr>
            </w:r>
            <w:r w:rsidRPr="00615FF7">
              <w:rPr>
                <w:noProof/>
                <w:webHidden/>
                <w:sz w:val="22"/>
              </w:rPr>
              <w:fldChar w:fldCharType="separate"/>
            </w:r>
            <w:r w:rsidRPr="00615FF7">
              <w:rPr>
                <w:noProof/>
                <w:webHidden/>
                <w:sz w:val="22"/>
              </w:rPr>
              <w:t>7</w:t>
            </w:r>
            <w:r w:rsidRPr="00615FF7">
              <w:rPr>
                <w:noProof/>
                <w:webHidden/>
                <w:sz w:val="22"/>
              </w:rPr>
              <w:fldChar w:fldCharType="end"/>
            </w:r>
          </w:hyperlink>
        </w:p>
        <w:p w14:paraId="4AF0D153" w14:textId="77777777" w:rsidR="00615FF7" w:rsidRPr="00615FF7" w:rsidRDefault="00615FF7">
          <w:pPr>
            <w:pStyle w:val="TJ2"/>
            <w:tabs>
              <w:tab w:val="left" w:pos="660"/>
              <w:tab w:val="right" w:leader="dot" w:pos="9062"/>
            </w:tabs>
            <w:rPr>
              <w:rFonts w:eastAsiaTheme="minorEastAsia"/>
              <w:noProof/>
              <w:sz w:val="20"/>
              <w:lang w:eastAsia="hu-HU"/>
            </w:rPr>
          </w:pPr>
          <w:hyperlink w:anchor="_Toc31958372" w:history="1">
            <w:r w:rsidRPr="00615FF7">
              <w:rPr>
                <w:rStyle w:val="Hiperhivatkozs"/>
                <w:noProof/>
                <w:sz w:val="22"/>
                <w:lang w:val="en-GB"/>
              </w:rPr>
              <w:t>B.</w:t>
            </w:r>
            <w:r w:rsidRPr="00615FF7">
              <w:rPr>
                <w:rFonts w:eastAsiaTheme="minorEastAsia"/>
                <w:noProof/>
                <w:sz w:val="20"/>
                <w:lang w:eastAsia="hu-HU"/>
              </w:rPr>
              <w:tab/>
            </w:r>
            <w:r w:rsidRPr="00615FF7">
              <w:rPr>
                <w:rStyle w:val="Hiperhivatkozs"/>
                <w:noProof/>
                <w:sz w:val="22"/>
                <w:lang w:val="en-GB"/>
              </w:rPr>
              <w:t>Legal capacity, restriction and the importance of supported decision-making</w:t>
            </w:r>
            <w:r w:rsidRPr="00615FF7">
              <w:rPr>
                <w:noProof/>
                <w:webHidden/>
                <w:sz w:val="22"/>
              </w:rPr>
              <w:tab/>
            </w:r>
            <w:r w:rsidRPr="00615FF7">
              <w:rPr>
                <w:noProof/>
                <w:webHidden/>
                <w:sz w:val="22"/>
              </w:rPr>
              <w:fldChar w:fldCharType="begin"/>
            </w:r>
            <w:r w:rsidRPr="00615FF7">
              <w:rPr>
                <w:noProof/>
                <w:webHidden/>
                <w:sz w:val="22"/>
              </w:rPr>
              <w:instrText xml:space="preserve"> PAGEREF _Toc31958372 \h </w:instrText>
            </w:r>
            <w:r w:rsidRPr="00615FF7">
              <w:rPr>
                <w:noProof/>
                <w:webHidden/>
                <w:sz w:val="22"/>
              </w:rPr>
            </w:r>
            <w:r w:rsidRPr="00615FF7">
              <w:rPr>
                <w:noProof/>
                <w:webHidden/>
                <w:sz w:val="22"/>
              </w:rPr>
              <w:fldChar w:fldCharType="separate"/>
            </w:r>
            <w:r w:rsidRPr="00615FF7">
              <w:rPr>
                <w:noProof/>
                <w:webHidden/>
                <w:sz w:val="22"/>
              </w:rPr>
              <w:t>10</w:t>
            </w:r>
            <w:r w:rsidRPr="00615FF7">
              <w:rPr>
                <w:noProof/>
                <w:webHidden/>
                <w:sz w:val="22"/>
              </w:rPr>
              <w:fldChar w:fldCharType="end"/>
            </w:r>
          </w:hyperlink>
        </w:p>
        <w:p w14:paraId="139B2A68" w14:textId="77777777" w:rsidR="00615FF7" w:rsidRPr="00615FF7" w:rsidRDefault="00615FF7">
          <w:pPr>
            <w:pStyle w:val="TJ2"/>
            <w:tabs>
              <w:tab w:val="left" w:pos="660"/>
              <w:tab w:val="right" w:leader="dot" w:pos="9062"/>
            </w:tabs>
            <w:rPr>
              <w:rFonts w:eastAsiaTheme="minorEastAsia"/>
              <w:noProof/>
              <w:sz w:val="20"/>
              <w:lang w:eastAsia="hu-HU"/>
            </w:rPr>
          </w:pPr>
          <w:hyperlink w:anchor="_Toc31958373" w:history="1">
            <w:r w:rsidRPr="00615FF7">
              <w:rPr>
                <w:rStyle w:val="Hiperhivatkozs"/>
                <w:noProof/>
                <w:sz w:val="22"/>
                <w:lang w:val="en-GB"/>
              </w:rPr>
              <w:t>C.</w:t>
            </w:r>
            <w:r w:rsidRPr="00615FF7">
              <w:rPr>
                <w:rFonts w:eastAsiaTheme="minorEastAsia"/>
                <w:noProof/>
                <w:sz w:val="20"/>
                <w:lang w:eastAsia="hu-HU"/>
              </w:rPr>
              <w:tab/>
            </w:r>
            <w:r w:rsidRPr="00615FF7">
              <w:rPr>
                <w:rStyle w:val="Hiperhivatkozs"/>
                <w:noProof/>
                <w:sz w:val="22"/>
                <w:lang w:val="en-GB"/>
              </w:rPr>
              <w:t>Reasonable accommodation</w:t>
            </w:r>
            <w:r w:rsidRPr="00615FF7">
              <w:rPr>
                <w:noProof/>
                <w:webHidden/>
                <w:sz w:val="22"/>
              </w:rPr>
              <w:tab/>
            </w:r>
            <w:r w:rsidRPr="00615FF7">
              <w:rPr>
                <w:noProof/>
                <w:webHidden/>
                <w:sz w:val="22"/>
              </w:rPr>
              <w:fldChar w:fldCharType="begin"/>
            </w:r>
            <w:r w:rsidRPr="00615FF7">
              <w:rPr>
                <w:noProof/>
                <w:webHidden/>
                <w:sz w:val="22"/>
              </w:rPr>
              <w:instrText xml:space="preserve"> PAGEREF _Toc31958373 \h </w:instrText>
            </w:r>
            <w:r w:rsidRPr="00615FF7">
              <w:rPr>
                <w:noProof/>
                <w:webHidden/>
                <w:sz w:val="22"/>
              </w:rPr>
            </w:r>
            <w:r w:rsidRPr="00615FF7">
              <w:rPr>
                <w:noProof/>
                <w:webHidden/>
                <w:sz w:val="22"/>
              </w:rPr>
              <w:fldChar w:fldCharType="separate"/>
            </w:r>
            <w:r w:rsidRPr="00615FF7">
              <w:rPr>
                <w:noProof/>
                <w:webHidden/>
                <w:sz w:val="22"/>
              </w:rPr>
              <w:t>15</w:t>
            </w:r>
            <w:r w:rsidRPr="00615FF7">
              <w:rPr>
                <w:noProof/>
                <w:webHidden/>
                <w:sz w:val="22"/>
              </w:rPr>
              <w:fldChar w:fldCharType="end"/>
            </w:r>
          </w:hyperlink>
        </w:p>
        <w:p w14:paraId="42B695AC" w14:textId="77777777" w:rsidR="00615FF7" w:rsidRPr="00615FF7" w:rsidRDefault="00615FF7">
          <w:pPr>
            <w:pStyle w:val="TJ1"/>
            <w:tabs>
              <w:tab w:val="left" w:pos="440"/>
              <w:tab w:val="right" w:leader="dot" w:pos="9062"/>
            </w:tabs>
            <w:rPr>
              <w:rFonts w:eastAsiaTheme="minorEastAsia"/>
              <w:noProof/>
              <w:sz w:val="20"/>
              <w:lang w:eastAsia="hu-HU"/>
            </w:rPr>
          </w:pPr>
          <w:hyperlink w:anchor="_Toc31958374" w:history="1">
            <w:r w:rsidRPr="00615FF7">
              <w:rPr>
                <w:rStyle w:val="Hiperhivatkozs"/>
                <w:noProof/>
                <w:sz w:val="22"/>
                <w:lang w:val="en-GB" w:eastAsia="hu-HU"/>
              </w:rPr>
              <w:t>5.</w:t>
            </w:r>
            <w:r w:rsidRPr="00615FF7">
              <w:rPr>
                <w:rFonts w:eastAsiaTheme="minorEastAsia"/>
                <w:noProof/>
                <w:sz w:val="20"/>
                <w:lang w:eastAsia="hu-HU"/>
              </w:rPr>
              <w:tab/>
            </w:r>
            <w:r w:rsidRPr="00615FF7">
              <w:rPr>
                <w:rStyle w:val="Hiperhivatkozs"/>
                <w:noProof/>
                <w:sz w:val="22"/>
                <w:lang w:val="en-GB" w:eastAsia="hu-HU"/>
              </w:rPr>
              <w:t>Recent issues examined by the Commissioner</w:t>
            </w:r>
            <w:r w:rsidRPr="00615FF7">
              <w:rPr>
                <w:noProof/>
                <w:webHidden/>
                <w:sz w:val="22"/>
              </w:rPr>
              <w:tab/>
            </w:r>
            <w:r w:rsidRPr="00615FF7">
              <w:rPr>
                <w:noProof/>
                <w:webHidden/>
                <w:sz w:val="22"/>
              </w:rPr>
              <w:fldChar w:fldCharType="begin"/>
            </w:r>
            <w:r w:rsidRPr="00615FF7">
              <w:rPr>
                <w:noProof/>
                <w:webHidden/>
                <w:sz w:val="22"/>
              </w:rPr>
              <w:instrText xml:space="preserve"> PAGEREF _Toc31958374 \h </w:instrText>
            </w:r>
            <w:r w:rsidRPr="00615FF7">
              <w:rPr>
                <w:noProof/>
                <w:webHidden/>
                <w:sz w:val="22"/>
              </w:rPr>
            </w:r>
            <w:r w:rsidRPr="00615FF7">
              <w:rPr>
                <w:noProof/>
                <w:webHidden/>
                <w:sz w:val="22"/>
              </w:rPr>
              <w:fldChar w:fldCharType="separate"/>
            </w:r>
            <w:r w:rsidRPr="00615FF7">
              <w:rPr>
                <w:noProof/>
                <w:webHidden/>
                <w:sz w:val="22"/>
              </w:rPr>
              <w:t>16</w:t>
            </w:r>
            <w:r w:rsidRPr="00615FF7">
              <w:rPr>
                <w:noProof/>
                <w:webHidden/>
                <w:sz w:val="22"/>
              </w:rPr>
              <w:fldChar w:fldCharType="end"/>
            </w:r>
          </w:hyperlink>
        </w:p>
        <w:p w14:paraId="7198C2AB" w14:textId="77777777" w:rsidR="00615FF7" w:rsidRPr="00615FF7" w:rsidRDefault="00615FF7">
          <w:pPr>
            <w:pStyle w:val="TJ1"/>
            <w:tabs>
              <w:tab w:val="right" w:leader="dot" w:pos="9062"/>
            </w:tabs>
            <w:rPr>
              <w:rFonts w:eastAsiaTheme="minorEastAsia"/>
              <w:noProof/>
              <w:sz w:val="20"/>
              <w:lang w:eastAsia="hu-HU"/>
            </w:rPr>
          </w:pPr>
          <w:hyperlink w:anchor="_Toc31958375" w:history="1">
            <w:r w:rsidRPr="00615FF7">
              <w:rPr>
                <w:rStyle w:val="Hiperhivatkozs"/>
                <w:noProof/>
                <w:sz w:val="22"/>
                <w:lang w:val="en-GB"/>
              </w:rPr>
              <w:t>Appendix 1. Relevant reports of the Commissioner</w:t>
            </w:r>
            <w:r w:rsidRPr="00615FF7">
              <w:rPr>
                <w:noProof/>
                <w:webHidden/>
                <w:sz w:val="22"/>
              </w:rPr>
              <w:tab/>
            </w:r>
            <w:r w:rsidRPr="00615FF7">
              <w:rPr>
                <w:noProof/>
                <w:webHidden/>
                <w:sz w:val="22"/>
              </w:rPr>
              <w:fldChar w:fldCharType="begin"/>
            </w:r>
            <w:r w:rsidRPr="00615FF7">
              <w:rPr>
                <w:noProof/>
                <w:webHidden/>
                <w:sz w:val="22"/>
              </w:rPr>
              <w:instrText xml:space="preserve"> PAGEREF _Toc31958375 \h </w:instrText>
            </w:r>
            <w:r w:rsidRPr="00615FF7">
              <w:rPr>
                <w:noProof/>
                <w:webHidden/>
                <w:sz w:val="22"/>
              </w:rPr>
            </w:r>
            <w:r w:rsidRPr="00615FF7">
              <w:rPr>
                <w:noProof/>
                <w:webHidden/>
                <w:sz w:val="22"/>
              </w:rPr>
              <w:fldChar w:fldCharType="separate"/>
            </w:r>
            <w:r w:rsidRPr="00615FF7">
              <w:rPr>
                <w:noProof/>
                <w:webHidden/>
                <w:sz w:val="22"/>
              </w:rPr>
              <w:t>17</w:t>
            </w:r>
            <w:r w:rsidRPr="00615FF7">
              <w:rPr>
                <w:noProof/>
                <w:webHidden/>
                <w:sz w:val="22"/>
              </w:rPr>
              <w:fldChar w:fldCharType="end"/>
            </w:r>
          </w:hyperlink>
        </w:p>
        <w:p w14:paraId="0C711C80" w14:textId="77777777" w:rsidR="00615FF7" w:rsidRPr="00615FF7" w:rsidRDefault="00615FF7">
          <w:pPr>
            <w:pStyle w:val="TJ1"/>
            <w:tabs>
              <w:tab w:val="right" w:leader="dot" w:pos="9062"/>
            </w:tabs>
            <w:rPr>
              <w:rFonts w:eastAsiaTheme="minorEastAsia"/>
              <w:noProof/>
              <w:sz w:val="20"/>
              <w:lang w:eastAsia="hu-HU"/>
            </w:rPr>
          </w:pPr>
          <w:hyperlink w:anchor="_Toc31958376" w:history="1">
            <w:r w:rsidRPr="00615FF7">
              <w:rPr>
                <w:rStyle w:val="Hiperhivatkozs"/>
                <w:noProof/>
                <w:sz w:val="22"/>
                <w:lang w:val="en-GB"/>
              </w:rPr>
              <w:t>Appendix 2. Relevant activity of the Commissioner as the OPCAT National Preventive Mechanism</w:t>
            </w:r>
            <w:r w:rsidRPr="00615FF7">
              <w:rPr>
                <w:noProof/>
                <w:webHidden/>
                <w:sz w:val="22"/>
              </w:rPr>
              <w:tab/>
            </w:r>
            <w:r w:rsidRPr="00615FF7">
              <w:rPr>
                <w:noProof/>
                <w:webHidden/>
                <w:sz w:val="22"/>
              </w:rPr>
              <w:fldChar w:fldCharType="begin"/>
            </w:r>
            <w:r w:rsidRPr="00615FF7">
              <w:rPr>
                <w:noProof/>
                <w:webHidden/>
                <w:sz w:val="22"/>
              </w:rPr>
              <w:instrText xml:space="preserve"> PAGEREF _Toc31958376 \h </w:instrText>
            </w:r>
            <w:r w:rsidRPr="00615FF7">
              <w:rPr>
                <w:noProof/>
                <w:webHidden/>
                <w:sz w:val="22"/>
              </w:rPr>
            </w:r>
            <w:r w:rsidRPr="00615FF7">
              <w:rPr>
                <w:noProof/>
                <w:webHidden/>
                <w:sz w:val="22"/>
              </w:rPr>
              <w:fldChar w:fldCharType="separate"/>
            </w:r>
            <w:r w:rsidRPr="00615FF7">
              <w:rPr>
                <w:noProof/>
                <w:webHidden/>
                <w:sz w:val="22"/>
              </w:rPr>
              <w:t>23</w:t>
            </w:r>
            <w:r w:rsidRPr="00615FF7">
              <w:rPr>
                <w:noProof/>
                <w:webHidden/>
                <w:sz w:val="22"/>
              </w:rPr>
              <w:fldChar w:fldCharType="end"/>
            </w:r>
          </w:hyperlink>
        </w:p>
        <w:p w14:paraId="56A80B3E" w14:textId="4B950B58" w:rsidR="006C5F5C" w:rsidRPr="00310AA7" w:rsidRDefault="006C5F5C">
          <w:pPr>
            <w:rPr>
              <w:lang w:val="en-GB"/>
            </w:rPr>
          </w:pPr>
          <w:r w:rsidRPr="00615FF7">
            <w:rPr>
              <w:b/>
              <w:bCs/>
              <w:sz w:val="20"/>
              <w:lang w:val="en-GB"/>
            </w:rPr>
            <w:fldChar w:fldCharType="end"/>
          </w:r>
        </w:p>
      </w:sdtContent>
    </w:sdt>
    <w:p w14:paraId="615D882D" w14:textId="77777777" w:rsidR="006C5F5C" w:rsidRPr="00310AA7" w:rsidRDefault="006C5F5C">
      <w:pPr>
        <w:spacing w:after="160" w:line="259" w:lineRule="auto"/>
        <w:rPr>
          <w:rFonts w:asciiTheme="majorHAnsi" w:eastAsiaTheme="majorEastAsia" w:hAnsiTheme="majorHAnsi" w:cstheme="majorBidi"/>
          <w:color w:val="2E74B5" w:themeColor="accent1" w:themeShade="BF"/>
          <w:sz w:val="32"/>
          <w:szCs w:val="32"/>
          <w:lang w:val="en-GB" w:eastAsia="hu-HU"/>
        </w:rPr>
      </w:pPr>
      <w:r w:rsidRPr="00310AA7">
        <w:rPr>
          <w:lang w:val="en-GB" w:eastAsia="hu-HU"/>
        </w:rPr>
        <w:br w:type="page"/>
      </w:r>
      <w:bookmarkStart w:id="0" w:name="_GoBack"/>
      <w:bookmarkEnd w:id="0"/>
    </w:p>
    <w:p w14:paraId="118A9C0D" w14:textId="77DFD78F" w:rsidR="00940CF0" w:rsidRPr="00310AA7" w:rsidRDefault="00940CF0" w:rsidP="00FC18B3">
      <w:pPr>
        <w:pStyle w:val="Cmsor1"/>
        <w:numPr>
          <w:ilvl w:val="0"/>
          <w:numId w:val="4"/>
        </w:numPr>
        <w:rPr>
          <w:lang w:val="en-GB" w:eastAsia="hu-HU"/>
        </w:rPr>
      </w:pPr>
      <w:bookmarkStart w:id="1" w:name="_Toc31958367"/>
      <w:r w:rsidRPr="00310AA7">
        <w:rPr>
          <w:lang w:val="en-GB" w:eastAsia="hu-HU"/>
        </w:rPr>
        <w:lastRenderedPageBreak/>
        <w:t>Introduction</w:t>
      </w:r>
      <w:bookmarkEnd w:id="1"/>
    </w:p>
    <w:p w14:paraId="1C10D46F" w14:textId="33503168" w:rsidR="00940CF0" w:rsidRPr="00310AA7" w:rsidRDefault="00940CF0" w:rsidP="006C5F5C">
      <w:pPr>
        <w:rPr>
          <w:lang w:val="en-GB" w:eastAsia="hu-HU"/>
        </w:rPr>
      </w:pPr>
      <w:r w:rsidRPr="00310AA7">
        <w:rPr>
          <w:lang w:val="en-GB" w:eastAsia="hu-HU"/>
        </w:rPr>
        <w:t>The Commissioner for Fundamental Rights (hereinafter referred to as: Commissioner) is the national human rights institution in Hungary, thus, the Commissioner – along with his mandate as a classical ombudsperson – is a human rights body with a mandate to monitor and advocate for human rights. The statute o</w:t>
      </w:r>
      <w:r w:rsidR="003B0713" w:rsidRPr="00310AA7">
        <w:rPr>
          <w:lang w:val="en-GB" w:eastAsia="hu-HU"/>
        </w:rPr>
        <w:t>n</w:t>
      </w:r>
      <w:r w:rsidRPr="00310AA7">
        <w:rPr>
          <w:lang w:val="en-GB" w:eastAsia="hu-HU"/>
        </w:rPr>
        <w:t xml:space="preserve"> the Commissioner (Act CXI of 2011</w:t>
      </w:r>
      <w:r w:rsidRPr="00310AA7">
        <w:rPr>
          <w:color w:val="000000"/>
          <w:lang w:val="en-GB"/>
        </w:rPr>
        <w:t xml:space="preserve"> o</w:t>
      </w:r>
      <w:r w:rsidRPr="00310AA7">
        <w:rPr>
          <w:lang w:val="en-GB" w:eastAsia="hu-HU"/>
        </w:rPr>
        <w:t xml:space="preserve">n the Commissioner for Fundamental Rights, hereinafter referred to as: CFR Act.) prescribes in section 1. paragraph (3) that </w:t>
      </w:r>
      <w:r w:rsidR="00045B46">
        <w:rPr>
          <w:lang w:val="en-GB" w:eastAsia="hu-HU"/>
        </w:rPr>
        <w:t>“</w:t>
      </w:r>
      <w:r w:rsidRPr="00310AA7">
        <w:rPr>
          <w:i/>
          <w:lang w:val="en-GB" w:eastAsia="hu-HU"/>
        </w:rPr>
        <w:t>[I]n the course of his/her activities the Commissioner for Fundamental Rights shall – especially by conducting proceedings ex officio – pay special attention to assisting, protecting and supervising the implementation of the Convention on the Rights of Persons with Disabilities, promulgated by Act XCII of 2007</w:t>
      </w:r>
      <w:r w:rsidR="00045B46">
        <w:rPr>
          <w:i/>
          <w:lang w:val="en-GB" w:eastAsia="hu-HU"/>
        </w:rPr>
        <w:t>”</w:t>
      </w:r>
      <w:r w:rsidRPr="00310AA7">
        <w:rPr>
          <w:i/>
          <w:lang w:val="en-GB" w:eastAsia="hu-HU"/>
        </w:rPr>
        <w:t>.</w:t>
      </w:r>
      <w:r w:rsidRPr="00310AA7">
        <w:rPr>
          <w:lang w:val="en-GB" w:eastAsia="hu-HU"/>
        </w:rPr>
        <w:t xml:space="preserve"> </w:t>
      </w:r>
      <w:r w:rsidR="003B0713" w:rsidRPr="00310AA7">
        <w:rPr>
          <w:lang w:val="en-GB" w:eastAsia="hu-HU"/>
        </w:rPr>
        <w:t>T</w:t>
      </w:r>
      <w:r w:rsidRPr="00310AA7">
        <w:rPr>
          <w:lang w:val="en-GB" w:eastAsia="hu-HU"/>
        </w:rPr>
        <w:t>he Commissioner does not have the mandate or bear the powers of independent monitoring mechanism as stipulated by Article 33</w:t>
      </w:r>
      <w:r w:rsidRPr="00310AA7">
        <w:rPr>
          <w:color w:val="000000"/>
          <w:lang w:val="en-GB"/>
        </w:rPr>
        <w:t xml:space="preserve"> </w:t>
      </w:r>
      <w:r w:rsidRPr="00310AA7">
        <w:rPr>
          <w:lang w:val="en-GB" w:eastAsia="hu-HU"/>
        </w:rPr>
        <w:t>paragraph (2) of the CRPD. The Commissioner</w:t>
      </w:r>
      <w:r w:rsidR="003B0713" w:rsidRPr="00310AA7">
        <w:rPr>
          <w:lang w:val="en-GB" w:eastAsia="hu-HU"/>
        </w:rPr>
        <w:t>,</w:t>
      </w:r>
      <w:r w:rsidRPr="00310AA7">
        <w:rPr>
          <w:lang w:val="en-GB" w:eastAsia="hu-HU"/>
        </w:rPr>
        <w:t xml:space="preserve"> however, </w:t>
      </w:r>
      <w:r w:rsidRPr="00310AA7">
        <w:rPr>
          <w:color w:val="000000"/>
          <w:lang w:val="en-GB"/>
        </w:rPr>
        <w:t>is mandated</w:t>
      </w:r>
      <w:r w:rsidRPr="00310AA7">
        <w:rPr>
          <w:lang w:val="en-GB" w:eastAsia="hu-HU"/>
        </w:rPr>
        <w:t xml:space="preserve"> </w:t>
      </w:r>
      <w:r w:rsidR="003B0713" w:rsidRPr="00310AA7">
        <w:rPr>
          <w:lang w:val="en-GB" w:eastAsia="hu-HU"/>
        </w:rPr>
        <w:t xml:space="preserve">to serve </w:t>
      </w:r>
      <w:r w:rsidRPr="00310AA7">
        <w:rPr>
          <w:lang w:val="en-GB" w:eastAsia="hu-HU"/>
        </w:rPr>
        <w:t>as</w:t>
      </w:r>
      <w:r w:rsidRPr="00310AA7">
        <w:rPr>
          <w:color w:val="000000"/>
          <w:lang w:val="en-GB"/>
        </w:rPr>
        <w:t xml:space="preserve"> the</w:t>
      </w:r>
      <w:r w:rsidRPr="00310AA7">
        <w:rPr>
          <w:lang w:val="en-GB" w:eastAsia="hu-HU"/>
        </w:rPr>
        <w:t xml:space="preserve"> </w:t>
      </w:r>
      <w:r w:rsidRPr="00310AA7">
        <w:rPr>
          <w:lang w:val="en-GB"/>
        </w:rPr>
        <w:t>N</w:t>
      </w:r>
      <w:r w:rsidR="00011AEC" w:rsidRPr="00310AA7">
        <w:rPr>
          <w:lang w:val="en-GB"/>
        </w:rPr>
        <w:t xml:space="preserve">ational </w:t>
      </w:r>
      <w:r w:rsidRPr="00310AA7">
        <w:rPr>
          <w:lang w:val="en-GB"/>
        </w:rPr>
        <w:t>P</w:t>
      </w:r>
      <w:r w:rsidR="00011AEC" w:rsidRPr="00310AA7">
        <w:rPr>
          <w:lang w:val="en-GB"/>
        </w:rPr>
        <w:t>revent</w:t>
      </w:r>
      <w:r w:rsidR="00C9321F" w:rsidRPr="00310AA7">
        <w:rPr>
          <w:lang w:val="en-GB"/>
        </w:rPr>
        <w:t>ive</w:t>
      </w:r>
      <w:r w:rsidR="00011AEC" w:rsidRPr="00310AA7">
        <w:rPr>
          <w:lang w:val="en-GB"/>
        </w:rPr>
        <w:t xml:space="preserve"> </w:t>
      </w:r>
      <w:r w:rsidRPr="00310AA7">
        <w:rPr>
          <w:lang w:val="en-GB"/>
        </w:rPr>
        <w:t>M</w:t>
      </w:r>
      <w:r w:rsidR="00011AEC" w:rsidRPr="00310AA7">
        <w:rPr>
          <w:lang w:val="en-GB"/>
        </w:rPr>
        <w:t>echani</w:t>
      </w:r>
      <w:r w:rsidR="001C2E0F" w:rsidRPr="00310AA7">
        <w:rPr>
          <w:lang w:val="en-GB"/>
        </w:rPr>
        <w:t>s</w:t>
      </w:r>
      <w:r w:rsidR="00011AEC" w:rsidRPr="00310AA7">
        <w:rPr>
          <w:lang w:val="en-GB"/>
        </w:rPr>
        <w:t>m</w:t>
      </w:r>
      <w:r w:rsidRPr="00310AA7">
        <w:rPr>
          <w:lang w:val="en-GB"/>
        </w:rPr>
        <w:t xml:space="preserve"> as of 1</w:t>
      </w:r>
      <w:r w:rsidR="003B0713" w:rsidRPr="00310AA7">
        <w:rPr>
          <w:lang w:val="en-GB"/>
        </w:rPr>
        <w:t xml:space="preserve"> </w:t>
      </w:r>
      <w:r w:rsidRPr="00310AA7">
        <w:rPr>
          <w:lang w:val="en-GB"/>
        </w:rPr>
        <w:t>January 2015</w:t>
      </w:r>
      <w:r w:rsidR="003B0713" w:rsidRPr="00310AA7">
        <w:rPr>
          <w:lang w:val="en-GB"/>
        </w:rPr>
        <w:t>,</w:t>
      </w:r>
      <w:r w:rsidRPr="00310AA7">
        <w:rPr>
          <w:lang w:val="en-GB"/>
        </w:rPr>
        <w:t xml:space="preserve"> </w:t>
      </w:r>
      <w:r w:rsidR="003B0713" w:rsidRPr="00310AA7">
        <w:rPr>
          <w:lang w:val="en-GB"/>
        </w:rPr>
        <w:t xml:space="preserve">which includes </w:t>
      </w:r>
      <w:r w:rsidRPr="00310AA7">
        <w:rPr>
          <w:lang w:val="en-GB"/>
        </w:rPr>
        <w:t xml:space="preserve">protecting the rights of persons with disabilities and the fulfilment of the provisions of </w:t>
      </w:r>
      <w:r w:rsidRPr="00310AA7">
        <w:rPr>
          <w:color w:val="000000"/>
          <w:lang w:val="en-GB"/>
        </w:rPr>
        <w:t xml:space="preserve">the </w:t>
      </w:r>
      <w:r w:rsidRPr="00310AA7">
        <w:rPr>
          <w:lang w:val="en-GB"/>
        </w:rPr>
        <w:t>CRPD in the course of its visits to places of detention</w:t>
      </w:r>
      <w:r w:rsidR="003B0713" w:rsidRPr="00310AA7">
        <w:rPr>
          <w:lang w:val="en-GB"/>
        </w:rPr>
        <w:t>.</w:t>
      </w:r>
      <w:r w:rsidR="003B0713" w:rsidRPr="00310AA7">
        <w:rPr>
          <w:rStyle w:val="Lbjegyzet-hivatkozs"/>
          <w:rFonts w:ascii="Garamond" w:hAnsi="Garamond"/>
          <w:szCs w:val="24"/>
          <w:lang w:val="en-GB"/>
        </w:rPr>
        <w:footnoteReference w:id="1"/>
      </w:r>
      <w:r w:rsidR="003B0713" w:rsidRPr="00310AA7">
        <w:rPr>
          <w:lang w:val="en-GB"/>
        </w:rPr>
        <w:t xml:space="preserve"> </w:t>
      </w:r>
    </w:p>
    <w:p w14:paraId="7265310C" w14:textId="3D0DEE7D" w:rsidR="00940CF0" w:rsidRPr="00310AA7" w:rsidRDefault="00940CF0" w:rsidP="006C5F5C">
      <w:pPr>
        <w:rPr>
          <w:rFonts w:ascii="Garamond" w:hAnsi="Garamond"/>
          <w:bCs/>
          <w:szCs w:val="24"/>
          <w:lang w:val="en-GB" w:eastAsia="hu-HU"/>
        </w:rPr>
      </w:pPr>
      <w:r w:rsidRPr="00310AA7">
        <w:rPr>
          <w:rFonts w:ascii="Garamond" w:hAnsi="Garamond"/>
          <w:bCs/>
          <w:szCs w:val="24"/>
          <w:lang w:val="en-GB" w:eastAsia="hu-HU"/>
        </w:rPr>
        <w:t>The Commissioner’s narrative</w:t>
      </w:r>
      <w:r w:rsidR="003B0713" w:rsidRPr="00310AA7">
        <w:rPr>
          <w:rFonts w:ascii="Garamond" w:hAnsi="Garamond"/>
          <w:bCs/>
          <w:szCs w:val="24"/>
          <w:lang w:val="en-GB" w:eastAsia="hu-HU"/>
        </w:rPr>
        <w:t xml:space="preserve"> expressed through his reports</w:t>
      </w:r>
      <w:r w:rsidRPr="00310AA7">
        <w:rPr>
          <w:rFonts w:ascii="Garamond" w:hAnsi="Garamond"/>
          <w:bCs/>
          <w:szCs w:val="24"/>
          <w:lang w:val="en-GB" w:eastAsia="hu-HU"/>
        </w:rPr>
        <w:t xml:space="preserve"> </w:t>
      </w:r>
      <w:r w:rsidRPr="00310AA7">
        <w:rPr>
          <w:rFonts w:ascii="Garamond" w:hAnsi="Garamond"/>
          <w:bCs/>
          <w:i/>
          <w:szCs w:val="24"/>
          <w:lang w:val="en-GB" w:eastAsia="hu-HU"/>
        </w:rPr>
        <w:t>vis-à-vis</w:t>
      </w:r>
      <w:r w:rsidRPr="00310AA7">
        <w:rPr>
          <w:rFonts w:ascii="Garamond" w:hAnsi="Garamond"/>
          <w:bCs/>
          <w:szCs w:val="24"/>
          <w:lang w:val="en-GB" w:eastAsia="hu-HU"/>
        </w:rPr>
        <w:t xml:space="preserve"> equality and equal dignity, supported by his regular and continuous actions and communication directly aim to </w:t>
      </w:r>
      <w:r w:rsidR="00011AEC" w:rsidRPr="00310AA7">
        <w:rPr>
          <w:rFonts w:ascii="Garamond" w:hAnsi="Garamond"/>
          <w:bCs/>
          <w:szCs w:val="24"/>
          <w:lang w:val="en-GB" w:eastAsia="hu-HU"/>
        </w:rPr>
        <w:t xml:space="preserve">shift focus towards </w:t>
      </w:r>
      <w:r w:rsidRPr="00310AA7">
        <w:rPr>
          <w:rFonts w:ascii="Garamond" w:hAnsi="Garamond"/>
          <w:bCs/>
          <w:szCs w:val="24"/>
          <w:lang w:val="en-GB" w:eastAsia="hu-HU"/>
        </w:rPr>
        <w:t>the human rights paradigm into the public view.</w:t>
      </w:r>
    </w:p>
    <w:p w14:paraId="33464ADB" w14:textId="6DEC4398" w:rsidR="00940CF0" w:rsidRPr="00310AA7" w:rsidRDefault="00940CF0" w:rsidP="006C5F5C">
      <w:pPr>
        <w:rPr>
          <w:rFonts w:ascii="Garamond" w:hAnsi="Garamond"/>
          <w:bCs/>
          <w:color w:val="000000"/>
          <w:szCs w:val="24"/>
          <w:lang w:val="en-GB"/>
        </w:rPr>
      </w:pPr>
      <w:r w:rsidRPr="00310AA7">
        <w:rPr>
          <w:rFonts w:ascii="Garamond" w:hAnsi="Garamond"/>
          <w:bCs/>
          <w:szCs w:val="24"/>
          <w:lang w:val="en-GB" w:eastAsia="hu-HU"/>
        </w:rPr>
        <w:t xml:space="preserve">The Commissioner’s practice on the protection of fundamental rights </w:t>
      </w:r>
      <w:r w:rsidRPr="00310AA7">
        <w:rPr>
          <w:rFonts w:ascii="Garamond" w:hAnsi="Garamond"/>
          <w:bCs/>
          <w:color w:val="000000"/>
          <w:szCs w:val="24"/>
          <w:lang w:val="en-GB"/>
        </w:rPr>
        <w:t>includes</w:t>
      </w:r>
      <w:r w:rsidRPr="00310AA7">
        <w:rPr>
          <w:rFonts w:ascii="Garamond" w:hAnsi="Garamond"/>
          <w:bCs/>
          <w:szCs w:val="24"/>
          <w:lang w:val="en-GB" w:eastAsia="hu-HU"/>
        </w:rPr>
        <w:t xml:space="preserve"> </w:t>
      </w:r>
      <w:r w:rsidRPr="00310AA7">
        <w:rPr>
          <w:rFonts w:ascii="Garamond" w:hAnsi="Garamond"/>
          <w:bCs/>
          <w:color w:val="000000"/>
          <w:szCs w:val="24"/>
          <w:lang w:val="en-GB"/>
        </w:rPr>
        <w:t>the various</w:t>
      </w:r>
      <w:r w:rsidRPr="00310AA7">
        <w:rPr>
          <w:rFonts w:ascii="Garamond" w:hAnsi="Garamond"/>
          <w:bCs/>
          <w:szCs w:val="24"/>
          <w:lang w:val="en-GB" w:eastAsia="hu-HU"/>
        </w:rPr>
        <w:t xml:space="preserve"> groups of persons with disabilities through the complaint mechanism and the </w:t>
      </w:r>
      <w:r w:rsidRPr="00310AA7">
        <w:rPr>
          <w:rFonts w:ascii="Garamond" w:hAnsi="Garamond"/>
          <w:bCs/>
          <w:i/>
          <w:szCs w:val="24"/>
          <w:lang w:val="en-GB" w:eastAsia="hu-HU"/>
        </w:rPr>
        <w:t>ex officio</w:t>
      </w:r>
      <w:r w:rsidRPr="00310AA7">
        <w:rPr>
          <w:rFonts w:ascii="Garamond" w:hAnsi="Garamond"/>
          <w:bCs/>
          <w:szCs w:val="24"/>
          <w:lang w:val="en-GB" w:eastAsia="hu-HU"/>
        </w:rPr>
        <w:t xml:space="preserve"> inquiries.</w:t>
      </w:r>
      <w:r w:rsidRPr="00310AA7">
        <w:rPr>
          <w:rFonts w:ascii="Garamond" w:hAnsi="Garamond"/>
          <w:bCs/>
          <w:color w:val="000000"/>
          <w:szCs w:val="24"/>
          <w:lang w:val="en-GB"/>
        </w:rPr>
        <w:t xml:space="preserve"> Approximately 100 </w:t>
      </w:r>
      <w:r w:rsidR="00011AEC" w:rsidRPr="00310AA7">
        <w:rPr>
          <w:rFonts w:ascii="Garamond" w:hAnsi="Garamond"/>
          <w:bCs/>
          <w:color w:val="000000"/>
          <w:szCs w:val="24"/>
          <w:lang w:val="en-GB"/>
        </w:rPr>
        <w:t xml:space="preserve">out </w:t>
      </w:r>
      <w:r w:rsidRPr="00310AA7">
        <w:rPr>
          <w:rFonts w:ascii="Garamond" w:hAnsi="Garamond"/>
          <w:bCs/>
          <w:color w:val="000000"/>
          <w:szCs w:val="24"/>
          <w:lang w:val="en-GB"/>
        </w:rPr>
        <w:t>of the more than 5000 complaints</w:t>
      </w:r>
      <w:r w:rsidR="001C2E0F" w:rsidRPr="00310AA7">
        <w:rPr>
          <w:rFonts w:ascii="Garamond" w:hAnsi="Garamond"/>
          <w:bCs/>
          <w:color w:val="000000"/>
          <w:szCs w:val="24"/>
          <w:lang w:val="en-GB"/>
        </w:rPr>
        <w:t xml:space="preserve"> submitted to the Ombudsman</w:t>
      </w:r>
      <w:r w:rsidRPr="00310AA7">
        <w:rPr>
          <w:rFonts w:ascii="Garamond" w:hAnsi="Garamond"/>
          <w:bCs/>
          <w:color w:val="000000"/>
          <w:szCs w:val="24"/>
          <w:lang w:val="en-GB"/>
        </w:rPr>
        <w:t xml:space="preserve"> each year are related to disability. At times they are merely requests for information (</w:t>
      </w:r>
      <w:r w:rsidR="00011AEC" w:rsidRPr="00310AA7">
        <w:rPr>
          <w:rFonts w:ascii="Garamond" w:hAnsi="Garamond"/>
          <w:bCs/>
          <w:color w:val="000000"/>
          <w:szCs w:val="24"/>
          <w:lang w:val="en-GB"/>
        </w:rPr>
        <w:t>“</w:t>
      </w:r>
      <w:r w:rsidRPr="00310AA7">
        <w:rPr>
          <w:rFonts w:ascii="Garamond" w:hAnsi="Garamond"/>
          <w:bCs/>
          <w:color w:val="000000"/>
          <w:szCs w:val="24"/>
          <w:lang w:val="en-GB"/>
        </w:rPr>
        <w:t>How can my disabled child reach her school that is over 20 kilometres away?</w:t>
      </w:r>
      <w:r w:rsidR="00011AEC" w:rsidRPr="00310AA7">
        <w:rPr>
          <w:rFonts w:ascii="Garamond" w:hAnsi="Garamond"/>
          <w:bCs/>
          <w:color w:val="000000"/>
          <w:szCs w:val="24"/>
          <w:lang w:val="en-GB"/>
        </w:rPr>
        <w:t>”</w:t>
      </w:r>
      <w:r w:rsidRPr="00310AA7">
        <w:rPr>
          <w:rFonts w:ascii="Garamond" w:hAnsi="Garamond"/>
          <w:bCs/>
          <w:color w:val="000000"/>
          <w:szCs w:val="24"/>
          <w:lang w:val="en-GB"/>
        </w:rPr>
        <w:t xml:space="preserve">), </w:t>
      </w:r>
      <w:r w:rsidR="003B0713" w:rsidRPr="00310AA7">
        <w:rPr>
          <w:rFonts w:ascii="Garamond" w:hAnsi="Garamond"/>
          <w:bCs/>
          <w:color w:val="000000"/>
          <w:szCs w:val="24"/>
          <w:lang w:val="en-GB"/>
        </w:rPr>
        <w:t>whereas</w:t>
      </w:r>
      <w:r w:rsidRPr="00310AA7">
        <w:rPr>
          <w:rFonts w:ascii="Garamond" w:hAnsi="Garamond"/>
          <w:bCs/>
          <w:color w:val="000000"/>
          <w:szCs w:val="24"/>
          <w:lang w:val="en-GB"/>
        </w:rPr>
        <w:t xml:space="preserve"> a significant number of the complaints are related to the entire system of social security, such as the anomalies of institutional care or the dire challenges of the healthcare system (e.g. the status quo of psychiatric care).</w:t>
      </w:r>
    </w:p>
    <w:p w14:paraId="1ED8F460" w14:textId="3C6614DB" w:rsidR="003B0713" w:rsidRPr="00310AA7" w:rsidRDefault="003B0713" w:rsidP="006C5F5C">
      <w:pPr>
        <w:rPr>
          <w:rFonts w:ascii="Garamond" w:hAnsi="Garamond"/>
          <w:szCs w:val="24"/>
          <w:lang w:val="en-GB"/>
        </w:rPr>
      </w:pPr>
      <w:r w:rsidRPr="00310AA7">
        <w:rPr>
          <w:rFonts w:ascii="Garamond" w:hAnsi="Garamond"/>
          <w:color w:val="000000"/>
          <w:szCs w:val="24"/>
          <w:lang w:val="en-GB"/>
        </w:rPr>
        <w:t xml:space="preserve">It is important to emphasise that the unique role and mission of the Commissioner in safeguarding fundamental rights covers all areas of life: ranging from education and healthcare to social security and the regular monitoring of institutions providing care and even the sustainability of our environment are all part of the Commissioner’s narrative on fundamental rights. Fulfilling the obligations prescribed by the CRPD shall never fail, should the </w:t>
      </w:r>
      <w:r w:rsidRPr="00310AA7">
        <w:rPr>
          <w:rFonts w:ascii="Garamond" w:hAnsi="Garamond"/>
          <w:i/>
          <w:color w:val="000000"/>
          <w:szCs w:val="24"/>
          <w:lang w:val="en-GB"/>
        </w:rPr>
        <w:t>person</w:t>
      </w:r>
      <w:r w:rsidRPr="00310AA7">
        <w:rPr>
          <w:rFonts w:ascii="Garamond" w:hAnsi="Garamond"/>
          <w:color w:val="000000"/>
          <w:szCs w:val="24"/>
          <w:lang w:val="en-GB"/>
        </w:rPr>
        <w:t xml:space="preserve"> be the ultimate measure of all.</w:t>
      </w:r>
    </w:p>
    <w:p w14:paraId="6CB61D93" w14:textId="333ADB51" w:rsidR="003B0713" w:rsidRPr="00310AA7" w:rsidRDefault="003B0713" w:rsidP="006C5F5C">
      <w:pPr>
        <w:rPr>
          <w:rFonts w:ascii="Garamond" w:hAnsi="Garamond"/>
          <w:szCs w:val="24"/>
          <w:lang w:val="en-GB" w:eastAsia="hu-HU"/>
        </w:rPr>
      </w:pPr>
      <w:r w:rsidRPr="00310AA7">
        <w:rPr>
          <w:rFonts w:ascii="Garamond" w:hAnsi="Garamond"/>
          <w:color w:val="000000"/>
          <w:szCs w:val="24"/>
          <w:lang w:val="en-GB"/>
        </w:rPr>
        <w:lastRenderedPageBreak/>
        <w:t xml:space="preserve">The Hungarian Parliament ratified the CRPD on 25th June 2007 by adopting Act XCII of 2007 with 337 votes for and no votes against or abstaining. The Convention entered into force on 3rd May 2008, legally binding its State Parties to fulfill the obligations of the CRPD. The European Union as well as every member state ratified the CRPD, therefore, its provisions are legally binding for all the member states and the European Union as a whole. </w:t>
      </w:r>
    </w:p>
    <w:p w14:paraId="1BD4760E" w14:textId="692533F3" w:rsidR="003B0713" w:rsidRPr="00310AA7" w:rsidRDefault="003B0713" w:rsidP="006C5F5C">
      <w:pPr>
        <w:rPr>
          <w:rFonts w:ascii="Garamond" w:hAnsi="Garamond"/>
          <w:color w:val="000000"/>
          <w:szCs w:val="24"/>
          <w:lang w:val="en-GB"/>
        </w:rPr>
      </w:pPr>
      <w:r w:rsidRPr="00310AA7">
        <w:rPr>
          <w:rFonts w:ascii="Garamond" w:hAnsi="Garamond"/>
          <w:color w:val="000000"/>
          <w:szCs w:val="24"/>
          <w:lang w:val="en-GB"/>
        </w:rPr>
        <w:t xml:space="preserve">Article Q) paragraph (2) of the Fundamental Law of Hungary prescribes that Hungary shall align national legislation with international law in fulfilling its obligations under international law. This means that Hungarian legislation </w:t>
      </w:r>
      <w:r w:rsidRPr="00310AA7">
        <w:rPr>
          <w:rFonts w:ascii="Garamond" w:hAnsi="Garamond"/>
          <w:i/>
          <w:szCs w:val="24"/>
          <w:lang w:val="en-GB"/>
        </w:rPr>
        <w:t>vis-à-vis</w:t>
      </w:r>
      <w:r w:rsidRPr="00310AA7">
        <w:rPr>
          <w:rFonts w:ascii="Garamond" w:hAnsi="Garamond"/>
          <w:szCs w:val="24"/>
          <w:lang w:val="en-GB"/>
        </w:rPr>
        <w:t xml:space="preserve"> </w:t>
      </w:r>
      <w:r w:rsidRPr="00310AA7">
        <w:rPr>
          <w:rFonts w:ascii="Garamond" w:hAnsi="Garamond"/>
          <w:color w:val="000000"/>
          <w:szCs w:val="24"/>
          <w:lang w:val="en-GB"/>
        </w:rPr>
        <w:t>disabilities shall comply with the binding obligations set out by the CRPD and interpreted by its Committee. This entails on the one hand that no laws or regulations shall be in place that would contradict the provisions or principles of the CRPD, while it also requires the state to take proactive measures to achieve effective and meaningful protection of the rights of persons with disabilities.</w:t>
      </w:r>
    </w:p>
    <w:p w14:paraId="6276B3F0" w14:textId="77777777" w:rsidR="003B0713" w:rsidRPr="00310AA7" w:rsidRDefault="003B0713" w:rsidP="006C5F5C">
      <w:pPr>
        <w:rPr>
          <w:rFonts w:ascii="Garamond" w:hAnsi="Garamond"/>
          <w:color w:val="000000"/>
          <w:szCs w:val="24"/>
          <w:lang w:val="en-GB"/>
        </w:rPr>
      </w:pPr>
      <w:r w:rsidRPr="00310AA7">
        <w:rPr>
          <w:rFonts w:ascii="Garamond" w:hAnsi="Garamond"/>
          <w:color w:val="000000"/>
          <w:szCs w:val="24"/>
          <w:lang w:val="en-GB"/>
        </w:rPr>
        <w:t>The CRPD is the most ambitious international legal document on disability rights. The Convention sets out that all persons are equal regardless of disability, therefore, respect for equal dignity and the protection of the rights of persons with disabilities are of paramount importance. Autonomy and independent living are necessarily and inevitably included in human dignity. Adapting our environment so that it suits all persons is a pressing, fundamental requirement for society in its quest to ensure and safeguard the fundamental rights of all persons. As a classical ombudsperson, the Commissioner is devoted to supporting and monitoring the protection of fundamental rights of persons with disabilities.</w:t>
      </w:r>
    </w:p>
    <w:p w14:paraId="3B1A9FD8" w14:textId="77777777" w:rsidR="003B0713" w:rsidRPr="00310AA7" w:rsidRDefault="003B0713" w:rsidP="006C5F5C">
      <w:pPr>
        <w:rPr>
          <w:rFonts w:ascii="Garamond" w:hAnsi="Garamond"/>
          <w:bCs/>
          <w:color w:val="000000"/>
          <w:szCs w:val="24"/>
          <w:lang w:val="en-GB"/>
        </w:rPr>
      </w:pPr>
      <w:r w:rsidRPr="00310AA7">
        <w:rPr>
          <w:rFonts w:ascii="Garamond" w:hAnsi="Garamond"/>
          <w:bCs/>
          <w:color w:val="000000"/>
          <w:szCs w:val="24"/>
          <w:lang w:val="en-GB"/>
        </w:rPr>
        <w:t>The Commissioner firmly advocates that equal dignity is an inherent quality (or right) of all persons and constitutes the basis of fundamental rights. Furthermore, welcoming the Hungarian Constitutional Court’s clear stance on human dignity, the Commissioner also emphasises that the individual’s righ to self-determination and autonomy are enshrined in the inherent dignity of persons, which safeguards the exercise and enjoyment of one’s fundamental rights (legal agency).</w:t>
      </w:r>
    </w:p>
    <w:p w14:paraId="0F293A9E" w14:textId="77777777" w:rsidR="00D60476" w:rsidRPr="00310AA7" w:rsidRDefault="00D60476" w:rsidP="006C5F5C">
      <w:pPr>
        <w:rPr>
          <w:rFonts w:ascii="Garamond" w:hAnsi="Garamond"/>
          <w:szCs w:val="24"/>
          <w:lang w:val="en-GB"/>
        </w:rPr>
      </w:pPr>
      <w:r w:rsidRPr="00310AA7">
        <w:rPr>
          <w:rFonts w:ascii="Garamond" w:hAnsi="Garamond"/>
          <w:szCs w:val="24"/>
          <w:lang w:val="en-GB"/>
        </w:rPr>
        <w:t>Recognizing that Hungary has taken many steps towards the full recognition of the rights of persons with disabilities, further developments are still necessary in several aspects. The most important elements will be elaborated below, including the issue of independent living and de-institutionalization (Article 19, described in subsection “5. A”), the system of guardianship (Article 12, elaborated on in subsection “5. B”), as well as the question of reasonable accommodation (subsection “5. C”). In the next section, we will discuss these key focus points, based on the basic concepts of the right to human dignity and the issue of autonomy – the underlying constitutional concepts serving as guidance for the Commissioner’s analysis in individual cases.</w:t>
      </w:r>
    </w:p>
    <w:p w14:paraId="29F87224" w14:textId="77777777" w:rsidR="003B0713" w:rsidRPr="00310AA7" w:rsidRDefault="003B0713" w:rsidP="00940CF0">
      <w:pPr>
        <w:tabs>
          <w:tab w:val="left" w:pos="7920"/>
        </w:tabs>
        <w:rPr>
          <w:rFonts w:ascii="Garamond" w:hAnsi="Garamond"/>
          <w:b/>
          <w:bCs/>
          <w:szCs w:val="24"/>
          <w:lang w:val="en-GB" w:eastAsia="hu-HU"/>
        </w:rPr>
      </w:pPr>
    </w:p>
    <w:p w14:paraId="3B3F9E81" w14:textId="5346DD66" w:rsidR="003B0713" w:rsidRPr="00310AA7" w:rsidRDefault="003B0713" w:rsidP="00FC18B3">
      <w:pPr>
        <w:pStyle w:val="Cmsor1"/>
        <w:numPr>
          <w:ilvl w:val="0"/>
          <w:numId w:val="4"/>
        </w:numPr>
        <w:rPr>
          <w:lang w:val="en-GB" w:eastAsia="hu-HU"/>
        </w:rPr>
      </w:pPr>
      <w:bookmarkStart w:id="2" w:name="_Toc31958368"/>
      <w:r w:rsidRPr="00310AA7">
        <w:rPr>
          <w:lang w:val="en-GB" w:eastAsia="hu-HU"/>
        </w:rPr>
        <w:lastRenderedPageBreak/>
        <w:t>Achi</w:t>
      </w:r>
      <w:r w:rsidR="00A571AB" w:rsidRPr="00310AA7">
        <w:rPr>
          <w:lang w:val="en-GB" w:eastAsia="hu-HU"/>
        </w:rPr>
        <w:t>e</w:t>
      </w:r>
      <w:r w:rsidRPr="00310AA7">
        <w:rPr>
          <w:lang w:val="en-GB" w:eastAsia="hu-HU"/>
        </w:rPr>
        <w:t>vements</w:t>
      </w:r>
      <w:bookmarkEnd w:id="2"/>
    </w:p>
    <w:p w14:paraId="3043050C" w14:textId="59682F57" w:rsidR="00D60476" w:rsidRPr="00310AA7" w:rsidRDefault="0096710D" w:rsidP="006C5F5C">
      <w:pPr>
        <w:rPr>
          <w:lang w:val="en-GB" w:eastAsia="hu-HU"/>
        </w:rPr>
      </w:pPr>
      <w:r w:rsidRPr="00310AA7">
        <w:rPr>
          <w:lang w:val="en-GB" w:eastAsia="hu-HU"/>
        </w:rPr>
        <w:t>The Commissioner would like to note, that the</w:t>
      </w:r>
      <w:r w:rsidR="00D60476" w:rsidRPr="00310AA7">
        <w:rPr>
          <w:lang w:val="en-GB" w:eastAsia="hu-HU"/>
        </w:rPr>
        <w:t xml:space="preserve"> signals received by the Commissioner through its complaint mechanism as a classical ombudsperson point out the challenges and difficulties persons encounter when exercising their fundamental rights. Therefore, the Commissioner’s reports emphasise the shortcomings and what needs to be done in order to further promote fundamental rights in Hungary. Nonetheless, the Commissioner believes that alongside the challenges, it is also valuable to highlight good as well as emerging practices and the successful reforms carried out by the Government.</w:t>
      </w:r>
    </w:p>
    <w:p w14:paraId="189F2D96" w14:textId="77777777" w:rsidR="003B0713" w:rsidRPr="00310AA7" w:rsidRDefault="003B0713" w:rsidP="006C5F5C">
      <w:pPr>
        <w:rPr>
          <w:color w:val="000000"/>
          <w:lang w:val="en-GB"/>
        </w:rPr>
      </w:pPr>
      <w:r w:rsidRPr="00310AA7">
        <w:rPr>
          <w:color w:val="000000"/>
          <w:lang w:val="en-GB"/>
        </w:rPr>
        <w:t xml:space="preserve">The Commissioner welcomes the government’s efforts and success in improving accessibility of public transportation, as well as official buildings and public institutions. The Commissioner also welcomes the sensitive representation of disability and persons with disabilities in the media. </w:t>
      </w:r>
    </w:p>
    <w:p w14:paraId="228B9692" w14:textId="1303A2A5" w:rsidR="003B0713" w:rsidRPr="00310AA7" w:rsidRDefault="003B0713" w:rsidP="006C5F5C">
      <w:pPr>
        <w:rPr>
          <w:color w:val="000000"/>
          <w:lang w:val="en-GB"/>
        </w:rPr>
      </w:pPr>
      <w:r w:rsidRPr="00310AA7">
        <w:rPr>
          <w:lang w:val="en-GB"/>
        </w:rPr>
        <w:t xml:space="preserve">We take note that in the past ten years Hungary has taken a great stride forward concerning the interests of persons with disabilities, in respect of the various services and the built environment. The Commissioner welcomes the successful promotion of accessibility and the outstanding quality of Hungarian special education graduate and postgraduate trainings, which is well-known and sought after in the whole of Europe. Furthermore, the Commissioner also recognizes reforms in higher education </w:t>
      </w:r>
      <w:r w:rsidRPr="00310AA7">
        <w:rPr>
          <w:i/>
          <w:lang w:val="en-GB"/>
        </w:rPr>
        <w:t>vis-à-vis</w:t>
      </w:r>
      <w:r w:rsidRPr="00310AA7">
        <w:rPr>
          <w:lang w:val="en-GB"/>
        </w:rPr>
        <w:t xml:space="preserve"> disability and the introduction of special disability advocates.  The training of experts on disability in Hungary is of very high standards, the measures taken for ensuring barrier-free accessibility and technological development are dynamic.</w:t>
      </w:r>
    </w:p>
    <w:p w14:paraId="754B4868" w14:textId="77777777" w:rsidR="00AF4D49" w:rsidRPr="00310AA7" w:rsidRDefault="00AF4D49" w:rsidP="00940CF0">
      <w:pPr>
        <w:rPr>
          <w:rFonts w:ascii="Garamond" w:hAnsi="Garamond"/>
          <w:b/>
          <w:color w:val="000000"/>
          <w:szCs w:val="24"/>
          <w:lang w:val="en-GB"/>
        </w:rPr>
      </w:pPr>
    </w:p>
    <w:p w14:paraId="6425AD93" w14:textId="15D53F16" w:rsidR="00940CF0" w:rsidRPr="00310AA7" w:rsidRDefault="003B0713" w:rsidP="00FC18B3">
      <w:pPr>
        <w:pStyle w:val="Cmsor1"/>
        <w:numPr>
          <w:ilvl w:val="0"/>
          <w:numId w:val="4"/>
        </w:numPr>
        <w:rPr>
          <w:lang w:val="en-GB" w:eastAsia="hu-HU"/>
        </w:rPr>
      </w:pPr>
      <w:bookmarkStart w:id="3" w:name="_Toc31958369"/>
      <w:r w:rsidRPr="00310AA7">
        <w:rPr>
          <w:lang w:val="en-GB"/>
        </w:rPr>
        <w:t>E</w:t>
      </w:r>
      <w:r w:rsidR="00940CF0" w:rsidRPr="00310AA7">
        <w:rPr>
          <w:lang w:val="en-GB"/>
        </w:rPr>
        <w:t>qual dignity</w:t>
      </w:r>
      <w:r w:rsidRPr="00310AA7">
        <w:rPr>
          <w:lang w:val="en-GB"/>
        </w:rPr>
        <w:t>, as the constitutional basis for protective measures</w:t>
      </w:r>
      <w:bookmarkEnd w:id="3"/>
    </w:p>
    <w:p w14:paraId="29812DAE" w14:textId="77777777" w:rsidR="000F3000" w:rsidRPr="00310AA7" w:rsidRDefault="000F3000" w:rsidP="006C5F5C">
      <w:pPr>
        <w:rPr>
          <w:lang w:val="en-GB"/>
        </w:rPr>
      </w:pPr>
      <w:r w:rsidRPr="00310AA7">
        <w:rPr>
          <w:lang w:val="en-GB"/>
        </w:rPr>
        <w:t xml:space="preserve">The Commissioner reiterates that the Fundamental Law of Hungary serves as the </w:t>
      </w:r>
      <w:r w:rsidR="007C6B8E" w:rsidRPr="00310AA7">
        <w:rPr>
          <w:lang w:val="en-GB"/>
        </w:rPr>
        <w:t xml:space="preserve">legal </w:t>
      </w:r>
      <w:r w:rsidRPr="00310AA7">
        <w:rPr>
          <w:lang w:val="en-GB"/>
        </w:rPr>
        <w:t>basis of protection for vulnerable persons. The Constitutional Court, as well as the Commissioner rely on the provisions and interpretation of the Fundamental Law to safeguard persons with disabilities. Therefore, it is vital to emphasise that the legal basis of all protective measures</w:t>
      </w:r>
      <w:r w:rsidR="003B0713" w:rsidRPr="00310AA7">
        <w:rPr>
          <w:lang w:val="en-GB"/>
        </w:rPr>
        <w:t>, to which the Commissioner refers to in his reports,</w:t>
      </w:r>
      <w:r w:rsidRPr="00310AA7">
        <w:rPr>
          <w:lang w:val="en-GB"/>
        </w:rPr>
        <w:t xml:space="preserve"> shall be the equal human dignity of perso</w:t>
      </w:r>
      <w:r w:rsidR="007C6B8E" w:rsidRPr="00310AA7">
        <w:rPr>
          <w:lang w:val="en-GB"/>
        </w:rPr>
        <w:t>ns, as enshrined in</w:t>
      </w:r>
      <w:r w:rsidRPr="00310AA7">
        <w:rPr>
          <w:lang w:val="en-GB"/>
        </w:rPr>
        <w:t xml:space="preserve"> the Fundamental Law</w:t>
      </w:r>
      <w:r w:rsidR="003B0713" w:rsidRPr="00310AA7">
        <w:rPr>
          <w:lang w:val="en-GB"/>
        </w:rPr>
        <w:t>, and as described below</w:t>
      </w:r>
      <w:r w:rsidR="007C6B8E" w:rsidRPr="00310AA7">
        <w:rPr>
          <w:lang w:val="en-GB"/>
        </w:rPr>
        <w:t>.</w:t>
      </w:r>
    </w:p>
    <w:p w14:paraId="570AF407" w14:textId="22AB6CC0" w:rsidR="00940CF0" w:rsidRPr="00310AA7" w:rsidRDefault="00940CF0" w:rsidP="006C5F5C">
      <w:pPr>
        <w:rPr>
          <w:lang w:val="en-GB"/>
        </w:rPr>
      </w:pPr>
      <w:r w:rsidRPr="00310AA7">
        <w:rPr>
          <w:lang w:val="en-GB"/>
        </w:rPr>
        <w:t xml:space="preserve">In line with the provisions and principles of the CRPD, the Commissioner firmly believes that all persons share an inherent human dignity that is by nature equal for all, regardless of status, race, ethnicity, sex or disability. Therefore, </w:t>
      </w:r>
      <w:r w:rsidRPr="00310AA7">
        <w:rPr>
          <w:b/>
          <w:lang w:val="en-GB"/>
        </w:rPr>
        <w:t xml:space="preserve">the Commissioner’s practice identifies equal dignity as the root of personal autonomy, including the freedom to make choices and decisions </w:t>
      </w:r>
      <w:r w:rsidRPr="00310AA7">
        <w:rPr>
          <w:b/>
          <w:lang w:val="en-GB"/>
        </w:rPr>
        <w:lastRenderedPageBreak/>
        <w:t>according to one’s free will and preferences, constituting the basis for the protection of persons with disabilities</w:t>
      </w:r>
      <w:r w:rsidRPr="00310AA7">
        <w:rPr>
          <w:lang w:val="en-GB"/>
        </w:rPr>
        <w:t xml:space="preserve">. Equal dignity enshrines </w:t>
      </w:r>
      <w:r w:rsidR="00A571AB" w:rsidRPr="00310AA7">
        <w:rPr>
          <w:lang w:val="en-GB"/>
        </w:rPr>
        <w:t xml:space="preserve">the right to legal capacity, thus, it is inherent in the concept that </w:t>
      </w:r>
      <w:r w:rsidRPr="00310AA7">
        <w:rPr>
          <w:lang w:val="en-GB"/>
        </w:rPr>
        <w:t xml:space="preserve">all persons are bearers of fundamental rights </w:t>
      </w:r>
      <w:r w:rsidR="00A571AB" w:rsidRPr="00310AA7">
        <w:rPr>
          <w:lang w:val="en-GB"/>
        </w:rPr>
        <w:t>and</w:t>
      </w:r>
      <w:r w:rsidRPr="00310AA7">
        <w:rPr>
          <w:lang w:val="en-GB"/>
        </w:rPr>
        <w:t xml:space="preserve"> shall be able to exercise and enjoy these rights</w:t>
      </w:r>
      <w:r w:rsidR="00A571AB" w:rsidRPr="00310AA7">
        <w:rPr>
          <w:lang w:val="en-GB"/>
        </w:rPr>
        <w:t xml:space="preserve"> on an equ</w:t>
      </w:r>
      <w:r w:rsidR="00A652F3" w:rsidRPr="00310AA7">
        <w:rPr>
          <w:lang w:val="en-GB"/>
        </w:rPr>
        <w:t>a</w:t>
      </w:r>
      <w:r w:rsidR="00A571AB" w:rsidRPr="00310AA7">
        <w:rPr>
          <w:lang w:val="en-GB"/>
        </w:rPr>
        <w:t>l basis with others</w:t>
      </w:r>
      <w:r w:rsidRPr="00310AA7">
        <w:rPr>
          <w:lang w:val="en-GB"/>
        </w:rPr>
        <w:t xml:space="preserve">. As vulnerable groups face disproportionate barriers in exercising their rights, states are obliged under the CRPD to take proactive measures to achieve equal dignity through a deeper understanding of equality and non-discrimination, including </w:t>
      </w:r>
      <w:r w:rsidRPr="00310AA7">
        <w:rPr>
          <w:i/>
          <w:lang w:val="en-GB"/>
        </w:rPr>
        <w:t>inter alia</w:t>
      </w:r>
      <w:r w:rsidRPr="00310AA7">
        <w:rPr>
          <w:lang w:val="en-GB"/>
        </w:rPr>
        <w:t xml:space="preserve"> </w:t>
      </w:r>
      <w:r w:rsidR="003B0713" w:rsidRPr="00310AA7">
        <w:rPr>
          <w:lang w:val="en-GB"/>
        </w:rPr>
        <w:t xml:space="preserve">the understanding </w:t>
      </w:r>
      <w:r w:rsidRPr="00310AA7">
        <w:rPr>
          <w:lang w:val="en-GB"/>
        </w:rPr>
        <w:t>that vulnerable groups require effective support to enjoy their rights on an equal basis with others. Equal dignity is imperative, it leaves no room for exceptions or derogations.</w:t>
      </w:r>
    </w:p>
    <w:p w14:paraId="7B3D09EC" w14:textId="15D90F67" w:rsidR="00940CF0" w:rsidRPr="00310AA7" w:rsidRDefault="00940CF0" w:rsidP="006C5F5C">
      <w:pPr>
        <w:rPr>
          <w:lang w:val="en-GB"/>
        </w:rPr>
      </w:pPr>
      <w:r w:rsidRPr="00310AA7">
        <w:rPr>
          <w:lang w:val="en-GB"/>
        </w:rPr>
        <w:t xml:space="preserve">When reviewing the situation of persons with disabilities in Hungary, the Commissioner </w:t>
      </w:r>
      <w:r w:rsidR="003B0713" w:rsidRPr="00310AA7">
        <w:rPr>
          <w:lang w:val="en-GB"/>
        </w:rPr>
        <w:t xml:space="preserve">reminds </w:t>
      </w:r>
      <w:r w:rsidRPr="00310AA7">
        <w:rPr>
          <w:lang w:val="en-GB"/>
        </w:rPr>
        <w:t xml:space="preserve">of the Hungarian constitutional and fundamental rights jurisdiction and practice. Human dignity is an explicit human right that is codified </w:t>
      </w:r>
      <w:r w:rsidRPr="00310AA7">
        <w:rPr>
          <w:i/>
          <w:lang w:val="en-GB"/>
        </w:rPr>
        <w:t>expressis verbis</w:t>
      </w:r>
      <w:r w:rsidRPr="00310AA7">
        <w:rPr>
          <w:lang w:val="en-GB"/>
        </w:rPr>
        <w:t xml:space="preserve"> in the Fundamental Law of Hungary. Therefore, in Hungarian constitutional tradition human dignity is not only an overarching principle of fundamental rights</w:t>
      </w:r>
      <w:r w:rsidR="003B0713" w:rsidRPr="00310AA7">
        <w:rPr>
          <w:lang w:val="en-GB"/>
        </w:rPr>
        <w:t>,</w:t>
      </w:r>
      <w:r w:rsidRPr="00310AA7">
        <w:rPr>
          <w:lang w:val="en-GB"/>
        </w:rPr>
        <w:t xml:space="preserve"> but an explicit right enshrined at the highest level of the hierarchy of legal norms.</w:t>
      </w:r>
    </w:p>
    <w:p w14:paraId="32BFE755" w14:textId="4A77BA53" w:rsidR="00940CF0" w:rsidRPr="00310AA7" w:rsidRDefault="00940CF0" w:rsidP="006C5F5C">
      <w:pPr>
        <w:rPr>
          <w:lang w:val="en-GB"/>
        </w:rPr>
      </w:pPr>
      <w:r w:rsidRPr="00310AA7">
        <w:rPr>
          <w:lang w:val="en-GB"/>
        </w:rPr>
        <w:t xml:space="preserve">The right to self-determination and personal autonomy are not codified in Hungarian law. Nevertheless, this shall not by any means </w:t>
      </w:r>
      <w:r w:rsidR="006372B6" w:rsidRPr="00310AA7">
        <w:rPr>
          <w:lang w:val="en-GB"/>
        </w:rPr>
        <w:t>imply</w:t>
      </w:r>
      <w:r w:rsidRPr="00310AA7">
        <w:rPr>
          <w:lang w:val="en-GB"/>
        </w:rPr>
        <w:t xml:space="preserve"> that the protection of these fundamental rights is lesser. The Constitutional Court often reiterates two landmark conclusions </w:t>
      </w:r>
      <w:r w:rsidR="003B0713" w:rsidRPr="00310AA7">
        <w:rPr>
          <w:i/>
          <w:lang w:val="en-GB"/>
        </w:rPr>
        <w:t>vis-à-vis</w:t>
      </w:r>
      <w:r w:rsidR="003B0713" w:rsidRPr="00310AA7">
        <w:rPr>
          <w:lang w:val="en-GB"/>
        </w:rPr>
        <w:t xml:space="preserve"> </w:t>
      </w:r>
      <w:r w:rsidRPr="00310AA7">
        <w:rPr>
          <w:lang w:val="en-GB"/>
        </w:rPr>
        <w:t xml:space="preserve">the right to dignity. First, the Constitutional Court declared the right to dignity a matrix right (also called mother right), meaning that the practice of the Constitutional Court derived further fundamental rights from the right to dignity, namely the individual’s right to self determination, the right to express one’s personality, the general freedom of choice and the right to privacy. Second, the Constitutional Court’s jurisdiction is clear and consistent </w:t>
      </w:r>
      <w:r w:rsidR="006372B6" w:rsidRPr="00310AA7">
        <w:rPr>
          <w:lang w:val="en-GB"/>
        </w:rPr>
        <w:t xml:space="preserve">in </w:t>
      </w:r>
      <w:r w:rsidRPr="00310AA7">
        <w:rPr>
          <w:lang w:val="en-GB"/>
        </w:rPr>
        <w:t>that the rights derived from the right to dignity enjoy the same constitutional protection as other fundamental rights. It might also be noted that a fundamental rights concept of individual autonomy - further from the right to dignity and self determination - has not been developed in Hungarian constitutional practice. Individual autonomy is seldom referred to in decisions of the Constitutional Court</w:t>
      </w:r>
      <w:r w:rsidR="000F56FD" w:rsidRPr="00310AA7">
        <w:rPr>
          <w:lang w:val="en-GB"/>
        </w:rPr>
        <w:t>,</w:t>
      </w:r>
      <w:r w:rsidRPr="00310AA7">
        <w:rPr>
          <w:lang w:val="en-GB"/>
        </w:rPr>
        <w:t xml:space="preserve"> its substance, extent and restrictions have not been developed by the Court, thus, currently it cannot serve as the basis of effective legal protection.</w:t>
      </w:r>
    </w:p>
    <w:p w14:paraId="1DEC8D28" w14:textId="7BB6EE10" w:rsidR="00940CF0" w:rsidRPr="00310AA7" w:rsidRDefault="00940CF0" w:rsidP="006C5F5C">
      <w:pPr>
        <w:rPr>
          <w:iCs/>
          <w:lang w:val="en-GB"/>
        </w:rPr>
      </w:pPr>
      <w:r w:rsidRPr="00310AA7">
        <w:rPr>
          <w:lang w:val="en-GB"/>
        </w:rPr>
        <w:t>The Fundamental Law of Hungary contains various provisions for persons with disabilities and other vulnerable groups. From a fundamental rights point of view</w:t>
      </w:r>
      <w:r w:rsidR="003B0713" w:rsidRPr="00310AA7">
        <w:rPr>
          <w:lang w:val="en-GB"/>
        </w:rPr>
        <w:t>,</w:t>
      </w:r>
      <w:r w:rsidRPr="00310AA7">
        <w:rPr>
          <w:lang w:val="en-GB"/>
        </w:rPr>
        <w:t xml:space="preserve"> equal human digni</w:t>
      </w:r>
      <w:r w:rsidR="006372B6" w:rsidRPr="00310AA7">
        <w:rPr>
          <w:lang w:val="en-GB"/>
        </w:rPr>
        <w:t>t</w:t>
      </w:r>
      <w:r w:rsidRPr="00310AA7">
        <w:rPr>
          <w:lang w:val="en-GB"/>
        </w:rPr>
        <w:t>y constitutes the essence of being human, therefore it is inviolable, and may be considered the true origin of protection. The Constitutional Court ruled that “</w:t>
      </w:r>
      <w:r w:rsidRPr="00310AA7">
        <w:rPr>
          <w:i/>
          <w:lang w:val="en-GB"/>
        </w:rPr>
        <w:t>human dignity is a quality linked to life, therefore, it is indivisible and absolute, equal for all human persons. Human dignity and life is inviolable for all persons, regardless of physical or mental development, status or how much the person has achieved in his or her life.</w:t>
      </w:r>
      <w:r w:rsidRPr="00310AA7">
        <w:rPr>
          <w:lang w:val="en-GB"/>
        </w:rPr>
        <w:t xml:space="preserve">” The equality of </w:t>
      </w:r>
      <w:r w:rsidRPr="00310AA7">
        <w:rPr>
          <w:lang w:val="en-GB"/>
        </w:rPr>
        <w:lastRenderedPageBreak/>
        <w:t>human lives is guaranteed by dignity.</w:t>
      </w:r>
      <w:r w:rsidRPr="00310AA7">
        <w:rPr>
          <w:rStyle w:val="Lbjegyzet-hivatkozs"/>
          <w:rFonts w:ascii="Garamond" w:hAnsi="Garamond"/>
          <w:color w:val="000000"/>
          <w:szCs w:val="24"/>
          <w:lang w:val="en-GB"/>
        </w:rPr>
        <w:footnoteReference w:id="2"/>
      </w:r>
      <w:r w:rsidRPr="00310AA7">
        <w:rPr>
          <w:lang w:val="en-GB"/>
        </w:rPr>
        <w:t xml:space="preserve"> </w:t>
      </w:r>
      <w:r w:rsidRPr="00310AA7">
        <w:rPr>
          <w:iCs/>
          <w:lang w:val="en-GB"/>
        </w:rPr>
        <w:t xml:space="preserve">The state has the fundamental obligation to respect the equal dignity of all persons, including the positive obligation to take special measures to support equal opportunities for vulnerable groups. </w:t>
      </w:r>
    </w:p>
    <w:p w14:paraId="16F00430" w14:textId="77777777" w:rsidR="00940CF0" w:rsidRPr="00310AA7" w:rsidRDefault="00940CF0" w:rsidP="00940CF0">
      <w:pPr>
        <w:rPr>
          <w:rFonts w:ascii="Garamond" w:hAnsi="Garamond"/>
          <w:iCs/>
          <w:szCs w:val="24"/>
          <w:lang w:val="en-GB" w:eastAsia="hu-HU"/>
        </w:rPr>
      </w:pPr>
    </w:p>
    <w:p w14:paraId="10DD51F3" w14:textId="77777777" w:rsidR="003B0713" w:rsidRPr="00310AA7" w:rsidRDefault="003B0713" w:rsidP="00FC18B3">
      <w:pPr>
        <w:pStyle w:val="Cmsor1"/>
        <w:numPr>
          <w:ilvl w:val="0"/>
          <w:numId w:val="4"/>
        </w:numPr>
        <w:rPr>
          <w:lang w:val="en-GB" w:eastAsia="hu-HU"/>
        </w:rPr>
      </w:pPr>
      <w:bookmarkStart w:id="4" w:name="_Toc31958370"/>
      <w:r w:rsidRPr="00310AA7">
        <w:rPr>
          <w:lang w:val="en-GB" w:eastAsia="hu-HU"/>
        </w:rPr>
        <w:t>Particular issues</w:t>
      </w:r>
      <w:bookmarkEnd w:id="4"/>
    </w:p>
    <w:p w14:paraId="159D86B6" w14:textId="77777777" w:rsidR="00940CF0" w:rsidRPr="00310AA7" w:rsidRDefault="00940CF0" w:rsidP="00FC18B3">
      <w:pPr>
        <w:pStyle w:val="Cmsor2"/>
        <w:numPr>
          <w:ilvl w:val="0"/>
          <w:numId w:val="5"/>
        </w:numPr>
        <w:rPr>
          <w:lang w:val="en-GB"/>
        </w:rPr>
      </w:pPr>
      <w:bookmarkStart w:id="5" w:name="_Toc31958371"/>
      <w:r w:rsidRPr="00310AA7">
        <w:rPr>
          <w:lang w:val="en-GB"/>
        </w:rPr>
        <w:t>Autonomy and disabilities</w:t>
      </w:r>
      <w:bookmarkEnd w:id="5"/>
    </w:p>
    <w:p w14:paraId="261BA551" w14:textId="77777777" w:rsidR="00940CF0" w:rsidRPr="00310AA7" w:rsidRDefault="00AF4D49" w:rsidP="00940CF0">
      <w:pPr>
        <w:pStyle w:val="Lbjegyzetszveg"/>
        <w:rPr>
          <w:rFonts w:ascii="Garamond" w:hAnsi="Garamond"/>
          <w:lang w:val="en-GB"/>
        </w:rPr>
      </w:pPr>
      <w:r w:rsidRPr="00310AA7">
        <w:rPr>
          <w:rFonts w:ascii="Garamond" w:hAnsi="Garamond"/>
          <w:color w:val="000000"/>
          <w:sz w:val="24"/>
          <w:szCs w:val="24"/>
          <w:lang w:val="en-GB"/>
        </w:rPr>
        <w:t>The i</w:t>
      </w:r>
      <w:r w:rsidR="00940CF0" w:rsidRPr="00310AA7">
        <w:rPr>
          <w:rFonts w:ascii="Garamond" w:hAnsi="Garamond"/>
          <w:color w:val="000000"/>
          <w:sz w:val="24"/>
          <w:szCs w:val="24"/>
          <w:lang w:val="en-GB"/>
        </w:rPr>
        <w:t>ndividual autonomy of persons with disabilities - according to Hungarian constitutional tradition and the Commissioner’s consistent practice - falls under the fundamental rights protection of the right to dignity. Furthermore, individual autonomy shall be viewed and interpreted in relation to the restriction of legal capacity, and the widespread social issue of institutionalisation. This chapter examines the fundamental rights background of institutional living (complemented by the Commissioner’s relevant practice and reports in the appendix).</w:t>
      </w:r>
      <w:r w:rsidR="00940CF0" w:rsidRPr="00310AA7">
        <w:rPr>
          <w:rFonts w:ascii="Garamond" w:hAnsi="Garamond"/>
          <w:lang w:val="en-GB"/>
        </w:rPr>
        <w:t xml:space="preserve"> </w:t>
      </w:r>
    </w:p>
    <w:p w14:paraId="1378CF57" w14:textId="2577B920" w:rsidR="00940CF0" w:rsidRPr="00310AA7" w:rsidRDefault="00940CF0" w:rsidP="00940CF0">
      <w:pPr>
        <w:tabs>
          <w:tab w:val="left" w:pos="709"/>
        </w:tabs>
        <w:rPr>
          <w:rFonts w:ascii="Garamond" w:hAnsi="Garamond"/>
          <w:szCs w:val="24"/>
          <w:lang w:val="en-GB"/>
        </w:rPr>
      </w:pPr>
      <w:r w:rsidRPr="00310AA7">
        <w:rPr>
          <w:rFonts w:ascii="Garamond" w:hAnsi="Garamond"/>
          <w:color w:val="000000"/>
          <w:szCs w:val="24"/>
          <w:lang w:val="en-GB"/>
        </w:rPr>
        <w:t xml:space="preserve">Persons living in institutions are </w:t>
      </w:r>
      <w:r w:rsidR="00AF4D49" w:rsidRPr="00310AA7">
        <w:rPr>
          <w:rFonts w:ascii="Garamond" w:hAnsi="Garamond"/>
          <w:color w:val="000000"/>
          <w:szCs w:val="24"/>
          <w:lang w:val="en-GB"/>
        </w:rPr>
        <w:t>separated</w:t>
      </w:r>
      <w:r w:rsidR="00483E3E" w:rsidRPr="00310AA7">
        <w:rPr>
          <w:rFonts w:ascii="Garamond" w:hAnsi="Garamond"/>
          <w:color w:val="000000"/>
          <w:szCs w:val="24"/>
          <w:lang w:val="en-GB"/>
        </w:rPr>
        <w:t xml:space="preserve"> </w:t>
      </w:r>
      <w:r w:rsidRPr="00310AA7">
        <w:rPr>
          <w:rFonts w:ascii="Garamond" w:hAnsi="Garamond"/>
          <w:color w:val="000000"/>
          <w:szCs w:val="24"/>
          <w:lang w:val="en-GB"/>
        </w:rPr>
        <w:t>from regular everyday life, the institutional settings are their absolute environment, every detail of which is governed and prescribed by administrative rules. As all aspects of daily life are regulated in a hierarchic</w:t>
      </w:r>
      <w:r w:rsidR="00483E3E" w:rsidRPr="00310AA7">
        <w:rPr>
          <w:rFonts w:ascii="Garamond" w:hAnsi="Garamond"/>
          <w:color w:val="000000"/>
          <w:szCs w:val="24"/>
          <w:lang w:val="en-GB"/>
        </w:rPr>
        <w:t>al</w:t>
      </w:r>
      <w:r w:rsidRPr="00310AA7">
        <w:rPr>
          <w:rFonts w:ascii="Garamond" w:hAnsi="Garamond"/>
          <w:color w:val="000000"/>
          <w:szCs w:val="24"/>
          <w:lang w:val="en-GB"/>
        </w:rPr>
        <w:t xml:space="preserve"> system, fitting into a predetermined routine, the institution exercises complete control over the lives of its residents. The functioning of the institution, by nature, serves ‘order’ as the highest priority, individual choices are reduced to a minimum, uniform lives shall be lived within the institution to ensure that the order and schedule are respected at all times. Therefore, the institution’s power to administer the life and needs of the residents effectively</w:t>
      </w:r>
      <w:r w:rsidR="003B0713" w:rsidRPr="00310AA7">
        <w:rPr>
          <w:rFonts w:ascii="Garamond" w:hAnsi="Garamond"/>
          <w:color w:val="000000"/>
          <w:szCs w:val="24"/>
          <w:lang w:val="en-GB"/>
        </w:rPr>
        <w:t xml:space="preserve"> may</w:t>
      </w:r>
      <w:r w:rsidRPr="00310AA7">
        <w:rPr>
          <w:rFonts w:ascii="Garamond" w:hAnsi="Garamond"/>
          <w:color w:val="000000"/>
          <w:szCs w:val="24"/>
          <w:lang w:val="en-GB"/>
        </w:rPr>
        <w:t xml:space="preserve"> amount to </w:t>
      </w:r>
      <w:r w:rsidR="00483E3E" w:rsidRPr="00310AA7">
        <w:rPr>
          <w:rFonts w:ascii="Garamond" w:hAnsi="Garamond"/>
          <w:color w:val="000000"/>
          <w:szCs w:val="24"/>
          <w:lang w:val="en-GB"/>
        </w:rPr>
        <w:t xml:space="preserve">ruling </w:t>
      </w:r>
      <w:r w:rsidRPr="00310AA7">
        <w:rPr>
          <w:rFonts w:ascii="Garamond" w:hAnsi="Garamond"/>
          <w:color w:val="000000"/>
          <w:szCs w:val="24"/>
          <w:lang w:val="en-GB"/>
        </w:rPr>
        <w:t xml:space="preserve">over the residents’ personalities, prohibiting any form of differentiation and spontaneity. Special forms of communication and a unique mechanism of social interactions </w:t>
      </w:r>
      <w:r w:rsidR="003B0713" w:rsidRPr="00310AA7">
        <w:rPr>
          <w:rFonts w:ascii="Garamond" w:hAnsi="Garamond"/>
          <w:color w:val="000000"/>
          <w:szCs w:val="24"/>
          <w:lang w:val="en-GB"/>
        </w:rPr>
        <w:t xml:space="preserve">may </w:t>
      </w:r>
      <w:r w:rsidRPr="00310AA7">
        <w:rPr>
          <w:rFonts w:ascii="Garamond" w:hAnsi="Garamond"/>
          <w:color w:val="000000"/>
          <w:szCs w:val="24"/>
          <w:lang w:val="en-GB"/>
        </w:rPr>
        <w:t>be observed in the</w:t>
      </w:r>
      <w:r w:rsidR="00483E3E" w:rsidRPr="00310AA7">
        <w:rPr>
          <w:rFonts w:ascii="Garamond" w:hAnsi="Garamond"/>
          <w:color w:val="000000"/>
          <w:szCs w:val="24"/>
          <w:lang w:val="en-GB"/>
        </w:rPr>
        <w:t>se</w:t>
      </w:r>
      <w:r w:rsidRPr="00310AA7">
        <w:rPr>
          <w:rFonts w:ascii="Garamond" w:hAnsi="Garamond"/>
          <w:color w:val="000000"/>
          <w:szCs w:val="24"/>
          <w:lang w:val="en-GB"/>
        </w:rPr>
        <w:t xml:space="preserve"> institutions. This narrow, closed sphere is separated from ordinary life: it eliminates the diversity of ‘outside life’, disallows those norms, values and the general rules of decision-making and choice.</w:t>
      </w:r>
    </w:p>
    <w:p w14:paraId="34D6DCC1" w14:textId="56FB5BC0" w:rsidR="00940CF0" w:rsidRPr="00310AA7" w:rsidRDefault="00940CF0" w:rsidP="00940CF0">
      <w:pPr>
        <w:tabs>
          <w:tab w:val="left" w:pos="709"/>
        </w:tabs>
        <w:rPr>
          <w:rFonts w:ascii="Garamond" w:hAnsi="Garamond"/>
          <w:szCs w:val="24"/>
          <w:lang w:val="en-GB"/>
        </w:rPr>
      </w:pPr>
      <w:r w:rsidRPr="00310AA7">
        <w:rPr>
          <w:rFonts w:ascii="Garamond" w:hAnsi="Garamond"/>
          <w:color w:val="000000"/>
          <w:szCs w:val="24"/>
          <w:lang w:val="en-GB"/>
        </w:rPr>
        <w:t xml:space="preserve">Persons with disabilities as well as elderly persons are often excluded from society via the process of institutionalisation, </w:t>
      </w:r>
      <w:r w:rsidR="00045B46">
        <w:rPr>
          <w:rFonts w:ascii="Garamond" w:hAnsi="Garamond"/>
          <w:color w:val="000000"/>
          <w:szCs w:val="24"/>
          <w:lang w:val="en-GB"/>
        </w:rPr>
        <w:t xml:space="preserve">which may lead to </w:t>
      </w:r>
      <w:r w:rsidRPr="00310AA7">
        <w:rPr>
          <w:rFonts w:ascii="Garamond" w:hAnsi="Garamond"/>
          <w:color w:val="000000"/>
          <w:szCs w:val="24"/>
          <w:lang w:val="en-GB"/>
        </w:rPr>
        <w:t>restricting the person’s legal capacity and depriving him or her of individual autonomy.</w:t>
      </w:r>
    </w:p>
    <w:p w14:paraId="6BB266B8" w14:textId="0B020A16" w:rsidR="00940CF0" w:rsidRPr="00310AA7" w:rsidRDefault="00940CF0" w:rsidP="00940CF0">
      <w:pPr>
        <w:tabs>
          <w:tab w:val="left" w:pos="709"/>
        </w:tabs>
        <w:rPr>
          <w:rFonts w:ascii="Garamond" w:hAnsi="Garamond"/>
          <w:szCs w:val="24"/>
          <w:lang w:val="en-GB"/>
        </w:rPr>
      </w:pPr>
      <w:r w:rsidRPr="00310AA7">
        <w:rPr>
          <w:rFonts w:ascii="Garamond" w:hAnsi="Garamond"/>
          <w:color w:val="000000"/>
          <w:szCs w:val="24"/>
          <w:lang w:val="en-GB"/>
        </w:rPr>
        <w:t xml:space="preserve">The almost automatic functioning of these institutions is inevitable due to legal obligations and controllability. The large numbers of residents, as well as the significant workload of often undermanned staff, complemented by strict rules on documentation and legal obligations inevitably </w:t>
      </w:r>
      <w:r w:rsidRPr="00310AA7">
        <w:rPr>
          <w:rFonts w:ascii="Garamond" w:hAnsi="Garamond"/>
          <w:color w:val="000000"/>
          <w:szCs w:val="24"/>
          <w:lang w:val="en-GB"/>
        </w:rPr>
        <w:lastRenderedPageBreak/>
        <w:t xml:space="preserve">result in a need to sacrifice diversity and individualisation for efficiency. Lawful functioning of the institution can only be achieved if all the required tasks are carried out for all residents, thus, daily routines and the fulfillment of needs are planned in advance. As a result, </w:t>
      </w:r>
      <w:r w:rsidRPr="00310AA7">
        <w:rPr>
          <w:rFonts w:ascii="Garamond" w:hAnsi="Garamond"/>
          <w:b/>
          <w:color w:val="000000"/>
          <w:szCs w:val="24"/>
          <w:lang w:val="en-GB"/>
        </w:rPr>
        <w:t xml:space="preserve">the residents of large institutions are </w:t>
      </w:r>
      <w:r w:rsidR="00483E3E" w:rsidRPr="00310AA7">
        <w:rPr>
          <w:rFonts w:ascii="Garamond" w:hAnsi="Garamond"/>
          <w:b/>
          <w:color w:val="000000"/>
          <w:szCs w:val="24"/>
          <w:lang w:val="en-GB"/>
        </w:rPr>
        <w:t xml:space="preserve">vulnerable </w:t>
      </w:r>
      <w:r w:rsidRPr="00310AA7">
        <w:rPr>
          <w:rFonts w:ascii="Garamond" w:hAnsi="Garamond"/>
          <w:b/>
          <w:color w:val="000000"/>
          <w:szCs w:val="24"/>
          <w:lang w:val="en-GB"/>
        </w:rPr>
        <w:t xml:space="preserve">and </w:t>
      </w:r>
      <w:r w:rsidR="00483E3E" w:rsidRPr="00310AA7">
        <w:rPr>
          <w:rFonts w:ascii="Garamond" w:hAnsi="Garamond"/>
          <w:b/>
          <w:color w:val="000000"/>
          <w:szCs w:val="24"/>
          <w:lang w:val="en-GB"/>
        </w:rPr>
        <w:t xml:space="preserve">are </w:t>
      </w:r>
      <w:r w:rsidR="000F56FD" w:rsidRPr="00310AA7">
        <w:rPr>
          <w:rFonts w:ascii="Garamond" w:hAnsi="Garamond"/>
          <w:b/>
          <w:color w:val="000000"/>
          <w:szCs w:val="24"/>
          <w:lang w:val="en-GB"/>
        </w:rPr>
        <w:t xml:space="preserve">often </w:t>
      </w:r>
      <w:r w:rsidR="00483E3E" w:rsidRPr="00310AA7">
        <w:rPr>
          <w:rFonts w:ascii="Garamond" w:hAnsi="Garamond"/>
          <w:b/>
          <w:color w:val="000000"/>
          <w:szCs w:val="24"/>
          <w:lang w:val="en-GB"/>
        </w:rPr>
        <w:t xml:space="preserve">treated merely </w:t>
      </w:r>
      <w:r w:rsidRPr="00310AA7">
        <w:rPr>
          <w:rFonts w:ascii="Garamond" w:hAnsi="Garamond"/>
          <w:b/>
          <w:color w:val="000000"/>
          <w:szCs w:val="24"/>
          <w:lang w:val="en-GB"/>
        </w:rPr>
        <w:t>as subjects of care.</w:t>
      </w:r>
      <w:r w:rsidRPr="00310AA7">
        <w:rPr>
          <w:rFonts w:ascii="Garamond" w:hAnsi="Garamond"/>
          <w:color w:val="000000"/>
          <w:szCs w:val="24"/>
          <w:lang w:val="en-GB"/>
        </w:rPr>
        <w:t xml:space="preserve"> In maximising efficiency, the system deconstructs personal autonomy and eliminates personal choice and preferences - the already vulnerable members of society </w:t>
      </w:r>
      <w:r w:rsidR="00045B46">
        <w:rPr>
          <w:rFonts w:ascii="Garamond" w:hAnsi="Garamond"/>
          <w:color w:val="000000"/>
          <w:szCs w:val="24"/>
          <w:lang w:val="en-GB"/>
        </w:rPr>
        <w:t>may be</w:t>
      </w:r>
      <w:r w:rsidR="00045B46" w:rsidRPr="00310AA7">
        <w:rPr>
          <w:rFonts w:ascii="Garamond" w:hAnsi="Garamond"/>
          <w:color w:val="000000"/>
          <w:szCs w:val="24"/>
          <w:lang w:val="en-GB"/>
        </w:rPr>
        <w:t xml:space="preserve"> </w:t>
      </w:r>
      <w:r w:rsidRPr="00310AA7">
        <w:rPr>
          <w:rFonts w:ascii="Garamond" w:hAnsi="Garamond"/>
          <w:color w:val="000000"/>
          <w:szCs w:val="24"/>
          <w:lang w:val="en-GB"/>
        </w:rPr>
        <w:t>further marginalised to live in the shadow of their care, on the rubble and remains of their supposedly equal human dignity.</w:t>
      </w:r>
    </w:p>
    <w:p w14:paraId="59B9A0AA" w14:textId="06A8C572" w:rsidR="00940CF0" w:rsidRPr="00310AA7" w:rsidRDefault="00940CF0" w:rsidP="006C5F5C">
      <w:pPr>
        <w:rPr>
          <w:lang w:val="en-GB"/>
        </w:rPr>
      </w:pPr>
      <w:r w:rsidRPr="00310AA7">
        <w:rPr>
          <w:lang w:val="en-GB"/>
        </w:rPr>
        <w:t>Hungary is obliged under international law to move from institutional care towards community living arrangements. Article 19 of the CRPD prescribes that Hungary shall recognize the equal right of all persons with disabilities to live in the community and facilitate their inclusion and meaningful participation in the community. Therefore, Hungary is to create and promote an environment in which persons with disabilities are capable of living an independent, complete life, reducing their burdens resulting from disability and society’s failure to adapt to their needs. The paradigms of the CRPD on autonomy and independent living in the community are present in the Commissioner’s consistent practice and recommendations on social institutions and care homes. The Commissioner advocates for effective support for persons with disabilities and the urgent need to continue and gear up the de-institutionalisation process in a CRPD</w:t>
      </w:r>
      <w:r w:rsidR="003B0713" w:rsidRPr="00310AA7">
        <w:rPr>
          <w:lang w:val="en-GB"/>
        </w:rPr>
        <w:t>-</w:t>
      </w:r>
      <w:r w:rsidRPr="00310AA7">
        <w:rPr>
          <w:lang w:val="en-GB"/>
        </w:rPr>
        <w:t>co</w:t>
      </w:r>
      <w:r w:rsidR="00D83B24" w:rsidRPr="00310AA7">
        <w:rPr>
          <w:lang w:val="en-GB"/>
        </w:rPr>
        <w:t>mpliant</w:t>
      </w:r>
      <w:r w:rsidRPr="00310AA7">
        <w:rPr>
          <w:lang w:val="en-GB"/>
        </w:rPr>
        <w:t xml:space="preserve"> manner.</w:t>
      </w:r>
    </w:p>
    <w:p w14:paraId="07AD95D5" w14:textId="68499866" w:rsidR="00940CF0" w:rsidRPr="00310AA7" w:rsidRDefault="00940CF0" w:rsidP="006C5F5C">
      <w:pPr>
        <w:rPr>
          <w:rFonts w:eastAsia="Times New Roman" w:cs="Times New Roman"/>
          <w:lang w:val="en-GB" w:eastAsia="hu-HU"/>
        </w:rPr>
      </w:pPr>
      <w:r w:rsidRPr="00310AA7">
        <w:rPr>
          <w:lang w:val="en-GB"/>
        </w:rPr>
        <w:t>In relation to all the issues mentioned above</w:t>
      </w:r>
      <w:r w:rsidR="003B0713" w:rsidRPr="00310AA7">
        <w:rPr>
          <w:lang w:val="en-GB"/>
        </w:rPr>
        <w:t>,</w:t>
      </w:r>
      <w:r w:rsidRPr="00310AA7">
        <w:rPr>
          <w:lang w:val="en-GB"/>
        </w:rPr>
        <w:t xml:space="preserve"> the Commissioner has called the attention in several reports</w:t>
      </w:r>
      <w:r w:rsidRPr="00310AA7" w:rsidDel="002774C3">
        <w:rPr>
          <w:lang w:val="en-GB"/>
        </w:rPr>
        <w:t xml:space="preserve"> </w:t>
      </w:r>
      <w:r w:rsidRPr="00310AA7">
        <w:rPr>
          <w:lang w:val="en-GB"/>
        </w:rPr>
        <w:t xml:space="preserve">to the need for the acceleration of the elimination of social care homes accommodating a very high number of residents. </w:t>
      </w:r>
      <w:r w:rsidR="00045B46">
        <w:rPr>
          <w:lang w:val="en-GB"/>
        </w:rPr>
        <w:t>The</w:t>
      </w:r>
      <w:r w:rsidRPr="00310AA7">
        <w:rPr>
          <w:lang w:val="en-GB"/>
        </w:rPr>
        <w:t xml:space="preserve"> overall circumstances in residential care facilities accommodating a very high number of residents may provide ground for potential occurrence of impropriety with regard to the affected persons with disabilities, with respect to </w:t>
      </w:r>
      <w:r w:rsidRPr="00310AA7">
        <w:rPr>
          <w:rFonts w:eastAsia="Times New Roman" w:cs="Times New Roman"/>
          <w:bCs/>
          <w:kern w:val="36"/>
          <w:lang w:val="en-GB" w:eastAsia="hu-HU"/>
        </w:rPr>
        <w:t xml:space="preserve">the right to human dignity which every person is equally entitled to, with respect to the requirement of equal treatment, as well as to the state obligation of the special protection of persons with disabilities. </w:t>
      </w:r>
      <w:r w:rsidRPr="00310AA7">
        <w:rPr>
          <w:rFonts w:eastAsia="Times New Roman" w:cs="Times New Roman"/>
          <w:lang w:val="en-GB" w:eastAsia="hu-HU"/>
        </w:rPr>
        <w:t xml:space="preserve">As emphasized by the ombudsman’s reports concerning inquiries into residential care facilities, the competent </w:t>
      </w:r>
      <w:r w:rsidR="003B0713" w:rsidRPr="00310AA7">
        <w:rPr>
          <w:rFonts w:eastAsia="Times New Roman" w:cs="Times New Roman"/>
          <w:lang w:val="en-GB" w:eastAsia="hu-HU"/>
        </w:rPr>
        <w:t xml:space="preserve">authorities </w:t>
      </w:r>
      <w:r w:rsidRPr="00310AA7">
        <w:rPr>
          <w:rFonts w:eastAsia="Times New Roman" w:cs="Times New Roman"/>
          <w:lang w:val="en-GB" w:eastAsia="hu-HU"/>
        </w:rPr>
        <w:t>ought to pay special attention to the safeguards of ensuring the personal, physical, operational and professional conditions of the social care facilities during the implementation of measures planned on the basis of a long-term strategy for de-institutionalization, and to the conclusions drawn on the enforcement of fundamental rights set out in the report</w:t>
      </w:r>
      <w:r w:rsidR="00C75705" w:rsidRPr="00310AA7">
        <w:rPr>
          <w:rStyle w:val="Lbjegyzet-hivatkozs"/>
          <w:rFonts w:ascii="Garamond" w:eastAsia="Times New Roman" w:hAnsi="Garamond" w:cs="Times New Roman"/>
          <w:b/>
          <w:sz w:val="20"/>
          <w:szCs w:val="20"/>
          <w:lang w:val="en-GB" w:eastAsia="hu-HU"/>
        </w:rPr>
        <w:footnoteReference w:id="3"/>
      </w:r>
      <w:r w:rsidR="00791A52">
        <w:rPr>
          <w:rFonts w:eastAsia="Times New Roman" w:cs="Times New Roman"/>
          <w:lang w:val="en-GB" w:eastAsia="hu-HU"/>
        </w:rPr>
        <w:t>.</w:t>
      </w:r>
    </w:p>
    <w:p w14:paraId="751ECF56" w14:textId="385016A7" w:rsidR="00C75705" w:rsidRPr="00310AA7" w:rsidRDefault="00940CF0" w:rsidP="003D0E45">
      <w:pPr>
        <w:rPr>
          <w:rFonts w:ascii="Garamond" w:eastAsia="Calibri" w:hAnsi="Garamond" w:cs="Times New Roman"/>
          <w:szCs w:val="24"/>
          <w:lang w:val="en-GB"/>
        </w:rPr>
      </w:pPr>
      <w:r w:rsidRPr="00310AA7">
        <w:rPr>
          <w:rFonts w:ascii="Garamond" w:eastAsia="Times New Roman" w:hAnsi="Garamond" w:cs="Times New Roman"/>
          <w:szCs w:val="24"/>
          <w:lang w:val="en-GB" w:eastAsia="hu-HU"/>
        </w:rPr>
        <w:t>The Commissioner’s report in the Mozsgó case</w:t>
      </w:r>
      <w:r w:rsidR="008E7AB1" w:rsidRPr="00310AA7">
        <w:rPr>
          <w:rStyle w:val="Lbjegyzet-hivatkozs"/>
          <w:rFonts w:ascii="Garamond" w:eastAsia="Times New Roman" w:hAnsi="Garamond" w:cs="Times New Roman"/>
          <w:szCs w:val="24"/>
          <w:lang w:val="en-GB" w:eastAsia="hu-HU"/>
        </w:rPr>
        <w:footnoteReference w:id="4"/>
      </w:r>
      <w:r w:rsidRPr="00310AA7">
        <w:rPr>
          <w:rFonts w:ascii="Garamond" w:eastAsia="Times New Roman" w:hAnsi="Garamond" w:cs="Times New Roman"/>
          <w:szCs w:val="24"/>
          <w:lang w:val="en-GB" w:eastAsia="hu-HU"/>
        </w:rPr>
        <w:t xml:space="preserve"> also</w:t>
      </w:r>
      <w:r w:rsidRPr="00310AA7">
        <w:rPr>
          <w:rFonts w:ascii="Garamond" w:eastAsia="Times New Roman" w:hAnsi="Garamond" w:cs="Times New Roman"/>
          <w:b/>
          <w:szCs w:val="24"/>
          <w:lang w:val="en-GB" w:eastAsia="hu-HU"/>
        </w:rPr>
        <w:t xml:space="preserve"> </w:t>
      </w:r>
      <w:r w:rsidRPr="00310AA7">
        <w:rPr>
          <w:rFonts w:ascii="Garamond" w:eastAsia="Times New Roman" w:hAnsi="Garamond" w:cs="Times New Roman"/>
          <w:szCs w:val="24"/>
          <w:lang w:val="en-GB" w:eastAsia="hu-HU"/>
        </w:rPr>
        <w:t xml:space="preserve">analyzed the problem of social care homes. In the inquiry conducted at the special unit of the integrated care center in </w:t>
      </w:r>
      <w:r w:rsidRPr="00310AA7">
        <w:rPr>
          <w:rFonts w:ascii="Garamond" w:eastAsia="Times New Roman" w:hAnsi="Garamond" w:cs="Times New Roman"/>
          <w:b/>
          <w:szCs w:val="24"/>
          <w:lang w:val="en-GB" w:eastAsia="hu-HU"/>
        </w:rPr>
        <w:t>Mozsgó</w:t>
      </w:r>
      <w:r w:rsidRPr="00310AA7">
        <w:rPr>
          <w:rFonts w:ascii="Garamond" w:eastAsia="Times New Roman" w:hAnsi="Garamond" w:cs="Times New Roman"/>
          <w:szCs w:val="24"/>
          <w:lang w:val="en-GB" w:eastAsia="hu-HU"/>
        </w:rPr>
        <w:t xml:space="preserve">, which provides nursing and care to persons with disabilities, the Commissioner pointed out that in all the residential </w:t>
      </w:r>
      <w:r w:rsidRPr="00310AA7">
        <w:rPr>
          <w:rFonts w:ascii="Garamond" w:eastAsia="Times New Roman" w:hAnsi="Garamond" w:cs="Times New Roman"/>
          <w:szCs w:val="24"/>
          <w:lang w:val="en-GB" w:eastAsia="hu-HU"/>
        </w:rPr>
        <w:lastRenderedPageBreak/>
        <w:t>care facilities with a high number of residents</w:t>
      </w:r>
      <w:r w:rsidRPr="00310AA7">
        <w:rPr>
          <w:rFonts w:ascii="Garamond" w:eastAsia="Times New Roman" w:hAnsi="Garamond" w:cs="Times New Roman"/>
          <w:bCs/>
          <w:szCs w:val="24"/>
          <w:lang w:val="en-GB" w:eastAsia="hu-HU"/>
        </w:rPr>
        <w:t xml:space="preserve"> the threat of abuse exists, and abuse in such institutions </w:t>
      </w:r>
      <w:r w:rsidR="003B0713" w:rsidRPr="00310AA7">
        <w:rPr>
          <w:rFonts w:ascii="Garamond" w:eastAsia="Times New Roman" w:hAnsi="Garamond" w:cs="Times New Roman"/>
          <w:bCs/>
          <w:szCs w:val="24"/>
          <w:lang w:val="en-GB" w:eastAsia="hu-HU"/>
        </w:rPr>
        <w:t xml:space="preserve">could </w:t>
      </w:r>
      <w:r w:rsidRPr="00310AA7">
        <w:rPr>
          <w:rFonts w:ascii="Garamond" w:eastAsia="Times New Roman" w:hAnsi="Garamond" w:cs="Times New Roman"/>
          <w:bCs/>
          <w:szCs w:val="24"/>
          <w:lang w:val="en-GB" w:eastAsia="hu-HU"/>
        </w:rPr>
        <w:t xml:space="preserve">be lead back to systemic problems. Residential care facilities with a high number of residents create such a hierarhic system of relations and generate so vulnerable situations that </w:t>
      </w:r>
      <w:r w:rsidR="003B0713" w:rsidRPr="00310AA7">
        <w:rPr>
          <w:rFonts w:ascii="Garamond" w:eastAsia="Times New Roman" w:hAnsi="Garamond" w:cs="Times New Roman"/>
          <w:bCs/>
          <w:szCs w:val="24"/>
          <w:lang w:val="en-GB" w:eastAsia="hu-HU"/>
        </w:rPr>
        <w:t xml:space="preserve">prove to be </w:t>
      </w:r>
      <w:r w:rsidRPr="00310AA7">
        <w:rPr>
          <w:rFonts w:ascii="Garamond" w:eastAsia="Times New Roman" w:hAnsi="Garamond" w:cs="Times New Roman"/>
          <w:bCs/>
          <w:szCs w:val="24"/>
          <w:lang w:val="en-GB" w:eastAsia="hu-HU"/>
        </w:rPr>
        <w:t xml:space="preserve">unsuitable for the protection of vulnerable groups, i.e. in this case, persons with disabilities. </w:t>
      </w:r>
      <w:r w:rsidR="00483E3E" w:rsidRPr="00310AA7">
        <w:rPr>
          <w:rFonts w:ascii="Garamond" w:eastAsia="Times New Roman" w:hAnsi="Garamond" w:cs="Times New Roman"/>
          <w:bCs/>
          <w:szCs w:val="24"/>
          <w:lang w:val="en-GB" w:eastAsia="hu-HU"/>
        </w:rPr>
        <w:t xml:space="preserve">According to the response of the </w:t>
      </w:r>
      <w:r w:rsidR="002622F5" w:rsidRPr="00310AA7">
        <w:rPr>
          <w:rFonts w:ascii="Garamond" w:eastAsia="Times New Roman" w:hAnsi="Garamond" w:cs="Times New Roman"/>
          <w:bCs/>
          <w:szCs w:val="24"/>
          <w:lang w:val="en-GB" w:eastAsia="hu-HU"/>
        </w:rPr>
        <w:t>government</w:t>
      </w:r>
      <w:r w:rsidR="003B0713" w:rsidRPr="00310AA7">
        <w:rPr>
          <w:rFonts w:ascii="Garamond" w:eastAsia="Times New Roman" w:hAnsi="Garamond" w:cs="Times New Roman"/>
          <w:bCs/>
          <w:szCs w:val="24"/>
          <w:lang w:val="en-GB" w:eastAsia="hu-HU"/>
        </w:rPr>
        <w:t xml:space="preserve"> to this report</w:t>
      </w:r>
      <w:r w:rsidR="00483E3E" w:rsidRPr="00310AA7">
        <w:rPr>
          <w:rFonts w:ascii="Garamond" w:eastAsia="Times New Roman" w:hAnsi="Garamond" w:cs="Times New Roman"/>
          <w:bCs/>
          <w:szCs w:val="24"/>
          <w:lang w:val="en-GB" w:eastAsia="hu-HU"/>
        </w:rPr>
        <w:t xml:space="preserve">, </w:t>
      </w:r>
      <w:r w:rsidR="008C3465" w:rsidRPr="00310AA7">
        <w:rPr>
          <w:rFonts w:ascii="Garamond" w:eastAsia="Times New Roman" w:hAnsi="Garamond" w:cs="Times New Roman"/>
          <w:bCs/>
          <w:szCs w:val="24"/>
          <w:lang w:val="en-GB" w:eastAsia="hu-HU"/>
        </w:rPr>
        <w:t xml:space="preserve">de-institutionalization </w:t>
      </w:r>
      <w:r w:rsidR="008C3465" w:rsidRPr="00D1530C">
        <w:rPr>
          <w:rFonts w:ascii="Garamond" w:eastAsia="Times New Roman" w:hAnsi="Garamond" w:cs="Times New Roman"/>
          <w:bCs/>
          <w:szCs w:val="24"/>
          <w:lang w:val="en-GB" w:eastAsia="hu-HU"/>
        </w:rPr>
        <w:t>is a priority goal</w:t>
      </w:r>
      <w:r w:rsidR="00C75705" w:rsidRPr="00045B46">
        <w:rPr>
          <w:rFonts w:ascii="Garamond" w:eastAsia="Times New Roman" w:hAnsi="Garamond" w:cs="Arial"/>
          <w:color w:val="000000"/>
          <w:szCs w:val="24"/>
          <w:shd w:val="clear" w:color="auto" w:fill="FFFFFF"/>
          <w:lang w:val="en-GB" w:eastAsia="hu-HU"/>
        </w:rPr>
        <w:t xml:space="preserve">, </w:t>
      </w:r>
      <w:r w:rsidR="002622F5" w:rsidRPr="00D1530C">
        <w:rPr>
          <w:rFonts w:ascii="Garamond" w:eastAsia="Times New Roman" w:hAnsi="Garamond" w:cs="Arial"/>
          <w:color w:val="000000"/>
          <w:szCs w:val="24"/>
          <w:shd w:val="clear" w:color="auto" w:fill="FFFFFF"/>
          <w:lang w:val="en-GB" w:eastAsia="hu-HU"/>
        </w:rPr>
        <w:t>through</w:t>
      </w:r>
      <w:r w:rsidR="008C3465" w:rsidRPr="00D1530C">
        <w:rPr>
          <w:rFonts w:ascii="Garamond" w:eastAsia="Times New Roman" w:hAnsi="Garamond" w:cs="Arial"/>
          <w:color w:val="000000"/>
          <w:szCs w:val="24"/>
          <w:shd w:val="clear" w:color="auto" w:fill="FFFFFF"/>
          <w:lang w:val="en-GB" w:eastAsia="hu-HU"/>
        </w:rPr>
        <w:t xml:space="preserve"> which the placement of the residents of the institution under review will be compliant with the</w:t>
      </w:r>
      <w:r w:rsidR="008C3465" w:rsidRPr="00045B46">
        <w:rPr>
          <w:rFonts w:ascii="Garamond" w:eastAsia="Times New Roman" w:hAnsi="Garamond" w:cs="Arial"/>
          <w:color w:val="000000"/>
          <w:szCs w:val="24"/>
          <w:shd w:val="clear" w:color="auto" w:fill="FFFFFF"/>
          <w:lang w:val="en-GB" w:eastAsia="hu-HU"/>
        </w:rPr>
        <w:t xml:space="preserve"> </w:t>
      </w:r>
      <w:r w:rsidR="008C3465" w:rsidRPr="00D1530C">
        <w:rPr>
          <w:rFonts w:ascii="Garamond" w:eastAsia="Times New Roman" w:hAnsi="Garamond" w:cs="Arial"/>
          <w:color w:val="000000"/>
          <w:szCs w:val="24"/>
          <w:shd w:val="clear" w:color="auto" w:fill="FFFFFF"/>
          <w:lang w:val="en-GB" w:eastAsia="hu-HU"/>
        </w:rPr>
        <w:t>CRPD principles</w:t>
      </w:r>
      <w:r w:rsidR="00C75705" w:rsidRPr="00D1530C">
        <w:rPr>
          <w:rFonts w:ascii="Garamond" w:eastAsia="Times New Roman" w:hAnsi="Garamond" w:cs="Arial"/>
          <w:color w:val="000000"/>
          <w:szCs w:val="24"/>
          <w:shd w:val="clear" w:color="auto" w:fill="FFFFFF"/>
          <w:lang w:val="en-GB" w:eastAsia="hu-HU"/>
        </w:rPr>
        <w:t xml:space="preserve">. </w:t>
      </w:r>
      <w:r w:rsidR="008C3465" w:rsidRPr="00D1530C">
        <w:rPr>
          <w:rFonts w:ascii="Garamond" w:eastAsia="Times New Roman" w:hAnsi="Garamond" w:cs="Arial"/>
          <w:color w:val="000000"/>
          <w:szCs w:val="24"/>
          <w:shd w:val="clear" w:color="auto" w:fill="FFFFFF"/>
          <w:lang w:val="en-GB" w:eastAsia="hu-HU"/>
        </w:rPr>
        <w:t>A</w:t>
      </w:r>
      <w:r w:rsidR="000E5740" w:rsidRPr="00D1530C">
        <w:rPr>
          <w:rFonts w:ascii="Garamond" w:eastAsia="Times New Roman" w:hAnsi="Garamond" w:cs="Arial"/>
          <w:color w:val="000000"/>
          <w:szCs w:val="24"/>
          <w:shd w:val="clear" w:color="auto" w:fill="FFFFFF"/>
          <w:lang w:val="en-GB" w:eastAsia="hu-HU"/>
        </w:rPr>
        <w:t>lso, raising the salary of the social care staff</w:t>
      </w:r>
      <w:r w:rsidR="00C75705" w:rsidRPr="00D1530C">
        <w:rPr>
          <w:rFonts w:ascii="Garamond" w:eastAsia="Calibri" w:hAnsi="Garamond" w:cs="Times New Roman"/>
          <w:szCs w:val="24"/>
          <w:lang w:val="en-GB"/>
        </w:rPr>
        <w:t>,</w:t>
      </w:r>
      <w:r w:rsidR="00C75705" w:rsidRPr="00045B46">
        <w:rPr>
          <w:rFonts w:ascii="Garamond" w:eastAsia="Calibri" w:hAnsi="Garamond" w:cs="Times New Roman"/>
          <w:szCs w:val="24"/>
          <w:lang w:val="en-GB"/>
        </w:rPr>
        <w:t xml:space="preserve"> a</w:t>
      </w:r>
      <w:r w:rsidR="000E5740" w:rsidRPr="00045B46">
        <w:rPr>
          <w:rFonts w:ascii="Garamond" w:eastAsia="Calibri" w:hAnsi="Garamond" w:cs="Times New Roman"/>
          <w:szCs w:val="24"/>
          <w:lang w:val="en-GB"/>
        </w:rPr>
        <w:t>s well as supervision are of vital importance</w:t>
      </w:r>
      <w:r w:rsidR="00C75705" w:rsidRPr="00045B46">
        <w:rPr>
          <w:rFonts w:ascii="Garamond" w:eastAsia="Calibri" w:hAnsi="Garamond" w:cs="Times New Roman"/>
          <w:szCs w:val="24"/>
          <w:lang w:val="en-GB"/>
        </w:rPr>
        <w:t>.</w:t>
      </w:r>
      <w:r w:rsidR="002937CC" w:rsidRPr="00045B46">
        <w:rPr>
          <w:rFonts w:ascii="Garamond" w:eastAsia="Calibri" w:hAnsi="Garamond" w:cs="Times New Roman"/>
          <w:szCs w:val="24"/>
          <w:lang w:val="en-GB"/>
        </w:rPr>
        <w:t xml:space="preserve"> </w:t>
      </w:r>
      <w:r w:rsidR="00C75705" w:rsidRPr="00045B46">
        <w:rPr>
          <w:rFonts w:ascii="Garamond" w:eastAsia="Calibri" w:hAnsi="Garamond" w:cs="Times New Roman"/>
          <w:szCs w:val="24"/>
          <w:lang w:val="en-GB"/>
        </w:rPr>
        <w:t>A</w:t>
      </w:r>
      <w:r w:rsidR="000E5740" w:rsidRPr="00045B46">
        <w:rPr>
          <w:rFonts w:ascii="Garamond" w:eastAsia="Calibri" w:hAnsi="Garamond" w:cs="Times New Roman"/>
          <w:szCs w:val="24"/>
          <w:lang w:val="en-GB"/>
        </w:rPr>
        <w:t xml:space="preserve">n </w:t>
      </w:r>
      <w:r w:rsidR="000E5740" w:rsidRPr="00D1530C">
        <w:rPr>
          <w:rFonts w:ascii="Garamond" w:eastAsia="Calibri" w:hAnsi="Garamond" w:cs="Times New Roman"/>
          <w:szCs w:val="24"/>
          <w:lang w:val="en-GB"/>
        </w:rPr>
        <w:t>inquiry</w:t>
      </w:r>
      <w:r w:rsidR="005D2EE6" w:rsidRPr="00D1530C">
        <w:rPr>
          <w:rFonts w:ascii="Garamond" w:eastAsia="Calibri" w:hAnsi="Garamond" w:cs="Times New Roman"/>
          <w:szCs w:val="24"/>
          <w:lang w:val="en-GB"/>
        </w:rPr>
        <w:t xml:space="preserve"> to be conducted by the maintainer</w:t>
      </w:r>
      <w:r w:rsidR="000E5740" w:rsidRPr="00310AA7">
        <w:rPr>
          <w:rFonts w:ascii="Garamond" w:eastAsia="Calibri" w:hAnsi="Garamond" w:cs="Times New Roman"/>
          <w:szCs w:val="24"/>
          <w:lang w:val="en-GB"/>
        </w:rPr>
        <w:t xml:space="preserve"> was order</w:t>
      </w:r>
      <w:r w:rsidR="003D0E45" w:rsidRPr="00310AA7">
        <w:rPr>
          <w:rFonts w:ascii="Garamond" w:eastAsia="Calibri" w:hAnsi="Garamond" w:cs="Times New Roman"/>
          <w:szCs w:val="24"/>
          <w:lang w:val="en-GB"/>
        </w:rPr>
        <w:t>e</w:t>
      </w:r>
      <w:r w:rsidR="000E5740" w:rsidRPr="00310AA7">
        <w:rPr>
          <w:rFonts w:ascii="Garamond" w:eastAsia="Calibri" w:hAnsi="Garamond" w:cs="Times New Roman"/>
          <w:szCs w:val="24"/>
          <w:lang w:val="en-GB"/>
        </w:rPr>
        <w:t>d by the ministry</w:t>
      </w:r>
      <w:r w:rsidR="002622F5" w:rsidRPr="00310AA7">
        <w:rPr>
          <w:rFonts w:ascii="Garamond" w:eastAsia="Calibri" w:hAnsi="Garamond" w:cs="Times New Roman"/>
          <w:szCs w:val="24"/>
          <w:lang w:val="en-GB"/>
        </w:rPr>
        <w:t>, with the result of termination of</w:t>
      </w:r>
      <w:r w:rsidR="009C558B" w:rsidRPr="00310AA7">
        <w:rPr>
          <w:rFonts w:ascii="Garamond" w:eastAsia="Calibri" w:hAnsi="Garamond" w:cs="Times New Roman"/>
          <w:szCs w:val="24"/>
          <w:lang w:val="en-GB"/>
        </w:rPr>
        <w:t xml:space="preserve"> employment of </w:t>
      </w:r>
      <w:r w:rsidR="002622F5" w:rsidRPr="00310AA7">
        <w:rPr>
          <w:rFonts w:ascii="Garamond" w:eastAsia="Calibri" w:hAnsi="Garamond" w:cs="Times New Roman"/>
          <w:szCs w:val="24"/>
          <w:lang w:val="en-GB"/>
        </w:rPr>
        <w:t>those</w:t>
      </w:r>
      <w:r w:rsidR="009C558B" w:rsidRPr="00310AA7">
        <w:rPr>
          <w:rFonts w:ascii="Garamond" w:eastAsia="Calibri" w:hAnsi="Garamond" w:cs="Times New Roman"/>
          <w:szCs w:val="24"/>
          <w:lang w:val="en-GB"/>
        </w:rPr>
        <w:t xml:space="preserve"> involved in the abuse, with immediate </w:t>
      </w:r>
      <w:r w:rsidR="005D2EE6" w:rsidRPr="00310AA7">
        <w:rPr>
          <w:rFonts w:ascii="Garamond" w:eastAsia="Calibri" w:hAnsi="Garamond" w:cs="Times New Roman"/>
          <w:szCs w:val="24"/>
          <w:lang w:val="en-GB"/>
        </w:rPr>
        <w:t xml:space="preserve">and extraordinary </w:t>
      </w:r>
      <w:r w:rsidR="009C558B" w:rsidRPr="00310AA7">
        <w:rPr>
          <w:rFonts w:ascii="Garamond" w:eastAsia="Calibri" w:hAnsi="Garamond" w:cs="Times New Roman"/>
          <w:szCs w:val="24"/>
          <w:lang w:val="en-GB"/>
        </w:rPr>
        <w:t>effect. Furthermore, the police launched an investigation against an unknown perpetrator with regard to the abuse committed at the institution, for the well-founded suspicion light physical injury committed against a person with diability</w:t>
      </w:r>
      <w:r w:rsidR="00C75705" w:rsidRPr="00310AA7">
        <w:rPr>
          <w:rFonts w:ascii="Garamond" w:eastAsia="Calibri" w:hAnsi="Garamond" w:cs="Times New Roman"/>
          <w:szCs w:val="24"/>
          <w:lang w:val="en-GB"/>
        </w:rPr>
        <w:t xml:space="preserve">. </w:t>
      </w:r>
      <w:r w:rsidR="009C558B" w:rsidRPr="00310AA7">
        <w:rPr>
          <w:rFonts w:ascii="Garamond" w:eastAsia="Calibri" w:hAnsi="Garamond" w:cs="Times New Roman"/>
          <w:szCs w:val="24"/>
          <w:lang w:val="en-GB"/>
        </w:rPr>
        <w:t xml:space="preserve">In November </w:t>
      </w:r>
      <w:r w:rsidR="00C75705" w:rsidRPr="00310AA7">
        <w:rPr>
          <w:rFonts w:ascii="Garamond" w:eastAsia="Calibri" w:hAnsi="Garamond" w:cs="Times New Roman"/>
          <w:szCs w:val="24"/>
          <w:lang w:val="en-GB"/>
        </w:rPr>
        <w:t>2019</w:t>
      </w:r>
      <w:r w:rsidR="009C558B" w:rsidRPr="00310AA7">
        <w:rPr>
          <w:rFonts w:ascii="Garamond" w:eastAsia="Calibri" w:hAnsi="Garamond" w:cs="Times New Roman"/>
          <w:szCs w:val="24"/>
          <w:lang w:val="en-GB"/>
        </w:rPr>
        <w:t xml:space="preserve">, the public prosecutor’s office </w:t>
      </w:r>
      <w:r w:rsidR="005D2EE6" w:rsidRPr="00310AA7">
        <w:rPr>
          <w:rFonts w:ascii="Garamond" w:eastAsia="Calibri" w:hAnsi="Garamond" w:cs="Times New Roman"/>
          <w:szCs w:val="24"/>
          <w:lang w:val="en-GB"/>
        </w:rPr>
        <w:t>brought an accusation with regard to the crime of abuse committed by a public official</w:t>
      </w:r>
      <w:r w:rsidR="00C75705" w:rsidRPr="00310AA7">
        <w:rPr>
          <w:rFonts w:ascii="Garamond" w:eastAsia="Calibri" w:hAnsi="Garamond" w:cs="Times New Roman"/>
          <w:szCs w:val="24"/>
          <w:lang w:val="en-GB"/>
        </w:rPr>
        <w:t>.</w:t>
      </w:r>
    </w:p>
    <w:p w14:paraId="701586EA" w14:textId="77777777" w:rsidR="00940CF0" w:rsidRPr="00310AA7" w:rsidRDefault="00940CF0" w:rsidP="003D0E45">
      <w:pPr>
        <w:spacing w:after="200"/>
        <w:rPr>
          <w:rFonts w:ascii="Garamond" w:eastAsia="Times New Roman" w:hAnsi="Garamond" w:cs="Times New Roman"/>
          <w:szCs w:val="24"/>
          <w:lang w:val="en-GB" w:eastAsia="hu-HU"/>
        </w:rPr>
      </w:pPr>
      <w:r w:rsidRPr="00310AA7">
        <w:rPr>
          <w:rFonts w:ascii="Garamond" w:eastAsia="Times New Roman" w:hAnsi="Garamond" w:cs="Times New Roman"/>
          <w:szCs w:val="24"/>
          <w:lang w:val="en-GB" w:eastAsia="hu-HU"/>
        </w:rPr>
        <w:t>A report on another case</w:t>
      </w:r>
      <w:r w:rsidR="008E7AB1" w:rsidRPr="00310AA7">
        <w:rPr>
          <w:rStyle w:val="Lbjegyzet-hivatkozs"/>
          <w:rFonts w:ascii="Garamond" w:eastAsia="Times New Roman" w:hAnsi="Garamond" w:cs="Times New Roman"/>
          <w:szCs w:val="24"/>
          <w:lang w:val="en-GB" w:eastAsia="hu-HU"/>
        </w:rPr>
        <w:footnoteReference w:id="5"/>
      </w:r>
      <w:r w:rsidRPr="00310AA7">
        <w:rPr>
          <w:rFonts w:ascii="Garamond" w:eastAsia="Times New Roman" w:hAnsi="Garamond" w:cs="Times New Roman"/>
          <w:szCs w:val="24"/>
          <w:lang w:val="en-GB" w:eastAsia="hu-HU"/>
        </w:rPr>
        <w:t xml:space="preserve"> </w:t>
      </w:r>
      <w:r w:rsidRPr="00310AA7">
        <w:rPr>
          <w:rFonts w:ascii="Garamond" w:eastAsia="Times New Roman" w:hAnsi="Garamond" w:cs="Times New Roman"/>
          <w:b/>
          <w:szCs w:val="24"/>
          <w:lang w:val="en-GB" w:eastAsia="hu-HU"/>
        </w:rPr>
        <w:t xml:space="preserve"> </w:t>
      </w:r>
      <w:r w:rsidRPr="00310AA7">
        <w:rPr>
          <w:rFonts w:ascii="Garamond" w:eastAsia="Times New Roman" w:hAnsi="Garamond" w:cs="Times New Roman"/>
          <w:szCs w:val="24"/>
          <w:lang w:val="en-GB" w:eastAsia="hu-HU"/>
        </w:rPr>
        <w:t xml:space="preserve">also discussed the operating practices of the Home for Psychiatric Patients of </w:t>
      </w:r>
      <w:r w:rsidRPr="00310AA7">
        <w:rPr>
          <w:rFonts w:ascii="Garamond" w:eastAsia="Times New Roman" w:hAnsi="Garamond" w:cs="Times New Roman"/>
          <w:b/>
          <w:szCs w:val="24"/>
          <w:lang w:val="en-GB" w:eastAsia="hu-HU"/>
        </w:rPr>
        <w:t>Szentgotthárd</w:t>
      </w:r>
      <w:r w:rsidRPr="00310AA7">
        <w:rPr>
          <w:sz w:val="23"/>
          <w:szCs w:val="23"/>
          <w:lang w:val="en-GB"/>
        </w:rPr>
        <w:t xml:space="preserve"> </w:t>
      </w:r>
      <w:r w:rsidRPr="00310AA7">
        <w:rPr>
          <w:rFonts w:ascii="Garamond" w:hAnsi="Garamond"/>
          <w:sz w:val="23"/>
          <w:szCs w:val="23"/>
          <w:lang w:val="en-GB"/>
        </w:rPr>
        <w:t>with</w:t>
      </w:r>
      <w:r w:rsidRPr="00310AA7">
        <w:rPr>
          <w:sz w:val="23"/>
          <w:szCs w:val="23"/>
          <w:lang w:val="en-GB"/>
        </w:rPr>
        <w:t xml:space="preserve"> </w:t>
      </w:r>
      <w:r w:rsidRPr="00310AA7">
        <w:rPr>
          <w:rFonts w:ascii="Garamond" w:eastAsia="Times New Roman" w:hAnsi="Garamond" w:cs="Times New Roman"/>
          <w:szCs w:val="24"/>
          <w:lang w:val="en-GB" w:eastAsia="hu-HU"/>
        </w:rPr>
        <w:t>a very high number of residents (almost 730, the highest number in Europe), as well as the situation that has evolved as a result of inadequate staffing.</w:t>
      </w:r>
      <w:r w:rsidR="00AF7D6A" w:rsidRPr="00310AA7">
        <w:rPr>
          <w:rFonts w:ascii="Garamond" w:eastAsia="Times New Roman" w:hAnsi="Garamond" w:cs="Times New Roman"/>
          <w:szCs w:val="24"/>
          <w:lang w:val="en-GB" w:eastAsia="hu-HU"/>
        </w:rPr>
        <w:t xml:space="preserve"> </w:t>
      </w:r>
      <w:r w:rsidR="005D2EE6" w:rsidRPr="00310AA7">
        <w:rPr>
          <w:rFonts w:ascii="Garamond" w:eastAsia="Times New Roman" w:hAnsi="Garamond" w:cs="Times New Roman"/>
          <w:szCs w:val="24"/>
          <w:lang w:val="en-GB" w:eastAsia="hu-HU"/>
        </w:rPr>
        <w:t xml:space="preserve">The </w:t>
      </w:r>
      <w:r w:rsidR="00CC3D48" w:rsidRPr="00310AA7">
        <w:rPr>
          <w:rFonts w:ascii="Garamond" w:eastAsia="Times New Roman" w:hAnsi="Garamond" w:cs="Times New Roman"/>
          <w:szCs w:val="24"/>
          <w:lang w:val="en-GB" w:eastAsia="hu-HU"/>
        </w:rPr>
        <w:t>operator of the service</w:t>
      </w:r>
      <w:r w:rsidR="005D2EE6" w:rsidRPr="00310AA7">
        <w:rPr>
          <w:rFonts w:ascii="Garamond" w:eastAsia="Times New Roman" w:hAnsi="Garamond" w:cs="Times New Roman"/>
          <w:szCs w:val="24"/>
          <w:lang w:val="en-GB" w:eastAsia="hu-HU"/>
        </w:rPr>
        <w:t xml:space="preserve"> agreed with the Commissioner’s opinion, and did their best to improve the personal and physical conditions</w:t>
      </w:r>
      <w:r w:rsidR="00856131" w:rsidRPr="00310AA7">
        <w:rPr>
          <w:rFonts w:ascii="Garamond" w:eastAsia="Times New Roman" w:hAnsi="Garamond" w:cs="Times New Roman"/>
          <w:szCs w:val="24"/>
          <w:lang w:val="en-GB" w:eastAsia="hu-HU"/>
        </w:rPr>
        <w:t xml:space="preserve">. </w:t>
      </w:r>
    </w:p>
    <w:p w14:paraId="04E5B58C" w14:textId="0AACF967" w:rsidR="00940CF0" w:rsidRPr="00310AA7" w:rsidRDefault="00940CF0" w:rsidP="003D0E45">
      <w:pPr>
        <w:spacing w:after="200"/>
        <w:rPr>
          <w:rFonts w:ascii="Garamond" w:eastAsia="Times New Roman" w:hAnsi="Garamond" w:cs="Times New Roman"/>
          <w:szCs w:val="24"/>
          <w:lang w:val="en-GB" w:eastAsia="hu-HU"/>
        </w:rPr>
      </w:pPr>
      <w:r w:rsidRPr="00310AA7">
        <w:rPr>
          <w:rFonts w:ascii="Garamond" w:eastAsia="Times New Roman" w:hAnsi="Garamond" w:cs="Times New Roman"/>
          <w:szCs w:val="24"/>
          <w:lang w:val="en-GB" w:eastAsia="hu-HU"/>
        </w:rPr>
        <w:t>In a further case</w:t>
      </w:r>
      <w:r w:rsidR="009D2606" w:rsidRPr="00310AA7">
        <w:rPr>
          <w:rFonts w:ascii="Garamond" w:eastAsia="Times New Roman" w:hAnsi="Garamond" w:cs="Times New Roman"/>
          <w:szCs w:val="24"/>
          <w:lang w:val="en-GB" w:eastAsia="hu-HU"/>
        </w:rPr>
        <w:t>,</w:t>
      </w:r>
      <w:r w:rsidR="00CC3D48" w:rsidRPr="00310AA7">
        <w:rPr>
          <w:rStyle w:val="Lbjegyzet-hivatkozs"/>
          <w:rFonts w:ascii="Garamond" w:eastAsia="Times New Roman" w:hAnsi="Garamond" w:cs="Times New Roman"/>
          <w:szCs w:val="24"/>
          <w:lang w:val="en-GB" w:eastAsia="hu-HU"/>
        </w:rPr>
        <w:footnoteReference w:id="6"/>
      </w:r>
      <w:r w:rsidRPr="00310AA7">
        <w:rPr>
          <w:rFonts w:ascii="Garamond" w:eastAsia="Times New Roman" w:hAnsi="Garamond" w:cs="Times New Roman"/>
          <w:szCs w:val="24"/>
          <w:lang w:val="en-GB" w:eastAsia="hu-HU"/>
        </w:rPr>
        <w:t xml:space="preserve"> the Commissioner repeatedly found a grave impriopriety with regard to the right to human dignity in relation to the operation of the </w:t>
      </w:r>
      <w:r w:rsidRPr="00310AA7">
        <w:rPr>
          <w:rFonts w:ascii="Garamond" w:eastAsia="Times New Roman" w:hAnsi="Garamond" w:cs="Times New Roman"/>
          <w:b/>
          <w:szCs w:val="24"/>
          <w:lang w:val="en-GB" w:eastAsia="hu-HU"/>
        </w:rPr>
        <w:t xml:space="preserve">Táplánypuszta </w:t>
      </w:r>
      <w:r w:rsidRPr="00310AA7">
        <w:rPr>
          <w:rFonts w:ascii="Garamond" w:eastAsia="Times New Roman" w:hAnsi="Garamond" w:cs="Times New Roman"/>
          <w:szCs w:val="24"/>
          <w:lang w:val="en-GB" w:eastAsia="hu-HU"/>
        </w:rPr>
        <w:t xml:space="preserve">Unit of the Endre Piróth Social Care Home for Psychiatric Patients, which had previously been the subject of several investigations by the </w:t>
      </w:r>
      <w:r w:rsidR="00CC3D48" w:rsidRPr="00310AA7">
        <w:rPr>
          <w:rFonts w:ascii="Garamond" w:eastAsia="Times New Roman" w:hAnsi="Garamond" w:cs="Times New Roman"/>
          <w:szCs w:val="24"/>
          <w:lang w:val="en-GB" w:eastAsia="hu-HU"/>
        </w:rPr>
        <w:t>Commissioner</w:t>
      </w:r>
      <w:r w:rsidRPr="00310AA7">
        <w:rPr>
          <w:rFonts w:ascii="Garamond" w:eastAsia="Times New Roman" w:hAnsi="Garamond" w:cs="Times New Roman"/>
          <w:szCs w:val="24"/>
          <w:lang w:val="en-GB" w:eastAsia="hu-HU"/>
        </w:rPr>
        <w:t xml:space="preserve">. The Commissioner for Fundamental Rights ordered an </w:t>
      </w:r>
      <w:r w:rsidRPr="00310AA7">
        <w:rPr>
          <w:rFonts w:ascii="Garamond" w:eastAsia="Times New Roman" w:hAnsi="Garamond" w:cs="Times New Roman"/>
          <w:i/>
          <w:szCs w:val="24"/>
          <w:lang w:val="en-GB" w:eastAsia="hu-HU"/>
        </w:rPr>
        <w:t>ex officio</w:t>
      </w:r>
      <w:r w:rsidRPr="00310AA7">
        <w:rPr>
          <w:rFonts w:ascii="Garamond" w:eastAsia="Times New Roman" w:hAnsi="Garamond" w:cs="Times New Roman"/>
          <w:szCs w:val="24"/>
          <w:lang w:val="en-GB" w:eastAsia="hu-HU"/>
        </w:rPr>
        <w:t xml:space="preserve"> follow-up investigation into the operation of </w:t>
      </w:r>
      <w:r w:rsidR="000F56FD" w:rsidRPr="00310AA7">
        <w:rPr>
          <w:rFonts w:ascii="Garamond" w:eastAsia="Times New Roman" w:hAnsi="Garamond" w:cs="Times New Roman"/>
          <w:szCs w:val="24"/>
          <w:lang w:val="en-GB" w:eastAsia="hu-HU"/>
        </w:rPr>
        <w:t xml:space="preserve">the </w:t>
      </w:r>
      <w:r w:rsidRPr="00310AA7">
        <w:rPr>
          <w:rFonts w:ascii="Garamond" w:eastAsia="Times New Roman" w:hAnsi="Garamond" w:cs="Times New Roman"/>
          <w:szCs w:val="24"/>
          <w:lang w:val="en-GB" w:eastAsia="hu-HU"/>
        </w:rPr>
        <w:t xml:space="preserve">Institution, </w:t>
      </w:r>
      <w:r w:rsidR="000F56FD" w:rsidRPr="00310AA7">
        <w:rPr>
          <w:rFonts w:ascii="Garamond" w:eastAsia="Times New Roman" w:hAnsi="Garamond" w:cs="Times New Roman"/>
          <w:szCs w:val="24"/>
          <w:lang w:val="en-GB" w:eastAsia="hu-HU"/>
        </w:rPr>
        <w:t>during</w:t>
      </w:r>
      <w:r w:rsidRPr="00310AA7">
        <w:rPr>
          <w:rFonts w:ascii="Garamond" w:eastAsia="Times New Roman" w:hAnsi="Garamond" w:cs="Times New Roman"/>
          <w:szCs w:val="24"/>
          <w:lang w:val="en-GB" w:eastAsia="hu-HU"/>
        </w:rPr>
        <w:t xml:space="preserve"> which the expert colleagues of the Commisisioner paid an unannounced visit and conducted a site inspection at the Institution.</w:t>
      </w:r>
      <w:r w:rsidR="00186324" w:rsidRPr="00310AA7">
        <w:rPr>
          <w:rFonts w:ascii="Garamond" w:eastAsia="Times New Roman" w:hAnsi="Garamond" w:cs="Times New Roman"/>
          <w:szCs w:val="24"/>
          <w:lang w:val="en-GB" w:eastAsia="hu-HU"/>
        </w:rPr>
        <w:t xml:space="preserve"> </w:t>
      </w:r>
      <w:r w:rsidR="001E1530" w:rsidRPr="00310AA7">
        <w:rPr>
          <w:rFonts w:ascii="Garamond" w:eastAsia="Times New Roman" w:hAnsi="Garamond" w:cs="Times New Roman"/>
          <w:szCs w:val="24"/>
          <w:lang w:val="en-GB" w:eastAsia="hu-HU"/>
        </w:rPr>
        <w:t xml:space="preserve"> The </w:t>
      </w:r>
      <w:r w:rsidR="00CC3D48" w:rsidRPr="00310AA7">
        <w:rPr>
          <w:rFonts w:ascii="Garamond" w:eastAsia="Times New Roman" w:hAnsi="Garamond" w:cs="Times New Roman"/>
          <w:szCs w:val="24"/>
          <w:lang w:val="en-GB" w:eastAsia="hu-HU"/>
        </w:rPr>
        <w:t>operator of the service</w:t>
      </w:r>
      <w:r w:rsidR="001E1530" w:rsidRPr="00310AA7">
        <w:rPr>
          <w:rFonts w:ascii="Garamond" w:eastAsia="Times New Roman" w:hAnsi="Garamond" w:cs="Times New Roman"/>
          <w:szCs w:val="24"/>
          <w:lang w:val="en-GB" w:eastAsia="hu-HU"/>
        </w:rPr>
        <w:t xml:space="preserve"> started the refurbishment works of the building and the institution took the tender-related steps related to de-institutionalization.</w:t>
      </w:r>
    </w:p>
    <w:p w14:paraId="7B727D1E" w14:textId="6A6879E9" w:rsidR="00940CF0" w:rsidRPr="00310AA7" w:rsidRDefault="00940CF0" w:rsidP="00856131">
      <w:pPr>
        <w:spacing w:after="200"/>
        <w:rPr>
          <w:rFonts w:ascii="Garamond" w:eastAsia="Times New Roman" w:hAnsi="Garamond" w:cs="Times New Roman"/>
          <w:szCs w:val="24"/>
          <w:lang w:val="en-GB" w:eastAsia="hu-HU"/>
        </w:rPr>
      </w:pPr>
      <w:r w:rsidRPr="00045B46">
        <w:rPr>
          <w:rFonts w:ascii="Garamond" w:eastAsia="Times New Roman" w:hAnsi="Garamond" w:cs="Times New Roman"/>
          <w:szCs w:val="24"/>
          <w:lang w:val="en-GB" w:eastAsia="hu-HU"/>
        </w:rPr>
        <w:t>Finally</w:t>
      </w:r>
      <w:r w:rsidRPr="00D1530C">
        <w:rPr>
          <w:rFonts w:ascii="Garamond" w:eastAsia="Times New Roman" w:hAnsi="Garamond" w:cs="Times New Roman"/>
          <w:szCs w:val="24"/>
          <w:lang w:val="en-GB" w:eastAsia="hu-HU"/>
        </w:rPr>
        <w:t>,</w:t>
      </w:r>
      <w:r w:rsidRPr="00310AA7">
        <w:rPr>
          <w:rFonts w:ascii="Garamond" w:eastAsia="Times New Roman" w:hAnsi="Garamond" w:cs="Times New Roman"/>
          <w:b/>
          <w:szCs w:val="24"/>
          <w:lang w:val="en-GB" w:eastAsia="hu-HU"/>
        </w:rPr>
        <w:t xml:space="preserve"> </w:t>
      </w:r>
      <w:r w:rsidRPr="00310AA7">
        <w:rPr>
          <w:rFonts w:ascii="Garamond" w:eastAsia="Times New Roman" w:hAnsi="Garamond" w:cs="Times New Roman"/>
          <w:szCs w:val="24"/>
          <w:lang w:val="en-GB" w:eastAsia="hu-HU"/>
        </w:rPr>
        <w:t xml:space="preserve">the Commissioner investigated into the circumstances of the care provided to persons with disabilities living in a social care home </w:t>
      </w:r>
      <w:r w:rsidRPr="00310AA7">
        <w:rPr>
          <w:rFonts w:ascii="Garamond" w:eastAsia="Times New Roman" w:hAnsi="Garamond" w:cs="Times New Roman"/>
          <w:b/>
          <w:szCs w:val="24"/>
          <w:lang w:val="en-GB" w:eastAsia="hu-HU"/>
        </w:rPr>
        <w:t xml:space="preserve">in a small settlement in West Hungary </w:t>
      </w:r>
      <w:r w:rsidRPr="00310AA7">
        <w:rPr>
          <w:rFonts w:ascii="Garamond" w:eastAsia="Times New Roman" w:hAnsi="Garamond" w:cs="Times New Roman"/>
          <w:szCs w:val="24"/>
          <w:lang w:val="en-GB" w:eastAsia="hu-HU"/>
        </w:rPr>
        <w:t>(Lesencetomaj)</w:t>
      </w:r>
      <w:r w:rsidR="00625F80" w:rsidRPr="00310AA7">
        <w:rPr>
          <w:rFonts w:ascii="Garamond" w:eastAsia="Times New Roman" w:hAnsi="Garamond" w:cs="Times New Roman"/>
          <w:szCs w:val="24"/>
          <w:lang w:val="en-GB" w:eastAsia="hu-HU"/>
        </w:rPr>
        <w:t>.</w:t>
      </w:r>
      <w:r w:rsidR="00334B55" w:rsidRPr="00310AA7">
        <w:rPr>
          <w:rStyle w:val="Lbjegyzet-hivatkozs"/>
          <w:rFonts w:ascii="Garamond" w:eastAsia="Times New Roman" w:hAnsi="Garamond" w:cs="Times New Roman"/>
          <w:szCs w:val="24"/>
          <w:lang w:val="en-GB" w:eastAsia="hu-HU"/>
        </w:rPr>
        <w:footnoteReference w:id="7"/>
      </w:r>
      <w:r w:rsidRPr="00310AA7">
        <w:rPr>
          <w:rFonts w:ascii="Garamond" w:eastAsia="Times New Roman" w:hAnsi="Garamond" w:cs="Times New Roman"/>
          <w:szCs w:val="24"/>
          <w:lang w:val="en-GB" w:eastAsia="hu-HU"/>
        </w:rPr>
        <w:t xml:space="preserve"> The Commissioner established that due to the overcrowdedness arising from the lack of basic life and physical conditions at the Institution, chances for the evolution of conflicts between the </w:t>
      </w:r>
      <w:r w:rsidRPr="00310AA7">
        <w:rPr>
          <w:rFonts w:ascii="Garamond" w:eastAsia="Times New Roman" w:hAnsi="Garamond" w:cs="Times New Roman"/>
          <w:szCs w:val="24"/>
          <w:lang w:val="en-GB" w:eastAsia="hu-HU"/>
        </w:rPr>
        <w:lastRenderedPageBreak/>
        <w:t xml:space="preserve">residents </w:t>
      </w:r>
      <w:r w:rsidR="003B0713" w:rsidRPr="00310AA7">
        <w:rPr>
          <w:rFonts w:ascii="Garamond" w:eastAsia="Times New Roman" w:hAnsi="Garamond" w:cs="Times New Roman"/>
          <w:szCs w:val="24"/>
          <w:lang w:val="en-GB" w:eastAsia="hu-HU"/>
        </w:rPr>
        <w:t xml:space="preserve">were </w:t>
      </w:r>
      <w:r w:rsidRPr="00310AA7">
        <w:rPr>
          <w:rFonts w:ascii="Garamond" w:eastAsia="Times New Roman" w:hAnsi="Garamond" w:cs="Times New Roman"/>
          <w:szCs w:val="24"/>
          <w:lang w:val="en-GB" w:eastAsia="hu-HU"/>
        </w:rPr>
        <w:t>high. This also requires more focused attention from the part of the nursing and care staff and mental health staff, with regard to prevention, the engagement of the residents in meaningful activities, as well as the elaboration of structured and personalized daily routines for the residents.</w:t>
      </w:r>
      <w:r w:rsidR="001E1530" w:rsidRPr="00310AA7">
        <w:rPr>
          <w:rFonts w:ascii="Garamond" w:eastAsia="Times New Roman" w:hAnsi="Garamond" w:cs="Times New Roman"/>
          <w:szCs w:val="24"/>
          <w:lang w:val="en-GB" w:eastAsia="hu-HU"/>
        </w:rPr>
        <w:t xml:space="preserve"> The maintainer and the head of the institution agreed with the proposals made by the Commissioner and took the necessary measures for the improvement of the personal and physical conditions of the institution.</w:t>
      </w:r>
    </w:p>
    <w:p w14:paraId="7236F01E" w14:textId="1F267C77" w:rsidR="003B0713" w:rsidRPr="00D1530C" w:rsidRDefault="003B0713" w:rsidP="00856131">
      <w:pPr>
        <w:spacing w:after="200"/>
        <w:rPr>
          <w:rFonts w:ascii="Garamond" w:eastAsia="Times New Roman" w:hAnsi="Garamond" w:cs="Times New Roman"/>
          <w:b/>
          <w:szCs w:val="24"/>
          <w:lang w:val="en-GB" w:eastAsia="hu-HU"/>
        </w:rPr>
      </w:pPr>
      <w:r w:rsidRPr="00310AA7">
        <w:rPr>
          <w:rFonts w:ascii="Garamond" w:eastAsia="Times New Roman" w:hAnsi="Garamond" w:cs="Times New Roman"/>
          <w:b/>
          <w:szCs w:val="24"/>
          <w:u w:val="single"/>
          <w:lang w:val="en-GB" w:eastAsia="hu-HU"/>
        </w:rPr>
        <w:t>Recommendations</w:t>
      </w:r>
      <w:r w:rsidRPr="00310AA7">
        <w:rPr>
          <w:rFonts w:ascii="Garamond" w:eastAsia="Times New Roman" w:hAnsi="Garamond" w:cs="Times New Roman"/>
          <w:szCs w:val="24"/>
          <w:lang w:val="en-GB" w:eastAsia="hu-HU"/>
        </w:rPr>
        <w:t xml:space="preserve"> </w:t>
      </w:r>
      <w:r w:rsidRPr="00310AA7">
        <w:rPr>
          <w:rFonts w:ascii="Garamond" w:eastAsia="Times New Roman" w:hAnsi="Garamond" w:cs="Times New Roman"/>
          <w:b/>
          <w:szCs w:val="24"/>
          <w:u w:val="single"/>
          <w:lang w:val="en-GB" w:eastAsia="hu-HU"/>
        </w:rPr>
        <w:t>regarding autonomy and disabilities</w:t>
      </w:r>
      <w:r w:rsidRPr="00310AA7">
        <w:rPr>
          <w:rFonts w:ascii="Garamond" w:eastAsia="Times New Roman" w:hAnsi="Garamond" w:cs="Times New Roman"/>
          <w:szCs w:val="24"/>
          <w:lang w:val="en-GB" w:eastAsia="hu-HU"/>
        </w:rPr>
        <w:t xml:space="preserve">: </w:t>
      </w:r>
      <w:r w:rsidR="0003286A" w:rsidRPr="00D1530C">
        <w:rPr>
          <w:rFonts w:ascii="Garamond" w:eastAsia="Times New Roman" w:hAnsi="Garamond" w:cs="Times New Roman"/>
          <w:b/>
          <w:szCs w:val="24"/>
          <w:lang w:val="en-GB" w:eastAsia="hu-HU"/>
        </w:rPr>
        <w:t>ensure and oversee that</w:t>
      </w:r>
      <w:r w:rsidR="00A6752A" w:rsidRPr="00D1530C">
        <w:rPr>
          <w:rFonts w:ascii="Garamond" w:eastAsia="Times New Roman" w:hAnsi="Garamond" w:cs="Times New Roman"/>
          <w:b/>
          <w:szCs w:val="24"/>
          <w:lang w:val="en-GB" w:eastAsia="hu-HU"/>
        </w:rPr>
        <w:t xml:space="preserve"> the de-institutionalisation</w:t>
      </w:r>
      <w:r w:rsidRPr="00D1530C">
        <w:rPr>
          <w:rFonts w:ascii="Garamond" w:eastAsia="Times New Roman" w:hAnsi="Garamond" w:cs="Times New Roman"/>
          <w:b/>
          <w:szCs w:val="24"/>
          <w:lang w:val="en-GB" w:eastAsia="hu-HU"/>
        </w:rPr>
        <w:t xml:space="preserve"> process </w:t>
      </w:r>
      <w:r w:rsidR="00625F80" w:rsidRPr="00D1530C">
        <w:rPr>
          <w:rFonts w:ascii="Garamond" w:eastAsia="Times New Roman" w:hAnsi="Garamond" w:cs="Times New Roman"/>
          <w:b/>
          <w:szCs w:val="24"/>
          <w:lang w:val="en-GB" w:eastAsia="hu-HU"/>
        </w:rPr>
        <w:t>is sped up and continued according to the principles of independent living. Strengthening the current institutions in terms of financial means and expertise remains a vital aspect throughout the entire de-institutionalisation process</w:t>
      </w:r>
      <w:r w:rsidRPr="00D1530C">
        <w:rPr>
          <w:rFonts w:ascii="Garamond" w:eastAsia="Times New Roman" w:hAnsi="Garamond" w:cs="Times New Roman"/>
          <w:b/>
          <w:szCs w:val="24"/>
          <w:lang w:val="en-GB" w:eastAsia="hu-HU"/>
        </w:rPr>
        <w:t>.</w:t>
      </w:r>
    </w:p>
    <w:p w14:paraId="40A6916E" w14:textId="77777777" w:rsidR="00940CF0" w:rsidRPr="00310AA7" w:rsidRDefault="00940CF0" w:rsidP="00940CF0">
      <w:pPr>
        <w:tabs>
          <w:tab w:val="left" w:pos="709"/>
        </w:tabs>
        <w:rPr>
          <w:rFonts w:ascii="Garamond" w:hAnsi="Garamond"/>
          <w:b/>
          <w:szCs w:val="24"/>
          <w:lang w:val="en-GB"/>
        </w:rPr>
      </w:pPr>
    </w:p>
    <w:p w14:paraId="5125FD68" w14:textId="77777777" w:rsidR="00940CF0" w:rsidRPr="00310AA7" w:rsidRDefault="00940CF0" w:rsidP="00FC18B3">
      <w:pPr>
        <w:pStyle w:val="Cmsor2"/>
        <w:numPr>
          <w:ilvl w:val="0"/>
          <w:numId w:val="5"/>
        </w:numPr>
        <w:rPr>
          <w:lang w:val="en-GB"/>
        </w:rPr>
      </w:pPr>
      <w:bookmarkStart w:id="6" w:name="_Toc31958372"/>
      <w:r w:rsidRPr="00310AA7">
        <w:rPr>
          <w:lang w:val="en-GB"/>
        </w:rPr>
        <w:t>Legal capacity, restriction and the importance of supported decision-making</w:t>
      </w:r>
      <w:bookmarkEnd w:id="6"/>
    </w:p>
    <w:p w14:paraId="30E350B4" w14:textId="1FFEE341" w:rsidR="00940CF0" w:rsidRPr="00310AA7" w:rsidRDefault="00940CF0" w:rsidP="006C5F5C">
      <w:pPr>
        <w:rPr>
          <w:lang w:val="en-GB" w:eastAsia="hu-HU"/>
        </w:rPr>
      </w:pPr>
      <w:r w:rsidRPr="00310AA7">
        <w:rPr>
          <w:lang w:val="en-GB"/>
        </w:rPr>
        <w:t xml:space="preserve">The previous chapters concisely summarised the Commissioner’s narrative on the normative aspects of disability. </w:t>
      </w:r>
      <w:r w:rsidR="003B0713" w:rsidRPr="00310AA7">
        <w:rPr>
          <w:lang w:val="en-GB"/>
        </w:rPr>
        <w:t>According to</w:t>
      </w:r>
      <w:r w:rsidRPr="00310AA7">
        <w:rPr>
          <w:lang w:val="en-GB"/>
        </w:rPr>
        <w:t xml:space="preserve"> the Hungarian fundamental rights tradition, equal dignity and the right to dignity constitute the basis of constitutional protection for the fundamental rights of persons with disabilities. Notwithstanding the slightly different approach to human dignity, acknowledging it as an explicit right, it may be concluded that persons wi</w:t>
      </w:r>
      <w:r w:rsidR="006372B6" w:rsidRPr="00310AA7">
        <w:rPr>
          <w:lang w:val="en-GB"/>
        </w:rPr>
        <w:t>t</w:t>
      </w:r>
      <w:r w:rsidRPr="00310AA7">
        <w:rPr>
          <w:lang w:val="en-GB"/>
        </w:rPr>
        <w:t xml:space="preserve">h disabilities enjoy a high level of protection </w:t>
      </w:r>
      <w:r w:rsidR="003B0713" w:rsidRPr="00310AA7">
        <w:rPr>
          <w:i/>
          <w:lang w:val="en-GB"/>
        </w:rPr>
        <w:t>vis-à-vis</w:t>
      </w:r>
      <w:r w:rsidR="003B0713" w:rsidRPr="00310AA7">
        <w:rPr>
          <w:lang w:val="en-GB"/>
        </w:rPr>
        <w:t xml:space="preserve"> </w:t>
      </w:r>
      <w:r w:rsidRPr="00310AA7">
        <w:rPr>
          <w:lang w:val="en-GB"/>
        </w:rPr>
        <w:t xml:space="preserve">their fundamental rights in Hungary. </w:t>
      </w:r>
    </w:p>
    <w:p w14:paraId="4660807E" w14:textId="4519DF53" w:rsidR="00940CF0" w:rsidRPr="00310AA7" w:rsidRDefault="00940CF0" w:rsidP="006C5F5C">
      <w:pPr>
        <w:rPr>
          <w:lang w:val="en-GB" w:eastAsia="hu-HU"/>
        </w:rPr>
      </w:pPr>
      <w:r w:rsidRPr="00310AA7">
        <w:rPr>
          <w:lang w:val="en-GB"/>
        </w:rPr>
        <w:t xml:space="preserve">The special attention paid to the situation of persons with disabilities, however, necessitates close scrutiny of any piece of legislation, </w:t>
      </w:r>
      <w:r w:rsidR="00045B46">
        <w:rPr>
          <w:lang w:val="en-GB"/>
        </w:rPr>
        <w:t>a</w:t>
      </w:r>
      <w:r w:rsidRPr="00310AA7">
        <w:rPr>
          <w:lang w:val="en-GB"/>
        </w:rPr>
        <w:t>ct or regulation that affects disabled persons. Self determination and individual autonomy enjoy constitutional protection through their origins in human dignity. Nevertheless, individual autonomy - as observed by the Commissioner - may be jeopardised for a significant number of persons with disabilities.</w:t>
      </w:r>
    </w:p>
    <w:p w14:paraId="2D7AD325" w14:textId="77777777" w:rsidR="00940CF0" w:rsidRPr="00310AA7" w:rsidRDefault="00940CF0" w:rsidP="006C5F5C">
      <w:pPr>
        <w:rPr>
          <w:lang w:val="en-GB" w:eastAsia="hu-HU"/>
        </w:rPr>
      </w:pPr>
      <w:r w:rsidRPr="00310AA7">
        <w:rPr>
          <w:lang w:val="en-GB"/>
        </w:rPr>
        <w:t>According to the Hungarian Civil Code Articles 2:20-21</w:t>
      </w:r>
      <w:r w:rsidR="003B0713" w:rsidRPr="00310AA7">
        <w:rPr>
          <w:lang w:val="en-GB"/>
        </w:rPr>
        <w:t>,</w:t>
      </w:r>
      <w:r w:rsidRPr="00310AA7">
        <w:rPr>
          <w:lang w:val="en-GB"/>
        </w:rPr>
        <w:t xml:space="preserve"> a person’s legal capacity shall be restricted and the person be put under partial guardianship if </w:t>
      </w:r>
      <w:r w:rsidRPr="00310AA7">
        <w:rPr>
          <w:i/>
          <w:lang w:val="en-GB"/>
        </w:rPr>
        <w:t>“due to his mental disorder his ability required to take care of his own affairs is significantly reduced, permanently or in a temporarily recurring manner, and consequently, having regard to his personal circumstances, family ties and social relations, his placement under custodianship [guardianship] is justified with regard to specified categories of affairs.”</w:t>
      </w:r>
      <w:r w:rsidRPr="00310AA7">
        <w:rPr>
          <w:lang w:val="en-GB"/>
        </w:rPr>
        <w:t xml:space="preserve"> If the person permanently and completely lacks the previously described mental capacity, full (plenary) guardianship shall be ordered by the court. The Civil Code further regulates in Title IX the instrument of supported decision-making, where the guardianship authority - upon the voluntary request of the person concerned - shall appoint a su</w:t>
      </w:r>
      <w:r w:rsidR="00DF1E79" w:rsidRPr="00310AA7">
        <w:rPr>
          <w:lang w:val="en-GB"/>
        </w:rPr>
        <w:t>pport person for the person of “</w:t>
      </w:r>
      <w:r w:rsidRPr="00310AA7">
        <w:rPr>
          <w:lang w:val="en-GB"/>
        </w:rPr>
        <w:t>unsound mind”. Supported decision-making may also be ordered by the court if it finds that placing the person under guardianship is not justified</w:t>
      </w:r>
      <w:r w:rsidR="003B0713" w:rsidRPr="00310AA7">
        <w:rPr>
          <w:lang w:val="en-GB"/>
        </w:rPr>
        <w:t>,</w:t>
      </w:r>
      <w:r w:rsidRPr="00310AA7">
        <w:rPr>
          <w:lang w:val="en-GB"/>
        </w:rPr>
        <w:t xml:space="preserve"> but the person concerned requires assistance in managing his or her affairs.</w:t>
      </w:r>
    </w:p>
    <w:p w14:paraId="5C0308D5" w14:textId="77777777" w:rsidR="00940CF0" w:rsidRPr="00310AA7" w:rsidRDefault="00940CF0" w:rsidP="006C5F5C">
      <w:pPr>
        <w:rPr>
          <w:lang w:val="en-GB" w:eastAsia="hu-HU"/>
        </w:rPr>
      </w:pPr>
    </w:p>
    <w:p w14:paraId="7B76BDC6" w14:textId="28E89F3D" w:rsidR="003B0713" w:rsidRPr="00310AA7" w:rsidRDefault="00940CF0" w:rsidP="006C5F5C">
      <w:pPr>
        <w:rPr>
          <w:lang w:val="en-GB"/>
        </w:rPr>
      </w:pPr>
      <w:r w:rsidRPr="00310AA7">
        <w:rPr>
          <w:lang w:val="en-GB"/>
        </w:rPr>
        <w:t xml:space="preserve">The Hungarian regulation on legal capacity underwent a significant reform. </w:t>
      </w:r>
      <w:r w:rsidR="003B0713" w:rsidRPr="00310AA7">
        <w:rPr>
          <w:lang w:val="en-GB"/>
        </w:rPr>
        <w:t xml:space="preserve">While an earlier draft of the </w:t>
      </w:r>
      <w:r w:rsidRPr="00310AA7">
        <w:rPr>
          <w:lang w:val="en-GB"/>
        </w:rPr>
        <w:t xml:space="preserve">Civil Code followed the international paradigm shift on legal capacity and decision-making, implemented Recommendation R(99)4 of the Council of Europe and </w:t>
      </w:r>
      <w:r w:rsidR="003B0713" w:rsidRPr="00310AA7">
        <w:rPr>
          <w:lang w:val="en-GB"/>
        </w:rPr>
        <w:t>followed</w:t>
      </w:r>
      <w:r w:rsidRPr="00310AA7">
        <w:rPr>
          <w:lang w:val="en-GB"/>
        </w:rPr>
        <w:t xml:space="preserve"> the </w:t>
      </w:r>
      <w:r w:rsidR="003B0713" w:rsidRPr="00310AA7">
        <w:rPr>
          <w:lang w:val="en-GB"/>
        </w:rPr>
        <w:t xml:space="preserve"> paradigms of the </w:t>
      </w:r>
      <w:r w:rsidRPr="00310AA7">
        <w:rPr>
          <w:lang w:val="en-GB"/>
        </w:rPr>
        <w:t>CRPD</w:t>
      </w:r>
      <w:r w:rsidR="003B0713" w:rsidRPr="00310AA7">
        <w:rPr>
          <w:lang w:val="en-GB"/>
        </w:rPr>
        <w:t>,</w:t>
      </w:r>
      <w:r w:rsidRPr="00310AA7">
        <w:rPr>
          <w:lang w:val="en-GB"/>
        </w:rPr>
        <w:t xml:space="preserve"> </w:t>
      </w:r>
      <w:r w:rsidR="003B0713" w:rsidRPr="00D1530C">
        <w:rPr>
          <w:lang w:val="en-GB"/>
        </w:rPr>
        <w:t>t</w:t>
      </w:r>
      <w:r w:rsidRPr="00D1530C">
        <w:rPr>
          <w:lang w:val="en-GB"/>
        </w:rPr>
        <w:t xml:space="preserve">he Commissioner </w:t>
      </w:r>
      <w:r w:rsidR="003B0713" w:rsidRPr="00D1530C">
        <w:rPr>
          <w:lang w:val="en-GB"/>
        </w:rPr>
        <w:t xml:space="preserve">recognizes that the Civil Code in force introduces the system of supported decision-making, but </w:t>
      </w:r>
      <w:r w:rsidRPr="00D1530C">
        <w:rPr>
          <w:lang w:val="en-GB"/>
        </w:rPr>
        <w:t>regrets</w:t>
      </w:r>
      <w:r w:rsidRPr="00045B46">
        <w:rPr>
          <w:lang w:val="en-GB"/>
        </w:rPr>
        <w:t xml:space="preserve"> </w:t>
      </w:r>
      <w:r w:rsidRPr="00D1530C">
        <w:rPr>
          <w:lang w:val="en-GB"/>
        </w:rPr>
        <w:t xml:space="preserve">that the Civil Code </w:t>
      </w:r>
      <w:r w:rsidR="003B0713" w:rsidRPr="00D1530C">
        <w:rPr>
          <w:lang w:val="en-GB"/>
        </w:rPr>
        <w:t>does not fully reflect the</w:t>
      </w:r>
      <w:r w:rsidRPr="00D1530C">
        <w:rPr>
          <w:lang w:val="en-GB"/>
        </w:rPr>
        <w:t xml:space="preserve"> paradigm </w:t>
      </w:r>
      <w:r w:rsidR="003B0713" w:rsidRPr="00D1530C">
        <w:rPr>
          <w:lang w:val="en-GB"/>
        </w:rPr>
        <w:t xml:space="preserve">of the CRPD </w:t>
      </w:r>
      <w:r w:rsidR="003B0713" w:rsidRPr="00045B46">
        <w:rPr>
          <w:i/>
          <w:lang w:val="en-GB"/>
        </w:rPr>
        <w:t>vis-à-vis</w:t>
      </w:r>
      <w:r w:rsidR="003B0713" w:rsidRPr="00045B46">
        <w:rPr>
          <w:lang w:val="en-GB"/>
        </w:rPr>
        <w:t xml:space="preserve"> </w:t>
      </w:r>
      <w:r w:rsidRPr="00D1530C">
        <w:rPr>
          <w:lang w:val="en-GB"/>
        </w:rPr>
        <w:t>disabilities and legal capacity</w:t>
      </w:r>
      <w:r w:rsidR="003B0713" w:rsidRPr="00310AA7">
        <w:rPr>
          <w:lang w:val="en-GB"/>
        </w:rPr>
        <w:t>, but partially</w:t>
      </w:r>
      <w:r w:rsidR="003B0713" w:rsidRPr="00310AA7">
        <w:rPr>
          <w:b/>
          <w:lang w:val="en-GB"/>
        </w:rPr>
        <w:t xml:space="preserve"> </w:t>
      </w:r>
      <w:r w:rsidRPr="00310AA7">
        <w:rPr>
          <w:lang w:val="en-GB"/>
        </w:rPr>
        <w:t>conserve</w:t>
      </w:r>
      <w:r w:rsidR="003B0713" w:rsidRPr="00310AA7">
        <w:rPr>
          <w:lang w:val="en-GB"/>
        </w:rPr>
        <w:t>s</w:t>
      </w:r>
      <w:r w:rsidRPr="00310AA7">
        <w:rPr>
          <w:lang w:val="en-GB"/>
        </w:rPr>
        <w:t xml:space="preserve"> the legal capacity restriction regime. </w:t>
      </w:r>
    </w:p>
    <w:p w14:paraId="56099801" w14:textId="66917DC6" w:rsidR="00940CF0" w:rsidRPr="00D1530C" w:rsidRDefault="00940CF0" w:rsidP="006C5F5C">
      <w:pPr>
        <w:rPr>
          <w:lang w:val="en-GB"/>
        </w:rPr>
      </w:pPr>
      <w:r w:rsidRPr="00310AA7">
        <w:rPr>
          <w:lang w:val="en-GB"/>
        </w:rPr>
        <w:t>Hungarian law currently regulates three legal instruments related to legal capacity</w:t>
      </w:r>
      <w:r w:rsidR="00DF1E79" w:rsidRPr="00310AA7">
        <w:rPr>
          <w:lang w:val="en-GB"/>
        </w:rPr>
        <w:t>.</w:t>
      </w:r>
      <w:r w:rsidR="003B0713" w:rsidRPr="00310AA7">
        <w:rPr>
          <w:lang w:val="en-GB"/>
        </w:rPr>
        <w:t xml:space="preserve"> </w:t>
      </w:r>
      <w:r w:rsidRPr="00310AA7">
        <w:rPr>
          <w:lang w:val="en-GB"/>
        </w:rPr>
        <w:t>Partial and plenary guardianship follow the substituted decision-making scheme, resulting in a widespread limitation of the exercise of fundamental r</w:t>
      </w:r>
      <w:r w:rsidR="006967C8" w:rsidRPr="00310AA7">
        <w:rPr>
          <w:lang w:val="en-GB"/>
        </w:rPr>
        <w:t xml:space="preserve">ights. </w:t>
      </w:r>
      <w:r w:rsidR="006967C8" w:rsidRPr="00D1530C">
        <w:rPr>
          <w:lang w:val="en-GB"/>
        </w:rPr>
        <w:t>The Commissioner recogni</w:t>
      </w:r>
      <w:r w:rsidR="003B0713" w:rsidRPr="00D1530C">
        <w:rPr>
          <w:lang w:val="en-GB"/>
        </w:rPr>
        <w:t>z</w:t>
      </w:r>
      <w:r w:rsidRPr="00D1530C">
        <w:rPr>
          <w:lang w:val="en-GB"/>
        </w:rPr>
        <w:t>es and welcomes the governments’ efforts in establishing and enforcing the system of supported decision-making, however, sees the need for further shift of focus from the system of guardianship tow</w:t>
      </w:r>
      <w:r w:rsidR="00DF1E79" w:rsidRPr="00D1530C">
        <w:rPr>
          <w:lang w:val="en-GB"/>
        </w:rPr>
        <w:t>ards supported decision-making.</w:t>
      </w:r>
    </w:p>
    <w:p w14:paraId="6956FFFF" w14:textId="2DC866DB" w:rsidR="00940CF0" w:rsidRPr="00310AA7" w:rsidRDefault="003B0713" w:rsidP="006C5F5C">
      <w:pPr>
        <w:rPr>
          <w:rFonts w:eastAsia="Calibri" w:cs="Times New Roman"/>
          <w:lang w:val="en-GB"/>
        </w:rPr>
      </w:pPr>
      <w:r w:rsidRPr="00310AA7">
        <w:rPr>
          <w:rFonts w:eastAsia="Calibri" w:cs="Times New Roman"/>
          <w:lang w:val="en-GB"/>
        </w:rPr>
        <w:t>I</w:t>
      </w:r>
      <w:r w:rsidR="00940CF0" w:rsidRPr="00310AA7">
        <w:rPr>
          <w:rFonts w:eastAsia="Calibri" w:cs="Times New Roman"/>
          <w:lang w:val="en-GB"/>
        </w:rPr>
        <w:t>n his petition</w:t>
      </w:r>
      <w:r w:rsidR="00DF1E79" w:rsidRPr="00310AA7">
        <w:rPr>
          <w:rStyle w:val="Lbjegyzet-hivatkozs"/>
          <w:rFonts w:ascii="Garamond" w:eastAsia="Calibri" w:hAnsi="Garamond" w:cs="Times New Roman"/>
          <w:szCs w:val="24"/>
          <w:lang w:val="en-GB"/>
        </w:rPr>
        <w:footnoteReference w:id="8"/>
      </w:r>
      <w:r w:rsidR="00940CF0" w:rsidRPr="00310AA7">
        <w:rPr>
          <w:rFonts w:eastAsia="Calibri" w:cs="Times New Roman"/>
          <w:lang w:val="en-GB"/>
        </w:rPr>
        <w:t xml:space="preserve"> submitted to the Constitutional Court in connection with </w:t>
      </w:r>
      <w:r w:rsidR="00940CF0" w:rsidRPr="00D1530C">
        <w:rPr>
          <w:rFonts w:eastAsia="Calibri" w:cs="Times New Roman"/>
          <w:lang w:val="en-GB"/>
        </w:rPr>
        <w:t>the new Civil Cod</w:t>
      </w:r>
      <w:r w:rsidR="00DF1E79" w:rsidRPr="00D1530C">
        <w:rPr>
          <w:rFonts w:eastAsia="Calibri" w:cs="Times New Roman"/>
          <w:lang w:val="en-GB"/>
        </w:rPr>
        <w:t>e’s provisions on guardianship</w:t>
      </w:r>
      <w:r w:rsidR="00940CF0" w:rsidRPr="00310AA7">
        <w:rPr>
          <w:rFonts w:eastAsia="Calibri" w:cs="Times New Roman"/>
          <w:lang w:val="en-GB"/>
        </w:rPr>
        <w:t>, the Commissioner pointed out that under the new Civil Code, guardianship invoking fully limited legal competency and substitute decision-making still imposes general restrictions on those concerned. Guardianship invoking fully limited legal competency extensively invades the privacy and freedom of choice of persons with disabilities, instead of trying to assist</w:t>
      </w:r>
      <w:r w:rsidR="00DF1E79" w:rsidRPr="00310AA7">
        <w:rPr>
          <w:rFonts w:eastAsia="Calibri" w:cs="Times New Roman"/>
          <w:lang w:val="en-GB"/>
        </w:rPr>
        <w:t xml:space="preserve"> them in making their decisions</w:t>
      </w:r>
      <w:r w:rsidR="00940CF0" w:rsidRPr="00310AA7">
        <w:rPr>
          <w:rFonts w:eastAsia="Calibri" w:cs="Times New Roman"/>
          <w:lang w:val="en-GB"/>
        </w:rPr>
        <w:t xml:space="preserve">. In the Commissioner’s opinion, the automatic invalidity of the legal statements made by persons under plenary guardianship, who are mainly persons with disabilities, along with the general exclusion of their making their most personal decisions, </w:t>
      </w:r>
      <w:r w:rsidR="000F56FD" w:rsidRPr="00310AA7">
        <w:rPr>
          <w:rFonts w:eastAsia="Calibri" w:cs="Times New Roman"/>
          <w:lang w:val="en-GB"/>
        </w:rPr>
        <w:t xml:space="preserve">may </w:t>
      </w:r>
      <w:r w:rsidR="00940CF0" w:rsidRPr="00310AA7">
        <w:rPr>
          <w:rFonts w:eastAsia="Calibri" w:cs="Times New Roman"/>
          <w:lang w:val="en-GB"/>
        </w:rPr>
        <w:t>violate the</w:t>
      </w:r>
      <w:r w:rsidR="000F56FD" w:rsidRPr="00310AA7">
        <w:rPr>
          <w:rFonts w:eastAsia="Calibri" w:cs="Times New Roman"/>
          <w:lang w:val="en-GB"/>
        </w:rPr>
        <w:t>ir</w:t>
      </w:r>
      <w:r w:rsidR="00940CF0" w:rsidRPr="00310AA7">
        <w:rPr>
          <w:rFonts w:eastAsia="Calibri" w:cs="Times New Roman"/>
          <w:lang w:val="en-GB"/>
        </w:rPr>
        <w:t xml:space="preserve"> fundamental rights and also go contrary to the international human rights norms. </w:t>
      </w:r>
    </w:p>
    <w:p w14:paraId="46D5C4DB" w14:textId="4F91B67E" w:rsidR="00940CF0" w:rsidRPr="00310AA7" w:rsidRDefault="00940CF0" w:rsidP="006C5F5C">
      <w:pPr>
        <w:rPr>
          <w:rFonts w:eastAsia="Calibri" w:cs="Times New Roman"/>
          <w:lang w:val="en-GB"/>
        </w:rPr>
      </w:pPr>
      <w:r w:rsidRPr="00310AA7">
        <w:rPr>
          <w:rFonts w:eastAsia="Calibri" w:cs="Times New Roman"/>
          <w:lang w:val="en-GB"/>
        </w:rPr>
        <w:t>The CRPD proclaims in Article 12 section 2. that “</w:t>
      </w:r>
      <w:r w:rsidRPr="00310AA7">
        <w:rPr>
          <w:rFonts w:eastAsia="Calibri" w:cs="Times New Roman"/>
          <w:i/>
          <w:lang w:val="en-GB"/>
        </w:rPr>
        <w:t>persons with disabilities enjoy legal capacity on an equal basis with others in all aspects of life</w:t>
      </w:r>
      <w:r w:rsidRPr="00310AA7">
        <w:rPr>
          <w:rFonts w:eastAsia="Calibri" w:cs="Times New Roman"/>
          <w:lang w:val="en-GB"/>
        </w:rPr>
        <w:t>.” The CRPD also adopts a clear stance that all persons with disabilities shall be recognised as persons before the law, while Article 5 conta</w:t>
      </w:r>
      <w:r w:rsidR="00DF1E79" w:rsidRPr="00310AA7">
        <w:rPr>
          <w:rFonts w:eastAsia="Calibri" w:cs="Times New Roman"/>
          <w:lang w:val="en-GB"/>
        </w:rPr>
        <w:t>ins a non-discrimination clause</w:t>
      </w:r>
      <w:r w:rsidRPr="00310AA7">
        <w:rPr>
          <w:rFonts w:eastAsia="Calibri" w:cs="Times New Roman"/>
          <w:lang w:val="en-GB"/>
        </w:rPr>
        <w:t>. Implementing the Hungarian constitutional tradition</w:t>
      </w:r>
      <w:r w:rsidR="0092001A" w:rsidRPr="00310AA7">
        <w:rPr>
          <w:rFonts w:eastAsia="Calibri" w:cs="Times New Roman"/>
          <w:lang w:val="en-GB"/>
        </w:rPr>
        <w:t xml:space="preserve"> as well as Article I section (3) and Articles II and XV of the Fundamental Law of Hungary</w:t>
      </w:r>
      <w:r w:rsidRPr="00310AA7">
        <w:rPr>
          <w:rFonts w:eastAsia="Calibri" w:cs="Times New Roman"/>
          <w:lang w:val="en-GB"/>
        </w:rPr>
        <w:t xml:space="preserve">, persons with disabilities shall enjoy all rights on an equal basis with other persons, as human dignity constitutes the essence of personality, and is thus, inviolable </w:t>
      </w:r>
      <w:r w:rsidRPr="00310AA7">
        <w:rPr>
          <w:rFonts w:eastAsia="Calibri" w:cs="Times New Roman"/>
          <w:i/>
          <w:lang w:val="en-GB"/>
        </w:rPr>
        <w:t>per se</w:t>
      </w:r>
      <w:r w:rsidRPr="00310AA7">
        <w:rPr>
          <w:rFonts w:eastAsia="Calibri" w:cs="Times New Roman"/>
          <w:lang w:val="en-GB"/>
        </w:rPr>
        <w:t>.</w:t>
      </w:r>
    </w:p>
    <w:p w14:paraId="6DD6BB44" w14:textId="71AC5FA6" w:rsidR="003D0E45" w:rsidRPr="00310AA7" w:rsidRDefault="00940CF0" w:rsidP="006C5F5C">
      <w:pPr>
        <w:rPr>
          <w:b/>
          <w:lang w:val="en-GB" w:eastAsia="hu-HU"/>
        </w:rPr>
      </w:pPr>
      <w:r w:rsidRPr="00310AA7">
        <w:rPr>
          <w:rFonts w:eastAsia="Calibri" w:cs="Times New Roman"/>
          <w:lang w:val="en-GB"/>
        </w:rPr>
        <w:t xml:space="preserve">The Commissioner points out that Article 12 of the CRPD makes no reference to guardianship, instead, its wording intentionally refers to </w:t>
      </w:r>
      <w:r w:rsidRPr="00D1530C">
        <w:rPr>
          <w:rFonts w:eastAsia="Calibri" w:cs="Times New Roman"/>
          <w:lang w:val="en-GB"/>
        </w:rPr>
        <w:t>the exercise of legal capacity</w:t>
      </w:r>
      <w:r w:rsidRPr="00045B46">
        <w:rPr>
          <w:rFonts w:eastAsia="Calibri" w:cs="Times New Roman"/>
          <w:lang w:val="en-GB"/>
        </w:rPr>
        <w:t xml:space="preserve">. The </w:t>
      </w:r>
      <w:r w:rsidRPr="00D1530C">
        <w:rPr>
          <w:rFonts w:eastAsia="Calibri" w:cs="Times New Roman"/>
          <w:lang w:val="en-GB"/>
        </w:rPr>
        <w:t xml:space="preserve">support paradigm of </w:t>
      </w:r>
      <w:r w:rsidRPr="00D1530C">
        <w:rPr>
          <w:rFonts w:eastAsia="Calibri" w:cs="Times New Roman"/>
          <w:lang w:val="en-GB"/>
        </w:rPr>
        <w:lastRenderedPageBreak/>
        <w:t>the CRPD is clear, supported decision-making shall always take precedence over substituted decision-making</w:t>
      </w:r>
      <w:r w:rsidRPr="00045B46">
        <w:rPr>
          <w:rFonts w:eastAsia="Calibri" w:cs="Times New Roman"/>
          <w:lang w:val="en-GB"/>
        </w:rPr>
        <w:t>.</w:t>
      </w:r>
      <w:r w:rsidRPr="00310AA7">
        <w:rPr>
          <w:rFonts w:eastAsia="Calibri" w:cs="Times New Roman"/>
          <w:lang w:val="en-GB"/>
        </w:rPr>
        <w:t xml:space="preserve"> </w:t>
      </w:r>
      <w:r w:rsidR="006967C8" w:rsidRPr="00310AA7">
        <w:rPr>
          <w:rFonts w:eastAsia="Calibri" w:cs="Times New Roman"/>
          <w:lang w:val="en-GB"/>
        </w:rPr>
        <w:t>This paradigm shift is further reiterated by the CRPD Committee in the General Comments</w:t>
      </w:r>
      <w:r w:rsidR="006967C8" w:rsidRPr="00310AA7">
        <w:rPr>
          <w:lang w:val="en-GB"/>
        </w:rPr>
        <w:t xml:space="preserve">, which as </w:t>
      </w:r>
      <w:r w:rsidR="00DF1E79" w:rsidRPr="00310AA7">
        <w:rPr>
          <w:lang w:val="en-GB"/>
        </w:rPr>
        <w:t xml:space="preserve">a </w:t>
      </w:r>
      <w:r w:rsidR="006967C8" w:rsidRPr="00310AA7">
        <w:rPr>
          <w:lang w:val="en-GB"/>
        </w:rPr>
        <w:t xml:space="preserve">soft law </w:t>
      </w:r>
      <w:r w:rsidR="003B0713" w:rsidRPr="00310AA7">
        <w:rPr>
          <w:lang w:val="en-GB"/>
        </w:rPr>
        <w:t xml:space="preserve">instrument </w:t>
      </w:r>
      <w:r w:rsidR="006967C8" w:rsidRPr="00310AA7">
        <w:rPr>
          <w:lang w:val="en-GB"/>
        </w:rPr>
        <w:t>contribute</w:t>
      </w:r>
      <w:r w:rsidR="00DF1E79" w:rsidRPr="00310AA7">
        <w:rPr>
          <w:lang w:val="en-GB"/>
        </w:rPr>
        <w:t>s</w:t>
      </w:r>
      <w:r w:rsidR="006967C8" w:rsidRPr="00310AA7">
        <w:rPr>
          <w:lang w:val="en-GB"/>
        </w:rPr>
        <w:t xml:space="preserve"> to the legal interpretation for the States Parties. The CRPD Committee’</w:t>
      </w:r>
      <w:r w:rsidRPr="00310AA7">
        <w:rPr>
          <w:rFonts w:eastAsia="Calibri" w:cs="Times New Roman"/>
          <w:lang w:val="en-GB"/>
        </w:rPr>
        <w:t>s</w:t>
      </w:r>
      <w:r w:rsidR="006967C8" w:rsidRPr="00310AA7">
        <w:rPr>
          <w:rFonts w:eastAsia="Calibri" w:cs="Times New Roman"/>
          <w:lang w:val="en-GB"/>
        </w:rPr>
        <w:t xml:space="preserve"> interpretation of Article 12</w:t>
      </w:r>
      <w:r w:rsidRPr="00310AA7">
        <w:rPr>
          <w:rFonts w:eastAsia="Calibri" w:cs="Times New Roman"/>
          <w:lang w:val="en-GB"/>
        </w:rPr>
        <w:t xml:space="preserve"> </w:t>
      </w:r>
      <w:r w:rsidR="006967C8" w:rsidRPr="00310AA7">
        <w:rPr>
          <w:rFonts w:eastAsia="Calibri" w:cs="Times New Roman"/>
          <w:lang w:val="en-GB"/>
        </w:rPr>
        <w:t>has a strong influence on</w:t>
      </w:r>
      <w:r w:rsidRPr="00310AA7">
        <w:rPr>
          <w:rFonts w:eastAsia="Calibri" w:cs="Times New Roman"/>
          <w:lang w:val="en-GB"/>
        </w:rPr>
        <w:t xml:space="preserve"> Hungarian and international scholars </w:t>
      </w:r>
      <w:r w:rsidR="003B0713" w:rsidRPr="00310AA7">
        <w:rPr>
          <w:rFonts w:eastAsia="Calibri" w:cs="Times New Roman"/>
          <w:lang w:val="en-GB"/>
        </w:rPr>
        <w:t>analysing</w:t>
      </w:r>
      <w:r w:rsidRPr="00310AA7">
        <w:rPr>
          <w:rFonts w:eastAsia="Calibri" w:cs="Times New Roman"/>
          <w:lang w:val="en-GB"/>
        </w:rPr>
        <w:t xml:space="preserve"> disability, emphasising that under “measures”</w:t>
      </w:r>
      <w:r w:rsidR="003B0713" w:rsidRPr="00310AA7">
        <w:rPr>
          <w:rFonts w:eastAsia="Calibri" w:cs="Times New Roman"/>
          <w:lang w:val="en-GB"/>
        </w:rPr>
        <w:t>,</w:t>
      </w:r>
      <w:r w:rsidRPr="00310AA7">
        <w:rPr>
          <w:rFonts w:eastAsia="Calibri" w:cs="Times New Roman"/>
          <w:lang w:val="en-GB"/>
        </w:rPr>
        <w:t xml:space="preserve"> facilitating the exercise of legal capacity</w:t>
      </w:r>
      <w:r w:rsidR="003B0713" w:rsidRPr="00310AA7">
        <w:rPr>
          <w:rFonts w:eastAsia="Calibri" w:cs="Times New Roman"/>
          <w:lang w:val="en-GB"/>
        </w:rPr>
        <w:t xml:space="preserve"> and</w:t>
      </w:r>
      <w:r w:rsidRPr="00310AA7">
        <w:rPr>
          <w:rFonts w:eastAsia="Calibri" w:cs="Times New Roman"/>
          <w:lang w:val="en-GB"/>
        </w:rPr>
        <w:t xml:space="preserve"> instruments of supported decision-making shall be primarily understood. </w:t>
      </w:r>
    </w:p>
    <w:p w14:paraId="2E163C72" w14:textId="5E055806" w:rsidR="00940CF0" w:rsidRPr="00310AA7" w:rsidRDefault="00940CF0" w:rsidP="006C5F5C">
      <w:pPr>
        <w:rPr>
          <w:rFonts w:eastAsia="Calibri" w:cs="Times New Roman"/>
          <w:lang w:val="en-GB"/>
        </w:rPr>
      </w:pPr>
      <w:r w:rsidRPr="00310AA7">
        <w:rPr>
          <w:rFonts w:eastAsia="Calibri" w:cs="Times New Roman"/>
          <w:lang w:val="en-GB"/>
        </w:rPr>
        <w:t>The Commissioner regrets that</w:t>
      </w:r>
      <w:r w:rsidR="0070381C" w:rsidRPr="00310AA7">
        <w:rPr>
          <w:rFonts w:eastAsia="Calibri" w:cs="Times New Roman"/>
          <w:lang w:val="en-GB"/>
        </w:rPr>
        <w:t xml:space="preserve"> the</w:t>
      </w:r>
      <w:r w:rsidRPr="00310AA7">
        <w:rPr>
          <w:rFonts w:eastAsia="Calibri" w:cs="Times New Roman"/>
          <w:lang w:val="en-GB"/>
        </w:rPr>
        <w:t xml:space="preserve"> Civil Code </w:t>
      </w:r>
      <w:r w:rsidR="006372B6" w:rsidRPr="00310AA7">
        <w:rPr>
          <w:rFonts w:eastAsia="Calibri" w:cs="Times New Roman"/>
          <w:lang w:val="en-GB"/>
        </w:rPr>
        <w:t xml:space="preserve">in force </w:t>
      </w:r>
      <w:r w:rsidRPr="00310AA7">
        <w:rPr>
          <w:rFonts w:eastAsia="Calibri" w:cs="Times New Roman"/>
          <w:lang w:val="en-GB"/>
        </w:rPr>
        <w:t xml:space="preserve">- although it contains a number of novel guarantees and instruments compared to the previous civil code - adopted the regime of restriction of </w:t>
      </w:r>
      <w:r w:rsidR="0070381C" w:rsidRPr="00310AA7">
        <w:rPr>
          <w:rFonts w:eastAsia="Calibri" w:cs="Times New Roman"/>
          <w:lang w:val="en-GB"/>
        </w:rPr>
        <w:t>legal capacity and guardianship</w:t>
      </w:r>
      <w:r w:rsidR="003B0713" w:rsidRPr="00310AA7">
        <w:rPr>
          <w:rFonts w:eastAsia="Calibri" w:cs="Times New Roman"/>
          <w:lang w:val="en-GB"/>
        </w:rPr>
        <w:t xml:space="preserve"> instead of </w:t>
      </w:r>
      <w:r w:rsidR="0092001A" w:rsidRPr="00310AA7">
        <w:rPr>
          <w:rFonts w:eastAsia="Calibri" w:cs="Times New Roman"/>
          <w:lang w:val="en-GB"/>
        </w:rPr>
        <w:t>gradually moving on to</w:t>
      </w:r>
      <w:r w:rsidR="003B0713" w:rsidRPr="00310AA7">
        <w:rPr>
          <w:rFonts w:eastAsia="Calibri" w:cs="Times New Roman"/>
          <w:lang w:val="en-GB"/>
        </w:rPr>
        <w:t xml:space="preserve"> supported decision-making</w:t>
      </w:r>
      <w:r w:rsidRPr="00310AA7">
        <w:rPr>
          <w:rFonts w:eastAsia="Calibri" w:cs="Times New Roman"/>
          <w:lang w:val="en-GB"/>
        </w:rPr>
        <w:t xml:space="preserve">. </w:t>
      </w:r>
    </w:p>
    <w:p w14:paraId="2C18FC25" w14:textId="11BA533D" w:rsidR="00940CF0" w:rsidRPr="00310AA7" w:rsidRDefault="003227F6" w:rsidP="006C5F5C">
      <w:pPr>
        <w:rPr>
          <w:lang w:val="en-GB" w:eastAsia="hu-HU"/>
        </w:rPr>
      </w:pPr>
      <w:r w:rsidRPr="00310AA7">
        <w:rPr>
          <w:lang w:val="en-GB"/>
        </w:rPr>
        <w:t>According to data provided by the Government</w:t>
      </w:r>
      <w:r w:rsidR="003B0713" w:rsidRPr="00310AA7">
        <w:rPr>
          <w:lang w:val="en-GB"/>
        </w:rPr>
        <w:t>,</w:t>
      </w:r>
      <w:r w:rsidRPr="00310AA7">
        <w:rPr>
          <w:lang w:val="en-GB"/>
        </w:rPr>
        <w:t xml:space="preserve"> </w:t>
      </w:r>
      <w:r w:rsidR="00940CF0" w:rsidRPr="00310AA7">
        <w:rPr>
          <w:lang w:val="en-GB"/>
        </w:rPr>
        <w:t xml:space="preserve">56.151 persons were under guardianship </w:t>
      </w:r>
      <w:r w:rsidRPr="00310AA7">
        <w:rPr>
          <w:lang w:val="en-GB"/>
        </w:rPr>
        <w:t xml:space="preserve">in 2013 </w:t>
      </w:r>
      <w:r w:rsidR="00940CF0" w:rsidRPr="00310AA7">
        <w:rPr>
          <w:lang w:val="en-GB"/>
        </w:rPr>
        <w:t>in Hungary, while by 2017 the number has risen to 57.983. The number of persons under plenary guardianship in 2013 was 31.670 out of the 56.151 guardianship cases, while 24.481 were partial guardianships. In 2017 the number of plenary guardianships was 29.082, and 28.901 wards were under partial guardianship.</w:t>
      </w:r>
    </w:p>
    <w:p w14:paraId="3C7D61BB" w14:textId="16C41404" w:rsidR="00940CF0" w:rsidRPr="00045B46" w:rsidRDefault="00940CF0" w:rsidP="006C5F5C">
      <w:pPr>
        <w:rPr>
          <w:lang w:val="en-GB" w:eastAsia="hu-HU"/>
        </w:rPr>
      </w:pPr>
      <w:r w:rsidRPr="00310AA7">
        <w:rPr>
          <w:lang w:val="en-GB"/>
        </w:rPr>
        <w:t xml:space="preserve">The statistics show that the </w:t>
      </w:r>
      <w:r w:rsidR="002E6DE1" w:rsidRPr="00310AA7">
        <w:rPr>
          <w:lang w:val="en-GB"/>
        </w:rPr>
        <w:t xml:space="preserve">overall </w:t>
      </w:r>
      <w:r w:rsidRPr="00310AA7">
        <w:rPr>
          <w:lang w:val="en-GB"/>
        </w:rPr>
        <w:t>number of guardianships have not decreased</w:t>
      </w:r>
      <w:r w:rsidR="002E6DE1" w:rsidRPr="00310AA7">
        <w:rPr>
          <w:lang w:val="en-GB"/>
        </w:rPr>
        <w:t xml:space="preserve">, and neither did </w:t>
      </w:r>
      <w:r w:rsidR="002E6DE1" w:rsidRPr="00045B46">
        <w:rPr>
          <w:lang w:val="en-GB"/>
        </w:rPr>
        <w:t>the</w:t>
      </w:r>
      <w:r w:rsidRPr="00D1530C">
        <w:rPr>
          <w:lang w:val="en-GB"/>
        </w:rPr>
        <w:t xml:space="preserve"> proportion of plenary guardianships since the new Civil Code entered into force.</w:t>
      </w:r>
      <w:r w:rsidRPr="00045B46">
        <w:rPr>
          <w:lang w:val="en-GB"/>
        </w:rPr>
        <w:t xml:space="preserve"> The statistics also highlight that the newly introduced supported decision-making scheme </w:t>
      </w:r>
      <w:r w:rsidR="003B0713" w:rsidRPr="00045B46">
        <w:rPr>
          <w:lang w:val="en-GB"/>
        </w:rPr>
        <w:t>has not</w:t>
      </w:r>
      <w:r w:rsidRPr="00045B46">
        <w:rPr>
          <w:lang w:val="en-GB"/>
        </w:rPr>
        <w:t xml:space="preserve"> fulfill</w:t>
      </w:r>
      <w:r w:rsidR="003B0713" w:rsidRPr="00045B46">
        <w:rPr>
          <w:lang w:val="en-GB"/>
        </w:rPr>
        <w:t>ed</w:t>
      </w:r>
      <w:r w:rsidRPr="00045B46">
        <w:rPr>
          <w:lang w:val="en-GB"/>
        </w:rPr>
        <w:t xml:space="preserve"> its promises: only 167 persons received supported decision-making in 2017.</w:t>
      </w:r>
    </w:p>
    <w:p w14:paraId="3DD8181F" w14:textId="0771C8E8" w:rsidR="00940CF0" w:rsidRPr="00D1530C" w:rsidRDefault="00940CF0" w:rsidP="006C5F5C">
      <w:pPr>
        <w:rPr>
          <w:lang w:val="en-GB" w:eastAsia="hu-HU"/>
        </w:rPr>
      </w:pPr>
      <w:r w:rsidRPr="00D1530C">
        <w:rPr>
          <w:lang w:val="en-GB"/>
        </w:rPr>
        <w:t>The empirical data allows for the conclusion that plenary guardianship (and with it, the complete removal of a person’s legal capacity and agency) did not decrease, while substituted decision-making is by far the primary outcome of procedures affecting legal capacity (less than 1% of all cases resulted in supported decision-making instead of substituted decision-making, guardianship).</w:t>
      </w:r>
    </w:p>
    <w:p w14:paraId="435F640A" w14:textId="5DC019B0" w:rsidR="00940CF0" w:rsidRPr="00310AA7" w:rsidRDefault="00940CF0" w:rsidP="006C5F5C">
      <w:pPr>
        <w:rPr>
          <w:lang w:val="en-GB" w:eastAsia="hu-HU"/>
        </w:rPr>
      </w:pPr>
      <w:r w:rsidRPr="00D1530C">
        <w:rPr>
          <w:lang w:val="en-GB"/>
        </w:rPr>
        <w:t xml:space="preserve">The Commissioner would welcome </w:t>
      </w:r>
      <w:r w:rsidR="003B0713" w:rsidRPr="00D1530C">
        <w:rPr>
          <w:lang w:val="en-GB"/>
        </w:rPr>
        <w:t>the consideration of a</w:t>
      </w:r>
      <w:r w:rsidRPr="00D1530C">
        <w:rPr>
          <w:lang w:val="en-GB"/>
        </w:rPr>
        <w:t xml:space="preserve"> revision of the current regulation </w:t>
      </w:r>
      <w:r w:rsidR="003B0713" w:rsidRPr="00045B46">
        <w:rPr>
          <w:i/>
          <w:lang w:val="en-GB"/>
        </w:rPr>
        <w:t>vis-à-vis</w:t>
      </w:r>
      <w:r w:rsidR="003B0713" w:rsidRPr="00045B46">
        <w:rPr>
          <w:lang w:val="en-GB"/>
        </w:rPr>
        <w:t xml:space="preserve"> </w:t>
      </w:r>
      <w:r w:rsidRPr="00D1530C">
        <w:rPr>
          <w:lang w:val="en-GB"/>
        </w:rPr>
        <w:t xml:space="preserve">legal capacity. </w:t>
      </w:r>
      <w:r w:rsidRPr="00310AA7">
        <w:rPr>
          <w:lang w:val="en-GB"/>
        </w:rPr>
        <w:t xml:space="preserve">The long term aim of the CRPD is to eliminate all forms of substituted decision-making, replacing with an effective system of supported decision-making. Such ambitious reforms, however, could require a certain period of patience, leaving room for the government to implement </w:t>
      </w:r>
      <w:r w:rsidR="003B0713" w:rsidRPr="00310AA7">
        <w:rPr>
          <w:lang w:val="en-GB"/>
        </w:rPr>
        <w:t>the new</w:t>
      </w:r>
      <w:r w:rsidRPr="00310AA7">
        <w:rPr>
          <w:lang w:val="en-GB"/>
        </w:rPr>
        <w:t xml:space="preserve"> regime.</w:t>
      </w:r>
    </w:p>
    <w:p w14:paraId="7CA14B04" w14:textId="77777777" w:rsidR="003B0713" w:rsidRPr="00D1530C" w:rsidRDefault="00940CF0" w:rsidP="006C5F5C">
      <w:pPr>
        <w:rPr>
          <w:lang w:val="en-GB"/>
        </w:rPr>
      </w:pPr>
      <w:r w:rsidRPr="00310AA7">
        <w:rPr>
          <w:lang w:val="en-GB"/>
        </w:rPr>
        <w:t xml:space="preserve">Nevertheless, it is a </w:t>
      </w:r>
      <w:r w:rsidRPr="00D1530C">
        <w:rPr>
          <w:lang w:val="en-GB"/>
        </w:rPr>
        <w:t>pressing need to reform the current institution of supported decision-making in Hungary</w:t>
      </w:r>
      <w:r w:rsidR="003B0713" w:rsidRPr="00D1530C">
        <w:rPr>
          <w:lang w:val="en-GB"/>
        </w:rPr>
        <w:t xml:space="preserve"> to make sure that supported decision-making shall take precedence over substituted decision-making</w:t>
      </w:r>
      <w:r w:rsidRPr="00045B46">
        <w:rPr>
          <w:lang w:val="en-GB"/>
        </w:rPr>
        <w:t>, as empirical data shows that the instrument cannot fulfill its aim or role due to a lack of information among professionals as well as the public or D</w:t>
      </w:r>
      <w:r w:rsidR="003E116F" w:rsidRPr="00045B46">
        <w:rPr>
          <w:lang w:val="en-GB"/>
        </w:rPr>
        <w:t>isabled</w:t>
      </w:r>
      <w:r w:rsidR="00732BEF" w:rsidRPr="00045B46">
        <w:rPr>
          <w:lang w:val="en-GB"/>
        </w:rPr>
        <w:t xml:space="preserve"> </w:t>
      </w:r>
      <w:r w:rsidRPr="00045B46">
        <w:rPr>
          <w:lang w:val="en-GB"/>
        </w:rPr>
        <w:t>P</w:t>
      </w:r>
      <w:r w:rsidR="003E116F" w:rsidRPr="00045B46">
        <w:rPr>
          <w:lang w:val="en-GB"/>
        </w:rPr>
        <w:t>ersons</w:t>
      </w:r>
      <w:r w:rsidR="00732BEF" w:rsidRPr="00045B46">
        <w:rPr>
          <w:lang w:val="en-GB"/>
        </w:rPr>
        <w:t xml:space="preserve"> </w:t>
      </w:r>
      <w:r w:rsidRPr="00045B46">
        <w:rPr>
          <w:lang w:val="en-GB"/>
        </w:rPr>
        <w:t>O</w:t>
      </w:r>
      <w:r w:rsidR="003E116F" w:rsidRPr="00045B46">
        <w:rPr>
          <w:lang w:val="en-GB"/>
        </w:rPr>
        <w:t>rganizati</w:t>
      </w:r>
      <w:r w:rsidR="001E1530" w:rsidRPr="00045B46">
        <w:rPr>
          <w:lang w:val="en-GB"/>
        </w:rPr>
        <w:t>o</w:t>
      </w:r>
      <w:r w:rsidR="003E116F" w:rsidRPr="00045B46">
        <w:rPr>
          <w:lang w:val="en-GB"/>
        </w:rPr>
        <w:t>n</w:t>
      </w:r>
      <w:r w:rsidRPr="00045B46">
        <w:rPr>
          <w:lang w:val="en-GB"/>
        </w:rPr>
        <w:t>s</w:t>
      </w:r>
      <w:r w:rsidR="003E116F" w:rsidRPr="00045B46">
        <w:rPr>
          <w:lang w:val="en-GB"/>
        </w:rPr>
        <w:t xml:space="preserve"> (DPO)</w:t>
      </w:r>
      <w:r w:rsidRPr="00045B46">
        <w:rPr>
          <w:lang w:val="en-GB"/>
        </w:rPr>
        <w:t xml:space="preserve">. </w:t>
      </w:r>
      <w:r w:rsidRPr="00D1530C">
        <w:rPr>
          <w:lang w:val="en-GB"/>
        </w:rPr>
        <w:t xml:space="preserve">Supported decision-making should also be reinforced and strengthened through financial sources and means of expertise. </w:t>
      </w:r>
    </w:p>
    <w:p w14:paraId="0FCAA983" w14:textId="79958B47" w:rsidR="0070381C" w:rsidRPr="00045B46" w:rsidRDefault="00732BEF" w:rsidP="006C5F5C">
      <w:pPr>
        <w:rPr>
          <w:rFonts w:eastAsia="Calibri" w:cs="Times New Roman"/>
          <w:lang w:val="en-GB"/>
        </w:rPr>
      </w:pPr>
      <w:r w:rsidRPr="00D1530C">
        <w:rPr>
          <w:lang w:val="en-GB"/>
        </w:rPr>
        <w:lastRenderedPageBreak/>
        <w:t>As</w:t>
      </w:r>
      <w:r w:rsidR="00940CF0" w:rsidRPr="00D1530C">
        <w:rPr>
          <w:lang w:val="en-GB"/>
        </w:rPr>
        <w:t xml:space="preserve"> long as supported decision-making </w:t>
      </w:r>
      <w:r w:rsidR="003B0713" w:rsidRPr="00D1530C">
        <w:rPr>
          <w:lang w:val="en-GB"/>
        </w:rPr>
        <w:t>has not been introduced fully and therefore</w:t>
      </w:r>
      <w:r w:rsidR="002E6DE1" w:rsidRPr="00D1530C">
        <w:rPr>
          <w:lang w:val="en-GB"/>
        </w:rPr>
        <w:t>,</w:t>
      </w:r>
      <w:r w:rsidR="003B0713" w:rsidRPr="00D1530C">
        <w:rPr>
          <w:lang w:val="en-GB"/>
        </w:rPr>
        <w:t xml:space="preserve"> </w:t>
      </w:r>
      <w:r w:rsidR="00940CF0" w:rsidRPr="00D1530C">
        <w:rPr>
          <w:lang w:val="en-GB"/>
        </w:rPr>
        <w:t>cannot provide the sufficient protection for the rights of persons with disabilities, a certain extent of guardianship measures may seem justified to safeguard persons with disabilities.</w:t>
      </w:r>
      <w:r w:rsidR="0070381C" w:rsidRPr="00045B46">
        <w:rPr>
          <w:rFonts w:eastAsia="Calibri" w:cs="Times New Roman"/>
          <w:lang w:val="en-GB"/>
        </w:rPr>
        <w:t xml:space="preserve"> Notwithstanding the Hungarian government’s steps</w:t>
      </w:r>
      <w:r w:rsidR="0070381C" w:rsidRPr="00045B46">
        <w:rPr>
          <w:lang w:val="en-GB"/>
        </w:rPr>
        <w:t xml:space="preserve"> in introducing supported decision-making to Hungarian civil law,</w:t>
      </w:r>
      <w:r w:rsidR="0070381C" w:rsidRPr="00D1530C">
        <w:rPr>
          <w:lang w:val="en-GB"/>
        </w:rPr>
        <w:t xml:space="preserve"> the Commissioner would welcome if the Civil Code explicitly prescribed that supported decision-making shall always take precedence over substituted decision-making</w:t>
      </w:r>
      <w:r w:rsidR="0070381C" w:rsidRPr="00045B46">
        <w:rPr>
          <w:lang w:val="en-GB"/>
        </w:rPr>
        <w:t>.</w:t>
      </w:r>
    </w:p>
    <w:p w14:paraId="67C19730" w14:textId="77777777" w:rsidR="00A6752A" w:rsidRPr="00045B46" w:rsidRDefault="00A6752A" w:rsidP="006C5F5C">
      <w:pPr>
        <w:rPr>
          <w:lang w:val="en-GB" w:eastAsia="hu-HU"/>
        </w:rPr>
      </w:pPr>
      <w:r w:rsidRPr="00045B46">
        <w:rPr>
          <w:lang w:val="en-GB"/>
        </w:rPr>
        <w:t xml:space="preserve">The Commissioner would like to remind that apart from the discussion on substituted and supported decision-making, advance planning also plays a key role in the protection of vulnerable adults. </w:t>
      </w:r>
      <w:r w:rsidRPr="00D1530C">
        <w:rPr>
          <w:lang w:val="en-GB"/>
        </w:rPr>
        <w:t>Promoting self-determination for capable adults in the event of their future incapacity, by means of continuing powers of attorney and advance directives</w:t>
      </w:r>
      <w:r w:rsidRPr="00045B46">
        <w:rPr>
          <w:lang w:val="en-GB"/>
        </w:rPr>
        <w:t xml:space="preserve"> ensures that </w:t>
      </w:r>
      <w:r w:rsidRPr="00D1530C">
        <w:rPr>
          <w:lang w:val="en-GB"/>
        </w:rPr>
        <w:t>the person’s will and preferences shall prevail</w:t>
      </w:r>
      <w:r w:rsidRPr="00045B46">
        <w:rPr>
          <w:lang w:val="en-GB"/>
        </w:rPr>
        <w:t xml:space="preserve"> even in the event of a future loss of capacity. </w:t>
      </w:r>
      <w:r w:rsidRPr="00D1530C">
        <w:rPr>
          <w:lang w:val="en-GB"/>
        </w:rPr>
        <w:t>Hungarian legislation currently does not comprehensively regulate instruments of advance planning</w:t>
      </w:r>
      <w:r w:rsidRPr="00045B46">
        <w:rPr>
          <w:lang w:val="en-GB"/>
        </w:rPr>
        <w:t xml:space="preserve"> (advance directives, continuing powers of attorney),</w:t>
      </w:r>
      <w:r w:rsidRPr="00045B46">
        <w:rPr>
          <w:rStyle w:val="Lbjegyzet-hivatkozs"/>
          <w:rFonts w:ascii="Garamond" w:hAnsi="Garamond"/>
          <w:color w:val="000000"/>
          <w:szCs w:val="24"/>
          <w:lang w:val="en-GB"/>
        </w:rPr>
        <w:footnoteReference w:id="9"/>
      </w:r>
      <w:r w:rsidRPr="00045B46">
        <w:rPr>
          <w:lang w:val="en-GB"/>
        </w:rPr>
        <w:t xml:space="preserve"> therefore, </w:t>
      </w:r>
      <w:r w:rsidRPr="00D1530C">
        <w:rPr>
          <w:lang w:val="en-GB"/>
        </w:rPr>
        <w:t>an even greater emphasis is put</w:t>
      </w:r>
      <w:r w:rsidRPr="00045B46">
        <w:rPr>
          <w:lang w:val="en-GB"/>
        </w:rPr>
        <w:t xml:space="preserve"> </w:t>
      </w:r>
      <w:r w:rsidRPr="00D1530C">
        <w:rPr>
          <w:lang w:val="en-GB"/>
        </w:rPr>
        <w:t>on guardianship and supported decision-making in providing the effective legal protection of persons with disabilities.</w:t>
      </w:r>
    </w:p>
    <w:p w14:paraId="6CD5D2CA" w14:textId="61EF754C" w:rsidR="00940CF0" w:rsidRPr="00310AA7" w:rsidRDefault="00940CF0" w:rsidP="006C5F5C">
      <w:pPr>
        <w:rPr>
          <w:lang w:val="en-GB"/>
        </w:rPr>
      </w:pPr>
      <w:r w:rsidRPr="00045B46">
        <w:rPr>
          <w:lang w:val="en-GB"/>
        </w:rPr>
        <w:t xml:space="preserve">Less is often more: the experiences of the Commissioner show that - if necessitated by the protection of the rights of the person concerned - a certain restriction of legal capacity may be justified in exceptional cases (if the person cannot by any means be made able to make a decisions, no matter the extent of support provided). </w:t>
      </w:r>
      <w:r w:rsidRPr="00D1530C">
        <w:rPr>
          <w:lang w:val="en-GB"/>
        </w:rPr>
        <w:t xml:space="preserve">However, such restriction </w:t>
      </w:r>
      <w:r w:rsidR="003B0713" w:rsidRPr="00D1530C">
        <w:rPr>
          <w:lang w:val="en-GB"/>
        </w:rPr>
        <w:t>should be seen as</w:t>
      </w:r>
      <w:r w:rsidRPr="00D1530C">
        <w:rPr>
          <w:lang w:val="en-GB"/>
        </w:rPr>
        <w:t xml:space="preserve"> a last resort, </w:t>
      </w:r>
      <w:r w:rsidRPr="00D1530C">
        <w:rPr>
          <w:i/>
          <w:lang w:val="en-GB"/>
        </w:rPr>
        <w:t>ultima ratio</w:t>
      </w:r>
      <w:r w:rsidRPr="00D1530C">
        <w:rPr>
          <w:lang w:val="en-GB"/>
        </w:rPr>
        <w:t xml:space="preserve"> measure and be limited to the least restrictive amount that is absolutely necessary and proportionate to the protection of the person. </w:t>
      </w:r>
      <w:r w:rsidRPr="00310AA7">
        <w:rPr>
          <w:lang w:val="en-GB"/>
        </w:rPr>
        <w:t>Restriction of legal capacity shall only be maintained even in these extreme cases until supported decision-making undergoes the necessary capacity building.</w:t>
      </w:r>
    </w:p>
    <w:p w14:paraId="6275B123" w14:textId="44A303C1" w:rsidR="003B0713" w:rsidRPr="00310AA7" w:rsidRDefault="003B0713" w:rsidP="006C5F5C">
      <w:pPr>
        <w:rPr>
          <w:highlight w:val="yellow"/>
          <w:lang w:val="en-GB"/>
        </w:rPr>
      </w:pPr>
      <w:r w:rsidRPr="00310AA7">
        <w:rPr>
          <w:lang w:val="en-GB"/>
        </w:rPr>
        <w:t>Finally, it should also be pointed out that the problems related to guardianship will not cease to exist until stronger action is taken for the complete implementation of the institution of supported decision-making. However, it is recognized that it will take a long time to ensure its smooth operation. At the same time, providing support for the independent living and decision-making of persons with disabilities is of key importance in this period of transition as well. Realistically speaking, the institution of guardianship can only be limited to the least possible extent if the human rights approach taken by the CRPD is coupled with the primary application of the institution of supported decision-making. Thus, it will become necessary to ensure the appropriate number of experts and to promote the institution of supported decision-making amongst the persons with disabilities and their families, as well as among courts.</w:t>
      </w:r>
      <w:r w:rsidRPr="00310AA7">
        <w:rPr>
          <w:highlight w:val="yellow"/>
          <w:lang w:val="en-GB"/>
        </w:rPr>
        <w:t xml:space="preserve"> </w:t>
      </w:r>
    </w:p>
    <w:p w14:paraId="303DF1DF" w14:textId="77777777" w:rsidR="00940CF0" w:rsidRPr="00310AA7" w:rsidRDefault="00940CF0" w:rsidP="006C5F5C">
      <w:pPr>
        <w:rPr>
          <w:rFonts w:eastAsia="Calibri" w:cs="Times New Roman"/>
          <w:lang w:val="en-GB"/>
        </w:rPr>
      </w:pPr>
      <w:r w:rsidRPr="00310AA7">
        <w:rPr>
          <w:rFonts w:eastAsia="Calibri" w:cs="Times New Roman"/>
          <w:lang w:val="en-GB"/>
        </w:rPr>
        <w:lastRenderedPageBreak/>
        <w:t xml:space="preserve">In the following cases, the Commissioner examined the difficulties of those living under guardianship in the enforcement of their individual needs in everyday life. </w:t>
      </w:r>
    </w:p>
    <w:p w14:paraId="3F98986D" w14:textId="00C25A5E" w:rsidR="00940CF0" w:rsidRPr="00310AA7" w:rsidRDefault="00940CF0" w:rsidP="006C5F5C">
      <w:pPr>
        <w:rPr>
          <w:rFonts w:eastAsia="Times New Roman" w:cs="Times New Roman"/>
          <w:lang w:val="en-GB" w:eastAsia="hu-HU"/>
        </w:rPr>
      </w:pPr>
      <w:r w:rsidRPr="00310AA7">
        <w:rPr>
          <w:rFonts w:eastAsia="Times New Roman" w:cs="Times New Roman"/>
          <w:lang w:val="en-GB" w:eastAsia="hu-HU"/>
        </w:rPr>
        <w:t xml:space="preserve">In case </w:t>
      </w:r>
      <w:r w:rsidR="00D1530C">
        <w:rPr>
          <w:rFonts w:eastAsia="Times New Roman" w:cs="Times New Roman"/>
          <w:lang w:val="en-GB" w:eastAsia="hu-HU"/>
        </w:rPr>
        <w:t xml:space="preserve">No. </w:t>
      </w:r>
      <w:r w:rsidRPr="00D1530C">
        <w:rPr>
          <w:rFonts w:eastAsia="Times New Roman" w:cs="Times New Roman"/>
          <w:lang w:val="en-GB" w:eastAsia="hu-HU"/>
        </w:rPr>
        <w:t xml:space="preserve">AJB-2709/2016, </w:t>
      </w:r>
      <w:r w:rsidRPr="00045B46">
        <w:rPr>
          <w:rFonts w:eastAsia="Times New Roman" w:cs="Times New Roman"/>
          <w:lang w:val="en-GB" w:eastAsia="hu-HU"/>
        </w:rPr>
        <w:t xml:space="preserve">the Commissioner examined several complaints filed by persons under guardianship, in which all the complainants discussed the procedures conducted by the professional guardians. In these petitions </w:t>
      </w:r>
      <w:r w:rsidRPr="00D1530C">
        <w:rPr>
          <w:rFonts w:eastAsia="Times New Roman" w:cs="Times New Roman"/>
          <w:lang w:val="en-GB" w:eastAsia="hu-HU"/>
        </w:rPr>
        <w:t>the problems of persons under guardianship arose from the fact that in certain cases one professional guardian may have over one hundred dependents.</w:t>
      </w:r>
      <w:r w:rsidRPr="00310AA7">
        <w:rPr>
          <w:rFonts w:eastAsia="Times New Roman" w:cs="Times New Roman"/>
          <w:lang w:val="en-GB" w:eastAsia="hu-HU"/>
        </w:rPr>
        <w:t xml:space="preserve"> In his report the Commissioner intended to give an overview with a focus of the fundamental human rights of the persons under guardianship through examining the operation of the guardianship system and by taking the international standards into account.</w:t>
      </w:r>
      <w:r w:rsidR="001E1530" w:rsidRPr="00310AA7">
        <w:rPr>
          <w:rFonts w:eastAsia="Times New Roman" w:cs="Times New Roman"/>
          <w:lang w:val="en-GB" w:eastAsia="hu-HU"/>
        </w:rPr>
        <w:t xml:space="preserve"> The </w:t>
      </w:r>
      <w:r w:rsidR="00747EA0" w:rsidRPr="00310AA7">
        <w:rPr>
          <w:rFonts w:eastAsia="Times New Roman" w:cs="Times New Roman"/>
          <w:lang w:val="en-GB" w:eastAsia="hu-HU"/>
        </w:rPr>
        <w:t>government</w:t>
      </w:r>
      <w:r w:rsidR="001E1530" w:rsidRPr="00310AA7">
        <w:rPr>
          <w:rFonts w:eastAsia="Times New Roman" w:cs="Times New Roman"/>
          <w:lang w:val="en-GB" w:eastAsia="hu-HU"/>
        </w:rPr>
        <w:t xml:space="preserve"> gave constructive answers to the report, </w:t>
      </w:r>
      <w:r w:rsidR="003B0713" w:rsidRPr="00310AA7">
        <w:rPr>
          <w:rFonts w:eastAsia="Times New Roman" w:cs="Times New Roman"/>
          <w:lang w:val="en-GB" w:eastAsia="hu-HU"/>
        </w:rPr>
        <w:t xml:space="preserve">indicating that </w:t>
      </w:r>
      <w:r w:rsidR="001E1530" w:rsidRPr="00310AA7">
        <w:rPr>
          <w:rFonts w:eastAsia="Times New Roman" w:cs="Times New Roman"/>
          <w:lang w:val="en-GB" w:eastAsia="hu-HU"/>
        </w:rPr>
        <w:t>the modernization of the institution of guardianship is an ongoing process, and changes are expected to take place with the active cooperation of the courts.</w:t>
      </w:r>
      <w:r w:rsidR="003B0713" w:rsidRPr="00310AA7">
        <w:rPr>
          <w:rFonts w:eastAsia="Times New Roman" w:cs="Times New Roman"/>
          <w:lang w:val="en-GB" w:eastAsia="hu-HU"/>
        </w:rPr>
        <w:t xml:space="preserve"> </w:t>
      </w:r>
      <w:r w:rsidR="00CC3D48" w:rsidRPr="00310AA7">
        <w:rPr>
          <w:rFonts w:eastAsia="Times New Roman" w:cs="Times New Roman"/>
          <w:lang w:val="en-GB" w:eastAsia="hu-HU"/>
        </w:rPr>
        <w:t>A</w:t>
      </w:r>
      <w:r w:rsidRPr="00310AA7">
        <w:rPr>
          <w:rFonts w:eastAsia="Times New Roman" w:cs="Times New Roman"/>
          <w:lang w:val="en-GB" w:eastAsia="hu-HU"/>
        </w:rPr>
        <w:t xml:space="preserve">s regards personal conditions, the report mentions that according to offical data, as of March 31, 2015, there were 34,020 persons under plenary guardianship, while 26,572 were under partial guardianship. The excessive burden on the professional guardians, their low remuneration, the amount of which is sometimes different for each employee, consequently the low number of professional guardians, the high turnover rate in the profession, as well as the extraordinarily high number of persons under guardianship in the care of one professional guardian do not guarantee that the rights of the persons under guardianship are fully respected. </w:t>
      </w:r>
      <w:r w:rsidR="003B0713" w:rsidRPr="00310AA7">
        <w:rPr>
          <w:rFonts w:eastAsia="Times New Roman" w:cs="Times New Roman"/>
          <w:lang w:val="en-GB" w:eastAsia="hu-HU"/>
        </w:rPr>
        <w:t>The report stated that a</w:t>
      </w:r>
      <w:r w:rsidRPr="00310AA7">
        <w:rPr>
          <w:rFonts w:eastAsia="Times New Roman" w:cs="Times New Roman"/>
          <w:lang w:val="en-GB" w:eastAsia="hu-HU"/>
        </w:rPr>
        <w:t>ll these circumstances cause</w:t>
      </w:r>
      <w:r w:rsidR="003B0713" w:rsidRPr="00310AA7">
        <w:rPr>
          <w:rFonts w:eastAsia="Times New Roman" w:cs="Times New Roman"/>
          <w:lang w:val="en-GB" w:eastAsia="hu-HU"/>
        </w:rPr>
        <w:t>d</w:t>
      </w:r>
      <w:r w:rsidRPr="00310AA7">
        <w:rPr>
          <w:rFonts w:eastAsia="Times New Roman" w:cs="Times New Roman"/>
          <w:lang w:val="en-GB" w:eastAsia="hu-HU"/>
        </w:rPr>
        <w:t xml:space="preserve"> an impropriety with regard to the right to human dignity which every person is entitled to, the requirement of legal certainty and equal treatment, the state’s priority obligation to protect persons with disabilities, furthermore, this situation </w:t>
      </w:r>
      <w:r w:rsidR="003B0713" w:rsidRPr="00310AA7">
        <w:rPr>
          <w:rFonts w:eastAsia="Times New Roman" w:cs="Times New Roman"/>
          <w:lang w:val="en-GB" w:eastAsia="hu-HU"/>
        </w:rPr>
        <w:t>was</w:t>
      </w:r>
      <w:r w:rsidRPr="00310AA7">
        <w:rPr>
          <w:rFonts w:eastAsia="Times New Roman" w:cs="Times New Roman"/>
          <w:lang w:val="en-GB" w:eastAsia="hu-HU"/>
        </w:rPr>
        <w:t xml:space="preserve"> not compliant with the international obligations arising from Article 4 of the CRPD undertaken by Hungary.</w:t>
      </w:r>
    </w:p>
    <w:p w14:paraId="5C1C5A66" w14:textId="77777777" w:rsidR="00940CF0" w:rsidRPr="00310AA7" w:rsidRDefault="00940CF0" w:rsidP="006C5F5C">
      <w:pPr>
        <w:rPr>
          <w:rFonts w:eastAsia="Calibri" w:cs="Times New Roman"/>
          <w:lang w:val="en-GB"/>
        </w:rPr>
      </w:pPr>
      <w:r w:rsidRPr="00D1530C">
        <w:rPr>
          <w:rFonts w:eastAsia="Calibri" w:cs="Times New Roman"/>
          <w:lang w:val="en-GB"/>
        </w:rPr>
        <w:t>In case No.</w:t>
      </w:r>
      <w:r w:rsidRPr="00045B46">
        <w:rPr>
          <w:rFonts w:eastAsia="Calibri" w:cs="Times New Roman"/>
          <w:lang w:val="en-GB"/>
        </w:rPr>
        <w:t xml:space="preserve"> </w:t>
      </w:r>
      <w:r w:rsidRPr="00D1530C">
        <w:rPr>
          <w:rFonts w:eastAsia="Calibri" w:cs="Times New Roman"/>
          <w:lang w:val="en-GB"/>
        </w:rPr>
        <w:t>AJB-359/2017</w:t>
      </w:r>
      <w:r w:rsidRPr="00045B46">
        <w:rPr>
          <w:rFonts w:eastAsia="Calibri" w:cs="Times New Roman"/>
          <w:lang w:val="en-GB"/>
        </w:rPr>
        <w:t>,</w:t>
      </w:r>
      <w:r w:rsidRPr="00D1530C">
        <w:rPr>
          <w:rFonts w:eastAsia="Calibri" w:cs="Times New Roman"/>
          <w:lang w:val="en-GB"/>
        </w:rPr>
        <w:t xml:space="preserve"> </w:t>
      </w:r>
      <w:r w:rsidRPr="00310AA7">
        <w:rPr>
          <w:rFonts w:eastAsia="Calibri" w:cs="Times New Roman"/>
          <w:lang w:val="en-GB"/>
        </w:rPr>
        <w:t>in the Commissioner’s view, the police’s action against a person under guardianship invoking fully limited legal competency in the absence of the given person’s guardian gave cause for concern. The ministries concerned agreed that there was a need for amending the relevant legal regulation: in the interest of the person under guardianship, the guardian should be present in the course of all procedural actions.</w:t>
      </w:r>
    </w:p>
    <w:p w14:paraId="09337AD7" w14:textId="4033E242" w:rsidR="003B0713" w:rsidRPr="00D1530C" w:rsidRDefault="003B0713" w:rsidP="006C5F5C">
      <w:pPr>
        <w:rPr>
          <w:rFonts w:eastAsia="Calibri" w:cs="Times New Roman"/>
          <w:b/>
          <w:lang w:val="en-GB"/>
        </w:rPr>
      </w:pPr>
      <w:r w:rsidRPr="00310AA7">
        <w:rPr>
          <w:rFonts w:eastAsia="Calibri" w:cs="Times New Roman"/>
          <w:b/>
          <w:u w:val="single"/>
          <w:lang w:val="en-GB"/>
        </w:rPr>
        <w:t>Recommendations regarding legal capacity:</w:t>
      </w:r>
      <w:r w:rsidRPr="00310AA7">
        <w:rPr>
          <w:rFonts w:eastAsia="Calibri" w:cs="Times New Roman"/>
          <w:lang w:val="en-GB"/>
        </w:rPr>
        <w:t xml:space="preserve"> </w:t>
      </w:r>
      <w:r w:rsidRPr="00D1530C">
        <w:rPr>
          <w:rFonts w:eastAsia="Calibri" w:cs="Times New Roman"/>
          <w:b/>
          <w:lang w:val="en-GB"/>
        </w:rPr>
        <w:t>a further shift towards supported decision-making from g</w:t>
      </w:r>
      <w:r w:rsidR="00AD64FE" w:rsidRPr="00D1530C">
        <w:rPr>
          <w:rFonts w:eastAsia="Calibri" w:cs="Times New Roman"/>
          <w:b/>
          <w:lang w:val="en-GB"/>
        </w:rPr>
        <w:t>uardianship would be desirable, the Commissioner urges</w:t>
      </w:r>
      <w:r w:rsidR="00AD64FE" w:rsidRPr="00D1530C">
        <w:rPr>
          <w:rFonts w:eastAsia="Calibri" w:cs="Times New Roman"/>
          <w:b/>
          <w:i/>
          <w:lang w:val="en-GB"/>
        </w:rPr>
        <w:t xml:space="preserve"> inter alia </w:t>
      </w:r>
      <w:r w:rsidR="00AD64FE" w:rsidRPr="00D1530C">
        <w:rPr>
          <w:rFonts w:eastAsia="Calibri" w:cs="Times New Roman"/>
          <w:b/>
          <w:lang w:val="en-GB"/>
        </w:rPr>
        <w:t>that supported decision-making be reinforced and strengthened. The Commissioner further recommends the consideration of a legal provision prescribing the primacy of supported decision-making over gua</w:t>
      </w:r>
      <w:r w:rsidR="00691FA8" w:rsidRPr="00D1530C">
        <w:rPr>
          <w:rFonts w:eastAsia="Calibri" w:cs="Times New Roman"/>
          <w:b/>
          <w:lang w:val="en-GB"/>
        </w:rPr>
        <w:t>rdianship measures</w:t>
      </w:r>
      <w:r w:rsidR="00AD64FE" w:rsidRPr="00D1530C">
        <w:rPr>
          <w:rFonts w:eastAsia="Calibri" w:cs="Times New Roman"/>
          <w:b/>
          <w:lang w:val="en-GB"/>
        </w:rPr>
        <w:t>.</w:t>
      </w:r>
    </w:p>
    <w:p w14:paraId="522EFB93" w14:textId="77777777" w:rsidR="00DC5C11" w:rsidRPr="00310AA7" w:rsidRDefault="00DC5C11" w:rsidP="006C5F5C">
      <w:pPr>
        <w:rPr>
          <w:rFonts w:eastAsia="Calibri" w:cs="Times New Roman"/>
          <w:lang w:val="en-GB"/>
        </w:rPr>
      </w:pPr>
    </w:p>
    <w:p w14:paraId="083C7DFA" w14:textId="77777777" w:rsidR="00940CF0" w:rsidRPr="00310AA7" w:rsidRDefault="00940CF0" w:rsidP="00FC18B3">
      <w:pPr>
        <w:pStyle w:val="Cmsor2"/>
        <w:numPr>
          <w:ilvl w:val="0"/>
          <w:numId w:val="5"/>
        </w:numPr>
        <w:rPr>
          <w:lang w:val="en-GB"/>
        </w:rPr>
      </w:pPr>
      <w:bookmarkStart w:id="7" w:name="_Toc31958373"/>
      <w:r w:rsidRPr="00310AA7">
        <w:rPr>
          <w:lang w:val="en-GB"/>
        </w:rPr>
        <w:lastRenderedPageBreak/>
        <w:t>Reasonable accommodation</w:t>
      </w:r>
      <w:bookmarkEnd w:id="7"/>
    </w:p>
    <w:p w14:paraId="4F88B0F9" w14:textId="77777777" w:rsidR="00940CF0" w:rsidRPr="00310AA7" w:rsidRDefault="00940CF0" w:rsidP="00940CF0">
      <w:pPr>
        <w:pStyle w:val="NormlWeb"/>
        <w:rPr>
          <w:rFonts w:ascii="Garamond" w:hAnsi="Garamond"/>
          <w:color w:val="000000"/>
          <w:lang w:val="en-GB"/>
        </w:rPr>
      </w:pPr>
      <w:r w:rsidRPr="00310AA7">
        <w:rPr>
          <w:rFonts w:ascii="Garamond" w:hAnsi="Garamond"/>
          <w:color w:val="000000"/>
          <w:lang w:val="en-GB"/>
        </w:rPr>
        <w:t xml:space="preserve">The CRPD identified a novel form of discrimination by instituting the obligation of reasonable accommodation. Article 2 of the CRPD defines that reasonable accommodation </w:t>
      </w:r>
      <w:r w:rsidRPr="00310AA7">
        <w:rPr>
          <w:rFonts w:ascii="Garamond" w:hAnsi="Garamond"/>
          <w:i/>
          <w:color w:val="000000"/>
          <w:lang w:val="en-GB"/>
        </w:rPr>
        <w:t>“</w:t>
      </w:r>
      <w:r w:rsidRPr="00310AA7">
        <w:rPr>
          <w:rFonts w:ascii="Garamond" w:hAnsi="Garamond"/>
          <w:i/>
          <w:lang w:val="en-GB"/>
        </w:rPr>
        <w:t>means necessary and appropriate modification and adjustments not imposing a disproportionate or undue burden, where needed in a particular case, to ensure to persons with disabilities the enjoyment or exercise on an equal basis with others of all human rights and fundamental freedoms</w:t>
      </w:r>
      <w:r w:rsidRPr="00310AA7">
        <w:rPr>
          <w:rFonts w:ascii="Garamond" w:hAnsi="Garamond"/>
          <w:i/>
          <w:color w:val="000000"/>
          <w:lang w:val="en-GB"/>
        </w:rPr>
        <w:t>.”</w:t>
      </w:r>
      <w:r w:rsidRPr="00310AA7">
        <w:rPr>
          <w:rFonts w:ascii="Garamond" w:hAnsi="Garamond"/>
          <w:color w:val="000000"/>
          <w:lang w:val="en-GB"/>
        </w:rPr>
        <w:t xml:space="preserve"> Reasonable accommodation is a horizontal obligation for the State Parties, meaning that it has to be </w:t>
      </w:r>
      <w:r w:rsidR="003B0713" w:rsidRPr="00310AA7">
        <w:rPr>
          <w:rFonts w:ascii="Garamond" w:hAnsi="Garamond"/>
          <w:color w:val="000000"/>
          <w:lang w:val="en-GB"/>
        </w:rPr>
        <w:t xml:space="preserve">respected </w:t>
      </w:r>
      <w:r w:rsidR="00732BEF" w:rsidRPr="00310AA7">
        <w:rPr>
          <w:rFonts w:ascii="Garamond" w:hAnsi="Garamond"/>
          <w:color w:val="000000"/>
          <w:lang w:val="en-GB"/>
        </w:rPr>
        <w:t>under</w:t>
      </w:r>
      <w:r w:rsidRPr="00310AA7">
        <w:rPr>
          <w:rFonts w:ascii="Garamond" w:hAnsi="Garamond"/>
          <w:color w:val="000000"/>
          <w:lang w:val="en-GB"/>
        </w:rPr>
        <w:t xml:space="preserve"> all circumstances.</w:t>
      </w:r>
    </w:p>
    <w:p w14:paraId="1BD25BA5" w14:textId="42248626" w:rsidR="00940CF0" w:rsidRPr="00310AA7" w:rsidRDefault="00940CF0" w:rsidP="0096710D">
      <w:pPr>
        <w:pStyle w:val="NormlWeb"/>
        <w:rPr>
          <w:rFonts w:ascii="Garamond" w:hAnsi="Garamond"/>
          <w:lang w:val="en-GB" w:eastAsia="hu-HU"/>
        </w:rPr>
      </w:pPr>
      <w:r w:rsidRPr="00310AA7">
        <w:rPr>
          <w:rFonts w:ascii="Garamond" w:hAnsi="Garamond"/>
          <w:color w:val="000000"/>
          <w:lang w:val="en-GB"/>
        </w:rPr>
        <w:t>The Commissioner shares the CRPD Committee’s vision that lack of reasonable accommodation shall be regulated as a specific form of discrimination in all areas of life. This is of paramount importance regarding Article 19 and the currently ongoing de-institutionalisation process. Article 24 specifies education as a key area of reasonable accommodation, focusing on the financial aspects of the obligation and emphasising inclusion.</w:t>
      </w:r>
      <w:r w:rsidR="0096710D" w:rsidRPr="00310AA7">
        <w:rPr>
          <w:rFonts w:ascii="Garamond" w:hAnsi="Garamond"/>
          <w:color w:val="000000"/>
          <w:lang w:val="en-GB"/>
        </w:rPr>
        <w:t xml:space="preserve"> </w:t>
      </w:r>
    </w:p>
    <w:p w14:paraId="12135156" w14:textId="3DC5DBC1" w:rsidR="00940CF0" w:rsidRPr="00045B46" w:rsidRDefault="009D1628" w:rsidP="00940CF0">
      <w:pPr>
        <w:rPr>
          <w:rFonts w:ascii="Garamond" w:hAnsi="Garamond"/>
          <w:szCs w:val="24"/>
          <w:lang w:val="en-GB" w:eastAsia="hu-HU"/>
        </w:rPr>
      </w:pPr>
      <w:r w:rsidRPr="00310AA7">
        <w:rPr>
          <w:rFonts w:ascii="Garamond" w:hAnsi="Garamond"/>
          <w:color w:val="000000"/>
          <w:szCs w:val="24"/>
          <w:lang w:val="en-GB"/>
        </w:rPr>
        <w:t xml:space="preserve">The reports of the Commissioner often concluded that persons with disabilities, elderly persons or patients face restrictions and obstacles when exercising their fundamental rights. Social inclusion and acceptance significantly shape their participation in society as a whole. </w:t>
      </w:r>
      <w:r w:rsidR="00940CF0" w:rsidRPr="00D1530C">
        <w:rPr>
          <w:rFonts w:ascii="Garamond" w:hAnsi="Garamond"/>
          <w:color w:val="000000"/>
          <w:szCs w:val="24"/>
          <w:lang w:val="en-GB"/>
        </w:rPr>
        <w:t>The Commissioner welcomes the recent developments in the field of reasonable accommodation</w:t>
      </w:r>
      <w:r w:rsidR="00940CF0" w:rsidRPr="00045B46">
        <w:rPr>
          <w:rFonts w:ascii="Garamond" w:hAnsi="Garamond"/>
          <w:color w:val="000000"/>
          <w:szCs w:val="24"/>
          <w:lang w:val="en-GB"/>
        </w:rPr>
        <w:t>. Significant steps have been taken to concretise and define reasonable accommodation as well as to identify failure of reasonable accommodation as a special type of discrimination. Legislative proposals have been developed by the Equal Treatment Authority and the National Federation of Disabled Persons’ Associations (MEOSZ). The CRPD Committe called for Hungary to implement into law that the failure of reasonable accommodation is a form of discrimination.</w:t>
      </w:r>
    </w:p>
    <w:p w14:paraId="24D762B0" w14:textId="642CC2B1" w:rsidR="00940CF0" w:rsidRPr="00D1530C" w:rsidRDefault="00940CF0" w:rsidP="00940CF0">
      <w:pPr>
        <w:rPr>
          <w:rFonts w:ascii="Garamond" w:hAnsi="Garamond"/>
          <w:color w:val="000000"/>
          <w:szCs w:val="24"/>
          <w:lang w:val="en-GB"/>
        </w:rPr>
      </w:pPr>
      <w:r w:rsidRPr="00D1530C">
        <w:rPr>
          <w:rFonts w:ascii="Garamond" w:hAnsi="Garamond"/>
          <w:color w:val="000000"/>
          <w:szCs w:val="24"/>
          <w:lang w:val="en-GB"/>
        </w:rPr>
        <w:t xml:space="preserve">The Commissioner warmly welcomes that the government made assurances that reasonable accommodation will be introduced into Act CXXV of 2003 on Equal Treatment and the Promotion of Equal Opportunities, implementing the CRPD definition of reasonable accommodation and failure to do so as a </w:t>
      </w:r>
      <w:r w:rsidRPr="00D1530C">
        <w:rPr>
          <w:rFonts w:ascii="Garamond" w:hAnsi="Garamond"/>
          <w:i/>
          <w:color w:val="000000"/>
          <w:szCs w:val="24"/>
          <w:lang w:val="en-GB"/>
        </w:rPr>
        <w:t>sui generis</w:t>
      </w:r>
      <w:r w:rsidRPr="00D1530C">
        <w:rPr>
          <w:rFonts w:ascii="Garamond" w:hAnsi="Garamond"/>
          <w:color w:val="000000"/>
          <w:szCs w:val="24"/>
          <w:lang w:val="en-GB"/>
        </w:rPr>
        <w:t xml:space="preserve"> violation of equal treatment (discrimination).</w:t>
      </w:r>
    </w:p>
    <w:p w14:paraId="55AD3520" w14:textId="0AFA76CA" w:rsidR="003B0713" w:rsidRPr="00D1530C" w:rsidRDefault="003B0713" w:rsidP="00940CF0">
      <w:pPr>
        <w:rPr>
          <w:rFonts w:ascii="Garamond" w:hAnsi="Garamond"/>
          <w:b/>
          <w:szCs w:val="24"/>
          <w:lang w:val="en-GB"/>
        </w:rPr>
      </w:pPr>
      <w:r w:rsidRPr="00310AA7">
        <w:rPr>
          <w:rFonts w:ascii="Garamond" w:hAnsi="Garamond"/>
          <w:b/>
          <w:szCs w:val="24"/>
          <w:u w:val="single"/>
          <w:lang w:val="en-GB"/>
        </w:rPr>
        <w:t>Recommendations regarding reasonable accommodation</w:t>
      </w:r>
      <w:r w:rsidRPr="00310AA7">
        <w:rPr>
          <w:rFonts w:ascii="Garamond" w:hAnsi="Garamond"/>
          <w:szCs w:val="24"/>
          <w:lang w:val="en-GB"/>
        </w:rPr>
        <w:t xml:space="preserve">: </w:t>
      </w:r>
      <w:r w:rsidR="00691FA8" w:rsidRPr="00D1530C">
        <w:rPr>
          <w:rFonts w:ascii="Garamond" w:hAnsi="Garamond"/>
          <w:b/>
          <w:szCs w:val="24"/>
          <w:lang w:val="en-GB"/>
        </w:rPr>
        <w:t>ensure the timely implementation of the definition of reasonable accommodation into Hungarian law.</w:t>
      </w:r>
    </w:p>
    <w:p w14:paraId="098687F2" w14:textId="77777777" w:rsidR="00EA6C0C" w:rsidRPr="00310AA7" w:rsidRDefault="00EA6C0C" w:rsidP="00940CF0">
      <w:pPr>
        <w:rPr>
          <w:rFonts w:ascii="Garamond" w:hAnsi="Garamond"/>
          <w:szCs w:val="24"/>
          <w:lang w:val="en-GB"/>
        </w:rPr>
      </w:pPr>
    </w:p>
    <w:p w14:paraId="36179312" w14:textId="77777777" w:rsidR="006C5F5C" w:rsidRPr="00310AA7" w:rsidRDefault="006C5F5C" w:rsidP="00940CF0">
      <w:pPr>
        <w:rPr>
          <w:rFonts w:ascii="Garamond" w:hAnsi="Garamond"/>
          <w:szCs w:val="24"/>
          <w:lang w:val="en-GB"/>
        </w:rPr>
      </w:pPr>
    </w:p>
    <w:p w14:paraId="320A2567" w14:textId="4697FFA2" w:rsidR="00EA6C0C" w:rsidRPr="00310AA7" w:rsidRDefault="00EA6C0C" w:rsidP="006C5F5C">
      <w:pPr>
        <w:pStyle w:val="Cmsor1"/>
        <w:numPr>
          <w:ilvl w:val="0"/>
          <w:numId w:val="4"/>
        </w:numPr>
        <w:rPr>
          <w:lang w:val="en-GB" w:eastAsia="hu-HU"/>
        </w:rPr>
      </w:pPr>
      <w:bookmarkStart w:id="8" w:name="_Toc31958374"/>
      <w:r w:rsidRPr="00310AA7">
        <w:rPr>
          <w:lang w:val="en-GB" w:eastAsia="hu-HU"/>
        </w:rPr>
        <w:lastRenderedPageBreak/>
        <w:t xml:space="preserve">Recent </w:t>
      </w:r>
      <w:r w:rsidR="000F56FD" w:rsidRPr="00310AA7">
        <w:rPr>
          <w:lang w:val="en-GB" w:eastAsia="hu-HU"/>
        </w:rPr>
        <w:t>issues examined by the Commissioner</w:t>
      </w:r>
      <w:bookmarkEnd w:id="8"/>
    </w:p>
    <w:p w14:paraId="04DDDCCE" w14:textId="77777777" w:rsidR="00EA6C0C" w:rsidRPr="00310AA7" w:rsidRDefault="00EA6C0C" w:rsidP="00EA6C0C">
      <w:pPr>
        <w:rPr>
          <w:rFonts w:ascii="Garamond" w:hAnsi="Garamond"/>
          <w:szCs w:val="24"/>
          <w:lang w:val="en-GB" w:eastAsia="hu-HU"/>
        </w:rPr>
      </w:pPr>
      <w:r w:rsidRPr="00310AA7">
        <w:rPr>
          <w:rFonts w:ascii="Garamond" w:hAnsi="Garamond"/>
          <w:color w:val="000000"/>
          <w:szCs w:val="24"/>
          <w:lang w:val="en-GB"/>
        </w:rPr>
        <w:t>One of the most pressing issues recently</w:t>
      </w:r>
      <w:r w:rsidRPr="00310AA7">
        <w:rPr>
          <w:rFonts w:ascii="Garamond" w:hAnsi="Garamond"/>
          <w:b/>
          <w:color w:val="000000"/>
          <w:szCs w:val="24"/>
          <w:lang w:val="en-GB"/>
        </w:rPr>
        <w:t xml:space="preserve"> </w:t>
      </w:r>
      <w:r w:rsidRPr="00310AA7">
        <w:rPr>
          <w:rFonts w:ascii="Garamond" w:hAnsi="Garamond"/>
          <w:color w:val="000000"/>
          <w:szCs w:val="24"/>
          <w:lang w:val="en-GB"/>
        </w:rPr>
        <w:t xml:space="preserve">have been physical disabilities, namely electric moped vehicles and the discussion on their use and availability challenging mechanics as well as the social sector and the system of human rights protection. </w:t>
      </w:r>
    </w:p>
    <w:p w14:paraId="3402AB8E" w14:textId="49828212" w:rsidR="00EA6C0C" w:rsidRPr="00045B46" w:rsidRDefault="00EA6C0C" w:rsidP="00EA6C0C">
      <w:pPr>
        <w:rPr>
          <w:rFonts w:ascii="Garamond" w:hAnsi="Garamond"/>
          <w:bCs/>
          <w:szCs w:val="24"/>
          <w:lang w:val="en-GB" w:eastAsia="hu-HU"/>
        </w:rPr>
      </w:pPr>
      <w:r w:rsidRPr="00310AA7">
        <w:rPr>
          <w:rFonts w:ascii="Garamond" w:hAnsi="Garamond"/>
          <w:color w:val="000000"/>
          <w:szCs w:val="24"/>
          <w:lang w:val="en-GB"/>
        </w:rPr>
        <w:t xml:space="preserve">A further point of interest has recently been the </w:t>
      </w:r>
      <w:r w:rsidRPr="00D1530C">
        <w:rPr>
          <w:rFonts w:ascii="Garamond" w:hAnsi="Garamond"/>
          <w:color w:val="000000"/>
          <w:szCs w:val="24"/>
          <w:lang w:val="en-GB"/>
        </w:rPr>
        <w:t>situation of blind and visually impaired persons: the use of service dogs and independent living seemed to be jeopardised due to a general lack of information and reasonable accommodation</w:t>
      </w:r>
      <w:r w:rsidRPr="00045B46">
        <w:rPr>
          <w:rFonts w:ascii="Garamond" w:hAnsi="Garamond"/>
          <w:color w:val="000000"/>
          <w:szCs w:val="24"/>
          <w:lang w:val="en-GB"/>
        </w:rPr>
        <w:t xml:space="preserve">. </w:t>
      </w:r>
      <w:r w:rsidRPr="00D1530C">
        <w:rPr>
          <w:rFonts w:ascii="Garamond" w:hAnsi="Garamond"/>
          <w:color w:val="000000"/>
          <w:szCs w:val="24"/>
          <w:lang w:val="en-GB"/>
        </w:rPr>
        <w:t>Children with disabilities still constitute a unique group of problems, especially the situation of children with autism spectrum disorder. Persons with psycho-social disabilities have also been facing special difficulties and challenges according to complaints submitted to the Commissioner</w:t>
      </w:r>
      <w:r w:rsidRPr="00045B46">
        <w:rPr>
          <w:rFonts w:ascii="Garamond" w:hAnsi="Garamond"/>
          <w:color w:val="000000"/>
          <w:szCs w:val="24"/>
          <w:lang w:val="en-GB"/>
        </w:rPr>
        <w:t>.</w:t>
      </w:r>
    </w:p>
    <w:p w14:paraId="657C27EC" w14:textId="77777777" w:rsidR="00EA6C0C" w:rsidRPr="00310AA7" w:rsidRDefault="00EA6C0C" w:rsidP="00EA6C0C">
      <w:pPr>
        <w:rPr>
          <w:rFonts w:ascii="Garamond" w:hAnsi="Garamond"/>
          <w:bCs/>
          <w:szCs w:val="24"/>
          <w:lang w:val="en-GB" w:eastAsia="hu-HU"/>
        </w:rPr>
      </w:pPr>
    </w:p>
    <w:p w14:paraId="48BA66E4" w14:textId="77777777" w:rsidR="00EA6C0C" w:rsidRPr="00310AA7" w:rsidRDefault="00EA6C0C" w:rsidP="00940CF0">
      <w:pPr>
        <w:rPr>
          <w:rFonts w:ascii="Garamond" w:hAnsi="Garamond"/>
          <w:szCs w:val="24"/>
          <w:lang w:val="en-GB"/>
        </w:rPr>
      </w:pPr>
    </w:p>
    <w:p w14:paraId="3207CAFC" w14:textId="77777777" w:rsidR="006C5F5C" w:rsidRPr="00310AA7" w:rsidRDefault="006C5F5C">
      <w:pPr>
        <w:spacing w:before="0" w:after="160" w:line="259" w:lineRule="auto"/>
        <w:jc w:val="left"/>
        <w:rPr>
          <w:rFonts w:asciiTheme="majorHAnsi" w:eastAsiaTheme="majorEastAsia" w:hAnsiTheme="majorHAnsi" w:cstheme="majorBidi"/>
          <w:spacing w:val="-10"/>
          <w:kern w:val="28"/>
          <w:sz w:val="56"/>
          <w:szCs w:val="56"/>
          <w:lang w:val="en-GB"/>
        </w:rPr>
      </w:pPr>
      <w:r w:rsidRPr="00310AA7">
        <w:rPr>
          <w:lang w:val="en-GB"/>
        </w:rPr>
        <w:br w:type="page"/>
      </w:r>
    </w:p>
    <w:p w14:paraId="6705881B" w14:textId="2A1E1940" w:rsidR="00940CF0" w:rsidRPr="00310AA7" w:rsidRDefault="00940CF0" w:rsidP="00290E90">
      <w:pPr>
        <w:pStyle w:val="Cmsor1"/>
        <w:rPr>
          <w:lang w:val="en-GB"/>
        </w:rPr>
      </w:pPr>
      <w:bookmarkStart w:id="9" w:name="_Toc31958375"/>
      <w:r w:rsidRPr="00310AA7">
        <w:rPr>
          <w:lang w:val="en-GB"/>
        </w:rPr>
        <w:lastRenderedPageBreak/>
        <w:t>Appendix 1.</w:t>
      </w:r>
      <w:r w:rsidR="00290E90" w:rsidRPr="00310AA7">
        <w:rPr>
          <w:lang w:val="en-GB"/>
        </w:rPr>
        <w:t xml:space="preserve"> </w:t>
      </w:r>
      <w:r w:rsidRPr="00310AA7">
        <w:rPr>
          <w:lang w:val="en-GB"/>
        </w:rPr>
        <w:t>Relevant reports</w:t>
      </w:r>
      <w:r w:rsidR="002A1D68">
        <w:rPr>
          <w:rStyle w:val="Lbjegyzet-hivatkozs"/>
          <w:lang w:val="en-GB"/>
        </w:rPr>
        <w:footnoteReference w:id="10"/>
      </w:r>
      <w:r w:rsidRPr="00310AA7">
        <w:rPr>
          <w:lang w:val="en-GB"/>
        </w:rPr>
        <w:t xml:space="preserve"> of the Commissioner</w:t>
      </w:r>
      <w:r w:rsidR="006A50C7" w:rsidRPr="00310AA7">
        <w:rPr>
          <w:rStyle w:val="Lbjegyzet-hivatkozs"/>
          <w:lang w:val="en-GB"/>
        </w:rPr>
        <w:footnoteReference w:id="11"/>
      </w:r>
      <w:bookmarkEnd w:id="9"/>
    </w:p>
    <w:p w14:paraId="5A436147" w14:textId="77777777" w:rsidR="00940CF0" w:rsidRPr="00310AA7" w:rsidRDefault="00940CF0" w:rsidP="00940CF0">
      <w:pPr>
        <w:rPr>
          <w:rFonts w:ascii="Garamond" w:hAnsi="Garamond"/>
          <w:b/>
          <w:szCs w:val="24"/>
          <w:u w:val="single"/>
          <w:lang w:val="en-GB"/>
        </w:rPr>
      </w:pPr>
    </w:p>
    <w:p w14:paraId="65F7C917" w14:textId="6CB19309" w:rsidR="00940CF0" w:rsidRPr="00310AA7" w:rsidRDefault="00310AA7" w:rsidP="00940CF0">
      <w:pPr>
        <w:rPr>
          <w:rFonts w:ascii="Garamond" w:hAnsi="Garamond"/>
          <w:b/>
          <w:szCs w:val="24"/>
          <w:lang w:val="en-GB"/>
        </w:rPr>
      </w:pPr>
      <w:r w:rsidRPr="00310AA7">
        <w:rPr>
          <w:rFonts w:ascii="Garamond" w:hAnsi="Garamond"/>
          <w:b/>
          <w:bCs/>
          <w:szCs w:val="24"/>
          <w:u w:val="single"/>
          <w:lang w:val="en-GB"/>
        </w:rPr>
        <w:t xml:space="preserve">Article 5 of the CRPD – Equality and non-discrimination </w:t>
      </w:r>
      <w:r w:rsidR="00940CF0" w:rsidRPr="00310AA7">
        <w:rPr>
          <w:rFonts w:ascii="Garamond" w:hAnsi="Garamond"/>
          <w:b/>
          <w:szCs w:val="24"/>
          <w:u w:val="single"/>
          <w:lang w:val="en-GB"/>
        </w:rPr>
        <w:t xml:space="preserve"> </w:t>
      </w:r>
    </w:p>
    <w:p w14:paraId="41BA1199" w14:textId="616BDA8A" w:rsidR="006A50C7" w:rsidRPr="00310AA7" w:rsidRDefault="00D1530C" w:rsidP="006A50C7">
      <w:pPr>
        <w:rPr>
          <w:lang w:val="en-GB"/>
        </w:rPr>
      </w:pPr>
      <w:r w:rsidRPr="00D1530C">
        <w:rPr>
          <w:b/>
          <w:bCs/>
          <w:lang w:val="en-GB"/>
        </w:rPr>
        <w:t xml:space="preserve">Case No. </w:t>
      </w:r>
      <w:r w:rsidR="006A50C7" w:rsidRPr="00310AA7">
        <w:rPr>
          <w:b/>
          <w:bCs/>
          <w:lang w:val="en-GB"/>
        </w:rPr>
        <w:t xml:space="preserve">AJB-1152/2012 </w:t>
      </w:r>
      <w:r w:rsidR="006A50C7" w:rsidRPr="00310AA7">
        <w:rPr>
          <w:lang w:val="en-GB"/>
        </w:rPr>
        <w:t xml:space="preserve">Inquiries were conducted into the issue of disability allowance, and the failure to award disability allowance, but the investigation’s focus quickly shifted towards the definition of disability. The Ombudsman had already pointed out in his earlier reports that the </w:t>
      </w:r>
      <w:r w:rsidR="006A50C7" w:rsidRPr="00310AA7">
        <w:rPr>
          <w:i/>
          <w:iCs/>
          <w:lang w:val="en-GB"/>
        </w:rPr>
        <w:t xml:space="preserve">lack of a uniform definition as regards persons with disabilities </w:t>
      </w:r>
      <w:r w:rsidR="006A50C7" w:rsidRPr="00310AA7">
        <w:rPr>
          <w:lang w:val="en-GB"/>
        </w:rPr>
        <w:t>constituted a problem, and that various concepts had their roots in the diversity of legal and professional fields. In order to promote social inclusion, it is of prime importance that the definition should reflect the emerging needs and changes, and that, to this end, the legislator should create the conditions for the adequate professional conduct of the revision. According to the competent Minister’s response to the report, preceding amendments of the Act on the rights of persons with disabilities, namely the use of a new definition, had been aimed at ensuring compliance with the CRPD’s concept of persons with disabilities.</w:t>
      </w:r>
    </w:p>
    <w:p w14:paraId="45E0E80C" w14:textId="6422805C" w:rsidR="00940CF0" w:rsidRPr="00310AA7" w:rsidRDefault="00D1530C" w:rsidP="00940CF0">
      <w:pPr>
        <w:rPr>
          <w:rFonts w:ascii="Garamond" w:hAnsi="Garamond"/>
          <w:szCs w:val="24"/>
          <w:lang w:val="en-GB"/>
        </w:rPr>
      </w:pPr>
      <w:r w:rsidRPr="00D1530C">
        <w:rPr>
          <w:rFonts w:ascii="Garamond" w:hAnsi="Garamond"/>
          <w:b/>
          <w:bCs/>
          <w:szCs w:val="24"/>
          <w:lang w:val="en-GB"/>
        </w:rPr>
        <w:t xml:space="preserve">Case No. </w:t>
      </w:r>
      <w:r w:rsidR="006A50C7" w:rsidRPr="00310AA7">
        <w:rPr>
          <w:rFonts w:ascii="Garamond" w:hAnsi="Garamond"/>
          <w:b/>
          <w:bCs/>
          <w:szCs w:val="24"/>
          <w:lang w:val="en-GB"/>
        </w:rPr>
        <w:t xml:space="preserve">AJB-3639/2016 </w:t>
      </w:r>
      <w:r w:rsidR="006A50C7" w:rsidRPr="00310AA7">
        <w:rPr>
          <w:rFonts w:ascii="Garamond" w:hAnsi="Garamond"/>
          <w:szCs w:val="24"/>
          <w:lang w:val="en-GB"/>
        </w:rPr>
        <w:t>The relevant legal regulation does not entitle persons with speech-impairment and aphasia to disability allowance; therefore, it violates the prohibition of discrimination and the rights of the affected persons to human dignity.</w:t>
      </w:r>
    </w:p>
    <w:p w14:paraId="1E83F9B5" w14:textId="44F72AA7" w:rsidR="00940CF0" w:rsidRPr="00310AA7" w:rsidRDefault="00D1530C" w:rsidP="00940CF0">
      <w:pPr>
        <w:rPr>
          <w:rFonts w:ascii="Garamond" w:hAnsi="Garamond"/>
          <w:szCs w:val="24"/>
          <w:lang w:val="en-GB"/>
        </w:rPr>
      </w:pPr>
      <w:r w:rsidRPr="00D1530C">
        <w:rPr>
          <w:rFonts w:ascii="Garamond" w:hAnsi="Garamond"/>
          <w:b/>
          <w:bCs/>
          <w:szCs w:val="24"/>
          <w:lang w:val="en-GB"/>
        </w:rPr>
        <w:t xml:space="preserve">Case No. </w:t>
      </w:r>
      <w:r w:rsidR="00310AA7" w:rsidRPr="00310AA7">
        <w:rPr>
          <w:rFonts w:ascii="Garamond" w:hAnsi="Garamond"/>
          <w:b/>
          <w:bCs/>
          <w:szCs w:val="24"/>
          <w:lang w:val="en-GB"/>
        </w:rPr>
        <w:t xml:space="preserve">AJB-735/2017 </w:t>
      </w:r>
      <w:r w:rsidR="00310AA7" w:rsidRPr="00310AA7">
        <w:rPr>
          <w:rFonts w:ascii="Garamond" w:hAnsi="Garamond"/>
          <w:szCs w:val="24"/>
          <w:lang w:val="en-GB"/>
        </w:rPr>
        <w:t>The relevant legal regulation does not set forth the legal status and eligibilities of the handler (owner) using an assistance dog in order to assist and support a person with disability.</w:t>
      </w:r>
    </w:p>
    <w:p w14:paraId="10ED8798" w14:textId="77777777" w:rsidR="00940CF0" w:rsidRPr="00310AA7" w:rsidRDefault="00940CF0" w:rsidP="00940CF0">
      <w:pPr>
        <w:rPr>
          <w:rFonts w:ascii="Garamond" w:hAnsi="Garamond"/>
          <w:b/>
          <w:szCs w:val="24"/>
          <w:lang w:val="en-GB"/>
        </w:rPr>
      </w:pPr>
    </w:p>
    <w:p w14:paraId="0377991B" w14:textId="4358A153" w:rsidR="00940CF0" w:rsidRPr="00310AA7" w:rsidRDefault="00310AA7" w:rsidP="00940CF0">
      <w:pPr>
        <w:rPr>
          <w:rFonts w:ascii="Garamond" w:hAnsi="Garamond"/>
          <w:b/>
          <w:szCs w:val="24"/>
          <w:u w:val="single"/>
          <w:lang w:val="en-GB"/>
        </w:rPr>
      </w:pPr>
      <w:r w:rsidRPr="00310AA7">
        <w:rPr>
          <w:rFonts w:ascii="Garamond" w:hAnsi="Garamond"/>
          <w:b/>
          <w:bCs/>
          <w:szCs w:val="24"/>
          <w:u w:val="single"/>
          <w:lang w:val="en-GB"/>
        </w:rPr>
        <w:t>Article 12 of the CRPD – Equal recognition before the law</w:t>
      </w:r>
    </w:p>
    <w:p w14:paraId="1E394DD8" w14:textId="0665BA0B" w:rsidR="00940CF0" w:rsidRPr="00310AA7" w:rsidRDefault="00D1530C" w:rsidP="00310AA7">
      <w:pPr>
        <w:rPr>
          <w:lang w:val="en-GB"/>
        </w:rPr>
      </w:pPr>
      <w:r w:rsidRPr="00D1530C">
        <w:rPr>
          <w:b/>
          <w:bCs/>
          <w:lang w:val="en-GB"/>
        </w:rPr>
        <w:t xml:space="preserve">Case No. </w:t>
      </w:r>
      <w:r w:rsidR="00310AA7" w:rsidRPr="00310AA7">
        <w:rPr>
          <w:b/>
          <w:bCs/>
          <w:lang w:val="en-GB"/>
        </w:rPr>
        <w:t xml:space="preserve">AJB-2580/2013 </w:t>
      </w:r>
      <w:r w:rsidR="00310AA7" w:rsidRPr="00310AA7">
        <w:rPr>
          <w:lang w:val="en-GB"/>
        </w:rPr>
        <w:t xml:space="preserve">In his petition submitted to the CC in connection with the </w:t>
      </w:r>
      <w:r w:rsidR="00310AA7" w:rsidRPr="00310AA7">
        <w:rPr>
          <w:b/>
          <w:bCs/>
          <w:lang w:val="en-GB"/>
        </w:rPr>
        <w:t xml:space="preserve">new Civil Code’s provisions on guardianship29 </w:t>
      </w:r>
      <w:r w:rsidR="00310AA7" w:rsidRPr="00310AA7">
        <w:rPr>
          <w:lang w:val="en-GB"/>
        </w:rPr>
        <w:t>the Commissioner pointed out that, under the new Civil Code, guardianship invoking fully limited legal competency and substitute decision-making still imposes general restrictions on those concerned as far as exercising their rights relating to personality (marriage, testamentary capacity) is concerned, which touches on the core of their right to human dignity. Guardianship invoking fully limited legal competency extensively invades</w:t>
      </w:r>
      <w:r w:rsidR="00310AA7">
        <w:rPr>
          <w:lang w:val="en-GB"/>
        </w:rPr>
        <w:t xml:space="preserve"> </w:t>
      </w:r>
      <w:r w:rsidR="00310AA7" w:rsidRPr="00310AA7">
        <w:t xml:space="preserve">the privacy and freedom of choice of persons with disabilities, instead of trying to assist them in making their decisions. According to the Ombudsman, the requirement of conducting a separate judicial </w:t>
      </w:r>
      <w:r w:rsidR="00310AA7" w:rsidRPr="00310AA7">
        <w:lastRenderedPageBreak/>
        <w:t>inquiry prior to ordering any general restriction of rights, covering not only the grounds of the placement under guardianship, but also the applicable legal consequences, is a basic constitutional guarantee of placement under guardianship. That is why the Ombudsman initiated the review of the new Civil Code’s provisions establishing the legal consequences of placement under guardianship invoking fully limited legal competency. The Constitutional Court reviewed on the substance and rejected the petition.</w:t>
      </w:r>
    </w:p>
    <w:p w14:paraId="27E10C98" w14:textId="07EE52DE" w:rsidR="00940CF0" w:rsidRDefault="00310AA7" w:rsidP="00310AA7">
      <w:r w:rsidRPr="00310AA7">
        <w:t xml:space="preserve">An investigation was launched under number </w:t>
      </w:r>
      <w:r w:rsidRPr="00310AA7">
        <w:rPr>
          <w:b/>
          <w:bCs/>
        </w:rPr>
        <w:t xml:space="preserve">AJB 2449/2014 </w:t>
      </w:r>
      <w:r w:rsidRPr="00310AA7">
        <w:t>in order to review the rules of voting using mobile ballot boxes from the aspects of fundamental rights. The report recalled that the problem was of acute nature: providing mobile ballot boxes had caused some difficulties during previous elections as well. It was a step forward compared to the previous regulation that during the election of 2014 not only was it possible to request a mobile ballot box, but there also had to be a barrier-free polling station in each and every settlement. The Chairman of the National Election Bureau agreed with the Commissioner that there was a need for amending the relevant legal regulation, and several proposals that were in accordance with the investigation’s conclusions. The justice minister supports the creation of a legal environment that, from the aspect of accessibility, provides more efficiently for exercising the right to vote.</w:t>
      </w:r>
    </w:p>
    <w:p w14:paraId="72F16DC1" w14:textId="7FB4FD8B" w:rsidR="00310AA7" w:rsidRDefault="00D1530C" w:rsidP="00310AA7">
      <w:r w:rsidRPr="00D1530C">
        <w:rPr>
          <w:b/>
          <w:bCs/>
        </w:rPr>
        <w:t xml:space="preserve">Case No. </w:t>
      </w:r>
      <w:r w:rsidR="00310AA7" w:rsidRPr="00310AA7">
        <w:rPr>
          <w:b/>
          <w:bCs/>
        </w:rPr>
        <w:t xml:space="preserve">AJB-278/2017 </w:t>
      </w:r>
      <w:r w:rsidR="00310AA7" w:rsidRPr="00310AA7">
        <w:t>The fees of training professional guardians vary from county to county; the current practice, structure and thematics of their training are outdated, there are no training aids. According to the Commissioner, these problems have adverse consequences: the guardianship system in its current state does not guarantee the full implementation of and support to the fundamental rights of persons under guardianship.</w:t>
      </w:r>
    </w:p>
    <w:p w14:paraId="2B5BE41C" w14:textId="72759D69" w:rsidR="00310AA7" w:rsidRPr="00310AA7" w:rsidRDefault="00D1530C" w:rsidP="00310AA7">
      <w:pPr>
        <w:rPr>
          <w:lang w:val="en-GB"/>
        </w:rPr>
      </w:pPr>
      <w:r w:rsidRPr="00D1530C">
        <w:rPr>
          <w:b/>
          <w:bCs/>
        </w:rPr>
        <w:t xml:space="preserve">Case No. </w:t>
      </w:r>
      <w:r w:rsidR="00310AA7" w:rsidRPr="00310AA7">
        <w:rPr>
          <w:b/>
          <w:bCs/>
        </w:rPr>
        <w:t xml:space="preserve">AJB-359/2017 </w:t>
      </w:r>
      <w:r w:rsidR="00310AA7" w:rsidRPr="00310AA7">
        <w:t>In the Commissioner’s view, the police’s action against a person under guardianship invoking fully limited legal competency in the absence of the given person’s guardian gave cause for concern. The ministries concerned agreed that there was a need for amending the relevant legal regulation: in the interest of the person under guardianship, the guardian should be present in the course of all procedural actions.</w:t>
      </w:r>
    </w:p>
    <w:p w14:paraId="5D6C1564" w14:textId="77777777" w:rsidR="00B526C1" w:rsidRPr="00B526C1" w:rsidRDefault="00B526C1" w:rsidP="00B526C1">
      <w:pPr>
        <w:rPr>
          <w:rFonts w:ascii="Garamond" w:hAnsi="Garamond"/>
          <w:szCs w:val="24"/>
          <w:lang w:val="en-US"/>
        </w:rPr>
      </w:pPr>
      <w:r w:rsidRPr="00B526C1">
        <w:rPr>
          <w:rFonts w:ascii="Garamond" w:hAnsi="Garamond"/>
          <w:szCs w:val="24"/>
          <w:lang w:val="en-US"/>
        </w:rPr>
        <w:t xml:space="preserve">In case No. </w:t>
      </w:r>
      <w:r w:rsidRPr="00B526C1">
        <w:rPr>
          <w:rFonts w:ascii="Garamond" w:hAnsi="Garamond"/>
          <w:b/>
          <w:szCs w:val="24"/>
          <w:lang w:val="en-US"/>
        </w:rPr>
        <w:t xml:space="preserve">AJB-2709/2016, </w:t>
      </w:r>
      <w:r w:rsidRPr="00B526C1">
        <w:rPr>
          <w:rFonts w:ascii="Garamond" w:hAnsi="Garamond"/>
          <w:szCs w:val="24"/>
          <w:lang w:val="en-US"/>
        </w:rPr>
        <w:t xml:space="preserve">the starting point of the inquiry was that the Commissioner has received several complaints filed by persons under guardianship in the recent years, in which all the complainants discussed the procedures conducted by the professional guardians. In these petitions, the persons under guardianship described problems, one contributing factor to which was that sometimes over one hundred dependents are in the care of one professional guardian. In his report, the Commissioner intended to give an overview with a focus on the fundamental human rights of the persons under guardianship through examining the operation of the guardianship system and by taking the international standards into account. </w:t>
      </w:r>
    </w:p>
    <w:p w14:paraId="167D9837" w14:textId="77777777" w:rsidR="00B526C1" w:rsidRPr="00B526C1" w:rsidRDefault="00B526C1" w:rsidP="00B526C1">
      <w:pPr>
        <w:rPr>
          <w:rFonts w:ascii="Garamond" w:hAnsi="Garamond"/>
          <w:szCs w:val="24"/>
          <w:lang w:val="en-US"/>
        </w:rPr>
      </w:pPr>
      <w:r w:rsidRPr="00B526C1">
        <w:rPr>
          <w:rFonts w:ascii="Garamond" w:hAnsi="Garamond"/>
          <w:szCs w:val="24"/>
          <w:lang w:val="en-US"/>
        </w:rPr>
        <w:lastRenderedPageBreak/>
        <w:t>As regards personal conditions, the report mentions that according to the data of the National Register of Persons under Guardianship as of March 31, 2015, there were 34,020 persons under plenary guardianship, while 26,572 were under partial guardianship. The excessive burden on the professional guardians, their low remuneration, the amount of which is sometimes different for each employee, consequently the low number of professional guardians, the high turnover rate in the profession, as well as the extraordinarily high number of persons under guardianship in the care of one professional guardian do not guarantee that the rights of the persons under guardianship are fully respected. All these circumstances cause an impropriety, for all persons under guardianship, with regard to the right to human dignity that every person is entitled to, the requirement of legal certainty and equal treatment, the state’s priority obligation to protect persons with disabilities, furthermore, this situation is not compliant with the international obligations arising from Article 4 of the CRPD undertaken by Hungary.</w:t>
      </w:r>
    </w:p>
    <w:p w14:paraId="5275D2CA" w14:textId="77777777" w:rsidR="00FC54FA" w:rsidRPr="00310AA7" w:rsidRDefault="00FC54FA" w:rsidP="00B526C1">
      <w:pPr>
        <w:rPr>
          <w:rFonts w:ascii="Garamond" w:hAnsi="Garamond"/>
          <w:szCs w:val="24"/>
          <w:lang w:val="en-GB"/>
        </w:rPr>
      </w:pPr>
    </w:p>
    <w:p w14:paraId="4F1E2B38" w14:textId="2ADE722E" w:rsidR="00940CF0" w:rsidRPr="00310AA7" w:rsidRDefault="00A9138A" w:rsidP="00940CF0">
      <w:pPr>
        <w:tabs>
          <w:tab w:val="left" w:pos="6962"/>
        </w:tabs>
        <w:rPr>
          <w:rFonts w:ascii="Garamond" w:hAnsi="Garamond"/>
          <w:b/>
          <w:szCs w:val="24"/>
          <w:u w:val="single"/>
          <w:lang w:val="en-GB"/>
        </w:rPr>
      </w:pPr>
      <w:r w:rsidRPr="00A9138A">
        <w:rPr>
          <w:rFonts w:ascii="Garamond" w:hAnsi="Garamond"/>
          <w:b/>
          <w:bCs/>
          <w:szCs w:val="24"/>
          <w:u w:val="single"/>
        </w:rPr>
        <w:t>Article 19 of the CRPD – Living independently and being included in the community</w:t>
      </w:r>
    </w:p>
    <w:p w14:paraId="536CD757" w14:textId="74E12E99" w:rsidR="00940CF0" w:rsidRDefault="00D1530C" w:rsidP="00A9138A">
      <w:r w:rsidRPr="00D1530C">
        <w:rPr>
          <w:b/>
          <w:bCs/>
        </w:rPr>
        <w:t xml:space="preserve">Case No. </w:t>
      </w:r>
      <w:r w:rsidR="00A9138A" w:rsidRPr="00A9138A">
        <w:rPr>
          <w:b/>
          <w:bCs/>
        </w:rPr>
        <w:t xml:space="preserve">AJB-6261/2012 </w:t>
      </w:r>
      <w:r w:rsidR="00A9138A" w:rsidRPr="00A9138A">
        <w:t>The investigation conducted in the Home for Psychiatric Patients in Elek confirmed the vulnerable situation of persons with limited legal competency, placed under guardianship, regarding both the enforceability of their right to complain and the disposition of their incomes. The operator informed the ombudsman about having accepted his recommendation and the planned date of the inspection of the institution. The investigation found that the tightening of the system of care allowance had caused problems for many families providing home care to their members with disabilities, and the widening of the scope of competence and the reduction of the numbers of guardians had put the guardians in an undignified position. The imbalanced operation of support services in certain regions also gave cause for serious concern. Many small settlements suffer from the lack of development, which has an adverse effect especially on families with more children.</w:t>
      </w:r>
    </w:p>
    <w:p w14:paraId="3B6989DF" w14:textId="01564F9F" w:rsidR="00A9138A" w:rsidRPr="00310AA7" w:rsidRDefault="00D1530C" w:rsidP="00A9138A">
      <w:pPr>
        <w:rPr>
          <w:lang w:val="en-GB"/>
        </w:rPr>
      </w:pPr>
      <w:r w:rsidRPr="00D1530C">
        <w:rPr>
          <w:b/>
          <w:bCs/>
        </w:rPr>
        <w:t xml:space="preserve">Case No. </w:t>
      </w:r>
      <w:r w:rsidR="00A9138A" w:rsidRPr="00A9138A">
        <w:rPr>
          <w:b/>
          <w:bCs/>
        </w:rPr>
        <w:t xml:space="preserve">AJB-2651/2014 </w:t>
      </w:r>
      <w:r w:rsidR="00A9138A" w:rsidRPr="00A9138A">
        <w:t>Acting upon a complaint about the systematic infringement of the fundamental rights of the intellectually and visually impaired residents of a residential home in Budapest, the Commissioner conducted an investigation and found some deficiencies in connection with the personal conditions of the institution.</w:t>
      </w:r>
    </w:p>
    <w:p w14:paraId="118E06D7" w14:textId="5F44ABCF" w:rsidR="00940CF0" w:rsidRPr="00310AA7" w:rsidRDefault="00D1530C" w:rsidP="00A9138A">
      <w:pPr>
        <w:rPr>
          <w:lang w:val="en-GB"/>
        </w:rPr>
      </w:pPr>
      <w:r w:rsidRPr="00D1530C">
        <w:rPr>
          <w:b/>
          <w:bCs/>
        </w:rPr>
        <w:t xml:space="preserve">Case No. </w:t>
      </w:r>
      <w:r w:rsidR="00A9138A" w:rsidRPr="00A9138A">
        <w:rPr>
          <w:b/>
          <w:bCs/>
        </w:rPr>
        <w:t xml:space="preserve">AJB-264/2015 </w:t>
      </w:r>
      <w:r w:rsidR="00A9138A" w:rsidRPr="00A9138A">
        <w:t>According to the Commissioner, an impropriety resulted from the guardian authority’s failure to make sure that there was no conflict of interest between a person under guardianship with fully limited legal competency and the guardian in connection with the given person’s moving into a foster home.</w:t>
      </w:r>
    </w:p>
    <w:p w14:paraId="10A91E9B" w14:textId="231F1378" w:rsidR="00940CF0" w:rsidRPr="00310AA7" w:rsidRDefault="00D1530C" w:rsidP="00A9138A">
      <w:pPr>
        <w:rPr>
          <w:lang w:val="en-GB"/>
        </w:rPr>
      </w:pPr>
      <w:r w:rsidRPr="00D1530C">
        <w:rPr>
          <w:b/>
          <w:bCs/>
        </w:rPr>
        <w:lastRenderedPageBreak/>
        <w:t xml:space="preserve">Case No. </w:t>
      </w:r>
      <w:r w:rsidR="00A9138A" w:rsidRPr="00A9138A">
        <w:rPr>
          <w:b/>
          <w:bCs/>
        </w:rPr>
        <w:t xml:space="preserve">AJB-261/2017 </w:t>
      </w:r>
      <w:r w:rsidR="00A9138A" w:rsidRPr="00A9138A">
        <w:t>Based on the findings of an inspection in a residential institution, the Commissioner concluded that it is indispensable to remedy the deficiencies, uncovered in connection with the personal conditions and the access to healthcare services, based on a comprehensive, long-term strategy, covering both persons with disabilities and the elderly.</w:t>
      </w:r>
    </w:p>
    <w:p w14:paraId="1B466120" w14:textId="77777777" w:rsidR="00B526C1" w:rsidRPr="00B526C1" w:rsidRDefault="00B526C1" w:rsidP="00B526C1">
      <w:pPr>
        <w:spacing w:after="200"/>
        <w:rPr>
          <w:rFonts w:ascii="Garamond" w:hAnsi="Garamond"/>
          <w:szCs w:val="24"/>
          <w:lang w:val="en-US" w:eastAsia="hu-HU"/>
        </w:rPr>
      </w:pPr>
      <w:r w:rsidRPr="00B526C1">
        <w:rPr>
          <w:rFonts w:ascii="Garamond" w:hAnsi="Garamond"/>
          <w:szCs w:val="24"/>
          <w:lang w:val="en-US" w:eastAsia="hu-HU"/>
        </w:rPr>
        <w:t>In case No.</w:t>
      </w:r>
      <w:r w:rsidRPr="00B526C1">
        <w:rPr>
          <w:rFonts w:ascii="Garamond" w:hAnsi="Garamond"/>
          <w:b/>
          <w:szCs w:val="24"/>
          <w:lang w:val="en-US" w:eastAsia="hu-HU"/>
        </w:rPr>
        <w:t xml:space="preserve"> AJB-3610/2017</w:t>
      </w:r>
      <w:r w:rsidRPr="00B526C1">
        <w:rPr>
          <w:rFonts w:ascii="Garamond" w:hAnsi="Garamond"/>
          <w:szCs w:val="24"/>
          <w:lang w:val="en-US" w:eastAsia="hu-HU"/>
        </w:rPr>
        <w:t>,</w:t>
      </w:r>
      <w:r w:rsidRPr="00B526C1">
        <w:rPr>
          <w:rFonts w:ascii="Garamond" w:hAnsi="Garamond"/>
          <w:b/>
          <w:szCs w:val="24"/>
          <w:lang w:val="en-US" w:eastAsia="hu-HU"/>
        </w:rPr>
        <w:t xml:space="preserve"> </w:t>
      </w:r>
      <w:r w:rsidRPr="00B526C1">
        <w:rPr>
          <w:rFonts w:ascii="Garamond" w:hAnsi="Garamond"/>
          <w:szCs w:val="24"/>
          <w:lang w:val="en-US" w:eastAsia="hu-HU"/>
        </w:rPr>
        <w:t>the</w:t>
      </w:r>
      <w:r w:rsidRPr="00B526C1">
        <w:rPr>
          <w:rFonts w:ascii="Garamond" w:hAnsi="Garamond"/>
          <w:b/>
          <w:szCs w:val="24"/>
          <w:lang w:val="en-US" w:eastAsia="hu-HU"/>
        </w:rPr>
        <w:t xml:space="preserve"> </w:t>
      </w:r>
      <w:r w:rsidRPr="00B526C1">
        <w:rPr>
          <w:rFonts w:ascii="Garamond" w:hAnsi="Garamond"/>
          <w:szCs w:val="24"/>
          <w:lang w:val="en-US" w:eastAsia="hu-HU"/>
        </w:rPr>
        <w:t xml:space="preserve">process of deinstitutionalization causes a serious difficulty for the Tolna County Integrated Care Center. The 440 persons with disabilities in their care are obviously not equally capable of independent living, however, the call for tender did not allow that this be taken into account (as only a specific location of service provision rather than a certain group of residents could be indicated in it). It is a grave problem that the call for de-institutionalization is not targeted at persons but at buildings, so it is not possible for the institutions to schedule this de-institutionalization process by taking the needs and abilities of the patients, with which the staff are familiar, into account. The Commissioner requested the Minister of Human Capacities to pay special attention to the safeguards of the personal, physical, operational and professional conditions of the social care homes in their measures planned on the basis of the Ministry’s long-term de-institutionalization strategy, as well as to the conclusions drawn in relation to the enforcement of the fundamental rights mentioned in the report. The competent ministry agreed with and took into consideration the fundamental rights-related criteria. </w:t>
      </w:r>
    </w:p>
    <w:p w14:paraId="02BE24C1" w14:textId="77777777" w:rsidR="00B526C1" w:rsidRPr="00B526C1" w:rsidRDefault="00B526C1" w:rsidP="00B526C1">
      <w:pPr>
        <w:spacing w:after="200"/>
        <w:rPr>
          <w:rFonts w:ascii="Garamond" w:hAnsi="Garamond"/>
          <w:szCs w:val="24"/>
          <w:lang w:val="en-US" w:eastAsia="hu-HU"/>
        </w:rPr>
      </w:pPr>
      <w:r w:rsidRPr="00B526C1">
        <w:rPr>
          <w:rFonts w:ascii="Garamond" w:hAnsi="Garamond"/>
          <w:szCs w:val="24"/>
          <w:lang w:val="en-US" w:eastAsia="hu-HU"/>
        </w:rPr>
        <w:t xml:space="preserve">In case No. </w:t>
      </w:r>
      <w:r w:rsidRPr="00B526C1">
        <w:rPr>
          <w:rFonts w:ascii="Garamond" w:hAnsi="Garamond"/>
          <w:b/>
          <w:szCs w:val="24"/>
          <w:lang w:val="en-US" w:eastAsia="hu-HU"/>
        </w:rPr>
        <w:t>AJB-2123/2017</w:t>
      </w:r>
      <w:r w:rsidRPr="00B526C1">
        <w:rPr>
          <w:rFonts w:ascii="Garamond" w:hAnsi="Garamond"/>
          <w:szCs w:val="24"/>
          <w:lang w:val="en-US" w:eastAsia="hu-HU"/>
        </w:rPr>
        <w:t>, in March 2017,</w:t>
      </w:r>
      <w:r w:rsidRPr="00B526C1">
        <w:rPr>
          <w:rFonts w:ascii="Garamond" w:hAnsi="Garamond"/>
          <w:b/>
          <w:szCs w:val="24"/>
          <w:lang w:val="en-US" w:eastAsia="hu-HU"/>
        </w:rPr>
        <w:t xml:space="preserve"> </w:t>
      </w:r>
      <w:r w:rsidRPr="00B526C1">
        <w:rPr>
          <w:rFonts w:ascii="Garamond" w:hAnsi="Garamond"/>
          <w:szCs w:val="24"/>
          <w:lang w:val="en-US" w:eastAsia="hu-HU"/>
        </w:rPr>
        <w:t>concerning news appeared in the press</w:t>
      </w:r>
      <w:r w:rsidRPr="00B526C1">
        <w:rPr>
          <w:rFonts w:ascii="Garamond" w:hAnsi="Garamond"/>
          <w:b/>
          <w:szCs w:val="24"/>
          <w:lang w:val="en-US" w:eastAsia="hu-HU"/>
        </w:rPr>
        <w:t xml:space="preserve"> </w:t>
      </w:r>
      <w:r w:rsidRPr="00B526C1">
        <w:rPr>
          <w:rFonts w:ascii="Garamond" w:hAnsi="Garamond"/>
          <w:szCs w:val="24"/>
          <w:lang w:val="en-US" w:eastAsia="hu-HU"/>
        </w:rPr>
        <w:t xml:space="preserve">about the operation of the </w:t>
      </w:r>
      <w:r w:rsidRPr="00B526C1">
        <w:rPr>
          <w:rFonts w:ascii="Garamond" w:hAnsi="Garamond"/>
          <w:b/>
          <w:szCs w:val="24"/>
          <w:lang w:val="en-US" w:eastAsia="hu-HU"/>
        </w:rPr>
        <w:t xml:space="preserve">Táplánypuszta </w:t>
      </w:r>
      <w:r w:rsidRPr="00B526C1">
        <w:rPr>
          <w:rFonts w:ascii="Garamond" w:hAnsi="Garamond"/>
          <w:szCs w:val="24"/>
          <w:lang w:val="en-US" w:eastAsia="hu-HU"/>
        </w:rPr>
        <w:t>Unit of the Dr. Endre Piróth Social Care Home for Psychiatric Patients, which had earlier been the subject of several ombudsman’s inquiries, based on which the suspicion of a grave impropriety  with regard to the right to human dignity arose again. In the wake of this, the Commissioner for Fundamental Rights ordered the ex officio follow-up investigation of the operational practice of the Institution, with a view to giving a realistic and authentic view of the situation, while in the framework of the inquiry, the experts of the Commissioner paid an unannounced visit to, and conducted an on-site review at the Institution.</w:t>
      </w:r>
    </w:p>
    <w:p w14:paraId="20FEEC3A" w14:textId="77777777" w:rsidR="00B526C1" w:rsidRPr="00B526C1" w:rsidRDefault="00B526C1" w:rsidP="00B526C1">
      <w:pPr>
        <w:spacing w:after="200"/>
        <w:rPr>
          <w:rFonts w:ascii="Garamond" w:hAnsi="Garamond"/>
          <w:szCs w:val="24"/>
          <w:lang w:val="en-US" w:eastAsia="hu-HU"/>
        </w:rPr>
      </w:pPr>
      <w:r w:rsidRPr="00B526C1">
        <w:rPr>
          <w:rFonts w:ascii="Garamond" w:hAnsi="Garamond"/>
          <w:szCs w:val="24"/>
          <w:lang w:val="en-US" w:eastAsia="hu-HU"/>
        </w:rPr>
        <w:t xml:space="preserve">In case No. </w:t>
      </w:r>
      <w:r w:rsidRPr="00B526C1">
        <w:rPr>
          <w:rFonts w:ascii="Garamond" w:hAnsi="Garamond"/>
          <w:b/>
          <w:szCs w:val="24"/>
          <w:lang w:val="en-US" w:eastAsia="hu-HU"/>
        </w:rPr>
        <w:t>AJB-1195/2017</w:t>
      </w:r>
      <w:r w:rsidRPr="00B526C1">
        <w:rPr>
          <w:rFonts w:ascii="Garamond" w:hAnsi="Garamond"/>
          <w:szCs w:val="24"/>
          <w:lang w:val="en-US" w:eastAsia="hu-HU"/>
        </w:rPr>
        <w:t xml:space="preserve">, the Commissioner investigated into the conditions of the persons with disabilities living in a social care center located </w:t>
      </w:r>
      <w:r w:rsidRPr="00B526C1">
        <w:rPr>
          <w:rFonts w:ascii="Garamond" w:hAnsi="Garamond"/>
          <w:b/>
          <w:szCs w:val="24"/>
          <w:lang w:val="en-US" w:eastAsia="hu-HU"/>
        </w:rPr>
        <w:t xml:space="preserve">in a small settlement in West Hungary </w:t>
      </w:r>
      <w:r w:rsidRPr="00B526C1">
        <w:rPr>
          <w:rFonts w:ascii="Garamond" w:hAnsi="Garamond"/>
          <w:szCs w:val="24"/>
          <w:lang w:val="en-US" w:eastAsia="hu-HU"/>
        </w:rPr>
        <w:t xml:space="preserve">(Lesencetomaj) on the basis of an anonymous complaint. It was unveiled by the inquiry that the appropriate physical conditions were not available at the institution, as the living area of 6 square meters was not ensured for many residents, and in several rooms, and 7 or 8 patients were placed in a room with a maximum capacity of 4 persons. Barrier-free accessibility is partially available but there are several dangerous architectural solutions in the buildings. According to the findings of the inspection conducted by the operator, the architectural features of the buildings do not allow the establishment of less places (beds), neither is it possible to complete the refurbishment for all the residents. The Commissioner concluded that due to the overcrowdedness arising from the lack </w:t>
      </w:r>
      <w:r w:rsidRPr="00B526C1">
        <w:rPr>
          <w:rFonts w:ascii="Garamond" w:hAnsi="Garamond"/>
          <w:szCs w:val="24"/>
          <w:lang w:val="en-US" w:eastAsia="hu-HU"/>
        </w:rPr>
        <w:lastRenderedPageBreak/>
        <w:t xml:space="preserve">of basic life and physical conditions at the Institution, the chances for the evolution of conflicts between the residents are high.  This also requires more focused attention from the part of the nursing and care staff and mental health staff, with regard to prevention, the engagement of the residents in meaningful activities, as well as the elaboration of structured and personalized daily routines for the residents. </w:t>
      </w:r>
    </w:p>
    <w:p w14:paraId="28B9C370" w14:textId="77777777" w:rsidR="00B526C1" w:rsidRPr="00B526C1" w:rsidRDefault="00B526C1" w:rsidP="00B526C1">
      <w:pPr>
        <w:spacing w:after="200"/>
        <w:rPr>
          <w:rFonts w:ascii="Garamond" w:hAnsi="Garamond"/>
          <w:szCs w:val="24"/>
          <w:lang w:val="en-US" w:eastAsia="hu-HU"/>
        </w:rPr>
      </w:pPr>
      <w:r w:rsidRPr="00B526C1">
        <w:rPr>
          <w:rFonts w:ascii="Garamond" w:hAnsi="Garamond"/>
          <w:szCs w:val="24"/>
          <w:lang w:val="en-US" w:eastAsia="hu-HU"/>
        </w:rPr>
        <w:t xml:space="preserve">In case No. </w:t>
      </w:r>
      <w:r w:rsidRPr="00B526C1">
        <w:rPr>
          <w:rFonts w:ascii="Garamond" w:hAnsi="Garamond"/>
          <w:b/>
          <w:szCs w:val="24"/>
          <w:lang w:val="en-US" w:eastAsia="hu-HU"/>
        </w:rPr>
        <w:t>AJB-560/2017</w:t>
      </w:r>
      <w:r w:rsidRPr="00B526C1">
        <w:rPr>
          <w:rFonts w:ascii="Garamond" w:hAnsi="Garamond"/>
          <w:szCs w:val="24"/>
          <w:lang w:val="en-US" w:eastAsia="hu-HU"/>
        </w:rPr>
        <w:t>,</w:t>
      </w:r>
      <w:r w:rsidRPr="00B526C1">
        <w:rPr>
          <w:rFonts w:ascii="Garamond" w:hAnsi="Garamond"/>
          <w:b/>
          <w:szCs w:val="24"/>
          <w:lang w:val="en-US" w:eastAsia="hu-HU"/>
        </w:rPr>
        <w:t xml:space="preserve"> </w:t>
      </w:r>
      <w:r w:rsidRPr="00B526C1">
        <w:rPr>
          <w:rFonts w:ascii="Garamond" w:hAnsi="Garamond"/>
          <w:szCs w:val="24"/>
          <w:lang w:val="en-US" w:eastAsia="hu-HU"/>
        </w:rPr>
        <w:t>a complaint on the operational practices of</w:t>
      </w:r>
      <w:r w:rsidRPr="00B526C1">
        <w:rPr>
          <w:rFonts w:ascii="Garamond" w:hAnsi="Garamond"/>
          <w:b/>
          <w:szCs w:val="24"/>
          <w:lang w:val="en-US" w:eastAsia="hu-HU"/>
        </w:rPr>
        <w:t xml:space="preserve"> </w:t>
      </w:r>
      <w:r w:rsidRPr="00B526C1">
        <w:rPr>
          <w:rFonts w:ascii="Garamond" w:hAnsi="Garamond"/>
          <w:szCs w:val="24"/>
          <w:lang w:val="en-US" w:eastAsia="hu-HU"/>
        </w:rPr>
        <w:t xml:space="preserve">the Home for Psychiatric Patients of </w:t>
      </w:r>
      <w:r w:rsidRPr="00B526C1">
        <w:rPr>
          <w:rFonts w:ascii="Garamond" w:hAnsi="Garamond"/>
          <w:b/>
          <w:szCs w:val="24"/>
          <w:lang w:val="en-US" w:eastAsia="hu-HU"/>
        </w:rPr>
        <w:t>Szentgotthárd</w:t>
      </w:r>
      <w:r w:rsidRPr="00B526C1">
        <w:rPr>
          <w:rFonts w:ascii="Garamond" w:hAnsi="Garamond"/>
          <w:szCs w:val="24"/>
          <w:lang w:val="en-US" w:eastAsia="hu-HU"/>
        </w:rPr>
        <w:t xml:space="preserve">, as well as the consequences of the activities performed by the new head of the institution, which also affect the physical and mental status of the residents, was filed to the Commissioner by the Public Servants’ Board of the Szentgotthárd Special Care Home. In the petition, some problems that seem to give rise to new concerns as compared to what has been experienced to date and from a fundamental law perspective (as well) were mentioned, including the worrisome reduction of the number of employees, the deterioration in the quality of the life of the residents, as well as the standards of care provided to them, which is, according to the complainants, the clear consequence of the changed management of the institution as of August 1, 2016, as well as the style and activities of the new heads of the institution. As part of the investigation, in order to give a realistic view of the circumstances of patient care, the experts of the Ombudsman conducted an unannounced on-site inspection at the Institution. </w:t>
      </w:r>
    </w:p>
    <w:p w14:paraId="73668F31" w14:textId="77777777" w:rsidR="00B526C1" w:rsidRPr="00B526C1" w:rsidRDefault="00B526C1" w:rsidP="00B526C1">
      <w:pPr>
        <w:spacing w:after="200"/>
        <w:rPr>
          <w:rFonts w:ascii="Garamond" w:hAnsi="Garamond"/>
          <w:szCs w:val="24"/>
          <w:lang w:val="en-US" w:eastAsia="hu-HU"/>
        </w:rPr>
      </w:pPr>
      <w:r w:rsidRPr="00B526C1">
        <w:rPr>
          <w:rFonts w:ascii="Garamond" w:hAnsi="Garamond"/>
          <w:szCs w:val="24"/>
          <w:lang w:val="en-US" w:eastAsia="hu-HU"/>
        </w:rPr>
        <w:t>In case No.</w:t>
      </w:r>
      <w:r w:rsidRPr="00B526C1">
        <w:rPr>
          <w:rFonts w:ascii="Garamond" w:hAnsi="Garamond"/>
          <w:b/>
          <w:szCs w:val="24"/>
          <w:lang w:val="en-US" w:eastAsia="hu-HU"/>
        </w:rPr>
        <w:t xml:space="preserve"> AJB-257/2017</w:t>
      </w:r>
      <w:r w:rsidRPr="00B526C1">
        <w:rPr>
          <w:rFonts w:ascii="Garamond" w:hAnsi="Garamond"/>
          <w:szCs w:val="24"/>
          <w:lang w:val="en-US" w:eastAsia="hu-HU"/>
        </w:rPr>
        <w:t xml:space="preserve">, the care provider staff of the </w:t>
      </w:r>
      <w:r w:rsidRPr="00B526C1">
        <w:rPr>
          <w:rFonts w:ascii="Garamond" w:hAnsi="Garamond"/>
          <w:b/>
          <w:szCs w:val="24"/>
          <w:lang w:val="en-US" w:eastAsia="hu-HU"/>
        </w:rPr>
        <w:t xml:space="preserve">Göd-based TOPhÁZ Special Care Home </w:t>
      </w:r>
      <w:r w:rsidRPr="00B526C1">
        <w:rPr>
          <w:rFonts w:ascii="Garamond" w:hAnsi="Garamond"/>
          <w:szCs w:val="24"/>
          <w:lang w:val="en-US" w:eastAsia="hu-HU"/>
        </w:rPr>
        <w:t>lodged a petition to the Commissioner, in which they complained of the circumstances that have changed since the change in the management of the institution that took place late last year: they think that this change has exerted a negative effect on the living conditions of the residents of the institution. The Commissioner for Fundamental Rights ordered an investigation into the case, his experts conducted an unannounced on-site inspection at the institution. Due to the deficiencies in personal and physical conditions, the institution has violated the right to human dignity that every person is equally entitled to, the principle of legal certainty and equal treatment, and it causes an impropriety with regard to the state’s priority obligation to protect persons with disabilities, furthermore, it is not compliant with Hungary’s international commitments undertaken as a result of the provisions set out in Article 4 of CRPD. Recently, the government entrusted the Hungarian Charity Service of the Order of Malta with the operation of the institution, and de-institutionalization has begun.</w:t>
      </w:r>
    </w:p>
    <w:p w14:paraId="2D909668" w14:textId="77777777" w:rsidR="00B526C1" w:rsidRPr="00B526C1" w:rsidRDefault="00B526C1" w:rsidP="00B526C1">
      <w:pPr>
        <w:spacing w:after="200"/>
        <w:rPr>
          <w:rFonts w:ascii="Garamond" w:hAnsi="Garamond"/>
          <w:szCs w:val="24"/>
          <w:lang w:val="en-US" w:eastAsia="hu-HU"/>
        </w:rPr>
      </w:pPr>
      <w:r w:rsidRPr="00B526C1">
        <w:rPr>
          <w:rFonts w:ascii="Garamond" w:hAnsi="Garamond"/>
          <w:szCs w:val="24"/>
          <w:lang w:val="en-US" w:eastAsia="hu-HU"/>
        </w:rPr>
        <w:t>Case No.</w:t>
      </w:r>
      <w:r w:rsidRPr="00B526C1">
        <w:rPr>
          <w:rFonts w:ascii="Garamond" w:hAnsi="Garamond"/>
          <w:b/>
          <w:szCs w:val="24"/>
          <w:lang w:val="en-US" w:eastAsia="hu-HU"/>
        </w:rPr>
        <w:t xml:space="preserve"> AJB-261/2017 </w:t>
      </w:r>
      <w:r w:rsidRPr="00B526C1">
        <w:rPr>
          <w:rFonts w:ascii="Garamond" w:hAnsi="Garamond"/>
          <w:szCs w:val="24"/>
          <w:lang w:val="en-US" w:eastAsia="hu-HU"/>
        </w:rPr>
        <w:t>was about one of the most significant, multi-location and multi-profile social care institutions of the region,</w:t>
      </w:r>
      <w:r w:rsidRPr="00B526C1">
        <w:rPr>
          <w:rFonts w:ascii="Garamond" w:hAnsi="Garamond"/>
          <w:b/>
          <w:szCs w:val="24"/>
          <w:lang w:val="en-US" w:eastAsia="hu-HU"/>
        </w:rPr>
        <w:t xml:space="preserve"> </w:t>
      </w:r>
      <w:r w:rsidRPr="00B526C1">
        <w:rPr>
          <w:rFonts w:ascii="Garamond" w:hAnsi="Garamond"/>
          <w:szCs w:val="24"/>
          <w:lang w:val="en-US" w:eastAsia="hu-HU"/>
        </w:rPr>
        <w:t xml:space="preserve">namely of </w:t>
      </w:r>
      <w:r w:rsidRPr="00B526C1">
        <w:rPr>
          <w:rFonts w:ascii="Garamond" w:hAnsi="Garamond"/>
          <w:b/>
          <w:szCs w:val="24"/>
          <w:lang w:val="en-US" w:eastAsia="hu-HU"/>
        </w:rPr>
        <w:t>Heves</w:t>
      </w:r>
      <w:r w:rsidRPr="00B526C1">
        <w:rPr>
          <w:rFonts w:ascii="Garamond" w:hAnsi="Garamond"/>
          <w:szCs w:val="24"/>
          <w:lang w:val="en-US" w:eastAsia="hu-HU"/>
        </w:rPr>
        <w:t xml:space="preserve"> </w:t>
      </w:r>
      <w:r w:rsidRPr="00B526C1">
        <w:rPr>
          <w:rFonts w:ascii="Garamond" w:hAnsi="Garamond"/>
          <w:b/>
          <w:szCs w:val="24"/>
          <w:lang w:val="en-US" w:eastAsia="hu-HU"/>
        </w:rPr>
        <w:t>County, i.e. the</w:t>
      </w:r>
      <w:r w:rsidRPr="00B526C1">
        <w:rPr>
          <w:rFonts w:ascii="Garamond" w:hAnsi="Garamond"/>
          <w:szCs w:val="24"/>
          <w:lang w:val="en-US" w:eastAsia="hu-HU"/>
        </w:rPr>
        <w:t xml:space="preserve"> </w:t>
      </w:r>
      <w:r w:rsidRPr="00B526C1">
        <w:rPr>
          <w:rFonts w:ascii="Garamond" w:hAnsi="Garamond"/>
          <w:b/>
          <w:szCs w:val="24"/>
          <w:lang w:val="en-US" w:eastAsia="hu-HU"/>
        </w:rPr>
        <w:t>Bélapátfalva Home for the Elderly and Persons with Disabilities</w:t>
      </w:r>
      <w:r w:rsidRPr="00B526C1">
        <w:rPr>
          <w:rFonts w:ascii="Garamond" w:hAnsi="Garamond"/>
          <w:szCs w:val="24"/>
          <w:lang w:val="en-US" w:eastAsia="hu-HU"/>
        </w:rPr>
        <w:t>,</w:t>
      </w:r>
      <w:r w:rsidRPr="00B526C1">
        <w:rPr>
          <w:rFonts w:ascii="Garamond" w:hAnsi="Garamond"/>
          <w:b/>
          <w:szCs w:val="24"/>
          <w:lang w:val="en-US" w:eastAsia="hu-HU"/>
        </w:rPr>
        <w:t xml:space="preserve"> </w:t>
      </w:r>
      <w:r w:rsidRPr="00B526C1">
        <w:rPr>
          <w:rFonts w:ascii="Garamond" w:hAnsi="Garamond"/>
          <w:szCs w:val="24"/>
          <w:lang w:val="en-US" w:eastAsia="hu-HU"/>
        </w:rPr>
        <w:t xml:space="preserve">so it was justified to review its operation from the perspective of fundamental rights. The Institution was involved in the first phase of de-institutionalization: in 2012, they won a tender, and from an overall EU budget of HUF 1 bln, as </w:t>
      </w:r>
      <w:r w:rsidRPr="00B526C1">
        <w:rPr>
          <w:rFonts w:ascii="Garamond" w:hAnsi="Garamond"/>
          <w:szCs w:val="24"/>
          <w:lang w:val="en-US" w:eastAsia="hu-HU"/>
        </w:rPr>
        <w:lastRenderedPageBreak/>
        <w:t>many as 150 persons had the chance to move out of the institution with a high number of residents, to the nearby residential care homes.</w:t>
      </w:r>
    </w:p>
    <w:p w14:paraId="020235DD" w14:textId="77777777" w:rsidR="00B526C1" w:rsidRPr="00B526C1" w:rsidRDefault="00B526C1" w:rsidP="00B526C1">
      <w:pPr>
        <w:spacing w:after="200"/>
        <w:rPr>
          <w:rFonts w:ascii="Garamond" w:hAnsi="Garamond"/>
          <w:szCs w:val="24"/>
          <w:lang w:val="en-US" w:eastAsia="hu-HU"/>
        </w:rPr>
      </w:pPr>
      <w:r w:rsidRPr="00B526C1">
        <w:rPr>
          <w:rFonts w:ascii="Garamond" w:hAnsi="Garamond"/>
          <w:b/>
          <w:szCs w:val="24"/>
          <w:lang w:val="en-US" w:eastAsia="hu-HU"/>
        </w:rPr>
        <w:t>Case No.</w:t>
      </w:r>
      <w:r w:rsidRPr="00B526C1">
        <w:rPr>
          <w:rFonts w:ascii="Garamond" w:hAnsi="Garamond"/>
          <w:szCs w:val="24"/>
          <w:lang w:val="en-US" w:eastAsia="hu-HU"/>
        </w:rPr>
        <w:t xml:space="preserve"> </w:t>
      </w:r>
      <w:r w:rsidRPr="00B526C1">
        <w:rPr>
          <w:rFonts w:ascii="Garamond" w:hAnsi="Garamond"/>
          <w:b/>
          <w:szCs w:val="24"/>
          <w:lang w:val="en-US" w:eastAsia="hu-HU"/>
        </w:rPr>
        <w:t xml:space="preserve">AJB-653/2018: Sümeg-Darvastó. </w:t>
      </w:r>
      <w:r w:rsidRPr="00B526C1">
        <w:rPr>
          <w:rFonts w:ascii="Garamond" w:hAnsi="Garamond"/>
          <w:szCs w:val="24"/>
          <w:lang w:val="en-US" w:eastAsia="hu-HU"/>
        </w:rPr>
        <w:t xml:space="preserve">It was an investigation launched ex officio. The lack of nurses is a problem but it is a positive development that de-institutionalization began, this is why the report was meant to focus attention on this institution. This report also calls attention </w:t>
      </w:r>
      <w:r w:rsidRPr="00B526C1">
        <w:rPr>
          <w:rFonts w:ascii="Garamond" w:hAnsi="Garamond"/>
          <w:bCs/>
          <w:szCs w:val="24"/>
          <w:lang w:val="en-US" w:eastAsia="hu-HU"/>
        </w:rPr>
        <w:t>to that</w:t>
      </w:r>
      <w:r w:rsidRPr="00B526C1">
        <w:rPr>
          <w:rFonts w:ascii="Garamond" w:hAnsi="Garamond"/>
          <w:szCs w:val="24"/>
          <w:lang w:val="en-US" w:eastAsia="hu-HU"/>
        </w:rPr>
        <w:t xml:space="preserve"> the overall circumstances in residential care facilities accommodating a very high number of residents may provide ground for </w:t>
      </w:r>
      <w:r w:rsidRPr="00B526C1">
        <w:rPr>
          <w:rFonts w:ascii="Garamond" w:hAnsi="Garamond"/>
          <w:i/>
          <w:szCs w:val="24"/>
          <w:lang w:val="en-US" w:eastAsia="hu-HU"/>
        </w:rPr>
        <w:t>the potential occurrence of improprieties</w:t>
      </w:r>
      <w:r w:rsidRPr="00B526C1">
        <w:rPr>
          <w:rFonts w:ascii="Garamond" w:hAnsi="Garamond"/>
          <w:szCs w:val="24"/>
          <w:lang w:val="en-US" w:eastAsia="hu-HU"/>
        </w:rPr>
        <w:t xml:space="preserve"> with regard to the affected persons with disabilities</w:t>
      </w:r>
      <w:r w:rsidRPr="00B526C1">
        <w:rPr>
          <w:rFonts w:ascii="Garamond" w:hAnsi="Garamond"/>
          <w:i/>
          <w:szCs w:val="24"/>
          <w:lang w:val="en-US" w:eastAsia="hu-HU"/>
        </w:rPr>
        <w:t xml:space="preserve">, with respect to </w:t>
      </w:r>
      <w:r w:rsidRPr="00B526C1">
        <w:rPr>
          <w:rFonts w:ascii="Garamond" w:hAnsi="Garamond"/>
          <w:bCs/>
          <w:i/>
          <w:szCs w:val="24"/>
          <w:lang w:val="en-US" w:eastAsia="hu-HU"/>
        </w:rPr>
        <w:t>the right to human dignity that every person is equally entitled to, with respect to the requirement of equal treatment, as well as to the state obligation of the special protection of persons with disabilities.</w:t>
      </w:r>
      <w:r w:rsidRPr="00B526C1">
        <w:rPr>
          <w:rFonts w:ascii="Garamond" w:hAnsi="Garamond"/>
          <w:bCs/>
          <w:szCs w:val="24"/>
          <w:lang w:val="en-US" w:eastAsia="hu-HU"/>
        </w:rPr>
        <w:t xml:space="preserve"> </w:t>
      </w:r>
    </w:p>
    <w:p w14:paraId="29D907AC" w14:textId="77777777" w:rsidR="00B526C1" w:rsidRPr="00B526C1" w:rsidRDefault="00B526C1" w:rsidP="00B526C1">
      <w:pPr>
        <w:spacing w:after="200"/>
        <w:rPr>
          <w:rFonts w:ascii="Garamond" w:hAnsi="Garamond"/>
          <w:szCs w:val="24"/>
          <w:lang w:val="en-US" w:eastAsia="hu-HU"/>
        </w:rPr>
      </w:pPr>
      <w:r w:rsidRPr="00B526C1">
        <w:rPr>
          <w:rFonts w:ascii="Garamond" w:hAnsi="Garamond"/>
          <w:szCs w:val="24"/>
          <w:lang w:val="en-US" w:eastAsia="hu-HU"/>
        </w:rPr>
        <w:t>In his response, the State Secretary of EMMI (the Ministry for Human Capacities) highlighted that government decision No. 1257/2011 (VII.21.) defined the 2011-2041 strategy on the de-institutionalization of the social care homes providing services to persons with disabilities; and he also mentioned government decision No. 1023/2017 (I.24.) on the long-term concept on the de-institutionalization of the social care homes providing services to persons with disabilities for 2017-2036.</w:t>
      </w:r>
    </w:p>
    <w:p w14:paraId="060827A8" w14:textId="77777777" w:rsidR="00B526C1" w:rsidRPr="00B526C1" w:rsidRDefault="00B526C1" w:rsidP="00B526C1">
      <w:pPr>
        <w:spacing w:after="200"/>
        <w:rPr>
          <w:rFonts w:ascii="Garamond" w:hAnsi="Garamond"/>
          <w:szCs w:val="24"/>
          <w:lang w:val="en-US" w:eastAsia="hu-HU"/>
        </w:rPr>
      </w:pPr>
      <w:r w:rsidRPr="00B526C1">
        <w:rPr>
          <w:rFonts w:ascii="Garamond" w:hAnsi="Garamond"/>
          <w:szCs w:val="24"/>
          <w:lang w:val="en-US" w:eastAsia="hu-HU"/>
        </w:rPr>
        <w:t>In 2017, the de-institutionalization of institutions with more than 50 beds took place from European development funds of HUF 35 bln (for persons with disabilities, mental disorders and addictions), and in March 2017, a further amount of 53.5 bln Forints was allocated to this purpose (until 2023) by the Human Resources Development Operational Program (EFOP). For those institutions that are not in any of these categories, a modernization budget of 30-100 million Forints is available.</w:t>
      </w:r>
    </w:p>
    <w:p w14:paraId="4C654E76" w14:textId="3DE47106" w:rsidR="00940CF0" w:rsidRPr="00310AA7" w:rsidRDefault="00D1530C" w:rsidP="00B526C1">
      <w:pPr>
        <w:spacing w:after="240"/>
        <w:rPr>
          <w:rFonts w:ascii="Garamond" w:hAnsi="Garamond"/>
          <w:szCs w:val="24"/>
          <w:lang w:val="en-GB" w:eastAsia="hu-HU"/>
        </w:rPr>
      </w:pPr>
      <w:r w:rsidRPr="00D1530C">
        <w:rPr>
          <w:rFonts w:ascii="Garamond" w:hAnsi="Garamond"/>
          <w:b/>
          <w:szCs w:val="24"/>
          <w:lang w:val="en-GB" w:eastAsia="hu-HU"/>
        </w:rPr>
        <w:t xml:space="preserve">Case No. </w:t>
      </w:r>
      <w:r w:rsidR="00940CF0" w:rsidRPr="00310AA7">
        <w:rPr>
          <w:rFonts w:ascii="Garamond" w:hAnsi="Garamond"/>
          <w:b/>
          <w:szCs w:val="24"/>
          <w:lang w:val="en-GB" w:eastAsia="hu-HU"/>
        </w:rPr>
        <w:t>AJB-458/2019.</w:t>
      </w:r>
      <w:r w:rsidR="00940CF0" w:rsidRPr="00310AA7">
        <w:rPr>
          <w:rFonts w:ascii="Garamond" w:hAnsi="Garamond"/>
          <w:szCs w:val="24"/>
          <w:lang w:val="en-GB" w:eastAsia="hu-HU"/>
        </w:rPr>
        <w:t xml:space="preserve"> </w:t>
      </w:r>
      <w:r w:rsidR="00940CF0" w:rsidRPr="00310AA7">
        <w:rPr>
          <w:rFonts w:ascii="Garamond" w:hAnsi="Garamond"/>
          <w:color w:val="000000"/>
          <w:szCs w:val="24"/>
          <w:lang w:val="en-GB"/>
        </w:rPr>
        <w:t>The Commissioner received a detailed complaint related to the integrated home for disabled persons in Mozsgó. The complaint informed the Commissioner of grave violations of fundamental rights and inhumane living conditions. Multiple short video footages were attached to the complaint. The Commissioner conducted a field visit without prior notice. Allegations of abuse could not be confirmed nor declined based on the findings of the visit. Nevertheless, the report highlighted challenges and issues related to the functioning of the institution. The report pointed out that all large scale institutions are at a greater risk of abuse cases, which results from systematic shortcomings of these social institutions. Large institutions create a hierarchic order that is unsuitable for the protection of persons with disabilities. The risk of abuse is high in any institution where vulnerable persons are excluded from society and live behind closed doors.</w:t>
      </w:r>
    </w:p>
    <w:p w14:paraId="2916B36C" w14:textId="61640507" w:rsidR="00940CF0" w:rsidRPr="00310AA7" w:rsidRDefault="00940CF0" w:rsidP="00290E90">
      <w:pPr>
        <w:pStyle w:val="Cmsor1"/>
        <w:rPr>
          <w:lang w:val="en-GB"/>
        </w:rPr>
      </w:pPr>
      <w:bookmarkStart w:id="10" w:name="_Toc31958376"/>
      <w:r w:rsidRPr="00310AA7">
        <w:rPr>
          <w:lang w:val="en-GB"/>
        </w:rPr>
        <w:lastRenderedPageBreak/>
        <w:t>Appendix 2. Relevant activity of the Commissioner as the OPCAT National Preventive Mechanism</w:t>
      </w:r>
      <w:r w:rsidR="006A50C7" w:rsidRPr="00310AA7">
        <w:rPr>
          <w:rStyle w:val="Lbjegyzet-hivatkozs"/>
          <w:lang w:val="en-GB"/>
        </w:rPr>
        <w:footnoteReference w:id="12"/>
      </w:r>
      <w:bookmarkEnd w:id="10"/>
    </w:p>
    <w:p w14:paraId="66EE07FB" w14:textId="77777777" w:rsidR="00940CF0" w:rsidRPr="00310AA7" w:rsidRDefault="00940CF0" w:rsidP="00940CF0">
      <w:pPr>
        <w:rPr>
          <w:rFonts w:ascii="Garamond" w:hAnsi="Garamond"/>
          <w:b/>
          <w:szCs w:val="24"/>
          <w:lang w:val="en-GB"/>
        </w:rPr>
      </w:pPr>
    </w:p>
    <w:p w14:paraId="4015869A" w14:textId="77777777" w:rsidR="00940CF0" w:rsidRPr="00310AA7" w:rsidRDefault="00940CF0" w:rsidP="00940CF0">
      <w:pPr>
        <w:rPr>
          <w:rFonts w:ascii="Garamond" w:hAnsi="Garamond"/>
          <w:b/>
          <w:szCs w:val="24"/>
          <w:lang w:val="en-GB"/>
        </w:rPr>
      </w:pPr>
      <w:r w:rsidRPr="00310AA7">
        <w:rPr>
          <w:rFonts w:ascii="Garamond" w:hAnsi="Garamond"/>
          <w:b/>
          <w:szCs w:val="24"/>
          <w:lang w:val="en-GB"/>
        </w:rPr>
        <w:t>Accessibility (art. 9)</w:t>
      </w:r>
    </w:p>
    <w:p w14:paraId="792C375B" w14:textId="77777777" w:rsidR="00940CF0" w:rsidRPr="00310AA7" w:rsidRDefault="00940CF0" w:rsidP="00940CF0">
      <w:pPr>
        <w:rPr>
          <w:rFonts w:ascii="Garamond" w:hAnsi="Garamond"/>
          <w:szCs w:val="24"/>
          <w:lang w:val="en-GB"/>
        </w:rPr>
      </w:pPr>
      <w:r w:rsidRPr="00310AA7">
        <w:rPr>
          <w:rFonts w:ascii="Garamond" w:hAnsi="Garamond"/>
          <w:szCs w:val="24"/>
          <w:lang w:val="en-GB"/>
        </w:rPr>
        <w:t>The NPM noted in its report on the visit to the Therapeutic House of Debrecen</w:t>
      </w:r>
      <w:r w:rsidRPr="00310AA7">
        <w:rPr>
          <w:rStyle w:val="Lbjegyzet-hivatkozs"/>
          <w:rFonts w:ascii="Garamond" w:hAnsi="Garamond"/>
          <w:szCs w:val="24"/>
          <w:lang w:val="en-GB"/>
        </w:rPr>
        <w:footnoteReference w:id="13"/>
      </w:r>
      <w:r w:rsidRPr="00310AA7">
        <w:rPr>
          <w:rFonts w:ascii="Garamond" w:hAnsi="Garamond"/>
          <w:szCs w:val="24"/>
          <w:lang w:val="en-GB"/>
        </w:rPr>
        <w:t xml:space="preserve">, in relation to the institutional nursing units, that the fact that the architectural implementations of the buildings may not allow for barrier-free movement in all cases creates an impropriety related to the prohibition of inhuman, degrading treatment set out in Article III (1) of the Fundamental Law; there is not at least six square metre place of residence in all cases in the rooms for each resident; there is not at least a bath tub or a shower and a toilet for both sexes in all cases for ten patients; in the rooms not at most four persons are placed. In this context, the NPM emphasised that the creation of these conditions should not be achieved through renovation and extension, but through continuously decreasing the number of residents and helping the residents get prepared for leading a life in the community by ensuring community based services. </w:t>
      </w:r>
    </w:p>
    <w:p w14:paraId="305490B3" w14:textId="77777777" w:rsidR="00940CF0" w:rsidRPr="00310AA7" w:rsidRDefault="00940CF0" w:rsidP="00940CF0">
      <w:pPr>
        <w:rPr>
          <w:rFonts w:ascii="Garamond" w:hAnsi="Garamond"/>
          <w:szCs w:val="24"/>
          <w:lang w:val="en-GB"/>
        </w:rPr>
      </w:pPr>
    </w:p>
    <w:p w14:paraId="373FF992" w14:textId="77777777" w:rsidR="00940CF0" w:rsidRPr="00310AA7" w:rsidRDefault="00940CF0" w:rsidP="00940CF0">
      <w:pPr>
        <w:rPr>
          <w:rFonts w:ascii="Garamond" w:hAnsi="Garamond"/>
          <w:b/>
          <w:szCs w:val="24"/>
          <w:lang w:val="en-GB"/>
        </w:rPr>
      </w:pPr>
      <w:r w:rsidRPr="00310AA7">
        <w:rPr>
          <w:rFonts w:ascii="Garamond" w:hAnsi="Garamond"/>
          <w:b/>
          <w:szCs w:val="24"/>
          <w:lang w:val="en-GB"/>
        </w:rPr>
        <w:t>Equal recognition before the law (art. 12), Living independently and being included in the community (art. 19), Participation in political and public life (art. 29)</w:t>
      </w:r>
    </w:p>
    <w:p w14:paraId="0049C9FE" w14:textId="77777777" w:rsidR="00940CF0" w:rsidRPr="00310AA7" w:rsidRDefault="00940CF0" w:rsidP="00940CF0">
      <w:pPr>
        <w:pStyle w:val="Default"/>
        <w:spacing w:line="360" w:lineRule="auto"/>
        <w:jc w:val="both"/>
        <w:rPr>
          <w:rFonts w:ascii="Garamond" w:hAnsi="Garamond"/>
          <w:color w:val="auto"/>
          <w:lang w:val="en-GB"/>
        </w:rPr>
      </w:pPr>
      <w:r w:rsidRPr="00310AA7">
        <w:rPr>
          <w:rFonts w:ascii="Garamond" w:hAnsi="Garamond"/>
          <w:color w:val="auto"/>
          <w:lang w:val="en-GB"/>
        </w:rPr>
        <w:t xml:space="preserve">Regarding the preparation of the independent living and being included in the community, the NPM has stressed in its report on the visit </w:t>
      </w:r>
      <w:r w:rsidRPr="00310AA7">
        <w:rPr>
          <w:rFonts w:ascii="Garamond" w:hAnsi="Garamond"/>
          <w:lang w:val="en-GB"/>
        </w:rPr>
        <w:t>to the Therapeutic House of Debrecen</w:t>
      </w:r>
      <w:r w:rsidRPr="00310AA7">
        <w:rPr>
          <w:rStyle w:val="Lbjegyzet-hivatkozs"/>
          <w:rFonts w:ascii="Garamond" w:hAnsi="Garamond"/>
          <w:lang w:val="en-GB"/>
        </w:rPr>
        <w:footnoteReference w:id="14"/>
      </w:r>
      <w:r w:rsidRPr="00310AA7">
        <w:rPr>
          <w:rFonts w:ascii="Garamond" w:hAnsi="Garamond"/>
          <w:color w:val="auto"/>
          <w:lang w:val="en-GB"/>
        </w:rPr>
        <w:t xml:space="preserve"> that the right of persons with disabilities to freely choose their place of residence and the related obligations of the States Parties is set out explicitly in Article 19 of the CRPD. The NPM has pointed out that on the one hand the institutional placement of persons with disabilities leads to isolation; on the other hand, it perpetuates stigmatisation as well as marginalisation. This does not only violate Articles 12 and 19 of CRPD, but it also constitutes an impropriety related to the prohibition of inhuman, degrading treatment set out in Article III. (1) of the Fundamental Law.</w:t>
      </w:r>
    </w:p>
    <w:p w14:paraId="316A0DB5" w14:textId="77777777" w:rsidR="00940CF0" w:rsidRPr="00310AA7" w:rsidRDefault="00940CF0" w:rsidP="00940CF0">
      <w:pPr>
        <w:rPr>
          <w:rFonts w:ascii="Garamond" w:hAnsi="Garamond"/>
          <w:szCs w:val="24"/>
          <w:lang w:val="en-GB"/>
        </w:rPr>
      </w:pPr>
      <w:r w:rsidRPr="00310AA7">
        <w:rPr>
          <w:rFonts w:ascii="Garamond" w:hAnsi="Garamond"/>
          <w:szCs w:val="24"/>
          <w:lang w:val="en-GB"/>
        </w:rPr>
        <w:t>Also in report on the visit to the Platán Residential Home</w:t>
      </w:r>
      <w:r w:rsidRPr="00310AA7">
        <w:rPr>
          <w:rStyle w:val="Lbjegyzet-hivatkozs"/>
          <w:rFonts w:ascii="Garamond" w:hAnsi="Garamond"/>
          <w:szCs w:val="24"/>
          <w:lang w:val="en-GB"/>
        </w:rPr>
        <w:footnoteReference w:id="15"/>
      </w:r>
      <w:r w:rsidRPr="00310AA7">
        <w:rPr>
          <w:rFonts w:ascii="Garamond" w:hAnsi="Garamond"/>
          <w:szCs w:val="24"/>
          <w:lang w:val="en-GB"/>
        </w:rPr>
        <w:t xml:space="preserve">, I pointed out that the right of the disabled persons deprived of their liberty to choose their place of residence should be respected in residential institutions as well. Presumed or actual disability, including psycho-social disability, may </w:t>
      </w:r>
      <w:r w:rsidRPr="00310AA7">
        <w:rPr>
          <w:rFonts w:ascii="Garamond" w:hAnsi="Garamond"/>
          <w:szCs w:val="24"/>
          <w:lang w:val="en-GB"/>
        </w:rPr>
        <w:lastRenderedPageBreak/>
        <w:t>not provide lawful ground for treating or placing the person concerned against his/her will in a psychiatric institution. It violates the prohibition of ill-treatment, thus it may cause a fundamental rights-related impropriety, if a person with partially limited capacity to act is placed in a residential institution against his/her will, based exclusively on the statement of his/her guardian. In order to harmonize the practice of social institutions with rules on legal capacity, the NPM initiated the amendment of Act III of 1993 on social administration and social benefits. Pursuant to the new subsection (2a) of the Act, effective as of January 01, 2017, the consent of the person is required to the placement in social institution is required in case of full or partial legal capacity, and in case of fully restricted capacity the opinion of the person being placed shall be taken into consideration to the most possible extent. The report also requested the supervisory authority to facilitate the residents’ reintegration into mainstream society, to take measures in order to make those community-based services available to persons living with disabilities leaving the institution that would allow them to receive appropriate care near their homes. The follow-up inspection</w:t>
      </w:r>
      <w:r w:rsidRPr="00310AA7">
        <w:rPr>
          <w:rStyle w:val="Lbjegyzet-hivatkozs"/>
          <w:rFonts w:ascii="Garamond" w:hAnsi="Garamond"/>
          <w:szCs w:val="24"/>
          <w:lang w:val="en-GB"/>
        </w:rPr>
        <w:footnoteReference w:id="16"/>
      </w:r>
      <w:r w:rsidRPr="00310AA7">
        <w:rPr>
          <w:rFonts w:ascii="Garamond" w:hAnsi="Garamond"/>
          <w:szCs w:val="24"/>
          <w:lang w:val="en-GB"/>
        </w:rPr>
        <w:t xml:space="preserve"> established that the management had neither supported the residents’ transfer to residential homes nor provided appropriate assistance to their starting a more independent life. The NPM suggested that the head of the institution, in accordance with Article 19 of the CRPD, should support the residents in creating a more independent life, including, in particular, their transfer to in-home support and reintegration into mainstream society.</w:t>
      </w:r>
    </w:p>
    <w:p w14:paraId="3073FA4D" w14:textId="77777777" w:rsidR="00940CF0" w:rsidRPr="00310AA7" w:rsidRDefault="00940CF0" w:rsidP="00940CF0">
      <w:pPr>
        <w:rPr>
          <w:rFonts w:ascii="Garamond" w:hAnsi="Garamond"/>
          <w:szCs w:val="24"/>
          <w:lang w:val="en-GB"/>
        </w:rPr>
      </w:pPr>
      <w:r w:rsidRPr="00310AA7">
        <w:rPr>
          <w:rFonts w:ascii="Garamond" w:hAnsi="Garamond"/>
          <w:szCs w:val="24"/>
          <w:lang w:val="en-GB"/>
        </w:rPr>
        <w:t>The NPM requested in the report on the visit to the Bóly-Görcsöny Integrated Social Institution of Baranya County</w:t>
      </w:r>
      <w:r w:rsidRPr="00310AA7">
        <w:rPr>
          <w:rStyle w:val="Lbjegyzet-hivatkozs"/>
          <w:rFonts w:ascii="Garamond" w:hAnsi="Garamond"/>
          <w:szCs w:val="24"/>
          <w:lang w:val="en-GB"/>
        </w:rPr>
        <w:footnoteReference w:id="17"/>
      </w:r>
      <w:r w:rsidRPr="00310AA7">
        <w:rPr>
          <w:rFonts w:ascii="Garamond" w:hAnsi="Garamond"/>
          <w:szCs w:val="24"/>
          <w:lang w:val="en-GB"/>
        </w:rPr>
        <w:t xml:space="preserve"> the head of the institution to hear all minors with no legal capacity and persons under guardianship invoking fully limited legal competency upon their admission to the institution and to enclose these interviews’ records with the contract on the provision of care. </w:t>
      </w:r>
    </w:p>
    <w:p w14:paraId="289A7D88" w14:textId="373114CB" w:rsidR="002D2A1D" w:rsidRPr="00663E50" w:rsidRDefault="00940CF0">
      <w:pPr>
        <w:rPr>
          <w:rFonts w:ascii="Garamond" w:hAnsi="Garamond"/>
          <w:szCs w:val="24"/>
          <w:lang w:val="en-GB"/>
        </w:rPr>
      </w:pPr>
      <w:r w:rsidRPr="00310AA7">
        <w:rPr>
          <w:rFonts w:ascii="Garamond" w:hAnsi="Garamond"/>
          <w:szCs w:val="24"/>
          <w:lang w:val="en-GB"/>
        </w:rPr>
        <w:t>In some of its reports</w:t>
      </w:r>
      <w:r w:rsidRPr="00310AA7">
        <w:rPr>
          <w:rStyle w:val="Lbjegyzet-hivatkozs"/>
          <w:rFonts w:ascii="Garamond" w:hAnsi="Garamond"/>
          <w:szCs w:val="24"/>
          <w:lang w:val="en-GB"/>
        </w:rPr>
        <w:footnoteReference w:id="18"/>
      </w:r>
      <w:r w:rsidRPr="00310AA7">
        <w:rPr>
          <w:rFonts w:ascii="Garamond" w:hAnsi="Garamond"/>
          <w:szCs w:val="24"/>
          <w:lang w:val="en-GB"/>
        </w:rPr>
        <w:t xml:space="preserve"> the NPM requested the Minister of Human Capacities to call the Government Offices’ attention to the fact that, in the case of persons over 18 years of age living in a residential institution, they have to inform the parties that, it is possible, upon request, to nominate a supporter when placement under guardianship has been initiated. The NPM also requested the head of Bóly-Görcsöny Integrated Social Institution of Baranya County</w:t>
      </w:r>
      <w:r w:rsidRPr="00310AA7">
        <w:rPr>
          <w:rStyle w:val="Lbjegyzet-hivatkozs"/>
          <w:rFonts w:ascii="Garamond" w:hAnsi="Garamond"/>
          <w:szCs w:val="24"/>
          <w:lang w:val="en-GB"/>
        </w:rPr>
        <w:footnoteReference w:id="19"/>
      </w:r>
      <w:r w:rsidRPr="00310AA7">
        <w:rPr>
          <w:rFonts w:ascii="Garamond" w:hAnsi="Garamond"/>
          <w:szCs w:val="24"/>
          <w:lang w:val="en-GB"/>
        </w:rPr>
        <w:t xml:space="preserve"> to provide a mobile ballot box to those residents who would like to exercise their right to vote. In his letter, the head of the institution informed the NPM that they would provide all assistance to those who would like to exercise their right to vote.</w:t>
      </w:r>
    </w:p>
    <w:sectPr w:rsidR="002D2A1D" w:rsidRPr="00663E50" w:rsidSect="00F27BD7">
      <w:footerReference w:type="default" r:id="rId9"/>
      <w:footerReference w:type="first" r:id="rId10"/>
      <w:pgSz w:w="11906" w:h="16838"/>
      <w:pgMar w:top="709" w:right="1417" w:bottom="1417" w:left="1417" w:header="142" w:footer="30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9C165E" w14:textId="77777777" w:rsidR="00AD41AD" w:rsidRDefault="00AD41AD" w:rsidP="00940CF0">
      <w:r>
        <w:separator/>
      </w:r>
    </w:p>
  </w:endnote>
  <w:endnote w:type="continuationSeparator" w:id="0">
    <w:p w14:paraId="40080535" w14:textId="77777777" w:rsidR="00AD41AD" w:rsidRDefault="00AD41AD" w:rsidP="00940C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New York">
    <w:altName w:val="Times New Roman"/>
    <w:panose1 w:val="020405030605060203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Garamond" w:hAnsi="Garamond"/>
      </w:rPr>
      <w:id w:val="933090729"/>
      <w:docPartObj>
        <w:docPartGallery w:val="Page Numbers (Bottom of Page)"/>
        <w:docPartUnique/>
      </w:docPartObj>
    </w:sdtPr>
    <w:sdtEndPr/>
    <w:sdtContent>
      <w:p w14:paraId="2657EF33" w14:textId="77777777" w:rsidR="00AF353C" w:rsidRPr="00F27BD7" w:rsidRDefault="00732BEF">
        <w:pPr>
          <w:pStyle w:val="llb"/>
          <w:jc w:val="center"/>
          <w:rPr>
            <w:rFonts w:ascii="Garamond" w:hAnsi="Garamond"/>
          </w:rPr>
        </w:pPr>
        <w:r w:rsidRPr="00F27BD7">
          <w:rPr>
            <w:rFonts w:ascii="Garamond" w:hAnsi="Garamond"/>
          </w:rPr>
          <w:fldChar w:fldCharType="begin"/>
        </w:r>
        <w:r w:rsidRPr="00F27BD7">
          <w:rPr>
            <w:rFonts w:ascii="Garamond" w:hAnsi="Garamond"/>
          </w:rPr>
          <w:instrText>PAGE   \* MERGEFORMAT</w:instrText>
        </w:r>
        <w:r w:rsidRPr="00F27BD7">
          <w:rPr>
            <w:rFonts w:ascii="Garamond" w:hAnsi="Garamond"/>
          </w:rPr>
          <w:fldChar w:fldCharType="separate"/>
        </w:r>
        <w:r w:rsidR="00615FF7">
          <w:rPr>
            <w:rFonts w:ascii="Garamond" w:hAnsi="Garamond"/>
            <w:noProof/>
          </w:rPr>
          <w:t>6</w:t>
        </w:r>
        <w:r w:rsidRPr="00F27BD7">
          <w:rPr>
            <w:rFonts w:ascii="Garamond" w:hAnsi="Garamond"/>
          </w:rPr>
          <w:fldChar w:fldCharType="end"/>
        </w:r>
      </w:p>
    </w:sdtContent>
  </w:sdt>
  <w:p w14:paraId="168040F6" w14:textId="77777777" w:rsidR="00AF353C" w:rsidRDefault="00615FF7">
    <w:pPr>
      <w:pStyle w:val="ll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8C3F9F" w14:textId="77777777" w:rsidR="00F27BD7" w:rsidRPr="00F27BD7" w:rsidRDefault="00615FF7" w:rsidP="00F27BD7">
    <w:pPr>
      <w:tabs>
        <w:tab w:val="center" w:pos="4536"/>
        <w:tab w:val="right" w:pos="9072"/>
      </w:tabs>
      <w:overflowPunct w:val="0"/>
      <w:autoSpaceDE w:val="0"/>
      <w:autoSpaceDN w:val="0"/>
      <w:adjustRightInd w:val="0"/>
      <w:textAlignment w:val="baseline"/>
      <w:rPr>
        <w:rFonts w:ascii="New York" w:eastAsia="Times New Roman" w:hAnsi="New York" w:cs="Times New Roman"/>
        <w:szCs w:val="20"/>
        <w:lang w:eastAsia="hu-HU"/>
      </w:rPr>
    </w:pPr>
  </w:p>
  <w:p w14:paraId="2C71A608" w14:textId="77777777" w:rsidR="00F27BD7" w:rsidRPr="00F27BD7" w:rsidRDefault="00732BEF" w:rsidP="006C5F5C">
    <w:pPr>
      <w:pBdr>
        <w:top w:val="single" w:sz="4" w:space="1" w:color="auto"/>
        <w:left w:val="single" w:sz="4" w:space="0" w:color="auto"/>
        <w:bottom w:val="single" w:sz="4" w:space="1" w:color="auto"/>
        <w:right w:val="single" w:sz="4" w:space="4" w:color="auto"/>
      </w:pBdr>
      <w:overflowPunct w:val="0"/>
      <w:autoSpaceDE w:val="0"/>
      <w:autoSpaceDN w:val="0"/>
      <w:adjustRightInd w:val="0"/>
      <w:spacing w:before="0" w:after="0" w:line="240" w:lineRule="auto"/>
      <w:jc w:val="center"/>
      <w:textAlignment w:val="baseline"/>
      <w:rPr>
        <w:rFonts w:ascii="Garamond" w:eastAsia="Times New Roman" w:hAnsi="Garamond" w:cs="Times New Roman"/>
        <w:b/>
        <w:sz w:val="14"/>
        <w:szCs w:val="16"/>
        <w:lang w:val="en-GB" w:eastAsia="hu-HU"/>
      </w:rPr>
    </w:pPr>
    <w:r w:rsidRPr="00F27BD7">
      <w:rPr>
        <w:rFonts w:ascii="Garamond" w:eastAsia="Times New Roman" w:hAnsi="Garamond" w:cs="Times New Roman"/>
        <w:b/>
        <w:sz w:val="14"/>
        <w:szCs w:val="16"/>
        <w:lang w:val="en-GB" w:eastAsia="hu-HU"/>
      </w:rPr>
      <w:t>R70 Office Building H-1074 Budapest, 70-72 Rákóczi Street; Postal address: H-1387 Budapest, Pf. 40. Phone: (+36)1 475-7100; Fax: (+36)1 269-1615</w:t>
    </w:r>
  </w:p>
  <w:p w14:paraId="1EFB50B5" w14:textId="77777777" w:rsidR="00F27BD7" w:rsidRPr="00F27BD7" w:rsidRDefault="00732BEF" w:rsidP="006C5F5C">
    <w:pPr>
      <w:pBdr>
        <w:top w:val="single" w:sz="4" w:space="1" w:color="auto"/>
        <w:left w:val="single" w:sz="4" w:space="0" w:color="auto"/>
        <w:bottom w:val="single" w:sz="4" w:space="1" w:color="auto"/>
        <w:right w:val="single" w:sz="4" w:space="4" w:color="auto"/>
      </w:pBdr>
      <w:overflowPunct w:val="0"/>
      <w:autoSpaceDE w:val="0"/>
      <w:autoSpaceDN w:val="0"/>
      <w:adjustRightInd w:val="0"/>
      <w:spacing w:before="0" w:after="0" w:line="240" w:lineRule="auto"/>
      <w:jc w:val="center"/>
      <w:textAlignment w:val="baseline"/>
      <w:rPr>
        <w:rFonts w:ascii="Garamond" w:eastAsia="Times New Roman" w:hAnsi="Garamond" w:cs="Times New Roman"/>
        <w:b/>
        <w:color w:val="0000FF"/>
        <w:sz w:val="14"/>
        <w:szCs w:val="16"/>
        <w:u w:val="single"/>
        <w:lang w:val="en-GB" w:eastAsia="hu-HU"/>
      </w:rPr>
    </w:pPr>
    <w:r w:rsidRPr="00F27BD7">
      <w:rPr>
        <w:rFonts w:ascii="Garamond" w:eastAsia="Times New Roman" w:hAnsi="Garamond" w:cs="Times New Roman"/>
        <w:b/>
        <w:sz w:val="14"/>
        <w:szCs w:val="16"/>
        <w:lang w:val="en-GB" w:eastAsia="hu-HU"/>
      </w:rPr>
      <w:t xml:space="preserve">E-mail: </w:t>
    </w:r>
    <w:hyperlink r:id="rId1" w:history="1">
      <w:r w:rsidRPr="00F27BD7">
        <w:rPr>
          <w:rFonts w:ascii="Garamond" w:eastAsia="Times New Roman" w:hAnsi="Garamond" w:cs="Times New Roman"/>
          <w:b/>
          <w:color w:val="0000FF"/>
          <w:sz w:val="14"/>
          <w:szCs w:val="16"/>
          <w:u w:val="single"/>
          <w:lang w:val="en-GB" w:eastAsia="hu-HU"/>
        </w:rPr>
        <w:t>hungarian.ombudsman@ajbh.hu</w:t>
      </w:r>
    </w:hyperlink>
    <w:r w:rsidRPr="00F27BD7">
      <w:rPr>
        <w:rFonts w:ascii="Garamond" w:eastAsia="Times New Roman" w:hAnsi="Garamond" w:cs="Times New Roman"/>
        <w:b/>
        <w:sz w:val="14"/>
        <w:szCs w:val="16"/>
        <w:lang w:val="en-GB" w:eastAsia="hu-HU"/>
      </w:rPr>
      <w:t xml:space="preserve">; Website: </w:t>
    </w:r>
    <w:hyperlink r:id="rId2" w:history="1">
      <w:r w:rsidRPr="00F27BD7">
        <w:rPr>
          <w:rFonts w:ascii="Garamond" w:eastAsia="Times New Roman" w:hAnsi="Garamond" w:cs="Times New Roman"/>
          <w:b/>
          <w:color w:val="0000FF"/>
          <w:sz w:val="14"/>
          <w:szCs w:val="16"/>
          <w:u w:val="single"/>
          <w:lang w:val="en-GB" w:eastAsia="hu-HU"/>
        </w:rPr>
        <w:t>www.ajbh.hu</w:t>
      </w:r>
    </w:hyperlink>
  </w:p>
  <w:p w14:paraId="2A53F464" w14:textId="77777777" w:rsidR="00F27BD7" w:rsidRPr="00F27BD7" w:rsidRDefault="00732BEF" w:rsidP="006C5F5C">
    <w:pPr>
      <w:pBdr>
        <w:top w:val="single" w:sz="4" w:space="1" w:color="auto"/>
        <w:left w:val="single" w:sz="4" w:space="0" w:color="auto"/>
        <w:bottom w:val="single" w:sz="4" w:space="1" w:color="auto"/>
        <w:right w:val="single" w:sz="4" w:space="4" w:color="auto"/>
      </w:pBdr>
      <w:overflowPunct w:val="0"/>
      <w:autoSpaceDE w:val="0"/>
      <w:autoSpaceDN w:val="0"/>
      <w:adjustRightInd w:val="0"/>
      <w:spacing w:before="0" w:after="0" w:line="240" w:lineRule="auto"/>
      <w:jc w:val="center"/>
      <w:textAlignment w:val="baseline"/>
      <w:rPr>
        <w:rFonts w:ascii="Garamond" w:eastAsia="Times New Roman" w:hAnsi="Garamond" w:cs="Times New Roman"/>
        <w:b/>
        <w:sz w:val="14"/>
        <w:szCs w:val="16"/>
        <w:lang w:val="en-GB" w:eastAsia="hu-HU"/>
      </w:rPr>
    </w:pPr>
    <w:r w:rsidRPr="00F27BD7">
      <w:rPr>
        <w:rFonts w:ascii="Garamond" w:eastAsia="Times New Roman" w:hAnsi="Garamond" w:cs="Times New Roman"/>
        <w:b/>
        <w:sz w:val="14"/>
        <w:szCs w:val="16"/>
        <w:lang w:val="en-GB" w:eastAsia="hu-HU"/>
      </w:rPr>
      <w:t>Data Processing Registration Number from the Hungarian National Authority for Data Protection and Freedom of Information: 40689.</w:t>
    </w:r>
  </w:p>
  <w:p w14:paraId="71D3627D" w14:textId="77777777" w:rsidR="00F27BD7" w:rsidRDefault="00615FF7">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D4D87A" w14:textId="77777777" w:rsidR="00AD41AD" w:rsidRDefault="00AD41AD" w:rsidP="00940CF0">
      <w:r>
        <w:separator/>
      </w:r>
    </w:p>
  </w:footnote>
  <w:footnote w:type="continuationSeparator" w:id="0">
    <w:p w14:paraId="7A5D8716" w14:textId="77777777" w:rsidR="00AD41AD" w:rsidRDefault="00AD41AD" w:rsidP="00940CF0">
      <w:r>
        <w:continuationSeparator/>
      </w:r>
    </w:p>
  </w:footnote>
  <w:footnote w:id="1">
    <w:p w14:paraId="6A03F61B" w14:textId="77777777" w:rsidR="003B0713" w:rsidRPr="00694FA9" w:rsidRDefault="003B0713" w:rsidP="009E26A9">
      <w:pPr>
        <w:pStyle w:val="Lbjegyzetszveg"/>
        <w:spacing w:before="0" w:after="0" w:line="240" w:lineRule="auto"/>
      </w:pPr>
      <w:r>
        <w:rPr>
          <w:rStyle w:val="Lbjegyzet-hivatkozs"/>
        </w:rPr>
        <w:footnoteRef/>
      </w:r>
      <w:r>
        <w:t xml:space="preserve"> </w:t>
      </w:r>
      <w:r w:rsidRPr="00694FA9">
        <w:rPr>
          <w:rFonts w:ascii="Garamond" w:hAnsi="Garamond"/>
          <w:lang w:val="en-GB"/>
        </w:rPr>
        <w:t xml:space="preserve">The NPM functioning shall not be adequate to the CRPD provisions on independent monitoring mechanism </w:t>
      </w:r>
      <w:r w:rsidRPr="00694FA9">
        <w:rPr>
          <w:rFonts w:ascii="Garamond" w:hAnsi="Garamond"/>
          <w:i/>
          <w:lang w:val="en-GB"/>
        </w:rPr>
        <w:t>vis-à-vis</w:t>
      </w:r>
      <w:r w:rsidRPr="00694FA9">
        <w:rPr>
          <w:rFonts w:ascii="Garamond" w:hAnsi="Garamond"/>
          <w:lang w:val="en-GB"/>
        </w:rPr>
        <w:t xml:space="preserve"> the CRPD principles, values and methodology.</w:t>
      </w:r>
    </w:p>
  </w:footnote>
  <w:footnote w:id="2">
    <w:p w14:paraId="350553FC" w14:textId="20B6A550" w:rsidR="00940CF0" w:rsidRPr="00C1408C" w:rsidRDefault="00940CF0" w:rsidP="009E26A9">
      <w:pPr>
        <w:pStyle w:val="Lbjegyzetszveg"/>
        <w:spacing w:before="0" w:after="0" w:line="240" w:lineRule="auto"/>
        <w:rPr>
          <w:rFonts w:ascii="Garamond" w:hAnsi="Garamond"/>
        </w:rPr>
      </w:pPr>
      <w:r>
        <w:rPr>
          <w:rStyle w:val="Lbjegyzet-hivatkozs"/>
        </w:rPr>
        <w:footnoteRef/>
      </w:r>
      <w:r>
        <w:t xml:space="preserve"> </w:t>
      </w:r>
      <w:r w:rsidRPr="00C1408C">
        <w:rPr>
          <w:rFonts w:ascii="Garamond" w:hAnsi="Garamond"/>
        </w:rPr>
        <w:t>Constitu</w:t>
      </w:r>
      <w:r>
        <w:rPr>
          <w:rFonts w:ascii="Garamond" w:hAnsi="Garamond"/>
        </w:rPr>
        <w:t>t</w:t>
      </w:r>
      <w:r w:rsidRPr="00C1408C">
        <w:rPr>
          <w:rFonts w:ascii="Garamond" w:hAnsi="Garamond"/>
        </w:rPr>
        <w:t>i</w:t>
      </w:r>
      <w:r>
        <w:rPr>
          <w:rFonts w:ascii="Garamond" w:hAnsi="Garamond"/>
        </w:rPr>
        <w:t>on</w:t>
      </w:r>
      <w:r w:rsidRPr="00C1408C">
        <w:rPr>
          <w:rFonts w:ascii="Garamond" w:hAnsi="Garamond"/>
        </w:rPr>
        <w:t>al Court decision 64/1991. (XII.17.) AB határozat</w:t>
      </w:r>
      <w:r>
        <w:rPr>
          <w:rFonts w:ascii="Garamond" w:hAnsi="Garamond"/>
        </w:rPr>
        <w:t>, 23/1990. (X.31.) AB határozat</w:t>
      </w:r>
      <w:r w:rsidR="009D2606">
        <w:rPr>
          <w:rFonts w:ascii="Garamond" w:hAnsi="Garamond"/>
        </w:rPr>
        <w:t>.</w:t>
      </w:r>
    </w:p>
    <w:p w14:paraId="2873ACC9" w14:textId="77777777" w:rsidR="00940CF0" w:rsidRDefault="00940CF0" w:rsidP="009E26A9">
      <w:pPr>
        <w:pStyle w:val="Lbjegyzetszveg"/>
        <w:spacing w:before="0" w:after="0" w:line="240" w:lineRule="auto"/>
      </w:pPr>
    </w:p>
  </w:footnote>
  <w:footnote w:id="3">
    <w:p w14:paraId="78B8645F" w14:textId="77777777" w:rsidR="00C75705" w:rsidRPr="006967C8" w:rsidRDefault="00C75705" w:rsidP="009E26A9">
      <w:pPr>
        <w:spacing w:before="0" w:after="0" w:line="240" w:lineRule="auto"/>
        <w:outlineLvl w:val="0"/>
        <w:rPr>
          <w:rFonts w:ascii="Garamond" w:eastAsia="Times New Roman" w:hAnsi="Garamond" w:cs="Times New Roman"/>
          <w:szCs w:val="24"/>
          <w:highlight w:val="yellow"/>
          <w:lang w:eastAsia="hu-HU"/>
        </w:rPr>
      </w:pPr>
      <w:r w:rsidRPr="006967C8">
        <w:rPr>
          <w:rStyle w:val="Lbjegyzet-hivatkozs"/>
          <w:rFonts w:ascii="Garamond" w:hAnsi="Garamond"/>
        </w:rPr>
        <w:footnoteRef/>
      </w:r>
      <w:r w:rsidRPr="006967C8">
        <w:rPr>
          <w:rFonts w:ascii="Garamond" w:hAnsi="Garamond"/>
        </w:rPr>
        <w:t xml:space="preserve"> </w:t>
      </w:r>
      <w:r w:rsidR="006967C8" w:rsidRPr="00D1530C">
        <w:rPr>
          <w:rFonts w:ascii="Garamond" w:hAnsi="Garamond"/>
          <w:sz w:val="20"/>
        </w:rPr>
        <w:t>C</w:t>
      </w:r>
      <w:r w:rsidRPr="006967C8">
        <w:rPr>
          <w:rFonts w:ascii="Garamond" w:eastAsia="Times New Roman" w:hAnsi="Garamond" w:cs="Times New Roman"/>
          <w:sz w:val="20"/>
          <w:szCs w:val="20"/>
          <w:lang w:eastAsia="hu-HU"/>
        </w:rPr>
        <w:t>ase No. AJB-653/2018, Sümeg-Darvastó, case No. AJB-257/2017, Göd-based TOPhÁZ Special Home.</w:t>
      </w:r>
    </w:p>
  </w:footnote>
  <w:footnote w:id="4">
    <w:p w14:paraId="54EF8A0B" w14:textId="77777777" w:rsidR="008E7AB1" w:rsidRPr="006967C8" w:rsidRDefault="008E7AB1" w:rsidP="009E26A9">
      <w:pPr>
        <w:pStyle w:val="Lbjegyzetszveg"/>
        <w:spacing w:before="0" w:after="0" w:line="240" w:lineRule="auto"/>
        <w:rPr>
          <w:rFonts w:ascii="Garamond" w:hAnsi="Garamond"/>
        </w:rPr>
      </w:pPr>
      <w:r w:rsidRPr="006967C8">
        <w:rPr>
          <w:rStyle w:val="Lbjegyzet-hivatkozs"/>
          <w:rFonts w:ascii="Garamond" w:hAnsi="Garamond"/>
        </w:rPr>
        <w:footnoteRef/>
      </w:r>
      <w:r w:rsidRPr="006967C8">
        <w:rPr>
          <w:rFonts w:ascii="Garamond" w:hAnsi="Garamond"/>
        </w:rPr>
        <w:t xml:space="preserve"> </w:t>
      </w:r>
      <w:r w:rsidR="006967C8" w:rsidRPr="006967C8">
        <w:rPr>
          <w:rFonts w:ascii="Garamond" w:hAnsi="Garamond"/>
        </w:rPr>
        <w:t>C</w:t>
      </w:r>
      <w:r w:rsidRPr="006967C8">
        <w:rPr>
          <w:rFonts w:ascii="Garamond" w:hAnsi="Garamond"/>
        </w:rPr>
        <w:t xml:space="preserve">ase No. AJB-458/2019  </w:t>
      </w:r>
    </w:p>
  </w:footnote>
  <w:footnote w:id="5">
    <w:p w14:paraId="048FB9D1" w14:textId="77777777" w:rsidR="008E7AB1" w:rsidRDefault="008E7AB1" w:rsidP="009E26A9">
      <w:pPr>
        <w:pStyle w:val="Lbjegyzetszveg"/>
        <w:spacing w:before="0" w:after="0" w:line="240" w:lineRule="auto"/>
      </w:pPr>
      <w:r w:rsidRPr="006967C8">
        <w:rPr>
          <w:rStyle w:val="Lbjegyzet-hivatkozs"/>
          <w:rFonts w:ascii="Garamond" w:hAnsi="Garamond"/>
        </w:rPr>
        <w:footnoteRef/>
      </w:r>
      <w:r w:rsidR="006967C8" w:rsidRPr="006967C8">
        <w:rPr>
          <w:rFonts w:ascii="Garamond" w:hAnsi="Garamond"/>
        </w:rPr>
        <w:t xml:space="preserve"> C</w:t>
      </w:r>
      <w:r w:rsidRPr="006967C8">
        <w:rPr>
          <w:rFonts w:ascii="Garamond" w:hAnsi="Garamond"/>
        </w:rPr>
        <w:t>ase No. AJB-560/2017</w:t>
      </w:r>
    </w:p>
  </w:footnote>
  <w:footnote w:id="6">
    <w:p w14:paraId="18D83708" w14:textId="77777777" w:rsidR="00CC3D48" w:rsidRPr="006967C8" w:rsidRDefault="00CC3D48" w:rsidP="009E26A9">
      <w:pPr>
        <w:pStyle w:val="Lbjegyzetszveg"/>
        <w:spacing w:before="0" w:after="0" w:line="240" w:lineRule="auto"/>
        <w:rPr>
          <w:rFonts w:ascii="Garamond" w:hAnsi="Garamond"/>
        </w:rPr>
      </w:pPr>
      <w:r w:rsidRPr="006967C8">
        <w:rPr>
          <w:rStyle w:val="Lbjegyzet-hivatkozs"/>
          <w:rFonts w:ascii="Garamond" w:hAnsi="Garamond"/>
        </w:rPr>
        <w:footnoteRef/>
      </w:r>
      <w:r w:rsidR="006967C8" w:rsidRPr="006967C8">
        <w:rPr>
          <w:rFonts w:ascii="Garamond" w:hAnsi="Garamond"/>
        </w:rPr>
        <w:t xml:space="preserve"> C</w:t>
      </w:r>
      <w:r w:rsidRPr="006967C8">
        <w:rPr>
          <w:rFonts w:ascii="Garamond" w:hAnsi="Garamond"/>
        </w:rPr>
        <w:t>ase No. AJB-2123/2017</w:t>
      </w:r>
    </w:p>
  </w:footnote>
  <w:footnote w:id="7">
    <w:p w14:paraId="39C3F8E9" w14:textId="77777777" w:rsidR="00334B55" w:rsidRDefault="00334B55" w:rsidP="009E26A9">
      <w:pPr>
        <w:pStyle w:val="Lbjegyzetszveg"/>
        <w:spacing w:before="0" w:after="0" w:line="240" w:lineRule="auto"/>
      </w:pPr>
      <w:r w:rsidRPr="006967C8">
        <w:rPr>
          <w:rStyle w:val="Lbjegyzet-hivatkozs"/>
          <w:rFonts w:ascii="Garamond" w:hAnsi="Garamond"/>
        </w:rPr>
        <w:footnoteRef/>
      </w:r>
      <w:r w:rsidRPr="006967C8">
        <w:rPr>
          <w:rFonts w:ascii="Garamond" w:hAnsi="Garamond"/>
        </w:rPr>
        <w:t xml:space="preserve"> </w:t>
      </w:r>
      <w:r w:rsidR="006967C8" w:rsidRPr="006967C8">
        <w:rPr>
          <w:rFonts w:ascii="Garamond" w:eastAsia="Times New Roman" w:hAnsi="Garamond" w:cs="Times New Roman"/>
          <w:lang w:eastAsia="hu-HU"/>
        </w:rPr>
        <w:t>C</w:t>
      </w:r>
      <w:r w:rsidRPr="006967C8">
        <w:rPr>
          <w:rFonts w:ascii="Garamond" w:eastAsia="Times New Roman" w:hAnsi="Garamond" w:cs="Times New Roman"/>
          <w:lang w:eastAsia="hu-HU"/>
        </w:rPr>
        <w:t>ase No. AJB-1195/2017</w:t>
      </w:r>
    </w:p>
  </w:footnote>
  <w:footnote w:id="8">
    <w:p w14:paraId="2E30D5AB" w14:textId="1F0BFEE8" w:rsidR="003B0713" w:rsidRPr="009D2606" w:rsidRDefault="00DF1E79" w:rsidP="009E26A9">
      <w:pPr>
        <w:spacing w:before="0" w:after="0" w:line="240" w:lineRule="auto"/>
        <w:rPr>
          <w:rFonts w:ascii="Garamond" w:eastAsia="Calibri" w:hAnsi="Garamond" w:cs="Times New Roman"/>
          <w:sz w:val="20"/>
          <w:szCs w:val="20"/>
          <w:lang w:val="en-GB"/>
        </w:rPr>
      </w:pPr>
      <w:r w:rsidRPr="009D2606">
        <w:rPr>
          <w:rStyle w:val="Lbjegyzet-hivatkozs"/>
          <w:rFonts w:ascii="Garamond" w:hAnsi="Garamond"/>
          <w:sz w:val="20"/>
          <w:szCs w:val="20"/>
        </w:rPr>
        <w:footnoteRef/>
      </w:r>
      <w:r w:rsidRPr="009D2606">
        <w:rPr>
          <w:rFonts w:ascii="Garamond" w:hAnsi="Garamond"/>
          <w:sz w:val="20"/>
          <w:szCs w:val="20"/>
        </w:rPr>
        <w:t xml:space="preserve"> </w:t>
      </w:r>
      <w:r w:rsidR="00D1530C" w:rsidRPr="00D1530C">
        <w:rPr>
          <w:rFonts w:ascii="Garamond" w:hAnsi="Garamond"/>
          <w:sz w:val="20"/>
          <w:szCs w:val="20"/>
        </w:rPr>
        <w:t xml:space="preserve">Case No. </w:t>
      </w:r>
      <w:r w:rsidRPr="009D2606">
        <w:rPr>
          <w:rFonts w:ascii="Garamond" w:hAnsi="Garamond"/>
          <w:sz w:val="20"/>
          <w:szCs w:val="20"/>
        </w:rPr>
        <w:t>AJB-2580/2013.</w:t>
      </w:r>
      <w:r w:rsidR="003B0713" w:rsidRPr="009D2606">
        <w:rPr>
          <w:rFonts w:ascii="Garamond" w:hAnsi="Garamond"/>
          <w:sz w:val="20"/>
          <w:szCs w:val="20"/>
        </w:rPr>
        <w:t xml:space="preserve"> </w:t>
      </w:r>
      <w:r w:rsidR="003B0713" w:rsidRPr="009D2606">
        <w:rPr>
          <w:rFonts w:ascii="Garamond" w:eastAsia="Calibri" w:hAnsi="Garamond" w:cs="Times New Roman"/>
          <w:sz w:val="20"/>
          <w:szCs w:val="20"/>
          <w:lang w:val="en-GB"/>
        </w:rPr>
        <w:t>The Constitutional Court reviewed the petition on its merits and rejected it.</w:t>
      </w:r>
    </w:p>
    <w:p w14:paraId="2281BE7D" w14:textId="77777777" w:rsidR="00DF1E79" w:rsidRDefault="00DF1E79" w:rsidP="009E26A9">
      <w:pPr>
        <w:pStyle w:val="Lbjegyzetszveg"/>
        <w:spacing w:before="0" w:after="0" w:line="240" w:lineRule="auto"/>
      </w:pPr>
    </w:p>
  </w:footnote>
  <w:footnote w:id="9">
    <w:p w14:paraId="08D1F44B" w14:textId="77777777" w:rsidR="00A6752A" w:rsidRPr="00D4263A" w:rsidRDefault="00A6752A" w:rsidP="009E26A9">
      <w:pPr>
        <w:pStyle w:val="Lbjegyzetszveg"/>
        <w:spacing w:before="0" w:after="0" w:line="240" w:lineRule="auto"/>
        <w:rPr>
          <w:rFonts w:ascii="Garamond" w:hAnsi="Garamond"/>
        </w:rPr>
      </w:pPr>
      <w:r>
        <w:rPr>
          <w:rStyle w:val="Lbjegyzet-hivatkozs"/>
        </w:rPr>
        <w:footnoteRef/>
      </w:r>
      <w:r>
        <w:t xml:space="preserve"> </w:t>
      </w:r>
      <w:hyperlink r:id="rId1" w:history="1">
        <w:r w:rsidRPr="00D4263A">
          <w:rPr>
            <w:rStyle w:val="Hiperhivatkozs"/>
            <w:rFonts w:ascii="Garamond" w:hAnsi="Garamond"/>
          </w:rPr>
          <w:t>Enabling Citizens To Plan For Incapacity</w:t>
        </w:r>
      </w:hyperlink>
      <w:r w:rsidRPr="00D4263A">
        <w:rPr>
          <w:rFonts w:ascii="Garamond" w:hAnsi="Garamond"/>
        </w:rPr>
        <w:t>. Report prepared by Mr Adrian D. Ward on behalf of the European Committee on Legal Co-operation.</w:t>
      </w:r>
    </w:p>
  </w:footnote>
  <w:footnote w:id="10">
    <w:p w14:paraId="5FBB6AF7" w14:textId="13F6BFE1" w:rsidR="002A1D68" w:rsidRDefault="002A1D68" w:rsidP="009E26A9">
      <w:pPr>
        <w:pStyle w:val="Lbjegyzetszveg"/>
        <w:spacing w:line="240" w:lineRule="auto"/>
      </w:pPr>
      <w:r>
        <w:rPr>
          <w:rStyle w:val="Lbjegyzet-hivatkozs"/>
        </w:rPr>
        <w:footnoteRef/>
      </w:r>
      <w:r>
        <w:t xml:space="preserve"> Full reports (in Hungarian) are available at: </w:t>
      </w:r>
      <w:hyperlink r:id="rId2" w:history="1">
        <w:r w:rsidRPr="00743F4B">
          <w:rPr>
            <w:rStyle w:val="Hiperhivatkozs"/>
          </w:rPr>
          <w:t>http://www.ajbh.hu/hu/jelentesek-inditvanyok-allasfoglalasok</w:t>
        </w:r>
      </w:hyperlink>
      <w:r>
        <w:t xml:space="preserve"> </w:t>
      </w:r>
    </w:p>
  </w:footnote>
  <w:footnote w:id="11">
    <w:p w14:paraId="153F522B" w14:textId="47457BCF" w:rsidR="006A50C7" w:rsidRDefault="006A50C7" w:rsidP="009E26A9">
      <w:pPr>
        <w:pStyle w:val="Lbjegyzetszveg"/>
        <w:spacing w:line="240" w:lineRule="auto"/>
      </w:pPr>
      <w:r>
        <w:rPr>
          <w:rStyle w:val="Lbjegyzet-hivatkozs"/>
        </w:rPr>
        <w:footnoteRef/>
      </w:r>
      <w:r>
        <w:t xml:space="preserve"> For the Annual Reports of the Commissioner and his Deputies</w:t>
      </w:r>
      <w:r w:rsidR="002A1D68">
        <w:t xml:space="preserve"> (in English)</w:t>
      </w:r>
      <w:r>
        <w:t xml:space="preserve"> please visit: </w:t>
      </w:r>
      <w:hyperlink r:id="rId3" w:history="1">
        <w:r w:rsidRPr="00743F4B">
          <w:rPr>
            <w:rStyle w:val="Hiperhivatkozs"/>
          </w:rPr>
          <w:t>http://www.ajbh.hu/en/web/ajbh-en/annual-reports</w:t>
        </w:r>
      </w:hyperlink>
      <w:r>
        <w:t xml:space="preserve"> </w:t>
      </w:r>
    </w:p>
  </w:footnote>
  <w:footnote w:id="12">
    <w:p w14:paraId="5521C252" w14:textId="038E25B9" w:rsidR="006A50C7" w:rsidRDefault="006A50C7" w:rsidP="009E26A9">
      <w:pPr>
        <w:pStyle w:val="Lbjegyzetszveg"/>
        <w:spacing w:line="240" w:lineRule="auto"/>
      </w:pPr>
      <w:r>
        <w:rPr>
          <w:rStyle w:val="Lbjegyzet-hivatkozs"/>
        </w:rPr>
        <w:footnoteRef/>
      </w:r>
      <w:r>
        <w:t xml:space="preserve"> For the </w:t>
      </w:r>
      <w:r w:rsidRPr="006A50C7">
        <w:t>Comprehensive Annual Report of the Commissioner for Fudamental Rights on the Activities of the OPCAT National Preventive Mechanism</w:t>
      </w:r>
      <w:r w:rsidR="002A1D68">
        <w:t xml:space="preserve"> (in English)</w:t>
      </w:r>
      <w:r>
        <w:t xml:space="preserve"> please visit:  </w:t>
      </w:r>
      <w:hyperlink r:id="rId4" w:history="1">
        <w:r w:rsidRPr="00743F4B">
          <w:rPr>
            <w:rStyle w:val="Hiperhivatkozs"/>
          </w:rPr>
          <w:t>http://www.ajbh.hu/en/web/ajbh-en/opcat-annual-reports</w:t>
        </w:r>
      </w:hyperlink>
      <w:r>
        <w:t xml:space="preserve"> </w:t>
      </w:r>
    </w:p>
  </w:footnote>
  <w:footnote w:id="13">
    <w:p w14:paraId="1141A55B" w14:textId="2880D24C" w:rsidR="00940CF0" w:rsidRPr="00535FE9" w:rsidRDefault="00940CF0" w:rsidP="009E26A9">
      <w:pPr>
        <w:pStyle w:val="Lbjegyzetszveg"/>
        <w:spacing w:before="0" w:after="0" w:line="240" w:lineRule="auto"/>
        <w:rPr>
          <w:rFonts w:ascii="Garamond" w:hAnsi="Garamond"/>
        </w:rPr>
      </w:pPr>
      <w:r w:rsidRPr="00535FE9">
        <w:rPr>
          <w:rStyle w:val="Lbjegyzet-hivatkozs"/>
          <w:rFonts w:ascii="Garamond" w:hAnsi="Garamond"/>
        </w:rPr>
        <w:footnoteRef/>
      </w:r>
      <w:r w:rsidRPr="00535FE9">
        <w:rPr>
          <w:rFonts w:ascii="Garamond" w:hAnsi="Garamond"/>
        </w:rPr>
        <w:t xml:space="preserve"> </w:t>
      </w:r>
      <w:r w:rsidR="00D1530C" w:rsidRPr="00D1530C">
        <w:rPr>
          <w:rFonts w:ascii="Garamond" w:hAnsi="Garamond"/>
        </w:rPr>
        <w:t xml:space="preserve">Case No. </w:t>
      </w:r>
      <w:r w:rsidRPr="00535FE9">
        <w:rPr>
          <w:rFonts w:ascii="Garamond" w:hAnsi="Garamond"/>
        </w:rPr>
        <w:t>AJB-371/2015</w:t>
      </w:r>
    </w:p>
  </w:footnote>
  <w:footnote w:id="14">
    <w:p w14:paraId="1E715B51" w14:textId="3B7847B8" w:rsidR="00940CF0" w:rsidRPr="00023BB3" w:rsidRDefault="00940CF0" w:rsidP="009E26A9">
      <w:pPr>
        <w:pStyle w:val="Lbjegyzetszveg"/>
        <w:spacing w:before="0" w:after="0" w:line="240" w:lineRule="auto"/>
        <w:rPr>
          <w:rFonts w:ascii="Garamond" w:hAnsi="Garamond"/>
        </w:rPr>
      </w:pPr>
      <w:r w:rsidRPr="00023BB3">
        <w:rPr>
          <w:rStyle w:val="Lbjegyzet-hivatkozs"/>
          <w:rFonts w:ascii="Garamond" w:hAnsi="Garamond"/>
        </w:rPr>
        <w:footnoteRef/>
      </w:r>
      <w:r w:rsidRPr="00023BB3">
        <w:rPr>
          <w:rFonts w:ascii="Garamond" w:hAnsi="Garamond"/>
        </w:rPr>
        <w:t xml:space="preserve"> </w:t>
      </w:r>
      <w:r w:rsidR="00D1530C" w:rsidRPr="00D1530C">
        <w:rPr>
          <w:rFonts w:ascii="Garamond" w:hAnsi="Garamond"/>
        </w:rPr>
        <w:t xml:space="preserve">Case No. </w:t>
      </w:r>
      <w:r w:rsidRPr="00023BB3">
        <w:rPr>
          <w:rFonts w:ascii="Garamond" w:hAnsi="Garamond"/>
        </w:rPr>
        <w:t>AJB-371/2015</w:t>
      </w:r>
    </w:p>
  </w:footnote>
  <w:footnote w:id="15">
    <w:p w14:paraId="7DC9024C" w14:textId="45497721" w:rsidR="00940CF0" w:rsidRPr="00023BB3" w:rsidRDefault="00940CF0" w:rsidP="009E26A9">
      <w:pPr>
        <w:pStyle w:val="Lbjegyzetszveg"/>
        <w:spacing w:before="0" w:after="0" w:line="240" w:lineRule="auto"/>
        <w:rPr>
          <w:rFonts w:ascii="Garamond" w:hAnsi="Garamond"/>
        </w:rPr>
      </w:pPr>
      <w:r w:rsidRPr="00023BB3">
        <w:rPr>
          <w:rStyle w:val="Lbjegyzet-hivatkozs"/>
          <w:rFonts w:ascii="Garamond" w:hAnsi="Garamond"/>
        </w:rPr>
        <w:footnoteRef/>
      </w:r>
      <w:r w:rsidRPr="00023BB3">
        <w:rPr>
          <w:rFonts w:ascii="Garamond" w:hAnsi="Garamond"/>
        </w:rPr>
        <w:t xml:space="preserve"> </w:t>
      </w:r>
      <w:r w:rsidR="00D1530C" w:rsidRPr="00D1530C">
        <w:rPr>
          <w:rFonts w:ascii="Garamond" w:hAnsi="Garamond"/>
        </w:rPr>
        <w:t xml:space="preserve">Case No. </w:t>
      </w:r>
      <w:r w:rsidRPr="00023BB3">
        <w:rPr>
          <w:rFonts w:ascii="Garamond" w:hAnsi="Garamond"/>
        </w:rPr>
        <w:t>AJB-1686/2015</w:t>
      </w:r>
    </w:p>
  </w:footnote>
  <w:footnote w:id="16">
    <w:p w14:paraId="236A0F94" w14:textId="2B16B7FA" w:rsidR="00940CF0" w:rsidRPr="00023BB3" w:rsidRDefault="00940CF0" w:rsidP="009E26A9">
      <w:pPr>
        <w:pStyle w:val="Lbjegyzetszveg"/>
        <w:spacing w:before="0" w:after="0" w:line="240" w:lineRule="auto"/>
        <w:rPr>
          <w:rFonts w:ascii="Garamond" w:hAnsi="Garamond"/>
        </w:rPr>
      </w:pPr>
      <w:r w:rsidRPr="00023BB3">
        <w:rPr>
          <w:rStyle w:val="Lbjegyzet-hivatkozs"/>
          <w:rFonts w:ascii="Garamond" w:hAnsi="Garamond"/>
        </w:rPr>
        <w:footnoteRef/>
      </w:r>
      <w:r w:rsidRPr="00023BB3">
        <w:rPr>
          <w:rFonts w:ascii="Garamond" w:hAnsi="Garamond"/>
        </w:rPr>
        <w:t xml:space="preserve"> </w:t>
      </w:r>
      <w:r w:rsidR="00D1530C" w:rsidRPr="00D1530C">
        <w:rPr>
          <w:rFonts w:ascii="Garamond" w:hAnsi="Garamond"/>
        </w:rPr>
        <w:t xml:space="preserve">Case No. </w:t>
      </w:r>
      <w:r w:rsidRPr="00023BB3">
        <w:rPr>
          <w:rFonts w:ascii="Garamond" w:hAnsi="Garamond"/>
        </w:rPr>
        <w:t>AJB-3772/2017</w:t>
      </w:r>
    </w:p>
  </w:footnote>
  <w:footnote w:id="17">
    <w:p w14:paraId="36E45EE2" w14:textId="74EBD62E" w:rsidR="00940CF0" w:rsidRPr="00023BB3" w:rsidRDefault="00940CF0" w:rsidP="009E26A9">
      <w:pPr>
        <w:pStyle w:val="Lbjegyzetszveg"/>
        <w:spacing w:before="0" w:after="0" w:line="240" w:lineRule="auto"/>
        <w:rPr>
          <w:rFonts w:ascii="Garamond" w:hAnsi="Garamond"/>
        </w:rPr>
      </w:pPr>
      <w:r w:rsidRPr="00023BB3">
        <w:rPr>
          <w:rStyle w:val="Lbjegyzet-hivatkozs"/>
          <w:rFonts w:ascii="Garamond" w:hAnsi="Garamond"/>
        </w:rPr>
        <w:footnoteRef/>
      </w:r>
      <w:r w:rsidRPr="00023BB3">
        <w:rPr>
          <w:rFonts w:ascii="Garamond" w:hAnsi="Garamond"/>
        </w:rPr>
        <w:t xml:space="preserve"> </w:t>
      </w:r>
      <w:r w:rsidR="00D1530C" w:rsidRPr="00D1530C">
        <w:rPr>
          <w:rFonts w:ascii="Garamond" w:hAnsi="Garamond"/>
        </w:rPr>
        <w:t xml:space="preserve">Case No. </w:t>
      </w:r>
      <w:r w:rsidRPr="00023BB3">
        <w:rPr>
          <w:rFonts w:ascii="Garamond" w:hAnsi="Garamond"/>
        </w:rPr>
        <w:t>AJB-1383/2017</w:t>
      </w:r>
    </w:p>
  </w:footnote>
  <w:footnote w:id="18">
    <w:p w14:paraId="7218CDD4" w14:textId="14400392" w:rsidR="00940CF0" w:rsidRPr="00023BB3" w:rsidRDefault="00940CF0" w:rsidP="009E26A9">
      <w:pPr>
        <w:pStyle w:val="Lbjegyzetszveg"/>
        <w:spacing w:before="0" w:after="0" w:line="240" w:lineRule="auto"/>
        <w:rPr>
          <w:rFonts w:ascii="Garamond" w:hAnsi="Garamond"/>
        </w:rPr>
      </w:pPr>
      <w:r w:rsidRPr="00023BB3">
        <w:rPr>
          <w:rStyle w:val="Lbjegyzet-hivatkozs"/>
          <w:rFonts w:ascii="Garamond" w:hAnsi="Garamond"/>
        </w:rPr>
        <w:footnoteRef/>
      </w:r>
      <w:r w:rsidRPr="00023BB3">
        <w:rPr>
          <w:rFonts w:ascii="Garamond" w:hAnsi="Garamond"/>
        </w:rPr>
        <w:t xml:space="preserve"> </w:t>
      </w:r>
      <w:r w:rsidR="00D1530C" w:rsidRPr="00D1530C">
        <w:rPr>
          <w:rFonts w:ascii="Garamond" w:hAnsi="Garamond"/>
        </w:rPr>
        <w:t xml:space="preserve">Case No. </w:t>
      </w:r>
      <w:r w:rsidRPr="00023BB3">
        <w:rPr>
          <w:rFonts w:ascii="Garamond" w:hAnsi="Garamond"/>
        </w:rPr>
        <w:t xml:space="preserve">AJB-1383/2017, </w:t>
      </w:r>
      <w:r w:rsidR="00D1530C" w:rsidRPr="00D1530C">
        <w:rPr>
          <w:rFonts w:ascii="Garamond" w:hAnsi="Garamond"/>
        </w:rPr>
        <w:t xml:space="preserve">Case No. </w:t>
      </w:r>
      <w:r w:rsidRPr="00023BB3">
        <w:rPr>
          <w:rFonts w:ascii="Garamond" w:hAnsi="Garamond"/>
        </w:rPr>
        <w:t>AJB-406/2018</w:t>
      </w:r>
    </w:p>
  </w:footnote>
  <w:footnote w:id="19">
    <w:p w14:paraId="3C9D3407" w14:textId="757B9D8F" w:rsidR="00940CF0" w:rsidRPr="00023BB3" w:rsidRDefault="00940CF0" w:rsidP="009E26A9">
      <w:pPr>
        <w:pStyle w:val="Lbjegyzetszveg"/>
        <w:spacing w:before="0" w:after="0" w:line="240" w:lineRule="auto"/>
        <w:rPr>
          <w:rFonts w:ascii="Garamond" w:hAnsi="Garamond"/>
        </w:rPr>
      </w:pPr>
      <w:r w:rsidRPr="00023BB3">
        <w:rPr>
          <w:rStyle w:val="Lbjegyzet-hivatkozs"/>
          <w:rFonts w:ascii="Garamond" w:hAnsi="Garamond"/>
        </w:rPr>
        <w:footnoteRef/>
      </w:r>
      <w:r w:rsidRPr="00023BB3">
        <w:rPr>
          <w:rFonts w:ascii="Garamond" w:hAnsi="Garamond"/>
        </w:rPr>
        <w:t xml:space="preserve"> </w:t>
      </w:r>
      <w:r w:rsidR="00D1530C" w:rsidRPr="00D1530C">
        <w:rPr>
          <w:rFonts w:ascii="Garamond" w:hAnsi="Garamond"/>
        </w:rPr>
        <w:t xml:space="preserve">Case No. </w:t>
      </w:r>
      <w:r w:rsidRPr="00023BB3">
        <w:rPr>
          <w:rFonts w:ascii="Garamond" w:hAnsi="Garamond"/>
        </w:rPr>
        <w:t>AJB-1383/2017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994671"/>
    <w:multiLevelType w:val="hybridMultilevel"/>
    <w:tmpl w:val="4ABEF10A"/>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0D2A266D"/>
    <w:multiLevelType w:val="hybridMultilevel"/>
    <w:tmpl w:val="DD86E81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2F797CCC"/>
    <w:multiLevelType w:val="hybridMultilevel"/>
    <w:tmpl w:val="C91CF32A"/>
    <w:lvl w:ilvl="0" w:tplc="5A8AE2F0">
      <w:start w:val="1"/>
      <w:numFmt w:val="upperLetter"/>
      <w:lvlText w:val="%1."/>
      <w:lvlJc w:val="left"/>
      <w:pPr>
        <w:ind w:left="1080" w:hanging="360"/>
      </w:pPr>
      <w:rPr>
        <w:rFonts w:hint="default"/>
      </w:r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3" w15:restartNumberingAfterBreak="0">
    <w:nsid w:val="66C30276"/>
    <w:multiLevelType w:val="hybridMultilevel"/>
    <w:tmpl w:val="9EFE001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15:restartNumberingAfterBreak="0">
    <w:nsid w:val="730901AF"/>
    <w:multiLevelType w:val="hybridMultilevel"/>
    <w:tmpl w:val="CF34771C"/>
    <w:lvl w:ilvl="0" w:tplc="040E0015">
      <w:start w:val="1"/>
      <w:numFmt w:val="upp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15:restartNumberingAfterBreak="0">
    <w:nsid w:val="77A956BF"/>
    <w:multiLevelType w:val="hybridMultilevel"/>
    <w:tmpl w:val="8E606B88"/>
    <w:lvl w:ilvl="0" w:tplc="040E0015">
      <w:start w:val="1"/>
      <w:numFmt w:val="upp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hideSpelling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0CF0"/>
    <w:rsid w:val="000108F3"/>
    <w:rsid w:val="00011AEC"/>
    <w:rsid w:val="0003286A"/>
    <w:rsid w:val="00045B46"/>
    <w:rsid w:val="0005479C"/>
    <w:rsid w:val="00091DFD"/>
    <w:rsid w:val="00097282"/>
    <w:rsid w:val="000B4886"/>
    <w:rsid w:val="000E5740"/>
    <w:rsid w:val="000F3000"/>
    <w:rsid w:val="000F56FD"/>
    <w:rsid w:val="00170642"/>
    <w:rsid w:val="00186324"/>
    <w:rsid w:val="001B6233"/>
    <w:rsid w:val="001C2E0F"/>
    <w:rsid w:val="001E1530"/>
    <w:rsid w:val="001E271D"/>
    <w:rsid w:val="002622F5"/>
    <w:rsid w:val="00290E90"/>
    <w:rsid w:val="002937CC"/>
    <w:rsid w:val="002958E0"/>
    <w:rsid w:val="002964E6"/>
    <w:rsid w:val="002A1D68"/>
    <w:rsid w:val="002A3574"/>
    <w:rsid w:val="002D2A1D"/>
    <w:rsid w:val="002E0EC8"/>
    <w:rsid w:val="002E6DE1"/>
    <w:rsid w:val="003049BE"/>
    <w:rsid w:val="00310AA7"/>
    <w:rsid w:val="003227F6"/>
    <w:rsid w:val="00334B55"/>
    <w:rsid w:val="003A4DAE"/>
    <w:rsid w:val="003B0713"/>
    <w:rsid w:val="003D0E45"/>
    <w:rsid w:val="003E116F"/>
    <w:rsid w:val="0045316D"/>
    <w:rsid w:val="00483E3E"/>
    <w:rsid w:val="004F2D0B"/>
    <w:rsid w:val="005728AA"/>
    <w:rsid w:val="005D2EE6"/>
    <w:rsid w:val="00615FF7"/>
    <w:rsid w:val="00625F80"/>
    <w:rsid w:val="006372B6"/>
    <w:rsid w:val="0064285C"/>
    <w:rsid w:val="0065189D"/>
    <w:rsid w:val="00663E50"/>
    <w:rsid w:val="00675F03"/>
    <w:rsid w:val="00691FA8"/>
    <w:rsid w:val="00694FA9"/>
    <w:rsid w:val="006967C8"/>
    <w:rsid w:val="006A50C7"/>
    <w:rsid w:val="006C5F5C"/>
    <w:rsid w:val="0070381C"/>
    <w:rsid w:val="00732BEF"/>
    <w:rsid w:val="00747EA0"/>
    <w:rsid w:val="00791A52"/>
    <w:rsid w:val="007B224B"/>
    <w:rsid w:val="007C6B8E"/>
    <w:rsid w:val="007D18BB"/>
    <w:rsid w:val="00856131"/>
    <w:rsid w:val="008B6497"/>
    <w:rsid w:val="008C078F"/>
    <w:rsid w:val="008C3465"/>
    <w:rsid w:val="008C3C3C"/>
    <w:rsid w:val="008E7AB1"/>
    <w:rsid w:val="008F01A3"/>
    <w:rsid w:val="0092001A"/>
    <w:rsid w:val="00940CF0"/>
    <w:rsid w:val="0096710D"/>
    <w:rsid w:val="009C40E7"/>
    <w:rsid w:val="009C558B"/>
    <w:rsid w:val="009D1628"/>
    <w:rsid w:val="009D2606"/>
    <w:rsid w:val="009D5ED9"/>
    <w:rsid w:val="009E26A9"/>
    <w:rsid w:val="00A571AB"/>
    <w:rsid w:val="00A652F3"/>
    <w:rsid w:val="00A6752A"/>
    <w:rsid w:val="00A9138A"/>
    <w:rsid w:val="00AD41AD"/>
    <w:rsid w:val="00AD64FE"/>
    <w:rsid w:val="00AF4D49"/>
    <w:rsid w:val="00AF7D6A"/>
    <w:rsid w:val="00B526C1"/>
    <w:rsid w:val="00C75705"/>
    <w:rsid w:val="00C75E90"/>
    <w:rsid w:val="00C9321F"/>
    <w:rsid w:val="00CC3D48"/>
    <w:rsid w:val="00D1530C"/>
    <w:rsid w:val="00D4263A"/>
    <w:rsid w:val="00D60476"/>
    <w:rsid w:val="00D83B24"/>
    <w:rsid w:val="00DC5C11"/>
    <w:rsid w:val="00DD7296"/>
    <w:rsid w:val="00DF1E79"/>
    <w:rsid w:val="00E71FBA"/>
    <w:rsid w:val="00EA6C0C"/>
    <w:rsid w:val="00FC18B3"/>
    <w:rsid w:val="00FC54FA"/>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EFEED"/>
  <w15:chartTrackingRefBased/>
  <w15:docId w15:val="{DFC668B9-52A7-4663-94A5-B1869EBD6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6C5F5C"/>
    <w:pPr>
      <w:spacing w:before="120" w:after="120" w:line="360" w:lineRule="auto"/>
      <w:jc w:val="both"/>
    </w:pPr>
    <w:rPr>
      <w:sz w:val="24"/>
    </w:rPr>
  </w:style>
  <w:style w:type="paragraph" w:styleId="Cmsor1">
    <w:name w:val="heading 1"/>
    <w:basedOn w:val="Norml"/>
    <w:next w:val="Norml"/>
    <w:link w:val="Cmsor1Char"/>
    <w:uiPriority w:val="9"/>
    <w:qFormat/>
    <w:rsid w:val="00791A52"/>
    <w:pPr>
      <w:keepNext/>
      <w:keepLines/>
      <w:spacing w:before="240"/>
      <w:outlineLvl w:val="0"/>
    </w:pPr>
    <w:rPr>
      <w:rFonts w:asciiTheme="majorHAnsi" w:eastAsiaTheme="majorEastAsia" w:hAnsiTheme="majorHAnsi" w:cstheme="majorBidi"/>
      <w:color w:val="2E74B5" w:themeColor="accent1" w:themeShade="BF"/>
      <w:sz w:val="36"/>
      <w:szCs w:val="32"/>
    </w:rPr>
  </w:style>
  <w:style w:type="paragraph" w:styleId="Cmsor2">
    <w:name w:val="heading 2"/>
    <w:basedOn w:val="Norml"/>
    <w:next w:val="Norml"/>
    <w:link w:val="Cmsor2Char"/>
    <w:uiPriority w:val="9"/>
    <w:unhideWhenUsed/>
    <w:qFormat/>
    <w:rsid w:val="00791A52"/>
    <w:pPr>
      <w:keepNext/>
      <w:keepLines/>
      <w:spacing w:before="40"/>
      <w:outlineLvl w:val="1"/>
    </w:pPr>
    <w:rPr>
      <w:rFonts w:asciiTheme="majorHAnsi" w:eastAsiaTheme="majorEastAsia" w:hAnsiTheme="majorHAnsi" w:cstheme="majorBidi"/>
      <w:color w:val="2E74B5" w:themeColor="accent1" w:themeShade="BF"/>
      <w:sz w:val="28"/>
      <w:szCs w:val="26"/>
    </w:rPr>
  </w:style>
  <w:style w:type="character" w:default="1" w:styleId="Bekezdsalapbettpusa">
    <w:name w:val="Default Paragraph Font"/>
    <w:uiPriority w:val="1"/>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bjegyzetszveg">
    <w:name w:val="footnote text"/>
    <w:aliases w:val=" Char Char,Char Char, Char,Char"/>
    <w:basedOn w:val="Norml"/>
    <w:link w:val="LbjegyzetszvegChar"/>
    <w:uiPriority w:val="99"/>
    <w:unhideWhenUsed/>
    <w:rsid w:val="00940CF0"/>
    <w:rPr>
      <w:sz w:val="20"/>
      <w:szCs w:val="20"/>
    </w:rPr>
  </w:style>
  <w:style w:type="character" w:customStyle="1" w:styleId="LbjegyzetszvegChar">
    <w:name w:val="Lábjegyzetszöveg Char"/>
    <w:aliases w:val=" Char Char Char,Char Char Char, Char Char1,Char Char1"/>
    <w:basedOn w:val="Bekezdsalapbettpusa"/>
    <w:link w:val="Lbjegyzetszveg"/>
    <w:uiPriority w:val="99"/>
    <w:rsid w:val="00940CF0"/>
    <w:rPr>
      <w:sz w:val="20"/>
      <w:szCs w:val="20"/>
    </w:rPr>
  </w:style>
  <w:style w:type="character" w:styleId="Hiperhivatkozs">
    <w:name w:val="Hyperlink"/>
    <w:uiPriority w:val="99"/>
    <w:rsid w:val="00940CF0"/>
    <w:rPr>
      <w:color w:val="0000FF"/>
      <w:u w:val="single"/>
    </w:rPr>
  </w:style>
  <w:style w:type="character" w:styleId="Lbjegyzet-hivatkozs">
    <w:name w:val="footnote reference"/>
    <w:aliases w:val="Footnote Refernece,callout"/>
    <w:uiPriority w:val="99"/>
    <w:rsid w:val="00940CF0"/>
    <w:rPr>
      <w:vertAlign w:val="superscript"/>
    </w:rPr>
  </w:style>
  <w:style w:type="paragraph" w:styleId="llb">
    <w:name w:val="footer"/>
    <w:basedOn w:val="Norml"/>
    <w:link w:val="llbChar"/>
    <w:uiPriority w:val="99"/>
    <w:unhideWhenUsed/>
    <w:rsid w:val="00940CF0"/>
    <w:pPr>
      <w:tabs>
        <w:tab w:val="center" w:pos="4536"/>
        <w:tab w:val="right" w:pos="9072"/>
      </w:tabs>
    </w:pPr>
  </w:style>
  <w:style w:type="character" w:customStyle="1" w:styleId="llbChar">
    <w:name w:val="Élőláb Char"/>
    <w:basedOn w:val="Bekezdsalapbettpusa"/>
    <w:link w:val="llb"/>
    <w:uiPriority w:val="99"/>
    <w:rsid w:val="00940CF0"/>
  </w:style>
  <w:style w:type="paragraph" w:styleId="Listaszerbekezds">
    <w:name w:val="List Paragraph"/>
    <w:basedOn w:val="Norml"/>
    <w:uiPriority w:val="34"/>
    <w:qFormat/>
    <w:rsid w:val="00940CF0"/>
    <w:pPr>
      <w:ind w:left="720"/>
      <w:contextualSpacing/>
    </w:pPr>
  </w:style>
  <w:style w:type="paragraph" w:styleId="NormlWeb">
    <w:name w:val="Normal (Web)"/>
    <w:basedOn w:val="Norml"/>
    <w:uiPriority w:val="99"/>
    <w:unhideWhenUsed/>
    <w:rsid w:val="00940CF0"/>
    <w:rPr>
      <w:rFonts w:ascii="Times New Roman" w:hAnsi="Times New Roman" w:cs="Times New Roman"/>
      <w:szCs w:val="24"/>
    </w:rPr>
  </w:style>
  <w:style w:type="paragraph" w:customStyle="1" w:styleId="Default">
    <w:name w:val="Default"/>
    <w:rsid w:val="00940CF0"/>
    <w:pPr>
      <w:autoSpaceDE w:val="0"/>
      <w:autoSpaceDN w:val="0"/>
      <w:adjustRightInd w:val="0"/>
      <w:spacing w:after="0" w:line="240" w:lineRule="auto"/>
    </w:pPr>
    <w:rPr>
      <w:rFonts w:ascii="Times New Roman" w:hAnsi="Times New Roman" w:cs="Times New Roman"/>
      <w:color w:val="000000"/>
      <w:sz w:val="24"/>
      <w:szCs w:val="24"/>
    </w:rPr>
  </w:style>
  <w:style w:type="paragraph" w:styleId="lfej">
    <w:name w:val="header"/>
    <w:basedOn w:val="Norml"/>
    <w:link w:val="lfejChar"/>
    <w:unhideWhenUsed/>
    <w:rsid w:val="00940CF0"/>
    <w:pPr>
      <w:tabs>
        <w:tab w:val="center" w:pos="4536"/>
        <w:tab w:val="right" w:pos="9072"/>
      </w:tabs>
    </w:pPr>
  </w:style>
  <w:style w:type="character" w:customStyle="1" w:styleId="lfejChar">
    <w:name w:val="Élőfej Char"/>
    <w:basedOn w:val="Bekezdsalapbettpusa"/>
    <w:link w:val="lfej"/>
    <w:rsid w:val="00940CF0"/>
  </w:style>
  <w:style w:type="character" w:styleId="Jegyzethivatkozs">
    <w:name w:val="annotation reference"/>
    <w:basedOn w:val="Bekezdsalapbettpusa"/>
    <w:uiPriority w:val="99"/>
    <w:semiHidden/>
    <w:unhideWhenUsed/>
    <w:rsid w:val="00940CF0"/>
    <w:rPr>
      <w:sz w:val="16"/>
      <w:szCs w:val="16"/>
    </w:rPr>
  </w:style>
  <w:style w:type="paragraph" w:styleId="Jegyzetszveg">
    <w:name w:val="annotation text"/>
    <w:basedOn w:val="Norml"/>
    <w:link w:val="JegyzetszvegChar"/>
    <w:uiPriority w:val="99"/>
    <w:semiHidden/>
    <w:unhideWhenUsed/>
    <w:rsid w:val="00940CF0"/>
    <w:rPr>
      <w:sz w:val="20"/>
      <w:szCs w:val="20"/>
    </w:rPr>
  </w:style>
  <w:style w:type="character" w:customStyle="1" w:styleId="JegyzetszvegChar">
    <w:name w:val="Jegyzetszöveg Char"/>
    <w:basedOn w:val="Bekezdsalapbettpusa"/>
    <w:link w:val="Jegyzetszveg"/>
    <w:uiPriority w:val="99"/>
    <w:semiHidden/>
    <w:rsid w:val="00940CF0"/>
    <w:rPr>
      <w:sz w:val="20"/>
      <w:szCs w:val="20"/>
    </w:rPr>
  </w:style>
  <w:style w:type="paragraph" w:styleId="Buborkszveg">
    <w:name w:val="Balloon Text"/>
    <w:basedOn w:val="Norml"/>
    <w:link w:val="BuborkszvegChar"/>
    <w:uiPriority w:val="99"/>
    <w:semiHidden/>
    <w:unhideWhenUsed/>
    <w:rsid w:val="00940CF0"/>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940CF0"/>
    <w:rPr>
      <w:rFonts w:ascii="Segoe UI" w:hAnsi="Segoe UI" w:cs="Segoe UI"/>
      <w:sz w:val="18"/>
      <w:szCs w:val="18"/>
    </w:rPr>
  </w:style>
  <w:style w:type="paragraph" w:styleId="Megjegyzstrgya">
    <w:name w:val="annotation subject"/>
    <w:basedOn w:val="Jegyzetszveg"/>
    <w:next w:val="Jegyzetszveg"/>
    <w:link w:val="MegjegyzstrgyaChar"/>
    <w:uiPriority w:val="99"/>
    <w:semiHidden/>
    <w:unhideWhenUsed/>
    <w:rsid w:val="009D5ED9"/>
    <w:rPr>
      <w:b/>
      <w:bCs/>
    </w:rPr>
  </w:style>
  <w:style w:type="character" w:customStyle="1" w:styleId="MegjegyzstrgyaChar">
    <w:name w:val="Megjegyzés tárgya Char"/>
    <w:basedOn w:val="JegyzetszvegChar"/>
    <w:link w:val="Megjegyzstrgya"/>
    <w:uiPriority w:val="99"/>
    <w:semiHidden/>
    <w:rsid w:val="009D5ED9"/>
    <w:rPr>
      <w:b/>
      <w:bCs/>
      <w:sz w:val="20"/>
      <w:szCs w:val="20"/>
    </w:rPr>
  </w:style>
  <w:style w:type="paragraph" w:styleId="Vltozat">
    <w:name w:val="Revision"/>
    <w:hidden/>
    <w:uiPriority w:val="99"/>
    <w:semiHidden/>
    <w:rsid w:val="009C558B"/>
    <w:pPr>
      <w:spacing w:after="0" w:line="240" w:lineRule="auto"/>
    </w:pPr>
  </w:style>
  <w:style w:type="character" w:styleId="Mrltotthiperhivatkozs">
    <w:name w:val="FollowedHyperlink"/>
    <w:basedOn w:val="Bekezdsalapbettpusa"/>
    <w:uiPriority w:val="99"/>
    <w:semiHidden/>
    <w:unhideWhenUsed/>
    <w:rsid w:val="009D1628"/>
    <w:rPr>
      <w:color w:val="954F72" w:themeColor="followedHyperlink"/>
      <w:u w:val="single"/>
    </w:rPr>
  </w:style>
  <w:style w:type="paragraph" w:styleId="Cm">
    <w:name w:val="Title"/>
    <w:basedOn w:val="Norml"/>
    <w:next w:val="Norml"/>
    <w:link w:val="CmChar"/>
    <w:uiPriority w:val="10"/>
    <w:qFormat/>
    <w:rsid w:val="00FC18B3"/>
    <w:pPr>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uiPriority w:val="10"/>
    <w:rsid w:val="00FC18B3"/>
    <w:rPr>
      <w:rFonts w:asciiTheme="majorHAnsi" w:eastAsiaTheme="majorEastAsia" w:hAnsiTheme="majorHAnsi" w:cstheme="majorBidi"/>
      <w:spacing w:val="-10"/>
      <w:kern w:val="28"/>
      <w:sz w:val="56"/>
      <w:szCs w:val="56"/>
    </w:rPr>
  </w:style>
  <w:style w:type="character" w:customStyle="1" w:styleId="Cmsor1Char">
    <w:name w:val="Címsor 1 Char"/>
    <w:basedOn w:val="Bekezdsalapbettpusa"/>
    <w:link w:val="Cmsor1"/>
    <w:uiPriority w:val="9"/>
    <w:rsid w:val="00791A52"/>
    <w:rPr>
      <w:rFonts w:asciiTheme="majorHAnsi" w:eastAsiaTheme="majorEastAsia" w:hAnsiTheme="majorHAnsi" w:cstheme="majorBidi"/>
      <w:color w:val="2E74B5" w:themeColor="accent1" w:themeShade="BF"/>
      <w:sz w:val="36"/>
      <w:szCs w:val="32"/>
    </w:rPr>
  </w:style>
  <w:style w:type="character" w:customStyle="1" w:styleId="Cmsor2Char">
    <w:name w:val="Címsor 2 Char"/>
    <w:basedOn w:val="Bekezdsalapbettpusa"/>
    <w:link w:val="Cmsor2"/>
    <w:uiPriority w:val="9"/>
    <w:rsid w:val="00791A52"/>
    <w:rPr>
      <w:rFonts w:asciiTheme="majorHAnsi" w:eastAsiaTheme="majorEastAsia" w:hAnsiTheme="majorHAnsi" w:cstheme="majorBidi"/>
      <w:color w:val="2E74B5" w:themeColor="accent1" w:themeShade="BF"/>
      <w:sz w:val="28"/>
      <w:szCs w:val="26"/>
    </w:rPr>
  </w:style>
  <w:style w:type="paragraph" w:styleId="Alcm">
    <w:name w:val="Subtitle"/>
    <w:basedOn w:val="Norml"/>
    <w:next w:val="Norml"/>
    <w:link w:val="AlcmChar"/>
    <w:uiPriority w:val="11"/>
    <w:qFormat/>
    <w:rsid w:val="006C5F5C"/>
    <w:pPr>
      <w:numPr>
        <w:ilvl w:val="1"/>
      </w:numPr>
      <w:spacing w:after="160"/>
    </w:pPr>
    <w:rPr>
      <w:rFonts w:eastAsiaTheme="minorEastAsia"/>
      <w:color w:val="5A5A5A" w:themeColor="text1" w:themeTint="A5"/>
      <w:spacing w:val="15"/>
    </w:rPr>
  </w:style>
  <w:style w:type="character" w:customStyle="1" w:styleId="AlcmChar">
    <w:name w:val="Alcím Char"/>
    <w:basedOn w:val="Bekezdsalapbettpusa"/>
    <w:link w:val="Alcm"/>
    <w:uiPriority w:val="11"/>
    <w:rsid w:val="006C5F5C"/>
    <w:rPr>
      <w:rFonts w:eastAsiaTheme="minorEastAsia"/>
      <w:color w:val="5A5A5A" w:themeColor="text1" w:themeTint="A5"/>
      <w:spacing w:val="15"/>
    </w:rPr>
  </w:style>
  <w:style w:type="paragraph" w:styleId="Tartalomjegyzkcmsora">
    <w:name w:val="TOC Heading"/>
    <w:basedOn w:val="Cmsor1"/>
    <w:next w:val="Norml"/>
    <w:uiPriority w:val="39"/>
    <w:unhideWhenUsed/>
    <w:qFormat/>
    <w:rsid w:val="006C5F5C"/>
    <w:pPr>
      <w:spacing w:line="259" w:lineRule="auto"/>
      <w:outlineLvl w:val="9"/>
    </w:pPr>
    <w:rPr>
      <w:lang w:eastAsia="hu-HU"/>
    </w:rPr>
  </w:style>
  <w:style w:type="paragraph" w:styleId="TJ1">
    <w:name w:val="toc 1"/>
    <w:basedOn w:val="Norml"/>
    <w:next w:val="Norml"/>
    <w:autoRedefine/>
    <w:uiPriority w:val="39"/>
    <w:unhideWhenUsed/>
    <w:rsid w:val="006C5F5C"/>
    <w:pPr>
      <w:spacing w:after="100"/>
    </w:pPr>
  </w:style>
  <w:style w:type="paragraph" w:styleId="TJ2">
    <w:name w:val="toc 2"/>
    <w:basedOn w:val="Norml"/>
    <w:next w:val="Norml"/>
    <w:autoRedefine/>
    <w:uiPriority w:val="39"/>
    <w:unhideWhenUsed/>
    <w:rsid w:val="006C5F5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footer2.xml.rels><?xml version="1.0" encoding="UTF-8" standalone="yes"?>
<Relationships xmlns="http://schemas.openxmlformats.org/package/2006/relationships"><Relationship Id="rId2" Type="http://schemas.openxmlformats.org/officeDocument/2006/relationships/hyperlink" Target="http://www.ajbh.hu" TargetMode="External"/><Relationship Id="rId1" Type="http://schemas.openxmlformats.org/officeDocument/2006/relationships/hyperlink" Target="mailto:hungarian.ombudsman@ajbh.hu"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ajbh.hu/en/web/ajbh-en/annual-reports" TargetMode="External"/><Relationship Id="rId2" Type="http://schemas.openxmlformats.org/officeDocument/2006/relationships/hyperlink" Target="http://www.ajbh.hu/hu/jelentesek-inditvanyok-allasfoglalasok" TargetMode="External"/><Relationship Id="rId1" Type="http://schemas.openxmlformats.org/officeDocument/2006/relationships/hyperlink" Target="https://rm.coe.int/cdcj-2017-2e-final-rapport-vs-21-06-2018/16808b64ae" TargetMode="External"/><Relationship Id="rId4" Type="http://schemas.openxmlformats.org/officeDocument/2006/relationships/hyperlink" Target="http://www.ajbh.hu/en/web/ajbh-en/opcat-annual-reports"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Garamond">
      <a:majorFont>
        <a:latin typeface="Garamond" panose="02020404030301010803"/>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Garamond" panose="02020404030301010803"/>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84C4C2A-1921-42E0-AE8E-898AA1795D0F}">
  <ds:schemaRefs>
    <ds:schemaRef ds:uri="http://schemas.openxmlformats.org/officeDocument/2006/bibliography"/>
  </ds:schemaRefs>
</ds:datastoreItem>
</file>

<file path=customXml/itemProps2.xml><?xml version="1.0" encoding="utf-8"?>
<ds:datastoreItem xmlns:ds="http://schemas.openxmlformats.org/officeDocument/2006/customXml" ds:itemID="{6917A8DC-73E6-43D0-8FA7-00C73EAD6F8F}"/>
</file>

<file path=customXml/itemProps3.xml><?xml version="1.0" encoding="utf-8"?>
<ds:datastoreItem xmlns:ds="http://schemas.openxmlformats.org/officeDocument/2006/customXml" ds:itemID="{D0DC78D4-B971-4B80-A188-402926A46CE2}"/>
</file>

<file path=customXml/itemProps4.xml><?xml version="1.0" encoding="utf-8"?>
<ds:datastoreItem xmlns:ds="http://schemas.openxmlformats.org/officeDocument/2006/customXml" ds:itemID="{75FA668B-77E2-4A26-B4DF-DF75C6147890}"/>
</file>

<file path=docProps/app.xml><?xml version="1.0" encoding="utf-8"?>
<Properties xmlns="http://schemas.openxmlformats.org/officeDocument/2006/extended-properties" xmlns:vt="http://schemas.openxmlformats.org/officeDocument/2006/docPropsVTypes">
  <Template>Normal</Template>
  <TotalTime>43</TotalTime>
  <Pages>24</Pages>
  <Words>7854</Words>
  <Characters>54199</Characters>
  <Application>Microsoft Office Word</Application>
  <DocSecurity>0</DocSecurity>
  <Lines>451</Lines>
  <Paragraphs>123</Paragraphs>
  <ScaleCrop>false</ScaleCrop>
  <HeadingPairs>
    <vt:vector size="2" baseType="variant">
      <vt:variant>
        <vt:lpstr>Cím</vt:lpstr>
      </vt:variant>
      <vt:variant>
        <vt:i4>1</vt:i4>
      </vt:variant>
    </vt:vector>
  </HeadingPairs>
  <TitlesOfParts>
    <vt:vector size="1" baseType="lpstr">
      <vt:lpstr/>
    </vt:vector>
  </TitlesOfParts>
  <Company>Alapvető Jogok Biztosának Hivatala</Company>
  <LinksUpToDate>false</LinksUpToDate>
  <CharactersWithSpaces>61930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Borza Beáta dr.</dc:creator>
  <cp:keywords/>
  <dc:description/>
  <cp:lastModifiedBy>Heizer Tamás</cp:lastModifiedBy>
  <cp:revision>9</cp:revision>
  <dcterms:created xsi:type="dcterms:W3CDTF">2020-02-05T17:52:00Z</dcterms:created>
  <dcterms:modified xsi:type="dcterms:W3CDTF">2020-02-07T07:59:00Z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