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36D77E" w14:textId="77777777" w:rsidR="00D327E8" w:rsidRPr="00B01049" w:rsidRDefault="00D327E8" w:rsidP="00D327E8">
      <w:pPr>
        <w:bidi w:val="0"/>
        <w:spacing w:line="276" w:lineRule="auto"/>
        <w:jc w:val="lowKashida"/>
        <w:rPr>
          <w:rFonts w:asciiTheme="majorBidi" w:hAnsiTheme="majorBidi" w:cstheme="majorBidi"/>
          <w:sz w:val="28"/>
          <w:szCs w:val="28"/>
          <w:lang w:bidi="ar-EG"/>
        </w:rPr>
      </w:pPr>
      <w:r w:rsidRPr="00B01049">
        <w:rPr>
          <w:rFonts w:asciiTheme="majorBidi" w:hAnsiTheme="majorBidi" w:cstheme="majorBidi"/>
          <w:sz w:val="28"/>
          <w:szCs w:val="28"/>
          <w:lang w:bidi="ar-EG"/>
        </w:rPr>
        <w:t>Report of “Egypt Peace Association” to the Committee on the Rights of the Child</w:t>
      </w:r>
    </w:p>
    <w:p w14:paraId="07F5D7F7" w14:textId="77777777" w:rsidR="00D327E8" w:rsidRPr="00B01049" w:rsidRDefault="00D327E8" w:rsidP="00D327E8">
      <w:pPr>
        <w:bidi w:val="0"/>
        <w:spacing w:line="276" w:lineRule="auto"/>
        <w:jc w:val="lowKashida"/>
        <w:rPr>
          <w:rFonts w:asciiTheme="majorBidi" w:hAnsiTheme="majorBidi" w:cstheme="majorBidi"/>
          <w:sz w:val="28"/>
          <w:szCs w:val="28"/>
          <w:lang w:bidi="ar-EG"/>
        </w:rPr>
      </w:pPr>
      <w:r w:rsidRPr="00B01049">
        <w:rPr>
          <w:rFonts w:asciiTheme="majorBidi" w:hAnsiTheme="majorBidi" w:cstheme="majorBidi"/>
          <w:sz w:val="28"/>
          <w:szCs w:val="28"/>
          <w:lang w:bidi="ar-EG"/>
        </w:rPr>
        <w:t>Submitted to: Committee on the Rights of the Child</w:t>
      </w:r>
    </w:p>
    <w:p w14:paraId="7D6AD460" w14:textId="77777777" w:rsidR="00D327E8" w:rsidRPr="00B01049" w:rsidRDefault="00D327E8" w:rsidP="00D327E8">
      <w:pPr>
        <w:bidi w:val="0"/>
        <w:spacing w:line="276" w:lineRule="auto"/>
        <w:jc w:val="lowKashida"/>
        <w:rPr>
          <w:rFonts w:asciiTheme="majorBidi" w:hAnsiTheme="majorBidi" w:cstheme="majorBidi"/>
          <w:sz w:val="28"/>
          <w:szCs w:val="28"/>
          <w:lang w:bidi="ar-EG"/>
        </w:rPr>
      </w:pPr>
      <w:r w:rsidRPr="00B01049">
        <w:rPr>
          <w:rFonts w:asciiTheme="majorBidi" w:hAnsiTheme="majorBidi" w:cstheme="majorBidi"/>
          <w:sz w:val="28"/>
          <w:szCs w:val="28"/>
          <w:lang w:bidi="ar-EG"/>
        </w:rPr>
        <w:t>Submitted by: Egypt Peace for Development and Human Rights Association</w:t>
      </w:r>
    </w:p>
    <w:p w14:paraId="0662692E" w14:textId="1951939A" w:rsidR="00D327E8" w:rsidRPr="00B01049" w:rsidRDefault="00D327E8" w:rsidP="00D327E8">
      <w:pPr>
        <w:bidi w:val="0"/>
        <w:spacing w:line="276" w:lineRule="auto"/>
        <w:jc w:val="lowKashida"/>
        <w:rPr>
          <w:rFonts w:asciiTheme="majorBidi" w:hAnsiTheme="majorBidi" w:cstheme="majorBidi"/>
          <w:sz w:val="28"/>
          <w:szCs w:val="28"/>
          <w:lang w:bidi="ar-EG"/>
        </w:rPr>
      </w:pPr>
      <w:r w:rsidRPr="00B01049">
        <w:rPr>
          <w:rFonts w:asciiTheme="majorBidi" w:hAnsiTheme="majorBidi" w:cstheme="majorBidi"/>
          <w:sz w:val="28"/>
          <w:szCs w:val="28"/>
          <w:lang w:bidi="ar-EG"/>
        </w:rPr>
        <w:t xml:space="preserve">Date: </w:t>
      </w:r>
      <w:r>
        <w:rPr>
          <w:rFonts w:asciiTheme="majorBidi" w:hAnsiTheme="majorBidi" w:cstheme="majorBidi"/>
          <w:sz w:val="28"/>
          <w:szCs w:val="28"/>
          <w:lang w:bidi="ar-EG"/>
        </w:rPr>
        <w:t>April</w:t>
      </w:r>
      <w:r w:rsidRPr="00B01049">
        <w:rPr>
          <w:rFonts w:asciiTheme="majorBidi" w:hAnsiTheme="majorBidi" w:cstheme="majorBidi"/>
          <w:sz w:val="28"/>
          <w:szCs w:val="28"/>
          <w:lang w:bidi="ar-EG"/>
        </w:rPr>
        <w:t xml:space="preserve"> 2024</w:t>
      </w:r>
    </w:p>
    <w:p w14:paraId="0869B865" w14:textId="77777777" w:rsidR="00D327E8" w:rsidRPr="00B01049" w:rsidRDefault="00D327E8" w:rsidP="00D327E8">
      <w:pPr>
        <w:pBdr>
          <w:bottom w:val="single" w:sz="4" w:space="1" w:color="auto"/>
        </w:pBdr>
        <w:shd w:val="clear" w:color="auto" w:fill="BDD6EE" w:themeFill="accent5" w:themeFillTint="66"/>
        <w:bidi w:val="0"/>
        <w:spacing w:line="276" w:lineRule="auto"/>
        <w:jc w:val="lowKashida"/>
        <w:rPr>
          <w:rFonts w:asciiTheme="majorBidi" w:hAnsiTheme="majorBidi" w:cstheme="majorBidi"/>
          <w:sz w:val="28"/>
          <w:szCs w:val="28"/>
          <w:lang w:bidi="ar-EG"/>
        </w:rPr>
      </w:pPr>
      <w:r w:rsidRPr="00B01049">
        <w:rPr>
          <w:rFonts w:asciiTheme="majorBidi" w:hAnsiTheme="majorBidi" w:cstheme="majorBidi"/>
          <w:sz w:val="28"/>
          <w:szCs w:val="28"/>
          <w:lang w:bidi="ar-EG"/>
        </w:rPr>
        <w:t>Introduction</w:t>
      </w:r>
    </w:p>
    <w:p w14:paraId="5AD3B463" w14:textId="77777777" w:rsidR="00D327E8" w:rsidRPr="00B01049" w:rsidRDefault="00D327E8" w:rsidP="00D327E8">
      <w:pPr>
        <w:bidi w:val="0"/>
        <w:spacing w:line="276" w:lineRule="auto"/>
        <w:jc w:val="lowKashida"/>
        <w:rPr>
          <w:rFonts w:asciiTheme="majorBidi" w:hAnsiTheme="majorBidi" w:cstheme="majorBidi"/>
          <w:sz w:val="28"/>
          <w:szCs w:val="28"/>
          <w:lang w:bidi="ar-EG"/>
        </w:rPr>
      </w:pPr>
      <w:r w:rsidRPr="00B01049">
        <w:rPr>
          <w:rFonts w:asciiTheme="majorBidi" w:hAnsiTheme="majorBidi" w:cstheme="majorBidi"/>
          <w:sz w:val="28"/>
          <w:szCs w:val="28"/>
          <w:lang w:bidi="ar-EG"/>
        </w:rPr>
        <w:t>Egypt ratified the United Nations Convention on the Rights of the Child in 1990, as well as the Optional Protocol to the Convention on the Rights of the Child on the involvement of children in armed conflict in February 2007, and the Optional Protocol to the Convention on the Rights of the Child on the sale of children, child prostitution, and child pornography in July 2002. Consequently, it is bound by the provisions of the Convention and the two additional Protocols, and is obligated to align its legislation and national laws accordingly to the provisions of these treaties.</w:t>
      </w:r>
    </w:p>
    <w:p w14:paraId="06BC0E90" w14:textId="77777777" w:rsidR="00D327E8" w:rsidRPr="00B01049" w:rsidRDefault="00D327E8" w:rsidP="00D327E8">
      <w:pPr>
        <w:bidi w:val="0"/>
        <w:spacing w:line="276" w:lineRule="auto"/>
        <w:jc w:val="lowKashida"/>
        <w:rPr>
          <w:rFonts w:asciiTheme="majorBidi" w:hAnsiTheme="majorBidi" w:cstheme="majorBidi"/>
          <w:sz w:val="28"/>
          <w:szCs w:val="28"/>
          <w:lang w:bidi="ar-EG"/>
        </w:rPr>
      </w:pPr>
      <w:r w:rsidRPr="00B01049">
        <w:rPr>
          <w:rFonts w:asciiTheme="majorBidi" w:hAnsiTheme="majorBidi" w:cstheme="majorBidi"/>
          <w:sz w:val="28"/>
          <w:szCs w:val="28"/>
          <w:lang w:bidi="ar-EG"/>
        </w:rPr>
        <w:t>In this context, the Egyptian government has updated legislation concerning the protection of children's rights and the fight against child labor. These updates include stricter penalties for those who exploit children in labor and enhancing legal protection for children against all forms of exploitation. Additionally, the Egyptian government has focused on social protection programs for children and their families through financial support and social care programs. This helps reduce poverty and improve living conditions for needy families, thereby enhancing efforts to eliminate child labor by addressing the root causes of the problem.</w:t>
      </w:r>
    </w:p>
    <w:p w14:paraId="7787608F" w14:textId="77777777" w:rsidR="00D327E8" w:rsidRPr="00B01049" w:rsidRDefault="00D327E8" w:rsidP="00D327E8">
      <w:pPr>
        <w:bidi w:val="0"/>
        <w:spacing w:line="276" w:lineRule="auto"/>
        <w:jc w:val="lowKashida"/>
        <w:rPr>
          <w:rFonts w:asciiTheme="majorBidi" w:hAnsiTheme="majorBidi" w:cstheme="majorBidi"/>
          <w:sz w:val="28"/>
          <w:szCs w:val="28"/>
          <w:lang w:bidi="ar-EG"/>
        </w:rPr>
      </w:pPr>
      <w:r w:rsidRPr="00B01049">
        <w:rPr>
          <w:rFonts w:asciiTheme="majorBidi" w:hAnsiTheme="majorBidi" w:cstheme="majorBidi"/>
          <w:sz w:val="28"/>
          <w:szCs w:val="28"/>
          <w:lang w:bidi="ar-EG"/>
        </w:rPr>
        <w:t>This report focuses on monitoring the progress made in implementing some of the rights outlined in the Convention on the Rights of the Child, while also highlighting the issues that continue to hinder the enforcement of these rights, particularly combating the worst forms of child labor and the situations of children in alternative care facilities.</w:t>
      </w:r>
    </w:p>
    <w:p w14:paraId="1F903B46" w14:textId="77777777" w:rsidR="00D327E8" w:rsidRPr="00B01049" w:rsidRDefault="00D327E8" w:rsidP="00D327E8">
      <w:pPr>
        <w:shd w:val="clear" w:color="auto" w:fill="BDD6EE" w:themeFill="accent5" w:themeFillTint="66"/>
        <w:bidi w:val="0"/>
        <w:spacing w:line="276" w:lineRule="auto"/>
        <w:jc w:val="lowKashida"/>
        <w:rPr>
          <w:rFonts w:asciiTheme="majorBidi" w:hAnsiTheme="majorBidi" w:cstheme="majorBidi"/>
          <w:sz w:val="28"/>
          <w:szCs w:val="28"/>
          <w:lang w:bidi="ar-EG"/>
        </w:rPr>
      </w:pPr>
      <w:r w:rsidRPr="00B01049">
        <w:rPr>
          <w:rFonts w:asciiTheme="majorBidi" w:hAnsiTheme="majorBidi" w:cstheme="majorBidi"/>
          <w:sz w:val="28"/>
          <w:szCs w:val="28"/>
          <w:lang w:bidi="ar-EG"/>
        </w:rPr>
        <w:t>Article 7: Name and Nationality</w:t>
      </w:r>
    </w:p>
    <w:p w14:paraId="7B3EA080" w14:textId="77777777" w:rsidR="00D327E8" w:rsidRPr="00B01049" w:rsidRDefault="00D327E8" w:rsidP="00D327E8">
      <w:pPr>
        <w:bidi w:val="0"/>
        <w:spacing w:line="276" w:lineRule="auto"/>
        <w:jc w:val="lowKashida"/>
        <w:rPr>
          <w:rFonts w:asciiTheme="majorBidi" w:hAnsiTheme="majorBidi" w:cstheme="majorBidi"/>
          <w:sz w:val="28"/>
          <w:szCs w:val="28"/>
          <w:lang w:bidi="ar-EG"/>
        </w:rPr>
      </w:pPr>
      <w:r w:rsidRPr="00B01049">
        <w:rPr>
          <w:rFonts w:asciiTheme="majorBidi" w:hAnsiTheme="majorBidi" w:cstheme="majorBidi"/>
          <w:sz w:val="28"/>
          <w:szCs w:val="28"/>
          <w:lang w:bidi="ar-EG"/>
        </w:rPr>
        <w:t>Article 7 of the Convention on the Rights of the Child emphasizes the immediate registration of a child after birth, granting them the right, from birth, to a name and nationality, and to the extent possible, the right to know and be cared for by their parents.</w:t>
      </w:r>
    </w:p>
    <w:p w14:paraId="2CA057EC" w14:textId="77777777" w:rsidR="00D327E8" w:rsidRPr="00B01049" w:rsidRDefault="00D327E8" w:rsidP="00D327E8">
      <w:pPr>
        <w:bidi w:val="0"/>
        <w:spacing w:line="276" w:lineRule="auto"/>
        <w:jc w:val="lowKashida"/>
        <w:rPr>
          <w:rFonts w:asciiTheme="majorBidi" w:hAnsiTheme="majorBidi" w:cstheme="majorBidi"/>
          <w:sz w:val="28"/>
          <w:szCs w:val="28"/>
          <w:lang w:bidi="ar-EG"/>
        </w:rPr>
      </w:pPr>
      <w:r w:rsidRPr="00B01049">
        <w:rPr>
          <w:rFonts w:asciiTheme="majorBidi" w:hAnsiTheme="majorBidi" w:cstheme="majorBidi"/>
          <w:sz w:val="28"/>
          <w:szCs w:val="28"/>
          <w:lang w:bidi="ar-EG"/>
        </w:rPr>
        <w:lastRenderedPageBreak/>
        <w:t>At the executive level, Egyptian legislation grants all children born on Egyptian territory the right to registration and acquisition of a name and nationality. Article 80 of the Egyptian Constitution stipulates that "every child has the right to a name and documentation," which is reflected in the Egyptian Child Law in Articles 4, 5, and 20. These articles affirm that "every child has the right to have a name that distinguishes them and to be registered at birth in the birth records. The child's name must not contain any disrespect or insult to the child's dignity or be contrary to religious beliefs."</w:t>
      </w:r>
    </w:p>
    <w:p w14:paraId="1E59B14F" w14:textId="77777777" w:rsidR="00D327E8" w:rsidRPr="00B01049" w:rsidRDefault="00D327E8" w:rsidP="00D327E8">
      <w:pPr>
        <w:bidi w:val="0"/>
        <w:spacing w:line="276" w:lineRule="auto"/>
        <w:jc w:val="lowKashida"/>
        <w:rPr>
          <w:rFonts w:asciiTheme="majorBidi" w:hAnsiTheme="majorBidi" w:cstheme="majorBidi"/>
          <w:sz w:val="28"/>
          <w:szCs w:val="28"/>
          <w:lang w:bidi="ar-EG"/>
        </w:rPr>
      </w:pPr>
      <w:r w:rsidRPr="00B01049">
        <w:rPr>
          <w:rFonts w:asciiTheme="majorBidi" w:hAnsiTheme="majorBidi" w:cstheme="majorBidi"/>
          <w:sz w:val="28"/>
          <w:szCs w:val="28"/>
          <w:lang w:bidi="ar-EG"/>
        </w:rPr>
        <w:t>Furthermore, the Personal Status Law grants the child the right to change their name without giving any reasons. Requests for name changes are handled by a committee from the Civil Status and Health Directorate and the Attorney General or their representatives in each governorate.</w:t>
      </w:r>
    </w:p>
    <w:p w14:paraId="71F3DC7E" w14:textId="77777777" w:rsidR="00D327E8" w:rsidRPr="00B01049" w:rsidRDefault="00D327E8" w:rsidP="00D327E8">
      <w:pPr>
        <w:bidi w:val="0"/>
        <w:spacing w:line="276" w:lineRule="auto"/>
        <w:jc w:val="lowKashida"/>
        <w:rPr>
          <w:rFonts w:asciiTheme="majorBidi" w:hAnsiTheme="majorBidi" w:cstheme="majorBidi"/>
          <w:sz w:val="28"/>
          <w:szCs w:val="28"/>
          <w:rtl/>
          <w:lang w:bidi="ar-EG"/>
        </w:rPr>
      </w:pPr>
      <w:r w:rsidRPr="00B01049">
        <w:rPr>
          <w:rFonts w:asciiTheme="majorBidi" w:hAnsiTheme="majorBidi" w:cstheme="majorBidi"/>
          <w:sz w:val="28"/>
          <w:szCs w:val="28"/>
          <w:lang w:bidi="ar-EG"/>
        </w:rPr>
        <w:t>Regarding acquiring nationality, Article 6 of the Egyptian Constitution ensures that "Egyptian nationality is a right for every person born to an Egyptian father or an Egyptian mother, and the legal recognition and granting of official documents to prove their personal data is a right guaranteed by law and regulated by it." The Nationality Law was amended in May 2023, with the enactment of Law No. 28 of 2023, amending some provisions of Law No. 26 of 1975 regarding Egyptian nationality. The law was published in the Official Gazette following approval by the House of Representatives. The amendment aimed at a significant point, which is granting Egyptian nationality to minor children of foreign mothers, whether they acquired Egyptian nationality or were born in Egypt and belong to a country with Arabic as its language or Islam as its religion, in line with the principle of equality between men and women in acquiring Egyptian nationality</w:t>
      </w:r>
      <w:r w:rsidRPr="00B01049">
        <w:rPr>
          <w:rStyle w:val="FootnoteReference"/>
          <w:rFonts w:asciiTheme="majorBidi" w:hAnsiTheme="majorBidi" w:cstheme="majorBidi"/>
          <w:sz w:val="28"/>
          <w:szCs w:val="28"/>
          <w:rtl/>
          <w:lang w:bidi="ar-EG"/>
        </w:rPr>
        <w:footnoteReference w:id="1"/>
      </w:r>
      <w:r w:rsidRPr="00B01049">
        <w:rPr>
          <w:rFonts w:asciiTheme="majorBidi" w:hAnsiTheme="majorBidi" w:cstheme="majorBidi"/>
          <w:sz w:val="28"/>
          <w:szCs w:val="28"/>
          <w:lang w:bidi="ar-EG"/>
        </w:rPr>
        <w:t>.</w:t>
      </w:r>
    </w:p>
    <w:p w14:paraId="335EC1D7" w14:textId="77777777" w:rsidR="00D327E8" w:rsidRPr="00B01049" w:rsidRDefault="00D327E8" w:rsidP="00D327E8">
      <w:pPr>
        <w:pBdr>
          <w:bottom w:val="single" w:sz="4" w:space="1" w:color="auto"/>
        </w:pBdr>
        <w:shd w:val="clear" w:color="auto" w:fill="BDD6EE" w:themeFill="accent5" w:themeFillTint="66"/>
        <w:bidi w:val="0"/>
        <w:spacing w:line="276" w:lineRule="auto"/>
        <w:jc w:val="lowKashida"/>
        <w:rPr>
          <w:rFonts w:asciiTheme="majorBidi" w:hAnsiTheme="majorBidi" w:cstheme="majorBidi"/>
          <w:sz w:val="28"/>
          <w:szCs w:val="28"/>
          <w:rtl/>
          <w:lang w:bidi="ar-EG"/>
        </w:rPr>
      </w:pPr>
      <w:r w:rsidRPr="00B01049">
        <w:rPr>
          <w:rFonts w:asciiTheme="majorBidi" w:hAnsiTheme="majorBidi" w:cstheme="majorBidi"/>
          <w:sz w:val="28"/>
          <w:szCs w:val="28"/>
          <w:lang w:bidi="ar-EG"/>
        </w:rPr>
        <w:t>Article 19: Protection of Children from All Forms of Violence</w:t>
      </w:r>
    </w:p>
    <w:p w14:paraId="553F1684" w14:textId="77777777" w:rsidR="00D327E8" w:rsidRPr="00B01049" w:rsidRDefault="00D327E8" w:rsidP="00D327E8">
      <w:pPr>
        <w:bidi w:val="0"/>
        <w:spacing w:line="276" w:lineRule="auto"/>
        <w:jc w:val="lowKashida"/>
        <w:rPr>
          <w:rFonts w:asciiTheme="majorBidi" w:hAnsiTheme="majorBidi" w:cstheme="majorBidi"/>
          <w:sz w:val="28"/>
          <w:szCs w:val="28"/>
          <w:rtl/>
          <w:lang w:bidi="ar-EG"/>
        </w:rPr>
      </w:pPr>
      <w:r w:rsidRPr="00B01049">
        <w:rPr>
          <w:rFonts w:asciiTheme="majorBidi" w:hAnsiTheme="majorBidi" w:cstheme="majorBidi"/>
          <w:sz w:val="28"/>
          <w:szCs w:val="28"/>
          <w:lang w:bidi="ar-EG"/>
        </w:rPr>
        <w:t>Under Article 19 of the Convention on the Rights of the Child, States Parties are committed to taking all appropriate legislative, administrative, social, and educational measures to protect the child from all forms of violence, injury, abuse, neglect, maltreatment, or exploitation, including sexual abuse.</w:t>
      </w:r>
    </w:p>
    <w:p w14:paraId="704FB5BE" w14:textId="77777777" w:rsidR="00D327E8" w:rsidRPr="00B01049" w:rsidRDefault="00D327E8" w:rsidP="00D327E8">
      <w:pPr>
        <w:bidi w:val="0"/>
        <w:spacing w:line="276" w:lineRule="auto"/>
        <w:jc w:val="lowKashida"/>
        <w:rPr>
          <w:rFonts w:asciiTheme="majorBidi" w:hAnsiTheme="majorBidi" w:cstheme="majorBidi"/>
          <w:sz w:val="28"/>
          <w:szCs w:val="28"/>
          <w:rtl/>
          <w:lang w:bidi="ar-EG"/>
        </w:rPr>
      </w:pPr>
      <w:r w:rsidRPr="00B01049">
        <w:rPr>
          <w:rFonts w:asciiTheme="majorBidi" w:hAnsiTheme="majorBidi" w:cstheme="majorBidi"/>
          <w:sz w:val="28"/>
          <w:szCs w:val="28"/>
          <w:lang w:bidi="ar-EG"/>
        </w:rPr>
        <w:lastRenderedPageBreak/>
        <w:t>Under Article 80 of the Egyptian Constitution, Egypt is committed to the care and protection of children from all forms of violence, abuse, mistreatment, and sexual and commercial exploitation. The Child Law punishes anyone who exploits children and involves them in pornographic activities related to sexual exploitation, or who uses computers or the internet to disseminate pornographic materials related to their involvement in prostitution</w:t>
      </w:r>
      <w:r w:rsidRPr="00B01049">
        <w:rPr>
          <w:rStyle w:val="FootnoteReference"/>
          <w:rFonts w:asciiTheme="majorBidi" w:hAnsiTheme="majorBidi" w:cstheme="majorBidi"/>
          <w:sz w:val="28"/>
          <w:szCs w:val="28"/>
          <w:rtl/>
          <w:lang w:bidi="ar-EG"/>
        </w:rPr>
        <w:footnoteReference w:id="2"/>
      </w:r>
      <w:r w:rsidRPr="00B01049">
        <w:rPr>
          <w:rFonts w:asciiTheme="majorBidi" w:hAnsiTheme="majorBidi" w:cstheme="majorBidi"/>
          <w:sz w:val="28"/>
          <w:szCs w:val="28"/>
          <w:lang w:bidi="ar-EG"/>
        </w:rPr>
        <w:t>.</w:t>
      </w:r>
    </w:p>
    <w:p w14:paraId="3CFC3A87" w14:textId="77777777" w:rsidR="00D327E8" w:rsidRPr="00B01049" w:rsidRDefault="00D327E8" w:rsidP="00D327E8">
      <w:pPr>
        <w:bidi w:val="0"/>
        <w:spacing w:line="276" w:lineRule="auto"/>
        <w:jc w:val="lowKashida"/>
        <w:rPr>
          <w:rFonts w:asciiTheme="majorBidi" w:hAnsiTheme="majorBidi" w:cstheme="majorBidi"/>
          <w:sz w:val="28"/>
          <w:szCs w:val="28"/>
          <w:rtl/>
          <w:lang w:bidi="ar-EG"/>
        </w:rPr>
      </w:pPr>
      <w:r w:rsidRPr="00B01049">
        <w:rPr>
          <w:rFonts w:asciiTheme="majorBidi" w:hAnsiTheme="majorBidi" w:cstheme="majorBidi"/>
          <w:sz w:val="28"/>
          <w:szCs w:val="28"/>
          <w:lang w:bidi="ar-EG"/>
        </w:rPr>
        <w:t>However, rates of domestic violence against children remain high. According to data from the Ministry of Social Solidarity, based on the latest survey of Egyptian families conducted by the Central Agency for Public Mobilization and Statistics, the rate of domestic violence against children has reached 75% among Egyptian children aged one to 14 years old</w:t>
      </w:r>
      <w:r w:rsidRPr="00B01049">
        <w:rPr>
          <w:rStyle w:val="FootnoteReference"/>
          <w:rFonts w:asciiTheme="majorBidi" w:hAnsiTheme="majorBidi" w:cstheme="majorBidi"/>
          <w:sz w:val="28"/>
          <w:szCs w:val="28"/>
          <w:rtl/>
          <w:lang w:bidi="ar-EG"/>
        </w:rPr>
        <w:footnoteReference w:id="3"/>
      </w:r>
      <w:r w:rsidRPr="00B01049">
        <w:rPr>
          <w:rFonts w:asciiTheme="majorBidi" w:hAnsiTheme="majorBidi" w:cstheme="majorBidi"/>
          <w:sz w:val="28"/>
          <w:szCs w:val="28"/>
          <w:lang w:bidi="ar-EG"/>
        </w:rPr>
        <w:t>. They have been subjected to various forms of violence, ranging from light beating to severe forms of hitting, burning, and violent kicking</w:t>
      </w:r>
      <w:r w:rsidRPr="00B01049">
        <w:rPr>
          <w:rStyle w:val="FootnoteReference"/>
          <w:rFonts w:asciiTheme="majorBidi" w:hAnsiTheme="majorBidi" w:cstheme="majorBidi"/>
          <w:sz w:val="28"/>
          <w:szCs w:val="28"/>
          <w:rtl/>
          <w:lang w:bidi="ar-EG"/>
        </w:rPr>
        <w:footnoteReference w:id="4"/>
      </w:r>
      <w:r w:rsidRPr="00B01049">
        <w:rPr>
          <w:rFonts w:asciiTheme="majorBidi" w:hAnsiTheme="majorBidi" w:cstheme="majorBidi"/>
          <w:sz w:val="28"/>
          <w:szCs w:val="28"/>
          <w:lang w:bidi="ar-EG"/>
        </w:rPr>
        <w:t>. It is also noteworthy that female children are more exposed to violence than males, with the percentage of violence against females in rural areas reaching 14% compared to 8% among males. Approximately 29% of females who have not completed primary education are subjected to violence, compared to 13% of males in the same age group</w:t>
      </w:r>
      <w:r w:rsidRPr="00B01049">
        <w:rPr>
          <w:rStyle w:val="FootnoteReference"/>
          <w:rFonts w:asciiTheme="majorBidi" w:hAnsiTheme="majorBidi" w:cstheme="majorBidi"/>
          <w:sz w:val="28"/>
          <w:szCs w:val="28"/>
          <w:rtl/>
          <w:lang w:bidi="ar-EG"/>
        </w:rPr>
        <w:footnoteReference w:id="5"/>
      </w:r>
      <w:r w:rsidRPr="00B01049">
        <w:rPr>
          <w:rFonts w:asciiTheme="majorBidi" w:hAnsiTheme="majorBidi" w:cstheme="majorBidi"/>
          <w:sz w:val="28"/>
          <w:szCs w:val="28"/>
          <w:lang w:bidi="ar-EG"/>
        </w:rPr>
        <w:t>.</w:t>
      </w:r>
    </w:p>
    <w:p w14:paraId="335E144D" w14:textId="77777777" w:rsidR="00D327E8" w:rsidRPr="00B01049" w:rsidRDefault="00D327E8" w:rsidP="00D327E8">
      <w:pPr>
        <w:bidi w:val="0"/>
        <w:spacing w:line="276" w:lineRule="auto"/>
        <w:jc w:val="lowKashida"/>
        <w:rPr>
          <w:rFonts w:asciiTheme="majorBidi" w:hAnsiTheme="majorBidi" w:cstheme="majorBidi"/>
          <w:sz w:val="28"/>
          <w:szCs w:val="28"/>
          <w:lang w:bidi="ar-EG"/>
        </w:rPr>
      </w:pPr>
      <w:r w:rsidRPr="00B01049">
        <w:rPr>
          <w:rFonts w:asciiTheme="majorBidi" w:hAnsiTheme="majorBidi" w:cstheme="majorBidi"/>
          <w:sz w:val="28"/>
          <w:szCs w:val="28"/>
          <w:lang w:bidi="ar-EG"/>
        </w:rPr>
        <w:t>The Egypt Peace Association has noted some actions within the House of Representatives aimed at curbing violence against children, particularly domestic violence. Some members of parliament proposed a draft law to protect children from domestic violence and neglect in November 2021. The draft law aims to amend provisions of the Egyptian Child Law, as it does not currently criminalize neglect by a family towards its children. Despite these efforts, the draft law has not yet been passed</w:t>
      </w:r>
      <w:r w:rsidRPr="00B01049">
        <w:rPr>
          <w:rStyle w:val="FootnoteReference"/>
          <w:rFonts w:asciiTheme="majorBidi" w:hAnsiTheme="majorBidi" w:cstheme="majorBidi"/>
          <w:sz w:val="28"/>
          <w:szCs w:val="28"/>
          <w:rtl/>
          <w:lang w:bidi="ar-EG"/>
        </w:rPr>
        <w:footnoteReference w:id="6"/>
      </w:r>
      <w:r w:rsidRPr="00B01049">
        <w:rPr>
          <w:rFonts w:asciiTheme="majorBidi" w:hAnsiTheme="majorBidi" w:cstheme="majorBidi"/>
          <w:sz w:val="28"/>
          <w:szCs w:val="28"/>
          <w:lang w:bidi="ar-EG"/>
        </w:rPr>
        <w:t>.</w:t>
      </w:r>
    </w:p>
    <w:p w14:paraId="3B3D9DD9" w14:textId="77777777" w:rsidR="00D327E8" w:rsidRPr="00B01049" w:rsidRDefault="00D327E8" w:rsidP="00D327E8">
      <w:pPr>
        <w:bidi w:val="0"/>
        <w:spacing w:line="276" w:lineRule="auto"/>
        <w:jc w:val="lowKashida"/>
        <w:rPr>
          <w:rFonts w:asciiTheme="majorBidi" w:hAnsiTheme="majorBidi" w:cstheme="majorBidi"/>
          <w:sz w:val="28"/>
          <w:szCs w:val="28"/>
          <w:lang w:bidi="ar-EG"/>
        </w:rPr>
      </w:pPr>
      <w:r w:rsidRPr="00B01049">
        <w:rPr>
          <w:rFonts w:asciiTheme="majorBidi" w:hAnsiTheme="majorBidi" w:cstheme="majorBidi"/>
          <w:sz w:val="28"/>
          <w:szCs w:val="28"/>
          <w:lang w:bidi="ar-EG"/>
        </w:rPr>
        <w:t xml:space="preserve">On another note, the Egyptian government has placed significant importance on combating female genital mutilation (FGM), which was considered one of the most dangerous forms of physical, sexual, and psychological violence in Egyptian society. </w:t>
      </w:r>
      <w:r w:rsidRPr="00B01049">
        <w:rPr>
          <w:rFonts w:asciiTheme="majorBidi" w:hAnsiTheme="majorBidi" w:cstheme="majorBidi"/>
          <w:sz w:val="28"/>
          <w:szCs w:val="28"/>
          <w:lang w:bidi="ar-EG"/>
        </w:rPr>
        <w:lastRenderedPageBreak/>
        <w:t>Amendments to some provisions of the Penal Code were made to tighten the penalty for FGM under Law No. 78 of 2016. According to these amendments, the punishment for the crime of FGM has been intensified and its scope widened. The amendments stipulate imprisonment for a period of no less than five years for anyone who performs FGM on a female. The penalty is increased to life imprisonment if the act results in permanent disability or death</w:t>
      </w:r>
      <w:r w:rsidRPr="00B01049">
        <w:rPr>
          <w:rStyle w:val="FootnoteReference"/>
          <w:rFonts w:asciiTheme="majorBidi" w:hAnsiTheme="majorBidi" w:cstheme="majorBidi"/>
          <w:sz w:val="28"/>
          <w:szCs w:val="28"/>
          <w:rtl/>
          <w:lang w:bidi="ar-EG"/>
        </w:rPr>
        <w:footnoteReference w:id="7"/>
      </w:r>
      <w:r w:rsidRPr="00B01049">
        <w:rPr>
          <w:rFonts w:asciiTheme="majorBidi" w:hAnsiTheme="majorBidi" w:cstheme="majorBidi"/>
          <w:sz w:val="28"/>
          <w:szCs w:val="28"/>
          <w:lang w:bidi="ar-EG"/>
        </w:rPr>
        <w:t>.</w:t>
      </w:r>
    </w:p>
    <w:p w14:paraId="45DD596F" w14:textId="77777777" w:rsidR="00D327E8" w:rsidRPr="00B01049" w:rsidRDefault="00D327E8" w:rsidP="00D327E8">
      <w:pPr>
        <w:bidi w:val="0"/>
        <w:spacing w:line="276" w:lineRule="auto"/>
        <w:jc w:val="lowKashida"/>
        <w:rPr>
          <w:rFonts w:asciiTheme="majorBidi" w:hAnsiTheme="majorBidi" w:cstheme="majorBidi"/>
          <w:sz w:val="28"/>
          <w:szCs w:val="28"/>
          <w:lang w:bidi="ar-EG"/>
        </w:rPr>
      </w:pPr>
      <w:r w:rsidRPr="00B01049">
        <w:rPr>
          <w:rFonts w:asciiTheme="majorBidi" w:hAnsiTheme="majorBidi" w:cstheme="majorBidi"/>
          <w:sz w:val="28"/>
          <w:szCs w:val="28"/>
          <w:lang w:bidi="ar-EG"/>
        </w:rPr>
        <w:t>However, these amendments were not sufficient. Therefore, the Egyptian government amended some provisions of the Penal Code under Law No. 10 of 2021. The recent amendments state that medical professionals convicted of performing female genital mutilation may face a prison sentence of up to 20 years</w:t>
      </w:r>
      <w:r w:rsidRPr="00B01049">
        <w:rPr>
          <w:rStyle w:val="FootnoteReference"/>
          <w:rFonts w:asciiTheme="majorBidi" w:hAnsiTheme="majorBidi" w:cstheme="majorBidi"/>
          <w:sz w:val="28"/>
          <w:szCs w:val="28"/>
          <w:rtl/>
          <w:lang w:bidi="ar-EG"/>
        </w:rPr>
        <w:footnoteReference w:id="8"/>
      </w:r>
      <w:r w:rsidRPr="00B01049">
        <w:rPr>
          <w:rFonts w:asciiTheme="majorBidi" w:hAnsiTheme="majorBidi" w:cstheme="majorBidi"/>
          <w:sz w:val="28"/>
          <w:szCs w:val="28"/>
          <w:lang w:bidi="ar-EG"/>
        </w:rPr>
        <w:t>.</w:t>
      </w:r>
    </w:p>
    <w:p w14:paraId="57BCDBBA" w14:textId="77777777" w:rsidR="00D327E8" w:rsidRPr="00B01049" w:rsidRDefault="00D327E8" w:rsidP="00D327E8">
      <w:pPr>
        <w:bidi w:val="0"/>
        <w:spacing w:line="276" w:lineRule="auto"/>
        <w:jc w:val="lowKashida"/>
        <w:rPr>
          <w:rFonts w:asciiTheme="majorBidi" w:hAnsiTheme="majorBidi" w:cstheme="majorBidi"/>
          <w:sz w:val="28"/>
          <w:szCs w:val="28"/>
          <w:lang w:bidi="ar-EG"/>
        </w:rPr>
      </w:pPr>
      <w:r w:rsidRPr="00B01049">
        <w:rPr>
          <w:rFonts w:asciiTheme="majorBidi" w:hAnsiTheme="majorBidi" w:cstheme="majorBidi"/>
          <w:sz w:val="28"/>
          <w:szCs w:val="28"/>
          <w:lang w:bidi="ar-EG"/>
        </w:rPr>
        <w:t>The Egypt Peace Association sees the recent amendment to the law as a victory for every Egyptian girl. Medical professionals who commit the crime of female genital mutilation now face severe penalties, contributing to a decrease in the commission of this crime over time. In January 2024, the Criminal Court of Asyut sentenced a doctor to a three-year ban from practicing medicine and one year of imprisonment, suspended, and a housewife to one year of suspended imprisonment for performing female genital mutilation on the housewife's daughter in the town of Sidfa</w:t>
      </w:r>
      <w:r w:rsidRPr="00B01049">
        <w:rPr>
          <w:rStyle w:val="FootnoteReference"/>
          <w:rFonts w:asciiTheme="majorBidi" w:hAnsiTheme="majorBidi" w:cstheme="majorBidi"/>
          <w:sz w:val="28"/>
          <w:szCs w:val="28"/>
          <w:rtl/>
          <w:lang w:bidi="ar-EG"/>
        </w:rPr>
        <w:footnoteReference w:id="9"/>
      </w:r>
      <w:r w:rsidRPr="00B01049">
        <w:rPr>
          <w:rFonts w:asciiTheme="majorBidi" w:hAnsiTheme="majorBidi" w:cstheme="majorBidi"/>
          <w:sz w:val="28"/>
          <w:szCs w:val="28"/>
          <w:lang w:bidi="ar-EG"/>
        </w:rPr>
        <w:t>. In February 2022, the Criminal Court of Aswan sentenced a doctor to two years in prison and a mother to one year in prison after performing female genital mutilation on their daughter</w:t>
      </w:r>
      <w:r w:rsidRPr="00B01049">
        <w:rPr>
          <w:rStyle w:val="FootnoteReference"/>
          <w:rFonts w:asciiTheme="majorBidi" w:hAnsiTheme="majorBidi" w:cstheme="majorBidi"/>
          <w:sz w:val="28"/>
          <w:szCs w:val="28"/>
          <w:rtl/>
          <w:lang w:bidi="ar-EG"/>
        </w:rPr>
        <w:footnoteReference w:id="10"/>
      </w:r>
      <w:r w:rsidRPr="00B01049">
        <w:rPr>
          <w:rFonts w:asciiTheme="majorBidi" w:hAnsiTheme="majorBidi" w:cstheme="majorBidi"/>
          <w:sz w:val="28"/>
          <w:szCs w:val="28"/>
          <w:lang w:bidi="ar-EG"/>
        </w:rPr>
        <w:t>.</w:t>
      </w:r>
    </w:p>
    <w:p w14:paraId="034657B3" w14:textId="77777777" w:rsidR="00D327E8" w:rsidRPr="00B01049" w:rsidRDefault="00D327E8" w:rsidP="00D327E8">
      <w:pPr>
        <w:bidi w:val="0"/>
        <w:spacing w:line="276" w:lineRule="auto"/>
        <w:jc w:val="lowKashida"/>
        <w:rPr>
          <w:rFonts w:asciiTheme="majorBidi" w:hAnsiTheme="majorBidi" w:cstheme="majorBidi"/>
          <w:sz w:val="28"/>
          <w:szCs w:val="28"/>
          <w:lang w:bidi="ar-EG"/>
        </w:rPr>
      </w:pPr>
      <w:r w:rsidRPr="00B01049">
        <w:rPr>
          <w:rFonts w:asciiTheme="majorBidi" w:hAnsiTheme="majorBidi" w:cstheme="majorBidi"/>
          <w:sz w:val="28"/>
          <w:szCs w:val="28"/>
          <w:lang w:bidi="ar-EG"/>
        </w:rPr>
        <w:t xml:space="preserve">Egypt witnessed the establishment of the "National Committee for the Elimination of Female Genital Mutilation" in 2019, jointly chaired by the National Council for Women and the National Council for Childhood and Motherhood. The aim was to unify the efforts of state institutions and civil society organizations concerned with eliminating female genital mutilation. Additionally, the National Council for Women launched the "Protect Her from FGM" campaign, which aimed to raise awareness about the harmful effects of </w:t>
      </w:r>
      <w:r w:rsidRPr="00B01049">
        <w:rPr>
          <w:rFonts w:asciiTheme="majorBidi" w:hAnsiTheme="majorBidi" w:cstheme="majorBidi"/>
          <w:sz w:val="28"/>
          <w:szCs w:val="28"/>
          <w:lang w:bidi="ar-EG"/>
        </w:rPr>
        <w:lastRenderedPageBreak/>
        <w:t>female genital mutilation in villages and governorates nationwide. The campaign reached nearly 76 million individuals through various awareness activities such as door-to-door visits, seminars, public meetings, and team training</w:t>
      </w:r>
      <w:r w:rsidRPr="00B01049">
        <w:rPr>
          <w:rStyle w:val="FootnoteReference"/>
          <w:rFonts w:asciiTheme="majorBidi" w:hAnsiTheme="majorBidi" w:cstheme="majorBidi"/>
          <w:sz w:val="28"/>
          <w:szCs w:val="28"/>
          <w:rtl/>
          <w:lang w:bidi="ar-EG"/>
        </w:rPr>
        <w:footnoteReference w:id="11"/>
      </w:r>
      <w:r w:rsidRPr="00B01049">
        <w:rPr>
          <w:rFonts w:asciiTheme="majorBidi" w:hAnsiTheme="majorBidi" w:cstheme="majorBidi"/>
          <w:sz w:val="28"/>
          <w:szCs w:val="28"/>
          <w:lang w:bidi="ar-EG"/>
        </w:rPr>
        <w:t>.</w:t>
      </w:r>
    </w:p>
    <w:p w14:paraId="3C9F1B6F" w14:textId="77777777" w:rsidR="00D327E8" w:rsidRDefault="00D327E8" w:rsidP="00D327E8">
      <w:pPr>
        <w:bidi w:val="0"/>
        <w:spacing w:line="276" w:lineRule="auto"/>
        <w:jc w:val="lowKashida"/>
        <w:rPr>
          <w:rFonts w:asciiTheme="majorBidi" w:hAnsiTheme="majorBidi" w:cstheme="majorBidi"/>
          <w:sz w:val="28"/>
          <w:szCs w:val="28"/>
          <w:lang w:bidi="ar-EG"/>
        </w:rPr>
      </w:pPr>
      <w:r w:rsidRPr="00B01049">
        <w:rPr>
          <w:rFonts w:asciiTheme="majorBidi" w:hAnsiTheme="majorBidi" w:cstheme="majorBidi"/>
          <w:sz w:val="28"/>
          <w:szCs w:val="28"/>
          <w:lang w:bidi="ar-EG"/>
        </w:rPr>
        <w:t>Official data indicates a significant decrease in the rates of female genital mutilation among girls under the age of 19, dropping to 14% in 2021 from 21% in 2014. However, the Egyptian government still has a long way to go to completely eradicate the practice of female genital mutilation</w:t>
      </w:r>
      <w:r w:rsidRPr="00B01049">
        <w:rPr>
          <w:rStyle w:val="FootnoteReference"/>
          <w:rFonts w:asciiTheme="majorBidi" w:hAnsiTheme="majorBidi" w:cstheme="majorBidi"/>
          <w:sz w:val="28"/>
          <w:szCs w:val="28"/>
          <w:rtl/>
          <w:lang w:bidi="ar-EG"/>
        </w:rPr>
        <w:footnoteReference w:id="12"/>
      </w:r>
      <w:r w:rsidRPr="00B01049">
        <w:rPr>
          <w:rFonts w:asciiTheme="majorBidi" w:hAnsiTheme="majorBidi" w:cstheme="majorBidi"/>
          <w:sz w:val="28"/>
          <w:szCs w:val="28"/>
          <w:lang w:bidi="ar-EG"/>
        </w:rPr>
        <w:t>.</w:t>
      </w:r>
    </w:p>
    <w:p w14:paraId="3EEC4E03" w14:textId="77777777" w:rsidR="00D327E8" w:rsidRPr="00CF5C61" w:rsidRDefault="00D327E8" w:rsidP="00D327E8">
      <w:pPr>
        <w:pBdr>
          <w:bottom w:val="single" w:sz="4" w:space="1" w:color="auto"/>
        </w:pBdr>
        <w:shd w:val="clear" w:color="auto" w:fill="BDD6EE" w:themeFill="accent5" w:themeFillTint="66"/>
        <w:bidi w:val="0"/>
        <w:spacing w:line="276" w:lineRule="auto"/>
        <w:jc w:val="lowKashida"/>
        <w:rPr>
          <w:rFonts w:asciiTheme="majorBidi" w:hAnsiTheme="majorBidi" w:cstheme="majorBidi"/>
          <w:b/>
          <w:bCs/>
          <w:sz w:val="28"/>
          <w:szCs w:val="28"/>
          <w:lang w:bidi="ar-EG"/>
        </w:rPr>
      </w:pPr>
      <w:r w:rsidRPr="00CF5C61">
        <w:rPr>
          <w:rFonts w:asciiTheme="majorBidi" w:hAnsiTheme="majorBidi" w:cstheme="majorBidi"/>
          <w:b/>
          <w:bCs/>
          <w:sz w:val="28"/>
          <w:szCs w:val="28"/>
          <w:lang w:bidi="ar-EG"/>
        </w:rPr>
        <w:t>Article 20: Alternative Care</w:t>
      </w:r>
    </w:p>
    <w:p w14:paraId="0A79AE06" w14:textId="77777777" w:rsidR="00D327E8" w:rsidRDefault="00D327E8" w:rsidP="00D327E8">
      <w:pPr>
        <w:bidi w:val="0"/>
        <w:spacing w:line="276" w:lineRule="auto"/>
        <w:jc w:val="lowKashida"/>
        <w:rPr>
          <w:rFonts w:asciiTheme="majorBidi" w:hAnsiTheme="majorBidi" w:cstheme="majorBidi"/>
          <w:sz w:val="28"/>
          <w:szCs w:val="28"/>
          <w:lang w:bidi="ar-EG"/>
        </w:rPr>
      </w:pPr>
      <w:r w:rsidRPr="005F0B28">
        <w:rPr>
          <w:rFonts w:asciiTheme="majorBidi" w:hAnsiTheme="majorBidi" w:cstheme="majorBidi"/>
          <w:sz w:val="28"/>
          <w:szCs w:val="28"/>
          <w:lang w:bidi="ar-EG"/>
        </w:rPr>
        <w:t>According to Article 20 of the Convention on the Rights of the Child, states parties ensure, according to their national laws, alternative care for children temporarily or permanently deprived of their family environment.</w:t>
      </w:r>
    </w:p>
    <w:p w14:paraId="7915C2FD" w14:textId="77777777" w:rsidR="00D327E8" w:rsidRDefault="00D327E8" w:rsidP="00D327E8">
      <w:pPr>
        <w:bidi w:val="0"/>
        <w:spacing w:line="276" w:lineRule="auto"/>
        <w:jc w:val="lowKashida"/>
        <w:rPr>
          <w:rFonts w:asciiTheme="majorBidi" w:hAnsiTheme="majorBidi" w:cstheme="majorBidi"/>
          <w:sz w:val="28"/>
          <w:szCs w:val="28"/>
          <w:lang w:bidi="ar-EG"/>
        </w:rPr>
      </w:pPr>
      <w:r w:rsidRPr="005F0B28">
        <w:rPr>
          <w:rFonts w:asciiTheme="majorBidi" w:hAnsiTheme="majorBidi" w:cstheme="majorBidi"/>
          <w:sz w:val="28"/>
          <w:szCs w:val="28"/>
          <w:lang w:bidi="ar-EG"/>
        </w:rPr>
        <w:t>The Child Law in Egypt stipulates that the state must provide alternative care for every child deprived of their family care. In this context, the Ministry of Social Solidarity launched in April 2021 the 'National Strategy for Alternative Care for Children and Youth in Egypt,' in collaboration with UNICEF. It aims to provide the best alternative care for every child and youth in Egypt from 2021 to 2030, and to prioritize action in the coming years in the field of alternative care, focusing on the child's health, well-being, growth, education, protection, and fostering their active participation in society</w:t>
      </w:r>
      <w:r>
        <w:rPr>
          <w:rStyle w:val="FootnoteReference"/>
          <w:rFonts w:ascii="Sakkal Majalla" w:hAnsi="Sakkal Majalla" w:cs="Sakkal Majalla"/>
          <w:sz w:val="32"/>
          <w:szCs w:val="32"/>
          <w:rtl/>
          <w:lang w:bidi="ar-EG"/>
        </w:rPr>
        <w:footnoteReference w:id="13"/>
      </w:r>
      <w:r w:rsidRPr="005F0B28">
        <w:rPr>
          <w:rFonts w:asciiTheme="majorBidi" w:hAnsiTheme="majorBidi" w:cstheme="majorBidi"/>
          <w:sz w:val="28"/>
          <w:szCs w:val="28"/>
          <w:lang w:bidi="ar-EG"/>
        </w:rPr>
        <w:t>.</w:t>
      </w:r>
    </w:p>
    <w:p w14:paraId="52E6678F" w14:textId="77777777" w:rsidR="00D327E8" w:rsidRDefault="00D327E8" w:rsidP="00D327E8">
      <w:pPr>
        <w:bidi w:val="0"/>
        <w:spacing w:line="276" w:lineRule="auto"/>
        <w:jc w:val="lowKashida"/>
        <w:rPr>
          <w:rFonts w:asciiTheme="majorBidi" w:hAnsiTheme="majorBidi" w:cstheme="majorBidi"/>
          <w:sz w:val="28"/>
          <w:szCs w:val="28"/>
          <w:lang w:bidi="ar-EG"/>
        </w:rPr>
      </w:pPr>
      <w:r w:rsidRPr="00C80324">
        <w:rPr>
          <w:rFonts w:asciiTheme="majorBidi" w:hAnsiTheme="majorBidi" w:cstheme="majorBidi"/>
          <w:sz w:val="28"/>
          <w:szCs w:val="28"/>
          <w:lang w:bidi="ar-EG"/>
        </w:rPr>
        <w:t>Despite the Child Law's provision to protect children from all forms of violence, harm, or any psychological, physical, or mental damage, the law did not include a complete ban on corporal punishment of children. Article 7 bis indicates the right of parents and caregivers to permissible discipline according to Sharia, with a prohibition on deliberately subjecting the child to any harmful physical harm or harmful practices. This article may be subject to misinterpretation and should be amended.</w:t>
      </w:r>
    </w:p>
    <w:p w14:paraId="6C1FB855" w14:textId="77777777" w:rsidR="00D327E8" w:rsidRDefault="00D327E8" w:rsidP="00D327E8">
      <w:pPr>
        <w:bidi w:val="0"/>
        <w:spacing w:line="276" w:lineRule="auto"/>
        <w:jc w:val="lowKashida"/>
        <w:rPr>
          <w:rFonts w:asciiTheme="majorBidi" w:hAnsiTheme="majorBidi" w:cstheme="majorBidi"/>
          <w:sz w:val="28"/>
          <w:szCs w:val="28"/>
          <w:lang w:bidi="ar-EG"/>
        </w:rPr>
      </w:pPr>
      <w:r w:rsidRPr="00C80324">
        <w:rPr>
          <w:rFonts w:asciiTheme="majorBidi" w:hAnsiTheme="majorBidi" w:cstheme="majorBidi"/>
          <w:sz w:val="28"/>
          <w:szCs w:val="28"/>
          <w:lang w:bidi="ar-EG"/>
        </w:rPr>
        <w:lastRenderedPageBreak/>
        <w:t xml:space="preserve">However, Egypt Peace </w:t>
      </w:r>
      <w:r>
        <w:rPr>
          <w:rFonts w:asciiTheme="majorBidi" w:hAnsiTheme="majorBidi" w:cstheme="majorBidi"/>
          <w:sz w:val="28"/>
          <w:szCs w:val="28"/>
          <w:lang w:bidi="ar-EG"/>
        </w:rPr>
        <w:t>Association</w:t>
      </w:r>
      <w:r w:rsidRPr="00C80324">
        <w:rPr>
          <w:rFonts w:asciiTheme="majorBidi" w:hAnsiTheme="majorBidi" w:cstheme="majorBidi"/>
          <w:sz w:val="28"/>
          <w:szCs w:val="28"/>
          <w:lang w:bidi="ar-EG"/>
        </w:rPr>
        <w:t xml:space="preserve"> commends the amendment of some provisions of the Child Law by Law No. 186 of 2023. After the amendment, Article 113 stipulates that anyone who neglects, after being warned, to supervise the child in accordance with the provisions of the law shall be punished with imprisonment for no less than three months or a fine of not less than one thousand Egyptian pounds and not exceeding five thousand Egyptian pounds, resulting in endangering the child. The foundation believes there is a need to increase the penalty and ensure enforcement mechanisms for the law</w:t>
      </w:r>
      <w:r>
        <w:rPr>
          <w:rStyle w:val="FootnoteReference"/>
          <w:rFonts w:ascii="Sakkal Majalla" w:hAnsi="Sakkal Majalla" w:cs="Sakkal Majalla"/>
          <w:sz w:val="32"/>
          <w:szCs w:val="32"/>
          <w:rtl/>
          <w:lang w:bidi="ar-EG"/>
        </w:rPr>
        <w:footnoteReference w:id="14"/>
      </w:r>
      <w:r w:rsidRPr="00C80324">
        <w:rPr>
          <w:rFonts w:asciiTheme="majorBidi" w:hAnsiTheme="majorBidi" w:cstheme="majorBidi"/>
          <w:sz w:val="28"/>
          <w:szCs w:val="28"/>
          <w:lang w:bidi="ar-EG"/>
        </w:rPr>
        <w:t>.</w:t>
      </w:r>
    </w:p>
    <w:p w14:paraId="17EF777D" w14:textId="77777777" w:rsidR="00D327E8" w:rsidRDefault="00D327E8" w:rsidP="00D327E8">
      <w:pPr>
        <w:bidi w:val="0"/>
        <w:spacing w:line="276" w:lineRule="auto"/>
        <w:jc w:val="lowKashida"/>
        <w:rPr>
          <w:rFonts w:asciiTheme="majorBidi" w:hAnsiTheme="majorBidi" w:cstheme="majorBidi"/>
          <w:sz w:val="28"/>
          <w:szCs w:val="28"/>
          <w:lang w:bidi="ar-EG"/>
        </w:rPr>
      </w:pPr>
      <w:r w:rsidRPr="00E7656E">
        <w:rPr>
          <w:rFonts w:asciiTheme="majorBidi" w:hAnsiTheme="majorBidi" w:cstheme="majorBidi"/>
          <w:sz w:val="28"/>
          <w:szCs w:val="28"/>
          <w:lang w:bidi="ar-EG"/>
        </w:rPr>
        <w:t>In December 2021, the competent investigative authorities referred the director of a care home and others in the Ain Shams neighborhood of Cairo Governorate to the Criminal Court on charges of negligence. The complaint filed against the care home included cases of medical neglect and failure to provide adequate healthcare to the children in the care home located in the Ain Shams area</w:t>
      </w:r>
      <w:r>
        <w:rPr>
          <w:rStyle w:val="FootnoteReference"/>
          <w:rFonts w:ascii="Sakkal Majalla" w:hAnsi="Sakkal Majalla" w:cs="Sakkal Majalla"/>
          <w:sz w:val="32"/>
          <w:szCs w:val="32"/>
          <w:rtl/>
          <w:lang w:bidi="ar-EG"/>
        </w:rPr>
        <w:footnoteReference w:id="15"/>
      </w:r>
      <w:r w:rsidRPr="00E7656E">
        <w:rPr>
          <w:rFonts w:asciiTheme="majorBidi" w:hAnsiTheme="majorBidi" w:cstheme="majorBidi"/>
          <w:sz w:val="28"/>
          <w:szCs w:val="28"/>
          <w:lang w:bidi="ar-EG"/>
        </w:rPr>
        <w:t>. In May 2022, an Egyptian court sentenced a prominent businessman to three years' imprisonment with a fine of 200,000 Egyptian pounds after being convicted of human trafficking and sexual assault against underage girls residing in an orphanage owned by him</w:t>
      </w:r>
      <w:r>
        <w:rPr>
          <w:rStyle w:val="FootnoteReference"/>
          <w:rFonts w:ascii="Sakkal Majalla" w:hAnsi="Sakkal Majalla" w:cs="Sakkal Majalla"/>
          <w:sz w:val="32"/>
          <w:szCs w:val="32"/>
          <w:rtl/>
          <w:lang w:bidi="ar-EG"/>
        </w:rPr>
        <w:footnoteReference w:id="16"/>
      </w:r>
      <w:r w:rsidRPr="00E7656E">
        <w:rPr>
          <w:rFonts w:asciiTheme="majorBidi" w:hAnsiTheme="majorBidi" w:cstheme="majorBidi"/>
          <w:sz w:val="28"/>
          <w:szCs w:val="28"/>
          <w:lang w:bidi="ar-EG"/>
        </w:rPr>
        <w:t>.</w:t>
      </w:r>
    </w:p>
    <w:p w14:paraId="58C7AB62" w14:textId="77777777" w:rsidR="00D327E8" w:rsidRPr="00E7656E" w:rsidRDefault="00D327E8" w:rsidP="00D327E8">
      <w:pPr>
        <w:shd w:val="clear" w:color="auto" w:fill="BDD6EE" w:themeFill="accent5" w:themeFillTint="66"/>
        <w:bidi w:val="0"/>
        <w:spacing w:line="276" w:lineRule="auto"/>
        <w:jc w:val="lowKashida"/>
        <w:rPr>
          <w:rFonts w:asciiTheme="majorBidi" w:hAnsiTheme="majorBidi" w:cstheme="majorBidi"/>
          <w:b/>
          <w:bCs/>
          <w:sz w:val="28"/>
          <w:szCs w:val="28"/>
          <w:lang w:bidi="ar-EG"/>
        </w:rPr>
      </w:pPr>
      <w:r w:rsidRPr="00E7656E">
        <w:rPr>
          <w:rFonts w:asciiTheme="majorBidi" w:hAnsiTheme="majorBidi" w:cstheme="majorBidi"/>
          <w:b/>
          <w:bCs/>
          <w:sz w:val="28"/>
          <w:szCs w:val="28"/>
          <w:lang w:bidi="ar-EG"/>
        </w:rPr>
        <w:t>Article 32: Economic Exploitation of Children</w:t>
      </w:r>
    </w:p>
    <w:p w14:paraId="7F06B88C" w14:textId="77777777" w:rsidR="00D327E8" w:rsidRDefault="00D327E8" w:rsidP="00D327E8">
      <w:pPr>
        <w:bidi w:val="0"/>
        <w:spacing w:line="276" w:lineRule="auto"/>
        <w:jc w:val="lowKashida"/>
        <w:rPr>
          <w:rFonts w:asciiTheme="majorBidi" w:hAnsiTheme="majorBidi" w:cstheme="majorBidi"/>
          <w:sz w:val="28"/>
          <w:szCs w:val="28"/>
          <w:lang w:bidi="ar-EG"/>
        </w:rPr>
      </w:pPr>
      <w:r w:rsidRPr="001D2E39">
        <w:rPr>
          <w:rFonts w:asciiTheme="majorBidi" w:hAnsiTheme="majorBidi" w:cstheme="majorBidi"/>
          <w:sz w:val="28"/>
          <w:szCs w:val="28"/>
          <w:lang w:bidi="ar-EG"/>
        </w:rPr>
        <w:t>Article 32 of the Convention on the Rights of the Child stipulates that State parties must recognize the right of the child to be protected from economic exploitation and from performing any work that is likely to be hazardous or to interfere with the child's education, or to be harmful to the child's health or physical, mental, spiritual, moral or social development.</w:t>
      </w:r>
    </w:p>
    <w:p w14:paraId="3FE2CCEB" w14:textId="77777777" w:rsidR="00D327E8" w:rsidRDefault="00D327E8" w:rsidP="00D327E8">
      <w:pPr>
        <w:bidi w:val="0"/>
        <w:spacing w:line="276" w:lineRule="auto"/>
        <w:jc w:val="lowKashida"/>
        <w:rPr>
          <w:rFonts w:asciiTheme="majorBidi" w:hAnsiTheme="majorBidi" w:cstheme="majorBidi"/>
          <w:sz w:val="28"/>
          <w:szCs w:val="28"/>
          <w:lang w:bidi="ar-EG"/>
        </w:rPr>
      </w:pPr>
      <w:r w:rsidRPr="001D2E39">
        <w:rPr>
          <w:rFonts w:asciiTheme="majorBidi" w:hAnsiTheme="majorBidi" w:cstheme="majorBidi"/>
          <w:sz w:val="28"/>
          <w:szCs w:val="28"/>
          <w:lang w:bidi="ar-EG"/>
        </w:rPr>
        <w:t xml:space="preserve">There are no precise and up-to-date statistics on the size of child labor in Egypt, especially in hazardous occupations. According to the National Survey of Child Labor in Egypt conducted by the Central Agency for Public Mobilization and Statistics and the </w:t>
      </w:r>
      <w:r w:rsidRPr="001D2E39">
        <w:rPr>
          <w:rFonts w:asciiTheme="majorBidi" w:hAnsiTheme="majorBidi" w:cstheme="majorBidi"/>
          <w:sz w:val="28"/>
          <w:szCs w:val="28"/>
          <w:lang w:bidi="ar-EG"/>
        </w:rPr>
        <w:lastRenderedPageBreak/>
        <w:t>International Labour Organization in 2010, approximately 1.6 million children between the ages of 12 and 17 work in Egypt, accounting for 9.3% of the total number of children in the country. This means that one child out of every ten works, and more than 82% of these children are exposed to unsafe working conditions</w:t>
      </w:r>
      <w:r>
        <w:rPr>
          <w:rStyle w:val="FootnoteReference"/>
          <w:rFonts w:ascii="Sakkal Majalla" w:hAnsi="Sakkal Majalla" w:cs="Sakkal Majalla"/>
          <w:sz w:val="32"/>
          <w:szCs w:val="32"/>
          <w:rtl/>
          <w:lang w:bidi="ar-EG"/>
        </w:rPr>
        <w:footnoteReference w:id="17"/>
      </w:r>
      <w:r w:rsidRPr="001D2E39">
        <w:rPr>
          <w:rFonts w:asciiTheme="majorBidi" w:hAnsiTheme="majorBidi" w:cstheme="majorBidi"/>
          <w:sz w:val="28"/>
          <w:szCs w:val="28"/>
          <w:lang w:bidi="ar-EG"/>
        </w:rPr>
        <w:t>.</w:t>
      </w:r>
    </w:p>
    <w:p w14:paraId="7ADC2929" w14:textId="77777777" w:rsidR="00D327E8" w:rsidRDefault="00D327E8" w:rsidP="00D327E8">
      <w:pPr>
        <w:bidi w:val="0"/>
        <w:spacing w:line="276" w:lineRule="auto"/>
        <w:jc w:val="lowKashida"/>
        <w:rPr>
          <w:rFonts w:asciiTheme="majorBidi" w:hAnsiTheme="majorBidi" w:cstheme="majorBidi"/>
          <w:sz w:val="28"/>
          <w:szCs w:val="28"/>
          <w:lang w:bidi="ar-EG"/>
        </w:rPr>
      </w:pPr>
      <w:r w:rsidRPr="001D2E39">
        <w:rPr>
          <w:rFonts w:asciiTheme="majorBidi" w:hAnsiTheme="majorBidi" w:cstheme="majorBidi"/>
          <w:sz w:val="28"/>
          <w:szCs w:val="28"/>
          <w:lang w:bidi="ar-EG"/>
        </w:rPr>
        <w:t>Egypt has witnessed a number of road accidents resulting in the deaths of children while they were on their way to or from work. In May 2021, the Upper Egypt road witnessed an accident involving a pickup truck that claimed the lives of two children, while 21 other children were injured on their way back from work at a farm. In August of the same year, the body of a child was found hanged by unknown individuals. The child was working on a "tuk-tuk" - a popular mode of transportation - to assist his disabled father</w:t>
      </w:r>
      <w:r>
        <w:rPr>
          <w:rStyle w:val="FootnoteReference"/>
          <w:rFonts w:ascii="Sakkal Majalla" w:hAnsi="Sakkal Majalla" w:cs="Sakkal Majalla"/>
          <w:sz w:val="32"/>
          <w:szCs w:val="32"/>
          <w:rtl/>
          <w:lang w:bidi="ar-EG"/>
        </w:rPr>
        <w:footnoteReference w:id="18"/>
      </w:r>
      <w:r w:rsidRPr="001D2E39">
        <w:rPr>
          <w:rFonts w:asciiTheme="majorBidi" w:hAnsiTheme="majorBidi" w:cstheme="majorBidi"/>
          <w:sz w:val="28"/>
          <w:szCs w:val="28"/>
          <w:lang w:bidi="ar-EG"/>
        </w:rPr>
        <w:t>.</w:t>
      </w:r>
    </w:p>
    <w:p w14:paraId="6B240945" w14:textId="77777777" w:rsidR="00D327E8" w:rsidRDefault="00D327E8" w:rsidP="00D327E8">
      <w:pPr>
        <w:bidi w:val="0"/>
        <w:spacing w:line="276" w:lineRule="auto"/>
        <w:jc w:val="lowKashida"/>
        <w:rPr>
          <w:rFonts w:asciiTheme="majorBidi" w:hAnsiTheme="majorBidi" w:cstheme="majorBidi"/>
          <w:sz w:val="28"/>
          <w:szCs w:val="28"/>
          <w:lang w:bidi="ar-EG"/>
        </w:rPr>
      </w:pPr>
      <w:r w:rsidRPr="007A390C">
        <w:rPr>
          <w:rFonts w:asciiTheme="majorBidi" w:hAnsiTheme="majorBidi" w:cstheme="majorBidi"/>
          <w:sz w:val="28"/>
          <w:szCs w:val="28"/>
          <w:lang w:bidi="ar-EG"/>
        </w:rPr>
        <w:t>The Egyptian government has exerted continuous efforts to eliminate child labor, especially in hazardous occupations. In July 2018, the Ministry of Manpower, in collaboration with the International Labour Organization office in Cairo, launched the National Action Plan to Combat the Worst Forms of Child Labour in Egypt and Support Families (2018-2025). The plan aims to eradicate child labor in all its forms by the year 2025, while emphasizing the provision of comprehensive social protection for the targeted children and their families</w:t>
      </w:r>
      <w:r>
        <w:rPr>
          <w:rStyle w:val="FootnoteReference"/>
          <w:rFonts w:ascii="Sakkal Majalla" w:hAnsi="Sakkal Majalla" w:cs="Sakkal Majalla"/>
          <w:sz w:val="32"/>
          <w:szCs w:val="32"/>
          <w:rtl/>
          <w:lang w:bidi="ar-EG"/>
        </w:rPr>
        <w:footnoteReference w:id="19"/>
      </w:r>
      <w:r w:rsidRPr="007A390C">
        <w:rPr>
          <w:rFonts w:asciiTheme="majorBidi" w:hAnsiTheme="majorBidi" w:cstheme="majorBidi"/>
          <w:sz w:val="28"/>
          <w:szCs w:val="28"/>
          <w:lang w:bidi="ar-EG"/>
        </w:rPr>
        <w:t>.</w:t>
      </w:r>
    </w:p>
    <w:p w14:paraId="6084942D" w14:textId="77777777" w:rsidR="00D327E8" w:rsidRDefault="00D327E8" w:rsidP="00D327E8">
      <w:pPr>
        <w:bidi w:val="0"/>
        <w:spacing w:line="276" w:lineRule="auto"/>
        <w:jc w:val="lowKashida"/>
        <w:rPr>
          <w:rFonts w:asciiTheme="majorBidi" w:hAnsiTheme="majorBidi" w:cstheme="majorBidi"/>
          <w:sz w:val="28"/>
          <w:szCs w:val="28"/>
          <w:lang w:bidi="ar-EG"/>
        </w:rPr>
      </w:pPr>
      <w:r w:rsidRPr="009A27F1">
        <w:rPr>
          <w:rFonts w:asciiTheme="majorBidi" w:hAnsiTheme="majorBidi" w:cstheme="majorBidi"/>
          <w:sz w:val="28"/>
          <w:szCs w:val="28"/>
          <w:lang w:bidi="ar-EG"/>
        </w:rPr>
        <w:t xml:space="preserve">In September 2022, the National Coordinating Committee to Combat and Prevent Illegal Migration and Trafficking in Persons, under the auspices of the Prime Minister's Office, launched the Third National Strategy to Combat and Prevent Human Trafficking for the period from 2022 to 2026. The strategy included outputs related to reducing child labor, with a specific sub-goal aimed at enhancing health, psychological, and social assistance. </w:t>
      </w:r>
      <w:r w:rsidRPr="009A27F1">
        <w:rPr>
          <w:rFonts w:asciiTheme="majorBidi" w:hAnsiTheme="majorBidi" w:cstheme="majorBidi"/>
          <w:sz w:val="28"/>
          <w:szCs w:val="28"/>
          <w:lang w:bidi="ar-EG"/>
        </w:rPr>
        <w:lastRenderedPageBreak/>
        <w:t>Additionally, it focused on establishing more shelters for victims of human trafficking, especially children</w:t>
      </w:r>
      <w:r>
        <w:rPr>
          <w:rStyle w:val="FootnoteReference"/>
          <w:rFonts w:ascii="Sakkal Majalla" w:hAnsi="Sakkal Majalla" w:cs="Sakkal Majalla"/>
          <w:sz w:val="32"/>
          <w:szCs w:val="32"/>
          <w:rtl/>
          <w:lang w:bidi="ar-EG"/>
        </w:rPr>
        <w:footnoteReference w:id="20"/>
      </w:r>
      <w:r w:rsidRPr="009A27F1">
        <w:rPr>
          <w:rFonts w:asciiTheme="majorBidi" w:hAnsiTheme="majorBidi" w:cstheme="majorBidi"/>
          <w:sz w:val="28"/>
          <w:szCs w:val="28"/>
          <w:lang w:bidi="ar-EG"/>
        </w:rPr>
        <w:t>.</w:t>
      </w:r>
    </w:p>
    <w:p w14:paraId="593562C7" w14:textId="77777777" w:rsidR="00D327E8" w:rsidRDefault="00D327E8" w:rsidP="00D327E8">
      <w:pPr>
        <w:bidi w:val="0"/>
        <w:spacing w:line="276" w:lineRule="auto"/>
        <w:jc w:val="lowKashida"/>
        <w:rPr>
          <w:rFonts w:asciiTheme="majorBidi" w:hAnsiTheme="majorBidi" w:cstheme="majorBidi"/>
          <w:sz w:val="28"/>
          <w:szCs w:val="28"/>
          <w:rtl/>
          <w:lang w:bidi="ar-EG"/>
        </w:rPr>
      </w:pPr>
      <w:r w:rsidRPr="009A27F1">
        <w:rPr>
          <w:rFonts w:asciiTheme="majorBidi" w:hAnsiTheme="majorBidi" w:cstheme="majorBidi"/>
          <w:sz w:val="28"/>
          <w:szCs w:val="28"/>
          <w:lang w:bidi="ar-EG"/>
        </w:rPr>
        <w:t>In September 2021, Egypt launched the National Strategy for Human Rights, which extends until 2026. It included 11 targeted outcomes related to child protection, especially protection from exploitation, abuse, neglect, and all forms of violence, while emphasizing the principle of the child's best interest. However, the strategy itself acknowledged in the challenges section the persistence of practices falling under the worst forms of child labor, weak enforcement of laws regulating their employment, and a lack of awareness of the risks of their work</w:t>
      </w:r>
      <w:r>
        <w:rPr>
          <w:rStyle w:val="FootnoteReference"/>
          <w:rFonts w:ascii="Sakkal Majalla" w:hAnsi="Sakkal Majalla" w:cs="Sakkal Majalla"/>
          <w:sz w:val="32"/>
          <w:szCs w:val="32"/>
          <w:rtl/>
          <w:lang w:bidi="ar-EG"/>
        </w:rPr>
        <w:footnoteReference w:id="21"/>
      </w:r>
      <w:r w:rsidRPr="009A27F1">
        <w:rPr>
          <w:rFonts w:asciiTheme="majorBidi" w:hAnsiTheme="majorBidi" w:cstheme="majorBidi"/>
          <w:sz w:val="28"/>
          <w:szCs w:val="28"/>
          <w:lang w:bidi="ar-EG"/>
        </w:rPr>
        <w:t>. These challenges indicate that legislation alone is not sufficient to address forms of child labor but rather the translation of these laws into effective practices.</w:t>
      </w:r>
    </w:p>
    <w:p w14:paraId="701B63BA" w14:textId="77777777" w:rsidR="00D327E8" w:rsidRPr="00CF79E8" w:rsidRDefault="00D327E8" w:rsidP="00D327E8">
      <w:pPr>
        <w:pBdr>
          <w:bottom w:val="single" w:sz="4" w:space="1" w:color="auto"/>
        </w:pBdr>
        <w:shd w:val="clear" w:color="auto" w:fill="BDD6EE" w:themeFill="accent5" w:themeFillTint="66"/>
        <w:bidi w:val="0"/>
        <w:spacing w:line="276" w:lineRule="auto"/>
        <w:jc w:val="lowKashida"/>
        <w:rPr>
          <w:rFonts w:asciiTheme="majorBidi" w:hAnsiTheme="majorBidi" w:cstheme="majorBidi"/>
          <w:b/>
          <w:bCs/>
          <w:sz w:val="28"/>
          <w:szCs w:val="28"/>
          <w:lang w:bidi="ar-EG"/>
        </w:rPr>
      </w:pPr>
      <w:r w:rsidRPr="00CF79E8">
        <w:rPr>
          <w:rFonts w:asciiTheme="majorBidi" w:hAnsiTheme="majorBidi" w:cstheme="majorBidi"/>
          <w:b/>
          <w:bCs/>
          <w:sz w:val="28"/>
          <w:szCs w:val="28"/>
          <w:lang w:bidi="ar-EG"/>
        </w:rPr>
        <w:t>Article 37: Detention or imprisonment of the child</w:t>
      </w:r>
    </w:p>
    <w:p w14:paraId="65CDC4F0" w14:textId="77777777" w:rsidR="00D327E8" w:rsidRDefault="00D327E8" w:rsidP="00D327E8">
      <w:pPr>
        <w:bidi w:val="0"/>
        <w:spacing w:line="276" w:lineRule="auto"/>
        <w:jc w:val="lowKashida"/>
        <w:rPr>
          <w:rFonts w:asciiTheme="majorBidi" w:hAnsiTheme="majorBidi" w:cstheme="majorBidi"/>
          <w:sz w:val="28"/>
          <w:szCs w:val="28"/>
          <w:lang w:bidi="ar-EG"/>
        </w:rPr>
      </w:pPr>
      <w:r w:rsidRPr="00CF79E8">
        <w:rPr>
          <w:rFonts w:asciiTheme="majorBidi" w:hAnsiTheme="majorBidi" w:cstheme="majorBidi"/>
          <w:sz w:val="28"/>
          <w:szCs w:val="28"/>
          <w:lang w:bidi="ar-EG"/>
        </w:rPr>
        <w:t>The Convention on the Rights of the Child emphasizes that no child shall be deprived of his or her liberty unlawfully or arbitrarily. The arrest, detention, or imprisonment of a child must be in accordance with the law and shall only be used as a measure of last resort and for the shortest appropriate period of time.</w:t>
      </w:r>
    </w:p>
    <w:p w14:paraId="22091A75" w14:textId="77777777" w:rsidR="00D327E8" w:rsidRDefault="00D327E8" w:rsidP="00D327E8">
      <w:pPr>
        <w:bidi w:val="0"/>
        <w:spacing w:line="276" w:lineRule="auto"/>
        <w:jc w:val="lowKashida"/>
        <w:rPr>
          <w:rFonts w:asciiTheme="majorBidi" w:hAnsiTheme="majorBidi" w:cstheme="majorBidi"/>
          <w:sz w:val="28"/>
          <w:szCs w:val="28"/>
          <w:lang w:bidi="ar-EG"/>
        </w:rPr>
      </w:pPr>
      <w:r w:rsidRPr="00CF79E8">
        <w:rPr>
          <w:rFonts w:asciiTheme="majorBidi" w:hAnsiTheme="majorBidi" w:cstheme="majorBidi"/>
          <w:sz w:val="28"/>
          <w:szCs w:val="28"/>
          <w:lang w:bidi="ar-EG"/>
        </w:rPr>
        <w:t xml:space="preserve">Egypt Peace </w:t>
      </w:r>
      <w:r>
        <w:rPr>
          <w:rFonts w:asciiTheme="majorBidi" w:hAnsiTheme="majorBidi" w:cstheme="majorBidi"/>
          <w:sz w:val="28"/>
          <w:szCs w:val="28"/>
          <w:lang w:bidi="ar-EG"/>
        </w:rPr>
        <w:t>Association</w:t>
      </w:r>
      <w:r w:rsidRPr="00CF79E8">
        <w:rPr>
          <w:rFonts w:asciiTheme="majorBidi" w:hAnsiTheme="majorBidi" w:cstheme="majorBidi"/>
          <w:sz w:val="28"/>
          <w:szCs w:val="28"/>
          <w:lang w:bidi="ar-EG"/>
        </w:rPr>
        <w:t xml:space="preserve"> commends the issuance of Circular No. 7 of 2018 regarding the activation of the roles of child protection committees and the development of the juvenile justice system. It includes various matters, among which is that members of the public prosecution, when there is a situation of danger for accused or victimized children, or child witnesses, should seek assistance from the child helpline of the National Council for Motherhood and Childhood to take urgent measures to protect the child and remove them from the situation of danger</w:t>
      </w:r>
      <w:r>
        <w:rPr>
          <w:rStyle w:val="FootnoteReference"/>
          <w:rFonts w:ascii="Sakkal Majalla" w:hAnsi="Sakkal Majalla" w:cs="Sakkal Majalla"/>
          <w:sz w:val="32"/>
          <w:szCs w:val="32"/>
          <w:rtl/>
          <w:lang w:bidi="ar-EG"/>
        </w:rPr>
        <w:footnoteReference w:id="22"/>
      </w:r>
      <w:r w:rsidRPr="00CF79E8">
        <w:rPr>
          <w:rFonts w:asciiTheme="majorBidi" w:hAnsiTheme="majorBidi" w:cstheme="majorBidi"/>
          <w:sz w:val="28"/>
          <w:szCs w:val="28"/>
          <w:lang w:bidi="ar-EG"/>
        </w:rPr>
        <w:t>.</w:t>
      </w:r>
    </w:p>
    <w:p w14:paraId="5248CA3A" w14:textId="77777777" w:rsidR="00D327E8" w:rsidRDefault="00D327E8" w:rsidP="00D327E8">
      <w:pPr>
        <w:bidi w:val="0"/>
        <w:spacing w:line="276" w:lineRule="auto"/>
        <w:jc w:val="lowKashida"/>
        <w:rPr>
          <w:rFonts w:asciiTheme="majorBidi" w:hAnsiTheme="majorBidi" w:cstheme="majorBidi"/>
          <w:sz w:val="28"/>
          <w:szCs w:val="28"/>
          <w:lang w:bidi="ar-EG"/>
        </w:rPr>
      </w:pPr>
      <w:r w:rsidRPr="00CF79E8">
        <w:rPr>
          <w:rFonts w:asciiTheme="majorBidi" w:hAnsiTheme="majorBidi" w:cstheme="majorBidi"/>
          <w:sz w:val="28"/>
          <w:szCs w:val="28"/>
          <w:lang w:bidi="ar-EG"/>
        </w:rPr>
        <w:t xml:space="preserve">In July 2022, the Minister of Social Solidarity chaired the first meeting of the Coordination Committee for Juvenile Justice in Egypt, established according to Ministerial Decision No. 189 of 2022. The committee includes representatives from the Ministries of Justice, </w:t>
      </w:r>
      <w:r w:rsidRPr="00CF79E8">
        <w:rPr>
          <w:rFonts w:asciiTheme="majorBidi" w:hAnsiTheme="majorBidi" w:cstheme="majorBidi"/>
          <w:sz w:val="28"/>
          <w:szCs w:val="28"/>
          <w:lang w:bidi="ar-EG"/>
        </w:rPr>
        <w:lastRenderedPageBreak/>
        <w:t>Interior, Foreign Affairs, Education, Technical Education, as well as representatives from the Public Prosecution, the Supreme Council of Governmental Universities, the National Council for Childhood and Motherhood, and the Chairman of the Board of the Egyptian Association for the Advancement of Childhood Conditions.</w:t>
      </w:r>
    </w:p>
    <w:p w14:paraId="4D82F719" w14:textId="77777777" w:rsidR="00D327E8" w:rsidRDefault="00D327E8" w:rsidP="00D327E8">
      <w:pPr>
        <w:bidi w:val="0"/>
        <w:spacing w:line="276" w:lineRule="auto"/>
        <w:jc w:val="lowKashida"/>
        <w:rPr>
          <w:rFonts w:asciiTheme="majorBidi" w:hAnsiTheme="majorBidi" w:cstheme="majorBidi"/>
          <w:sz w:val="28"/>
          <w:szCs w:val="28"/>
          <w:lang w:bidi="ar-EG"/>
        </w:rPr>
      </w:pPr>
      <w:r w:rsidRPr="00CF79E8">
        <w:rPr>
          <w:rFonts w:asciiTheme="majorBidi" w:hAnsiTheme="majorBidi" w:cstheme="majorBidi"/>
          <w:sz w:val="28"/>
          <w:szCs w:val="28"/>
          <w:lang w:bidi="ar-EG"/>
        </w:rPr>
        <w:t>The committee is responsible for developing national strategies and plans for the juvenile justice system, proposing legislative amendments to enhance the juvenile justice system, promoting the application of restorative justice practices, reducing the use of detention measures and restrictions on liberty, and overcoming all legal and practical obstacles in collaboration with relevant entities involved in the juvenile justice system</w:t>
      </w:r>
      <w:r>
        <w:rPr>
          <w:rStyle w:val="FootnoteReference"/>
          <w:rFonts w:ascii="Sakkal Majalla" w:hAnsi="Sakkal Majalla" w:cs="Sakkal Majalla"/>
          <w:sz w:val="32"/>
          <w:szCs w:val="32"/>
          <w:rtl/>
          <w:lang w:bidi="ar-EG"/>
        </w:rPr>
        <w:footnoteReference w:id="23"/>
      </w:r>
      <w:r w:rsidRPr="00CF79E8">
        <w:rPr>
          <w:rFonts w:asciiTheme="majorBidi" w:hAnsiTheme="majorBidi" w:cstheme="majorBidi"/>
          <w:sz w:val="28"/>
          <w:szCs w:val="28"/>
          <w:lang w:bidi="ar-EG"/>
        </w:rPr>
        <w:t>.</w:t>
      </w:r>
    </w:p>
    <w:p w14:paraId="344E66BB" w14:textId="77777777" w:rsidR="00D327E8" w:rsidRDefault="00D327E8" w:rsidP="00D327E8">
      <w:pPr>
        <w:bidi w:val="0"/>
        <w:spacing w:line="276" w:lineRule="auto"/>
        <w:jc w:val="lowKashida"/>
        <w:rPr>
          <w:rFonts w:asciiTheme="majorBidi" w:hAnsiTheme="majorBidi" w:cstheme="majorBidi"/>
          <w:sz w:val="28"/>
          <w:szCs w:val="28"/>
          <w:lang w:bidi="ar-EG"/>
        </w:rPr>
      </w:pPr>
      <w:r w:rsidRPr="00CF79E8">
        <w:rPr>
          <w:rFonts w:asciiTheme="majorBidi" w:hAnsiTheme="majorBidi" w:cstheme="majorBidi"/>
          <w:sz w:val="28"/>
          <w:szCs w:val="28"/>
          <w:lang w:bidi="ar-EG"/>
        </w:rPr>
        <w:t>In addition to the previous efforts, we call upon the Egyptian government to expand the use of restorative justice with children involved in legal disputes. This expansion should aim to maximize the use of alternative precautionary measures to detention and restrictions on liberty during the stages of accusation and trial against children.</w:t>
      </w:r>
    </w:p>
    <w:p w14:paraId="3EC7D5F2" w14:textId="77777777" w:rsidR="00D327E8" w:rsidRPr="00F14F9E" w:rsidRDefault="00D327E8" w:rsidP="00D327E8">
      <w:pPr>
        <w:pBdr>
          <w:bottom w:val="single" w:sz="4" w:space="1" w:color="auto"/>
        </w:pBdr>
        <w:shd w:val="clear" w:color="auto" w:fill="BDD6EE" w:themeFill="accent5" w:themeFillTint="66"/>
        <w:bidi w:val="0"/>
        <w:spacing w:line="276" w:lineRule="auto"/>
        <w:jc w:val="lowKashida"/>
        <w:rPr>
          <w:rFonts w:asciiTheme="majorBidi" w:hAnsiTheme="majorBidi" w:cstheme="majorBidi"/>
          <w:b/>
          <w:bCs/>
          <w:sz w:val="28"/>
          <w:szCs w:val="28"/>
          <w:lang w:bidi="ar-EG"/>
        </w:rPr>
      </w:pPr>
      <w:r w:rsidRPr="00F14F9E">
        <w:rPr>
          <w:rFonts w:asciiTheme="majorBidi" w:hAnsiTheme="majorBidi" w:cstheme="majorBidi"/>
          <w:b/>
          <w:bCs/>
          <w:sz w:val="28"/>
          <w:szCs w:val="28"/>
          <w:lang w:bidi="ar-EG"/>
        </w:rPr>
        <w:t>Recommendations</w:t>
      </w:r>
    </w:p>
    <w:p w14:paraId="13677FBB" w14:textId="77777777" w:rsidR="00D327E8" w:rsidRDefault="00D327E8" w:rsidP="00D327E8">
      <w:pPr>
        <w:bidi w:val="0"/>
        <w:spacing w:line="276" w:lineRule="auto"/>
        <w:jc w:val="lowKashida"/>
        <w:rPr>
          <w:rFonts w:asciiTheme="majorBidi" w:hAnsiTheme="majorBidi" w:cstheme="majorBidi"/>
          <w:sz w:val="28"/>
          <w:szCs w:val="28"/>
          <w:lang w:bidi="ar-EG"/>
        </w:rPr>
      </w:pPr>
      <w:r w:rsidRPr="00F6036F">
        <w:rPr>
          <w:rFonts w:asciiTheme="majorBidi" w:hAnsiTheme="majorBidi" w:cstheme="majorBidi"/>
          <w:sz w:val="28"/>
          <w:szCs w:val="28"/>
          <w:lang w:bidi="ar-EG"/>
        </w:rPr>
        <w:t xml:space="preserve">Based on the foregoing, the "Egypt Peace for Development and Human Rights </w:t>
      </w:r>
      <w:r>
        <w:rPr>
          <w:rFonts w:asciiTheme="majorBidi" w:hAnsiTheme="majorBidi" w:cstheme="majorBidi"/>
          <w:sz w:val="28"/>
          <w:szCs w:val="28"/>
          <w:lang w:bidi="ar-EG"/>
        </w:rPr>
        <w:t>Association</w:t>
      </w:r>
      <w:r w:rsidRPr="00F6036F">
        <w:rPr>
          <w:rFonts w:asciiTheme="majorBidi" w:hAnsiTheme="majorBidi" w:cstheme="majorBidi"/>
          <w:sz w:val="28"/>
          <w:szCs w:val="28"/>
          <w:lang w:bidi="ar-EG"/>
        </w:rPr>
        <w:t>" presents the following recommendations to the Egyptian government:</w:t>
      </w:r>
    </w:p>
    <w:p w14:paraId="049BE21C" w14:textId="77777777" w:rsidR="00D327E8" w:rsidRPr="00F6036F" w:rsidRDefault="00D327E8" w:rsidP="00D327E8">
      <w:pPr>
        <w:pStyle w:val="ListParagraph"/>
        <w:numPr>
          <w:ilvl w:val="0"/>
          <w:numId w:val="1"/>
        </w:numPr>
        <w:spacing w:line="276" w:lineRule="auto"/>
        <w:jc w:val="lowKashida"/>
        <w:rPr>
          <w:rFonts w:asciiTheme="majorBidi" w:hAnsiTheme="majorBidi" w:cstheme="majorBidi"/>
          <w:sz w:val="28"/>
          <w:szCs w:val="28"/>
          <w:lang w:bidi="ar-EG"/>
        </w:rPr>
      </w:pPr>
      <w:r w:rsidRPr="00F6036F">
        <w:rPr>
          <w:rFonts w:asciiTheme="majorBidi" w:hAnsiTheme="majorBidi" w:cstheme="majorBidi"/>
          <w:sz w:val="28"/>
          <w:szCs w:val="28"/>
          <w:lang w:bidi="ar-EG"/>
        </w:rPr>
        <w:t>Establish a national monitoring mechanism for all forms of violence and abuse against children, especially the worst forms of child labor and cases of female genital mutilation.</w:t>
      </w:r>
    </w:p>
    <w:p w14:paraId="6B3DEFFC" w14:textId="77777777" w:rsidR="00D327E8" w:rsidRPr="00F6036F" w:rsidRDefault="00D327E8" w:rsidP="00D327E8">
      <w:pPr>
        <w:pStyle w:val="ListParagraph"/>
        <w:numPr>
          <w:ilvl w:val="0"/>
          <w:numId w:val="1"/>
        </w:numPr>
        <w:spacing w:line="276" w:lineRule="auto"/>
        <w:jc w:val="lowKashida"/>
        <w:rPr>
          <w:rFonts w:asciiTheme="majorBidi" w:hAnsiTheme="majorBidi" w:cstheme="majorBidi"/>
          <w:sz w:val="28"/>
          <w:szCs w:val="28"/>
          <w:lang w:bidi="ar-EG"/>
        </w:rPr>
      </w:pPr>
      <w:r w:rsidRPr="00F6036F">
        <w:rPr>
          <w:rFonts w:asciiTheme="majorBidi" w:hAnsiTheme="majorBidi" w:cstheme="majorBidi"/>
          <w:sz w:val="28"/>
          <w:szCs w:val="28"/>
          <w:lang w:bidi="ar-EG"/>
        </w:rPr>
        <w:t>Strengthen oversight and enforce stricter laws against employers who exploit children.</w:t>
      </w:r>
    </w:p>
    <w:p w14:paraId="422C9001" w14:textId="77777777" w:rsidR="00D327E8" w:rsidRPr="00F6036F" w:rsidRDefault="00D327E8" w:rsidP="00D327E8">
      <w:pPr>
        <w:pStyle w:val="ListParagraph"/>
        <w:numPr>
          <w:ilvl w:val="0"/>
          <w:numId w:val="1"/>
        </w:numPr>
        <w:spacing w:line="276" w:lineRule="auto"/>
        <w:jc w:val="lowKashida"/>
        <w:rPr>
          <w:rFonts w:asciiTheme="majorBidi" w:hAnsiTheme="majorBidi" w:cstheme="majorBidi"/>
          <w:sz w:val="28"/>
          <w:szCs w:val="28"/>
          <w:lang w:bidi="ar-EG"/>
        </w:rPr>
      </w:pPr>
      <w:r w:rsidRPr="00F6036F">
        <w:rPr>
          <w:rFonts w:asciiTheme="majorBidi" w:hAnsiTheme="majorBidi" w:cstheme="majorBidi"/>
          <w:sz w:val="28"/>
          <w:szCs w:val="28"/>
          <w:lang w:bidi="ar-EG"/>
        </w:rPr>
        <w:t>Expand social assistance programs to include more low-income families facing financial difficulties to prevent them from employing their children.</w:t>
      </w:r>
    </w:p>
    <w:p w14:paraId="429D6123" w14:textId="77777777" w:rsidR="00D327E8" w:rsidRPr="00F6036F" w:rsidRDefault="00D327E8" w:rsidP="00D327E8">
      <w:pPr>
        <w:pStyle w:val="ListParagraph"/>
        <w:numPr>
          <w:ilvl w:val="0"/>
          <w:numId w:val="1"/>
        </w:numPr>
        <w:spacing w:line="276" w:lineRule="auto"/>
        <w:jc w:val="lowKashida"/>
        <w:rPr>
          <w:rFonts w:asciiTheme="majorBidi" w:hAnsiTheme="majorBidi" w:cstheme="majorBidi"/>
          <w:sz w:val="28"/>
          <w:szCs w:val="28"/>
          <w:lang w:bidi="ar-EG"/>
        </w:rPr>
      </w:pPr>
      <w:r w:rsidRPr="00F6036F">
        <w:rPr>
          <w:rFonts w:asciiTheme="majorBidi" w:hAnsiTheme="majorBidi" w:cstheme="majorBidi"/>
          <w:sz w:val="28"/>
          <w:szCs w:val="28"/>
          <w:lang w:bidi="ar-EG"/>
        </w:rPr>
        <w:t>Enhance awareness campaigns about the importance of avoiding child labor exploitation and encourage families to turn to social programs instead of employing their children.</w:t>
      </w:r>
    </w:p>
    <w:p w14:paraId="2AA44F56" w14:textId="77777777" w:rsidR="00D327E8" w:rsidRPr="00F6036F" w:rsidRDefault="00D327E8" w:rsidP="00D327E8">
      <w:pPr>
        <w:pStyle w:val="ListParagraph"/>
        <w:numPr>
          <w:ilvl w:val="0"/>
          <w:numId w:val="1"/>
        </w:numPr>
        <w:spacing w:line="276" w:lineRule="auto"/>
        <w:jc w:val="lowKashida"/>
        <w:rPr>
          <w:rFonts w:asciiTheme="majorBidi" w:hAnsiTheme="majorBidi" w:cstheme="majorBidi"/>
          <w:sz w:val="28"/>
          <w:szCs w:val="28"/>
          <w:lang w:bidi="ar-EG"/>
        </w:rPr>
      </w:pPr>
      <w:r w:rsidRPr="00F6036F">
        <w:rPr>
          <w:rFonts w:asciiTheme="majorBidi" w:hAnsiTheme="majorBidi" w:cstheme="majorBidi"/>
          <w:sz w:val="28"/>
          <w:szCs w:val="28"/>
          <w:lang w:bidi="ar-EG"/>
        </w:rPr>
        <w:t>Adopt initiatives to encourage companies to contribute to combating child labor.</w:t>
      </w:r>
    </w:p>
    <w:p w14:paraId="7C8464FD" w14:textId="77777777" w:rsidR="00D327E8" w:rsidRDefault="00D327E8" w:rsidP="00D327E8">
      <w:pPr>
        <w:pStyle w:val="ListParagraph"/>
        <w:numPr>
          <w:ilvl w:val="0"/>
          <w:numId w:val="1"/>
        </w:numPr>
        <w:spacing w:line="276" w:lineRule="auto"/>
        <w:jc w:val="lowKashida"/>
        <w:rPr>
          <w:rFonts w:asciiTheme="majorBidi" w:hAnsiTheme="majorBidi" w:cstheme="majorBidi"/>
          <w:sz w:val="28"/>
          <w:szCs w:val="28"/>
          <w:lang w:bidi="ar-EG"/>
        </w:rPr>
      </w:pPr>
      <w:r w:rsidRPr="00F6036F">
        <w:rPr>
          <w:rFonts w:asciiTheme="majorBidi" w:hAnsiTheme="majorBidi" w:cstheme="majorBidi"/>
          <w:sz w:val="28"/>
          <w:szCs w:val="28"/>
          <w:lang w:bidi="ar-EG"/>
        </w:rPr>
        <w:lastRenderedPageBreak/>
        <w:t>Improve the education environment to reduce dropout rates, especially in rural areas, by providing support to impoverished families.</w:t>
      </w:r>
    </w:p>
    <w:p w14:paraId="7E233A70" w14:textId="77777777" w:rsidR="00D327E8" w:rsidRPr="00F6036F" w:rsidRDefault="00D327E8" w:rsidP="00D327E8">
      <w:pPr>
        <w:pStyle w:val="ListParagraph"/>
        <w:numPr>
          <w:ilvl w:val="0"/>
          <w:numId w:val="1"/>
        </w:numPr>
        <w:spacing w:line="276" w:lineRule="auto"/>
        <w:jc w:val="lowKashida"/>
        <w:rPr>
          <w:rFonts w:asciiTheme="majorBidi" w:hAnsiTheme="majorBidi" w:cstheme="majorBidi"/>
          <w:sz w:val="28"/>
          <w:szCs w:val="28"/>
          <w:lang w:bidi="ar-EG"/>
        </w:rPr>
      </w:pPr>
      <w:r w:rsidRPr="00E17CAD">
        <w:rPr>
          <w:rFonts w:asciiTheme="majorBidi" w:hAnsiTheme="majorBidi" w:cstheme="majorBidi"/>
          <w:sz w:val="28"/>
          <w:szCs w:val="28"/>
          <w:lang w:bidi="ar-EG"/>
        </w:rPr>
        <w:t>The necessity of exploring the provision of appropriate detention facilities for children during the period of detention and investigations, and the separation between them and adults.</w:t>
      </w:r>
    </w:p>
    <w:p w14:paraId="2D072E80" w14:textId="3706D2EF" w:rsidR="002370AA" w:rsidRPr="00D327E8" w:rsidRDefault="002370AA" w:rsidP="00D327E8">
      <w:pPr>
        <w:bidi w:val="0"/>
        <w:rPr>
          <w:lang w:bidi="ar-EG"/>
        </w:rPr>
      </w:pPr>
    </w:p>
    <w:sectPr w:rsidR="002370AA" w:rsidRPr="00D327E8" w:rsidSect="00E32A51">
      <w:headerReference w:type="default" r:id="rId7"/>
      <w:footerReference w:type="default" r:id="rId8"/>
      <w:pgSz w:w="12240" w:h="15840"/>
      <w:pgMar w:top="1134" w:right="1134"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F643D5" w14:textId="77777777" w:rsidR="00FA45F5" w:rsidRDefault="00FA45F5" w:rsidP="00936D3F">
      <w:pPr>
        <w:spacing w:after="0" w:line="240" w:lineRule="auto"/>
      </w:pPr>
      <w:r>
        <w:separator/>
      </w:r>
    </w:p>
  </w:endnote>
  <w:endnote w:type="continuationSeparator" w:id="0">
    <w:p w14:paraId="46FCD64E" w14:textId="77777777" w:rsidR="00FA45F5" w:rsidRDefault="00FA45F5" w:rsidP="00936D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kkal Majalla">
    <w:charset w:val="B2"/>
    <w:family w:val="auto"/>
    <w:pitch w:val="variable"/>
    <w:sig w:usb0="80002007" w:usb1="80000000" w:usb2="00000008" w:usb3="00000000" w:csb0="000000D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B26157" w14:textId="77777777" w:rsidR="00936D3F" w:rsidRPr="00936D3F" w:rsidRDefault="00936D3F" w:rsidP="00936D3F">
    <w:pPr>
      <w:pStyle w:val="Footer"/>
      <w:bidi w:val="0"/>
      <w:rPr>
        <w:rFonts w:cstheme="minorHAnsi"/>
        <w:b/>
        <w:bCs/>
      </w:rPr>
    </w:pPr>
    <w:r w:rsidRPr="00936D3F">
      <w:rPr>
        <w:rFonts w:cstheme="minorHAnsi"/>
        <w:b/>
        <w:bCs/>
      </w:rPr>
      <w:t>Add. : P.O. Box 13619 - 5 Misr El Salam St. - Kafr Ramada - Qalyub Center, Qalyubia</w:t>
    </w:r>
    <w:r w:rsidRPr="00936D3F">
      <w:rPr>
        <w:rFonts w:cstheme="minorHAnsi"/>
        <w:b/>
        <w:bCs/>
        <w:noProof/>
      </w:rPr>
      <mc:AlternateContent>
        <mc:Choice Requires="wps">
          <w:drawing>
            <wp:anchor distT="0" distB="0" distL="114300" distR="114300" simplePos="0" relativeHeight="251659264" behindDoc="0" locked="0" layoutInCell="1" allowOverlap="1" wp14:anchorId="2C29FD6B" wp14:editId="61EBAE1D">
              <wp:simplePos x="0" y="0"/>
              <wp:positionH relativeFrom="margin">
                <wp:align>center</wp:align>
              </wp:positionH>
              <wp:positionV relativeFrom="paragraph">
                <wp:posOffset>-294005</wp:posOffset>
              </wp:positionV>
              <wp:extent cx="7520940" cy="68580"/>
              <wp:effectExtent l="0" t="0" r="22860" b="26670"/>
              <wp:wrapNone/>
              <wp:docPr id="1844356110" name="مستطيل: زوايا مستديرة 3"/>
              <wp:cNvGraphicFramePr/>
              <a:graphic xmlns:a="http://schemas.openxmlformats.org/drawingml/2006/main">
                <a:graphicData uri="http://schemas.microsoft.com/office/word/2010/wordprocessingShape">
                  <wps:wsp>
                    <wps:cNvSpPr/>
                    <wps:spPr>
                      <a:xfrm>
                        <a:off x="0" y="0"/>
                        <a:ext cx="7520940" cy="68580"/>
                      </a:xfrm>
                      <a:prstGeom prst="roundRect">
                        <a:avLst/>
                      </a:prstGeom>
                      <a:ln/>
                    </wps:spPr>
                    <wps:style>
                      <a:lnRef idx="3">
                        <a:schemeClr val="lt1"/>
                      </a:lnRef>
                      <a:fillRef idx="1">
                        <a:schemeClr val="accent6"/>
                      </a:fillRef>
                      <a:effectRef idx="1">
                        <a:schemeClr val="accent6"/>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xmlns:w16du="http://schemas.microsoft.com/office/word/2023/wordml/word16du">
          <w:pict>
            <v:roundrect w14:anchorId="4CEBB027" id="مستطيل: زوايا مستديرة 3" o:spid="_x0000_s1026" style="position:absolute;margin-left:0;margin-top:-23.15pt;width:592.2pt;height:5.4pt;z-index:251659264;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" fillcolor="#70ad47 [3209]" strokecolor="white [3201]" strokeweight="1.5pt">
              <v:stroke joinstyle="miter"/>
              <w10:wrap anchorx="margin"/>
            </v:roundrect>
          </w:pict>
        </mc:Fallback>
      </mc:AlternateContent>
    </w:r>
  </w:p>
  <w:p w14:paraId="174D19DB" w14:textId="77777777" w:rsidR="00936D3F" w:rsidRPr="00936D3F" w:rsidRDefault="00936D3F" w:rsidP="00936D3F">
    <w:pPr>
      <w:pStyle w:val="Footer"/>
      <w:bidi w:val="0"/>
      <w:rPr>
        <w:rFonts w:cstheme="minorHAnsi"/>
        <w:b/>
        <w:bCs/>
      </w:rPr>
    </w:pPr>
    <w:r w:rsidRPr="00936D3F">
      <w:rPr>
        <w:rFonts w:cstheme="minorHAnsi"/>
        <w:b/>
        <w:bCs/>
      </w:rPr>
      <w:t xml:space="preserve">E-mail : </w:t>
    </w:r>
    <w:hyperlink r:id="rId1" w:history="1">
      <w:r w:rsidRPr="00936D3F">
        <w:rPr>
          <w:rStyle w:val="Hyperlink"/>
          <w:rFonts w:cstheme="minorHAnsi"/>
          <w:b/>
          <w:bCs/>
        </w:rPr>
        <w:t>egyptpeace2017@gmail.com</w:t>
      </w:r>
    </w:hyperlink>
    <w:r w:rsidRPr="00936D3F">
      <w:rPr>
        <w:rFonts w:cstheme="minorHAnsi"/>
        <w:b/>
        <w:bCs/>
      </w:rPr>
      <w:t xml:space="preserve"> </w:t>
    </w:r>
    <w:r w:rsidRPr="00936D3F">
      <w:rPr>
        <w:rFonts w:cstheme="minorHAnsi"/>
        <w:b/>
        <w:bCs/>
      </w:rPr>
      <w:tab/>
      <w:t xml:space="preserve">                                            </w:t>
    </w:r>
    <w:r>
      <w:rPr>
        <w:rFonts w:cstheme="minorHAnsi"/>
        <w:b/>
        <w:bCs/>
      </w:rPr>
      <w:t xml:space="preserve">  </w:t>
    </w:r>
    <w:r w:rsidRPr="00936D3F">
      <w:rPr>
        <w:rFonts w:cstheme="minorHAnsi"/>
        <w:b/>
        <w:bCs/>
      </w:rPr>
      <w:t>Mo. : 201000499832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FC2C46" w14:textId="77777777" w:rsidR="00FA45F5" w:rsidRDefault="00FA45F5" w:rsidP="00936D3F">
      <w:pPr>
        <w:spacing w:after="0" w:line="240" w:lineRule="auto"/>
      </w:pPr>
      <w:r>
        <w:separator/>
      </w:r>
    </w:p>
  </w:footnote>
  <w:footnote w:type="continuationSeparator" w:id="0">
    <w:p w14:paraId="3AA3CD0A" w14:textId="77777777" w:rsidR="00FA45F5" w:rsidRDefault="00FA45F5" w:rsidP="00936D3F">
      <w:pPr>
        <w:spacing w:after="0" w:line="240" w:lineRule="auto"/>
      </w:pPr>
      <w:r>
        <w:continuationSeparator/>
      </w:r>
    </w:p>
  </w:footnote>
  <w:footnote w:id="1">
    <w:p w14:paraId="2885D6B2" w14:textId="77777777" w:rsidR="00D327E8" w:rsidRPr="00727E34" w:rsidRDefault="00D327E8" w:rsidP="00D327E8">
      <w:pPr>
        <w:pStyle w:val="FootnoteText"/>
        <w:rPr>
          <w:rtl/>
          <w:lang w:bidi="ar-EG"/>
        </w:rPr>
      </w:pPr>
      <w:r>
        <w:rPr>
          <w:rStyle w:val="FootnoteReference"/>
        </w:rPr>
        <w:footnoteRef/>
      </w:r>
      <w:r>
        <w:t xml:space="preserve"> </w:t>
      </w:r>
      <w:r w:rsidRPr="002A53D7">
        <w:rPr>
          <w:rFonts w:cs="Arial"/>
        </w:rPr>
        <w:t>the full text of the amendments to the Nationality Law after its ratification</w:t>
      </w:r>
      <w:r>
        <w:rPr>
          <w:rFonts w:cs="Arial" w:hint="cs"/>
          <w:rtl/>
        </w:rPr>
        <w:t xml:space="preserve">: </w:t>
      </w:r>
      <w:hyperlink r:id="rId1" w:history="1">
        <w:r w:rsidRPr="00BC0C17">
          <w:rPr>
            <w:rStyle w:val="Hyperlink"/>
            <w:rFonts w:ascii="Segoe UI" w:hAnsi="Segoe UI" w:cs="Segoe UI"/>
            <w:shd w:val="clear" w:color="auto" w:fill="F9F9FB"/>
          </w:rPr>
          <w:t>https://qrcd.org/4iGh</w:t>
        </w:r>
      </w:hyperlink>
      <w:r>
        <w:rPr>
          <w:rFonts w:ascii="Segoe UI" w:hAnsi="Segoe UI" w:cs="Segoe UI" w:hint="cs"/>
          <w:color w:val="212529"/>
          <w:shd w:val="clear" w:color="auto" w:fill="F9F9FB"/>
          <w:rtl/>
        </w:rPr>
        <w:t xml:space="preserve"> </w:t>
      </w:r>
    </w:p>
  </w:footnote>
  <w:footnote w:id="2">
    <w:p w14:paraId="318A35D1" w14:textId="77777777" w:rsidR="00D327E8" w:rsidRPr="0054705E" w:rsidRDefault="00D327E8" w:rsidP="00D327E8">
      <w:pPr>
        <w:pStyle w:val="FootnoteText"/>
        <w:rPr>
          <w:rtl/>
          <w:lang w:bidi="ar-EG"/>
        </w:rPr>
      </w:pPr>
      <w:r>
        <w:rPr>
          <w:rStyle w:val="FootnoteReference"/>
        </w:rPr>
        <w:footnoteRef/>
      </w:r>
      <w:r>
        <w:t xml:space="preserve"> </w:t>
      </w:r>
      <w:r w:rsidRPr="00AD1FCA">
        <w:t>Article 80 of the Egyptian Constitution issued in 2014 and amended in 2019</w:t>
      </w:r>
    </w:p>
  </w:footnote>
  <w:footnote w:id="3">
    <w:p w14:paraId="1E3F73E3" w14:textId="77777777" w:rsidR="00D327E8" w:rsidRPr="003B2947" w:rsidRDefault="00D327E8" w:rsidP="00D327E8">
      <w:pPr>
        <w:pStyle w:val="FootnoteText"/>
        <w:rPr>
          <w:rtl/>
          <w:lang w:bidi="ar-EG"/>
        </w:rPr>
      </w:pPr>
      <w:r>
        <w:rPr>
          <w:rStyle w:val="FootnoteReference"/>
        </w:rPr>
        <w:footnoteRef/>
      </w:r>
      <w:r w:rsidRPr="002A0557">
        <w:rPr>
          <w:lang w:bidi="ar-EG"/>
        </w:rPr>
        <w:t>The health survey of the Egyptian family, issued in December 2022, covers the period up to the end of 2021.</w:t>
      </w:r>
      <w:r>
        <w:rPr>
          <w:rFonts w:hint="cs"/>
          <w:rtl/>
          <w:lang w:bidi="ar-EG"/>
        </w:rPr>
        <w:t xml:space="preserve">: </w:t>
      </w:r>
      <w:hyperlink r:id="rId2" w:history="1">
        <w:r w:rsidRPr="00BC0C17">
          <w:rPr>
            <w:rStyle w:val="Hyperlink"/>
            <w:rFonts w:ascii="Segoe UI" w:hAnsi="Segoe UI" w:cs="Segoe UI"/>
            <w:shd w:val="clear" w:color="auto" w:fill="F9F9FB"/>
          </w:rPr>
          <w:t>https://qrcd.org/4iGw</w:t>
        </w:r>
      </w:hyperlink>
      <w:r>
        <w:rPr>
          <w:rFonts w:ascii="Segoe UI" w:hAnsi="Segoe UI" w:cs="Segoe UI" w:hint="cs"/>
          <w:color w:val="212529"/>
          <w:shd w:val="clear" w:color="auto" w:fill="F9F9FB"/>
          <w:rtl/>
        </w:rPr>
        <w:t xml:space="preserve"> </w:t>
      </w:r>
    </w:p>
  </w:footnote>
  <w:footnote w:id="4">
    <w:p w14:paraId="034D8098" w14:textId="77777777" w:rsidR="00D327E8" w:rsidRDefault="00D327E8" w:rsidP="00D327E8">
      <w:pPr>
        <w:pStyle w:val="FootnoteText"/>
        <w:rPr>
          <w:rtl/>
          <w:lang w:bidi="ar-EG"/>
        </w:rPr>
      </w:pPr>
      <w:r>
        <w:rPr>
          <w:rStyle w:val="FootnoteReference"/>
        </w:rPr>
        <w:footnoteRef/>
      </w:r>
      <w:r>
        <w:t xml:space="preserve"> </w:t>
      </w:r>
      <w:r w:rsidRPr="00AE4E2E">
        <w:t>Ministry of Social Solidarity: 75% of Egyptian children have been exposed to violence</w:t>
      </w:r>
      <w:r w:rsidRPr="00AE4E2E">
        <w:rPr>
          <w:rFonts w:cs="Arial"/>
          <w:rtl/>
        </w:rPr>
        <w:t>.</w:t>
      </w:r>
      <w:r>
        <w:rPr>
          <w:rFonts w:cs="Arial" w:hint="cs"/>
          <w:rtl/>
        </w:rPr>
        <w:t xml:space="preserve">: </w:t>
      </w:r>
      <w:hyperlink r:id="rId3" w:history="1">
        <w:r w:rsidRPr="00BC0C17">
          <w:rPr>
            <w:rStyle w:val="Hyperlink"/>
            <w:rFonts w:ascii="Segoe UI" w:hAnsi="Segoe UI" w:cs="Segoe UI"/>
            <w:shd w:val="clear" w:color="auto" w:fill="F9F9FB"/>
          </w:rPr>
          <w:t>https://qrcd.org/4iGu</w:t>
        </w:r>
      </w:hyperlink>
      <w:r>
        <w:rPr>
          <w:rFonts w:ascii="Segoe UI" w:hAnsi="Segoe UI" w:cs="Segoe UI" w:hint="cs"/>
          <w:color w:val="212529"/>
          <w:shd w:val="clear" w:color="auto" w:fill="F9F9FB"/>
          <w:rtl/>
        </w:rPr>
        <w:t xml:space="preserve"> </w:t>
      </w:r>
    </w:p>
  </w:footnote>
  <w:footnote w:id="5">
    <w:p w14:paraId="4F4AF260" w14:textId="77777777" w:rsidR="00D327E8" w:rsidRPr="00352704" w:rsidRDefault="00D327E8" w:rsidP="00D327E8">
      <w:pPr>
        <w:pStyle w:val="FootnoteText"/>
        <w:rPr>
          <w:rtl/>
          <w:lang w:bidi="ar-EG"/>
        </w:rPr>
      </w:pPr>
      <w:r>
        <w:rPr>
          <w:rStyle w:val="FootnoteReference"/>
        </w:rPr>
        <w:footnoteRef/>
      </w:r>
      <w:r w:rsidRPr="00AE4E2E">
        <w:rPr>
          <w:lang w:bidi="ar-EG"/>
        </w:rPr>
        <w:t>The health survey of the Egyptian family issued in December 2022 covers the period until the end of 2021</w:t>
      </w:r>
      <w:r>
        <w:rPr>
          <w:rFonts w:hint="cs"/>
          <w:rtl/>
          <w:lang w:bidi="ar-EG"/>
        </w:rPr>
        <w:t xml:space="preserve">: </w:t>
      </w:r>
      <w:hyperlink r:id="rId4" w:history="1">
        <w:r w:rsidRPr="00BC0C17">
          <w:rPr>
            <w:rStyle w:val="Hyperlink"/>
            <w:rFonts w:ascii="Segoe UI" w:hAnsi="Segoe UI" w:cs="Segoe UI"/>
            <w:shd w:val="clear" w:color="auto" w:fill="F9F9FB"/>
          </w:rPr>
          <w:t>https://qrcd.org/4iGw</w:t>
        </w:r>
      </w:hyperlink>
    </w:p>
  </w:footnote>
  <w:footnote w:id="6">
    <w:p w14:paraId="09413EB2" w14:textId="77777777" w:rsidR="00D327E8" w:rsidRDefault="00D327E8" w:rsidP="00D327E8">
      <w:pPr>
        <w:pStyle w:val="FootnoteText"/>
        <w:rPr>
          <w:rtl/>
          <w:lang w:bidi="ar-EG"/>
        </w:rPr>
      </w:pPr>
      <w:r>
        <w:rPr>
          <w:rStyle w:val="FootnoteReference"/>
        </w:rPr>
        <w:footnoteRef/>
      </w:r>
      <w:r>
        <w:t xml:space="preserve"> </w:t>
      </w:r>
      <w:r w:rsidRPr="002F0140">
        <w:t>Egypt.. First draft law to combat parental violence against children</w:t>
      </w:r>
      <w:r w:rsidRPr="002F0140">
        <w:rPr>
          <w:rFonts w:cs="Arial"/>
          <w:rtl/>
        </w:rPr>
        <w:t>."</w:t>
      </w:r>
      <w:r>
        <w:rPr>
          <w:rFonts w:cs="Arial" w:hint="cs"/>
          <w:rtl/>
        </w:rPr>
        <w:t xml:space="preserve">: </w:t>
      </w:r>
      <w:hyperlink r:id="rId5" w:history="1">
        <w:r w:rsidRPr="00BC0C17">
          <w:rPr>
            <w:rStyle w:val="Hyperlink"/>
            <w:rFonts w:ascii="Segoe UI" w:hAnsi="Segoe UI" w:cs="Segoe UI"/>
            <w:shd w:val="clear" w:color="auto" w:fill="F9F9FB"/>
          </w:rPr>
          <w:t>https://qrcd.org/4iGz</w:t>
        </w:r>
      </w:hyperlink>
      <w:r>
        <w:rPr>
          <w:rFonts w:ascii="Segoe UI" w:hAnsi="Segoe UI" w:cs="Segoe UI" w:hint="cs"/>
          <w:color w:val="212529"/>
          <w:shd w:val="clear" w:color="auto" w:fill="F9F9FB"/>
          <w:rtl/>
        </w:rPr>
        <w:t xml:space="preserve"> </w:t>
      </w:r>
    </w:p>
  </w:footnote>
  <w:footnote w:id="7">
    <w:p w14:paraId="270EF9C6" w14:textId="77777777" w:rsidR="00D327E8" w:rsidRDefault="00D327E8" w:rsidP="00D327E8">
      <w:pPr>
        <w:pStyle w:val="FootnoteText"/>
        <w:rPr>
          <w:rtl/>
          <w:lang w:bidi="ar-EG"/>
        </w:rPr>
      </w:pPr>
      <w:r>
        <w:rPr>
          <w:rStyle w:val="FootnoteReference"/>
        </w:rPr>
        <w:footnoteRef/>
      </w:r>
      <w:r>
        <w:t xml:space="preserve"> </w:t>
      </w:r>
      <w:r w:rsidRPr="002F0140">
        <w:t>"Amendment of some provisions of the Penal Code to intensify the penalty for female genital mutilation under Law No. 78 of 2016:"</w:t>
      </w:r>
      <w:hyperlink r:id="rId6" w:history="1">
        <w:r w:rsidRPr="00BC0C17">
          <w:rPr>
            <w:rStyle w:val="Hyperlink"/>
            <w:rFonts w:ascii="Segoe UI" w:hAnsi="Segoe UI" w:cs="Segoe UI"/>
            <w:shd w:val="clear" w:color="auto" w:fill="F9F9FB"/>
          </w:rPr>
          <w:t>https://qrcd.org/4iHE</w:t>
        </w:r>
      </w:hyperlink>
      <w:r>
        <w:rPr>
          <w:rFonts w:ascii="Segoe UI" w:hAnsi="Segoe UI" w:cs="Segoe UI" w:hint="cs"/>
          <w:color w:val="212529"/>
          <w:shd w:val="clear" w:color="auto" w:fill="F9F9FB"/>
          <w:rtl/>
        </w:rPr>
        <w:t xml:space="preserve"> </w:t>
      </w:r>
    </w:p>
  </w:footnote>
  <w:footnote w:id="8">
    <w:p w14:paraId="0490E2DF" w14:textId="77777777" w:rsidR="00D327E8" w:rsidRDefault="00D327E8" w:rsidP="00D327E8">
      <w:pPr>
        <w:pStyle w:val="FootnoteText"/>
        <w:rPr>
          <w:rtl/>
          <w:lang w:bidi="ar-EG"/>
        </w:rPr>
      </w:pPr>
      <w:r>
        <w:rPr>
          <w:rStyle w:val="FootnoteReference"/>
        </w:rPr>
        <w:footnoteRef/>
      </w:r>
      <w:r>
        <w:t xml:space="preserve"> </w:t>
      </w:r>
      <w:r w:rsidRPr="002F0140">
        <w:t>"Amendment of some provisions of the Penal Code under Law No. 10 of 2021 (enhancement of the penalty for female genital mutilation):"</w:t>
      </w:r>
      <w:hyperlink r:id="rId7" w:history="1">
        <w:r w:rsidRPr="00BC0C17">
          <w:rPr>
            <w:rStyle w:val="Hyperlink"/>
            <w:rFonts w:ascii="Segoe UI" w:hAnsi="Segoe UI" w:cs="Segoe UI"/>
            <w:shd w:val="clear" w:color="auto" w:fill="F9F9FB"/>
          </w:rPr>
          <w:t>https://qrcd.org/4iHI</w:t>
        </w:r>
      </w:hyperlink>
      <w:r>
        <w:rPr>
          <w:rFonts w:ascii="Segoe UI" w:hAnsi="Segoe UI" w:cs="Segoe UI" w:hint="cs"/>
          <w:color w:val="212529"/>
          <w:shd w:val="clear" w:color="auto" w:fill="F9F9FB"/>
          <w:rtl/>
        </w:rPr>
        <w:t xml:space="preserve"> </w:t>
      </w:r>
    </w:p>
  </w:footnote>
  <w:footnote w:id="9">
    <w:p w14:paraId="455C327E" w14:textId="77777777" w:rsidR="00D327E8" w:rsidRDefault="00D327E8" w:rsidP="00D327E8">
      <w:pPr>
        <w:pStyle w:val="FootnoteText"/>
        <w:rPr>
          <w:rtl/>
          <w:lang w:bidi="ar-EG"/>
        </w:rPr>
      </w:pPr>
      <w:r>
        <w:rPr>
          <w:rStyle w:val="FootnoteReference"/>
        </w:rPr>
        <w:footnoteRef/>
      </w:r>
      <w:r>
        <w:t xml:space="preserve"> </w:t>
      </w:r>
      <w:r w:rsidRPr="002F0140">
        <w:t>"Imprisonment and Prohibition from Practicing the Profession... Asyut Criminal Court Issues its Verdict in the Case of the Genital Mutilation Doctor:"</w:t>
      </w:r>
      <w:r>
        <w:t xml:space="preserve"> </w:t>
      </w:r>
      <w:hyperlink r:id="rId8" w:history="1">
        <w:r w:rsidRPr="00BC0C17">
          <w:rPr>
            <w:rStyle w:val="Hyperlink"/>
            <w:rFonts w:ascii="Segoe UI" w:hAnsi="Segoe UI" w:cs="Segoe UI"/>
            <w:shd w:val="clear" w:color="auto" w:fill="F9F9FB"/>
          </w:rPr>
          <w:t>https://qrcd.org/4iHQ</w:t>
        </w:r>
      </w:hyperlink>
      <w:r>
        <w:rPr>
          <w:rFonts w:ascii="Segoe UI" w:hAnsi="Segoe UI" w:cs="Segoe UI" w:hint="cs"/>
          <w:color w:val="212529"/>
          <w:shd w:val="clear" w:color="auto" w:fill="F9F9FB"/>
          <w:rtl/>
        </w:rPr>
        <w:t xml:space="preserve"> </w:t>
      </w:r>
    </w:p>
  </w:footnote>
  <w:footnote w:id="10">
    <w:p w14:paraId="7D09EF6D" w14:textId="77777777" w:rsidR="00D327E8" w:rsidRDefault="00D327E8" w:rsidP="00D327E8">
      <w:pPr>
        <w:pStyle w:val="FootnoteText"/>
        <w:rPr>
          <w:rtl/>
          <w:lang w:bidi="ar-EG"/>
        </w:rPr>
      </w:pPr>
      <w:r>
        <w:rPr>
          <w:rStyle w:val="FootnoteReference"/>
        </w:rPr>
        <w:footnoteRef/>
      </w:r>
      <w:r w:rsidRPr="00D27235">
        <w:rPr>
          <w:rFonts w:cs="Arial"/>
        </w:rPr>
        <w:t>"Prison Sentence for Egyptian Doctor and Mother... Involved in Daughter's Genital Mutilation"</w:t>
      </w:r>
      <w:r>
        <w:rPr>
          <w:rFonts w:cs="Arial" w:hint="cs"/>
          <w:rtl/>
        </w:rPr>
        <w:t xml:space="preserve">: </w:t>
      </w:r>
      <w:hyperlink r:id="rId9" w:history="1">
        <w:r w:rsidRPr="00BC0C17">
          <w:rPr>
            <w:rStyle w:val="Hyperlink"/>
            <w:rFonts w:ascii="Segoe UI" w:hAnsi="Segoe UI" w:cs="Segoe UI"/>
            <w:shd w:val="clear" w:color="auto" w:fill="F9F9FB"/>
          </w:rPr>
          <w:t>https://qrcd.org/4iHV</w:t>
        </w:r>
      </w:hyperlink>
      <w:r>
        <w:rPr>
          <w:rFonts w:ascii="Segoe UI" w:hAnsi="Segoe UI" w:cs="Segoe UI" w:hint="cs"/>
          <w:color w:val="212529"/>
          <w:shd w:val="clear" w:color="auto" w:fill="F9F9FB"/>
          <w:rtl/>
        </w:rPr>
        <w:t xml:space="preserve"> </w:t>
      </w:r>
    </w:p>
  </w:footnote>
  <w:footnote w:id="11">
    <w:p w14:paraId="013318C5" w14:textId="77777777" w:rsidR="00D327E8" w:rsidRDefault="00D327E8" w:rsidP="00D327E8">
      <w:pPr>
        <w:pStyle w:val="FootnoteText"/>
        <w:rPr>
          <w:rtl/>
          <w:lang w:bidi="ar-EG"/>
        </w:rPr>
      </w:pPr>
      <w:r>
        <w:rPr>
          <w:rStyle w:val="FootnoteReference"/>
        </w:rPr>
        <w:footnoteRef/>
      </w:r>
      <w:r>
        <w:t xml:space="preserve"> </w:t>
      </w:r>
      <w:r w:rsidRPr="00C36E84">
        <w:t>"By the Numbers... National Council for Women Reveals a Decline in Female Genital Mutilation Rates from 76% to 36%."</w:t>
      </w:r>
      <w:hyperlink r:id="rId10" w:history="1">
        <w:r w:rsidRPr="00BC0C17">
          <w:rPr>
            <w:rStyle w:val="Hyperlink"/>
            <w:rFonts w:ascii="Segoe UI" w:hAnsi="Segoe UI" w:cs="Segoe UI"/>
            <w:shd w:val="clear" w:color="auto" w:fill="F9F9FB"/>
          </w:rPr>
          <w:t>https://qrcd.org/4iHN</w:t>
        </w:r>
      </w:hyperlink>
    </w:p>
  </w:footnote>
  <w:footnote w:id="12">
    <w:p w14:paraId="2049EDE6" w14:textId="77777777" w:rsidR="00D327E8" w:rsidRDefault="00D327E8" w:rsidP="00D327E8">
      <w:pPr>
        <w:pStyle w:val="FootnoteText"/>
        <w:rPr>
          <w:rtl/>
          <w:lang w:bidi="ar-EG"/>
        </w:rPr>
      </w:pPr>
      <w:r>
        <w:rPr>
          <w:rStyle w:val="FootnoteReference"/>
        </w:rPr>
        <w:footnoteRef/>
      </w:r>
      <w:r>
        <w:t xml:space="preserve"> </w:t>
      </w:r>
      <w:r w:rsidRPr="00C36E84">
        <w:t>"The Health Survey of Egyptian Families issued in December 2022 covers the period until the end of 2021.</w:t>
      </w:r>
      <w:r>
        <w:t>:</w:t>
      </w:r>
      <w:hyperlink r:id="rId11" w:history="1">
        <w:r w:rsidRPr="00BC0C17">
          <w:rPr>
            <w:rStyle w:val="Hyperlink"/>
            <w:rFonts w:ascii="Segoe UI" w:hAnsi="Segoe UI" w:cs="Segoe UI"/>
            <w:shd w:val="clear" w:color="auto" w:fill="F9F9FB"/>
          </w:rPr>
          <w:t>https://qrcd.org/4iGw</w:t>
        </w:r>
      </w:hyperlink>
    </w:p>
  </w:footnote>
  <w:footnote w:id="13">
    <w:p w14:paraId="4F384A1A" w14:textId="77777777" w:rsidR="00D327E8" w:rsidRPr="00154BBC" w:rsidRDefault="00D327E8" w:rsidP="00D327E8">
      <w:pPr>
        <w:pStyle w:val="FootnoteText"/>
        <w:rPr>
          <w:rtl/>
          <w:lang w:bidi="ar-EG"/>
        </w:rPr>
      </w:pPr>
      <w:r>
        <w:rPr>
          <w:rStyle w:val="FootnoteReference"/>
        </w:rPr>
        <w:footnoteRef/>
      </w:r>
      <w:r w:rsidRPr="00F6036F">
        <w:rPr>
          <w:rFonts w:cs="Arial"/>
        </w:rPr>
        <w:t>The Ministry of Solidarity launches the Alternative Care Strategy for Children and Youth in cooperation with UNICEF.</w:t>
      </w:r>
      <w:r>
        <w:rPr>
          <w:rFonts w:cs="Arial" w:hint="cs"/>
          <w:rtl/>
        </w:rPr>
        <w:t xml:space="preserve">: </w:t>
      </w:r>
      <w:hyperlink r:id="rId12" w:history="1">
        <w:r w:rsidRPr="00BC0C17">
          <w:rPr>
            <w:rStyle w:val="Hyperlink"/>
            <w:rFonts w:ascii="Segoe UI" w:hAnsi="Segoe UI" w:cs="Segoe UI"/>
            <w:shd w:val="clear" w:color="auto" w:fill="F9F9FB"/>
          </w:rPr>
          <w:t>https://qrcd.org/4iKa</w:t>
        </w:r>
      </w:hyperlink>
      <w:r>
        <w:rPr>
          <w:rFonts w:ascii="Segoe UI" w:hAnsi="Segoe UI" w:cs="Segoe UI" w:hint="cs"/>
          <w:color w:val="212529"/>
          <w:shd w:val="clear" w:color="auto" w:fill="F9F9FB"/>
          <w:rtl/>
        </w:rPr>
        <w:t xml:space="preserve"> </w:t>
      </w:r>
    </w:p>
  </w:footnote>
  <w:footnote w:id="14">
    <w:p w14:paraId="3D7F999B" w14:textId="77777777" w:rsidR="00D327E8" w:rsidRPr="00C05471" w:rsidRDefault="00D327E8" w:rsidP="00D327E8">
      <w:pPr>
        <w:pStyle w:val="FootnoteText"/>
        <w:rPr>
          <w:rtl/>
          <w:lang w:bidi="ar-EG"/>
        </w:rPr>
      </w:pPr>
      <w:r>
        <w:rPr>
          <w:rStyle w:val="FootnoteReference"/>
        </w:rPr>
        <w:footnoteRef/>
      </w:r>
      <w:r w:rsidRPr="008C6B7E">
        <w:rPr>
          <w:rFonts w:cs="Arial"/>
        </w:rPr>
        <w:t>Amendment of some provisions of the Child Law by Law No. 186 of 2023.</w:t>
      </w:r>
      <w:r>
        <w:rPr>
          <w:rFonts w:cs="Arial" w:hint="cs"/>
          <w:rtl/>
        </w:rPr>
        <w:t xml:space="preserve">: </w:t>
      </w:r>
      <w:hyperlink r:id="rId13" w:history="1">
        <w:r w:rsidRPr="00BC0C17">
          <w:rPr>
            <w:rStyle w:val="Hyperlink"/>
            <w:rFonts w:ascii="Segoe UI" w:hAnsi="Segoe UI" w:cs="Segoe UI"/>
            <w:shd w:val="clear" w:color="auto" w:fill="F9F9FB"/>
          </w:rPr>
          <w:t>https://qrcd.org/4iKi</w:t>
        </w:r>
      </w:hyperlink>
      <w:r>
        <w:rPr>
          <w:rFonts w:ascii="Segoe UI" w:hAnsi="Segoe UI" w:cs="Segoe UI" w:hint="cs"/>
          <w:color w:val="212529"/>
          <w:shd w:val="clear" w:color="auto" w:fill="F9F9FB"/>
          <w:rtl/>
        </w:rPr>
        <w:t xml:space="preserve"> </w:t>
      </w:r>
    </w:p>
  </w:footnote>
  <w:footnote w:id="15">
    <w:p w14:paraId="63349C7C" w14:textId="77777777" w:rsidR="00D327E8" w:rsidRPr="00981D00" w:rsidRDefault="00D327E8" w:rsidP="00D327E8">
      <w:pPr>
        <w:pStyle w:val="FootnoteText"/>
        <w:rPr>
          <w:rtl/>
          <w:lang w:bidi="ar-EG"/>
        </w:rPr>
      </w:pPr>
      <w:r>
        <w:rPr>
          <w:rStyle w:val="FootnoteReference"/>
        </w:rPr>
        <w:footnoteRef/>
      </w:r>
      <w:r w:rsidRPr="008C6B7E">
        <w:rPr>
          <w:rFonts w:cs="Arial"/>
        </w:rPr>
        <w:t>Referral of the director of a care home in Ain Shams and others to criminal court on charges of negligence.</w:t>
      </w:r>
      <w:r>
        <w:rPr>
          <w:rFonts w:cs="Arial" w:hint="cs"/>
          <w:rtl/>
        </w:rPr>
        <w:t xml:space="preserve">: </w:t>
      </w:r>
      <w:hyperlink r:id="rId14" w:history="1">
        <w:r w:rsidRPr="00BC0C17">
          <w:rPr>
            <w:rStyle w:val="Hyperlink"/>
            <w:rFonts w:ascii="Segoe UI" w:hAnsi="Segoe UI" w:cs="Segoe UI"/>
            <w:shd w:val="clear" w:color="auto" w:fill="F9F9FB"/>
          </w:rPr>
          <w:t>https://qrcd.org/4iKl</w:t>
        </w:r>
      </w:hyperlink>
      <w:r>
        <w:rPr>
          <w:rFonts w:ascii="Segoe UI" w:hAnsi="Segoe UI" w:cs="Segoe UI" w:hint="cs"/>
          <w:color w:val="212529"/>
          <w:shd w:val="clear" w:color="auto" w:fill="F9F9FB"/>
          <w:rtl/>
        </w:rPr>
        <w:t xml:space="preserve"> </w:t>
      </w:r>
    </w:p>
  </w:footnote>
  <w:footnote w:id="16">
    <w:p w14:paraId="74641E54" w14:textId="77777777" w:rsidR="00D327E8" w:rsidRPr="00981D00" w:rsidRDefault="00D327E8" w:rsidP="00D327E8">
      <w:pPr>
        <w:pStyle w:val="FootnoteText"/>
        <w:rPr>
          <w:rtl/>
          <w:lang w:bidi="ar-EG"/>
        </w:rPr>
      </w:pPr>
      <w:r>
        <w:rPr>
          <w:rStyle w:val="FootnoteReference"/>
        </w:rPr>
        <w:footnoteRef/>
      </w:r>
      <w:r w:rsidRPr="00CA32F7">
        <w:rPr>
          <w:rFonts w:cs="Arial"/>
        </w:rPr>
        <w:t>Egyptian businessman Mohamed Al-Amin sentenced to 3 years in prison after being convicted of human trafficking and defiling orphans</w:t>
      </w:r>
      <w:r>
        <w:rPr>
          <w:rFonts w:cs="Arial" w:hint="cs"/>
          <w:rtl/>
        </w:rPr>
        <w:t xml:space="preserve">: </w:t>
      </w:r>
      <w:hyperlink r:id="rId15" w:history="1">
        <w:r w:rsidRPr="00BC0C17">
          <w:rPr>
            <w:rStyle w:val="Hyperlink"/>
            <w:rFonts w:ascii="Segoe UI" w:hAnsi="Segoe UI" w:cs="Segoe UI"/>
            <w:shd w:val="clear" w:color="auto" w:fill="F9F9FB"/>
          </w:rPr>
          <w:t>https://qrcd.org/4iKm</w:t>
        </w:r>
      </w:hyperlink>
      <w:r>
        <w:rPr>
          <w:rFonts w:ascii="Segoe UI" w:hAnsi="Segoe UI" w:cs="Segoe UI" w:hint="cs"/>
          <w:color w:val="212529"/>
          <w:shd w:val="clear" w:color="auto" w:fill="F9F9FB"/>
          <w:rtl/>
        </w:rPr>
        <w:t xml:space="preserve"> </w:t>
      </w:r>
    </w:p>
  </w:footnote>
  <w:footnote w:id="17">
    <w:p w14:paraId="3FEC8230" w14:textId="77777777" w:rsidR="00D327E8" w:rsidRDefault="00D327E8" w:rsidP="00D327E8">
      <w:pPr>
        <w:pStyle w:val="FootnoteText"/>
        <w:rPr>
          <w:rtl/>
          <w:lang w:bidi="ar-EG"/>
        </w:rPr>
      </w:pPr>
      <w:r>
        <w:rPr>
          <w:rStyle w:val="FootnoteReference"/>
        </w:rPr>
        <w:footnoteRef/>
      </w:r>
      <w:r>
        <w:t xml:space="preserve"> </w:t>
      </w:r>
      <w:r w:rsidRPr="00782D35">
        <w:t>With a reported number of 1.6 million according to the latest survey, does Egypt succeed in eradicating child labor?</w:t>
      </w:r>
      <w:r>
        <w:t xml:space="preserve"> </w:t>
      </w:r>
      <w:hyperlink r:id="rId16" w:history="1">
        <w:r w:rsidRPr="00BC0C17">
          <w:rPr>
            <w:rStyle w:val="Hyperlink"/>
            <w:rFonts w:ascii="Segoe UI" w:hAnsi="Segoe UI" w:cs="Segoe UI"/>
            <w:shd w:val="clear" w:color="auto" w:fill="F9F9FB"/>
          </w:rPr>
          <w:t>https://qrcd.org/4iKF</w:t>
        </w:r>
      </w:hyperlink>
      <w:r>
        <w:rPr>
          <w:rFonts w:ascii="Segoe UI" w:hAnsi="Segoe UI" w:cs="Segoe UI" w:hint="cs"/>
          <w:color w:val="212529"/>
          <w:shd w:val="clear" w:color="auto" w:fill="F9F9FB"/>
          <w:rtl/>
        </w:rPr>
        <w:t xml:space="preserve"> </w:t>
      </w:r>
    </w:p>
  </w:footnote>
  <w:footnote w:id="18">
    <w:p w14:paraId="6F4B4712" w14:textId="77777777" w:rsidR="00D327E8" w:rsidRDefault="00D327E8" w:rsidP="00D327E8">
      <w:pPr>
        <w:pStyle w:val="FootnoteText"/>
        <w:rPr>
          <w:rtl/>
          <w:lang w:bidi="ar-EG"/>
        </w:rPr>
      </w:pPr>
      <w:r>
        <w:rPr>
          <w:rStyle w:val="FootnoteReference"/>
        </w:rPr>
        <w:footnoteRef/>
      </w:r>
      <w:r w:rsidRPr="00782D35">
        <w:rPr>
          <w:rFonts w:cs="Arial"/>
        </w:rPr>
        <w:t>"Child Labor in Egypt: Deprived Childhood and Fatal Incidents During Daily Work Journeys"</w:t>
      </w:r>
      <w:r>
        <w:rPr>
          <w:rFonts w:cs="Arial" w:hint="cs"/>
          <w:rtl/>
        </w:rPr>
        <w:t xml:space="preserve">: </w:t>
      </w:r>
      <w:hyperlink r:id="rId17" w:history="1">
        <w:r w:rsidRPr="00BC0C17">
          <w:rPr>
            <w:rStyle w:val="Hyperlink"/>
            <w:rFonts w:ascii="Segoe UI" w:hAnsi="Segoe UI" w:cs="Segoe UI"/>
            <w:shd w:val="clear" w:color="auto" w:fill="F9F9FB"/>
          </w:rPr>
          <w:t>https://qrcd.org/4iKG</w:t>
        </w:r>
      </w:hyperlink>
      <w:r>
        <w:rPr>
          <w:rFonts w:ascii="Segoe UI" w:hAnsi="Segoe UI" w:cs="Segoe UI" w:hint="cs"/>
          <w:color w:val="212529"/>
          <w:shd w:val="clear" w:color="auto" w:fill="F9F9FB"/>
          <w:rtl/>
        </w:rPr>
        <w:t xml:space="preserve"> </w:t>
      </w:r>
    </w:p>
  </w:footnote>
  <w:footnote w:id="19">
    <w:p w14:paraId="35F2835D" w14:textId="77777777" w:rsidR="00D327E8" w:rsidRDefault="00D327E8" w:rsidP="00D327E8">
      <w:pPr>
        <w:pStyle w:val="FootnoteText"/>
        <w:rPr>
          <w:rtl/>
          <w:lang w:bidi="ar-EG"/>
        </w:rPr>
      </w:pPr>
      <w:r>
        <w:rPr>
          <w:rStyle w:val="FootnoteReference"/>
        </w:rPr>
        <w:footnoteRef/>
      </w:r>
      <w:r>
        <w:t xml:space="preserve"> </w:t>
      </w:r>
      <w:r w:rsidRPr="00782D35">
        <w:t>"The Ministry of Labor Launches the National Plan to Combat the Worst Forms of Child Labor and Support Families 2018 – 2025"</w:t>
      </w:r>
      <w:hyperlink r:id="rId18" w:history="1">
        <w:r w:rsidRPr="00BC0C17">
          <w:rPr>
            <w:rStyle w:val="Hyperlink"/>
            <w:rFonts w:ascii="Segoe UI" w:hAnsi="Segoe UI" w:cs="Segoe UI"/>
            <w:shd w:val="clear" w:color="auto" w:fill="F9F9FB"/>
          </w:rPr>
          <w:t>https://qrcd.org/4iKH</w:t>
        </w:r>
      </w:hyperlink>
      <w:r>
        <w:rPr>
          <w:rFonts w:ascii="Segoe UI" w:hAnsi="Segoe UI" w:cs="Segoe UI" w:hint="cs"/>
          <w:color w:val="212529"/>
          <w:shd w:val="clear" w:color="auto" w:fill="F9F9FB"/>
          <w:rtl/>
        </w:rPr>
        <w:t xml:space="preserve"> </w:t>
      </w:r>
    </w:p>
  </w:footnote>
  <w:footnote w:id="20">
    <w:p w14:paraId="33A64A26" w14:textId="77777777" w:rsidR="00D327E8" w:rsidRDefault="00D327E8" w:rsidP="00D327E8">
      <w:pPr>
        <w:pStyle w:val="FootnoteText"/>
        <w:rPr>
          <w:rtl/>
          <w:lang w:bidi="ar-EG"/>
        </w:rPr>
      </w:pPr>
      <w:r>
        <w:rPr>
          <w:rStyle w:val="FootnoteReference"/>
        </w:rPr>
        <w:footnoteRef/>
      </w:r>
      <w:r>
        <w:t xml:space="preserve"> </w:t>
      </w:r>
      <w:r w:rsidRPr="00782D35">
        <w:t>"The text of the National Strategy to Combat Trafficking in Persons 2022-2026:</w:t>
      </w:r>
      <w:r>
        <w:t xml:space="preserve"> </w:t>
      </w:r>
      <w:hyperlink r:id="rId19" w:history="1">
        <w:r w:rsidRPr="00BC0C17">
          <w:rPr>
            <w:rStyle w:val="Hyperlink"/>
            <w:rFonts w:ascii="Segoe UI" w:hAnsi="Segoe UI" w:cs="Segoe UI"/>
            <w:shd w:val="clear" w:color="auto" w:fill="F9F9FB"/>
          </w:rPr>
          <w:t>https://qrcd.org/4iKL</w:t>
        </w:r>
      </w:hyperlink>
      <w:r>
        <w:rPr>
          <w:rFonts w:ascii="Segoe UI" w:hAnsi="Segoe UI" w:cs="Segoe UI" w:hint="cs"/>
          <w:color w:val="212529"/>
          <w:shd w:val="clear" w:color="auto" w:fill="F9F9FB"/>
          <w:rtl/>
        </w:rPr>
        <w:t xml:space="preserve"> </w:t>
      </w:r>
    </w:p>
  </w:footnote>
  <w:footnote w:id="21">
    <w:p w14:paraId="0D775299" w14:textId="77777777" w:rsidR="00D327E8" w:rsidRDefault="00D327E8" w:rsidP="00D327E8">
      <w:pPr>
        <w:pStyle w:val="FootnoteText"/>
        <w:rPr>
          <w:rtl/>
          <w:lang w:bidi="ar-EG"/>
        </w:rPr>
      </w:pPr>
      <w:r>
        <w:rPr>
          <w:rStyle w:val="FootnoteReference"/>
        </w:rPr>
        <w:footnoteRef/>
      </w:r>
      <w:r>
        <w:t xml:space="preserve"> </w:t>
      </w:r>
      <w:r w:rsidRPr="008108E6">
        <w:t>The National Strategy for Human Rights - 2021:</w:t>
      </w:r>
      <w:r>
        <w:t xml:space="preserve"> </w:t>
      </w:r>
      <w:hyperlink r:id="rId20" w:history="1">
        <w:r w:rsidRPr="00BC0C17">
          <w:rPr>
            <w:rStyle w:val="Hyperlink"/>
            <w:rFonts w:ascii="Segoe UI" w:hAnsi="Segoe UI" w:cs="Segoe UI"/>
            <w:shd w:val="clear" w:color="auto" w:fill="F9F9FB"/>
          </w:rPr>
          <w:t>https://qrcd.org/4iKO</w:t>
        </w:r>
      </w:hyperlink>
      <w:r>
        <w:rPr>
          <w:rFonts w:ascii="Segoe UI" w:hAnsi="Segoe UI" w:cs="Segoe UI" w:hint="cs"/>
          <w:color w:val="212529"/>
          <w:shd w:val="clear" w:color="auto" w:fill="F9F9FB"/>
          <w:rtl/>
        </w:rPr>
        <w:t xml:space="preserve"> </w:t>
      </w:r>
    </w:p>
  </w:footnote>
  <w:footnote w:id="22">
    <w:p w14:paraId="35A8734D" w14:textId="77777777" w:rsidR="00D327E8" w:rsidRDefault="00D327E8" w:rsidP="00D327E8">
      <w:pPr>
        <w:pStyle w:val="FootnoteText"/>
        <w:rPr>
          <w:rtl/>
          <w:lang w:bidi="ar-EG"/>
        </w:rPr>
      </w:pPr>
      <w:r>
        <w:rPr>
          <w:rStyle w:val="FootnoteReference"/>
        </w:rPr>
        <w:footnoteRef/>
      </w:r>
      <w:r w:rsidRPr="00CF79E8">
        <w:rPr>
          <w:rFonts w:cs="Arial"/>
        </w:rPr>
        <w:t>Circular No. 7 of 2018 regarding the activation of the roles of child protection committees and the development of the juvenile justice system</w:t>
      </w:r>
      <w:r w:rsidRPr="00CF79E8">
        <w:rPr>
          <w:rFonts w:cs="Arial"/>
          <w:rtl/>
        </w:rPr>
        <w:t>.</w:t>
      </w:r>
      <w:r>
        <w:rPr>
          <w:rFonts w:cs="Arial" w:hint="cs"/>
          <w:rtl/>
        </w:rPr>
        <w:t xml:space="preserve">: </w:t>
      </w:r>
      <w:hyperlink r:id="rId21" w:history="1">
        <w:r w:rsidRPr="005228F5">
          <w:rPr>
            <w:rStyle w:val="Hyperlink"/>
            <w:rFonts w:ascii="Segoe UI" w:hAnsi="Segoe UI" w:cs="Segoe UI"/>
            <w:shd w:val="clear" w:color="auto" w:fill="F9F9FB"/>
          </w:rPr>
          <w:t>https://qrcd.org/4kNp</w:t>
        </w:r>
      </w:hyperlink>
      <w:r>
        <w:rPr>
          <w:rFonts w:ascii="Segoe UI" w:hAnsi="Segoe UI" w:cs="Segoe UI" w:hint="cs"/>
          <w:color w:val="212529"/>
          <w:shd w:val="clear" w:color="auto" w:fill="F9F9FB"/>
          <w:rtl/>
        </w:rPr>
        <w:t xml:space="preserve"> </w:t>
      </w:r>
    </w:p>
  </w:footnote>
  <w:footnote w:id="23">
    <w:p w14:paraId="1A5C21E6" w14:textId="77777777" w:rsidR="00D327E8" w:rsidRDefault="00D327E8" w:rsidP="00D327E8">
      <w:pPr>
        <w:pStyle w:val="FootnoteText"/>
        <w:rPr>
          <w:rtl/>
          <w:lang w:bidi="ar-EG"/>
        </w:rPr>
      </w:pPr>
      <w:r>
        <w:rPr>
          <w:rStyle w:val="FootnoteReference"/>
        </w:rPr>
        <w:footnoteRef/>
      </w:r>
      <w:r>
        <w:t xml:space="preserve"> </w:t>
      </w:r>
      <w:r w:rsidRPr="00CF79E8">
        <w:t>Minister Dr. Nevine El-Kabbaj chairs the first meeting of the Coordination Committee for Juvenile Justice in Egypt</w:t>
      </w:r>
      <w:r w:rsidRPr="00CF79E8">
        <w:rPr>
          <w:rFonts w:cs="Arial"/>
          <w:rtl/>
        </w:rPr>
        <w:t>.</w:t>
      </w:r>
      <w:r>
        <w:rPr>
          <w:rFonts w:cs="Arial" w:hint="cs"/>
          <w:rtl/>
        </w:rPr>
        <w:t xml:space="preserve">: </w:t>
      </w:r>
      <w:hyperlink r:id="rId22" w:history="1">
        <w:r w:rsidRPr="005228F5">
          <w:rPr>
            <w:rStyle w:val="Hyperlink"/>
            <w:rFonts w:ascii="Segoe UI" w:hAnsi="Segoe UI" w:cs="Segoe UI"/>
            <w:shd w:val="clear" w:color="auto" w:fill="F9F9FB"/>
          </w:rPr>
          <w:t>https://qrcd.org/4kO6</w:t>
        </w:r>
      </w:hyperlink>
      <w:r>
        <w:rPr>
          <w:rFonts w:ascii="Segoe UI" w:hAnsi="Segoe UI" w:cs="Segoe UI" w:hint="cs"/>
          <w:color w:val="212529"/>
          <w:shd w:val="clear" w:color="auto" w:fill="F9F9FB"/>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DB2631" w14:textId="77777777" w:rsidR="00936D3F" w:rsidRDefault="00936D3F" w:rsidP="00222CFC">
    <w:pPr>
      <w:pStyle w:val="Header"/>
      <w:jc w:val="center"/>
      <w:rPr>
        <w:lang w:bidi="ar-EG"/>
      </w:rPr>
    </w:pPr>
    <w:r>
      <w:rPr>
        <w:noProof/>
      </w:rPr>
      <w:drawing>
        <wp:inline distT="0" distB="0" distL="0" distR="0" wp14:anchorId="7FC25BFB" wp14:editId="5E4FA14C">
          <wp:extent cx="5616032" cy="1262625"/>
          <wp:effectExtent l="0" t="0" r="3810" b="0"/>
          <wp:docPr id="1618654509"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t="3640" b="58890"/>
                  <a:stretch/>
                </pic:blipFill>
                <pic:spPr bwMode="auto">
                  <a:xfrm>
                    <a:off x="0" y="0"/>
                    <a:ext cx="5656369" cy="1271694"/>
                  </a:xfrm>
                  <a:prstGeom prst="rect">
                    <a:avLst/>
                  </a:prstGeom>
                  <a:noFill/>
                  <a:ln>
                    <a:noFill/>
                  </a:ln>
                  <a:extLst>
                    <a:ext uri="{53640926-AAD7-44D8-BBD7-CCE9431645EC}">
                      <a14:shadowObscured xmlns:a14="http://schemas.microsoft.com/office/drawing/2010/main"/>
                    </a:ext>
                  </a:extLst>
                </pic:spPr>
              </pic:pic>
            </a:graphicData>
          </a:graphic>
        </wp:inline>
      </w:drawing>
    </w:r>
    <w:r>
      <w:rPr>
        <w:rFonts w:hint="cs"/>
        <w:noProof/>
        <w:lang w:bidi="ar-EG"/>
      </w:rPr>
      <w:drawing>
        <wp:anchor distT="0" distB="0" distL="114300" distR="114300" simplePos="0" relativeHeight="251658240" behindDoc="1" locked="0" layoutInCell="1" allowOverlap="1" wp14:anchorId="2FEBB6DA" wp14:editId="00D2A5A9">
          <wp:simplePos x="0" y="0"/>
          <wp:positionH relativeFrom="column">
            <wp:posOffset>-1089660</wp:posOffset>
          </wp:positionH>
          <wp:positionV relativeFrom="paragraph">
            <wp:posOffset>3554730</wp:posOffset>
          </wp:positionV>
          <wp:extent cx="7910500" cy="2085128"/>
          <wp:effectExtent l="0" t="2114550" r="0" b="1934845"/>
          <wp:wrapNone/>
          <wp:docPr id="85366647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3666471" name="صورة 1"/>
                  <pic:cNvPicPr/>
                </pic:nvPicPr>
                <pic:blipFill>
                  <a:blip r:embed="rId2">
                    <a:extLst>
                      <a:ext uri="{28A0092B-C50C-407E-A947-70E740481C1C}">
                        <a14:useLocalDpi xmlns:a14="http://schemas.microsoft.com/office/drawing/2010/main" val="0"/>
                      </a:ext>
                    </a:extLst>
                  </a:blip>
                  <a:stretch>
                    <a:fillRect/>
                  </a:stretch>
                </pic:blipFill>
                <pic:spPr>
                  <a:xfrm rot="19037201">
                    <a:off x="0" y="0"/>
                    <a:ext cx="7910500" cy="2085128"/>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06009D"/>
    <w:multiLevelType w:val="hybridMultilevel"/>
    <w:tmpl w:val="48CC219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152604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1F87"/>
    <w:rsid w:val="00222CFC"/>
    <w:rsid w:val="002370AA"/>
    <w:rsid w:val="00651F87"/>
    <w:rsid w:val="00936D3F"/>
    <w:rsid w:val="00AF3BCB"/>
    <w:rsid w:val="00BD7FA1"/>
    <w:rsid w:val="00C05391"/>
    <w:rsid w:val="00D327E8"/>
    <w:rsid w:val="00E32A51"/>
    <w:rsid w:val="00EC1DB2"/>
    <w:rsid w:val="00FA45F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3AB626"/>
  <w15:chartTrackingRefBased/>
  <w15:docId w15:val="{F996C2C9-DCA7-47E2-8D1A-518EA46D2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14:ligatures w14:val="standardContextual"/>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36D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6D3F"/>
  </w:style>
  <w:style w:type="paragraph" w:styleId="Footer">
    <w:name w:val="footer"/>
    <w:basedOn w:val="Normal"/>
    <w:link w:val="FooterChar"/>
    <w:uiPriority w:val="99"/>
    <w:unhideWhenUsed/>
    <w:rsid w:val="00936D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6D3F"/>
  </w:style>
  <w:style w:type="character" w:customStyle="1" w:styleId="go">
    <w:name w:val="go"/>
    <w:basedOn w:val="DefaultParagraphFont"/>
    <w:rsid w:val="00936D3F"/>
  </w:style>
  <w:style w:type="character" w:styleId="Hyperlink">
    <w:name w:val="Hyperlink"/>
    <w:basedOn w:val="DefaultParagraphFont"/>
    <w:uiPriority w:val="99"/>
    <w:unhideWhenUsed/>
    <w:rsid w:val="00936D3F"/>
    <w:rPr>
      <w:color w:val="0563C1" w:themeColor="hyperlink"/>
      <w:u w:val="single"/>
    </w:rPr>
  </w:style>
  <w:style w:type="character" w:styleId="UnresolvedMention">
    <w:name w:val="Unresolved Mention"/>
    <w:basedOn w:val="DefaultParagraphFont"/>
    <w:uiPriority w:val="99"/>
    <w:semiHidden/>
    <w:unhideWhenUsed/>
    <w:rsid w:val="00936D3F"/>
    <w:rPr>
      <w:color w:val="605E5C"/>
      <w:shd w:val="clear" w:color="auto" w:fill="E1DFDD"/>
    </w:rPr>
  </w:style>
  <w:style w:type="character" w:customStyle="1" w:styleId="FootnoteTextChar">
    <w:name w:val="Footnote Text Char"/>
    <w:aliases w:val="5_G Char,Footnote Text Char Char Char,Footnote Text Char1 Char Char Char,Footnote Text Char Char Char Char Char,Footnote Text Char1 Char Char1 Char Char Char,Footnote Text Char Char Char Char1 Char Char Char,ft Char,Geneva 9 Char"/>
    <w:basedOn w:val="DefaultParagraphFont"/>
    <w:link w:val="FootnoteText"/>
    <w:uiPriority w:val="99"/>
    <w:locked/>
    <w:rsid w:val="00D327E8"/>
    <w:rPr>
      <w:sz w:val="20"/>
      <w:szCs w:val="20"/>
    </w:rPr>
  </w:style>
  <w:style w:type="paragraph" w:styleId="FootnoteText">
    <w:name w:val="footnote text"/>
    <w:aliases w:val="5_G,Footnote Text Char Char,Footnote Text Char1 Char Char,Footnote Text Char Char Char Char,Footnote Text Char1 Char Char1 Char Char,Footnote Text Char Char Char Char1 Char Char,ft Char Char Char Char Char Char,ft,Geneva 9,Font: Geneva 9"/>
    <w:basedOn w:val="Normal"/>
    <w:link w:val="FootnoteTextChar"/>
    <w:uiPriority w:val="99"/>
    <w:unhideWhenUsed/>
    <w:qFormat/>
    <w:rsid w:val="00D327E8"/>
    <w:pPr>
      <w:bidi w:val="0"/>
      <w:spacing w:after="0" w:line="240" w:lineRule="auto"/>
    </w:pPr>
    <w:rPr>
      <w:sz w:val="20"/>
      <w:szCs w:val="20"/>
    </w:rPr>
  </w:style>
  <w:style w:type="character" w:customStyle="1" w:styleId="FootnoteTextChar1">
    <w:name w:val="Footnote Text Char1"/>
    <w:basedOn w:val="DefaultParagraphFont"/>
    <w:uiPriority w:val="99"/>
    <w:semiHidden/>
    <w:rsid w:val="00D327E8"/>
    <w:rPr>
      <w:sz w:val="20"/>
      <w:szCs w:val="20"/>
    </w:rPr>
  </w:style>
  <w:style w:type="character" w:styleId="FootnoteReference">
    <w:name w:val="footnote reference"/>
    <w:aliases w:val="4_GA,4_G,4_G Char Char Char Char Char Char,Footnotes refss Char Char Char Char Char Char,ftref Char Char Char Char Char Char,BVI fnr Char Char Char Char Char Char,BVI fnr Car Car Char Char Char Char Char Char"/>
    <w:basedOn w:val="DefaultParagraphFont"/>
    <w:link w:val="4GCharCharCharCharChar"/>
    <w:uiPriority w:val="99"/>
    <w:unhideWhenUsed/>
    <w:qFormat/>
    <w:rsid w:val="00D327E8"/>
    <w:rPr>
      <w:vertAlign w:val="superscript"/>
    </w:rPr>
  </w:style>
  <w:style w:type="paragraph" w:customStyle="1" w:styleId="4GCharCharCharCharChar">
    <w:name w:val="4_G Char Char Char Char Char"/>
    <w:aliases w:val="Footnotes refss Char Char Char Char Char,ftref Char Char Char Char Char,BVI fnr Char Char Char Char Char,BVI fnr Car Car Char Char Char Char Char,BVI fnr Car Char Char Char Char Char"/>
    <w:basedOn w:val="Normal"/>
    <w:link w:val="FootnoteReference"/>
    <w:uiPriority w:val="99"/>
    <w:rsid w:val="00D327E8"/>
    <w:pPr>
      <w:bidi w:val="0"/>
      <w:spacing w:line="240" w:lineRule="exact"/>
      <w:jc w:val="both"/>
    </w:pPr>
    <w:rPr>
      <w:vertAlign w:val="superscript"/>
    </w:rPr>
  </w:style>
  <w:style w:type="paragraph" w:styleId="ListParagraph">
    <w:name w:val="List Paragraph"/>
    <w:basedOn w:val="Normal"/>
    <w:uiPriority w:val="34"/>
    <w:qFormat/>
    <w:rsid w:val="00D327E8"/>
    <w:pPr>
      <w:bidi w:val="0"/>
      <w:ind w:left="720"/>
      <w:contextualSpacing/>
    </w:pPr>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egyptpeace2017@gmail.com"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qrcd.org/4iHQ" TargetMode="External"/><Relationship Id="rId13" Type="http://schemas.openxmlformats.org/officeDocument/2006/relationships/hyperlink" Target="https://qrcd.org/4iKi" TargetMode="External"/><Relationship Id="rId18" Type="http://schemas.openxmlformats.org/officeDocument/2006/relationships/hyperlink" Target="https://qrcd.org/4iKH" TargetMode="External"/><Relationship Id="rId3" Type="http://schemas.openxmlformats.org/officeDocument/2006/relationships/hyperlink" Target="https://qrcd.org/4iGu" TargetMode="External"/><Relationship Id="rId21" Type="http://schemas.openxmlformats.org/officeDocument/2006/relationships/hyperlink" Target="https://qrcd.org/4kNp" TargetMode="External"/><Relationship Id="rId7" Type="http://schemas.openxmlformats.org/officeDocument/2006/relationships/hyperlink" Target="https://qrcd.org/4iHI" TargetMode="External"/><Relationship Id="rId12" Type="http://schemas.openxmlformats.org/officeDocument/2006/relationships/hyperlink" Target="https://qrcd.org/4iKa" TargetMode="External"/><Relationship Id="rId17" Type="http://schemas.openxmlformats.org/officeDocument/2006/relationships/hyperlink" Target="https://qrcd.org/4iKG" TargetMode="External"/><Relationship Id="rId2" Type="http://schemas.openxmlformats.org/officeDocument/2006/relationships/hyperlink" Target="https://qrcd.org/4iGw" TargetMode="External"/><Relationship Id="rId16" Type="http://schemas.openxmlformats.org/officeDocument/2006/relationships/hyperlink" Target="https://qrcd.org/4iKF" TargetMode="External"/><Relationship Id="rId20" Type="http://schemas.openxmlformats.org/officeDocument/2006/relationships/hyperlink" Target="https://qrcd.org/4iKO" TargetMode="External"/><Relationship Id="rId1" Type="http://schemas.openxmlformats.org/officeDocument/2006/relationships/hyperlink" Target="https://qrcd.org/4iGh" TargetMode="External"/><Relationship Id="rId6" Type="http://schemas.openxmlformats.org/officeDocument/2006/relationships/hyperlink" Target="https://qrcd.org/4iHE" TargetMode="External"/><Relationship Id="rId11" Type="http://schemas.openxmlformats.org/officeDocument/2006/relationships/hyperlink" Target="https://qrcd.org/4iGw" TargetMode="External"/><Relationship Id="rId5" Type="http://schemas.openxmlformats.org/officeDocument/2006/relationships/hyperlink" Target="https://qrcd.org/4iGz" TargetMode="External"/><Relationship Id="rId15" Type="http://schemas.openxmlformats.org/officeDocument/2006/relationships/hyperlink" Target="https://qrcd.org/4iKm" TargetMode="External"/><Relationship Id="rId10" Type="http://schemas.openxmlformats.org/officeDocument/2006/relationships/hyperlink" Target="https://qrcd.org/4iHN" TargetMode="External"/><Relationship Id="rId19" Type="http://schemas.openxmlformats.org/officeDocument/2006/relationships/hyperlink" Target="https://qrcd.org/4iKL" TargetMode="External"/><Relationship Id="rId4" Type="http://schemas.openxmlformats.org/officeDocument/2006/relationships/hyperlink" Target="https://qrcd.org/4iGw" TargetMode="External"/><Relationship Id="rId9" Type="http://schemas.openxmlformats.org/officeDocument/2006/relationships/hyperlink" Target="https://qrcd.org/4iHV" TargetMode="External"/><Relationship Id="rId14" Type="http://schemas.openxmlformats.org/officeDocument/2006/relationships/hyperlink" Target="https://qrcd.org/4iKl" TargetMode="External"/><Relationship Id="rId22" Type="http://schemas.openxmlformats.org/officeDocument/2006/relationships/hyperlink" Target="https://qrcd.org/4kO6"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D:\Personal\Bro%20II\&#1582;&#1591;&#1577;%20&#1575;&#1604;&#1570;&#1604;&#1610;&#1575;&#1578;%20&#1575;&#1604;&#1583;&#1608;&#1604;&#1610;&#1577;\&#1578;&#1602;&#1575;&#1585;&#1610;&#1585;%20&#1605;&#1589;&#1585;%20&#1575;&#1604;&#1587;&#1604;&#1575;&#1605;\&#1605;&#1589;&#1585;%20&#1575;&#1604;&#1587;&#1604;&#1575;&#1605;.dotx"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مصر السلام.dotx</Template>
  <TotalTime>0</TotalTime>
  <Pages>10</Pages>
  <Words>2725</Words>
  <Characters>15537</Characters>
  <Application>Microsoft Office Word</Application>
  <DocSecurity>0</DocSecurity>
  <Lines>129</Lines>
  <Paragraphs>36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18226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Fawky</dc:creator>
  <cp:keywords/>
  <dc:description/>
  <cp:lastModifiedBy>James Boit</cp:lastModifiedBy>
  <cp:revision>2</cp:revision>
  <dcterms:created xsi:type="dcterms:W3CDTF">2024-04-21T11:02:00Z</dcterms:created>
  <dcterms:modified xsi:type="dcterms:W3CDTF">2024-04-21T11:02:00Z</dcterms:modified>
</cp:coreProperties>
</file>