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71CB9C" w14:textId="25F3687E" w:rsidR="00153E51" w:rsidRPr="00972C5F" w:rsidRDefault="001630B9" w:rsidP="00C72434">
      <w:pPr>
        <w:spacing w:after="0" w:line="240" w:lineRule="auto"/>
        <w:jc w:val="both"/>
        <w:rPr>
          <w:color w:val="auto"/>
          <w:sz w:val="22"/>
          <w:szCs w:val="22"/>
          <w:lang w:val="en-GB"/>
        </w:rPr>
      </w:pPr>
      <w:r w:rsidRPr="0047168A">
        <w:rPr>
          <w:b/>
          <w:noProof/>
          <w:lang w:val="en-US" w:eastAsia="en-US"/>
        </w:rPr>
        <w:drawing>
          <wp:anchor distT="0" distB="0" distL="114300" distR="114300" simplePos="0" relativeHeight="251660288" behindDoc="1" locked="0" layoutInCell="1" allowOverlap="1" wp14:anchorId="6FE25028" wp14:editId="435A6909">
            <wp:simplePos x="0" y="0"/>
            <wp:positionH relativeFrom="margin">
              <wp:posOffset>-286386</wp:posOffset>
            </wp:positionH>
            <wp:positionV relativeFrom="paragraph">
              <wp:posOffset>201930</wp:posOffset>
            </wp:positionV>
            <wp:extent cx="2312203" cy="5588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0147" cy="5631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A1343" w14:textId="480D5D06" w:rsidR="00E969E9" w:rsidRPr="00972C5F" w:rsidRDefault="00127AFF" w:rsidP="00C72434">
      <w:pPr>
        <w:spacing w:after="0" w:line="240" w:lineRule="auto"/>
        <w:jc w:val="both"/>
        <w:rPr>
          <w:color w:val="auto"/>
          <w:sz w:val="22"/>
          <w:szCs w:val="22"/>
          <w:lang w:val="en-GB"/>
        </w:rPr>
      </w:pPr>
      <w:r w:rsidRPr="0047168A">
        <w:rPr>
          <w:b/>
          <w:noProof/>
          <w:lang w:val="en-US" w:eastAsia="en-US"/>
        </w:rPr>
        <w:drawing>
          <wp:anchor distT="0" distB="0" distL="114300" distR="114300" simplePos="0" relativeHeight="251659264" behindDoc="0" locked="0" layoutInCell="1" hidden="0" allowOverlap="1" wp14:anchorId="22E3B894" wp14:editId="68F8B8A1">
            <wp:simplePos x="0" y="0"/>
            <wp:positionH relativeFrom="margin">
              <wp:posOffset>3771900</wp:posOffset>
            </wp:positionH>
            <wp:positionV relativeFrom="paragraph">
              <wp:posOffset>70485</wp:posOffset>
            </wp:positionV>
            <wp:extent cx="2098675" cy="445770"/>
            <wp:effectExtent l="0" t="0" r="9525" b="11430"/>
            <wp:wrapNone/>
            <wp:docPr id="6" name="image2.png" descr="../Google%20Drive/Comunicación%20Interna/Logos/Logos%20asociación/mexicounidocd_hzt_der.png"/>
            <wp:cNvGraphicFramePr/>
            <a:graphic xmlns:a="http://schemas.openxmlformats.org/drawingml/2006/main">
              <a:graphicData uri="http://schemas.openxmlformats.org/drawingml/2006/picture">
                <pic:pic xmlns:pic="http://schemas.openxmlformats.org/drawingml/2006/picture">
                  <pic:nvPicPr>
                    <pic:cNvPr id="0" name="image2.png" descr="../Google%20Drive/Comunicación%20Interna/Logos/Logos%20asociación/mexicounidocd_hzt_der.png"/>
                    <pic:cNvPicPr preferRelativeResize="0"/>
                  </pic:nvPicPr>
                  <pic:blipFill>
                    <a:blip r:embed="rId10"/>
                    <a:srcRect/>
                    <a:stretch>
                      <a:fillRect/>
                    </a:stretch>
                  </pic:blipFill>
                  <pic:spPr>
                    <a:xfrm>
                      <a:off x="0" y="0"/>
                      <a:ext cx="2098675" cy="445770"/>
                    </a:xfrm>
                    <a:prstGeom prst="rect">
                      <a:avLst/>
                    </a:prstGeom>
                    <a:ln/>
                  </pic:spPr>
                </pic:pic>
              </a:graphicData>
            </a:graphic>
            <wp14:sizeRelH relativeFrom="margin">
              <wp14:pctWidth>0</wp14:pctWidth>
            </wp14:sizeRelH>
            <wp14:sizeRelV relativeFrom="margin">
              <wp14:pctHeight>0</wp14:pctHeight>
            </wp14:sizeRelV>
          </wp:anchor>
        </w:drawing>
      </w:r>
      <w:r w:rsidR="00567F3F">
        <w:rPr>
          <w:noProof/>
          <w:lang w:val="en-US" w:eastAsia="en-US"/>
        </w:rPr>
        <w:drawing>
          <wp:anchor distT="0" distB="0" distL="114300" distR="114300" simplePos="0" relativeHeight="251661312" behindDoc="1" locked="0" layoutInCell="1" allowOverlap="1" wp14:anchorId="4AC23C15" wp14:editId="43B68319">
            <wp:simplePos x="0" y="0"/>
            <wp:positionH relativeFrom="margin">
              <wp:posOffset>2437765</wp:posOffset>
            </wp:positionH>
            <wp:positionV relativeFrom="paragraph">
              <wp:posOffset>635</wp:posOffset>
            </wp:positionV>
            <wp:extent cx="952500" cy="952500"/>
            <wp:effectExtent l="0" t="0" r="0" b="0"/>
            <wp:wrapNone/>
            <wp:docPr id="1" name="Picture 1" descr="Equ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qu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C11BCA" w14:textId="30211B6A" w:rsidR="00E969E9" w:rsidRPr="00972C5F" w:rsidRDefault="00E969E9" w:rsidP="00C72434">
      <w:pPr>
        <w:spacing w:after="0" w:line="240" w:lineRule="auto"/>
        <w:jc w:val="both"/>
        <w:rPr>
          <w:color w:val="auto"/>
          <w:sz w:val="22"/>
          <w:szCs w:val="22"/>
          <w:lang w:val="en-GB"/>
        </w:rPr>
      </w:pPr>
    </w:p>
    <w:p w14:paraId="26A89A49" w14:textId="59F2898F" w:rsidR="00E969E9" w:rsidRPr="00972C5F" w:rsidRDefault="00E969E9" w:rsidP="00C72434">
      <w:pPr>
        <w:spacing w:after="0" w:line="240" w:lineRule="auto"/>
        <w:jc w:val="both"/>
        <w:rPr>
          <w:color w:val="auto"/>
          <w:sz w:val="22"/>
          <w:szCs w:val="22"/>
          <w:lang w:val="en-GB"/>
        </w:rPr>
      </w:pPr>
    </w:p>
    <w:p w14:paraId="332A39FA" w14:textId="2DFDE056" w:rsidR="00E969E9" w:rsidRPr="00972C5F" w:rsidRDefault="00E969E9" w:rsidP="00C72434">
      <w:pPr>
        <w:spacing w:after="0" w:line="240" w:lineRule="auto"/>
        <w:jc w:val="both"/>
        <w:rPr>
          <w:color w:val="auto"/>
          <w:sz w:val="22"/>
          <w:szCs w:val="22"/>
          <w:lang w:val="en-GB"/>
        </w:rPr>
      </w:pPr>
    </w:p>
    <w:p w14:paraId="759FC44C" w14:textId="0D097542" w:rsidR="00E969E9" w:rsidRPr="00972C5F" w:rsidRDefault="00E969E9" w:rsidP="00C72434">
      <w:pPr>
        <w:pStyle w:val="ListParagraph"/>
        <w:spacing w:after="0" w:line="240" w:lineRule="auto"/>
        <w:ind w:left="0"/>
        <w:jc w:val="both"/>
        <w:rPr>
          <w:b/>
          <w:lang w:val="en-GB"/>
        </w:rPr>
      </w:pPr>
    </w:p>
    <w:p w14:paraId="1A356B74" w14:textId="48AD70CA" w:rsidR="00E969E9" w:rsidRPr="00972C5F" w:rsidRDefault="006606BF" w:rsidP="00C72434">
      <w:pPr>
        <w:pStyle w:val="ListParagraph"/>
        <w:spacing w:after="0" w:line="240" w:lineRule="auto"/>
        <w:ind w:left="0"/>
        <w:jc w:val="both"/>
        <w:rPr>
          <w:b/>
          <w:lang w:val="en-GB"/>
        </w:rPr>
      </w:pPr>
      <w:r>
        <w:rPr>
          <w:b/>
          <w:lang w:val="en-GB"/>
        </w:rPr>
        <w:tab/>
      </w:r>
      <w:r>
        <w:rPr>
          <w:b/>
          <w:lang w:val="en-GB"/>
        </w:rPr>
        <w:tab/>
      </w:r>
      <w:r>
        <w:rPr>
          <w:b/>
          <w:lang w:val="en-GB"/>
        </w:rPr>
        <w:tab/>
      </w:r>
      <w:r>
        <w:rPr>
          <w:b/>
          <w:lang w:val="en-GB"/>
        </w:rPr>
        <w:tab/>
      </w:r>
      <w:r>
        <w:rPr>
          <w:b/>
          <w:lang w:val="en-GB"/>
        </w:rPr>
        <w:tab/>
      </w:r>
    </w:p>
    <w:p w14:paraId="07418F7E" w14:textId="710CADFD" w:rsidR="00E969E9" w:rsidRPr="00972C5F" w:rsidRDefault="00E969E9" w:rsidP="00C72434">
      <w:pPr>
        <w:pStyle w:val="ListParagraph"/>
        <w:spacing w:after="0" w:line="240" w:lineRule="auto"/>
        <w:ind w:left="0"/>
        <w:jc w:val="both"/>
        <w:rPr>
          <w:b/>
          <w:lang w:val="en-GB"/>
        </w:rPr>
      </w:pPr>
    </w:p>
    <w:p w14:paraId="2E89AF9B" w14:textId="44712886" w:rsidR="00E969E9" w:rsidRPr="00972C5F" w:rsidRDefault="00E969E9" w:rsidP="00C72434">
      <w:pPr>
        <w:pStyle w:val="ListParagraph"/>
        <w:spacing w:after="0" w:line="240" w:lineRule="auto"/>
        <w:ind w:left="0"/>
        <w:jc w:val="both"/>
        <w:rPr>
          <w:b/>
          <w:lang w:val="en-GB"/>
        </w:rPr>
      </w:pPr>
    </w:p>
    <w:p w14:paraId="38F1A239" w14:textId="77777777" w:rsidR="006650AB" w:rsidRPr="006426FF" w:rsidRDefault="006650AB" w:rsidP="00C72434">
      <w:pPr>
        <w:pStyle w:val="ListParagraph"/>
        <w:spacing w:after="0" w:line="240" w:lineRule="auto"/>
        <w:ind w:left="0"/>
        <w:jc w:val="both"/>
        <w:rPr>
          <w:rFonts w:ascii="Verdana" w:hAnsi="Verdana"/>
          <w:lang w:val="en-GB"/>
        </w:rPr>
      </w:pPr>
    </w:p>
    <w:p w14:paraId="552A2A15" w14:textId="7C846F9F" w:rsidR="00E969E9" w:rsidRPr="006426FF" w:rsidRDefault="00E969E9" w:rsidP="00E969E9">
      <w:pPr>
        <w:pStyle w:val="BodyText1"/>
        <w:spacing w:after="200" w:line="276" w:lineRule="auto"/>
        <w:jc w:val="center"/>
        <w:rPr>
          <w:rFonts w:ascii="Open Sans" w:hAnsi="Open Sans" w:cs="Open Sans"/>
          <w:b/>
          <w:color w:val="000000" w:themeColor="text1"/>
          <w:sz w:val="28"/>
          <w:szCs w:val="28"/>
        </w:rPr>
      </w:pPr>
      <w:r w:rsidRPr="006426FF">
        <w:rPr>
          <w:rFonts w:ascii="Open Sans" w:hAnsi="Open Sans" w:cs="Open Sans"/>
          <w:b/>
          <w:color w:val="000000" w:themeColor="text1"/>
          <w:sz w:val="28"/>
          <w:szCs w:val="28"/>
        </w:rPr>
        <w:t>Submission to the United Nations Human Rights Committee ahead of Mexico’s sixth periodic review</w:t>
      </w:r>
    </w:p>
    <w:p w14:paraId="4D9D552C" w14:textId="77777777" w:rsidR="00E969E9" w:rsidRPr="00A20CE4" w:rsidRDefault="00E969E9" w:rsidP="00E969E9">
      <w:pPr>
        <w:pStyle w:val="BodyText1"/>
        <w:spacing w:after="200" w:line="276" w:lineRule="auto"/>
        <w:jc w:val="center"/>
        <w:rPr>
          <w:rFonts w:ascii="Open Sans" w:hAnsi="Open Sans" w:cs="Open Sans"/>
          <w:b/>
          <w:color w:val="000000" w:themeColor="text1"/>
          <w:sz w:val="24"/>
          <w:szCs w:val="24"/>
        </w:rPr>
      </w:pPr>
    </w:p>
    <w:p w14:paraId="76181448" w14:textId="77777777" w:rsidR="00E969E9" w:rsidRPr="006426FF" w:rsidRDefault="00E969E9" w:rsidP="006426FF">
      <w:pPr>
        <w:pStyle w:val="ListParagraph"/>
        <w:spacing w:after="0" w:line="240" w:lineRule="auto"/>
        <w:ind w:left="0"/>
        <w:jc w:val="center"/>
        <w:rPr>
          <w:rFonts w:ascii="Verdana" w:hAnsi="Verdana"/>
          <w:sz w:val="28"/>
          <w:szCs w:val="28"/>
          <w:lang w:val="en-GB"/>
        </w:rPr>
      </w:pPr>
      <w:r w:rsidRPr="006426FF">
        <w:rPr>
          <w:rFonts w:ascii="Verdana" w:hAnsi="Verdana" w:cs="Arial"/>
          <w:b/>
          <w:bCs/>
          <w:sz w:val="28"/>
          <w:szCs w:val="28"/>
          <w:lang w:val="en-GB"/>
        </w:rPr>
        <w:t>127 Session (14 Oct 2019 - 08 Nov 2019)</w:t>
      </w:r>
    </w:p>
    <w:p w14:paraId="5A815556" w14:textId="77777777" w:rsidR="00E969E9" w:rsidRPr="006426FF" w:rsidRDefault="00E969E9" w:rsidP="00E969E9">
      <w:pPr>
        <w:pStyle w:val="BodyText1"/>
        <w:spacing w:after="200" w:line="276" w:lineRule="auto"/>
        <w:jc w:val="both"/>
        <w:rPr>
          <w:rFonts w:ascii="Verdana" w:hAnsi="Verdana" w:cs="Open Sans"/>
          <w:b/>
          <w:color w:val="000000" w:themeColor="text1"/>
          <w:sz w:val="28"/>
          <w:szCs w:val="28"/>
        </w:rPr>
      </w:pPr>
    </w:p>
    <w:p w14:paraId="0FCB9CE4" w14:textId="5F34E198" w:rsidR="00BD1CA0" w:rsidRPr="00A20CE4" w:rsidRDefault="00BD1CA0" w:rsidP="003D2AD3">
      <w:pPr>
        <w:pStyle w:val="BodyText1"/>
        <w:spacing w:after="200" w:line="276" w:lineRule="auto"/>
        <w:jc w:val="center"/>
        <w:rPr>
          <w:rFonts w:ascii="Open Sans" w:hAnsi="Open Sans" w:cs="Open Sans"/>
          <w:b/>
          <w:color w:val="000000" w:themeColor="text1"/>
          <w:sz w:val="20"/>
        </w:rPr>
      </w:pPr>
      <w:r w:rsidRPr="006426FF">
        <w:rPr>
          <w:rFonts w:ascii="Verdana" w:hAnsi="Verdana" w:cs="Open Sans"/>
          <w:bCs/>
          <w:color w:val="000000" w:themeColor="text1"/>
          <w:sz w:val="28"/>
          <w:szCs w:val="28"/>
        </w:rPr>
        <w:t>16</w:t>
      </w:r>
      <w:r w:rsidR="00E969E9" w:rsidRPr="006426FF">
        <w:rPr>
          <w:rFonts w:ascii="Verdana" w:hAnsi="Verdana" w:cs="Open Sans"/>
          <w:bCs/>
          <w:color w:val="000000" w:themeColor="text1"/>
          <w:sz w:val="28"/>
          <w:szCs w:val="28"/>
        </w:rPr>
        <w:t xml:space="preserve"> </w:t>
      </w:r>
      <w:r w:rsidRPr="006426FF">
        <w:rPr>
          <w:rFonts w:ascii="Verdana" w:hAnsi="Verdana" w:cs="Open Sans"/>
          <w:bCs/>
          <w:color w:val="000000" w:themeColor="text1"/>
          <w:sz w:val="28"/>
          <w:szCs w:val="28"/>
        </w:rPr>
        <w:t xml:space="preserve">September </w:t>
      </w:r>
      <w:r w:rsidR="00E969E9" w:rsidRPr="006426FF">
        <w:rPr>
          <w:rFonts w:ascii="Verdana" w:hAnsi="Verdana" w:cs="Open Sans"/>
          <w:bCs/>
          <w:color w:val="000000" w:themeColor="text1"/>
          <w:sz w:val="28"/>
          <w:szCs w:val="28"/>
        </w:rPr>
        <w:t>2019</w:t>
      </w:r>
    </w:p>
    <w:p w14:paraId="0CA46D7F" w14:textId="21CB4D09" w:rsidR="00E969E9" w:rsidRPr="006426FF" w:rsidRDefault="00E969E9" w:rsidP="00E969E9">
      <w:pPr>
        <w:pStyle w:val="BodyText1"/>
        <w:spacing w:after="200" w:line="276" w:lineRule="auto"/>
        <w:jc w:val="both"/>
        <w:rPr>
          <w:rFonts w:ascii="Verdana" w:hAnsi="Verdana" w:cs="Open Sans"/>
          <w:b/>
          <w:color w:val="000000" w:themeColor="text1"/>
          <w:szCs w:val="22"/>
        </w:rPr>
      </w:pPr>
      <w:r w:rsidRPr="006426FF">
        <w:rPr>
          <w:rFonts w:ascii="Verdana" w:hAnsi="Verdana" w:cs="Open Sans"/>
          <w:b/>
          <w:color w:val="000000" w:themeColor="text1"/>
          <w:szCs w:val="22"/>
        </w:rPr>
        <w:t>Reporting organisation</w:t>
      </w:r>
      <w:r w:rsidRPr="00A20CE4">
        <w:rPr>
          <w:rFonts w:ascii="Verdana" w:hAnsi="Verdana" w:cs="Open Sans"/>
          <w:b/>
          <w:color w:val="000000" w:themeColor="text1"/>
          <w:szCs w:val="22"/>
        </w:rPr>
        <w:t>s</w:t>
      </w:r>
      <w:r w:rsidRPr="006426FF">
        <w:rPr>
          <w:rFonts w:ascii="Verdana" w:hAnsi="Verdana" w:cs="Open Sans"/>
          <w:b/>
          <w:color w:val="000000" w:themeColor="text1"/>
          <w:szCs w:val="22"/>
        </w:rPr>
        <w:t>:</w:t>
      </w:r>
    </w:p>
    <w:p w14:paraId="16D9D6C4" w14:textId="2E096371" w:rsidR="00E969E9" w:rsidRPr="006A66BD" w:rsidRDefault="00E969E9" w:rsidP="006426FF">
      <w:pPr>
        <w:pStyle w:val="BodyText1"/>
        <w:spacing w:after="200" w:line="276" w:lineRule="auto"/>
        <w:jc w:val="both"/>
        <w:rPr>
          <w:rFonts w:ascii="Verdana" w:hAnsi="Verdana" w:cs="Open Sans"/>
          <w:color w:val="000000" w:themeColor="text1"/>
          <w:szCs w:val="22"/>
          <w:lang w:val="es-ES_tradnl"/>
        </w:rPr>
      </w:pPr>
      <w:r w:rsidRPr="006A66BD">
        <w:rPr>
          <w:rFonts w:ascii="Verdana" w:hAnsi="Verdana" w:cs="Open Sans"/>
          <w:b/>
          <w:color w:val="000000" w:themeColor="text1"/>
          <w:szCs w:val="22"/>
          <w:lang w:val="es-ES_tradnl"/>
        </w:rPr>
        <w:t>México Unido contra la Delincuencia, A.C (MUCD)</w:t>
      </w:r>
      <w:r w:rsidRPr="006A66BD">
        <w:rPr>
          <w:rFonts w:ascii="Verdana" w:hAnsi="Verdana" w:cs="Open Sans"/>
          <w:color w:val="000000" w:themeColor="text1"/>
          <w:szCs w:val="22"/>
          <w:lang w:val="es-ES_tradnl"/>
        </w:rPr>
        <w:t xml:space="preserve"> is a </w:t>
      </w:r>
      <w:r w:rsidR="003D2AD3">
        <w:rPr>
          <w:rStyle w:val="tlid-translation"/>
          <w:rFonts w:eastAsia="Times New Roman"/>
          <w:lang w:val="en"/>
        </w:rPr>
        <w:t>Mexican NGO working for security, justice and peace in Mexico.</w:t>
      </w:r>
      <w:r w:rsidR="003D2AD3">
        <w:rPr>
          <w:rFonts w:eastAsia="Times New Roman"/>
          <w:lang w:val="en"/>
        </w:rPr>
        <w:t xml:space="preserve"> For more </w:t>
      </w:r>
      <w:r w:rsidR="003D2AD3">
        <w:rPr>
          <w:rStyle w:val="tlid-translation"/>
          <w:rFonts w:eastAsia="Times New Roman"/>
          <w:lang w:val="en"/>
        </w:rPr>
        <w:t>than two decades we have been dedicated to the analysis of citizen security policies;</w:t>
      </w:r>
      <w:r w:rsidR="003D2AD3">
        <w:rPr>
          <w:rFonts w:eastAsia="Times New Roman"/>
          <w:lang w:val="en"/>
        </w:rPr>
        <w:t xml:space="preserve"> t</w:t>
      </w:r>
      <w:r w:rsidR="003D2AD3">
        <w:rPr>
          <w:rStyle w:val="tlid-translation"/>
          <w:rFonts w:eastAsia="Times New Roman"/>
          <w:lang w:val="en"/>
        </w:rPr>
        <w:t>he implementation of projects on social prevention of violence, culture of legality and community empowerment; and the advocay for a drug policy reform.</w:t>
      </w:r>
    </w:p>
    <w:p w14:paraId="0250960E" w14:textId="4AF085AD" w:rsidR="00E969E9" w:rsidRPr="00567F3F" w:rsidRDefault="00E969E9" w:rsidP="006426FF">
      <w:pPr>
        <w:pStyle w:val="BodyText1"/>
        <w:spacing w:after="200" w:line="276" w:lineRule="auto"/>
        <w:jc w:val="both"/>
        <w:rPr>
          <w:rFonts w:ascii="Verdana" w:hAnsi="Verdana" w:cs="Open Sans"/>
          <w:color w:val="000000" w:themeColor="text1"/>
          <w:lang w:val="en-US"/>
        </w:rPr>
      </w:pPr>
      <w:r w:rsidRPr="0047168A">
        <w:rPr>
          <w:rFonts w:ascii="Verdana" w:hAnsi="Verdana"/>
          <w:b/>
          <w:szCs w:val="22"/>
          <w:lang w:val="en-US"/>
        </w:rPr>
        <w:t xml:space="preserve">Equis Justicia para las </w:t>
      </w:r>
      <w:r w:rsidRPr="00567F3F">
        <w:rPr>
          <w:rFonts w:ascii="Verdana" w:hAnsi="Verdana"/>
          <w:b/>
          <w:szCs w:val="22"/>
          <w:lang w:val="en-US"/>
        </w:rPr>
        <w:t>Mujeres,</w:t>
      </w:r>
      <w:r w:rsidRPr="00567F3F">
        <w:rPr>
          <w:rFonts w:ascii="Verdana" w:hAnsi="Verdana"/>
          <w:szCs w:val="22"/>
          <w:lang w:val="en-US"/>
        </w:rPr>
        <w:t xml:space="preserve"> A.C</w:t>
      </w:r>
      <w:r w:rsidR="001C123E" w:rsidRPr="00567F3F">
        <w:rPr>
          <w:rFonts w:ascii="Verdana" w:hAnsi="Verdana"/>
          <w:szCs w:val="22"/>
          <w:lang w:val="en-US"/>
        </w:rPr>
        <w:t xml:space="preserve"> (</w:t>
      </w:r>
      <w:r w:rsidR="001C123E" w:rsidRPr="00567F3F">
        <w:rPr>
          <w:rFonts w:ascii="Verdana" w:hAnsi="Verdana"/>
          <w:b/>
          <w:bCs/>
          <w:szCs w:val="22"/>
          <w:lang w:val="en-US"/>
        </w:rPr>
        <w:t>Equis)</w:t>
      </w:r>
      <w:r w:rsidRPr="00567F3F">
        <w:rPr>
          <w:rFonts w:ascii="Verdana" w:hAnsi="Verdana"/>
          <w:szCs w:val="22"/>
          <w:lang w:val="en-US"/>
        </w:rPr>
        <w:t xml:space="preserve">. is a </w:t>
      </w:r>
      <w:r w:rsidR="006A66BD" w:rsidRPr="00567F3F">
        <w:rPr>
          <w:rFonts w:ascii="Verdana" w:hAnsi="Verdana"/>
          <w:szCs w:val="22"/>
          <w:lang w:val="en-US"/>
        </w:rPr>
        <w:t>feminist NGO dedicate</w:t>
      </w:r>
      <w:r w:rsidR="00DB1911">
        <w:rPr>
          <w:rFonts w:ascii="Verdana" w:hAnsi="Verdana"/>
          <w:szCs w:val="22"/>
          <w:lang w:val="en-US"/>
        </w:rPr>
        <w:t>d</w:t>
      </w:r>
      <w:r w:rsidR="006A66BD" w:rsidRPr="00567F3F">
        <w:rPr>
          <w:rFonts w:ascii="Verdana" w:hAnsi="Verdana"/>
          <w:szCs w:val="22"/>
          <w:lang w:val="en-US"/>
        </w:rPr>
        <w:t xml:space="preserve"> to the advanceme</w:t>
      </w:r>
      <w:r w:rsidR="00DB1911">
        <w:rPr>
          <w:rFonts w:ascii="Verdana" w:hAnsi="Verdana"/>
          <w:szCs w:val="22"/>
          <w:lang w:val="en-US"/>
        </w:rPr>
        <w:t>n</w:t>
      </w:r>
      <w:r w:rsidR="006A66BD" w:rsidRPr="00567F3F">
        <w:rPr>
          <w:rFonts w:ascii="Verdana" w:hAnsi="Verdana"/>
          <w:szCs w:val="22"/>
          <w:lang w:val="en-US"/>
        </w:rPr>
        <w:t>t of women</w:t>
      </w:r>
      <w:r w:rsidR="00DB1911">
        <w:rPr>
          <w:rFonts w:ascii="Verdana" w:hAnsi="Verdana"/>
          <w:szCs w:val="22"/>
          <w:lang w:val="en-US"/>
        </w:rPr>
        <w:t>’s</w:t>
      </w:r>
      <w:r w:rsidR="006A66BD" w:rsidRPr="00567F3F">
        <w:rPr>
          <w:rFonts w:ascii="Verdana" w:hAnsi="Verdana"/>
          <w:szCs w:val="22"/>
          <w:lang w:val="en-US"/>
        </w:rPr>
        <w:t xml:space="preserve"> ri</w:t>
      </w:r>
      <w:r w:rsidR="006A66BD">
        <w:rPr>
          <w:rFonts w:ascii="Verdana" w:hAnsi="Verdana"/>
          <w:szCs w:val="22"/>
          <w:lang w:val="en-US"/>
        </w:rPr>
        <w:t xml:space="preserve">ghts and women’s access to </w:t>
      </w:r>
      <w:r w:rsidR="00DB1911">
        <w:rPr>
          <w:rFonts w:ascii="Verdana" w:hAnsi="Verdana"/>
          <w:szCs w:val="22"/>
          <w:lang w:val="en-US"/>
        </w:rPr>
        <w:t>justice</w:t>
      </w:r>
      <w:r w:rsidR="006A66BD">
        <w:rPr>
          <w:rFonts w:ascii="Verdana" w:hAnsi="Verdana"/>
          <w:szCs w:val="22"/>
          <w:lang w:val="en-US"/>
        </w:rPr>
        <w:t>. We carry out research and advocacy activities to foster gender perspective in public policy, judicial transparency and promote the rights of all women, including women who are victims of violence, women in prison and drug users</w:t>
      </w:r>
      <w:r w:rsidRPr="00567F3F">
        <w:rPr>
          <w:rFonts w:ascii="Verdana" w:hAnsi="Verdana" w:cs="Open Sans"/>
          <w:color w:val="000000" w:themeColor="text1"/>
          <w:szCs w:val="22"/>
          <w:lang w:val="en-US"/>
        </w:rPr>
        <w:t>.</w:t>
      </w:r>
    </w:p>
    <w:p w14:paraId="3A1DA025" w14:textId="30F816B3" w:rsidR="00E969E9" w:rsidRDefault="00E969E9" w:rsidP="00E969E9">
      <w:pPr>
        <w:pStyle w:val="BodyText1"/>
        <w:spacing w:after="200" w:line="276" w:lineRule="auto"/>
        <w:jc w:val="both"/>
        <w:rPr>
          <w:rFonts w:ascii="Verdana" w:hAnsi="Verdana" w:cs="Open Sans"/>
          <w:color w:val="000000" w:themeColor="text1"/>
          <w:szCs w:val="22"/>
        </w:rPr>
      </w:pPr>
      <w:r w:rsidRPr="00A20CE4">
        <w:rPr>
          <w:rFonts w:ascii="Verdana" w:hAnsi="Verdana" w:cs="Open Sans"/>
          <w:b/>
          <w:color w:val="000000" w:themeColor="text1"/>
          <w:szCs w:val="22"/>
        </w:rPr>
        <w:t>Harm Reduction International</w:t>
      </w:r>
      <w:r w:rsidR="001C123E">
        <w:rPr>
          <w:rFonts w:ascii="Verdana" w:hAnsi="Verdana" w:cs="Open Sans"/>
          <w:b/>
          <w:color w:val="000000" w:themeColor="text1"/>
          <w:szCs w:val="22"/>
        </w:rPr>
        <w:t xml:space="preserve"> (HRI)</w:t>
      </w:r>
      <w:r w:rsidRPr="00A20CE4">
        <w:rPr>
          <w:rFonts w:ascii="Verdana" w:hAnsi="Verdana" w:cs="Open Sans"/>
          <w:b/>
          <w:color w:val="000000" w:themeColor="text1"/>
          <w:szCs w:val="22"/>
        </w:rPr>
        <w:t xml:space="preserve"> </w:t>
      </w:r>
      <w:r w:rsidRPr="00A20CE4">
        <w:rPr>
          <w:rFonts w:ascii="Verdana" w:hAnsi="Verdana" w:cs="Open Sans"/>
          <w:color w:val="000000" w:themeColor="text1"/>
          <w:szCs w:val="22"/>
        </w:rPr>
        <w:t>is a le</w:t>
      </w:r>
      <w:r w:rsidRPr="00A20CE4">
        <w:rPr>
          <w:rFonts w:ascii="Verdana" w:hAnsi="Verdana" w:cs="Open Sans"/>
          <w:color w:val="000000" w:themeColor="text1"/>
          <w:szCs w:val="22"/>
          <w:shd w:val="clear" w:color="auto" w:fill="FFFFFF"/>
        </w:rPr>
        <w:t>ading NGO dedicated to reducing the negative health, social and legal impacts of drug use and drug policy. We promote the rights of people who use drugs and their communities through research and advocacy to help achieve a world where drug policies and laws contribute to healthier, safer societies.</w:t>
      </w:r>
      <w:r w:rsidRPr="00A20CE4">
        <w:rPr>
          <w:rFonts w:ascii="Verdana" w:hAnsi="Verdana" w:cs="Open Sans"/>
          <w:color w:val="000000" w:themeColor="text1"/>
          <w:szCs w:val="22"/>
        </w:rPr>
        <w:t xml:space="preserve"> </w:t>
      </w:r>
    </w:p>
    <w:p w14:paraId="4D571D07" w14:textId="77777777" w:rsidR="003D2AD3" w:rsidRPr="00A20CE4" w:rsidRDefault="003D2AD3" w:rsidP="00E969E9">
      <w:pPr>
        <w:pStyle w:val="BodyText1"/>
        <w:spacing w:after="200" w:line="276" w:lineRule="auto"/>
        <w:jc w:val="both"/>
        <w:rPr>
          <w:rFonts w:ascii="Verdana" w:hAnsi="Verdana" w:cs="Open Sans"/>
          <w:color w:val="000000" w:themeColor="text1"/>
          <w:szCs w:val="22"/>
        </w:rPr>
      </w:pPr>
    </w:p>
    <w:p w14:paraId="6E1B3909" w14:textId="6B09377C" w:rsidR="00C97D92" w:rsidRPr="00567F3F" w:rsidRDefault="006606BF" w:rsidP="00C72434">
      <w:pPr>
        <w:pStyle w:val="ListParagraph"/>
        <w:spacing w:after="0" w:line="240" w:lineRule="auto"/>
        <w:ind w:left="0" w:firstLine="720"/>
        <w:jc w:val="both"/>
        <w:rPr>
          <w:rFonts w:ascii="Verdana" w:hAnsi="Verdana"/>
          <w:b/>
          <w:lang w:val="en-GB"/>
        </w:rPr>
      </w:pPr>
      <w:r>
        <w:rPr>
          <w:rFonts w:ascii="Verdana" w:hAnsi="Verdana"/>
          <w:b/>
          <w:lang w:val="en-GB"/>
        </w:rPr>
        <w:t>Introduction</w:t>
      </w:r>
    </w:p>
    <w:p w14:paraId="25680FAC" w14:textId="77777777" w:rsidR="006650AB" w:rsidRPr="0047168A" w:rsidRDefault="006650AB" w:rsidP="00C72434">
      <w:pPr>
        <w:pStyle w:val="ListParagraph"/>
        <w:spacing w:after="0" w:line="240" w:lineRule="auto"/>
        <w:ind w:left="0"/>
        <w:jc w:val="both"/>
        <w:rPr>
          <w:rFonts w:ascii="Verdana" w:hAnsi="Verdana"/>
          <w:lang w:val="en-GB"/>
        </w:rPr>
      </w:pPr>
    </w:p>
    <w:p w14:paraId="242E07A3" w14:textId="4A7571C7" w:rsidR="006650AB" w:rsidRPr="0047168A" w:rsidRDefault="001C123E" w:rsidP="00C72434">
      <w:pPr>
        <w:pStyle w:val="ListParagraph"/>
        <w:spacing w:after="0" w:line="240" w:lineRule="auto"/>
        <w:ind w:left="0"/>
        <w:jc w:val="both"/>
        <w:rPr>
          <w:rFonts w:ascii="Verdana" w:hAnsi="Verdana"/>
          <w:lang w:val="en-GB"/>
        </w:rPr>
      </w:pPr>
      <w:r>
        <w:rPr>
          <w:rFonts w:ascii="Verdana" w:hAnsi="Verdana"/>
          <w:lang w:val="en-GB"/>
        </w:rPr>
        <w:t>MUCD, Equis and HRI welcome the opportunity to report to the Human Rights Committee ahead of its sixth periodic review of Mexico</w:t>
      </w:r>
      <w:r w:rsidR="00282452">
        <w:rPr>
          <w:rFonts w:ascii="Verdana" w:hAnsi="Verdana"/>
          <w:lang w:val="en-GB"/>
        </w:rPr>
        <w:t>, at its 127</w:t>
      </w:r>
      <w:r w:rsidR="00282452" w:rsidRPr="0047168A">
        <w:rPr>
          <w:rFonts w:ascii="Verdana" w:hAnsi="Verdana"/>
          <w:vertAlign w:val="superscript"/>
          <w:lang w:val="en-GB"/>
        </w:rPr>
        <w:t>th</w:t>
      </w:r>
      <w:r w:rsidR="00282452">
        <w:rPr>
          <w:rFonts w:ascii="Verdana" w:hAnsi="Verdana"/>
          <w:lang w:val="en-GB"/>
        </w:rPr>
        <w:t xml:space="preserve"> session. </w:t>
      </w:r>
      <w:r w:rsidR="006650AB" w:rsidRPr="0047168A">
        <w:rPr>
          <w:rFonts w:ascii="Verdana" w:hAnsi="Verdana"/>
          <w:lang w:val="en-GB"/>
        </w:rPr>
        <w:t>This briefing provides information on</w:t>
      </w:r>
      <w:r w:rsidR="00972C5F">
        <w:rPr>
          <w:rFonts w:ascii="Verdana" w:hAnsi="Verdana"/>
          <w:lang w:val="en-GB"/>
        </w:rPr>
        <w:t xml:space="preserve"> Mexico’s compliance with its human rights obligations under the International Covenant on Civil and Political Rights (ICCPR), with a focus on the country’s drug policy. Accordingly, it will address the</w:t>
      </w:r>
      <w:r w:rsidR="006650AB" w:rsidRPr="0047168A">
        <w:rPr>
          <w:rFonts w:ascii="Verdana" w:hAnsi="Verdana"/>
          <w:lang w:val="en-GB"/>
        </w:rPr>
        <w:t xml:space="preserve"> </w:t>
      </w:r>
      <w:r w:rsidR="001630B9" w:rsidRPr="0047168A">
        <w:rPr>
          <w:rFonts w:ascii="Verdana" w:hAnsi="Verdana"/>
          <w:lang w:val="en-GB"/>
        </w:rPr>
        <w:t xml:space="preserve">following </w:t>
      </w:r>
      <w:r w:rsidR="007007DF" w:rsidRPr="0047168A">
        <w:rPr>
          <w:rFonts w:ascii="Verdana" w:hAnsi="Verdana"/>
          <w:lang w:val="en-GB"/>
        </w:rPr>
        <w:t>items</w:t>
      </w:r>
      <w:r w:rsidR="00972C5F">
        <w:rPr>
          <w:rFonts w:ascii="Verdana" w:hAnsi="Verdana"/>
          <w:lang w:val="en-GB"/>
        </w:rPr>
        <w:t>:</w:t>
      </w:r>
    </w:p>
    <w:p w14:paraId="742CA4BC" w14:textId="5540576B" w:rsidR="001630B9" w:rsidRPr="0047168A" w:rsidRDefault="001630B9" w:rsidP="0047168A">
      <w:pPr>
        <w:pStyle w:val="ListParagraph"/>
        <w:spacing w:after="120" w:line="240" w:lineRule="auto"/>
        <w:ind w:left="0"/>
        <w:contextualSpacing w:val="0"/>
        <w:jc w:val="both"/>
        <w:rPr>
          <w:rFonts w:ascii="Verdana" w:hAnsi="Verdana"/>
          <w:lang w:val="en-GB"/>
        </w:rPr>
      </w:pPr>
    </w:p>
    <w:p w14:paraId="29AAA31A" w14:textId="46CC29E6" w:rsidR="002D5111" w:rsidRPr="0047168A" w:rsidRDefault="002D5111" w:rsidP="0047168A">
      <w:pPr>
        <w:pStyle w:val="ListParagraph"/>
        <w:numPr>
          <w:ilvl w:val="0"/>
          <w:numId w:val="26"/>
        </w:numPr>
        <w:spacing w:after="120" w:line="240" w:lineRule="auto"/>
        <w:contextualSpacing w:val="0"/>
        <w:jc w:val="both"/>
        <w:rPr>
          <w:rFonts w:cs="Arial"/>
          <w:lang w:val="en-GB"/>
        </w:rPr>
      </w:pPr>
      <w:r w:rsidRPr="0047168A">
        <w:rPr>
          <w:rFonts w:ascii="Verdana" w:hAnsi="Verdana" w:cs="Arial"/>
          <w:lang w:val="en-GB"/>
        </w:rPr>
        <w:t>Militarization of public security and states of emergency</w:t>
      </w:r>
      <w:r w:rsidR="007007DF" w:rsidRPr="0047168A">
        <w:rPr>
          <w:rFonts w:ascii="Verdana" w:hAnsi="Verdana" w:cs="Arial"/>
          <w:lang w:val="en-GB"/>
        </w:rPr>
        <w:t xml:space="preserve"> (Issue 10)</w:t>
      </w:r>
    </w:p>
    <w:p w14:paraId="31347AED" w14:textId="76F43453" w:rsidR="002D5111" w:rsidRPr="0047168A" w:rsidRDefault="002D5111" w:rsidP="0047168A">
      <w:pPr>
        <w:pStyle w:val="ListParagraph"/>
        <w:numPr>
          <w:ilvl w:val="0"/>
          <w:numId w:val="26"/>
        </w:numPr>
        <w:spacing w:after="120" w:line="240" w:lineRule="auto"/>
        <w:contextualSpacing w:val="0"/>
        <w:jc w:val="both"/>
        <w:rPr>
          <w:rFonts w:cs="Arial"/>
          <w:lang w:val="en-GB"/>
        </w:rPr>
      </w:pPr>
      <w:r w:rsidRPr="0047168A">
        <w:rPr>
          <w:rFonts w:ascii="Verdana" w:hAnsi="Verdana" w:cs="Arial"/>
          <w:lang w:val="en-GB"/>
        </w:rPr>
        <w:t>Extrajudicial killings, enforced disappearances and torture</w:t>
      </w:r>
      <w:r w:rsidR="007007DF" w:rsidRPr="0047168A">
        <w:rPr>
          <w:rFonts w:ascii="Verdana" w:hAnsi="Verdana" w:cs="Arial"/>
          <w:lang w:val="en-GB"/>
        </w:rPr>
        <w:t xml:space="preserve"> (Issue 12)</w:t>
      </w:r>
    </w:p>
    <w:p w14:paraId="2A66B7EA" w14:textId="5DCEF503" w:rsidR="002D5111" w:rsidRPr="0047168A" w:rsidRDefault="00472E90" w:rsidP="0047168A">
      <w:pPr>
        <w:pStyle w:val="ListParagraph"/>
        <w:numPr>
          <w:ilvl w:val="0"/>
          <w:numId w:val="26"/>
        </w:numPr>
        <w:spacing w:after="120" w:line="240" w:lineRule="auto"/>
        <w:contextualSpacing w:val="0"/>
        <w:jc w:val="both"/>
        <w:rPr>
          <w:rFonts w:cs="Arial"/>
          <w:lang w:val="en-GB"/>
        </w:rPr>
      </w:pPr>
      <w:r w:rsidRPr="0047168A">
        <w:rPr>
          <w:rFonts w:ascii="Verdana" w:hAnsi="Verdana" w:cs="Arial"/>
          <w:lang w:val="en-GB"/>
        </w:rPr>
        <w:t>Violation of the rights of women by the armed forces</w:t>
      </w:r>
      <w:r w:rsidR="007007DF" w:rsidRPr="0047168A">
        <w:rPr>
          <w:rFonts w:ascii="Verdana" w:hAnsi="Verdana" w:cs="Arial"/>
          <w:lang w:val="en-GB"/>
        </w:rPr>
        <w:t xml:space="preserve"> (Issue 12 in relation to Issue 9)</w:t>
      </w:r>
    </w:p>
    <w:p w14:paraId="280BA144" w14:textId="293171E4" w:rsidR="002D5111" w:rsidRPr="0047168A" w:rsidRDefault="00472E90" w:rsidP="0047168A">
      <w:pPr>
        <w:pStyle w:val="ListParagraph"/>
        <w:numPr>
          <w:ilvl w:val="0"/>
          <w:numId w:val="26"/>
        </w:numPr>
        <w:spacing w:after="120" w:line="240" w:lineRule="auto"/>
        <w:contextualSpacing w:val="0"/>
        <w:jc w:val="both"/>
        <w:rPr>
          <w:rFonts w:cs="Arial"/>
          <w:lang w:val="en-GB"/>
        </w:rPr>
      </w:pPr>
      <w:r w:rsidRPr="0047168A">
        <w:rPr>
          <w:rFonts w:ascii="Verdana" w:hAnsi="Verdana"/>
          <w:bCs/>
          <w:lang w:val="en-GB"/>
        </w:rPr>
        <w:t>Treatment of persons deprived of their liberty</w:t>
      </w:r>
      <w:r w:rsidR="007007DF" w:rsidRPr="0047168A">
        <w:rPr>
          <w:rFonts w:ascii="Verdana" w:hAnsi="Verdana"/>
          <w:bCs/>
          <w:lang w:val="en-GB"/>
        </w:rPr>
        <w:t xml:space="preserve"> (Issue 20)</w:t>
      </w:r>
    </w:p>
    <w:p w14:paraId="64FDCE8C" w14:textId="00BB1A63" w:rsidR="00472E90" w:rsidRPr="0047168A" w:rsidRDefault="00472E90" w:rsidP="0047168A">
      <w:pPr>
        <w:pStyle w:val="ListParagraph"/>
        <w:numPr>
          <w:ilvl w:val="0"/>
          <w:numId w:val="26"/>
        </w:numPr>
        <w:spacing w:after="120" w:line="240" w:lineRule="auto"/>
        <w:contextualSpacing w:val="0"/>
        <w:jc w:val="both"/>
        <w:rPr>
          <w:rFonts w:ascii="Verdana" w:hAnsi="Verdana" w:cs="Arial"/>
          <w:lang w:val="en-GB"/>
        </w:rPr>
      </w:pPr>
      <w:r w:rsidRPr="0047168A">
        <w:rPr>
          <w:rFonts w:ascii="Verdana" w:hAnsi="Verdana" w:cs="Arial"/>
          <w:lang w:val="en-GB"/>
        </w:rPr>
        <w:t>Drug Dependence Treatment for Incarcerated Women</w:t>
      </w:r>
      <w:r w:rsidR="007007DF" w:rsidRPr="0047168A">
        <w:rPr>
          <w:rFonts w:ascii="Verdana" w:hAnsi="Verdana" w:cs="Arial"/>
          <w:lang w:val="en-GB"/>
        </w:rPr>
        <w:t xml:space="preserve"> (Issue 20 in connection to Issue 9)</w:t>
      </w:r>
    </w:p>
    <w:p w14:paraId="3AD9C686" w14:textId="169AC7D2" w:rsidR="00472E90" w:rsidRPr="0047168A" w:rsidRDefault="006606BF" w:rsidP="0047168A">
      <w:pPr>
        <w:pStyle w:val="ListParagraph"/>
        <w:numPr>
          <w:ilvl w:val="0"/>
          <w:numId w:val="26"/>
        </w:numPr>
        <w:spacing w:after="120" w:line="240" w:lineRule="auto"/>
        <w:contextualSpacing w:val="0"/>
        <w:jc w:val="both"/>
        <w:rPr>
          <w:rFonts w:cs="Arial"/>
          <w:lang w:val="en-GB"/>
        </w:rPr>
      </w:pPr>
      <w:r>
        <w:rPr>
          <w:rFonts w:ascii="Verdana" w:hAnsi="Verdana" w:cs="Arial"/>
          <w:lang w:val="en-GB"/>
        </w:rPr>
        <w:t>Mandatory</w:t>
      </w:r>
      <w:r w:rsidR="00472E90" w:rsidRPr="0047168A">
        <w:rPr>
          <w:rFonts w:ascii="Verdana" w:hAnsi="Verdana" w:cs="Arial"/>
          <w:lang w:val="en-GB"/>
        </w:rPr>
        <w:t xml:space="preserve"> pretrial detention</w:t>
      </w:r>
      <w:r w:rsidR="007007DF" w:rsidRPr="0047168A">
        <w:rPr>
          <w:rFonts w:ascii="Verdana" w:hAnsi="Verdana" w:cs="Arial"/>
          <w:lang w:val="en-GB"/>
        </w:rPr>
        <w:t xml:space="preserve"> (Issue 20)</w:t>
      </w:r>
    </w:p>
    <w:p w14:paraId="248D37B6" w14:textId="77777777" w:rsidR="002D5111" w:rsidRPr="0047168A" w:rsidRDefault="002D5111" w:rsidP="0047168A">
      <w:pPr>
        <w:pStyle w:val="ListParagraph"/>
        <w:spacing w:line="240" w:lineRule="auto"/>
        <w:ind w:left="1080"/>
        <w:jc w:val="both"/>
        <w:rPr>
          <w:rFonts w:cs="Arial"/>
          <w:b/>
          <w:lang w:val="en-GB"/>
        </w:rPr>
      </w:pPr>
    </w:p>
    <w:p w14:paraId="14E7BD01" w14:textId="0FD61FC3" w:rsidR="006650AB" w:rsidRPr="0047168A" w:rsidRDefault="002D5111" w:rsidP="0047168A">
      <w:pPr>
        <w:pStyle w:val="ListParagraph"/>
        <w:spacing w:line="240" w:lineRule="auto"/>
        <w:ind w:left="1080"/>
        <w:jc w:val="both"/>
        <w:rPr>
          <w:rFonts w:cs="Arial"/>
          <w:b/>
          <w:lang w:val="en-GB"/>
        </w:rPr>
      </w:pPr>
      <w:r w:rsidRPr="0047168A">
        <w:rPr>
          <w:rFonts w:ascii="Verdana" w:hAnsi="Verdana" w:cs="Arial"/>
          <w:b/>
          <w:lang w:val="en-GB"/>
        </w:rPr>
        <w:t xml:space="preserve"> </w:t>
      </w:r>
    </w:p>
    <w:p w14:paraId="020E0C54" w14:textId="5D48D101" w:rsidR="009B4D6A" w:rsidRPr="0047168A" w:rsidRDefault="001174A4" w:rsidP="0047168A">
      <w:pPr>
        <w:pStyle w:val="ListParagraph"/>
        <w:numPr>
          <w:ilvl w:val="0"/>
          <w:numId w:val="33"/>
        </w:numPr>
        <w:spacing w:line="240" w:lineRule="auto"/>
        <w:ind w:left="426"/>
        <w:jc w:val="both"/>
        <w:rPr>
          <w:rFonts w:ascii="Verdana" w:hAnsi="Verdana" w:cs="Arial"/>
          <w:b/>
          <w:lang w:val="en-GB"/>
        </w:rPr>
      </w:pPr>
      <w:r w:rsidRPr="0047168A">
        <w:rPr>
          <w:rFonts w:ascii="Verdana" w:hAnsi="Verdana" w:cs="Arial"/>
          <w:b/>
          <w:lang w:val="en-GB"/>
        </w:rPr>
        <w:t xml:space="preserve">Militarization </w:t>
      </w:r>
      <w:r w:rsidR="009B4D6A" w:rsidRPr="0047168A">
        <w:rPr>
          <w:rFonts w:ascii="Verdana" w:hAnsi="Verdana" w:cs="Arial"/>
          <w:b/>
          <w:lang w:val="en-GB"/>
        </w:rPr>
        <w:t>of public security</w:t>
      </w:r>
    </w:p>
    <w:p w14:paraId="59149497" w14:textId="6EC3401F" w:rsidR="006650AB" w:rsidRPr="0047168A" w:rsidRDefault="007007DF">
      <w:pPr>
        <w:spacing w:line="240" w:lineRule="auto"/>
        <w:jc w:val="both"/>
        <w:rPr>
          <w:rFonts w:eastAsiaTheme="minorHAnsi" w:cs="Arial"/>
          <w:b/>
          <w:i/>
          <w:color w:val="auto"/>
          <w:sz w:val="22"/>
          <w:szCs w:val="22"/>
          <w:lang w:val="en-GB" w:eastAsia="en-US"/>
        </w:rPr>
      </w:pPr>
      <w:r w:rsidRPr="0047168A">
        <w:rPr>
          <w:rFonts w:cs="Arial"/>
          <w:b/>
          <w:color w:val="auto"/>
          <w:sz w:val="22"/>
          <w:szCs w:val="22"/>
          <w:lang w:val="en-GB"/>
        </w:rPr>
        <w:t>Issue</w:t>
      </w:r>
      <w:r w:rsidR="00B53746" w:rsidRPr="0047168A">
        <w:rPr>
          <w:rFonts w:cs="Arial"/>
          <w:b/>
          <w:color w:val="auto"/>
          <w:sz w:val="22"/>
          <w:szCs w:val="22"/>
          <w:lang w:val="en-GB"/>
        </w:rPr>
        <w:t xml:space="preserve"> </w:t>
      </w:r>
      <w:r w:rsidR="001174A4" w:rsidRPr="0047168A">
        <w:rPr>
          <w:rFonts w:cs="Arial"/>
          <w:b/>
          <w:color w:val="auto"/>
          <w:sz w:val="22"/>
          <w:szCs w:val="22"/>
          <w:lang w:val="en-GB"/>
        </w:rPr>
        <w:t xml:space="preserve">10: De facto state of emergency, including </w:t>
      </w:r>
      <w:r w:rsidR="001174A4" w:rsidRPr="0047168A">
        <w:rPr>
          <w:rFonts w:cs="Arial"/>
          <w:b/>
          <w:i/>
          <w:color w:val="auto"/>
          <w:sz w:val="22"/>
          <w:szCs w:val="22"/>
          <w:lang w:val="en-GB"/>
        </w:rPr>
        <w:t xml:space="preserve">“measures taken to ensure that public security is, to </w:t>
      </w:r>
      <w:r w:rsidR="001174A4" w:rsidRPr="0047168A">
        <w:rPr>
          <w:rFonts w:eastAsiaTheme="minorHAnsi" w:cs="Arial"/>
          <w:b/>
          <w:i/>
          <w:color w:val="auto"/>
          <w:sz w:val="22"/>
          <w:szCs w:val="22"/>
          <w:lang w:val="en-GB" w:eastAsia="en-US"/>
        </w:rPr>
        <w:t>the maximum extent possible, upheld by civilian security forces rather than by military forces and</w:t>
      </w:r>
      <w:r w:rsidR="001174A4" w:rsidRPr="0047168A">
        <w:rPr>
          <w:rFonts w:cs="Arial"/>
          <w:b/>
          <w:i/>
          <w:color w:val="auto"/>
          <w:sz w:val="22"/>
          <w:szCs w:val="22"/>
          <w:lang w:val="en-GB"/>
        </w:rPr>
        <w:t xml:space="preserve"> </w:t>
      </w:r>
      <w:r w:rsidR="001174A4" w:rsidRPr="0047168A">
        <w:rPr>
          <w:rFonts w:eastAsiaTheme="minorHAnsi" w:cs="Arial"/>
          <w:b/>
          <w:i/>
          <w:color w:val="auto"/>
          <w:sz w:val="22"/>
          <w:szCs w:val="22"/>
          <w:lang w:val="en-GB" w:eastAsia="en-US"/>
        </w:rPr>
        <w:t>under no circumstances by paramilitary or similar groups”.</w:t>
      </w:r>
    </w:p>
    <w:p w14:paraId="276FBE9F" w14:textId="0C41A8E9" w:rsidR="007007DF" w:rsidRPr="0047168A" w:rsidRDefault="007007DF" w:rsidP="007007DF">
      <w:pPr>
        <w:spacing w:line="240" w:lineRule="auto"/>
        <w:jc w:val="both"/>
        <w:rPr>
          <w:rFonts w:cs="Arial"/>
          <w:b/>
          <w:color w:val="auto"/>
          <w:sz w:val="22"/>
          <w:szCs w:val="22"/>
          <w:lang w:val="en-GB"/>
        </w:rPr>
      </w:pPr>
      <w:r w:rsidRPr="0047168A">
        <w:rPr>
          <w:rFonts w:cs="Arial"/>
          <w:b/>
          <w:color w:val="auto"/>
          <w:sz w:val="22"/>
          <w:szCs w:val="22"/>
          <w:lang w:val="en-GB"/>
        </w:rPr>
        <w:t>S</w:t>
      </w:r>
      <w:r w:rsidR="00547082" w:rsidRPr="0047168A">
        <w:rPr>
          <w:rFonts w:cs="Arial"/>
          <w:b/>
          <w:color w:val="auto"/>
          <w:sz w:val="22"/>
          <w:szCs w:val="22"/>
          <w:lang w:val="en-GB"/>
        </w:rPr>
        <w:t>tates of emergency (art. 4).</w:t>
      </w:r>
    </w:p>
    <w:p w14:paraId="494E0771" w14:textId="15062FA4" w:rsidR="00C04199" w:rsidRPr="0047168A" w:rsidRDefault="00C04199" w:rsidP="00C72434">
      <w:pPr>
        <w:spacing w:line="240" w:lineRule="auto"/>
        <w:jc w:val="both"/>
        <w:rPr>
          <w:rFonts w:cs="Times New Roman"/>
          <w:i/>
          <w:color w:val="auto"/>
          <w:sz w:val="22"/>
          <w:szCs w:val="22"/>
          <w:lang w:val="en-GB"/>
        </w:rPr>
      </w:pPr>
      <w:r w:rsidRPr="0047168A">
        <w:rPr>
          <w:rFonts w:cs="Times New Roman"/>
          <w:i/>
          <w:color w:val="auto"/>
          <w:sz w:val="22"/>
          <w:szCs w:val="22"/>
          <w:lang w:val="en-GB"/>
        </w:rPr>
        <w:t xml:space="preserve">1.1. </w:t>
      </w:r>
      <w:r w:rsidR="00BB3734">
        <w:rPr>
          <w:rFonts w:cs="Times New Roman"/>
          <w:i/>
          <w:color w:val="auto"/>
          <w:sz w:val="22"/>
          <w:szCs w:val="22"/>
          <w:lang w:val="en-GB"/>
        </w:rPr>
        <w:t>Historical b</w:t>
      </w:r>
      <w:r w:rsidRPr="0047168A">
        <w:rPr>
          <w:rFonts w:cs="Times New Roman"/>
          <w:i/>
          <w:color w:val="auto"/>
          <w:sz w:val="22"/>
          <w:szCs w:val="22"/>
          <w:lang w:val="en-GB"/>
        </w:rPr>
        <w:t>ackground: militarization of public security from 2006 to 2018</w:t>
      </w:r>
    </w:p>
    <w:p w14:paraId="51804341" w14:textId="1CABD652" w:rsidR="006650AB" w:rsidRPr="0047168A" w:rsidRDefault="005806A9" w:rsidP="00C72434">
      <w:pPr>
        <w:spacing w:line="240" w:lineRule="auto"/>
        <w:jc w:val="both"/>
        <w:rPr>
          <w:rFonts w:cs="Times New Roman"/>
          <w:color w:val="auto"/>
          <w:sz w:val="22"/>
          <w:szCs w:val="22"/>
          <w:lang w:val="en-GB"/>
        </w:rPr>
      </w:pPr>
      <w:r w:rsidRPr="0047168A">
        <w:rPr>
          <w:rFonts w:cs="Times New Roman"/>
          <w:color w:val="auto"/>
          <w:sz w:val="22"/>
          <w:szCs w:val="22"/>
          <w:lang w:val="en-GB"/>
        </w:rPr>
        <w:t xml:space="preserve">Twelve years ago, </w:t>
      </w:r>
      <w:r w:rsidR="00467BEB" w:rsidRPr="0047168A">
        <w:rPr>
          <w:rFonts w:cs="Times New Roman"/>
          <w:color w:val="auto"/>
          <w:sz w:val="22"/>
          <w:szCs w:val="22"/>
          <w:lang w:val="en-GB"/>
        </w:rPr>
        <w:t xml:space="preserve">the </w:t>
      </w:r>
      <w:r w:rsidRPr="0047168A">
        <w:rPr>
          <w:rFonts w:cs="Times New Roman"/>
          <w:color w:val="auto"/>
          <w:sz w:val="22"/>
          <w:szCs w:val="22"/>
          <w:lang w:val="en-GB"/>
        </w:rPr>
        <w:t xml:space="preserve">Mexican government started </w:t>
      </w:r>
      <w:r w:rsidR="006650AB" w:rsidRPr="0047168A">
        <w:rPr>
          <w:rFonts w:cs="Times New Roman"/>
          <w:color w:val="auto"/>
          <w:sz w:val="22"/>
          <w:szCs w:val="22"/>
          <w:lang w:val="en-GB"/>
        </w:rPr>
        <w:t xml:space="preserve">the so-called “War on Drugs”, which implied the strengthening of the participation of the armed </w:t>
      </w:r>
      <w:r w:rsidR="002D74F8" w:rsidRPr="0047168A">
        <w:rPr>
          <w:rFonts w:cs="Times New Roman"/>
          <w:color w:val="auto"/>
          <w:sz w:val="22"/>
          <w:szCs w:val="22"/>
          <w:lang w:val="en-GB"/>
        </w:rPr>
        <w:t xml:space="preserve">forces in public security. During this </w:t>
      </w:r>
      <w:r w:rsidR="00467BEB" w:rsidRPr="0047168A">
        <w:rPr>
          <w:rFonts w:cs="Times New Roman"/>
          <w:color w:val="auto"/>
          <w:sz w:val="22"/>
          <w:szCs w:val="22"/>
          <w:lang w:val="en-GB"/>
        </w:rPr>
        <w:t>period</w:t>
      </w:r>
      <w:r w:rsidR="002D74F8" w:rsidRPr="0047168A">
        <w:rPr>
          <w:rFonts w:cs="Times New Roman"/>
          <w:color w:val="auto"/>
          <w:sz w:val="22"/>
          <w:szCs w:val="22"/>
          <w:lang w:val="en-GB"/>
        </w:rPr>
        <w:t xml:space="preserve">, </w:t>
      </w:r>
      <w:r w:rsidR="006650AB" w:rsidRPr="0047168A">
        <w:rPr>
          <w:rFonts w:cs="Times New Roman"/>
          <w:color w:val="auto"/>
          <w:sz w:val="22"/>
          <w:szCs w:val="22"/>
          <w:lang w:val="en-GB"/>
        </w:rPr>
        <w:t>there has been an exorbitant increase in violence and seri</w:t>
      </w:r>
      <w:r w:rsidR="002D74F8" w:rsidRPr="0047168A">
        <w:rPr>
          <w:rFonts w:cs="Times New Roman"/>
          <w:color w:val="auto"/>
          <w:sz w:val="22"/>
          <w:szCs w:val="22"/>
          <w:lang w:val="en-GB"/>
        </w:rPr>
        <w:t>ous violations of human rights: "s</w:t>
      </w:r>
      <w:r w:rsidR="006650AB" w:rsidRPr="0047168A">
        <w:rPr>
          <w:rFonts w:cs="Times New Roman"/>
          <w:color w:val="auto"/>
          <w:sz w:val="22"/>
          <w:szCs w:val="22"/>
          <w:lang w:val="en-GB"/>
        </w:rPr>
        <w:t>ince 2006, the spectacular deployment of the army to carry out tasks that correspond to the police has left more than 200 thousand dead".</w:t>
      </w:r>
      <w:r w:rsidR="00127AFF">
        <w:rPr>
          <w:rStyle w:val="FootnoteReference"/>
          <w:rFonts w:cs="Times New Roman"/>
          <w:color w:val="auto"/>
          <w:sz w:val="22"/>
          <w:szCs w:val="22"/>
          <w:lang w:val="en-GB"/>
        </w:rPr>
        <w:footnoteReference w:id="1"/>
      </w:r>
    </w:p>
    <w:p w14:paraId="40A10036" w14:textId="082AF94D" w:rsidR="00C04199" w:rsidRPr="0047168A" w:rsidRDefault="00C04199" w:rsidP="00C04199">
      <w:pPr>
        <w:spacing w:line="240" w:lineRule="auto"/>
        <w:jc w:val="both"/>
        <w:rPr>
          <w:rFonts w:cs="Times New Roman"/>
          <w:color w:val="auto"/>
          <w:sz w:val="22"/>
          <w:szCs w:val="22"/>
          <w:lang w:val="en-GB"/>
        </w:rPr>
      </w:pPr>
      <w:r w:rsidRPr="0047168A">
        <w:rPr>
          <w:rFonts w:cs="Times New Roman"/>
          <w:color w:val="auto"/>
          <w:sz w:val="22"/>
          <w:szCs w:val="22"/>
          <w:lang w:val="en-GB"/>
        </w:rPr>
        <w:t>Since the first months of Felipe Calderón's government</w:t>
      </w:r>
      <w:r w:rsidR="00972C5F">
        <w:rPr>
          <w:rFonts w:cs="Times New Roman"/>
          <w:color w:val="auto"/>
          <w:sz w:val="22"/>
          <w:szCs w:val="22"/>
          <w:lang w:val="en-GB"/>
        </w:rPr>
        <w:t xml:space="preserve"> in 2006</w:t>
      </w:r>
      <w:r w:rsidRPr="0047168A">
        <w:rPr>
          <w:rFonts w:cs="Times New Roman"/>
          <w:color w:val="auto"/>
          <w:sz w:val="22"/>
          <w:szCs w:val="22"/>
          <w:lang w:val="en-GB"/>
        </w:rPr>
        <w:t>, the armed forces</w:t>
      </w:r>
      <w:r w:rsidR="00D202BD">
        <w:rPr>
          <w:rFonts w:cs="Times New Roman"/>
          <w:color w:val="auto"/>
          <w:sz w:val="22"/>
          <w:szCs w:val="22"/>
          <w:lang w:val="en-GB"/>
        </w:rPr>
        <w:t xml:space="preserve"> acquired a central role</w:t>
      </w:r>
      <w:r w:rsidRPr="0047168A">
        <w:rPr>
          <w:rFonts w:cs="Times New Roman"/>
          <w:color w:val="auto"/>
          <w:sz w:val="22"/>
          <w:szCs w:val="22"/>
          <w:lang w:val="en-GB"/>
        </w:rPr>
        <w:t xml:space="preserve"> in public securit</w:t>
      </w:r>
      <w:r w:rsidR="00D202BD">
        <w:rPr>
          <w:rFonts w:cs="Times New Roman"/>
          <w:color w:val="auto"/>
          <w:sz w:val="22"/>
          <w:szCs w:val="22"/>
          <w:lang w:val="en-GB"/>
        </w:rPr>
        <w:t>y</w:t>
      </w:r>
      <w:r w:rsidRPr="0047168A">
        <w:rPr>
          <w:rFonts w:cs="Times New Roman"/>
          <w:color w:val="auto"/>
          <w:sz w:val="22"/>
          <w:szCs w:val="22"/>
          <w:lang w:val="en-GB"/>
        </w:rPr>
        <w:t>: the number of permanent</w:t>
      </w:r>
      <w:r w:rsidR="00D202BD">
        <w:rPr>
          <w:rFonts w:cs="Times New Roman"/>
          <w:color w:val="auto"/>
          <w:sz w:val="22"/>
          <w:szCs w:val="22"/>
          <w:lang w:val="en-GB"/>
        </w:rPr>
        <w:t>ly</w:t>
      </w:r>
      <w:r w:rsidRPr="0047168A">
        <w:rPr>
          <w:rFonts w:cs="Times New Roman"/>
          <w:color w:val="auto"/>
          <w:sz w:val="22"/>
          <w:szCs w:val="22"/>
          <w:lang w:val="en-GB"/>
        </w:rPr>
        <w:t xml:space="preserve"> deployed troops across the country in</w:t>
      </w:r>
      <w:bookmarkStart w:id="0" w:name="_GoBack"/>
      <w:bookmarkEnd w:id="0"/>
      <w:r w:rsidRPr="0047168A">
        <w:rPr>
          <w:rFonts w:cs="Times New Roman"/>
          <w:color w:val="auto"/>
          <w:sz w:val="22"/>
          <w:szCs w:val="22"/>
          <w:lang w:val="en-GB"/>
        </w:rPr>
        <w:t xml:space="preserve">creased - approximately </w:t>
      </w:r>
      <w:r w:rsidR="00D202BD">
        <w:rPr>
          <w:rFonts w:cs="Times New Roman"/>
          <w:color w:val="auto"/>
          <w:sz w:val="22"/>
          <w:szCs w:val="22"/>
          <w:lang w:val="en-GB"/>
        </w:rPr>
        <w:t xml:space="preserve">from </w:t>
      </w:r>
      <w:r w:rsidRPr="0047168A">
        <w:rPr>
          <w:rFonts w:cs="Times New Roman"/>
          <w:color w:val="auto"/>
          <w:sz w:val="22"/>
          <w:szCs w:val="22"/>
          <w:lang w:val="en-GB"/>
        </w:rPr>
        <w:t xml:space="preserve">20,000 to </w:t>
      </w:r>
      <w:r w:rsidRPr="0047168A">
        <w:rPr>
          <w:rFonts w:cs="Times New Roman"/>
          <w:color w:val="auto"/>
          <w:sz w:val="22"/>
          <w:szCs w:val="22"/>
          <w:lang w:val="en-GB"/>
        </w:rPr>
        <w:lastRenderedPageBreak/>
        <w:t>50,000 soldiers. Also, budgets of both the Secretariat of National Defense (SEDENA) and the Secretariat of the Navy (SEMAR) almost doubled.</w:t>
      </w:r>
      <w:r w:rsidRPr="0047168A">
        <w:rPr>
          <w:rStyle w:val="FootnoteReference"/>
          <w:rFonts w:cs="Times New Roman"/>
          <w:color w:val="auto"/>
          <w:sz w:val="22"/>
          <w:szCs w:val="22"/>
          <w:lang w:val="en-GB"/>
        </w:rPr>
        <w:footnoteReference w:id="2"/>
      </w:r>
      <w:r w:rsidRPr="0047168A">
        <w:rPr>
          <w:rFonts w:cs="Times New Roman"/>
          <w:color w:val="auto"/>
          <w:sz w:val="22"/>
          <w:szCs w:val="22"/>
          <w:lang w:val="en-GB"/>
        </w:rPr>
        <w:t xml:space="preserve"> </w:t>
      </w:r>
    </w:p>
    <w:p w14:paraId="7B91EB29" w14:textId="76965F40" w:rsidR="00C04199" w:rsidRPr="0047168A" w:rsidRDefault="00C04199" w:rsidP="00C04199">
      <w:pPr>
        <w:spacing w:line="240" w:lineRule="auto"/>
        <w:jc w:val="both"/>
        <w:rPr>
          <w:rFonts w:cs="Times New Roman"/>
          <w:color w:val="auto"/>
          <w:sz w:val="22"/>
          <w:szCs w:val="22"/>
          <w:lang w:val="en-GB"/>
        </w:rPr>
      </w:pPr>
      <w:r w:rsidRPr="0047168A">
        <w:rPr>
          <w:rFonts w:cs="Times New Roman"/>
          <w:color w:val="auto"/>
          <w:sz w:val="22"/>
          <w:szCs w:val="22"/>
          <w:lang w:val="en-GB"/>
        </w:rPr>
        <w:t xml:space="preserve">President Enrique Peña Nieto continued the same strategy. Between 2012 and 2017, due to “mixed operations” (public security and armed forces acting together), military bases increased from 75 to 182 and their range extended from 19 to 27 states, </w:t>
      </w:r>
      <w:r w:rsidR="00972C5F">
        <w:rPr>
          <w:rFonts w:cs="Times New Roman"/>
          <w:color w:val="auto"/>
          <w:sz w:val="22"/>
          <w:szCs w:val="22"/>
          <w:lang w:val="en-GB"/>
        </w:rPr>
        <w:t>while</w:t>
      </w:r>
      <w:r w:rsidRPr="0047168A">
        <w:rPr>
          <w:rFonts w:cs="Times New Roman"/>
          <w:color w:val="auto"/>
          <w:sz w:val="22"/>
          <w:szCs w:val="22"/>
          <w:lang w:val="en-GB"/>
        </w:rPr>
        <w:t xml:space="preserve"> the number of military personnel assigned to these bases tripled. </w:t>
      </w:r>
    </w:p>
    <w:p w14:paraId="27F7720A" w14:textId="4AC32A69" w:rsidR="00C04199" w:rsidRDefault="00C04199" w:rsidP="00C04199">
      <w:pPr>
        <w:spacing w:line="240" w:lineRule="auto"/>
        <w:jc w:val="both"/>
        <w:rPr>
          <w:rFonts w:cs="Times New Roman"/>
          <w:color w:val="auto"/>
          <w:sz w:val="22"/>
          <w:szCs w:val="22"/>
          <w:lang w:val="en-GB"/>
        </w:rPr>
      </w:pPr>
      <w:r w:rsidRPr="0047168A">
        <w:rPr>
          <w:rFonts w:cs="Times New Roman"/>
          <w:color w:val="auto"/>
          <w:sz w:val="22"/>
          <w:szCs w:val="22"/>
          <w:lang w:val="en-GB"/>
        </w:rPr>
        <w:t>By March 2015, 32,000 armed forces continued to perform public security tasks.</w:t>
      </w:r>
      <w:r w:rsidRPr="0047168A">
        <w:rPr>
          <w:rStyle w:val="FootnoteReference"/>
          <w:rFonts w:cs="Times New Roman"/>
          <w:color w:val="auto"/>
          <w:sz w:val="22"/>
          <w:szCs w:val="22"/>
          <w:lang w:val="en-GB"/>
        </w:rPr>
        <w:footnoteReference w:id="3"/>
      </w:r>
      <w:r w:rsidRPr="0047168A">
        <w:rPr>
          <w:rFonts w:cs="Times New Roman"/>
          <w:color w:val="auto"/>
          <w:sz w:val="22"/>
          <w:szCs w:val="22"/>
          <w:lang w:val="en-GB"/>
        </w:rPr>
        <w:t xml:space="preserve"> According to the Secretary of National Defense, in 2016 there were approximately 52,000 soldiers deployed daily throughout the country. This number does not include the Navy or the Federal Police.</w:t>
      </w:r>
      <w:r w:rsidRPr="0047168A">
        <w:rPr>
          <w:rStyle w:val="FootnoteReference"/>
          <w:rFonts w:cs="Times New Roman"/>
          <w:color w:val="auto"/>
          <w:sz w:val="22"/>
          <w:szCs w:val="22"/>
          <w:lang w:val="en-GB"/>
        </w:rPr>
        <w:footnoteReference w:id="4"/>
      </w:r>
      <w:r w:rsidRPr="0047168A">
        <w:rPr>
          <w:rFonts w:cs="Times New Roman"/>
          <w:color w:val="auto"/>
          <w:sz w:val="22"/>
          <w:szCs w:val="22"/>
          <w:lang w:val="en-GB"/>
        </w:rPr>
        <w:t xml:space="preserve"> </w:t>
      </w:r>
    </w:p>
    <w:p w14:paraId="310A4D4C" w14:textId="2A0A8DB1" w:rsidR="00D202BD" w:rsidRPr="0047168A" w:rsidRDefault="00D202BD" w:rsidP="00C04199">
      <w:pPr>
        <w:spacing w:line="240" w:lineRule="auto"/>
        <w:jc w:val="both"/>
        <w:rPr>
          <w:rFonts w:cs="Times New Roman"/>
          <w:color w:val="auto"/>
          <w:sz w:val="22"/>
          <w:szCs w:val="22"/>
          <w:lang w:val="en-GB"/>
        </w:rPr>
      </w:pPr>
      <w:r>
        <w:rPr>
          <w:rFonts w:cs="Times New Roman"/>
          <w:color w:val="auto"/>
          <w:sz w:val="22"/>
          <w:szCs w:val="22"/>
          <w:lang w:val="en-GB"/>
        </w:rPr>
        <w:t>In spite of the negative impacts of its predecessor’s policies, and their failure to reduce drug trafficking, the current President, Lopez Obrador, ended up perpetuating the same strategy.</w:t>
      </w:r>
    </w:p>
    <w:p w14:paraId="5ADEC412" w14:textId="77777777" w:rsidR="00C04199" w:rsidRPr="0047168A" w:rsidRDefault="00C04199" w:rsidP="00C72434">
      <w:pPr>
        <w:spacing w:line="240" w:lineRule="auto"/>
        <w:jc w:val="both"/>
        <w:rPr>
          <w:rFonts w:cs="Times New Roman"/>
          <w:i/>
          <w:color w:val="auto"/>
          <w:sz w:val="22"/>
          <w:szCs w:val="22"/>
          <w:lang w:val="en-GB"/>
        </w:rPr>
      </w:pPr>
      <w:r w:rsidRPr="0047168A">
        <w:rPr>
          <w:rFonts w:cs="Times New Roman"/>
          <w:i/>
          <w:color w:val="auto"/>
          <w:sz w:val="22"/>
          <w:szCs w:val="22"/>
          <w:lang w:val="en-GB"/>
        </w:rPr>
        <w:t xml:space="preserve">1.2. </w:t>
      </w:r>
      <w:r w:rsidR="006930B3" w:rsidRPr="0047168A">
        <w:rPr>
          <w:rFonts w:cs="Times New Roman"/>
          <w:i/>
          <w:color w:val="auto"/>
          <w:sz w:val="22"/>
          <w:szCs w:val="22"/>
          <w:lang w:val="en-GB"/>
        </w:rPr>
        <w:t>2018-2019: M</w:t>
      </w:r>
      <w:r w:rsidRPr="0047168A">
        <w:rPr>
          <w:rFonts w:cs="Times New Roman"/>
          <w:i/>
          <w:color w:val="auto"/>
          <w:sz w:val="22"/>
          <w:szCs w:val="22"/>
          <w:lang w:val="en-GB"/>
        </w:rPr>
        <w:t xml:space="preserve">ilitarization through the </w:t>
      </w:r>
      <w:r w:rsidR="006930B3" w:rsidRPr="0047168A">
        <w:rPr>
          <w:rFonts w:cs="Times New Roman"/>
          <w:i/>
          <w:color w:val="auto"/>
          <w:sz w:val="22"/>
          <w:szCs w:val="22"/>
          <w:lang w:val="en-GB"/>
        </w:rPr>
        <w:t xml:space="preserve">creation of the </w:t>
      </w:r>
      <w:r w:rsidRPr="0047168A">
        <w:rPr>
          <w:rFonts w:cs="Times New Roman"/>
          <w:i/>
          <w:color w:val="auto"/>
          <w:sz w:val="22"/>
          <w:szCs w:val="22"/>
          <w:lang w:val="en-GB"/>
        </w:rPr>
        <w:t>National Guard</w:t>
      </w:r>
    </w:p>
    <w:p w14:paraId="2F14C998" w14:textId="77777777" w:rsidR="006650AB" w:rsidRPr="0047168A" w:rsidRDefault="002D74F8" w:rsidP="00C72434">
      <w:pPr>
        <w:spacing w:line="240" w:lineRule="auto"/>
        <w:jc w:val="both"/>
        <w:rPr>
          <w:rFonts w:cs="Times New Roman"/>
          <w:color w:val="auto"/>
          <w:sz w:val="22"/>
          <w:szCs w:val="22"/>
          <w:lang w:val="en-GB"/>
        </w:rPr>
      </w:pPr>
      <w:r w:rsidRPr="0047168A">
        <w:rPr>
          <w:rFonts w:cs="Times New Roman"/>
          <w:color w:val="auto"/>
          <w:sz w:val="22"/>
          <w:szCs w:val="22"/>
          <w:lang w:val="en-GB"/>
        </w:rPr>
        <w:t xml:space="preserve">In November 2018, </w:t>
      </w:r>
      <w:r w:rsidR="006650AB" w:rsidRPr="0047168A">
        <w:rPr>
          <w:rFonts w:cs="Times New Roman"/>
          <w:color w:val="auto"/>
          <w:sz w:val="22"/>
          <w:szCs w:val="22"/>
          <w:lang w:val="en-GB"/>
        </w:rPr>
        <w:t xml:space="preserve">the </w:t>
      </w:r>
      <w:r w:rsidRPr="0047168A">
        <w:rPr>
          <w:rFonts w:cs="Times New Roman"/>
          <w:color w:val="auto"/>
          <w:sz w:val="22"/>
          <w:szCs w:val="22"/>
          <w:lang w:val="en-GB"/>
        </w:rPr>
        <w:t xml:space="preserve">Mexican </w:t>
      </w:r>
      <w:r w:rsidR="006650AB" w:rsidRPr="0047168A">
        <w:rPr>
          <w:rFonts w:cs="Times New Roman"/>
          <w:color w:val="auto"/>
          <w:sz w:val="22"/>
          <w:szCs w:val="22"/>
          <w:lang w:val="en-GB"/>
        </w:rPr>
        <w:t xml:space="preserve">Supreme Court of Justice (SCJN) </w:t>
      </w:r>
      <w:r w:rsidRPr="0047168A">
        <w:rPr>
          <w:rFonts w:cs="Times New Roman"/>
          <w:color w:val="auto"/>
          <w:sz w:val="22"/>
          <w:szCs w:val="22"/>
          <w:lang w:val="en-GB"/>
        </w:rPr>
        <w:t xml:space="preserve">held that </w:t>
      </w:r>
      <w:r w:rsidR="006650AB" w:rsidRPr="0047168A">
        <w:rPr>
          <w:rFonts w:cs="Times New Roman"/>
          <w:color w:val="auto"/>
          <w:sz w:val="22"/>
          <w:szCs w:val="22"/>
          <w:lang w:val="en-GB"/>
        </w:rPr>
        <w:t xml:space="preserve">the Internal Security Law (“Ley de Seguridad Interior”), </w:t>
      </w:r>
      <w:r w:rsidRPr="0047168A">
        <w:rPr>
          <w:rFonts w:cs="Times New Roman"/>
          <w:color w:val="auto"/>
          <w:sz w:val="22"/>
          <w:szCs w:val="22"/>
          <w:lang w:val="en-GB"/>
        </w:rPr>
        <w:t xml:space="preserve">approved during Peña Nieto administration, violated </w:t>
      </w:r>
      <w:r w:rsidR="006650AB" w:rsidRPr="0047168A">
        <w:rPr>
          <w:rFonts w:cs="Times New Roman"/>
          <w:color w:val="auto"/>
          <w:sz w:val="22"/>
          <w:szCs w:val="22"/>
          <w:lang w:val="en-GB"/>
        </w:rPr>
        <w:t xml:space="preserve">the constitutional and conventional </w:t>
      </w:r>
      <w:r w:rsidRPr="0047168A">
        <w:rPr>
          <w:rFonts w:cs="Times New Roman"/>
          <w:color w:val="auto"/>
          <w:sz w:val="22"/>
          <w:szCs w:val="22"/>
          <w:lang w:val="en-GB"/>
        </w:rPr>
        <w:t>law</w:t>
      </w:r>
      <w:r w:rsidR="006650AB" w:rsidRPr="0047168A">
        <w:rPr>
          <w:rFonts w:cs="Times New Roman"/>
          <w:color w:val="auto"/>
          <w:sz w:val="22"/>
          <w:szCs w:val="22"/>
          <w:lang w:val="en-GB"/>
        </w:rPr>
        <w:t xml:space="preserve"> </w:t>
      </w:r>
      <w:r w:rsidRPr="0047168A">
        <w:rPr>
          <w:rFonts w:cs="Times New Roman"/>
          <w:color w:val="auto"/>
          <w:sz w:val="22"/>
          <w:szCs w:val="22"/>
          <w:lang w:val="en-GB"/>
        </w:rPr>
        <w:t>on the basis of</w:t>
      </w:r>
      <w:r w:rsidR="006650AB" w:rsidRPr="0047168A">
        <w:rPr>
          <w:rFonts w:cs="Times New Roman"/>
          <w:color w:val="auto"/>
          <w:sz w:val="22"/>
          <w:szCs w:val="22"/>
          <w:lang w:val="en-GB"/>
        </w:rPr>
        <w:t xml:space="preserve"> “containing provisions that sought to normalize the use of the Armed Forces in matters of public security”</w:t>
      </w:r>
      <w:r w:rsidR="006650AB" w:rsidRPr="0047168A">
        <w:rPr>
          <w:rStyle w:val="FootnoteReference"/>
          <w:rFonts w:cs="Times New Roman"/>
          <w:color w:val="auto"/>
          <w:sz w:val="22"/>
          <w:szCs w:val="22"/>
          <w:lang w:val="en-GB"/>
        </w:rPr>
        <w:footnoteReference w:id="5"/>
      </w:r>
      <w:r w:rsidRPr="0047168A">
        <w:rPr>
          <w:rFonts w:cs="Times New Roman"/>
          <w:color w:val="auto"/>
          <w:sz w:val="22"/>
          <w:szCs w:val="22"/>
          <w:lang w:val="en-GB"/>
        </w:rPr>
        <w:t>. In contrast, one day before,</w:t>
      </w:r>
      <w:r w:rsidR="006650AB" w:rsidRPr="0047168A">
        <w:rPr>
          <w:rFonts w:cs="Times New Roman"/>
          <w:color w:val="auto"/>
          <w:sz w:val="22"/>
          <w:szCs w:val="22"/>
          <w:lang w:val="en-GB"/>
        </w:rPr>
        <w:t xml:space="preserve"> Andrés Manuel López Obrador </w:t>
      </w:r>
      <w:r w:rsidRPr="0047168A">
        <w:rPr>
          <w:rFonts w:cs="Times New Roman"/>
          <w:color w:val="auto"/>
          <w:sz w:val="22"/>
          <w:szCs w:val="22"/>
          <w:lang w:val="en-GB"/>
        </w:rPr>
        <w:t xml:space="preserve">announced a Constitutional amendment </w:t>
      </w:r>
      <w:r w:rsidR="006650AB" w:rsidRPr="0047168A">
        <w:rPr>
          <w:rFonts w:cs="Times New Roman"/>
          <w:color w:val="auto"/>
          <w:sz w:val="22"/>
          <w:szCs w:val="22"/>
          <w:lang w:val="en-GB"/>
        </w:rPr>
        <w:t xml:space="preserve">for the creation of the National Guard as a corporation </w:t>
      </w:r>
      <w:r w:rsidRPr="0047168A">
        <w:rPr>
          <w:rFonts w:cs="Times New Roman"/>
          <w:color w:val="auto"/>
          <w:sz w:val="22"/>
          <w:szCs w:val="22"/>
          <w:lang w:val="en-GB"/>
        </w:rPr>
        <w:t xml:space="preserve">administratively </w:t>
      </w:r>
      <w:r w:rsidR="006650AB" w:rsidRPr="0047168A">
        <w:rPr>
          <w:rFonts w:cs="Times New Roman"/>
          <w:color w:val="auto"/>
          <w:sz w:val="22"/>
          <w:szCs w:val="22"/>
          <w:lang w:val="en-GB"/>
        </w:rPr>
        <w:t>attached to the Secretariat of Citizen Se</w:t>
      </w:r>
      <w:r w:rsidRPr="0047168A">
        <w:rPr>
          <w:rFonts w:cs="Times New Roman"/>
          <w:color w:val="auto"/>
          <w:sz w:val="22"/>
          <w:szCs w:val="22"/>
          <w:lang w:val="en-GB"/>
        </w:rPr>
        <w:t>curity</w:t>
      </w:r>
      <w:r w:rsidR="006650AB" w:rsidRPr="0047168A">
        <w:rPr>
          <w:rFonts w:cs="Times New Roman"/>
          <w:color w:val="auto"/>
          <w:sz w:val="22"/>
          <w:szCs w:val="22"/>
          <w:lang w:val="en-GB"/>
        </w:rPr>
        <w:t xml:space="preserve">, </w:t>
      </w:r>
      <w:r w:rsidRPr="0047168A">
        <w:rPr>
          <w:rFonts w:cs="Times New Roman"/>
          <w:color w:val="auto"/>
          <w:sz w:val="22"/>
          <w:szCs w:val="22"/>
          <w:lang w:val="en-GB"/>
        </w:rPr>
        <w:t xml:space="preserve">but operationally operated by </w:t>
      </w:r>
      <w:r w:rsidR="006650AB" w:rsidRPr="0047168A">
        <w:rPr>
          <w:rFonts w:cs="Times New Roman"/>
          <w:color w:val="auto"/>
          <w:sz w:val="22"/>
          <w:szCs w:val="22"/>
          <w:lang w:val="en-GB"/>
        </w:rPr>
        <w:t>Secretariat of National Defense (SEDENA)</w:t>
      </w:r>
      <w:r w:rsidR="006F3086" w:rsidRPr="0047168A">
        <w:rPr>
          <w:rFonts w:cs="Times New Roman"/>
          <w:color w:val="auto"/>
          <w:sz w:val="22"/>
          <w:szCs w:val="22"/>
          <w:lang w:val="en-GB"/>
        </w:rPr>
        <w:t xml:space="preserve">, which was approved last March. </w:t>
      </w:r>
    </w:p>
    <w:p w14:paraId="4B86AB01" w14:textId="7CD08431" w:rsidR="006650AB" w:rsidRPr="0047168A" w:rsidRDefault="00972C5F" w:rsidP="00C72434">
      <w:pPr>
        <w:spacing w:line="240" w:lineRule="auto"/>
        <w:jc w:val="both"/>
        <w:rPr>
          <w:rFonts w:cs="Times New Roman"/>
          <w:color w:val="auto"/>
          <w:sz w:val="22"/>
          <w:szCs w:val="22"/>
          <w:lang w:val="en-GB"/>
        </w:rPr>
      </w:pPr>
      <w:r>
        <w:rPr>
          <w:rFonts w:cs="Times New Roman"/>
          <w:color w:val="auto"/>
          <w:sz w:val="22"/>
          <w:szCs w:val="22"/>
          <w:lang w:val="en-GB"/>
        </w:rPr>
        <w:t>T</w:t>
      </w:r>
      <w:r w:rsidR="006650AB" w:rsidRPr="0047168A">
        <w:rPr>
          <w:rFonts w:cs="Times New Roman"/>
          <w:color w:val="auto"/>
          <w:sz w:val="22"/>
          <w:szCs w:val="22"/>
          <w:lang w:val="en-GB"/>
        </w:rPr>
        <w:t xml:space="preserve">hanks to the efforts of civil society and the </w:t>
      </w:r>
      <w:r w:rsidR="006F3086" w:rsidRPr="0047168A">
        <w:rPr>
          <w:rFonts w:cs="Times New Roman"/>
          <w:color w:val="auto"/>
          <w:sz w:val="22"/>
          <w:szCs w:val="22"/>
          <w:lang w:val="en-GB"/>
        </w:rPr>
        <w:t>opposition of different</w:t>
      </w:r>
      <w:r w:rsidR="006650AB" w:rsidRPr="0047168A">
        <w:rPr>
          <w:rFonts w:cs="Times New Roman"/>
          <w:color w:val="auto"/>
          <w:sz w:val="22"/>
          <w:szCs w:val="22"/>
          <w:lang w:val="en-GB"/>
        </w:rPr>
        <w:t xml:space="preserve"> political </w:t>
      </w:r>
      <w:r w:rsidR="006F3086" w:rsidRPr="0047168A">
        <w:rPr>
          <w:rFonts w:cs="Times New Roman"/>
          <w:color w:val="auto"/>
          <w:sz w:val="22"/>
          <w:szCs w:val="22"/>
          <w:lang w:val="en-GB"/>
        </w:rPr>
        <w:t>parties</w:t>
      </w:r>
      <w:r w:rsidR="006650AB" w:rsidRPr="0047168A">
        <w:rPr>
          <w:rFonts w:cs="Times New Roman"/>
          <w:color w:val="auto"/>
          <w:sz w:val="22"/>
          <w:szCs w:val="22"/>
          <w:lang w:val="en-GB"/>
        </w:rPr>
        <w:t xml:space="preserve">, the civil nature of the so-called National Guard was </w:t>
      </w:r>
      <w:r w:rsidR="006F3086" w:rsidRPr="0047168A">
        <w:rPr>
          <w:rFonts w:cs="Times New Roman"/>
          <w:color w:val="auto"/>
          <w:sz w:val="22"/>
          <w:szCs w:val="22"/>
          <w:lang w:val="en-GB"/>
        </w:rPr>
        <w:t xml:space="preserve">guaranteed </w:t>
      </w:r>
      <w:r w:rsidR="006650AB" w:rsidRPr="0047168A">
        <w:rPr>
          <w:rFonts w:cs="Times New Roman"/>
          <w:color w:val="auto"/>
          <w:sz w:val="22"/>
          <w:szCs w:val="22"/>
          <w:lang w:val="en-GB"/>
        </w:rPr>
        <w:t xml:space="preserve">at constitutional level (Article 21). However, this </w:t>
      </w:r>
      <w:r w:rsidR="000438CF">
        <w:rPr>
          <w:rFonts w:cs="Times New Roman"/>
          <w:color w:val="auto"/>
          <w:sz w:val="22"/>
          <w:szCs w:val="22"/>
          <w:lang w:val="en-GB"/>
        </w:rPr>
        <w:t>achievement</w:t>
      </w:r>
      <w:r w:rsidR="006650AB" w:rsidRPr="0047168A">
        <w:rPr>
          <w:rFonts w:cs="Times New Roman"/>
          <w:color w:val="auto"/>
          <w:sz w:val="22"/>
          <w:szCs w:val="22"/>
          <w:lang w:val="en-GB"/>
        </w:rPr>
        <w:t xml:space="preserve"> was overshadowed by the transitional regime of the constitu</w:t>
      </w:r>
      <w:r w:rsidR="006F3086" w:rsidRPr="0047168A">
        <w:rPr>
          <w:rFonts w:cs="Times New Roman"/>
          <w:color w:val="auto"/>
          <w:sz w:val="22"/>
          <w:szCs w:val="22"/>
          <w:lang w:val="en-GB"/>
        </w:rPr>
        <w:t xml:space="preserve">tional reform. </w:t>
      </w:r>
      <w:r>
        <w:rPr>
          <w:rFonts w:cs="Times New Roman"/>
          <w:color w:val="auto"/>
          <w:sz w:val="22"/>
          <w:szCs w:val="22"/>
          <w:lang w:val="en-GB"/>
        </w:rPr>
        <w:t>This</w:t>
      </w:r>
      <w:r w:rsidRPr="0047168A">
        <w:rPr>
          <w:rFonts w:cs="Times New Roman"/>
          <w:color w:val="auto"/>
          <w:sz w:val="22"/>
          <w:szCs w:val="22"/>
          <w:lang w:val="en-GB"/>
        </w:rPr>
        <w:t xml:space="preserve"> </w:t>
      </w:r>
      <w:r w:rsidR="006F3086" w:rsidRPr="0047168A">
        <w:rPr>
          <w:rFonts w:cs="Times New Roman"/>
          <w:color w:val="auto"/>
          <w:sz w:val="22"/>
          <w:szCs w:val="22"/>
          <w:lang w:val="en-GB"/>
        </w:rPr>
        <w:t>establishes</w:t>
      </w:r>
      <w:r w:rsidR="006650AB" w:rsidRPr="0047168A">
        <w:rPr>
          <w:rFonts w:cs="Times New Roman"/>
          <w:color w:val="auto"/>
          <w:sz w:val="22"/>
          <w:szCs w:val="22"/>
          <w:lang w:val="en-GB"/>
        </w:rPr>
        <w:t xml:space="preserve"> that the National Guard would be integrated </w:t>
      </w:r>
      <w:r w:rsidR="006F3086" w:rsidRPr="0047168A">
        <w:rPr>
          <w:rFonts w:cs="Times New Roman"/>
          <w:color w:val="auto"/>
          <w:sz w:val="22"/>
          <w:szCs w:val="22"/>
          <w:lang w:val="en-GB"/>
        </w:rPr>
        <w:t>by</w:t>
      </w:r>
      <w:r w:rsidR="006650AB" w:rsidRPr="0047168A">
        <w:rPr>
          <w:rFonts w:cs="Times New Roman"/>
          <w:color w:val="auto"/>
          <w:sz w:val="22"/>
          <w:szCs w:val="22"/>
          <w:lang w:val="en-GB"/>
        </w:rPr>
        <w:t xml:space="preserve"> the Federal Police, the Military Police (Army) and the Naval Police (Navy)</w:t>
      </w:r>
      <w:r w:rsidR="006F3086" w:rsidRPr="0047168A">
        <w:rPr>
          <w:rFonts w:cs="Times New Roman"/>
          <w:color w:val="auto"/>
          <w:sz w:val="22"/>
          <w:szCs w:val="22"/>
          <w:lang w:val="en-GB"/>
        </w:rPr>
        <w:t>,</w:t>
      </w:r>
      <w:r w:rsidR="006650AB" w:rsidRPr="0047168A">
        <w:rPr>
          <w:rFonts w:cs="Times New Roman"/>
          <w:color w:val="auto"/>
          <w:sz w:val="22"/>
          <w:szCs w:val="22"/>
          <w:lang w:val="en-GB"/>
        </w:rPr>
        <w:t xml:space="preserve"> and that the President would have the discretion</w:t>
      </w:r>
      <w:r w:rsidR="00C04199" w:rsidRPr="0047168A">
        <w:rPr>
          <w:rFonts w:cs="Times New Roman"/>
          <w:color w:val="auto"/>
          <w:sz w:val="22"/>
          <w:szCs w:val="22"/>
          <w:lang w:val="en-GB"/>
        </w:rPr>
        <w:t>a</w:t>
      </w:r>
      <w:r w:rsidR="000438CF">
        <w:rPr>
          <w:rFonts w:cs="Times New Roman"/>
          <w:color w:val="auto"/>
          <w:sz w:val="22"/>
          <w:szCs w:val="22"/>
          <w:lang w:val="en-GB"/>
        </w:rPr>
        <w:t xml:space="preserve">ry power </w:t>
      </w:r>
      <w:r w:rsidR="006650AB" w:rsidRPr="0047168A">
        <w:rPr>
          <w:rFonts w:cs="Times New Roman"/>
          <w:color w:val="auto"/>
          <w:sz w:val="22"/>
          <w:szCs w:val="22"/>
          <w:lang w:val="en-GB"/>
        </w:rPr>
        <w:t xml:space="preserve">to select the number of elements of each corporation that would be </w:t>
      </w:r>
      <w:r w:rsidR="006F3086" w:rsidRPr="0047168A">
        <w:rPr>
          <w:rFonts w:cs="Times New Roman"/>
          <w:color w:val="auto"/>
          <w:sz w:val="22"/>
          <w:szCs w:val="22"/>
          <w:lang w:val="en-GB"/>
        </w:rPr>
        <w:t xml:space="preserve">integrated to </w:t>
      </w:r>
      <w:r w:rsidR="006650AB" w:rsidRPr="0047168A">
        <w:rPr>
          <w:rFonts w:cs="Times New Roman"/>
          <w:color w:val="auto"/>
          <w:sz w:val="22"/>
          <w:szCs w:val="22"/>
          <w:lang w:val="en-GB"/>
        </w:rPr>
        <w:t xml:space="preserve">the National Guard. </w:t>
      </w:r>
      <w:r w:rsidR="006F3086" w:rsidRPr="0047168A">
        <w:rPr>
          <w:rFonts w:cs="Times New Roman"/>
          <w:color w:val="auto"/>
          <w:sz w:val="22"/>
          <w:szCs w:val="22"/>
          <w:lang w:val="en-GB"/>
        </w:rPr>
        <w:t>In addition, i</w:t>
      </w:r>
      <w:r w:rsidR="00C04199" w:rsidRPr="0047168A">
        <w:rPr>
          <w:rFonts w:cs="Times New Roman"/>
          <w:color w:val="auto"/>
          <w:sz w:val="22"/>
          <w:szCs w:val="22"/>
          <w:lang w:val="en-GB"/>
        </w:rPr>
        <w:t>t</w:t>
      </w:r>
      <w:r w:rsidR="006F3086" w:rsidRPr="0047168A">
        <w:rPr>
          <w:rFonts w:cs="Times New Roman"/>
          <w:color w:val="auto"/>
          <w:sz w:val="22"/>
          <w:szCs w:val="22"/>
          <w:lang w:val="en-GB"/>
        </w:rPr>
        <w:t xml:space="preserve"> includes </w:t>
      </w:r>
      <w:r w:rsidR="006650AB" w:rsidRPr="0047168A">
        <w:rPr>
          <w:rFonts w:cs="Times New Roman"/>
          <w:color w:val="auto"/>
          <w:sz w:val="22"/>
          <w:szCs w:val="22"/>
          <w:lang w:val="en-GB"/>
        </w:rPr>
        <w:t>the permanent</w:t>
      </w:r>
      <w:r w:rsidR="006F3086" w:rsidRPr="0047168A">
        <w:rPr>
          <w:rFonts w:cs="Times New Roman"/>
          <w:color w:val="auto"/>
          <w:sz w:val="22"/>
          <w:szCs w:val="22"/>
          <w:lang w:val="en-GB"/>
        </w:rPr>
        <w:t xml:space="preserve"> participation, for five years, of</w:t>
      </w:r>
      <w:r w:rsidR="006650AB" w:rsidRPr="0047168A">
        <w:rPr>
          <w:rFonts w:cs="Times New Roman"/>
          <w:color w:val="auto"/>
          <w:sz w:val="22"/>
          <w:szCs w:val="22"/>
          <w:lang w:val="en-GB"/>
        </w:rPr>
        <w:t xml:space="preserve"> Armed Forces in public security tasks in an </w:t>
      </w:r>
      <w:r>
        <w:rPr>
          <w:rFonts w:cs="Times New Roman"/>
          <w:color w:val="auto"/>
          <w:sz w:val="22"/>
          <w:szCs w:val="22"/>
          <w:lang w:val="en-GB"/>
        </w:rPr>
        <w:t>“</w:t>
      </w:r>
      <w:r w:rsidR="006650AB" w:rsidRPr="0047168A">
        <w:rPr>
          <w:rFonts w:cs="Times New Roman"/>
          <w:i/>
          <w:color w:val="auto"/>
          <w:sz w:val="22"/>
          <w:szCs w:val="22"/>
          <w:lang w:val="en-GB"/>
        </w:rPr>
        <w:t xml:space="preserve">extraordinary, regulated, supervised, subordinate and </w:t>
      </w:r>
      <w:r w:rsidR="006650AB" w:rsidRPr="0047168A">
        <w:rPr>
          <w:rFonts w:cs="Times New Roman"/>
          <w:i/>
          <w:color w:val="auto"/>
          <w:sz w:val="22"/>
          <w:szCs w:val="22"/>
          <w:lang w:val="en-GB"/>
        </w:rPr>
        <w:lastRenderedPageBreak/>
        <w:t>complementary</w:t>
      </w:r>
      <w:r>
        <w:rPr>
          <w:rFonts w:cs="Times New Roman"/>
          <w:i/>
          <w:color w:val="auto"/>
          <w:sz w:val="22"/>
          <w:szCs w:val="22"/>
          <w:lang w:val="en-GB"/>
        </w:rPr>
        <w:t>”</w:t>
      </w:r>
      <w:r w:rsidR="006650AB" w:rsidRPr="0047168A">
        <w:rPr>
          <w:rFonts w:cs="Times New Roman"/>
          <w:color w:val="auto"/>
          <w:sz w:val="22"/>
          <w:szCs w:val="22"/>
          <w:lang w:val="en-GB"/>
        </w:rPr>
        <w:t xml:space="preserve"> manner.</w:t>
      </w:r>
      <w:r w:rsidR="006650AB" w:rsidRPr="0047168A">
        <w:rPr>
          <w:rStyle w:val="FootnoteReference"/>
          <w:rFonts w:cs="Times New Roman"/>
          <w:color w:val="auto"/>
          <w:sz w:val="22"/>
          <w:szCs w:val="22"/>
          <w:lang w:val="en-GB"/>
        </w:rPr>
        <w:footnoteReference w:id="6"/>
      </w:r>
      <w:r w:rsidR="006650AB" w:rsidRPr="0047168A">
        <w:rPr>
          <w:rFonts w:cs="Times New Roman"/>
          <w:color w:val="auto"/>
          <w:sz w:val="22"/>
          <w:szCs w:val="22"/>
          <w:lang w:val="en-GB"/>
        </w:rPr>
        <w:t xml:space="preserve"> This transitional regime </w:t>
      </w:r>
      <w:r w:rsidR="006F3086" w:rsidRPr="0047168A">
        <w:rPr>
          <w:rFonts w:cs="Times New Roman"/>
          <w:color w:val="auto"/>
          <w:sz w:val="22"/>
          <w:szCs w:val="22"/>
          <w:lang w:val="en-GB"/>
        </w:rPr>
        <w:t>represents</w:t>
      </w:r>
      <w:r w:rsidR="006650AB" w:rsidRPr="0047168A">
        <w:rPr>
          <w:rFonts w:cs="Times New Roman"/>
          <w:color w:val="auto"/>
          <w:sz w:val="22"/>
          <w:szCs w:val="22"/>
          <w:lang w:val="en-GB"/>
        </w:rPr>
        <w:t xml:space="preserve"> the claudication of the civil power before the military power and the continuity of a strategy </w:t>
      </w:r>
      <w:r>
        <w:rPr>
          <w:rFonts w:cs="Times New Roman"/>
          <w:color w:val="auto"/>
          <w:sz w:val="22"/>
          <w:szCs w:val="22"/>
          <w:lang w:val="en-GB"/>
        </w:rPr>
        <w:t>which is at the root of many human rights violations recorded</w:t>
      </w:r>
      <w:r w:rsidR="000438CF">
        <w:rPr>
          <w:rFonts w:cs="Times New Roman"/>
          <w:color w:val="auto"/>
          <w:sz w:val="22"/>
          <w:szCs w:val="22"/>
          <w:lang w:val="en-GB"/>
        </w:rPr>
        <w:t xml:space="preserve"> in the country</w:t>
      </w:r>
      <w:r>
        <w:rPr>
          <w:rFonts w:cs="Times New Roman"/>
          <w:color w:val="auto"/>
          <w:sz w:val="22"/>
          <w:szCs w:val="22"/>
          <w:lang w:val="en-GB"/>
        </w:rPr>
        <w:t xml:space="preserve"> in the last decade</w:t>
      </w:r>
      <w:r w:rsidR="006650AB" w:rsidRPr="0047168A">
        <w:rPr>
          <w:rFonts w:cs="Times New Roman"/>
          <w:color w:val="auto"/>
          <w:sz w:val="22"/>
          <w:szCs w:val="22"/>
          <w:lang w:val="en-GB"/>
        </w:rPr>
        <w:t>.</w:t>
      </w:r>
      <w:r w:rsidR="006650AB" w:rsidRPr="0047168A">
        <w:rPr>
          <w:rStyle w:val="FootnoteReference"/>
          <w:rFonts w:cs="Times New Roman"/>
          <w:color w:val="auto"/>
          <w:sz w:val="22"/>
          <w:szCs w:val="22"/>
          <w:lang w:val="en-GB"/>
        </w:rPr>
        <w:footnoteReference w:id="7"/>
      </w:r>
      <w:r w:rsidR="006650AB" w:rsidRPr="0047168A">
        <w:rPr>
          <w:rFonts w:cs="Times New Roman"/>
          <w:color w:val="auto"/>
          <w:sz w:val="22"/>
          <w:szCs w:val="22"/>
          <w:lang w:val="en-GB"/>
        </w:rPr>
        <w:t xml:space="preserve"> </w:t>
      </w:r>
    </w:p>
    <w:p w14:paraId="5CE9704C" w14:textId="01BB48F6" w:rsidR="003D25FD" w:rsidRPr="0047168A" w:rsidRDefault="003D25FD" w:rsidP="00C72434">
      <w:pPr>
        <w:spacing w:line="240" w:lineRule="auto"/>
        <w:jc w:val="both"/>
        <w:rPr>
          <w:rFonts w:cs="Times New Roman"/>
          <w:color w:val="auto"/>
          <w:sz w:val="22"/>
          <w:szCs w:val="22"/>
          <w:lang w:val="en-GB"/>
        </w:rPr>
      </w:pPr>
      <w:r w:rsidRPr="0047168A">
        <w:rPr>
          <w:rFonts w:cs="Times New Roman"/>
          <w:color w:val="auto"/>
          <w:sz w:val="22"/>
          <w:szCs w:val="22"/>
          <w:lang w:val="en-GB"/>
        </w:rPr>
        <w:t>The National Guard formally began functions on June 30, 2019. Nevertheless, before this date, it was already operating in Minatitlán and Cosoleacaque, Veracruz, as well as in the border areas.</w:t>
      </w:r>
      <w:r w:rsidRPr="0047168A">
        <w:rPr>
          <w:rStyle w:val="FootnoteReference"/>
          <w:rFonts w:cs="Times New Roman"/>
          <w:color w:val="auto"/>
          <w:sz w:val="22"/>
          <w:szCs w:val="22"/>
          <w:lang w:val="en-GB"/>
        </w:rPr>
        <w:footnoteReference w:id="8"/>
      </w:r>
      <w:r w:rsidRPr="0047168A">
        <w:rPr>
          <w:rFonts w:cs="Times New Roman"/>
          <w:color w:val="auto"/>
          <w:sz w:val="22"/>
          <w:szCs w:val="22"/>
          <w:lang w:val="en-GB"/>
        </w:rPr>
        <w:t xml:space="preserve"> This means that before June 30, an institution with members from the Army and Navy was performing public security tasks without any training.</w:t>
      </w:r>
    </w:p>
    <w:p w14:paraId="0285F4CC" w14:textId="26B3B8F9" w:rsidR="003D25FD" w:rsidRPr="0047168A" w:rsidRDefault="00972C5F" w:rsidP="00C72434">
      <w:pPr>
        <w:spacing w:line="240" w:lineRule="auto"/>
        <w:jc w:val="both"/>
        <w:rPr>
          <w:rFonts w:cs="Times New Roman"/>
          <w:color w:val="auto"/>
          <w:sz w:val="22"/>
          <w:szCs w:val="22"/>
          <w:lang w:val="en-GB"/>
        </w:rPr>
      </w:pPr>
      <w:r>
        <w:rPr>
          <w:rFonts w:cs="Times New Roman"/>
          <w:color w:val="auto"/>
          <w:sz w:val="22"/>
          <w:szCs w:val="22"/>
          <w:lang w:val="en-GB"/>
        </w:rPr>
        <w:t>The</w:t>
      </w:r>
      <w:r w:rsidR="003D25FD" w:rsidRPr="0047168A">
        <w:rPr>
          <w:rFonts w:cs="Times New Roman"/>
          <w:color w:val="auto"/>
          <w:sz w:val="22"/>
          <w:szCs w:val="22"/>
          <w:lang w:val="en-GB"/>
        </w:rPr>
        <w:t xml:space="preserve"> National Peace and Security Plan 2018-2024</w:t>
      </w:r>
      <w:r>
        <w:rPr>
          <w:rFonts w:cs="Times New Roman"/>
          <w:color w:val="auto"/>
          <w:sz w:val="22"/>
          <w:szCs w:val="22"/>
          <w:lang w:val="en-GB"/>
        </w:rPr>
        <w:t xml:space="preserve"> establishes</w:t>
      </w:r>
      <w:r w:rsidR="003D25FD" w:rsidRPr="0047168A">
        <w:rPr>
          <w:rFonts w:cs="Times New Roman"/>
          <w:color w:val="auto"/>
          <w:sz w:val="22"/>
          <w:szCs w:val="22"/>
          <w:lang w:val="en-GB"/>
        </w:rPr>
        <w:t xml:space="preserve"> that the National Guard </w:t>
      </w:r>
      <w:r>
        <w:rPr>
          <w:rFonts w:cs="Times New Roman"/>
          <w:color w:val="auto"/>
          <w:sz w:val="22"/>
          <w:szCs w:val="22"/>
          <w:lang w:val="en-GB"/>
        </w:rPr>
        <w:t xml:space="preserve">will </w:t>
      </w:r>
      <w:r w:rsidR="006650AB" w:rsidRPr="0047168A">
        <w:rPr>
          <w:rFonts w:cs="Times New Roman"/>
          <w:color w:val="auto"/>
          <w:sz w:val="22"/>
          <w:szCs w:val="22"/>
          <w:lang w:val="en-GB"/>
        </w:rPr>
        <w:t>reach 50,000 troops</w:t>
      </w:r>
      <w:r w:rsidR="000438CF">
        <w:rPr>
          <w:rFonts w:cs="Times New Roman"/>
          <w:color w:val="auto"/>
          <w:sz w:val="22"/>
          <w:szCs w:val="22"/>
          <w:lang w:val="en-GB"/>
        </w:rPr>
        <w:t>,</w:t>
      </w:r>
      <w:r w:rsidR="006650AB" w:rsidRPr="0047168A">
        <w:rPr>
          <w:rStyle w:val="FootnoteReference"/>
          <w:rFonts w:cs="Times New Roman"/>
          <w:color w:val="auto"/>
          <w:sz w:val="22"/>
          <w:szCs w:val="22"/>
          <w:lang w:val="en-GB"/>
        </w:rPr>
        <w:footnoteReference w:id="9"/>
      </w:r>
      <w:r w:rsidR="003D25FD" w:rsidRPr="0047168A">
        <w:rPr>
          <w:rFonts w:cs="Times New Roman"/>
          <w:color w:val="auto"/>
          <w:sz w:val="22"/>
          <w:szCs w:val="22"/>
          <w:lang w:val="en-GB"/>
        </w:rPr>
        <w:t xml:space="preserve"> distributed in 266 areas (“regional quadrants”)</w:t>
      </w:r>
      <w:r w:rsidR="006650AB" w:rsidRPr="0047168A">
        <w:rPr>
          <w:rFonts w:cs="Times New Roman"/>
          <w:color w:val="auto"/>
          <w:sz w:val="22"/>
          <w:szCs w:val="22"/>
          <w:lang w:val="en-GB"/>
        </w:rPr>
        <w:t xml:space="preserve">. </w:t>
      </w:r>
      <w:r>
        <w:rPr>
          <w:rFonts w:cs="Times New Roman"/>
          <w:color w:val="auto"/>
          <w:sz w:val="22"/>
          <w:szCs w:val="22"/>
          <w:lang w:val="en-GB"/>
        </w:rPr>
        <w:t>A</w:t>
      </w:r>
      <w:r w:rsidR="003D25FD" w:rsidRPr="0047168A">
        <w:rPr>
          <w:rFonts w:cs="Times New Roman"/>
          <w:color w:val="auto"/>
          <w:sz w:val="22"/>
          <w:szCs w:val="22"/>
          <w:lang w:val="en-GB"/>
        </w:rPr>
        <w:t>s stated by the C</w:t>
      </w:r>
      <w:r w:rsidR="006650AB" w:rsidRPr="0047168A">
        <w:rPr>
          <w:rFonts w:cs="Times New Roman"/>
          <w:color w:val="auto"/>
          <w:sz w:val="22"/>
          <w:szCs w:val="22"/>
          <w:lang w:val="en-GB"/>
        </w:rPr>
        <w:t xml:space="preserve">ommander </w:t>
      </w:r>
      <w:r w:rsidR="003D25FD" w:rsidRPr="0047168A">
        <w:rPr>
          <w:rFonts w:cs="Times New Roman"/>
          <w:color w:val="auto"/>
          <w:sz w:val="22"/>
          <w:szCs w:val="22"/>
          <w:lang w:val="en-GB"/>
        </w:rPr>
        <w:t xml:space="preserve">in Chief </w:t>
      </w:r>
      <w:r w:rsidR="006650AB" w:rsidRPr="0047168A">
        <w:rPr>
          <w:rFonts w:cs="Times New Roman"/>
          <w:color w:val="auto"/>
          <w:sz w:val="22"/>
          <w:szCs w:val="22"/>
          <w:lang w:val="en-GB"/>
        </w:rPr>
        <w:t xml:space="preserve">of the National Guard, “the deployment was carried out partially due to lack of trained elements on the day of the inauguration and, among the 266 regional </w:t>
      </w:r>
      <w:r w:rsidR="00D72FC3" w:rsidRPr="0047168A">
        <w:rPr>
          <w:rFonts w:cs="Times New Roman"/>
          <w:color w:val="auto"/>
          <w:sz w:val="22"/>
          <w:szCs w:val="22"/>
          <w:lang w:val="en-GB"/>
        </w:rPr>
        <w:t>quadrants</w:t>
      </w:r>
      <w:r w:rsidR="006650AB" w:rsidRPr="0047168A">
        <w:rPr>
          <w:rFonts w:cs="Times New Roman"/>
          <w:color w:val="auto"/>
          <w:sz w:val="22"/>
          <w:szCs w:val="22"/>
          <w:lang w:val="en-GB"/>
        </w:rPr>
        <w:t xml:space="preserve">, the 150 </w:t>
      </w:r>
      <w:r w:rsidR="00AD036F" w:rsidRPr="0047168A">
        <w:rPr>
          <w:rFonts w:cs="Times New Roman"/>
          <w:color w:val="auto"/>
          <w:sz w:val="22"/>
          <w:szCs w:val="22"/>
          <w:lang w:val="en-GB"/>
        </w:rPr>
        <w:t xml:space="preserve">regions </w:t>
      </w:r>
      <w:r w:rsidR="006650AB" w:rsidRPr="0047168A">
        <w:rPr>
          <w:rFonts w:cs="Times New Roman"/>
          <w:color w:val="auto"/>
          <w:sz w:val="22"/>
          <w:szCs w:val="22"/>
          <w:lang w:val="en-GB"/>
        </w:rPr>
        <w:t>selected for startup were not necessarily those with the highest crime rates”.</w:t>
      </w:r>
      <w:r w:rsidR="006650AB" w:rsidRPr="0047168A">
        <w:rPr>
          <w:rStyle w:val="FootnoteReference"/>
          <w:rFonts w:cs="Times New Roman"/>
          <w:color w:val="auto"/>
          <w:sz w:val="22"/>
          <w:szCs w:val="22"/>
          <w:lang w:val="en-GB"/>
        </w:rPr>
        <w:footnoteReference w:id="10"/>
      </w:r>
    </w:p>
    <w:p w14:paraId="680CD9C6" w14:textId="57CBEEC7" w:rsidR="006650AB" w:rsidRPr="0047168A" w:rsidRDefault="00972C5F" w:rsidP="00C72434">
      <w:pPr>
        <w:spacing w:line="240" w:lineRule="auto"/>
        <w:jc w:val="both"/>
        <w:rPr>
          <w:rFonts w:cs="Times New Roman"/>
          <w:color w:val="auto"/>
          <w:sz w:val="22"/>
          <w:szCs w:val="22"/>
          <w:lang w:val="en-GB"/>
        </w:rPr>
      </w:pPr>
      <w:r>
        <w:rPr>
          <w:rFonts w:cs="Times New Roman"/>
          <w:color w:val="auto"/>
          <w:sz w:val="22"/>
          <w:szCs w:val="22"/>
          <w:lang w:val="en-GB"/>
        </w:rPr>
        <w:t>I</w:t>
      </w:r>
      <w:r w:rsidR="006650AB" w:rsidRPr="0047168A">
        <w:rPr>
          <w:rFonts w:cs="Times New Roman"/>
          <w:color w:val="auto"/>
          <w:sz w:val="22"/>
          <w:szCs w:val="22"/>
          <w:lang w:val="en-GB"/>
        </w:rPr>
        <w:t xml:space="preserve">t is not yet </w:t>
      </w:r>
      <w:r w:rsidR="00AD036F" w:rsidRPr="0047168A">
        <w:rPr>
          <w:rFonts w:cs="Times New Roman"/>
          <w:color w:val="auto"/>
          <w:sz w:val="22"/>
          <w:szCs w:val="22"/>
          <w:lang w:val="en-GB"/>
        </w:rPr>
        <w:t xml:space="preserve">known exactly how many of the </w:t>
      </w:r>
      <w:r w:rsidR="006650AB" w:rsidRPr="0047168A">
        <w:rPr>
          <w:rFonts w:cs="Times New Roman"/>
          <w:color w:val="auto"/>
          <w:sz w:val="22"/>
          <w:szCs w:val="22"/>
          <w:lang w:val="en-GB"/>
        </w:rPr>
        <w:t>members of the National Guard were</w:t>
      </w:r>
      <w:r w:rsidR="00D72FC3" w:rsidRPr="0047168A">
        <w:rPr>
          <w:rFonts w:cs="Times New Roman"/>
          <w:color w:val="auto"/>
          <w:sz w:val="22"/>
          <w:szCs w:val="22"/>
          <w:lang w:val="en-GB"/>
        </w:rPr>
        <w:t xml:space="preserve"> transferred directly from the Military and Naval P</w:t>
      </w:r>
      <w:r w:rsidR="006650AB" w:rsidRPr="0047168A">
        <w:rPr>
          <w:rFonts w:cs="Times New Roman"/>
          <w:color w:val="auto"/>
          <w:sz w:val="22"/>
          <w:szCs w:val="22"/>
          <w:lang w:val="en-GB"/>
        </w:rPr>
        <w:t xml:space="preserve">olice. </w:t>
      </w:r>
      <w:r w:rsidR="000438CF">
        <w:rPr>
          <w:rFonts w:cs="Times New Roman"/>
          <w:color w:val="auto"/>
          <w:sz w:val="22"/>
          <w:szCs w:val="22"/>
          <w:lang w:val="en-GB"/>
        </w:rPr>
        <w:t>The</w:t>
      </w:r>
      <w:r w:rsidR="006650AB" w:rsidRPr="0047168A">
        <w:rPr>
          <w:rFonts w:cs="Times New Roman"/>
          <w:color w:val="auto"/>
          <w:sz w:val="22"/>
          <w:szCs w:val="22"/>
          <w:lang w:val="en-GB"/>
        </w:rPr>
        <w:t xml:space="preserve"> Secretary of the Navy indicated that it is planned to</w:t>
      </w:r>
      <w:r w:rsidR="00AD036F" w:rsidRPr="0047168A">
        <w:rPr>
          <w:rFonts w:cs="Times New Roman"/>
          <w:color w:val="auto"/>
          <w:sz w:val="22"/>
          <w:szCs w:val="22"/>
          <w:lang w:val="en-GB"/>
        </w:rPr>
        <w:t xml:space="preserve"> transfer to the National</w:t>
      </w:r>
      <w:r w:rsidR="000438CF">
        <w:rPr>
          <w:rFonts w:cs="Times New Roman"/>
          <w:color w:val="auto"/>
          <w:sz w:val="22"/>
          <w:szCs w:val="22"/>
          <w:lang w:val="en-GB"/>
        </w:rPr>
        <w:t xml:space="preserve"> Guard</w:t>
      </w:r>
      <w:r w:rsidR="00AD036F" w:rsidRPr="0047168A">
        <w:rPr>
          <w:rFonts w:cs="Times New Roman"/>
          <w:color w:val="auto"/>
          <w:sz w:val="22"/>
          <w:szCs w:val="22"/>
          <w:lang w:val="en-GB"/>
        </w:rPr>
        <w:t xml:space="preserve"> all the </w:t>
      </w:r>
      <w:r w:rsidR="006650AB" w:rsidRPr="0047168A">
        <w:rPr>
          <w:rFonts w:cs="Times New Roman"/>
          <w:color w:val="auto"/>
          <w:sz w:val="22"/>
          <w:szCs w:val="22"/>
          <w:lang w:val="en-GB"/>
        </w:rPr>
        <w:t xml:space="preserve">6,288 </w:t>
      </w:r>
      <w:r w:rsidR="00AD036F" w:rsidRPr="0047168A">
        <w:rPr>
          <w:rFonts w:cs="Times New Roman"/>
          <w:color w:val="auto"/>
          <w:sz w:val="22"/>
          <w:szCs w:val="22"/>
          <w:lang w:val="en-GB"/>
        </w:rPr>
        <w:t>members of the</w:t>
      </w:r>
      <w:r w:rsidR="006650AB" w:rsidRPr="0047168A">
        <w:rPr>
          <w:rFonts w:cs="Times New Roman"/>
          <w:color w:val="auto"/>
          <w:sz w:val="22"/>
          <w:szCs w:val="22"/>
          <w:lang w:val="en-GB"/>
        </w:rPr>
        <w:t xml:space="preserve"> naval police. </w:t>
      </w:r>
      <w:r w:rsidR="00AD036F" w:rsidRPr="0047168A">
        <w:rPr>
          <w:rFonts w:cs="Times New Roman"/>
          <w:color w:val="auto"/>
          <w:sz w:val="22"/>
          <w:szCs w:val="22"/>
          <w:lang w:val="en-GB"/>
        </w:rPr>
        <w:t>T</w:t>
      </w:r>
      <w:r w:rsidR="006650AB" w:rsidRPr="0047168A">
        <w:rPr>
          <w:rFonts w:cs="Times New Roman"/>
          <w:color w:val="auto"/>
          <w:sz w:val="22"/>
          <w:szCs w:val="22"/>
          <w:lang w:val="en-GB"/>
        </w:rPr>
        <w:t>he Secretariat of National Defense said that information on the number of military police elements that will be incorporated into the National Guard was non-existent.</w:t>
      </w:r>
      <w:r w:rsidR="006650AB" w:rsidRPr="0047168A">
        <w:rPr>
          <w:rStyle w:val="FootnoteReference"/>
          <w:rFonts w:cs="Times New Roman"/>
          <w:color w:val="auto"/>
          <w:sz w:val="22"/>
          <w:szCs w:val="22"/>
          <w:lang w:val="en-GB"/>
        </w:rPr>
        <w:footnoteReference w:id="11"/>
      </w:r>
    </w:p>
    <w:p w14:paraId="614C81B8" w14:textId="15116C36" w:rsidR="006650AB" w:rsidRDefault="006650AB" w:rsidP="00C72434">
      <w:pPr>
        <w:spacing w:line="240" w:lineRule="auto"/>
        <w:jc w:val="both"/>
        <w:rPr>
          <w:rFonts w:cs="Times New Roman"/>
          <w:color w:val="auto"/>
          <w:sz w:val="22"/>
          <w:szCs w:val="22"/>
          <w:lang w:val="en-GB"/>
        </w:rPr>
      </w:pPr>
      <w:r w:rsidRPr="0047168A">
        <w:rPr>
          <w:rFonts w:cs="Times New Roman"/>
          <w:color w:val="auto"/>
          <w:sz w:val="22"/>
          <w:szCs w:val="22"/>
          <w:lang w:val="en-GB"/>
        </w:rPr>
        <w:t xml:space="preserve">In addition to the above, the rush with which the National Guard has begun operating has triggered protests by officials of the Federal Police of Mexico against the government's decision to incorporate them into the National Guard. </w:t>
      </w:r>
      <w:r w:rsidR="000438CF">
        <w:rPr>
          <w:rFonts w:cs="Times New Roman"/>
          <w:color w:val="auto"/>
          <w:sz w:val="22"/>
          <w:szCs w:val="22"/>
          <w:lang w:val="en-GB"/>
        </w:rPr>
        <w:lastRenderedPageBreak/>
        <w:t xml:space="preserve">Such protests are </w:t>
      </w:r>
      <w:r w:rsidRPr="0047168A">
        <w:rPr>
          <w:rFonts w:cs="Times New Roman"/>
          <w:color w:val="auto"/>
          <w:sz w:val="22"/>
          <w:szCs w:val="22"/>
          <w:lang w:val="en-GB"/>
        </w:rPr>
        <w:t xml:space="preserve">related </w:t>
      </w:r>
      <w:r w:rsidR="00AD036F" w:rsidRPr="0047168A">
        <w:rPr>
          <w:rFonts w:cs="Times New Roman"/>
          <w:color w:val="auto"/>
          <w:sz w:val="22"/>
          <w:szCs w:val="22"/>
          <w:lang w:val="en-GB"/>
        </w:rPr>
        <w:t>to</w:t>
      </w:r>
      <w:r w:rsidR="000438CF">
        <w:rPr>
          <w:rFonts w:cs="Times New Roman"/>
          <w:color w:val="auto"/>
          <w:sz w:val="22"/>
          <w:szCs w:val="22"/>
          <w:lang w:val="en-GB"/>
        </w:rPr>
        <w:t xml:space="preserve"> several concerns: reductions of </w:t>
      </w:r>
      <w:r w:rsidRPr="0047168A">
        <w:rPr>
          <w:rFonts w:cs="Times New Roman"/>
          <w:color w:val="auto"/>
          <w:sz w:val="22"/>
          <w:szCs w:val="22"/>
          <w:lang w:val="en-GB"/>
        </w:rPr>
        <w:t xml:space="preserve"> </w:t>
      </w:r>
      <w:r w:rsidR="000438CF">
        <w:rPr>
          <w:rFonts w:cs="Times New Roman"/>
          <w:color w:val="auto"/>
          <w:sz w:val="22"/>
          <w:szCs w:val="22"/>
          <w:lang w:val="en-GB"/>
        </w:rPr>
        <w:t>salaries</w:t>
      </w:r>
      <w:r w:rsidRPr="0047168A">
        <w:rPr>
          <w:rFonts w:cs="Times New Roman"/>
          <w:color w:val="auto"/>
          <w:sz w:val="22"/>
          <w:szCs w:val="22"/>
          <w:lang w:val="en-GB"/>
        </w:rPr>
        <w:t xml:space="preserve"> and benefits are </w:t>
      </w:r>
      <w:r w:rsidR="00AD036F" w:rsidRPr="0047168A">
        <w:rPr>
          <w:rFonts w:cs="Times New Roman"/>
          <w:color w:val="auto"/>
          <w:sz w:val="22"/>
          <w:szCs w:val="22"/>
          <w:lang w:val="en-GB"/>
        </w:rPr>
        <w:t xml:space="preserve">being </w:t>
      </w:r>
      <w:r w:rsidRPr="0047168A">
        <w:rPr>
          <w:rFonts w:cs="Times New Roman"/>
          <w:color w:val="auto"/>
          <w:sz w:val="22"/>
          <w:szCs w:val="22"/>
          <w:lang w:val="en-GB"/>
        </w:rPr>
        <w:t>reduced</w:t>
      </w:r>
      <w:r w:rsidR="000438CF">
        <w:rPr>
          <w:rFonts w:cs="Times New Roman"/>
          <w:color w:val="auto"/>
          <w:sz w:val="22"/>
          <w:szCs w:val="22"/>
          <w:lang w:val="en-GB"/>
        </w:rPr>
        <w:t xml:space="preserve">; fear of </w:t>
      </w:r>
      <w:r w:rsidRPr="0047168A">
        <w:rPr>
          <w:rFonts w:cs="Times New Roman"/>
          <w:color w:val="auto"/>
          <w:sz w:val="22"/>
          <w:szCs w:val="22"/>
          <w:lang w:val="en-GB"/>
        </w:rPr>
        <w:t>being fired if they refuse to be incor</w:t>
      </w:r>
      <w:r w:rsidR="000438CF">
        <w:rPr>
          <w:rFonts w:cs="Times New Roman"/>
          <w:color w:val="auto"/>
          <w:sz w:val="22"/>
          <w:szCs w:val="22"/>
          <w:lang w:val="en-GB"/>
        </w:rPr>
        <w:t xml:space="preserve">porated into the National Guard; </w:t>
      </w:r>
      <w:r w:rsidRPr="0047168A">
        <w:rPr>
          <w:rFonts w:cs="Times New Roman"/>
          <w:color w:val="auto"/>
          <w:sz w:val="22"/>
          <w:szCs w:val="22"/>
          <w:lang w:val="en-GB"/>
        </w:rPr>
        <w:t xml:space="preserve"> </w:t>
      </w:r>
      <w:r w:rsidR="000438CF">
        <w:rPr>
          <w:rFonts w:cs="Times New Roman"/>
          <w:color w:val="auto"/>
          <w:sz w:val="22"/>
          <w:szCs w:val="22"/>
          <w:lang w:val="en-GB"/>
        </w:rPr>
        <w:t xml:space="preserve">concerns </w:t>
      </w:r>
      <w:r w:rsidRPr="0047168A">
        <w:rPr>
          <w:rFonts w:cs="Times New Roman"/>
          <w:color w:val="auto"/>
          <w:sz w:val="22"/>
          <w:szCs w:val="22"/>
          <w:lang w:val="en-GB"/>
        </w:rPr>
        <w:t xml:space="preserve"> “about serving under the command of military personnel who do not understand the civilian police service”.</w:t>
      </w:r>
      <w:r w:rsidRPr="0047168A">
        <w:rPr>
          <w:rStyle w:val="FootnoteReference"/>
          <w:rFonts w:cs="Times New Roman"/>
          <w:color w:val="auto"/>
          <w:sz w:val="22"/>
          <w:szCs w:val="22"/>
          <w:lang w:val="en-GB"/>
        </w:rPr>
        <w:footnoteReference w:id="12"/>
      </w:r>
    </w:p>
    <w:p w14:paraId="2942F7D3" w14:textId="77777777" w:rsidR="000438CF" w:rsidRPr="0047168A" w:rsidRDefault="000438CF" w:rsidP="00C72434">
      <w:pPr>
        <w:spacing w:line="240" w:lineRule="auto"/>
        <w:jc w:val="both"/>
        <w:rPr>
          <w:rFonts w:cs="Times New Roman"/>
          <w:color w:val="auto"/>
          <w:sz w:val="22"/>
          <w:szCs w:val="22"/>
          <w:lang w:val="en-GB"/>
        </w:rPr>
      </w:pPr>
    </w:p>
    <w:p w14:paraId="4F19590B" w14:textId="77777777" w:rsidR="006930B3" w:rsidRPr="0047168A" w:rsidRDefault="006930B3" w:rsidP="006930B3">
      <w:pPr>
        <w:spacing w:line="240" w:lineRule="auto"/>
        <w:jc w:val="both"/>
        <w:rPr>
          <w:rFonts w:cs="Times New Roman"/>
          <w:i/>
          <w:color w:val="auto"/>
          <w:sz w:val="22"/>
          <w:szCs w:val="22"/>
          <w:lang w:val="en-GB"/>
        </w:rPr>
      </w:pPr>
      <w:r w:rsidRPr="0047168A">
        <w:rPr>
          <w:rFonts w:cs="Times New Roman"/>
          <w:i/>
          <w:color w:val="auto"/>
          <w:sz w:val="22"/>
          <w:szCs w:val="22"/>
          <w:lang w:val="en-GB"/>
        </w:rPr>
        <w:t>1.3. Intervention of other military bodies</w:t>
      </w:r>
    </w:p>
    <w:p w14:paraId="1A79D5BD" w14:textId="7C80662C" w:rsidR="006650AB" w:rsidRDefault="00DB2605" w:rsidP="00C72434">
      <w:pPr>
        <w:spacing w:line="240" w:lineRule="auto"/>
        <w:jc w:val="both"/>
        <w:rPr>
          <w:rFonts w:cs="Times New Roman"/>
          <w:color w:val="auto"/>
          <w:sz w:val="22"/>
          <w:szCs w:val="22"/>
          <w:lang w:val="en-GB"/>
        </w:rPr>
      </w:pPr>
      <w:r>
        <w:rPr>
          <w:rFonts w:cs="Times New Roman"/>
          <w:color w:val="auto"/>
          <w:sz w:val="22"/>
          <w:szCs w:val="22"/>
          <w:lang w:val="en-GB"/>
        </w:rPr>
        <w:t>A</w:t>
      </w:r>
      <w:r w:rsidR="006650AB" w:rsidRPr="0047168A">
        <w:rPr>
          <w:rFonts w:cs="Times New Roman"/>
          <w:color w:val="auto"/>
          <w:sz w:val="22"/>
          <w:szCs w:val="22"/>
          <w:lang w:val="en-GB"/>
        </w:rPr>
        <w:t>ccording to official data provided by SEDENA, 33,911 elements of the Army will continue to carry out public security work, without being incorporated into the National Guard.</w:t>
      </w:r>
      <w:r w:rsidR="006650AB" w:rsidRPr="0047168A">
        <w:rPr>
          <w:rStyle w:val="FootnoteReference"/>
          <w:rFonts w:cs="Times New Roman"/>
          <w:color w:val="auto"/>
          <w:sz w:val="22"/>
          <w:szCs w:val="22"/>
          <w:lang w:val="en-GB"/>
        </w:rPr>
        <w:footnoteReference w:id="13"/>
      </w:r>
      <w:r w:rsidR="006650AB" w:rsidRPr="0047168A">
        <w:rPr>
          <w:rFonts w:cs="Times New Roman"/>
          <w:color w:val="auto"/>
          <w:sz w:val="22"/>
          <w:szCs w:val="22"/>
          <w:lang w:val="en-GB"/>
        </w:rPr>
        <w:t xml:space="preserve"> </w:t>
      </w:r>
      <w:r w:rsidR="000438CF">
        <w:rPr>
          <w:rFonts w:cs="Times New Roman"/>
          <w:color w:val="auto"/>
          <w:sz w:val="22"/>
          <w:szCs w:val="22"/>
          <w:lang w:val="en-GB"/>
        </w:rPr>
        <w:t>Worryingly</w:t>
      </w:r>
      <w:r w:rsidR="00AD036F" w:rsidRPr="0047168A">
        <w:rPr>
          <w:rFonts w:cs="Times New Roman"/>
          <w:color w:val="auto"/>
          <w:sz w:val="22"/>
          <w:szCs w:val="22"/>
          <w:lang w:val="en-GB"/>
        </w:rPr>
        <w:t xml:space="preserve">, </w:t>
      </w:r>
      <w:r w:rsidR="006650AB" w:rsidRPr="0047168A">
        <w:rPr>
          <w:rFonts w:cs="Times New Roman"/>
          <w:color w:val="auto"/>
          <w:sz w:val="22"/>
          <w:szCs w:val="22"/>
          <w:lang w:val="en-GB"/>
        </w:rPr>
        <w:t>there is no regulatory framework to ensure that said Army deployed in the streets will meet the criteria of an extraordinary, subsidiary, complementary, supervised and regulated participation, as mandated by the</w:t>
      </w:r>
      <w:r w:rsidR="00AD036F" w:rsidRPr="0047168A">
        <w:rPr>
          <w:rFonts w:cs="Times New Roman"/>
          <w:color w:val="auto"/>
          <w:sz w:val="22"/>
          <w:szCs w:val="22"/>
          <w:lang w:val="en-GB"/>
        </w:rPr>
        <w:t xml:space="preserve"> Constitution</w:t>
      </w:r>
      <w:r w:rsidR="006650AB" w:rsidRPr="0047168A">
        <w:rPr>
          <w:rFonts w:cs="Times New Roman"/>
          <w:color w:val="auto"/>
          <w:sz w:val="22"/>
          <w:szCs w:val="22"/>
          <w:lang w:val="en-GB"/>
        </w:rPr>
        <w:t>.</w:t>
      </w:r>
    </w:p>
    <w:p w14:paraId="52B315B0" w14:textId="77777777" w:rsidR="000438CF" w:rsidRPr="0047168A" w:rsidRDefault="000438CF" w:rsidP="00C72434">
      <w:pPr>
        <w:spacing w:line="240" w:lineRule="auto"/>
        <w:jc w:val="both"/>
        <w:rPr>
          <w:rFonts w:cs="Times New Roman"/>
          <w:color w:val="auto"/>
          <w:sz w:val="22"/>
          <w:szCs w:val="22"/>
          <w:lang w:val="en-GB"/>
        </w:rPr>
      </w:pPr>
    </w:p>
    <w:p w14:paraId="36959D96" w14:textId="4F77E199" w:rsidR="006650AB" w:rsidRPr="0047168A" w:rsidRDefault="006930B3" w:rsidP="0047168A">
      <w:pPr>
        <w:spacing w:line="240" w:lineRule="auto"/>
        <w:jc w:val="both"/>
        <w:rPr>
          <w:rFonts w:cs="Times New Roman"/>
          <w:i/>
          <w:color w:val="auto"/>
          <w:sz w:val="22"/>
          <w:szCs w:val="22"/>
          <w:lang w:val="en-GB"/>
        </w:rPr>
      </w:pPr>
      <w:r w:rsidRPr="0047168A">
        <w:rPr>
          <w:rFonts w:cs="Times New Roman"/>
          <w:i/>
          <w:color w:val="auto"/>
          <w:sz w:val="22"/>
          <w:szCs w:val="22"/>
          <w:lang w:val="en-GB"/>
        </w:rPr>
        <w:t xml:space="preserve">1.4. </w:t>
      </w:r>
      <w:r w:rsidR="00783901" w:rsidRPr="0047168A">
        <w:rPr>
          <w:rFonts w:cs="Times New Roman"/>
          <w:i/>
          <w:color w:val="auto"/>
          <w:sz w:val="22"/>
          <w:szCs w:val="22"/>
          <w:lang w:val="en-GB"/>
        </w:rPr>
        <w:t>The result of militarization:</w:t>
      </w:r>
      <w:r w:rsidR="001174A4" w:rsidRPr="0047168A">
        <w:rPr>
          <w:rFonts w:cs="Times New Roman"/>
          <w:i/>
          <w:color w:val="auto"/>
          <w:sz w:val="22"/>
          <w:szCs w:val="22"/>
          <w:lang w:val="en-GB"/>
        </w:rPr>
        <w:t xml:space="preserve"> </w:t>
      </w:r>
      <w:r w:rsidR="00830619" w:rsidRPr="0047168A">
        <w:rPr>
          <w:rFonts w:cs="Times New Roman"/>
          <w:i/>
          <w:color w:val="auto"/>
          <w:sz w:val="22"/>
          <w:szCs w:val="22"/>
          <w:lang w:val="en-GB"/>
        </w:rPr>
        <w:t xml:space="preserve">disproportionate </w:t>
      </w:r>
      <w:r w:rsidR="006650AB" w:rsidRPr="0047168A">
        <w:rPr>
          <w:rFonts w:cs="Times New Roman"/>
          <w:i/>
          <w:color w:val="auto"/>
          <w:sz w:val="22"/>
          <w:szCs w:val="22"/>
          <w:lang w:val="en-GB"/>
        </w:rPr>
        <w:t>violence and opacity</w:t>
      </w:r>
    </w:p>
    <w:p w14:paraId="24CB5637" w14:textId="77777777" w:rsidR="00783901" w:rsidRPr="0047168A" w:rsidRDefault="00830619" w:rsidP="0047168A">
      <w:pPr>
        <w:spacing w:line="240" w:lineRule="auto"/>
        <w:ind w:firstLine="720"/>
        <w:jc w:val="both"/>
        <w:rPr>
          <w:rFonts w:cs="Times New Roman"/>
          <w:i/>
          <w:color w:val="auto"/>
          <w:sz w:val="22"/>
          <w:szCs w:val="22"/>
          <w:lang w:val="en-GB"/>
        </w:rPr>
      </w:pPr>
      <w:r w:rsidRPr="0047168A">
        <w:rPr>
          <w:rFonts w:cs="Times New Roman"/>
          <w:i/>
          <w:color w:val="auto"/>
          <w:sz w:val="22"/>
          <w:szCs w:val="22"/>
          <w:lang w:val="en-GB"/>
        </w:rPr>
        <w:t>1.4.1. Disproportionate v</w:t>
      </w:r>
      <w:r w:rsidR="00783901" w:rsidRPr="0047168A">
        <w:rPr>
          <w:rFonts w:cs="Times New Roman"/>
          <w:i/>
          <w:color w:val="auto"/>
          <w:sz w:val="22"/>
          <w:szCs w:val="22"/>
          <w:lang w:val="en-GB"/>
        </w:rPr>
        <w:t>iolence</w:t>
      </w:r>
    </w:p>
    <w:p w14:paraId="27B743D7" w14:textId="5D67E8AC" w:rsidR="006650AB" w:rsidRPr="0047168A" w:rsidRDefault="00AD036F" w:rsidP="00C72434">
      <w:pPr>
        <w:spacing w:line="240" w:lineRule="auto"/>
        <w:jc w:val="both"/>
        <w:rPr>
          <w:rFonts w:cs="Times New Roman"/>
          <w:color w:val="auto"/>
          <w:sz w:val="22"/>
          <w:szCs w:val="22"/>
          <w:lang w:val="en-GB"/>
        </w:rPr>
      </w:pPr>
      <w:r w:rsidRPr="0047168A">
        <w:rPr>
          <w:rFonts w:cs="Times New Roman"/>
          <w:color w:val="auto"/>
          <w:sz w:val="22"/>
          <w:szCs w:val="22"/>
          <w:lang w:val="en-GB"/>
        </w:rPr>
        <w:t xml:space="preserve">The </w:t>
      </w:r>
      <w:r w:rsidR="00DB2605">
        <w:rPr>
          <w:rFonts w:cs="Times New Roman"/>
          <w:color w:val="auto"/>
          <w:sz w:val="22"/>
          <w:szCs w:val="22"/>
          <w:lang w:val="en-GB"/>
        </w:rPr>
        <w:t>perpetuation</w:t>
      </w:r>
      <w:r w:rsidRPr="0047168A">
        <w:rPr>
          <w:rFonts w:cs="Times New Roman"/>
          <w:color w:val="auto"/>
          <w:sz w:val="22"/>
          <w:szCs w:val="22"/>
          <w:lang w:val="en-GB"/>
        </w:rPr>
        <w:t xml:space="preserve"> of this</w:t>
      </w:r>
      <w:r w:rsidR="00DB2605">
        <w:rPr>
          <w:rFonts w:cs="Times New Roman"/>
          <w:color w:val="auto"/>
          <w:sz w:val="22"/>
          <w:szCs w:val="22"/>
          <w:lang w:val="en-GB"/>
        </w:rPr>
        <w:t xml:space="preserve"> militarisation</w:t>
      </w:r>
      <w:r w:rsidRPr="0047168A">
        <w:rPr>
          <w:rFonts w:cs="Times New Roman"/>
          <w:color w:val="auto"/>
          <w:sz w:val="22"/>
          <w:szCs w:val="22"/>
          <w:lang w:val="en-GB"/>
        </w:rPr>
        <w:t xml:space="preserve"> strategy </w:t>
      </w:r>
      <w:r w:rsidR="006650AB" w:rsidRPr="0047168A">
        <w:rPr>
          <w:rFonts w:cs="Times New Roman"/>
          <w:color w:val="auto"/>
          <w:sz w:val="22"/>
          <w:szCs w:val="22"/>
          <w:lang w:val="en-GB"/>
        </w:rPr>
        <w:t xml:space="preserve">ignores the </w:t>
      </w:r>
      <w:r w:rsidRPr="0047168A">
        <w:rPr>
          <w:rFonts w:cs="Times New Roman"/>
          <w:color w:val="auto"/>
          <w:sz w:val="22"/>
          <w:szCs w:val="22"/>
          <w:lang w:val="en-GB"/>
        </w:rPr>
        <w:t>evidence</w:t>
      </w:r>
      <w:r w:rsidR="000438CF">
        <w:rPr>
          <w:rFonts w:cs="Times New Roman"/>
          <w:color w:val="auto"/>
          <w:sz w:val="22"/>
          <w:szCs w:val="22"/>
          <w:lang w:val="en-GB"/>
        </w:rPr>
        <w:t xml:space="preserve"> </w:t>
      </w:r>
      <w:r w:rsidRPr="0047168A">
        <w:rPr>
          <w:rFonts w:cs="Times New Roman"/>
          <w:color w:val="auto"/>
          <w:sz w:val="22"/>
          <w:szCs w:val="22"/>
          <w:lang w:val="en-GB"/>
        </w:rPr>
        <w:t>on the role of armed forces in public security tasks and its consequences</w:t>
      </w:r>
      <w:r w:rsidR="000438CF">
        <w:rPr>
          <w:rFonts w:cs="Times New Roman"/>
          <w:color w:val="auto"/>
          <w:sz w:val="22"/>
          <w:szCs w:val="22"/>
          <w:lang w:val="en-GB"/>
        </w:rPr>
        <w:t>, and the</w:t>
      </w:r>
      <w:r w:rsidR="006650AB" w:rsidRPr="0047168A">
        <w:rPr>
          <w:rFonts w:cs="Times New Roman"/>
          <w:color w:val="auto"/>
          <w:sz w:val="22"/>
          <w:szCs w:val="22"/>
          <w:lang w:val="en-GB"/>
        </w:rPr>
        <w:t xml:space="preserve"> geographical correlation between</w:t>
      </w:r>
      <w:r w:rsidR="00DB2605">
        <w:rPr>
          <w:rFonts w:cs="Times New Roman"/>
          <w:color w:val="auto"/>
          <w:sz w:val="22"/>
          <w:szCs w:val="22"/>
          <w:lang w:val="en-GB"/>
        </w:rPr>
        <w:t xml:space="preserve"> militarisation and </w:t>
      </w:r>
      <w:r w:rsidR="006650AB" w:rsidRPr="0047168A">
        <w:rPr>
          <w:rFonts w:cs="Times New Roman"/>
          <w:color w:val="auto"/>
          <w:sz w:val="22"/>
          <w:szCs w:val="22"/>
          <w:lang w:val="en-GB"/>
        </w:rPr>
        <w:t xml:space="preserve"> outbreaks of violence in the country</w:t>
      </w:r>
      <w:r w:rsidR="00DB2605">
        <w:rPr>
          <w:rFonts w:cs="Times New Roman"/>
          <w:color w:val="auto"/>
          <w:sz w:val="22"/>
          <w:szCs w:val="22"/>
          <w:lang w:val="en-GB"/>
        </w:rPr>
        <w:t>:</w:t>
      </w:r>
      <w:r w:rsidR="006650AB" w:rsidRPr="0047168A">
        <w:rPr>
          <w:rStyle w:val="FootnoteReference"/>
          <w:rFonts w:cs="Times New Roman"/>
          <w:color w:val="auto"/>
          <w:sz w:val="22"/>
          <w:szCs w:val="22"/>
          <w:lang w:val="en-GB"/>
        </w:rPr>
        <w:footnoteReference w:id="14"/>
      </w:r>
      <w:r w:rsidR="006650AB" w:rsidRPr="0047168A">
        <w:rPr>
          <w:rFonts w:cs="Times New Roman"/>
          <w:color w:val="auto"/>
          <w:sz w:val="22"/>
          <w:szCs w:val="22"/>
          <w:lang w:val="en-GB"/>
        </w:rPr>
        <w:t xml:space="preserve"> </w:t>
      </w:r>
      <w:r w:rsidR="000438CF">
        <w:rPr>
          <w:rFonts w:cs="Times New Roman"/>
          <w:color w:val="auto"/>
          <w:sz w:val="22"/>
          <w:szCs w:val="22"/>
          <w:lang w:val="en-GB"/>
        </w:rPr>
        <w:t>e</w:t>
      </w:r>
      <w:r w:rsidRPr="0047168A">
        <w:rPr>
          <w:rFonts w:cs="Times New Roman"/>
          <w:color w:val="auto"/>
          <w:sz w:val="22"/>
          <w:szCs w:val="22"/>
          <w:lang w:val="en-GB"/>
        </w:rPr>
        <w:t>vidence show</w:t>
      </w:r>
      <w:r w:rsidR="006930B3" w:rsidRPr="0047168A">
        <w:rPr>
          <w:rFonts w:cs="Times New Roman"/>
          <w:color w:val="auto"/>
          <w:sz w:val="22"/>
          <w:szCs w:val="22"/>
          <w:lang w:val="en-GB"/>
        </w:rPr>
        <w:t>s</w:t>
      </w:r>
      <w:r w:rsidR="006650AB" w:rsidRPr="0047168A">
        <w:rPr>
          <w:rFonts w:cs="Times New Roman"/>
          <w:color w:val="auto"/>
          <w:sz w:val="22"/>
          <w:szCs w:val="22"/>
          <w:lang w:val="en-GB"/>
        </w:rPr>
        <w:t xml:space="preserve"> that violence is much greater in municipalities where clashes between security forces and criminal organizations were registered, than in those where there were no confrontations</w:t>
      </w:r>
      <w:r w:rsidR="00DB2605">
        <w:rPr>
          <w:rFonts w:cs="Times New Roman"/>
          <w:color w:val="auto"/>
          <w:sz w:val="22"/>
          <w:szCs w:val="22"/>
          <w:lang w:val="en-GB"/>
        </w:rPr>
        <w:t>.</w:t>
      </w:r>
      <w:r w:rsidR="00733754">
        <w:rPr>
          <w:rFonts w:cs="Times New Roman"/>
          <w:color w:val="auto"/>
          <w:sz w:val="22"/>
          <w:szCs w:val="22"/>
          <w:lang w:val="en-GB"/>
        </w:rPr>
        <w:t xml:space="preserve"> </w:t>
      </w:r>
      <w:r w:rsidR="00DB2605">
        <w:rPr>
          <w:rFonts w:cs="Times New Roman"/>
          <w:color w:val="auto"/>
          <w:sz w:val="22"/>
          <w:szCs w:val="22"/>
          <w:lang w:val="en-GB"/>
        </w:rPr>
        <w:t>O</w:t>
      </w:r>
      <w:r w:rsidR="006650AB" w:rsidRPr="0047168A">
        <w:rPr>
          <w:rFonts w:cs="Times New Roman"/>
          <w:color w:val="auto"/>
          <w:sz w:val="22"/>
          <w:szCs w:val="22"/>
          <w:lang w:val="en-GB"/>
        </w:rPr>
        <w:t>n average, the increase in homicides was 6% whe</w:t>
      </w:r>
      <w:r w:rsidR="000438CF">
        <w:rPr>
          <w:rFonts w:cs="Times New Roman"/>
          <w:color w:val="auto"/>
          <w:sz w:val="22"/>
          <w:szCs w:val="22"/>
          <w:lang w:val="en-GB"/>
        </w:rPr>
        <w:t>re confrontations were present</w:t>
      </w:r>
      <w:r w:rsidR="006650AB" w:rsidRPr="0047168A">
        <w:rPr>
          <w:rFonts w:cs="Times New Roman"/>
          <w:color w:val="auto"/>
          <w:sz w:val="22"/>
          <w:szCs w:val="22"/>
          <w:lang w:val="en-GB"/>
        </w:rPr>
        <w:t xml:space="preserve">, while the increase was up to 8% in case of participation of elements of the Armed Forces and up to 9% </w:t>
      </w:r>
      <w:r w:rsidR="00920C9D" w:rsidRPr="0047168A">
        <w:rPr>
          <w:rFonts w:cs="Times New Roman"/>
          <w:color w:val="auto"/>
          <w:sz w:val="22"/>
          <w:szCs w:val="22"/>
          <w:lang w:val="en-GB"/>
        </w:rPr>
        <w:t xml:space="preserve">when </w:t>
      </w:r>
      <w:r w:rsidR="006650AB" w:rsidRPr="0047168A">
        <w:rPr>
          <w:rFonts w:cs="Times New Roman"/>
          <w:color w:val="auto"/>
          <w:sz w:val="22"/>
          <w:szCs w:val="22"/>
          <w:lang w:val="en-GB"/>
        </w:rPr>
        <w:t xml:space="preserve">members of SEDENA </w:t>
      </w:r>
      <w:r w:rsidR="008D6BDB" w:rsidRPr="0047168A">
        <w:rPr>
          <w:rFonts w:cs="Times New Roman"/>
          <w:color w:val="auto"/>
          <w:sz w:val="22"/>
          <w:szCs w:val="22"/>
          <w:lang w:val="en-GB"/>
        </w:rPr>
        <w:t>were involved</w:t>
      </w:r>
      <w:r w:rsidR="006650AB" w:rsidRPr="0047168A">
        <w:rPr>
          <w:rFonts w:cs="Times New Roman"/>
          <w:color w:val="auto"/>
          <w:sz w:val="22"/>
          <w:szCs w:val="22"/>
          <w:lang w:val="en-GB"/>
        </w:rPr>
        <w:t>.</w:t>
      </w:r>
      <w:r w:rsidR="006650AB" w:rsidRPr="0047168A">
        <w:rPr>
          <w:rStyle w:val="FootnoteReference"/>
          <w:rFonts w:cs="Times New Roman"/>
          <w:color w:val="auto"/>
          <w:sz w:val="22"/>
          <w:szCs w:val="22"/>
          <w:lang w:val="en-GB"/>
        </w:rPr>
        <w:footnoteReference w:id="15"/>
      </w:r>
    </w:p>
    <w:p w14:paraId="3CB24A00" w14:textId="7E13FB70" w:rsidR="006650AB" w:rsidRPr="0047168A" w:rsidRDefault="006650AB" w:rsidP="00C72434">
      <w:pPr>
        <w:spacing w:line="240" w:lineRule="auto"/>
        <w:jc w:val="both"/>
        <w:rPr>
          <w:rFonts w:cs="Times New Roman"/>
          <w:color w:val="auto"/>
          <w:sz w:val="22"/>
          <w:szCs w:val="22"/>
          <w:lang w:val="en-GB"/>
        </w:rPr>
      </w:pPr>
      <w:r w:rsidRPr="0047168A">
        <w:rPr>
          <w:rFonts w:cs="Times New Roman"/>
          <w:color w:val="auto"/>
          <w:sz w:val="22"/>
          <w:szCs w:val="22"/>
          <w:lang w:val="en-GB"/>
        </w:rPr>
        <w:t>Likewise, a considerable increase in the use of lethal force by the Army</w:t>
      </w:r>
      <w:r w:rsidR="000438CF">
        <w:rPr>
          <w:rFonts w:cs="Times New Roman"/>
          <w:color w:val="auto"/>
          <w:sz w:val="22"/>
          <w:szCs w:val="22"/>
          <w:lang w:val="en-GB"/>
        </w:rPr>
        <w:t>,</w:t>
      </w:r>
      <w:r w:rsidRPr="0047168A">
        <w:rPr>
          <w:rFonts w:cs="Times New Roman"/>
          <w:color w:val="auto"/>
          <w:sz w:val="22"/>
          <w:szCs w:val="22"/>
          <w:lang w:val="en-GB"/>
        </w:rPr>
        <w:t xml:space="preserve"> the Navy</w:t>
      </w:r>
      <w:r w:rsidR="000438CF">
        <w:rPr>
          <w:rFonts w:cs="Times New Roman"/>
          <w:color w:val="auto"/>
          <w:sz w:val="22"/>
          <w:szCs w:val="22"/>
          <w:lang w:val="en-GB"/>
        </w:rPr>
        <w:t>,</w:t>
      </w:r>
      <w:r w:rsidRPr="0047168A">
        <w:rPr>
          <w:rFonts w:cs="Times New Roman"/>
          <w:color w:val="auto"/>
          <w:sz w:val="22"/>
          <w:szCs w:val="22"/>
          <w:lang w:val="en-GB"/>
        </w:rPr>
        <w:t xml:space="preserve"> and the Federal Police </w:t>
      </w:r>
      <w:r w:rsidR="008D6BDB" w:rsidRPr="0047168A">
        <w:rPr>
          <w:rFonts w:cs="Times New Roman"/>
          <w:color w:val="auto"/>
          <w:sz w:val="22"/>
          <w:szCs w:val="22"/>
          <w:lang w:val="en-GB"/>
        </w:rPr>
        <w:t xml:space="preserve">was </w:t>
      </w:r>
      <w:r w:rsidR="00DB2605">
        <w:rPr>
          <w:rFonts w:cs="Times New Roman"/>
          <w:color w:val="auto"/>
          <w:sz w:val="22"/>
          <w:szCs w:val="22"/>
          <w:lang w:val="en-GB"/>
        </w:rPr>
        <w:t>recorded</w:t>
      </w:r>
      <w:r w:rsidR="008D6BDB" w:rsidRPr="0047168A">
        <w:rPr>
          <w:rFonts w:cs="Times New Roman"/>
          <w:color w:val="auto"/>
          <w:sz w:val="22"/>
          <w:szCs w:val="22"/>
          <w:lang w:val="en-GB"/>
        </w:rPr>
        <w:t xml:space="preserve"> </w:t>
      </w:r>
      <w:r w:rsidR="00DB2605">
        <w:rPr>
          <w:rFonts w:cs="Times New Roman"/>
          <w:color w:val="auto"/>
          <w:sz w:val="22"/>
          <w:szCs w:val="22"/>
          <w:lang w:val="en-GB"/>
        </w:rPr>
        <w:t>in</w:t>
      </w:r>
      <w:r w:rsidR="00DB2605" w:rsidRPr="0047168A">
        <w:rPr>
          <w:rFonts w:cs="Times New Roman"/>
          <w:color w:val="auto"/>
          <w:sz w:val="22"/>
          <w:szCs w:val="22"/>
          <w:lang w:val="en-GB"/>
        </w:rPr>
        <w:t xml:space="preserve"> </w:t>
      </w:r>
      <w:r w:rsidR="008D6BDB" w:rsidRPr="0047168A">
        <w:rPr>
          <w:rFonts w:cs="Times New Roman"/>
          <w:color w:val="auto"/>
          <w:sz w:val="22"/>
          <w:szCs w:val="22"/>
          <w:lang w:val="en-GB"/>
        </w:rPr>
        <w:t>the last years</w:t>
      </w:r>
      <w:r w:rsidRPr="0047168A">
        <w:rPr>
          <w:rFonts w:cs="Times New Roman"/>
          <w:color w:val="auto"/>
          <w:sz w:val="22"/>
          <w:szCs w:val="22"/>
          <w:lang w:val="en-GB"/>
        </w:rPr>
        <w:t>.</w:t>
      </w:r>
      <w:r w:rsidRPr="0047168A">
        <w:rPr>
          <w:rStyle w:val="FootnoteReference"/>
          <w:rFonts w:cs="Times New Roman"/>
          <w:color w:val="auto"/>
          <w:sz w:val="22"/>
          <w:szCs w:val="22"/>
          <w:lang w:val="en-GB"/>
        </w:rPr>
        <w:footnoteReference w:id="16"/>
      </w:r>
    </w:p>
    <w:p w14:paraId="1ECDB300" w14:textId="61348B28" w:rsidR="006650AB" w:rsidRPr="0047168A" w:rsidRDefault="000438CF" w:rsidP="00C72434">
      <w:pPr>
        <w:spacing w:line="240" w:lineRule="auto"/>
        <w:jc w:val="both"/>
        <w:rPr>
          <w:rFonts w:cs="Times New Roman"/>
          <w:color w:val="auto"/>
          <w:sz w:val="22"/>
          <w:szCs w:val="22"/>
          <w:lang w:val="en-GB"/>
        </w:rPr>
      </w:pPr>
      <w:r>
        <w:rPr>
          <w:rFonts w:cs="Times New Roman"/>
          <w:color w:val="auto"/>
          <w:sz w:val="22"/>
          <w:szCs w:val="22"/>
          <w:lang w:val="en-GB"/>
        </w:rPr>
        <w:t>S</w:t>
      </w:r>
      <w:r w:rsidR="006650AB" w:rsidRPr="0047168A">
        <w:rPr>
          <w:rFonts w:cs="Times New Roman"/>
          <w:color w:val="auto"/>
          <w:sz w:val="22"/>
          <w:szCs w:val="22"/>
          <w:lang w:val="en-GB"/>
        </w:rPr>
        <w:t>ince 2007, the National Human Rights Commission (Comisión Nacional de Derechos Humanos -CNDH) has received more than 10,000 complaints of human rights violations committed by members of the Ar</w:t>
      </w:r>
      <w:r w:rsidR="008D6BDB" w:rsidRPr="0047168A">
        <w:rPr>
          <w:rFonts w:cs="Times New Roman"/>
          <w:color w:val="auto"/>
          <w:sz w:val="22"/>
          <w:szCs w:val="22"/>
          <w:lang w:val="en-GB"/>
        </w:rPr>
        <w:t>my. Consequently, f</w:t>
      </w:r>
      <w:r w:rsidR="006650AB" w:rsidRPr="0047168A">
        <w:rPr>
          <w:rFonts w:cs="Times New Roman"/>
          <w:color w:val="auto"/>
          <w:sz w:val="22"/>
          <w:szCs w:val="22"/>
          <w:lang w:val="en-GB"/>
        </w:rPr>
        <w:t xml:space="preserve">rom 2007 to June 2017 this body has issued 148 recommendations </w:t>
      </w:r>
      <w:r w:rsidR="008D6BDB" w:rsidRPr="0047168A">
        <w:rPr>
          <w:rFonts w:cs="Times New Roman"/>
          <w:color w:val="auto"/>
          <w:sz w:val="22"/>
          <w:szCs w:val="22"/>
          <w:lang w:val="en-GB"/>
        </w:rPr>
        <w:t xml:space="preserve">linked to </w:t>
      </w:r>
      <w:r w:rsidR="006650AB" w:rsidRPr="0047168A">
        <w:rPr>
          <w:rFonts w:cs="Times New Roman"/>
          <w:color w:val="auto"/>
          <w:sz w:val="22"/>
          <w:szCs w:val="22"/>
          <w:lang w:val="en-GB"/>
        </w:rPr>
        <w:lastRenderedPageBreak/>
        <w:t xml:space="preserve">armed forces serious violations of human rights, such as torture, forced disappearance, extrajudicial executions and illegal use of force, </w:t>
      </w:r>
      <w:r w:rsidR="008D6BDB" w:rsidRPr="0047168A">
        <w:rPr>
          <w:rFonts w:cs="Times New Roman"/>
          <w:color w:val="auto"/>
          <w:sz w:val="22"/>
          <w:szCs w:val="22"/>
          <w:lang w:val="en-GB"/>
        </w:rPr>
        <w:t>and</w:t>
      </w:r>
      <w:r w:rsidR="006650AB" w:rsidRPr="0047168A">
        <w:rPr>
          <w:rFonts w:cs="Times New Roman"/>
          <w:color w:val="auto"/>
          <w:sz w:val="22"/>
          <w:szCs w:val="22"/>
          <w:lang w:val="en-GB"/>
        </w:rPr>
        <w:t xml:space="preserve"> others.</w:t>
      </w:r>
      <w:r w:rsidR="006650AB" w:rsidRPr="0047168A">
        <w:rPr>
          <w:rStyle w:val="FootnoteReference"/>
          <w:rFonts w:cs="Times New Roman"/>
          <w:color w:val="auto"/>
          <w:sz w:val="22"/>
          <w:szCs w:val="22"/>
          <w:lang w:val="en-GB"/>
        </w:rPr>
        <w:footnoteReference w:id="17"/>
      </w:r>
    </w:p>
    <w:p w14:paraId="5458C809" w14:textId="475C82DC" w:rsidR="00783901" w:rsidRPr="0047168A" w:rsidRDefault="00783901" w:rsidP="0047168A">
      <w:pPr>
        <w:spacing w:line="240" w:lineRule="auto"/>
        <w:ind w:firstLine="720"/>
        <w:jc w:val="both"/>
        <w:rPr>
          <w:rFonts w:cs="Times New Roman"/>
          <w:i/>
          <w:color w:val="auto"/>
          <w:sz w:val="22"/>
          <w:szCs w:val="22"/>
          <w:lang w:val="en-GB"/>
        </w:rPr>
      </w:pPr>
      <w:r w:rsidRPr="0047168A">
        <w:rPr>
          <w:rFonts w:cs="Times New Roman"/>
          <w:i/>
          <w:color w:val="auto"/>
          <w:sz w:val="22"/>
          <w:szCs w:val="22"/>
          <w:lang w:val="en-GB"/>
        </w:rPr>
        <w:t>1.4.2. Lack of transparency</w:t>
      </w:r>
      <w:r w:rsidR="00DB2605">
        <w:rPr>
          <w:rFonts w:cs="Times New Roman"/>
          <w:i/>
          <w:color w:val="auto"/>
          <w:sz w:val="22"/>
          <w:szCs w:val="22"/>
          <w:lang w:val="en-GB"/>
        </w:rPr>
        <w:t xml:space="preserve"> and impunity</w:t>
      </w:r>
    </w:p>
    <w:p w14:paraId="6CFEF495" w14:textId="025DFE53" w:rsidR="006650AB" w:rsidRPr="0047168A" w:rsidRDefault="00DB2605" w:rsidP="00C72434">
      <w:pPr>
        <w:spacing w:line="240" w:lineRule="auto"/>
        <w:jc w:val="both"/>
        <w:rPr>
          <w:rFonts w:cs="Times New Roman"/>
          <w:color w:val="auto"/>
          <w:sz w:val="22"/>
          <w:szCs w:val="22"/>
          <w:lang w:val="en-GB"/>
        </w:rPr>
      </w:pPr>
      <w:r>
        <w:rPr>
          <w:rFonts w:cs="Times New Roman"/>
          <w:color w:val="auto"/>
          <w:sz w:val="22"/>
          <w:szCs w:val="22"/>
          <w:lang w:val="en-GB"/>
        </w:rPr>
        <w:t>I</w:t>
      </w:r>
      <w:r w:rsidR="006650AB" w:rsidRPr="0047168A">
        <w:rPr>
          <w:rFonts w:cs="Times New Roman"/>
          <w:color w:val="auto"/>
          <w:sz w:val="22"/>
          <w:szCs w:val="22"/>
          <w:lang w:val="en-GB"/>
        </w:rPr>
        <w:t xml:space="preserve">t is extremely serious that the lethality of the use of force is currently </w:t>
      </w:r>
      <w:r>
        <w:rPr>
          <w:rFonts w:cs="Times New Roman"/>
          <w:color w:val="auto"/>
          <w:sz w:val="22"/>
          <w:szCs w:val="22"/>
          <w:lang w:val="en-GB"/>
        </w:rPr>
        <w:t>characterised by</w:t>
      </w:r>
      <w:r w:rsidR="000438CF">
        <w:rPr>
          <w:rFonts w:cs="Times New Roman"/>
          <w:color w:val="auto"/>
          <w:sz w:val="22"/>
          <w:szCs w:val="22"/>
          <w:lang w:val="en-GB"/>
        </w:rPr>
        <w:t xml:space="preserve"> a</w:t>
      </w:r>
      <w:r>
        <w:rPr>
          <w:rFonts w:cs="Times New Roman"/>
          <w:color w:val="auto"/>
          <w:sz w:val="22"/>
          <w:szCs w:val="22"/>
          <w:lang w:val="en-GB"/>
        </w:rPr>
        <w:t xml:space="preserve"> lack of trans</w:t>
      </w:r>
      <w:r w:rsidR="000438CF">
        <w:rPr>
          <w:rFonts w:cs="Times New Roman"/>
          <w:color w:val="auto"/>
          <w:sz w:val="22"/>
          <w:szCs w:val="22"/>
          <w:lang w:val="en-GB"/>
        </w:rPr>
        <w:t>p</w:t>
      </w:r>
      <w:r>
        <w:rPr>
          <w:rFonts w:cs="Times New Roman"/>
          <w:color w:val="auto"/>
          <w:sz w:val="22"/>
          <w:szCs w:val="22"/>
          <w:lang w:val="en-GB"/>
        </w:rPr>
        <w:t>arency</w:t>
      </w:r>
      <w:r w:rsidR="006650AB" w:rsidRPr="0047168A">
        <w:rPr>
          <w:rFonts w:cs="Times New Roman"/>
          <w:color w:val="auto"/>
          <w:sz w:val="22"/>
          <w:szCs w:val="22"/>
          <w:lang w:val="en-GB"/>
        </w:rPr>
        <w:t xml:space="preserve"> that reduces accountability. In 2014, the Army stopped reporting information on the number of civilians killed </w:t>
      </w:r>
      <w:r w:rsidR="008D6BDB" w:rsidRPr="0047168A">
        <w:rPr>
          <w:rFonts w:cs="Times New Roman"/>
          <w:color w:val="auto"/>
          <w:sz w:val="22"/>
          <w:szCs w:val="22"/>
          <w:lang w:val="en-GB"/>
        </w:rPr>
        <w:t xml:space="preserve">during episodes of confrontation. It </w:t>
      </w:r>
      <w:r>
        <w:rPr>
          <w:rFonts w:cs="Times New Roman"/>
          <w:color w:val="auto"/>
          <w:sz w:val="22"/>
          <w:szCs w:val="22"/>
          <w:lang w:val="en-GB"/>
        </w:rPr>
        <w:t>is</w:t>
      </w:r>
      <w:r w:rsidRPr="0047168A">
        <w:rPr>
          <w:rFonts w:cs="Times New Roman"/>
          <w:color w:val="auto"/>
          <w:sz w:val="22"/>
          <w:szCs w:val="22"/>
          <w:lang w:val="en-GB"/>
        </w:rPr>
        <w:t xml:space="preserve"> </w:t>
      </w:r>
      <w:r w:rsidR="006650AB" w:rsidRPr="0047168A">
        <w:rPr>
          <w:rFonts w:cs="Times New Roman"/>
          <w:color w:val="auto"/>
          <w:sz w:val="22"/>
          <w:szCs w:val="22"/>
          <w:lang w:val="en-GB"/>
        </w:rPr>
        <w:t xml:space="preserve">almost impossible to </w:t>
      </w:r>
      <w:r w:rsidR="008D6BDB" w:rsidRPr="0047168A">
        <w:rPr>
          <w:rFonts w:cs="Times New Roman"/>
          <w:color w:val="auto"/>
          <w:sz w:val="22"/>
          <w:szCs w:val="22"/>
          <w:lang w:val="en-GB"/>
        </w:rPr>
        <w:t xml:space="preserve">obtain this data and </w:t>
      </w:r>
      <w:r w:rsidR="006650AB" w:rsidRPr="0047168A">
        <w:rPr>
          <w:rFonts w:cs="Times New Roman"/>
          <w:color w:val="auto"/>
          <w:sz w:val="22"/>
          <w:szCs w:val="22"/>
          <w:lang w:val="en-GB"/>
        </w:rPr>
        <w:t xml:space="preserve">use </w:t>
      </w:r>
      <w:r w:rsidR="008D6BDB" w:rsidRPr="0047168A">
        <w:rPr>
          <w:rFonts w:cs="Times New Roman"/>
          <w:color w:val="auto"/>
          <w:sz w:val="22"/>
          <w:szCs w:val="22"/>
          <w:lang w:val="en-GB"/>
        </w:rPr>
        <w:t xml:space="preserve">it </w:t>
      </w:r>
      <w:r w:rsidR="006650AB" w:rsidRPr="0047168A">
        <w:rPr>
          <w:rFonts w:cs="Times New Roman"/>
          <w:color w:val="auto"/>
          <w:sz w:val="22"/>
          <w:szCs w:val="22"/>
          <w:lang w:val="en-GB"/>
        </w:rPr>
        <w:t>to measure the use of lethal force.</w:t>
      </w:r>
      <w:r w:rsidR="006650AB" w:rsidRPr="0047168A">
        <w:rPr>
          <w:rStyle w:val="FootnoteReference"/>
          <w:rFonts w:cs="Times New Roman"/>
          <w:color w:val="auto"/>
          <w:sz w:val="22"/>
          <w:szCs w:val="22"/>
          <w:lang w:val="en-GB"/>
        </w:rPr>
        <w:footnoteReference w:id="18"/>
      </w:r>
      <w:r w:rsidR="006650AB" w:rsidRPr="0047168A">
        <w:rPr>
          <w:rFonts w:cs="Times New Roman"/>
          <w:color w:val="auto"/>
          <w:sz w:val="22"/>
          <w:szCs w:val="22"/>
          <w:lang w:val="en-GB"/>
        </w:rPr>
        <w:t xml:space="preserve"> </w:t>
      </w:r>
      <w:r>
        <w:rPr>
          <w:rFonts w:cs="Times New Roman"/>
          <w:color w:val="auto"/>
          <w:sz w:val="22"/>
          <w:szCs w:val="22"/>
          <w:lang w:val="en-GB"/>
        </w:rPr>
        <w:t>The</w:t>
      </w:r>
      <w:r w:rsidR="006650AB" w:rsidRPr="0047168A">
        <w:rPr>
          <w:rFonts w:cs="Times New Roman"/>
          <w:color w:val="auto"/>
          <w:sz w:val="22"/>
          <w:szCs w:val="22"/>
          <w:lang w:val="en-GB"/>
        </w:rPr>
        <w:t xml:space="preserve"> Secretariat of National Defense also stopped publi</w:t>
      </w:r>
      <w:r>
        <w:rPr>
          <w:rFonts w:cs="Times New Roman"/>
          <w:color w:val="auto"/>
          <w:sz w:val="22"/>
          <w:szCs w:val="22"/>
          <w:lang w:val="en-GB"/>
        </w:rPr>
        <w:t>sh</w:t>
      </w:r>
      <w:r w:rsidR="000438CF">
        <w:rPr>
          <w:rFonts w:cs="Times New Roman"/>
          <w:color w:val="auto"/>
          <w:sz w:val="22"/>
          <w:szCs w:val="22"/>
          <w:lang w:val="en-GB"/>
        </w:rPr>
        <w:t>ing</w:t>
      </w:r>
      <w:r w:rsidR="006650AB" w:rsidRPr="0047168A">
        <w:rPr>
          <w:rFonts w:cs="Times New Roman"/>
          <w:color w:val="auto"/>
          <w:sz w:val="22"/>
          <w:szCs w:val="22"/>
          <w:lang w:val="en-GB"/>
        </w:rPr>
        <w:t xml:space="preserve"> information related to the number of municipal, state and federal police officers who </w:t>
      </w:r>
      <w:r>
        <w:rPr>
          <w:rFonts w:cs="Times New Roman"/>
          <w:color w:val="auto"/>
          <w:sz w:val="22"/>
          <w:szCs w:val="22"/>
          <w:lang w:val="en-GB"/>
        </w:rPr>
        <w:t>we</w:t>
      </w:r>
      <w:r w:rsidR="006650AB" w:rsidRPr="0047168A">
        <w:rPr>
          <w:rFonts w:cs="Times New Roman"/>
          <w:color w:val="auto"/>
          <w:sz w:val="22"/>
          <w:szCs w:val="22"/>
          <w:lang w:val="en-GB"/>
        </w:rPr>
        <w:t xml:space="preserve">re injured, detained or killed in “clashes” between 2006 and 2018. Finally, SEDENA also </w:t>
      </w:r>
      <w:r w:rsidR="008D6BDB" w:rsidRPr="0047168A">
        <w:rPr>
          <w:rFonts w:cs="Times New Roman"/>
          <w:color w:val="auto"/>
          <w:sz w:val="22"/>
          <w:szCs w:val="22"/>
          <w:lang w:val="en-GB"/>
        </w:rPr>
        <w:t>does not publish its</w:t>
      </w:r>
      <w:r w:rsidR="006650AB" w:rsidRPr="0047168A">
        <w:rPr>
          <w:rFonts w:cs="Times New Roman"/>
          <w:color w:val="auto"/>
          <w:sz w:val="22"/>
          <w:szCs w:val="22"/>
          <w:lang w:val="en-GB"/>
        </w:rPr>
        <w:t xml:space="preserve"> reports </w:t>
      </w:r>
      <w:r w:rsidR="008D6BDB" w:rsidRPr="0047168A">
        <w:rPr>
          <w:rFonts w:cs="Times New Roman"/>
          <w:color w:val="auto"/>
          <w:sz w:val="22"/>
          <w:szCs w:val="22"/>
          <w:lang w:val="en-GB"/>
        </w:rPr>
        <w:t>on</w:t>
      </w:r>
      <w:r w:rsidR="006650AB" w:rsidRPr="0047168A">
        <w:rPr>
          <w:rFonts w:cs="Times New Roman"/>
          <w:color w:val="auto"/>
          <w:sz w:val="22"/>
          <w:szCs w:val="22"/>
          <w:lang w:val="en-GB"/>
        </w:rPr>
        <w:t xml:space="preserve"> the use of force o</w:t>
      </w:r>
      <w:r w:rsidR="008D6BDB" w:rsidRPr="0047168A">
        <w:rPr>
          <w:rFonts w:cs="Times New Roman"/>
          <w:color w:val="auto"/>
          <w:sz w:val="22"/>
          <w:szCs w:val="22"/>
          <w:lang w:val="en-GB"/>
        </w:rPr>
        <w:t>r homologated police reports</w:t>
      </w:r>
      <w:r w:rsidR="000438CF">
        <w:rPr>
          <w:rFonts w:cs="Times New Roman"/>
          <w:color w:val="auto"/>
          <w:sz w:val="22"/>
          <w:szCs w:val="22"/>
          <w:lang w:val="en-GB"/>
        </w:rPr>
        <w:t xml:space="preserve">; this is </w:t>
      </w:r>
      <w:r>
        <w:rPr>
          <w:rFonts w:cs="Times New Roman"/>
          <w:color w:val="auto"/>
          <w:sz w:val="22"/>
          <w:szCs w:val="22"/>
          <w:lang w:val="en-GB"/>
        </w:rPr>
        <w:t>in violation of</w:t>
      </w:r>
      <w:r w:rsidR="008D6BDB" w:rsidRPr="0047168A">
        <w:rPr>
          <w:rFonts w:cs="Times New Roman"/>
          <w:color w:val="auto"/>
          <w:sz w:val="22"/>
          <w:szCs w:val="22"/>
          <w:lang w:val="en-GB"/>
        </w:rPr>
        <w:t xml:space="preserve"> c</w:t>
      </w:r>
      <w:r w:rsidR="006650AB" w:rsidRPr="0047168A">
        <w:rPr>
          <w:rFonts w:cs="Times New Roman"/>
          <w:color w:val="auto"/>
          <w:sz w:val="22"/>
          <w:szCs w:val="22"/>
          <w:lang w:val="en-GB"/>
        </w:rPr>
        <w:t>urrent regulations</w:t>
      </w:r>
      <w:r w:rsidR="006650AB" w:rsidRPr="0047168A">
        <w:rPr>
          <w:rStyle w:val="FootnoteReference"/>
          <w:rFonts w:cs="Times New Roman"/>
          <w:color w:val="auto"/>
          <w:sz w:val="22"/>
          <w:szCs w:val="22"/>
          <w:lang w:val="en-GB"/>
        </w:rPr>
        <w:footnoteReference w:id="19"/>
      </w:r>
      <w:r w:rsidR="008D6BDB" w:rsidRPr="0047168A">
        <w:rPr>
          <w:rFonts w:cs="Times New Roman"/>
          <w:color w:val="auto"/>
          <w:sz w:val="22"/>
          <w:szCs w:val="22"/>
          <w:lang w:val="en-GB"/>
        </w:rPr>
        <w:t xml:space="preserve"> </w:t>
      </w:r>
      <w:r>
        <w:rPr>
          <w:rFonts w:cs="Times New Roman"/>
          <w:color w:val="auto"/>
          <w:sz w:val="22"/>
          <w:szCs w:val="22"/>
          <w:lang w:val="en-GB"/>
        </w:rPr>
        <w:t>that</w:t>
      </w:r>
      <w:r w:rsidRPr="0047168A">
        <w:rPr>
          <w:rFonts w:cs="Times New Roman"/>
          <w:color w:val="auto"/>
          <w:sz w:val="22"/>
          <w:szCs w:val="22"/>
          <w:lang w:val="en-GB"/>
        </w:rPr>
        <w:t xml:space="preserve"> </w:t>
      </w:r>
      <w:r w:rsidR="008D6BDB" w:rsidRPr="0047168A">
        <w:rPr>
          <w:rFonts w:cs="Times New Roman"/>
          <w:color w:val="auto"/>
          <w:sz w:val="22"/>
          <w:szCs w:val="22"/>
          <w:lang w:val="en-GB"/>
        </w:rPr>
        <w:t>made</w:t>
      </w:r>
      <w:r>
        <w:rPr>
          <w:rFonts w:cs="Times New Roman"/>
          <w:color w:val="auto"/>
          <w:sz w:val="22"/>
          <w:szCs w:val="22"/>
          <w:lang w:val="en-GB"/>
        </w:rPr>
        <w:t xml:space="preserve"> it</w:t>
      </w:r>
      <w:r w:rsidR="008D6BDB" w:rsidRPr="0047168A">
        <w:rPr>
          <w:rFonts w:cs="Times New Roman"/>
          <w:color w:val="auto"/>
          <w:sz w:val="22"/>
          <w:szCs w:val="22"/>
          <w:lang w:val="en-GB"/>
        </w:rPr>
        <w:t xml:space="preserve"> mandatory</w:t>
      </w:r>
      <w:r w:rsidR="006650AB" w:rsidRPr="0047168A">
        <w:rPr>
          <w:rFonts w:cs="Times New Roman"/>
          <w:color w:val="auto"/>
          <w:sz w:val="22"/>
          <w:szCs w:val="22"/>
          <w:lang w:val="en-GB"/>
        </w:rPr>
        <w:t xml:space="preserve"> to collect information about the </w:t>
      </w:r>
      <w:r w:rsidR="008D6BDB" w:rsidRPr="0047168A">
        <w:rPr>
          <w:rFonts w:cs="Times New Roman"/>
          <w:color w:val="auto"/>
          <w:sz w:val="22"/>
          <w:szCs w:val="22"/>
          <w:lang w:val="en-GB"/>
        </w:rPr>
        <w:t xml:space="preserve">confrontations where </w:t>
      </w:r>
      <w:r w:rsidR="000438CF">
        <w:rPr>
          <w:rFonts w:cs="Times New Roman"/>
          <w:color w:val="auto"/>
          <w:sz w:val="22"/>
          <w:szCs w:val="22"/>
          <w:lang w:val="en-GB"/>
        </w:rPr>
        <w:t xml:space="preserve">the </w:t>
      </w:r>
      <w:r w:rsidR="008D6BDB" w:rsidRPr="0047168A">
        <w:rPr>
          <w:rFonts w:cs="Times New Roman"/>
          <w:color w:val="auto"/>
          <w:sz w:val="22"/>
          <w:szCs w:val="22"/>
          <w:lang w:val="en-GB"/>
        </w:rPr>
        <w:t xml:space="preserve">Army acts in coordination to </w:t>
      </w:r>
      <w:r w:rsidR="006650AB" w:rsidRPr="0047168A">
        <w:rPr>
          <w:rFonts w:cs="Times New Roman"/>
          <w:color w:val="auto"/>
          <w:sz w:val="22"/>
          <w:szCs w:val="22"/>
          <w:lang w:val="en-GB"/>
        </w:rPr>
        <w:t>the police and where people are killed, injured or detained.</w:t>
      </w:r>
      <w:r w:rsidR="006650AB" w:rsidRPr="0047168A">
        <w:rPr>
          <w:rStyle w:val="FootnoteReference"/>
          <w:rFonts w:cs="Times New Roman"/>
          <w:color w:val="auto"/>
          <w:sz w:val="22"/>
          <w:szCs w:val="22"/>
          <w:lang w:val="en-GB"/>
        </w:rPr>
        <w:footnoteReference w:id="20"/>
      </w:r>
    </w:p>
    <w:p w14:paraId="0BF9E6E0" w14:textId="77777777" w:rsidR="006650AB" w:rsidRPr="0047168A" w:rsidRDefault="006650AB" w:rsidP="00C72434">
      <w:pPr>
        <w:spacing w:line="240" w:lineRule="auto"/>
        <w:jc w:val="both"/>
        <w:rPr>
          <w:rFonts w:cs="Times New Roman"/>
          <w:color w:val="auto"/>
          <w:sz w:val="22"/>
          <w:szCs w:val="22"/>
          <w:lang w:val="en-GB"/>
        </w:rPr>
      </w:pPr>
      <w:r w:rsidRPr="0047168A">
        <w:rPr>
          <w:rFonts w:cs="Times New Roman"/>
          <w:color w:val="auto"/>
          <w:sz w:val="22"/>
          <w:szCs w:val="22"/>
          <w:lang w:val="en-GB"/>
        </w:rPr>
        <w:t>Given this lack of transparency, the National Institute of Transparency, Access to Information and Protection of Personal Data (INAI) required SEDENA to conduct a thorough search of the information referred and make it public.</w:t>
      </w:r>
      <w:r w:rsidRPr="0047168A">
        <w:rPr>
          <w:rStyle w:val="FootnoteReference"/>
          <w:rFonts w:cs="Times New Roman"/>
          <w:color w:val="auto"/>
          <w:sz w:val="22"/>
          <w:szCs w:val="22"/>
          <w:lang w:val="en-GB"/>
        </w:rPr>
        <w:footnoteReference w:id="21"/>
      </w:r>
      <w:r w:rsidRPr="0047168A">
        <w:rPr>
          <w:rFonts w:cs="Times New Roman"/>
          <w:color w:val="auto"/>
          <w:sz w:val="22"/>
          <w:szCs w:val="22"/>
          <w:lang w:val="en-GB"/>
        </w:rPr>
        <w:t xml:space="preserve"> The decision of this autonomous body is crucial to ensure that the population has effective access to information related to the performance of the armed forces.</w:t>
      </w:r>
    </w:p>
    <w:p w14:paraId="0D1AE4D6" w14:textId="481C5897" w:rsidR="00CC50FC" w:rsidRPr="0047168A" w:rsidRDefault="006650AB" w:rsidP="00C72434">
      <w:pPr>
        <w:spacing w:line="240" w:lineRule="auto"/>
        <w:jc w:val="both"/>
        <w:rPr>
          <w:rFonts w:cs="Times New Roman"/>
          <w:color w:val="auto"/>
          <w:sz w:val="22"/>
          <w:szCs w:val="22"/>
          <w:lang w:val="en-GB"/>
        </w:rPr>
      </w:pPr>
      <w:r w:rsidRPr="0047168A">
        <w:rPr>
          <w:rFonts w:cs="Times New Roman"/>
          <w:color w:val="auto"/>
          <w:sz w:val="22"/>
          <w:szCs w:val="22"/>
          <w:lang w:val="en-GB"/>
        </w:rPr>
        <w:t>In this scenario, the absence of civil oversight in military affairs has also made it difficult to guarantee victims access to the truth, justice and reparation for violations committed by military bodies. "Between December 2012 and January 2018, the National Human Rights Commission (CNDH) received more than 4,600 complaints about alleged abuses committed by the military."</w:t>
      </w:r>
      <w:r w:rsidRPr="0047168A">
        <w:rPr>
          <w:rStyle w:val="FootnoteReference"/>
          <w:rFonts w:cs="Times New Roman"/>
          <w:color w:val="auto"/>
          <w:sz w:val="22"/>
          <w:szCs w:val="22"/>
          <w:lang w:val="en-GB"/>
        </w:rPr>
        <w:footnoteReference w:id="22"/>
      </w:r>
      <w:r w:rsidRPr="0047168A">
        <w:rPr>
          <w:rFonts w:cs="Times New Roman"/>
          <w:color w:val="auto"/>
          <w:sz w:val="22"/>
          <w:szCs w:val="22"/>
          <w:lang w:val="en-GB"/>
        </w:rPr>
        <w:t xml:space="preserve"> According to the Washington Office f</w:t>
      </w:r>
      <w:r w:rsidR="008D6BDB" w:rsidRPr="0047168A">
        <w:rPr>
          <w:rFonts w:cs="Times New Roman"/>
          <w:color w:val="auto"/>
          <w:sz w:val="22"/>
          <w:szCs w:val="22"/>
          <w:lang w:val="en-GB"/>
        </w:rPr>
        <w:t>or Latin American Affairs (WOLA</w:t>
      </w:r>
      <w:r w:rsidR="00DB2605">
        <w:rPr>
          <w:rFonts w:cs="Times New Roman"/>
          <w:color w:val="auto"/>
          <w:sz w:val="22"/>
          <w:szCs w:val="22"/>
          <w:lang w:val="en-GB"/>
        </w:rPr>
        <w:t>)</w:t>
      </w:r>
      <w:r w:rsidR="008D6BDB" w:rsidRPr="0047168A">
        <w:rPr>
          <w:rFonts w:cs="Times New Roman"/>
          <w:color w:val="auto"/>
          <w:sz w:val="22"/>
          <w:szCs w:val="22"/>
          <w:lang w:val="en-GB"/>
        </w:rPr>
        <w:t>,</w:t>
      </w:r>
      <w:r w:rsidRPr="0047168A">
        <w:rPr>
          <w:rFonts w:cs="Times New Roman"/>
          <w:color w:val="auto"/>
          <w:sz w:val="22"/>
          <w:szCs w:val="22"/>
          <w:lang w:val="en-GB"/>
        </w:rPr>
        <w:t xml:space="preserve"> "of the 505 investigations initiated between 2012 and 2016, they had only obtained 16 convictions."</w:t>
      </w:r>
      <w:r w:rsidRPr="0047168A">
        <w:rPr>
          <w:rStyle w:val="FootnoteReference"/>
          <w:rFonts w:cs="Times New Roman"/>
          <w:color w:val="auto"/>
          <w:sz w:val="22"/>
          <w:szCs w:val="22"/>
          <w:lang w:val="en-GB"/>
        </w:rPr>
        <w:footnoteReference w:id="23"/>
      </w:r>
    </w:p>
    <w:p w14:paraId="21E1CE27" w14:textId="6FF380DC" w:rsidR="005A7C24" w:rsidRPr="0047168A" w:rsidRDefault="00BB3734" w:rsidP="00C72434">
      <w:pPr>
        <w:spacing w:line="240" w:lineRule="auto"/>
        <w:jc w:val="both"/>
        <w:rPr>
          <w:rFonts w:cs="Times New Roman"/>
          <w:i/>
          <w:color w:val="auto"/>
          <w:sz w:val="22"/>
          <w:szCs w:val="22"/>
          <w:lang w:val="en-GB"/>
        </w:rPr>
      </w:pPr>
      <w:r w:rsidRPr="0047168A">
        <w:rPr>
          <w:rFonts w:cs="Times New Roman"/>
          <w:i/>
          <w:color w:val="auto"/>
          <w:sz w:val="22"/>
          <w:szCs w:val="22"/>
          <w:lang w:val="en-GB"/>
        </w:rPr>
        <w:t xml:space="preserve">1.5. </w:t>
      </w:r>
      <w:r w:rsidR="00DB2605">
        <w:rPr>
          <w:rFonts w:cs="Times New Roman"/>
          <w:i/>
          <w:color w:val="auto"/>
          <w:sz w:val="22"/>
          <w:szCs w:val="22"/>
          <w:lang w:val="en-GB"/>
        </w:rPr>
        <w:t>Impact of militarisation on human rights, and legality of states of emergency</w:t>
      </w:r>
      <w:r w:rsidRPr="0047168A">
        <w:rPr>
          <w:rFonts w:cs="Times New Roman"/>
          <w:i/>
          <w:color w:val="auto"/>
          <w:sz w:val="22"/>
          <w:szCs w:val="22"/>
          <w:lang w:val="en-GB"/>
        </w:rPr>
        <w:t>, and of the provision of states of emergenc</w:t>
      </w:r>
      <w:r w:rsidR="00C92B1B">
        <w:rPr>
          <w:rFonts w:cs="Times New Roman"/>
          <w:i/>
          <w:color w:val="auto"/>
          <w:sz w:val="22"/>
          <w:szCs w:val="22"/>
          <w:lang w:val="en-GB"/>
        </w:rPr>
        <w:t>y</w:t>
      </w:r>
    </w:p>
    <w:p w14:paraId="46189782" w14:textId="77390CE8" w:rsidR="00BB3734" w:rsidRDefault="00BB3734" w:rsidP="00C72434">
      <w:pPr>
        <w:spacing w:line="240" w:lineRule="auto"/>
        <w:jc w:val="both"/>
        <w:rPr>
          <w:rFonts w:cs="Times New Roman"/>
          <w:color w:val="auto"/>
          <w:sz w:val="22"/>
          <w:szCs w:val="22"/>
          <w:lang w:val="en-GB"/>
        </w:rPr>
      </w:pPr>
      <w:r>
        <w:rPr>
          <w:rFonts w:cs="Times New Roman"/>
          <w:color w:val="auto"/>
          <w:sz w:val="22"/>
          <w:szCs w:val="22"/>
          <w:lang w:val="en-GB"/>
        </w:rPr>
        <w:lastRenderedPageBreak/>
        <w:t>This Committee has already noted that the militari</w:t>
      </w:r>
      <w:r w:rsidR="000438CF">
        <w:rPr>
          <w:rFonts w:cs="Times New Roman"/>
          <w:color w:val="auto"/>
          <w:sz w:val="22"/>
          <w:szCs w:val="22"/>
          <w:lang w:val="en-GB"/>
        </w:rPr>
        <w:t>s</w:t>
      </w:r>
      <w:r>
        <w:rPr>
          <w:rFonts w:cs="Times New Roman"/>
          <w:color w:val="auto"/>
          <w:sz w:val="22"/>
          <w:szCs w:val="22"/>
          <w:lang w:val="en-GB"/>
        </w:rPr>
        <w:t>ation of law enforcement can result in the violation of the right to life and security, and has recommended that states centrali</w:t>
      </w:r>
      <w:r w:rsidR="000438CF">
        <w:rPr>
          <w:rFonts w:cs="Times New Roman"/>
          <w:color w:val="auto"/>
          <w:sz w:val="22"/>
          <w:szCs w:val="22"/>
          <w:lang w:val="en-GB"/>
        </w:rPr>
        <w:t>s</w:t>
      </w:r>
      <w:r>
        <w:rPr>
          <w:rFonts w:cs="Times New Roman"/>
          <w:color w:val="auto"/>
          <w:sz w:val="22"/>
          <w:szCs w:val="22"/>
          <w:lang w:val="en-GB"/>
        </w:rPr>
        <w:t>e law enforcement functions on civilian institutions such as the national police.</w:t>
      </w:r>
      <w:r>
        <w:rPr>
          <w:rStyle w:val="FootnoteReference"/>
          <w:rFonts w:cs="Times New Roman"/>
          <w:color w:val="auto"/>
          <w:sz w:val="22"/>
          <w:szCs w:val="22"/>
          <w:lang w:val="en-GB"/>
        </w:rPr>
        <w:footnoteReference w:id="24"/>
      </w:r>
      <w:r w:rsidR="00233984">
        <w:rPr>
          <w:rFonts w:cs="Times New Roman"/>
          <w:color w:val="auto"/>
          <w:sz w:val="22"/>
          <w:szCs w:val="22"/>
          <w:lang w:val="en-GB"/>
        </w:rPr>
        <w:t xml:space="preserve"> A similar recommendations was already made to Mexico in 2010 by this</w:t>
      </w:r>
      <w:r w:rsidR="000438CF">
        <w:rPr>
          <w:rFonts w:cs="Times New Roman"/>
          <w:color w:val="auto"/>
          <w:sz w:val="22"/>
          <w:szCs w:val="22"/>
          <w:lang w:val="en-GB"/>
        </w:rPr>
        <w:t xml:space="preserve"> </w:t>
      </w:r>
      <w:r w:rsidR="00233984">
        <w:rPr>
          <w:rFonts w:cs="Times New Roman"/>
          <w:color w:val="auto"/>
          <w:sz w:val="22"/>
          <w:szCs w:val="22"/>
          <w:lang w:val="en-GB"/>
        </w:rPr>
        <w:t>Committee.</w:t>
      </w:r>
      <w:r w:rsidR="00233984">
        <w:rPr>
          <w:rStyle w:val="FootnoteReference"/>
          <w:rFonts w:cs="Times New Roman"/>
          <w:color w:val="auto"/>
          <w:sz w:val="22"/>
          <w:szCs w:val="22"/>
          <w:lang w:val="en-GB"/>
        </w:rPr>
        <w:footnoteReference w:id="25"/>
      </w:r>
    </w:p>
    <w:p w14:paraId="14818445" w14:textId="13AA9D01" w:rsidR="00233984" w:rsidRDefault="00BB3734" w:rsidP="00C72434">
      <w:pPr>
        <w:spacing w:line="240" w:lineRule="auto"/>
        <w:jc w:val="both"/>
        <w:rPr>
          <w:rFonts w:cs="Times New Roman"/>
          <w:color w:val="auto"/>
          <w:sz w:val="22"/>
          <w:szCs w:val="22"/>
          <w:lang w:val="en-GB"/>
        </w:rPr>
      </w:pPr>
      <w:r>
        <w:rPr>
          <w:rFonts w:cs="Times New Roman"/>
          <w:color w:val="auto"/>
          <w:sz w:val="22"/>
          <w:szCs w:val="22"/>
          <w:lang w:val="en-GB"/>
        </w:rPr>
        <w:t xml:space="preserve">In </w:t>
      </w:r>
      <w:r w:rsidR="00233984">
        <w:rPr>
          <w:rFonts w:cs="Times New Roman"/>
          <w:color w:val="auto"/>
          <w:sz w:val="22"/>
          <w:szCs w:val="22"/>
          <w:lang w:val="en-GB"/>
        </w:rPr>
        <w:t>the same</w:t>
      </w:r>
      <w:r>
        <w:rPr>
          <w:rFonts w:cs="Times New Roman"/>
          <w:color w:val="auto"/>
          <w:sz w:val="22"/>
          <w:szCs w:val="22"/>
          <w:lang w:val="en-GB"/>
        </w:rPr>
        <w:t xml:space="preserve"> 2010 Concluding Observations on Mexico, th</w:t>
      </w:r>
      <w:r w:rsidR="00657FC2">
        <w:rPr>
          <w:rFonts w:cs="Times New Roman"/>
          <w:color w:val="auto"/>
          <w:sz w:val="22"/>
          <w:szCs w:val="22"/>
          <w:lang w:val="en-GB"/>
        </w:rPr>
        <w:t>e</w:t>
      </w:r>
      <w:r>
        <w:rPr>
          <w:rFonts w:cs="Times New Roman"/>
          <w:color w:val="auto"/>
          <w:sz w:val="22"/>
          <w:szCs w:val="22"/>
          <w:lang w:val="en-GB"/>
        </w:rPr>
        <w:t xml:space="preserve"> Human Rights Committee </w:t>
      </w:r>
      <w:r w:rsidR="00657FC2">
        <w:rPr>
          <w:rFonts w:cs="Times New Roman"/>
          <w:color w:val="auto"/>
          <w:sz w:val="22"/>
          <w:szCs w:val="22"/>
          <w:lang w:val="en-GB"/>
        </w:rPr>
        <w:t xml:space="preserve">also </w:t>
      </w:r>
      <w:r>
        <w:rPr>
          <w:rFonts w:cs="Times New Roman"/>
          <w:color w:val="auto"/>
          <w:sz w:val="22"/>
          <w:szCs w:val="22"/>
          <w:lang w:val="en-GB"/>
        </w:rPr>
        <w:t>expressed the concern that Mexico’s militari</w:t>
      </w:r>
      <w:r w:rsidR="000438CF">
        <w:rPr>
          <w:rFonts w:cs="Times New Roman"/>
          <w:color w:val="auto"/>
          <w:sz w:val="22"/>
          <w:szCs w:val="22"/>
          <w:lang w:val="en-GB"/>
        </w:rPr>
        <w:t>s</w:t>
      </w:r>
      <w:r>
        <w:rPr>
          <w:rFonts w:cs="Times New Roman"/>
          <w:color w:val="auto"/>
          <w:sz w:val="22"/>
          <w:szCs w:val="22"/>
          <w:lang w:val="en-GB"/>
        </w:rPr>
        <w:t xml:space="preserve">ed “War on Drugs” had entailed </w:t>
      </w:r>
      <w:r w:rsidR="00233984">
        <w:rPr>
          <w:rFonts w:cs="Times New Roman"/>
          <w:color w:val="auto"/>
          <w:sz w:val="22"/>
          <w:szCs w:val="22"/>
          <w:lang w:val="en-GB"/>
        </w:rPr>
        <w:t>the derogation of rights in some regions of the country, as well as human rights violations apparently perpetrated by the military.</w:t>
      </w:r>
      <w:r w:rsidR="00233984">
        <w:rPr>
          <w:rStyle w:val="FootnoteReference"/>
          <w:rFonts w:cs="Times New Roman"/>
          <w:color w:val="auto"/>
          <w:sz w:val="22"/>
          <w:szCs w:val="22"/>
          <w:lang w:val="en-GB"/>
        </w:rPr>
        <w:footnoteReference w:id="26"/>
      </w:r>
      <w:r w:rsidR="00233984">
        <w:rPr>
          <w:rFonts w:cs="Times New Roman"/>
          <w:color w:val="auto"/>
          <w:sz w:val="22"/>
          <w:szCs w:val="22"/>
          <w:lang w:val="en-GB"/>
        </w:rPr>
        <w:t xml:space="preserve"> </w:t>
      </w:r>
    </w:p>
    <w:p w14:paraId="07421FE5" w14:textId="62B115D8" w:rsidR="00657FC2" w:rsidRDefault="00233984" w:rsidP="00C72434">
      <w:pPr>
        <w:spacing w:line="240" w:lineRule="auto"/>
        <w:jc w:val="both"/>
        <w:rPr>
          <w:rFonts w:cs="Times New Roman"/>
          <w:color w:val="auto"/>
          <w:sz w:val="22"/>
          <w:szCs w:val="22"/>
          <w:lang w:val="en-GB"/>
        </w:rPr>
      </w:pPr>
      <w:r>
        <w:rPr>
          <w:rFonts w:cs="Times New Roman"/>
          <w:color w:val="auto"/>
          <w:sz w:val="22"/>
          <w:szCs w:val="22"/>
          <w:lang w:val="en-GB"/>
        </w:rPr>
        <w:t>In that regard, we recall that the derogation of rights under a state of emergency is only compliant with article 4 ICCPR when the emergency has been formally proclaimed by the state, a requirement that is “essential for the maintenance of the principles of legality and the rule of law”.</w:t>
      </w:r>
      <w:r>
        <w:rPr>
          <w:rStyle w:val="FootnoteReference"/>
          <w:rFonts w:cs="Times New Roman"/>
          <w:color w:val="auto"/>
          <w:sz w:val="22"/>
          <w:szCs w:val="22"/>
          <w:lang w:val="en-GB"/>
        </w:rPr>
        <w:footnoteReference w:id="27"/>
      </w:r>
      <w:r>
        <w:rPr>
          <w:rFonts w:cs="Times New Roman"/>
          <w:color w:val="auto"/>
          <w:sz w:val="22"/>
          <w:szCs w:val="22"/>
          <w:lang w:val="en-GB"/>
        </w:rPr>
        <w:t xml:space="preserve"> So far, this requirement has not been met by the Mexican authorities. </w:t>
      </w:r>
    </w:p>
    <w:p w14:paraId="33EE520C" w14:textId="155ABDA2" w:rsidR="00657FC2" w:rsidRDefault="00233984" w:rsidP="00C72434">
      <w:pPr>
        <w:spacing w:line="240" w:lineRule="auto"/>
        <w:jc w:val="both"/>
        <w:rPr>
          <w:rFonts w:cs="Times New Roman"/>
          <w:color w:val="auto"/>
          <w:sz w:val="22"/>
          <w:szCs w:val="22"/>
          <w:lang w:val="en-GB"/>
        </w:rPr>
      </w:pPr>
      <w:r>
        <w:rPr>
          <w:rFonts w:cs="Times New Roman"/>
          <w:color w:val="auto"/>
          <w:sz w:val="22"/>
          <w:szCs w:val="22"/>
          <w:lang w:val="en-GB"/>
        </w:rPr>
        <w:t xml:space="preserve">Furthermore, </w:t>
      </w:r>
      <w:r w:rsidR="00657FC2">
        <w:rPr>
          <w:rFonts w:cs="Times New Roman"/>
          <w:color w:val="auto"/>
          <w:sz w:val="22"/>
          <w:szCs w:val="22"/>
          <w:lang w:val="en-GB"/>
        </w:rPr>
        <w:t xml:space="preserve">derogations are not a wholesale removal of the protections granted by the Covenant. First, </w:t>
      </w:r>
      <w:r>
        <w:rPr>
          <w:rFonts w:cs="Times New Roman"/>
          <w:color w:val="auto"/>
          <w:sz w:val="22"/>
          <w:szCs w:val="22"/>
          <w:lang w:val="en-GB"/>
        </w:rPr>
        <w:t>article 4.2 ICCPR explicitly excludes from derogation the right to life and the prohibition of torture and other forms of cruel, inhuman or degrading treatment or punishment</w:t>
      </w:r>
      <w:r w:rsidR="00657FC2">
        <w:rPr>
          <w:rStyle w:val="FootnoteReference"/>
          <w:rFonts w:cs="Times New Roman"/>
          <w:color w:val="auto"/>
          <w:sz w:val="22"/>
          <w:szCs w:val="22"/>
          <w:lang w:val="en-GB"/>
        </w:rPr>
        <w:footnoteReference w:id="28"/>
      </w:r>
      <w:r>
        <w:rPr>
          <w:rFonts w:cs="Times New Roman"/>
          <w:color w:val="auto"/>
          <w:sz w:val="22"/>
          <w:szCs w:val="22"/>
          <w:lang w:val="en-GB"/>
        </w:rPr>
        <w:t xml:space="preserve">. </w:t>
      </w:r>
      <w:r w:rsidR="00657FC2">
        <w:rPr>
          <w:rFonts w:cs="Times New Roman"/>
          <w:color w:val="auto"/>
          <w:sz w:val="22"/>
          <w:szCs w:val="22"/>
          <w:lang w:val="en-GB"/>
        </w:rPr>
        <w:t xml:space="preserve">Secondly, any derogation </w:t>
      </w:r>
      <w:r w:rsidR="00C92B1B">
        <w:rPr>
          <w:rFonts w:cs="Times New Roman"/>
          <w:color w:val="auto"/>
          <w:sz w:val="22"/>
          <w:szCs w:val="22"/>
          <w:lang w:val="en-GB"/>
        </w:rPr>
        <w:t>to</w:t>
      </w:r>
      <w:r w:rsidR="00657FC2">
        <w:rPr>
          <w:rFonts w:cs="Times New Roman"/>
          <w:color w:val="auto"/>
          <w:sz w:val="22"/>
          <w:szCs w:val="22"/>
          <w:lang w:val="en-GB"/>
        </w:rPr>
        <w:t xml:space="preserve"> other rights must be strictly limited to the extent necessary by the emergency that triggered them. </w:t>
      </w:r>
    </w:p>
    <w:p w14:paraId="563EAFAC" w14:textId="5529AB1E" w:rsidR="00BB3734" w:rsidRDefault="00233984" w:rsidP="00C72434">
      <w:pPr>
        <w:spacing w:line="240" w:lineRule="auto"/>
        <w:jc w:val="both"/>
        <w:rPr>
          <w:rFonts w:cs="Times New Roman"/>
          <w:color w:val="auto"/>
          <w:sz w:val="22"/>
          <w:szCs w:val="22"/>
          <w:lang w:val="en-GB"/>
        </w:rPr>
      </w:pPr>
      <w:r>
        <w:rPr>
          <w:rFonts w:cs="Times New Roman"/>
          <w:color w:val="auto"/>
          <w:sz w:val="22"/>
          <w:szCs w:val="22"/>
          <w:lang w:val="en-GB"/>
        </w:rPr>
        <w:t>In view of this, the actions taken by Mexico in the War on Drugs</w:t>
      </w:r>
      <w:r w:rsidR="00657FC2">
        <w:rPr>
          <w:rFonts w:cs="Times New Roman"/>
          <w:color w:val="auto"/>
          <w:sz w:val="22"/>
          <w:szCs w:val="22"/>
          <w:lang w:val="en-GB"/>
        </w:rPr>
        <w:t>, as described above,</w:t>
      </w:r>
      <w:r>
        <w:rPr>
          <w:rFonts w:cs="Times New Roman"/>
          <w:color w:val="auto"/>
          <w:sz w:val="22"/>
          <w:szCs w:val="22"/>
          <w:lang w:val="en-GB"/>
        </w:rPr>
        <w:t xml:space="preserve"> are not compliant with the Covenant. </w:t>
      </w:r>
    </w:p>
    <w:p w14:paraId="6E94B4D2" w14:textId="77777777" w:rsidR="00BB3734" w:rsidRPr="0047168A" w:rsidRDefault="00BB3734" w:rsidP="00C72434">
      <w:pPr>
        <w:spacing w:line="240" w:lineRule="auto"/>
        <w:jc w:val="both"/>
        <w:rPr>
          <w:rFonts w:cs="Times New Roman"/>
          <w:color w:val="auto"/>
          <w:sz w:val="22"/>
          <w:szCs w:val="22"/>
          <w:lang w:val="en-GB"/>
        </w:rPr>
      </w:pPr>
    </w:p>
    <w:p w14:paraId="5BC9A7D4" w14:textId="3A9691BD" w:rsidR="0045217E" w:rsidRPr="0047168A" w:rsidRDefault="0045217E" w:rsidP="0047168A">
      <w:pPr>
        <w:pStyle w:val="ListParagraph"/>
        <w:numPr>
          <w:ilvl w:val="0"/>
          <w:numId w:val="32"/>
        </w:numPr>
        <w:spacing w:line="240" w:lineRule="auto"/>
        <w:jc w:val="both"/>
        <w:rPr>
          <w:rFonts w:ascii="Verdana" w:hAnsi="Verdana" w:cs="Times New Roman"/>
          <w:b/>
          <w:i/>
          <w:lang w:val="en-GB"/>
        </w:rPr>
      </w:pPr>
      <w:r w:rsidRPr="0047168A">
        <w:rPr>
          <w:rFonts w:ascii="Verdana" w:hAnsi="Verdana"/>
          <w:b/>
          <w:lang w:val="en-GB"/>
        </w:rPr>
        <w:t>Extrajudicial killings, enforced disappearances and torture</w:t>
      </w:r>
      <w:r w:rsidR="00B53746" w:rsidRPr="0047168A">
        <w:rPr>
          <w:rFonts w:ascii="Verdana" w:hAnsi="Verdana"/>
          <w:b/>
          <w:lang w:val="en-GB"/>
        </w:rPr>
        <w:t xml:space="preserve"> </w:t>
      </w:r>
    </w:p>
    <w:p w14:paraId="562C6A6C" w14:textId="6CD3A153" w:rsidR="00547082" w:rsidRPr="0047168A" w:rsidRDefault="00547082" w:rsidP="00C72434">
      <w:pPr>
        <w:spacing w:line="240" w:lineRule="auto"/>
        <w:jc w:val="both"/>
        <w:rPr>
          <w:b/>
          <w:color w:val="auto"/>
          <w:sz w:val="22"/>
          <w:szCs w:val="22"/>
          <w:lang w:val="en-GB"/>
        </w:rPr>
      </w:pPr>
      <w:r w:rsidRPr="0047168A">
        <w:rPr>
          <w:rFonts w:cs="Times New Roman"/>
          <w:b/>
          <w:color w:val="auto"/>
          <w:sz w:val="22"/>
          <w:szCs w:val="22"/>
          <w:lang w:val="en-GB"/>
        </w:rPr>
        <w:t xml:space="preserve">Issue </w:t>
      </w:r>
      <w:r w:rsidR="00CC50FC" w:rsidRPr="0047168A">
        <w:rPr>
          <w:rFonts w:cs="Times New Roman"/>
          <w:b/>
          <w:color w:val="auto"/>
          <w:sz w:val="22"/>
          <w:szCs w:val="22"/>
          <w:lang w:val="en-GB"/>
        </w:rPr>
        <w:t>12</w:t>
      </w:r>
      <w:r w:rsidRPr="0047168A">
        <w:rPr>
          <w:rFonts w:cs="Times New Roman"/>
          <w:b/>
          <w:color w:val="auto"/>
          <w:sz w:val="22"/>
          <w:szCs w:val="22"/>
          <w:lang w:val="en-GB"/>
        </w:rPr>
        <w:t>.</w:t>
      </w:r>
      <w:r w:rsidR="00CC50FC" w:rsidRPr="0047168A">
        <w:rPr>
          <w:rFonts w:cs="Times New Roman"/>
          <w:b/>
          <w:i/>
          <w:color w:val="auto"/>
          <w:sz w:val="22"/>
          <w:szCs w:val="22"/>
          <w:lang w:val="en-GB"/>
        </w:rPr>
        <w:t xml:space="preserve"> “</w:t>
      </w:r>
      <w:r w:rsidR="0045217E" w:rsidRPr="0047168A">
        <w:rPr>
          <w:b/>
          <w:color w:val="auto"/>
          <w:sz w:val="22"/>
          <w:szCs w:val="22"/>
          <w:lang w:val="en-GB"/>
        </w:rPr>
        <w:t>i</w:t>
      </w:r>
      <w:r w:rsidR="00CC50FC" w:rsidRPr="0047168A">
        <w:rPr>
          <w:b/>
          <w:color w:val="auto"/>
          <w:sz w:val="22"/>
          <w:szCs w:val="22"/>
          <w:lang w:val="en-GB"/>
        </w:rPr>
        <w:t xml:space="preserve">nformation on actions taken at both the federal and state levels to prevent and investigate human rights abuses and violations committed by members of the armed forces or security forces, including extrajudicial </w:t>
      </w:r>
      <w:r w:rsidR="00CC50FC" w:rsidRPr="0047168A">
        <w:rPr>
          <w:rFonts w:eastAsiaTheme="minorHAnsi" w:cstheme="minorBidi"/>
          <w:b/>
          <w:color w:val="auto"/>
          <w:sz w:val="22"/>
          <w:szCs w:val="22"/>
          <w:lang w:val="en-GB" w:eastAsia="en-US"/>
        </w:rPr>
        <w:t>killings</w:t>
      </w:r>
      <w:r w:rsidR="00CC50FC" w:rsidRPr="0047168A">
        <w:rPr>
          <w:b/>
          <w:color w:val="auto"/>
          <w:sz w:val="22"/>
          <w:szCs w:val="22"/>
          <w:lang w:val="en-GB"/>
        </w:rPr>
        <w:t xml:space="preserve">, enforced disappearances and torture, to punish those responsible and to ensure that the actions of police officers and members of the armed forces are consistent with </w:t>
      </w:r>
      <w:r w:rsidR="00CC50FC" w:rsidRPr="0047168A">
        <w:rPr>
          <w:b/>
          <w:color w:val="auto"/>
          <w:sz w:val="22"/>
          <w:szCs w:val="22"/>
          <w:lang w:val="en-GB"/>
        </w:rPr>
        <w:lastRenderedPageBreak/>
        <w:t xml:space="preserve">Covenant rights. Please include information on the measures taken to regulate the use of public force. Please also include information covering the period since the adoption of the Committee’s previous concluding observations on: (a) the number of complaints received of human rights violations committed by members of the armed or security forces and the nature of the alleged violation in each case and the place where it was committed; (b) the investigations carried out in these cases, the judgements handed down (indicating whether they were convictions or acquittals); and (c) the remedies provided to the victims”. </w:t>
      </w:r>
    </w:p>
    <w:p w14:paraId="623851CC" w14:textId="1CAD2B63" w:rsidR="00CC50FC" w:rsidRPr="0047168A" w:rsidRDefault="00CC50FC" w:rsidP="00C72434">
      <w:pPr>
        <w:spacing w:line="240" w:lineRule="auto"/>
        <w:jc w:val="both"/>
        <w:rPr>
          <w:rFonts w:cs="Times New Roman"/>
          <w:b/>
          <w:i/>
          <w:color w:val="auto"/>
          <w:sz w:val="22"/>
          <w:szCs w:val="22"/>
          <w:lang w:val="en-GB"/>
        </w:rPr>
      </w:pPr>
      <w:r w:rsidRPr="0047168A">
        <w:rPr>
          <w:b/>
          <w:bCs/>
          <w:color w:val="auto"/>
          <w:sz w:val="22"/>
          <w:szCs w:val="22"/>
          <w:lang w:val="en-GB"/>
        </w:rPr>
        <w:t xml:space="preserve">Right to life; prohibition of torture and cruel, inhuman or degrading treatment or punishment; right to liberty and security of person </w:t>
      </w:r>
      <w:r w:rsidR="00547082" w:rsidRPr="0047168A">
        <w:rPr>
          <w:b/>
          <w:bCs/>
          <w:color w:val="auto"/>
          <w:sz w:val="22"/>
          <w:szCs w:val="22"/>
          <w:lang w:val="en-GB"/>
        </w:rPr>
        <w:t>(a</w:t>
      </w:r>
      <w:r w:rsidRPr="0047168A">
        <w:rPr>
          <w:b/>
          <w:bCs/>
          <w:color w:val="auto"/>
          <w:sz w:val="22"/>
          <w:szCs w:val="22"/>
          <w:lang w:val="en-GB"/>
        </w:rPr>
        <w:t>rts. 2, 6, 7 and 9</w:t>
      </w:r>
      <w:r w:rsidR="00547082" w:rsidRPr="0047168A">
        <w:rPr>
          <w:b/>
          <w:bCs/>
          <w:color w:val="auto"/>
          <w:sz w:val="22"/>
          <w:szCs w:val="22"/>
          <w:lang w:val="en-GB"/>
        </w:rPr>
        <w:t>).</w:t>
      </w:r>
    </w:p>
    <w:p w14:paraId="25A6DA86" w14:textId="3A662931" w:rsidR="00C72434" w:rsidRPr="0047168A" w:rsidRDefault="00C72434" w:rsidP="00C72434">
      <w:pPr>
        <w:spacing w:line="240" w:lineRule="auto"/>
        <w:jc w:val="both"/>
        <w:rPr>
          <w:rFonts w:cs="Times New Roman"/>
          <w:color w:val="auto"/>
          <w:sz w:val="22"/>
          <w:szCs w:val="22"/>
          <w:lang w:val="en-GB"/>
        </w:rPr>
      </w:pPr>
      <w:r w:rsidRPr="0047168A">
        <w:rPr>
          <w:rFonts w:cs="Times New Roman"/>
          <w:color w:val="auto"/>
          <w:sz w:val="22"/>
          <w:szCs w:val="22"/>
          <w:lang w:val="en-GB"/>
        </w:rPr>
        <w:t xml:space="preserve">The </w:t>
      </w:r>
      <w:r w:rsidR="00C92B1B">
        <w:rPr>
          <w:rFonts w:cs="Times New Roman"/>
          <w:color w:val="auto"/>
          <w:sz w:val="22"/>
          <w:szCs w:val="22"/>
          <w:lang w:val="en-GB"/>
        </w:rPr>
        <w:t>“</w:t>
      </w:r>
      <w:r w:rsidRPr="0047168A">
        <w:rPr>
          <w:rFonts w:cs="Times New Roman"/>
          <w:color w:val="auto"/>
          <w:sz w:val="22"/>
          <w:szCs w:val="22"/>
          <w:lang w:val="en-GB"/>
        </w:rPr>
        <w:t>War on Drug</w:t>
      </w:r>
      <w:r w:rsidR="00C92B1B">
        <w:rPr>
          <w:rFonts w:cs="Times New Roman"/>
          <w:color w:val="auto"/>
          <w:sz w:val="22"/>
          <w:szCs w:val="22"/>
          <w:lang w:val="en-GB"/>
        </w:rPr>
        <w:t>s”</w:t>
      </w:r>
      <w:r w:rsidRPr="0047168A">
        <w:rPr>
          <w:rFonts w:cs="Times New Roman"/>
          <w:color w:val="auto"/>
          <w:sz w:val="22"/>
          <w:szCs w:val="22"/>
          <w:lang w:val="en-GB"/>
        </w:rPr>
        <w:t xml:space="preserve"> has resulted in an increase in the number of extrajudicial executions, forced disappearances, forced internal displacements, torture</w:t>
      </w:r>
      <w:r w:rsidR="00C92B1B">
        <w:rPr>
          <w:rFonts w:cs="Times New Roman"/>
          <w:color w:val="auto"/>
          <w:sz w:val="22"/>
          <w:szCs w:val="22"/>
          <w:lang w:val="en-GB"/>
        </w:rPr>
        <w:t>,</w:t>
      </w:r>
      <w:r w:rsidRPr="0047168A">
        <w:rPr>
          <w:rFonts w:cs="Times New Roman"/>
          <w:color w:val="auto"/>
          <w:sz w:val="22"/>
          <w:szCs w:val="22"/>
          <w:lang w:val="en-GB"/>
        </w:rPr>
        <w:t xml:space="preserve"> and other forms of serious rights violations. In sum, instead of reducing the levels of violence in the country, the Armed Forces have exacerbated it.</w:t>
      </w:r>
    </w:p>
    <w:p w14:paraId="0D1A113D" w14:textId="7C47076D" w:rsidR="00C72434" w:rsidRPr="0047168A" w:rsidRDefault="00C72434" w:rsidP="00C72434">
      <w:pPr>
        <w:spacing w:line="240" w:lineRule="auto"/>
        <w:jc w:val="both"/>
        <w:rPr>
          <w:rFonts w:cs="Times New Roman"/>
          <w:color w:val="auto"/>
          <w:sz w:val="22"/>
          <w:szCs w:val="22"/>
          <w:lang w:val="en-GB"/>
        </w:rPr>
      </w:pPr>
      <w:r w:rsidRPr="0047168A">
        <w:rPr>
          <w:rFonts w:cs="Times New Roman"/>
          <w:color w:val="auto"/>
          <w:sz w:val="22"/>
          <w:szCs w:val="22"/>
          <w:lang w:val="en-GB"/>
        </w:rPr>
        <w:t xml:space="preserve">Despite the fact that the National Peace and Security Plan 2018-2024 </w:t>
      </w:r>
      <w:r w:rsidR="00C92B1B">
        <w:rPr>
          <w:rFonts w:cs="Times New Roman"/>
          <w:color w:val="auto"/>
          <w:sz w:val="22"/>
          <w:szCs w:val="22"/>
          <w:lang w:val="en-GB"/>
        </w:rPr>
        <w:t>introduces</w:t>
      </w:r>
      <w:r w:rsidRPr="0047168A">
        <w:rPr>
          <w:rFonts w:cs="Times New Roman"/>
          <w:color w:val="auto"/>
          <w:sz w:val="22"/>
          <w:szCs w:val="22"/>
          <w:lang w:val="en-GB"/>
        </w:rPr>
        <w:t xml:space="preserve"> “a radically different public security paradigm than has been applied in the previous six years”</w:t>
      </w:r>
      <w:r w:rsidRPr="0047168A">
        <w:rPr>
          <w:rStyle w:val="FootnoteReference"/>
          <w:rFonts w:cs="Times New Roman"/>
          <w:color w:val="auto"/>
          <w:sz w:val="22"/>
          <w:szCs w:val="22"/>
          <w:lang w:val="en-GB"/>
        </w:rPr>
        <w:footnoteReference w:id="29"/>
      </w:r>
      <w:r w:rsidRPr="0047168A">
        <w:rPr>
          <w:rFonts w:cs="Times New Roman"/>
          <w:color w:val="auto"/>
          <w:sz w:val="22"/>
          <w:szCs w:val="22"/>
          <w:lang w:val="en-GB"/>
        </w:rPr>
        <w:t>, the security policy in the country has not undergone a radical change: the Army continues to carry out public security tasks without any control and there is no guarantee that the National Guard</w:t>
      </w:r>
      <w:r w:rsidR="00D93580">
        <w:rPr>
          <w:rFonts w:cs="Times New Roman"/>
          <w:color w:val="auto"/>
          <w:sz w:val="22"/>
          <w:szCs w:val="22"/>
          <w:lang w:val="en-GB"/>
        </w:rPr>
        <w:t xml:space="preserve"> </w:t>
      </w:r>
      <w:r w:rsidRPr="0047168A">
        <w:rPr>
          <w:rFonts w:cs="Times New Roman"/>
          <w:color w:val="auto"/>
          <w:sz w:val="22"/>
          <w:szCs w:val="22"/>
          <w:lang w:val="en-GB"/>
        </w:rPr>
        <w:t xml:space="preserve">will maintain its civil and police character. </w:t>
      </w:r>
    </w:p>
    <w:p w14:paraId="3C13FA5F" w14:textId="4BF4DD81" w:rsidR="006650AB" w:rsidRPr="0047168A" w:rsidRDefault="0000304F" w:rsidP="0047168A">
      <w:pPr>
        <w:spacing w:before="240" w:line="240" w:lineRule="auto"/>
        <w:jc w:val="both"/>
        <w:rPr>
          <w:rFonts w:cs="Times New Roman"/>
          <w:i/>
          <w:color w:val="auto"/>
          <w:sz w:val="22"/>
          <w:szCs w:val="22"/>
          <w:lang w:val="en-GB"/>
        </w:rPr>
      </w:pPr>
      <w:r w:rsidRPr="0047168A">
        <w:rPr>
          <w:rFonts w:cs="Times New Roman"/>
          <w:i/>
          <w:color w:val="auto"/>
          <w:sz w:val="22"/>
          <w:szCs w:val="22"/>
          <w:lang w:val="en-GB"/>
        </w:rPr>
        <w:t xml:space="preserve">2.1. </w:t>
      </w:r>
      <w:r w:rsidR="00C92B1B">
        <w:rPr>
          <w:rFonts w:cs="Times New Roman"/>
          <w:i/>
          <w:color w:val="auto"/>
          <w:sz w:val="22"/>
          <w:szCs w:val="22"/>
          <w:lang w:val="en-GB"/>
        </w:rPr>
        <w:t>Significant</w:t>
      </w:r>
      <w:r w:rsidR="00C92B1B" w:rsidRPr="0047168A">
        <w:rPr>
          <w:rFonts w:cs="Times New Roman"/>
          <w:i/>
          <w:color w:val="auto"/>
          <w:sz w:val="22"/>
          <w:szCs w:val="22"/>
          <w:lang w:val="en-GB"/>
        </w:rPr>
        <w:t xml:space="preserve"> </w:t>
      </w:r>
      <w:r w:rsidR="006650AB" w:rsidRPr="0047168A">
        <w:rPr>
          <w:rFonts w:cs="Times New Roman"/>
          <w:i/>
          <w:color w:val="auto"/>
          <w:sz w:val="22"/>
          <w:szCs w:val="22"/>
          <w:lang w:val="en-GB"/>
        </w:rPr>
        <w:t>increase in homicides and extrajudicial executions</w:t>
      </w:r>
    </w:p>
    <w:p w14:paraId="6578E49A" w14:textId="574E1413" w:rsidR="006650AB" w:rsidRPr="0047168A" w:rsidRDefault="00C92B1B" w:rsidP="00C72434">
      <w:pPr>
        <w:spacing w:line="240" w:lineRule="auto"/>
        <w:jc w:val="both"/>
        <w:rPr>
          <w:rFonts w:cs="Times New Roman"/>
          <w:color w:val="auto"/>
          <w:sz w:val="22"/>
          <w:szCs w:val="22"/>
          <w:lang w:val="en-GB"/>
        </w:rPr>
      </w:pPr>
      <w:r>
        <w:rPr>
          <w:rFonts w:cs="Times New Roman"/>
          <w:color w:val="auto"/>
          <w:sz w:val="22"/>
          <w:szCs w:val="22"/>
          <w:lang w:val="en-GB"/>
        </w:rPr>
        <w:t>The former</w:t>
      </w:r>
      <w:r w:rsidR="006650AB" w:rsidRPr="0047168A">
        <w:rPr>
          <w:rFonts w:cs="Times New Roman"/>
          <w:color w:val="auto"/>
          <w:sz w:val="22"/>
          <w:szCs w:val="22"/>
          <w:lang w:val="en-GB"/>
        </w:rPr>
        <w:t xml:space="preserve"> </w:t>
      </w:r>
      <w:r w:rsidR="00D72FC3" w:rsidRPr="0047168A">
        <w:rPr>
          <w:rFonts w:cs="Times New Roman"/>
          <w:color w:val="auto"/>
          <w:sz w:val="22"/>
          <w:szCs w:val="22"/>
          <w:lang w:val="en-GB"/>
        </w:rPr>
        <w:t xml:space="preserve">Special Rapporteur on Extrajudicial, Summary or Arbitrary Execution </w:t>
      </w:r>
      <w:r>
        <w:rPr>
          <w:rFonts w:cs="Times New Roman"/>
          <w:color w:val="auto"/>
          <w:sz w:val="22"/>
          <w:szCs w:val="22"/>
          <w:lang w:val="en-GB"/>
        </w:rPr>
        <w:t>found</w:t>
      </w:r>
      <w:r w:rsidRPr="0047168A">
        <w:rPr>
          <w:rFonts w:cs="Times New Roman"/>
          <w:color w:val="auto"/>
          <w:sz w:val="22"/>
          <w:szCs w:val="22"/>
          <w:lang w:val="en-GB"/>
        </w:rPr>
        <w:t xml:space="preserve"> </w:t>
      </w:r>
      <w:r w:rsidR="006650AB" w:rsidRPr="0047168A">
        <w:rPr>
          <w:rFonts w:cs="Times New Roman"/>
          <w:color w:val="auto"/>
          <w:sz w:val="22"/>
          <w:szCs w:val="22"/>
          <w:lang w:val="en-GB"/>
        </w:rPr>
        <w:t>that during the administration of Felipe Calderón (2006-2012) 102</w:t>
      </w:r>
      <w:r>
        <w:rPr>
          <w:rFonts w:cs="Times New Roman"/>
          <w:color w:val="auto"/>
          <w:sz w:val="22"/>
          <w:szCs w:val="22"/>
          <w:lang w:val="en-GB"/>
        </w:rPr>
        <w:t>,</w:t>
      </w:r>
      <w:r w:rsidR="006650AB" w:rsidRPr="0047168A">
        <w:rPr>
          <w:rFonts w:cs="Times New Roman"/>
          <w:color w:val="auto"/>
          <w:sz w:val="22"/>
          <w:szCs w:val="22"/>
          <w:lang w:val="en-GB"/>
        </w:rPr>
        <w:t xml:space="preserve">696 homicides were reported, of which 70,000 related to the </w:t>
      </w:r>
      <w:r w:rsidR="00D72FC3" w:rsidRPr="0047168A">
        <w:rPr>
          <w:rFonts w:cs="Times New Roman"/>
          <w:color w:val="auto"/>
          <w:sz w:val="22"/>
          <w:szCs w:val="22"/>
          <w:lang w:val="en-GB"/>
        </w:rPr>
        <w:t>War on Drug</w:t>
      </w:r>
      <w:r>
        <w:rPr>
          <w:rFonts w:cs="Times New Roman"/>
          <w:color w:val="auto"/>
          <w:sz w:val="22"/>
          <w:szCs w:val="22"/>
          <w:lang w:val="en-GB"/>
        </w:rPr>
        <w:t>s</w:t>
      </w:r>
      <w:r w:rsidR="006650AB" w:rsidRPr="0047168A">
        <w:rPr>
          <w:rFonts w:cs="Times New Roman"/>
          <w:color w:val="auto"/>
          <w:sz w:val="22"/>
          <w:szCs w:val="22"/>
          <w:lang w:val="en-GB"/>
        </w:rPr>
        <w:t>.</w:t>
      </w:r>
      <w:r w:rsidR="006650AB" w:rsidRPr="0047168A">
        <w:rPr>
          <w:rStyle w:val="FootnoteReference"/>
          <w:rFonts w:cs="Times New Roman"/>
          <w:color w:val="auto"/>
          <w:sz w:val="22"/>
          <w:szCs w:val="22"/>
          <w:lang w:val="en-GB"/>
        </w:rPr>
        <w:footnoteReference w:id="30"/>
      </w:r>
      <w:r w:rsidR="006650AB" w:rsidRPr="0047168A">
        <w:rPr>
          <w:rFonts w:cs="Times New Roman"/>
          <w:color w:val="auto"/>
          <w:sz w:val="22"/>
          <w:szCs w:val="22"/>
          <w:lang w:val="en-GB"/>
        </w:rPr>
        <w:t xml:space="preserve"> For 2015, INEGI accounted for 20,525 homicides. According to data from the Public Security System, a total of 9,452</w:t>
      </w:r>
      <w:r>
        <w:rPr>
          <w:rFonts w:cs="Times New Roman"/>
          <w:color w:val="auto"/>
          <w:sz w:val="22"/>
          <w:szCs w:val="22"/>
          <w:lang w:val="en-GB"/>
        </w:rPr>
        <w:t xml:space="preserve"> homicides</w:t>
      </w:r>
      <w:r w:rsidR="006650AB" w:rsidRPr="0047168A">
        <w:rPr>
          <w:rFonts w:cs="Times New Roman"/>
          <w:color w:val="auto"/>
          <w:sz w:val="22"/>
          <w:szCs w:val="22"/>
          <w:lang w:val="en-GB"/>
        </w:rPr>
        <w:t xml:space="preserve"> were specifically and directly related to the </w:t>
      </w:r>
      <w:r w:rsidR="00D72FC3" w:rsidRPr="0047168A">
        <w:rPr>
          <w:rFonts w:cs="Times New Roman"/>
          <w:color w:val="auto"/>
          <w:sz w:val="22"/>
          <w:szCs w:val="22"/>
          <w:lang w:val="en-GB"/>
        </w:rPr>
        <w:t>War on Drug</w:t>
      </w:r>
      <w:r>
        <w:rPr>
          <w:rFonts w:cs="Times New Roman"/>
          <w:color w:val="auto"/>
          <w:sz w:val="22"/>
          <w:szCs w:val="22"/>
          <w:lang w:val="en-GB"/>
        </w:rPr>
        <w:t>s</w:t>
      </w:r>
      <w:r w:rsidR="0047168A">
        <w:rPr>
          <w:rFonts w:cs="Times New Roman"/>
          <w:color w:val="auto"/>
          <w:sz w:val="22"/>
          <w:szCs w:val="22"/>
          <w:lang w:val="en-GB"/>
        </w:rPr>
        <w:t xml:space="preserve"> that year</w:t>
      </w:r>
      <w:r w:rsidR="006650AB" w:rsidRPr="0047168A">
        <w:rPr>
          <w:rFonts w:cs="Times New Roman"/>
          <w:color w:val="auto"/>
          <w:sz w:val="22"/>
          <w:szCs w:val="22"/>
          <w:lang w:val="en-GB"/>
        </w:rPr>
        <w:t xml:space="preserve">. </w:t>
      </w:r>
      <w:r>
        <w:rPr>
          <w:rFonts w:cs="Times New Roman"/>
          <w:color w:val="auto"/>
          <w:sz w:val="22"/>
          <w:szCs w:val="22"/>
          <w:lang w:val="en-GB"/>
        </w:rPr>
        <w:t>In</w:t>
      </w:r>
      <w:r w:rsidRPr="0047168A">
        <w:rPr>
          <w:rFonts w:cs="Times New Roman"/>
          <w:color w:val="auto"/>
          <w:sz w:val="22"/>
          <w:szCs w:val="22"/>
          <w:lang w:val="en-GB"/>
        </w:rPr>
        <w:t xml:space="preserve"> </w:t>
      </w:r>
      <w:r w:rsidR="006650AB" w:rsidRPr="0047168A">
        <w:rPr>
          <w:rFonts w:cs="Times New Roman"/>
          <w:color w:val="auto"/>
          <w:sz w:val="22"/>
          <w:szCs w:val="22"/>
          <w:lang w:val="en-GB"/>
        </w:rPr>
        <w:t>2018, the highest number of homicides occurred in the recent history of Mexico was recorded, with around 33,000 dead</w:t>
      </w:r>
      <w:r>
        <w:rPr>
          <w:rFonts w:cs="Times New Roman"/>
          <w:color w:val="auto"/>
          <w:sz w:val="22"/>
          <w:szCs w:val="22"/>
          <w:lang w:val="en-GB"/>
        </w:rPr>
        <w:t>;</w:t>
      </w:r>
      <w:r w:rsidR="006650AB" w:rsidRPr="0047168A">
        <w:rPr>
          <w:rStyle w:val="FootnoteReference"/>
          <w:rFonts w:cs="Times New Roman"/>
          <w:color w:val="auto"/>
          <w:sz w:val="22"/>
          <w:szCs w:val="22"/>
          <w:lang w:val="en-GB"/>
        </w:rPr>
        <w:footnoteReference w:id="31"/>
      </w:r>
      <w:r w:rsidR="00D93580">
        <w:rPr>
          <w:rFonts w:cs="Times New Roman"/>
          <w:color w:val="auto"/>
          <w:sz w:val="22"/>
          <w:szCs w:val="22"/>
          <w:lang w:val="en-GB"/>
        </w:rPr>
        <w:t xml:space="preserve"> </w:t>
      </w:r>
      <w:r w:rsidR="006650AB" w:rsidRPr="0047168A">
        <w:rPr>
          <w:rFonts w:cs="Times New Roman"/>
          <w:color w:val="auto"/>
          <w:sz w:val="22"/>
          <w:szCs w:val="22"/>
          <w:lang w:val="en-GB"/>
        </w:rPr>
        <w:t>according to data from the Executive Secretariat of the National Public Security System (SESNSP), during the first seven m</w:t>
      </w:r>
      <w:r w:rsidR="00D93580">
        <w:rPr>
          <w:rFonts w:cs="Times New Roman"/>
          <w:color w:val="auto"/>
          <w:sz w:val="22"/>
          <w:szCs w:val="22"/>
          <w:lang w:val="en-GB"/>
        </w:rPr>
        <w:t xml:space="preserve">onths </w:t>
      </w:r>
      <w:r w:rsidR="00D93580">
        <w:rPr>
          <w:rFonts w:cs="Times New Roman"/>
          <w:color w:val="auto"/>
          <w:sz w:val="22"/>
          <w:szCs w:val="22"/>
          <w:lang w:val="en-GB"/>
        </w:rPr>
        <w:lastRenderedPageBreak/>
        <w:t xml:space="preserve">of the current government </w:t>
      </w:r>
      <w:r w:rsidR="006650AB" w:rsidRPr="0047168A">
        <w:rPr>
          <w:rFonts w:cs="Times New Roman"/>
          <w:color w:val="auto"/>
          <w:sz w:val="22"/>
          <w:szCs w:val="22"/>
          <w:lang w:val="en-GB"/>
        </w:rPr>
        <w:t xml:space="preserve">1,525 wrongful killings were committed, of which </w:t>
      </w:r>
      <w:r>
        <w:rPr>
          <w:rFonts w:cs="Times New Roman"/>
          <w:color w:val="auto"/>
          <w:sz w:val="22"/>
          <w:szCs w:val="22"/>
          <w:lang w:val="en-GB"/>
        </w:rPr>
        <w:t>75%</w:t>
      </w:r>
      <w:r w:rsidR="006650AB" w:rsidRPr="0047168A">
        <w:rPr>
          <w:rFonts w:cs="Times New Roman"/>
          <w:color w:val="auto"/>
          <w:sz w:val="22"/>
          <w:szCs w:val="22"/>
          <w:lang w:val="en-GB"/>
        </w:rPr>
        <w:t xml:space="preserve"> with a firearm.</w:t>
      </w:r>
      <w:r w:rsidR="006650AB" w:rsidRPr="0047168A">
        <w:rPr>
          <w:rStyle w:val="FootnoteReference"/>
          <w:rFonts w:cs="Times New Roman"/>
          <w:color w:val="auto"/>
          <w:sz w:val="22"/>
          <w:szCs w:val="22"/>
          <w:lang w:val="en-GB"/>
        </w:rPr>
        <w:footnoteReference w:id="32"/>
      </w:r>
    </w:p>
    <w:p w14:paraId="69E6DCD5" w14:textId="6964F9BC" w:rsidR="006650AB" w:rsidRPr="0047168A" w:rsidRDefault="00C92B1B" w:rsidP="00C72434">
      <w:pPr>
        <w:spacing w:line="240" w:lineRule="auto"/>
        <w:jc w:val="both"/>
        <w:rPr>
          <w:rFonts w:cs="Times New Roman"/>
          <w:color w:val="auto"/>
          <w:sz w:val="22"/>
          <w:szCs w:val="22"/>
          <w:lang w:val="en-GB"/>
        </w:rPr>
      </w:pPr>
      <w:r>
        <w:rPr>
          <w:rFonts w:cs="Times New Roman"/>
          <w:color w:val="auto"/>
          <w:sz w:val="22"/>
          <w:szCs w:val="22"/>
          <w:lang w:val="en-GB"/>
        </w:rPr>
        <w:t>Other</w:t>
      </w:r>
      <w:r w:rsidR="00D93580">
        <w:rPr>
          <w:rFonts w:cs="Times New Roman"/>
          <w:color w:val="auto"/>
          <w:sz w:val="22"/>
          <w:szCs w:val="22"/>
          <w:lang w:val="en-GB"/>
        </w:rPr>
        <w:t xml:space="preserve"> </w:t>
      </w:r>
      <w:r w:rsidR="006650AB" w:rsidRPr="0047168A">
        <w:rPr>
          <w:rFonts w:cs="Times New Roman"/>
          <w:color w:val="auto"/>
          <w:sz w:val="22"/>
          <w:szCs w:val="22"/>
          <w:lang w:val="en-GB"/>
        </w:rPr>
        <w:t xml:space="preserve">serious episodes of violence </w:t>
      </w:r>
      <w:r w:rsidR="0047168A">
        <w:rPr>
          <w:rFonts w:cs="Times New Roman"/>
          <w:color w:val="auto"/>
          <w:sz w:val="22"/>
          <w:szCs w:val="22"/>
          <w:lang w:val="en-GB"/>
        </w:rPr>
        <w:t xml:space="preserve">related to the fight against criminal organizations </w:t>
      </w:r>
      <w:r w:rsidR="006650AB" w:rsidRPr="0047168A">
        <w:rPr>
          <w:rFonts w:cs="Times New Roman"/>
          <w:color w:val="auto"/>
          <w:sz w:val="22"/>
          <w:szCs w:val="22"/>
          <w:lang w:val="en-GB"/>
        </w:rPr>
        <w:t>have been recorded this year: on April 26</w:t>
      </w:r>
      <w:r w:rsidR="00D72FC3" w:rsidRPr="0047168A">
        <w:rPr>
          <w:rFonts w:cs="Times New Roman"/>
          <w:color w:val="auto"/>
          <w:sz w:val="22"/>
          <w:szCs w:val="22"/>
          <w:lang w:val="en-GB"/>
        </w:rPr>
        <w:t>,</w:t>
      </w:r>
      <w:r w:rsidR="006650AB" w:rsidRPr="0047168A">
        <w:rPr>
          <w:rFonts w:cs="Times New Roman"/>
          <w:color w:val="auto"/>
          <w:sz w:val="22"/>
          <w:szCs w:val="22"/>
          <w:lang w:val="en-GB"/>
        </w:rPr>
        <w:t xml:space="preserve"> a massacre occurred in Minatitlán, Veracruz</w:t>
      </w:r>
      <w:r w:rsidR="00D72FC3" w:rsidRPr="0047168A">
        <w:rPr>
          <w:rFonts w:cs="Times New Roman"/>
          <w:color w:val="auto"/>
          <w:sz w:val="22"/>
          <w:szCs w:val="22"/>
          <w:lang w:val="en-GB"/>
        </w:rPr>
        <w:t xml:space="preserve">, where 13 people were killed; </w:t>
      </w:r>
      <w:r w:rsidR="00D93580">
        <w:rPr>
          <w:rFonts w:cs="Times New Roman"/>
          <w:color w:val="auto"/>
          <w:sz w:val="22"/>
          <w:szCs w:val="22"/>
          <w:lang w:val="en-GB"/>
        </w:rPr>
        <w:t>in</w:t>
      </w:r>
      <w:r w:rsidR="0000304F" w:rsidRPr="0047168A">
        <w:rPr>
          <w:rFonts w:cs="Times New Roman"/>
          <w:color w:val="auto"/>
          <w:sz w:val="22"/>
          <w:szCs w:val="22"/>
          <w:lang w:val="en-GB"/>
        </w:rPr>
        <w:t xml:space="preserve"> </w:t>
      </w:r>
      <w:r w:rsidR="00D72FC3" w:rsidRPr="0047168A">
        <w:rPr>
          <w:rFonts w:cs="Times New Roman"/>
          <w:color w:val="auto"/>
          <w:sz w:val="22"/>
          <w:szCs w:val="22"/>
          <w:lang w:val="en-GB"/>
        </w:rPr>
        <w:t>August, 9</w:t>
      </w:r>
      <w:r w:rsidR="006650AB" w:rsidRPr="0047168A">
        <w:rPr>
          <w:rFonts w:cs="Times New Roman"/>
          <w:color w:val="auto"/>
          <w:sz w:val="22"/>
          <w:szCs w:val="22"/>
          <w:lang w:val="en-GB"/>
        </w:rPr>
        <w:t xml:space="preserve"> people appeared hanging on a bridge in Uruapan, Michoacán; and on the night of August 27-28, 30 people were killed by armed men in a bar in Coatzacoalcos, Veracruz.</w:t>
      </w:r>
      <w:r w:rsidR="006650AB" w:rsidRPr="0047168A">
        <w:rPr>
          <w:rStyle w:val="FootnoteReference"/>
          <w:rFonts w:cs="Times New Roman"/>
          <w:color w:val="auto"/>
          <w:sz w:val="22"/>
          <w:szCs w:val="22"/>
          <w:lang w:val="en-GB"/>
        </w:rPr>
        <w:footnoteReference w:id="33"/>
      </w:r>
    </w:p>
    <w:p w14:paraId="58B2BF01" w14:textId="77777777" w:rsidR="006650AB" w:rsidRPr="0047168A" w:rsidRDefault="0000304F" w:rsidP="0047168A">
      <w:pPr>
        <w:spacing w:before="240" w:line="240" w:lineRule="auto"/>
        <w:jc w:val="both"/>
        <w:rPr>
          <w:rFonts w:cs="Times New Roman"/>
          <w:i/>
          <w:color w:val="auto"/>
          <w:sz w:val="22"/>
          <w:szCs w:val="22"/>
          <w:lang w:val="en-GB"/>
        </w:rPr>
      </w:pPr>
      <w:r w:rsidRPr="0047168A">
        <w:rPr>
          <w:rFonts w:cs="Times New Roman"/>
          <w:i/>
          <w:color w:val="auto"/>
          <w:sz w:val="22"/>
          <w:szCs w:val="22"/>
          <w:lang w:val="en-GB"/>
        </w:rPr>
        <w:t xml:space="preserve">2.2. </w:t>
      </w:r>
      <w:r w:rsidR="0045217E" w:rsidRPr="0047168A">
        <w:rPr>
          <w:rFonts w:cs="Times New Roman"/>
          <w:i/>
          <w:color w:val="auto"/>
          <w:sz w:val="22"/>
          <w:szCs w:val="22"/>
          <w:lang w:val="en-GB"/>
        </w:rPr>
        <w:t>D</w:t>
      </w:r>
      <w:r w:rsidR="006650AB" w:rsidRPr="0047168A">
        <w:rPr>
          <w:rFonts w:cs="Times New Roman"/>
          <w:i/>
          <w:color w:val="auto"/>
          <w:sz w:val="22"/>
          <w:szCs w:val="22"/>
          <w:lang w:val="en-GB"/>
        </w:rPr>
        <w:t>isappearances</w:t>
      </w:r>
      <w:r w:rsidR="0045217E" w:rsidRPr="0047168A">
        <w:rPr>
          <w:rFonts w:cs="Times New Roman"/>
          <w:i/>
          <w:color w:val="auto"/>
          <w:sz w:val="22"/>
          <w:szCs w:val="22"/>
          <w:lang w:val="en-GB"/>
        </w:rPr>
        <w:t xml:space="preserve"> crisis</w:t>
      </w:r>
    </w:p>
    <w:p w14:paraId="5C566B38" w14:textId="58265F29" w:rsidR="006650AB" w:rsidRPr="0047168A" w:rsidRDefault="00D93580" w:rsidP="00C72434">
      <w:pPr>
        <w:spacing w:line="240" w:lineRule="auto"/>
        <w:jc w:val="both"/>
        <w:rPr>
          <w:rFonts w:cs="Times New Roman"/>
          <w:color w:val="auto"/>
          <w:sz w:val="22"/>
          <w:szCs w:val="22"/>
          <w:lang w:val="en-GB"/>
        </w:rPr>
      </w:pPr>
      <w:r>
        <w:rPr>
          <w:rFonts w:cs="Times New Roman"/>
          <w:color w:val="auto"/>
          <w:sz w:val="22"/>
          <w:szCs w:val="22"/>
          <w:lang w:val="en-GB"/>
        </w:rPr>
        <w:t>The strategy of militaris</w:t>
      </w:r>
      <w:r w:rsidR="006650AB" w:rsidRPr="0047168A">
        <w:rPr>
          <w:rFonts w:cs="Times New Roman"/>
          <w:color w:val="auto"/>
          <w:sz w:val="22"/>
          <w:szCs w:val="22"/>
          <w:lang w:val="en-GB"/>
        </w:rPr>
        <w:t xml:space="preserve">ation of </w:t>
      </w:r>
      <w:r w:rsidR="002B0CB5">
        <w:rPr>
          <w:rFonts w:cs="Times New Roman"/>
          <w:color w:val="auto"/>
          <w:sz w:val="22"/>
          <w:szCs w:val="22"/>
          <w:lang w:val="en-GB"/>
        </w:rPr>
        <w:t>public</w:t>
      </w:r>
      <w:r w:rsidR="002B0CB5" w:rsidRPr="0047168A">
        <w:rPr>
          <w:rFonts w:cs="Times New Roman"/>
          <w:color w:val="auto"/>
          <w:sz w:val="22"/>
          <w:szCs w:val="22"/>
          <w:lang w:val="en-GB"/>
        </w:rPr>
        <w:t xml:space="preserve"> </w:t>
      </w:r>
      <w:r w:rsidR="006650AB" w:rsidRPr="0047168A">
        <w:rPr>
          <w:rFonts w:cs="Times New Roman"/>
          <w:color w:val="auto"/>
          <w:sz w:val="22"/>
          <w:szCs w:val="22"/>
          <w:lang w:val="en-GB"/>
        </w:rPr>
        <w:t xml:space="preserve">security, </w:t>
      </w:r>
      <w:r w:rsidR="00D72FC3" w:rsidRPr="0047168A">
        <w:rPr>
          <w:rFonts w:cs="Times New Roman"/>
          <w:color w:val="auto"/>
          <w:sz w:val="22"/>
          <w:szCs w:val="22"/>
          <w:lang w:val="en-GB"/>
        </w:rPr>
        <w:t>and the</w:t>
      </w:r>
      <w:r w:rsidR="006650AB" w:rsidRPr="0047168A">
        <w:rPr>
          <w:rFonts w:cs="Times New Roman"/>
          <w:color w:val="auto"/>
          <w:sz w:val="22"/>
          <w:szCs w:val="22"/>
          <w:lang w:val="en-GB"/>
        </w:rPr>
        <w:t xml:space="preserve"> dynamics of violence that it </w:t>
      </w:r>
      <w:r w:rsidR="00D72FC3" w:rsidRPr="0047168A">
        <w:rPr>
          <w:rFonts w:cs="Times New Roman"/>
          <w:color w:val="auto"/>
          <w:sz w:val="22"/>
          <w:szCs w:val="22"/>
          <w:lang w:val="en-GB"/>
        </w:rPr>
        <w:t xml:space="preserve">has </w:t>
      </w:r>
      <w:r w:rsidR="006650AB" w:rsidRPr="0047168A">
        <w:rPr>
          <w:rFonts w:cs="Times New Roman"/>
          <w:color w:val="auto"/>
          <w:sz w:val="22"/>
          <w:szCs w:val="22"/>
          <w:lang w:val="en-GB"/>
        </w:rPr>
        <w:t xml:space="preserve">generated, also produced thousands of disappearances. Some civil society organizations estimate that there are between 30,000 and 50,000 </w:t>
      </w:r>
      <w:r w:rsidR="00D72FC3" w:rsidRPr="0047168A">
        <w:rPr>
          <w:rFonts w:cs="Times New Roman"/>
          <w:color w:val="auto"/>
          <w:sz w:val="22"/>
          <w:szCs w:val="22"/>
          <w:lang w:val="en-GB"/>
        </w:rPr>
        <w:t xml:space="preserve">disappeared </w:t>
      </w:r>
      <w:r w:rsidR="006650AB" w:rsidRPr="0047168A">
        <w:rPr>
          <w:rFonts w:cs="Times New Roman"/>
          <w:color w:val="auto"/>
          <w:sz w:val="22"/>
          <w:szCs w:val="22"/>
          <w:lang w:val="en-GB"/>
        </w:rPr>
        <w:t xml:space="preserve">people after ten years of </w:t>
      </w:r>
      <w:r w:rsidR="00D72FC3" w:rsidRPr="0047168A">
        <w:rPr>
          <w:rFonts w:cs="Times New Roman"/>
          <w:color w:val="auto"/>
          <w:sz w:val="22"/>
          <w:szCs w:val="22"/>
          <w:lang w:val="en-GB"/>
        </w:rPr>
        <w:t>War on Dru</w:t>
      </w:r>
      <w:r>
        <w:rPr>
          <w:rFonts w:cs="Times New Roman"/>
          <w:color w:val="auto"/>
          <w:sz w:val="22"/>
          <w:szCs w:val="22"/>
          <w:lang w:val="en-GB"/>
        </w:rPr>
        <w:t>g</w:t>
      </w:r>
      <w:r w:rsidR="002B0CB5">
        <w:rPr>
          <w:rFonts w:cs="Times New Roman"/>
          <w:color w:val="auto"/>
          <w:sz w:val="22"/>
          <w:szCs w:val="22"/>
          <w:lang w:val="en-GB"/>
        </w:rPr>
        <w:t>s</w:t>
      </w:r>
      <w:r w:rsidR="006650AB" w:rsidRPr="0047168A">
        <w:rPr>
          <w:rFonts w:cs="Times New Roman"/>
          <w:color w:val="auto"/>
          <w:sz w:val="22"/>
          <w:szCs w:val="22"/>
          <w:lang w:val="en-GB"/>
        </w:rPr>
        <w:t>.</w:t>
      </w:r>
      <w:r w:rsidR="006650AB" w:rsidRPr="0047168A">
        <w:rPr>
          <w:rStyle w:val="FootnoteReference"/>
          <w:rFonts w:cs="Times New Roman"/>
          <w:color w:val="auto"/>
          <w:sz w:val="22"/>
          <w:szCs w:val="22"/>
          <w:lang w:val="en-GB"/>
        </w:rPr>
        <w:footnoteReference w:id="34"/>
      </w:r>
      <w:r w:rsidR="0047168A">
        <w:rPr>
          <w:rFonts w:cs="Times New Roman"/>
          <w:color w:val="auto"/>
          <w:sz w:val="22"/>
          <w:szCs w:val="22"/>
          <w:lang w:val="en-GB"/>
        </w:rPr>
        <w:t xml:space="preserve"> </w:t>
      </w:r>
      <w:r w:rsidR="006650AB" w:rsidRPr="0047168A">
        <w:rPr>
          <w:rFonts w:cs="Times New Roman"/>
          <w:color w:val="auto"/>
          <w:sz w:val="22"/>
          <w:szCs w:val="22"/>
          <w:lang w:val="en-GB"/>
        </w:rPr>
        <w:t xml:space="preserve">The official </w:t>
      </w:r>
      <w:r w:rsidR="0000304F" w:rsidRPr="0047168A">
        <w:rPr>
          <w:rFonts w:cs="Times New Roman"/>
          <w:color w:val="auto"/>
          <w:sz w:val="22"/>
          <w:szCs w:val="22"/>
          <w:lang w:val="en-GB"/>
        </w:rPr>
        <w:t xml:space="preserve">estimate </w:t>
      </w:r>
      <w:r>
        <w:rPr>
          <w:rFonts w:cs="Times New Roman"/>
          <w:color w:val="auto"/>
          <w:sz w:val="22"/>
          <w:szCs w:val="22"/>
          <w:lang w:val="en-GB"/>
        </w:rPr>
        <w:t>is at</w:t>
      </w:r>
      <w:r w:rsidR="0000304F" w:rsidRPr="0047168A">
        <w:rPr>
          <w:rFonts w:cs="Times New Roman"/>
          <w:color w:val="auto"/>
          <w:sz w:val="22"/>
          <w:szCs w:val="22"/>
          <w:lang w:val="en-GB"/>
        </w:rPr>
        <w:t xml:space="preserve"> least</w:t>
      </w:r>
      <w:r w:rsidR="006650AB" w:rsidRPr="0047168A">
        <w:rPr>
          <w:rFonts w:cs="Times New Roman"/>
          <w:color w:val="auto"/>
          <w:sz w:val="22"/>
          <w:szCs w:val="22"/>
          <w:lang w:val="en-GB"/>
        </w:rPr>
        <w:t xml:space="preserve"> 40,000 missing persons.</w:t>
      </w:r>
      <w:r w:rsidR="006650AB" w:rsidRPr="0047168A">
        <w:rPr>
          <w:rStyle w:val="FootnoteReference"/>
          <w:rFonts w:cs="Times New Roman"/>
          <w:color w:val="auto"/>
          <w:sz w:val="22"/>
          <w:szCs w:val="22"/>
          <w:lang w:val="en-GB"/>
        </w:rPr>
        <w:footnoteReference w:id="35"/>
      </w:r>
      <w:r w:rsidR="00D72FC3" w:rsidRPr="0047168A">
        <w:rPr>
          <w:rFonts w:cs="Times New Roman"/>
          <w:color w:val="auto"/>
          <w:sz w:val="22"/>
          <w:szCs w:val="22"/>
          <w:lang w:val="en-GB"/>
        </w:rPr>
        <w:t xml:space="preserve"> </w:t>
      </w:r>
      <w:r w:rsidR="006650AB" w:rsidRPr="0047168A">
        <w:rPr>
          <w:rFonts w:cs="Times New Roman"/>
          <w:color w:val="auto"/>
          <w:sz w:val="22"/>
          <w:szCs w:val="22"/>
          <w:lang w:val="en-GB"/>
        </w:rPr>
        <w:t xml:space="preserve">Also, according to data from the Office of the Attorney General of Military Justice, from 2007 to 2017, 78 criminal investigations </w:t>
      </w:r>
      <w:r w:rsidR="0047168A">
        <w:rPr>
          <w:rFonts w:cs="Times New Roman"/>
          <w:color w:val="auto"/>
          <w:sz w:val="22"/>
          <w:szCs w:val="22"/>
          <w:lang w:val="en-GB"/>
        </w:rPr>
        <w:t xml:space="preserve">against Army forces, </w:t>
      </w:r>
      <w:r w:rsidR="006650AB" w:rsidRPr="0047168A">
        <w:rPr>
          <w:rFonts w:cs="Times New Roman"/>
          <w:color w:val="auto"/>
          <w:sz w:val="22"/>
          <w:szCs w:val="22"/>
          <w:lang w:val="en-GB"/>
        </w:rPr>
        <w:t xml:space="preserve">have been initiated </w:t>
      </w:r>
      <w:r w:rsidR="00D9505B">
        <w:rPr>
          <w:rFonts w:cs="Times New Roman"/>
          <w:color w:val="auto"/>
          <w:sz w:val="22"/>
          <w:szCs w:val="22"/>
          <w:lang w:val="en-GB"/>
        </w:rPr>
        <w:t>for</w:t>
      </w:r>
      <w:r w:rsidR="00D9505B" w:rsidRPr="0047168A">
        <w:rPr>
          <w:rFonts w:cs="Times New Roman"/>
          <w:color w:val="auto"/>
          <w:sz w:val="22"/>
          <w:szCs w:val="22"/>
          <w:lang w:val="en-GB"/>
        </w:rPr>
        <w:t xml:space="preserve"> </w:t>
      </w:r>
      <w:r w:rsidR="006650AB" w:rsidRPr="0047168A">
        <w:rPr>
          <w:rFonts w:cs="Times New Roman"/>
          <w:color w:val="auto"/>
          <w:sz w:val="22"/>
          <w:szCs w:val="22"/>
          <w:lang w:val="en-GB"/>
        </w:rPr>
        <w:t>the crime of forced disappearance.</w:t>
      </w:r>
      <w:r w:rsidR="006650AB" w:rsidRPr="0047168A">
        <w:rPr>
          <w:rStyle w:val="FootnoteReference"/>
          <w:rFonts w:cs="Times New Roman"/>
          <w:color w:val="auto"/>
          <w:sz w:val="22"/>
          <w:szCs w:val="22"/>
          <w:lang w:val="en-GB"/>
        </w:rPr>
        <w:footnoteReference w:id="36"/>
      </w:r>
    </w:p>
    <w:p w14:paraId="7A5C25B9" w14:textId="5000167B" w:rsidR="006650AB" w:rsidRPr="0047168A" w:rsidRDefault="00D9505B" w:rsidP="00C72434">
      <w:pPr>
        <w:spacing w:line="240" w:lineRule="auto"/>
        <w:jc w:val="both"/>
        <w:rPr>
          <w:rFonts w:cs="Times New Roman"/>
          <w:color w:val="auto"/>
          <w:sz w:val="22"/>
          <w:szCs w:val="22"/>
          <w:lang w:val="en-GB"/>
        </w:rPr>
      </w:pPr>
      <w:r>
        <w:rPr>
          <w:rFonts w:cs="Times New Roman"/>
          <w:color w:val="auto"/>
          <w:sz w:val="22"/>
          <w:szCs w:val="22"/>
          <w:lang w:val="en-GB"/>
        </w:rPr>
        <w:t>T</w:t>
      </w:r>
      <w:r w:rsidR="004A4F04" w:rsidRPr="0047168A">
        <w:rPr>
          <w:rFonts w:cs="Times New Roman"/>
          <w:color w:val="auto"/>
          <w:sz w:val="22"/>
          <w:szCs w:val="22"/>
          <w:lang w:val="en-GB"/>
        </w:rPr>
        <w:t>he National Search Commission (Comisión Nacional de Búsqueda</w:t>
      </w:r>
      <w:r w:rsidR="006650AB" w:rsidRPr="0047168A">
        <w:rPr>
          <w:rFonts w:cs="Times New Roman"/>
          <w:color w:val="auto"/>
          <w:sz w:val="22"/>
          <w:szCs w:val="22"/>
          <w:lang w:val="en-GB"/>
        </w:rPr>
        <w:t xml:space="preserve">) has reported that, so far, "4,974 bodies have been found in 3,024 </w:t>
      </w:r>
      <w:r w:rsidR="00D72FC3" w:rsidRPr="0047168A">
        <w:rPr>
          <w:rFonts w:cs="Times New Roman"/>
          <w:color w:val="auto"/>
          <w:sz w:val="22"/>
          <w:szCs w:val="22"/>
          <w:lang w:val="en-GB"/>
        </w:rPr>
        <w:t xml:space="preserve">“clandestine </w:t>
      </w:r>
      <w:r w:rsidR="006650AB" w:rsidRPr="0047168A">
        <w:rPr>
          <w:rFonts w:cs="Times New Roman"/>
          <w:color w:val="auto"/>
          <w:sz w:val="22"/>
          <w:szCs w:val="22"/>
          <w:lang w:val="en-GB"/>
        </w:rPr>
        <w:t>graves</w:t>
      </w:r>
      <w:r w:rsidR="00D72FC3" w:rsidRPr="0047168A">
        <w:rPr>
          <w:rFonts w:cs="Times New Roman"/>
          <w:color w:val="auto"/>
          <w:sz w:val="22"/>
          <w:szCs w:val="22"/>
          <w:lang w:val="en-GB"/>
        </w:rPr>
        <w:t>”</w:t>
      </w:r>
      <w:r w:rsidR="006650AB" w:rsidRPr="0047168A">
        <w:rPr>
          <w:rFonts w:cs="Times New Roman"/>
          <w:color w:val="auto"/>
          <w:sz w:val="22"/>
          <w:szCs w:val="22"/>
          <w:lang w:val="en-GB"/>
        </w:rPr>
        <w:t xml:space="preserve"> in the past 13 and a half years.</w:t>
      </w:r>
      <w:r w:rsidR="006650AB" w:rsidRPr="0047168A">
        <w:rPr>
          <w:rStyle w:val="FootnoteReference"/>
          <w:rFonts w:cs="Times New Roman"/>
          <w:color w:val="auto"/>
          <w:sz w:val="22"/>
          <w:szCs w:val="22"/>
          <w:lang w:val="en-GB"/>
        </w:rPr>
        <w:footnoteReference w:id="37"/>
      </w:r>
      <w:r w:rsidR="006650AB" w:rsidRPr="0047168A">
        <w:rPr>
          <w:rFonts w:cs="Times New Roman"/>
          <w:color w:val="auto"/>
          <w:sz w:val="22"/>
          <w:szCs w:val="22"/>
          <w:lang w:val="en-GB"/>
        </w:rPr>
        <w:t xml:space="preserve"> However, new graves continue to be found: on “La Guapota”, Veracruz, 43 clandestine graves and undetermined human remains were found</w:t>
      </w:r>
      <w:r w:rsidR="006650AB" w:rsidRPr="0047168A">
        <w:rPr>
          <w:rStyle w:val="FootnoteReference"/>
          <w:rFonts w:cs="Times New Roman"/>
          <w:color w:val="auto"/>
          <w:sz w:val="22"/>
          <w:szCs w:val="22"/>
          <w:lang w:val="en-GB"/>
        </w:rPr>
        <w:footnoteReference w:id="38"/>
      </w:r>
      <w:r w:rsidR="006650AB" w:rsidRPr="0047168A">
        <w:rPr>
          <w:rFonts w:cs="Times New Roman"/>
          <w:color w:val="auto"/>
          <w:sz w:val="22"/>
          <w:szCs w:val="22"/>
          <w:lang w:val="en-GB"/>
        </w:rPr>
        <w:t>; in Tamaulipas, a group of mothers found three graves with at least 265 human remains</w:t>
      </w:r>
      <w:r w:rsidR="006650AB" w:rsidRPr="0047168A">
        <w:rPr>
          <w:rStyle w:val="FootnoteReference"/>
          <w:rFonts w:cs="Times New Roman"/>
          <w:color w:val="auto"/>
          <w:sz w:val="22"/>
          <w:szCs w:val="22"/>
          <w:lang w:val="en-GB"/>
        </w:rPr>
        <w:footnoteReference w:id="39"/>
      </w:r>
      <w:r w:rsidR="006650AB" w:rsidRPr="0047168A">
        <w:rPr>
          <w:rFonts w:cs="Times New Roman"/>
          <w:color w:val="auto"/>
          <w:sz w:val="22"/>
          <w:szCs w:val="22"/>
          <w:lang w:val="en-GB"/>
        </w:rPr>
        <w:t xml:space="preserve">; finally, mothers who are members </w:t>
      </w:r>
      <w:r w:rsidR="006650AB" w:rsidRPr="0047168A">
        <w:rPr>
          <w:rFonts w:cs="Times New Roman"/>
          <w:color w:val="auto"/>
          <w:sz w:val="22"/>
          <w:szCs w:val="22"/>
          <w:lang w:val="en-GB"/>
        </w:rPr>
        <w:lastRenderedPageBreak/>
        <w:t xml:space="preserve">of the “Colectivo Solecito” found the largest clandestine grave in Mexico in Santa Fe Hills, Veracruz, with about 298 skulls and 22,500 human remains . </w:t>
      </w:r>
      <w:r w:rsidR="006650AB" w:rsidRPr="0047168A">
        <w:rPr>
          <w:rStyle w:val="FootnoteReference"/>
          <w:rFonts w:cs="Times New Roman"/>
          <w:color w:val="auto"/>
          <w:sz w:val="22"/>
          <w:szCs w:val="22"/>
          <w:lang w:val="en-GB"/>
        </w:rPr>
        <w:footnoteReference w:id="40"/>
      </w:r>
    </w:p>
    <w:p w14:paraId="3C201701" w14:textId="77777777" w:rsidR="006650AB" w:rsidRPr="0047168A" w:rsidRDefault="0000304F" w:rsidP="0047168A">
      <w:pPr>
        <w:spacing w:before="240" w:line="240" w:lineRule="auto"/>
        <w:jc w:val="both"/>
        <w:rPr>
          <w:rFonts w:cs="Times New Roman"/>
          <w:color w:val="auto"/>
          <w:sz w:val="22"/>
          <w:szCs w:val="22"/>
          <w:u w:val="single"/>
          <w:lang w:val="en-GB"/>
        </w:rPr>
      </w:pPr>
      <w:r w:rsidRPr="0047168A">
        <w:rPr>
          <w:rFonts w:cs="Times New Roman"/>
          <w:i/>
          <w:color w:val="auto"/>
          <w:sz w:val="22"/>
          <w:szCs w:val="22"/>
          <w:lang w:val="en-GB"/>
        </w:rPr>
        <w:t xml:space="preserve">2.3. </w:t>
      </w:r>
      <w:r w:rsidR="001174A4" w:rsidRPr="0047168A">
        <w:rPr>
          <w:rFonts w:cs="Times New Roman"/>
          <w:i/>
          <w:color w:val="auto"/>
          <w:sz w:val="22"/>
          <w:szCs w:val="22"/>
          <w:lang w:val="en-GB"/>
        </w:rPr>
        <w:t>F</w:t>
      </w:r>
      <w:r w:rsidR="006650AB" w:rsidRPr="0047168A">
        <w:rPr>
          <w:rFonts w:cs="Times New Roman"/>
          <w:i/>
          <w:color w:val="auto"/>
          <w:sz w:val="22"/>
          <w:szCs w:val="22"/>
          <w:lang w:val="en-GB"/>
        </w:rPr>
        <w:t xml:space="preserve">orced displacement </w:t>
      </w:r>
      <w:r w:rsidR="001174A4" w:rsidRPr="0047168A">
        <w:rPr>
          <w:rFonts w:cs="Times New Roman"/>
          <w:i/>
          <w:color w:val="auto"/>
          <w:sz w:val="22"/>
          <w:szCs w:val="22"/>
          <w:lang w:val="en-GB"/>
        </w:rPr>
        <w:t xml:space="preserve">related to </w:t>
      </w:r>
      <w:r w:rsidR="006650AB" w:rsidRPr="0047168A">
        <w:rPr>
          <w:rFonts w:cs="Times New Roman"/>
          <w:i/>
          <w:color w:val="auto"/>
          <w:sz w:val="22"/>
          <w:szCs w:val="22"/>
          <w:lang w:val="en-GB"/>
        </w:rPr>
        <w:t xml:space="preserve">insecurity </w:t>
      </w:r>
      <w:r w:rsidR="001174A4" w:rsidRPr="0047168A">
        <w:rPr>
          <w:rFonts w:cs="Times New Roman"/>
          <w:i/>
          <w:color w:val="auto"/>
          <w:sz w:val="22"/>
          <w:szCs w:val="22"/>
          <w:lang w:val="en-GB"/>
        </w:rPr>
        <w:t>and militarization</w:t>
      </w:r>
    </w:p>
    <w:p w14:paraId="361F5150" w14:textId="6732152F" w:rsidR="006650AB" w:rsidRPr="0047168A" w:rsidRDefault="006650AB" w:rsidP="00C72434">
      <w:pPr>
        <w:spacing w:line="240" w:lineRule="auto"/>
        <w:jc w:val="both"/>
        <w:rPr>
          <w:rFonts w:cs="Times New Roman"/>
          <w:color w:val="auto"/>
          <w:sz w:val="22"/>
          <w:szCs w:val="22"/>
          <w:lang w:val="en-GB"/>
        </w:rPr>
      </w:pPr>
      <w:r w:rsidRPr="0047168A">
        <w:rPr>
          <w:rFonts w:cs="Times New Roman"/>
          <w:color w:val="auto"/>
          <w:sz w:val="22"/>
          <w:szCs w:val="22"/>
          <w:lang w:val="en-GB"/>
        </w:rPr>
        <w:t>The Internal Displacement Observatory of the Norwegian Refugee Council in Mexico accounted for 130 thousand people displaced by violence resulting from the frontal fight against drug trafficking.</w:t>
      </w:r>
      <w:r w:rsidRPr="0047168A">
        <w:rPr>
          <w:rStyle w:val="FootnoteReference"/>
          <w:rFonts w:cs="Times New Roman"/>
          <w:color w:val="auto"/>
          <w:sz w:val="22"/>
          <w:szCs w:val="22"/>
          <w:lang w:val="en-GB"/>
        </w:rPr>
        <w:footnoteReference w:id="41"/>
      </w:r>
      <w:r w:rsidR="00D72FC3" w:rsidRPr="0047168A">
        <w:rPr>
          <w:rFonts w:cs="Times New Roman"/>
          <w:color w:val="auto"/>
          <w:sz w:val="22"/>
          <w:szCs w:val="22"/>
          <w:lang w:val="en-GB"/>
        </w:rPr>
        <w:t xml:space="preserve"> In the same vein, t</w:t>
      </w:r>
      <w:r w:rsidRPr="0047168A">
        <w:rPr>
          <w:rFonts w:cs="Times New Roman"/>
          <w:color w:val="auto"/>
          <w:sz w:val="22"/>
          <w:szCs w:val="22"/>
          <w:lang w:val="en-GB"/>
        </w:rPr>
        <w:t>he National Human Rights Commission, in 2016, highlighted that violence in the country has forced 35</w:t>
      </w:r>
      <w:r w:rsidR="00D9505B">
        <w:rPr>
          <w:rFonts w:cs="Times New Roman"/>
          <w:color w:val="auto"/>
          <w:sz w:val="22"/>
          <w:szCs w:val="22"/>
          <w:lang w:val="en-GB"/>
        </w:rPr>
        <w:t>,</w:t>
      </w:r>
      <w:r w:rsidRPr="0047168A">
        <w:rPr>
          <w:rFonts w:cs="Times New Roman"/>
          <w:color w:val="auto"/>
          <w:sz w:val="22"/>
          <w:szCs w:val="22"/>
          <w:lang w:val="en-GB"/>
        </w:rPr>
        <w:t>433 people to leave their homes.</w:t>
      </w:r>
      <w:r w:rsidRPr="0047168A">
        <w:rPr>
          <w:rStyle w:val="FootnoteReference"/>
          <w:rFonts w:cs="Times New Roman"/>
          <w:color w:val="auto"/>
          <w:sz w:val="22"/>
          <w:szCs w:val="22"/>
          <w:lang w:val="en-GB"/>
        </w:rPr>
        <w:footnoteReference w:id="42"/>
      </w:r>
      <w:r w:rsidRPr="0047168A">
        <w:rPr>
          <w:rFonts w:cs="Times New Roman"/>
          <w:color w:val="auto"/>
          <w:sz w:val="22"/>
          <w:szCs w:val="22"/>
          <w:lang w:val="en-GB"/>
        </w:rPr>
        <w:t xml:space="preserve"> </w:t>
      </w:r>
      <w:r w:rsidR="00D72FC3" w:rsidRPr="0047168A">
        <w:rPr>
          <w:rFonts w:cs="Times New Roman"/>
          <w:color w:val="auto"/>
          <w:sz w:val="22"/>
          <w:szCs w:val="22"/>
          <w:lang w:val="en-GB"/>
        </w:rPr>
        <w:t>Also</w:t>
      </w:r>
      <w:r w:rsidRPr="0047168A">
        <w:rPr>
          <w:rFonts w:cs="Times New Roman"/>
          <w:color w:val="auto"/>
          <w:sz w:val="22"/>
          <w:szCs w:val="22"/>
          <w:lang w:val="en-GB"/>
        </w:rPr>
        <w:t>, the Mexican Commission for the Defense and Promotion of Human Rights in Mexico (CMDPDH) reported that 310</w:t>
      </w:r>
      <w:r w:rsidR="00D9505B">
        <w:rPr>
          <w:rFonts w:cs="Times New Roman"/>
          <w:color w:val="auto"/>
          <w:sz w:val="22"/>
          <w:szCs w:val="22"/>
          <w:lang w:val="en-GB"/>
        </w:rPr>
        <w:t>,</w:t>
      </w:r>
      <w:r w:rsidRPr="0047168A">
        <w:rPr>
          <w:rFonts w:cs="Times New Roman"/>
          <w:color w:val="auto"/>
          <w:sz w:val="22"/>
          <w:szCs w:val="22"/>
          <w:lang w:val="en-GB"/>
        </w:rPr>
        <w:t>527 people were forcibly displaced from 2009 to January 2017 due to the violence generated by drug trafficking and the militarized response of the Federal Government.</w:t>
      </w:r>
      <w:r w:rsidRPr="0047168A">
        <w:rPr>
          <w:rStyle w:val="FootnoteReference"/>
          <w:rFonts w:cs="Times New Roman"/>
          <w:color w:val="auto"/>
          <w:sz w:val="22"/>
          <w:szCs w:val="22"/>
          <w:lang w:val="en-GB"/>
        </w:rPr>
        <w:footnoteReference w:id="43"/>
      </w:r>
    </w:p>
    <w:p w14:paraId="6A7F3CA2" w14:textId="77777777" w:rsidR="006650AB" w:rsidRPr="0047168A" w:rsidRDefault="0000304F" w:rsidP="0047168A">
      <w:pPr>
        <w:spacing w:before="240" w:line="240" w:lineRule="auto"/>
        <w:jc w:val="both"/>
        <w:rPr>
          <w:rFonts w:cs="Times New Roman"/>
          <w:i/>
          <w:color w:val="auto"/>
          <w:sz w:val="22"/>
          <w:szCs w:val="22"/>
          <w:lang w:val="en-GB"/>
        </w:rPr>
      </w:pPr>
      <w:r w:rsidRPr="0047168A">
        <w:rPr>
          <w:rFonts w:cs="Times New Roman"/>
          <w:i/>
          <w:color w:val="auto"/>
          <w:sz w:val="22"/>
          <w:szCs w:val="22"/>
          <w:lang w:val="en-GB"/>
        </w:rPr>
        <w:t xml:space="preserve">2.4. </w:t>
      </w:r>
      <w:r w:rsidR="001174A4" w:rsidRPr="0047168A">
        <w:rPr>
          <w:rFonts w:cs="Times New Roman"/>
          <w:i/>
          <w:color w:val="auto"/>
          <w:sz w:val="22"/>
          <w:szCs w:val="22"/>
          <w:lang w:val="en-GB"/>
        </w:rPr>
        <w:t>Torture</w:t>
      </w:r>
    </w:p>
    <w:p w14:paraId="2E45F323" w14:textId="10A7CD16" w:rsidR="006650AB" w:rsidRPr="0047168A" w:rsidRDefault="006650AB" w:rsidP="00C72434">
      <w:pPr>
        <w:spacing w:line="240" w:lineRule="auto"/>
        <w:jc w:val="both"/>
        <w:rPr>
          <w:rFonts w:cs="Times New Roman"/>
          <w:color w:val="auto"/>
          <w:sz w:val="22"/>
          <w:szCs w:val="22"/>
          <w:lang w:val="en-GB"/>
        </w:rPr>
      </w:pPr>
      <w:r w:rsidRPr="0047168A">
        <w:rPr>
          <w:rFonts w:cs="Times New Roman"/>
          <w:color w:val="auto"/>
          <w:sz w:val="22"/>
          <w:szCs w:val="22"/>
          <w:lang w:val="en-GB"/>
        </w:rPr>
        <w:t xml:space="preserve">According to Human Rights Watch, from December 2012 to January 2018, the Attorney General's Office initiated more than 9,000 investigations into cases of torture. </w:t>
      </w:r>
      <w:r w:rsidRPr="0047168A">
        <w:rPr>
          <w:rStyle w:val="FootnoteReference"/>
          <w:rFonts w:cs="Times New Roman"/>
          <w:color w:val="auto"/>
          <w:sz w:val="22"/>
          <w:szCs w:val="22"/>
          <w:lang w:val="en-GB"/>
        </w:rPr>
        <w:footnoteReference w:id="44"/>
      </w:r>
      <w:r w:rsidR="00D9505B">
        <w:rPr>
          <w:rFonts w:cs="Times New Roman"/>
          <w:color w:val="auto"/>
          <w:sz w:val="22"/>
          <w:szCs w:val="22"/>
          <w:lang w:val="en-GB"/>
        </w:rPr>
        <w:t>A</w:t>
      </w:r>
      <w:r w:rsidRPr="0047168A">
        <w:rPr>
          <w:rFonts w:cs="Times New Roman"/>
          <w:color w:val="auto"/>
          <w:sz w:val="22"/>
          <w:szCs w:val="22"/>
          <w:lang w:val="en-GB"/>
        </w:rPr>
        <w:t>ccording to data obtained by the CMDPDH, the Office of the Attorney General of the Republic reported that of the 2,877 investigations for torture from 2015 to 2017 against members of the Armed Forces, 1,847 were against elements of the SEDENA, while 1,030 were against members of the Navy.</w:t>
      </w:r>
      <w:r w:rsidRPr="0047168A">
        <w:rPr>
          <w:rStyle w:val="FootnoteReference"/>
          <w:rFonts w:cs="Times New Roman"/>
          <w:color w:val="auto"/>
          <w:sz w:val="22"/>
          <w:szCs w:val="22"/>
          <w:lang w:val="en-GB"/>
        </w:rPr>
        <w:footnoteReference w:id="45"/>
      </w:r>
    </w:p>
    <w:p w14:paraId="4C8D48DA" w14:textId="10738C07" w:rsidR="006650AB" w:rsidRPr="0047168A" w:rsidRDefault="006650AB" w:rsidP="00C72434">
      <w:pPr>
        <w:spacing w:line="240" w:lineRule="auto"/>
        <w:jc w:val="both"/>
        <w:rPr>
          <w:rFonts w:cs="Times New Roman"/>
          <w:color w:val="auto"/>
          <w:sz w:val="22"/>
          <w:szCs w:val="22"/>
          <w:lang w:val="en-GB"/>
        </w:rPr>
      </w:pPr>
      <w:r w:rsidRPr="0047168A">
        <w:rPr>
          <w:rFonts w:cs="Times New Roman"/>
          <w:color w:val="auto"/>
          <w:sz w:val="22"/>
          <w:szCs w:val="22"/>
          <w:lang w:val="en-GB"/>
        </w:rPr>
        <w:t>Likewise, the CNDH, since December  2006, has received a total of "5,645 complaints that refer to torture and cruel treatment against the Armed Forces."</w:t>
      </w:r>
      <w:r w:rsidRPr="0047168A">
        <w:rPr>
          <w:rStyle w:val="FootnoteReference"/>
          <w:rFonts w:cs="Times New Roman"/>
          <w:color w:val="auto"/>
          <w:sz w:val="22"/>
          <w:szCs w:val="22"/>
          <w:lang w:val="en-GB"/>
        </w:rPr>
        <w:footnoteReference w:id="46"/>
      </w:r>
    </w:p>
    <w:p w14:paraId="417B296C" w14:textId="77777777" w:rsidR="00547082" w:rsidRPr="0047168A" w:rsidRDefault="00547082" w:rsidP="0047168A">
      <w:pPr>
        <w:spacing w:line="240" w:lineRule="auto"/>
        <w:jc w:val="both"/>
        <w:rPr>
          <w:rFonts w:cs="Times New Roman"/>
          <w:b/>
          <w:lang w:val="en-GB"/>
        </w:rPr>
      </w:pPr>
    </w:p>
    <w:p w14:paraId="5BFB147E" w14:textId="4CE67DF6" w:rsidR="006650AB" w:rsidRPr="0047168A" w:rsidRDefault="00547082" w:rsidP="0047168A">
      <w:pPr>
        <w:spacing w:line="240" w:lineRule="auto"/>
        <w:jc w:val="both"/>
        <w:rPr>
          <w:rFonts w:cs="Times New Roman"/>
          <w:b/>
          <w:color w:val="000000" w:themeColor="text1"/>
          <w:lang w:val="en-GB"/>
        </w:rPr>
      </w:pPr>
      <w:r w:rsidRPr="0047168A">
        <w:rPr>
          <w:rFonts w:cs="Times New Roman"/>
          <w:b/>
          <w:color w:val="000000" w:themeColor="text1"/>
          <w:lang w:val="en-GB"/>
        </w:rPr>
        <w:t xml:space="preserve">3. </w:t>
      </w:r>
      <w:r w:rsidR="006650AB" w:rsidRPr="0047168A">
        <w:rPr>
          <w:rFonts w:cs="Times New Roman"/>
          <w:b/>
          <w:color w:val="000000" w:themeColor="text1"/>
          <w:lang w:val="en-GB"/>
        </w:rPr>
        <w:t>Violation of</w:t>
      </w:r>
      <w:r w:rsidR="00AD72AB" w:rsidRPr="0047168A">
        <w:rPr>
          <w:rFonts w:cs="Times New Roman"/>
          <w:b/>
          <w:color w:val="000000" w:themeColor="text1"/>
          <w:lang w:val="en-GB"/>
        </w:rPr>
        <w:t xml:space="preserve"> the rights of women related to </w:t>
      </w:r>
      <w:r w:rsidR="006650AB" w:rsidRPr="0047168A">
        <w:rPr>
          <w:rFonts w:cs="Times New Roman"/>
          <w:b/>
          <w:color w:val="000000" w:themeColor="text1"/>
          <w:lang w:val="en-GB"/>
        </w:rPr>
        <w:t>the Armed Forces</w:t>
      </w:r>
    </w:p>
    <w:p w14:paraId="5DC0DD2B" w14:textId="3BCFA383" w:rsidR="00547082" w:rsidRPr="0047168A" w:rsidRDefault="00547082" w:rsidP="00C72434">
      <w:pPr>
        <w:spacing w:line="240" w:lineRule="auto"/>
        <w:jc w:val="both"/>
        <w:rPr>
          <w:rFonts w:cs="Times New Roman"/>
          <w:b/>
          <w:color w:val="auto"/>
          <w:sz w:val="22"/>
          <w:szCs w:val="22"/>
          <w:lang w:val="en-GB"/>
        </w:rPr>
      </w:pPr>
      <w:r w:rsidRPr="0047168A">
        <w:rPr>
          <w:rFonts w:cs="Times New Roman"/>
          <w:b/>
          <w:color w:val="auto"/>
          <w:sz w:val="22"/>
          <w:szCs w:val="22"/>
          <w:lang w:val="en-GB"/>
        </w:rPr>
        <w:t xml:space="preserve">Issue </w:t>
      </w:r>
      <w:r w:rsidR="0045217E" w:rsidRPr="0047168A">
        <w:rPr>
          <w:rFonts w:cs="Times New Roman"/>
          <w:b/>
          <w:color w:val="auto"/>
          <w:sz w:val="22"/>
          <w:szCs w:val="22"/>
          <w:lang w:val="en-GB"/>
        </w:rPr>
        <w:t xml:space="preserve">12 </w:t>
      </w:r>
      <w:r w:rsidRPr="0047168A">
        <w:rPr>
          <w:rFonts w:cs="Times New Roman"/>
          <w:b/>
          <w:color w:val="auto"/>
          <w:sz w:val="22"/>
          <w:szCs w:val="22"/>
          <w:lang w:val="en-GB"/>
        </w:rPr>
        <w:t>in relation to Issue 9.</w:t>
      </w:r>
    </w:p>
    <w:p w14:paraId="4A4E1BEF" w14:textId="4B7B3447" w:rsidR="0045217E" w:rsidRPr="0047168A" w:rsidRDefault="00547082" w:rsidP="00C72434">
      <w:pPr>
        <w:spacing w:line="240" w:lineRule="auto"/>
        <w:jc w:val="both"/>
        <w:rPr>
          <w:rFonts w:cs="Times New Roman"/>
          <w:b/>
          <w:color w:val="auto"/>
          <w:sz w:val="22"/>
          <w:szCs w:val="22"/>
          <w:lang w:val="en-GB"/>
        </w:rPr>
      </w:pPr>
      <w:r w:rsidRPr="0047168A">
        <w:rPr>
          <w:b/>
          <w:bCs/>
          <w:color w:val="auto"/>
          <w:sz w:val="22"/>
          <w:szCs w:val="22"/>
          <w:lang w:val="en-GB"/>
        </w:rPr>
        <w:lastRenderedPageBreak/>
        <w:t>R</w:t>
      </w:r>
      <w:r w:rsidR="00B53746" w:rsidRPr="0047168A">
        <w:rPr>
          <w:b/>
          <w:bCs/>
          <w:color w:val="auto"/>
          <w:sz w:val="22"/>
          <w:szCs w:val="22"/>
          <w:lang w:val="en-GB"/>
        </w:rPr>
        <w:t xml:space="preserve">ight to life; prohibition of torture and cruel, inhuman or degrading treatment or punishment; right to </w:t>
      </w:r>
      <w:r w:rsidR="0093307F" w:rsidRPr="0047168A">
        <w:rPr>
          <w:b/>
          <w:bCs/>
          <w:color w:val="auto"/>
          <w:sz w:val="22"/>
          <w:szCs w:val="22"/>
          <w:lang w:val="en-GB"/>
        </w:rPr>
        <w:t xml:space="preserve">liberty and security of person </w:t>
      </w:r>
      <w:r w:rsidRPr="0047168A">
        <w:rPr>
          <w:b/>
          <w:bCs/>
          <w:color w:val="auto"/>
          <w:sz w:val="22"/>
          <w:szCs w:val="22"/>
          <w:lang w:val="en-GB"/>
        </w:rPr>
        <w:t>(</w:t>
      </w:r>
      <w:r w:rsidR="00B53746" w:rsidRPr="0047168A">
        <w:rPr>
          <w:b/>
          <w:bCs/>
          <w:color w:val="auto"/>
          <w:sz w:val="22"/>
          <w:szCs w:val="22"/>
          <w:lang w:val="en-GB"/>
        </w:rPr>
        <w:t>arts. 2, 6, 7 and 9</w:t>
      </w:r>
      <w:r w:rsidRPr="0047168A">
        <w:rPr>
          <w:b/>
          <w:bCs/>
          <w:color w:val="auto"/>
          <w:sz w:val="22"/>
          <w:szCs w:val="22"/>
          <w:lang w:val="en-GB"/>
        </w:rPr>
        <w:t>). V</w:t>
      </w:r>
      <w:r w:rsidR="0045217E" w:rsidRPr="0047168A">
        <w:rPr>
          <w:rFonts w:cs="Times New Roman"/>
          <w:b/>
          <w:color w:val="auto"/>
          <w:sz w:val="22"/>
          <w:szCs w:val="22"/>
          <w:lang w:val="en-GB"/>
        </w:rPr>
        <w:t>iolence against women</w:t>
      </w:r>
      <w:r w:rsidRPr="0047168A">
        <w:rPr>
          <w:rFonts w:cs="Times New Roman"/>
          <w:b/>
          <w:color w:val="auto"/>
          <w:sz w:val="22"/>
          <w:szCs w:val="22"/>
          <w:lang w:val="en-GB"/>
        </w:rPr>
        <w:t xml:space="preserve"> (</w:t>
      </w:r>
      <w:r w:rsidR="0045217E" w:rsidRPr="0047168A">
        <w:rPr>
          <w:rFonts w:cs="Times New Roman"/>
          <w:b/>
          <w:color w:val="auto"/>
          <w:sz w:val="22"/>
          <w:szCs w:val="22"/>
          <w:lang w:val="en-GB"/>
        </w:rPr>
        <w:t>arts. 3, 6 and 7)</w:t>
      </w:r>
    </w:p>
    <w:p w14:paraId="31928AD3" w14:textId="7BECAC5E" w:rsidR="006650AB" w:rsidRPr="0047168A" w:rsidRDefault="006650AB" w:rsidP="00C72434">
      <w:pPr>
        <w:spacing w:line="240" w:lineRule="auto"/>
        <w:jc w:val="both"/>
        <w:rPr>
          <w:rFonts w:cs="Times New Roman"/>
          <w:color w:val="auto"/>
          <w:sz w:val="22"/>
          <w:szCs w:val="22"/>
          <w:lang w:val="en-GB"/>
        </w:rPr>
      </w:pPr>
      <w:r w:rsidRPr="0047168A">
        <w:rPr>
          <w:rFonts w:cs="Times New Roman"/>
          <w:color w:val="auto"/>
          <w:sz w:val="22"/>
          <w:szCs w:val="22"/>
          <w:lang w:val="en-GB"/>
        </w:rPr>
        <w:t>Recent reports have shown the differentiated impact of militari</w:t>
      </w:r>
      <w:r w:rsidR="00D93580">
        <w:rPr>
          <w:rFonts w:cs="Times New Roman"/>
          <w:color w:val="auto"/>
          <w:sz w:val="22"/>
          <w:szCs w:val="22"/>
          <w:lang w:val="en-GB"/>
        </w:rPr>
        <w:t>s</w:t>
      </w:r>
      <w:r w:rsidRPr="0047168A">
        <w:rPr>
          <w:rFonts w:cs="Times New Roman"/>
          <w:color w:val="auto"/>
          <w:sz w:val="22"/>
          <w:szCs w:val="22"/>
          <w:lang w:val="en-GB"/>
        </w:rPr>
        <w:t xml:space="preserve">ation between men and women. According to data collected by the National Survey of the Deprived Population of Liberty (ENPOL), 41% of women arrested by members of the Navy were victims of rape, compared </w:t>
      </w:r>
      <w:r w:rsidR="00D93580">
        <w:rPr>
          <w:rFonts w:cs="Times New Roman"/>
          <w:color w:val="auto"/>
          <w:sz w:val="22"/>
          <w:szCs w:val="22"/>
          <w:lang w:val="en-GB"/>
        </w:rPr>
        <w:t>to</w:t>
      </w:r>
      <w:r w:rsidRPr="0047168A">
        <w:rPr>
          <w:rFonts w:cs="Times New Roman"/>
          <w:color w:val="auto"/>
          <w:sz w:val="22"/>
          <w:szCs w:val="22"/>
          <w:lang w:val="en-GB"/>
        </w:rPr>
        <w:t xml:space="preserve"> 5% of men.</w:t>
      </w:r>
      <w:r w:rsidRPr="0047168A">
        <w:rPr>
          <w:rStyle w:val="FootnoteReference"/>
          <w:rFonts w:cs="Times New Roman"/>
          <w:color w:val="auto"/>
          <w:sz w:val="22"/>
          <w:szCs w:val="22"/>
          <w:lang w:val="en-GB"/>
        </w:rPr>
        <w:footnoteReference w:id="47"/>
      </w:r>
      <w:r w:rsidRPr="0047168A">
        <w:rPr>
          <w:rFonts w:cs="Times New Roman"/>
          <w:color w:val="auto"/>
          <w:sz w:val="22"/>
          <w:szCs w:val="22"/>
          <w:lang w:val="en-GB"/>
        </w:rPr>
        <w:t xml:space="preserve"> Also, 21% of the women were victims of rape when they were arrested by the Army, compared to 5%</w:t>
      </w:r>
      <w:r w:rsidR="00D93580">
        <w:rPr>
          <w:rFonts w:cs="Times New Roman"/>
          <w:color w:val="auto"/>
          <w:sz w:val="22"/>
          <w:szCs w:val="22"/>
          <w:lang w:val="en-GB"/>
        </w:rPr>
        <w:t xml:space="preserve"> </w:t>
      </w:r>
      <w:r w:rsidRPr="0047168A">
        <w:rPr>
          <w:rFonts w:cs="Times New Roman"/>
          <w:color w:val="auto"/>
          <w:sz w:val="22"/>
          <w:szCs w:val="22"/>
          <w:lang w:val="en-GB"/>
        </w:rPr>
        <w:t>of men.</w:t>
      </w:r>
      <w:r w:rsidRPr="0047168A">
        <w:rPr>
          <w:rStyle w:val="FootnoteReference"/>
          <w:rFonts w:cs="Times New Roman"/>
          <w:color w:val="auto"/>
          <w:sz w:val="22"/>
          <w:szCs w:val="22"/>
          <w:lang w:val="en-GB"/>
        </w:rPr>
        <w:footnoteReference w:id="48"/>
      </w:r>
      <w:r w:rsidRPr="0047168A">
        <w:rPr>
          <w:rFonts w:cs="Times New Roman"/>
          <w:color w:val="auto"/>
          <w:sz w:val="22"/>
          <w:szCs w:val="22"/>
          <w:lang w:val="en-GB"/>
        </w:rPr>
        <w:t xml:space="preserve"> It is also noted that, in the case of the Army, only 3% of the men arrested had a warrant for their arrest</w:t>
      </w:r>
      <w:r w:rsidR="00D9505B">
        <w:rPr>
          <w:rFonts w:cs="Times New Roman"/>
          <w:color w:val="auto"/>
          <w:sz w:val="22"/>
          <w:szCs w:val="22"/>
          <w:lang w:val="en-GB"/>
        </w:rPr>
        <w:t>;</w:t>
      </w:r>
      <w:r w:rsidRPr="0047168A">
        <w:rPr>
          <w:rFonts w:cs="Times New Roman"/>
          <w:color w:val="auto"/>
          <w:sz w:val="22"/>
          <w:szCs w:val="22"/>
          <w:lang w:val="en-GB"/>
        </w:rPr>
        <w:t xml:space="preserve"> this percentage decreases to 1.3% for women.</w:t>
      </w:r>
      <w:r w:rsidRPr="0047168A">
        <w:rPr>
          <w:rStyle w:val="FootnoteReference"/>
          <w:rFonts w:cs="Times New Roman"/>
          <w:color w:val="auto"/>
          <w:sz w:val="22"/>
          <w:szCs w:val="22"/>
          <w:lang w:val="en-GB"/>
        </w:rPr>
        <w:footnoteReference w:id="49"/>
      </w:r>
    </w:p>
    <w:p w14:paraId="5DE482D0" w14:textId="61E73574" w:rsidR="006650AB" w:rsidRPr="0047168A" w:rsidRDefault="00D72FC3" w:rsidP="00C72434">
      <w:pPr>
        <w:spacing w:line="240" w:lineRule="auto"/>
        <w:jc w:val="both"/>
        <w:rPr>
          <w:rFonts w:cs="Times New Roman"/>
          <w:color w:val="auto"/>
          <w:sz w:val="22"/>
          <w:szCs w:val="22"/>
          <w:lang w:val="en-GB"/>
        </w:rPr>
      </w:pPr>
      <w:r w:rsidRPr="0047168A">
        <w:rPr>
          <w:rFonts w:cs="Times New Roman"/>
          <w:color w:val="auto"/>
          <w:sz w:val="22"/>
          <w:szCs w:val="22"/>
          <w:lang w:val="en-GB"/>
        </w:rPr>
        <w:t>Additionally</w:t>
      </w:r>
      <w:r w:rsidR="006650AB" w:rsidRPr="0047168A">
        <w:rPr>
          <w:rFonts w:cs="Times New Roman"/>
          <w:color w:val="auto"/>
          <w:sz w:val="22"/>
          <w:szCs w:val="22"/>
          <w:lang w:val="en-GB"/>
        </w:rPr>
        <w:t xml:space="preserve">, since the beginning of the </w:t>
      </w:r>
      <w:r w:rsidRPr="0047168A">
        <w:rPr>
          <w:rFonts w:cs="Times New Roman"/>
          <w:color w:val="auto"/>
          <w:sz w:val="22"/>
          <w:szCs w:val="22"/>
          <w:lang w:val="en-GB"/>
        </w:rPr>
        <w:t>War on Drug</w:t>
      </w:r>
      <w:r w:rsidR="00D93580">
        <w:rPr>
          <w:rFonts w:cs="Times New Roman"/>
          <w:color w:val="auto"/>
          <w:sz w:val="22"/>
          <w:szCs w:val="22"/>
          <w:lang w:val="en-GB"/>
        </w:rPr>
        <w:t>s</w:t>
      </w:r>
      <w:r w:rsidRPr="0047168A">
        <w:rPr>
          <w:rFonts w:cs="Times New Roman"/>
          <w:color w:val="auto"/>
          <w:sz w:val="22"/>
          <w:szCs w:val="22"/>
          <w:lang w:val="en-GB"/>
        </w:rPr>
        <w:t xml:space="preserve"> </w:t>
      </w:r>
      <w:r w:rsidR="006650AB" w:rsidRPr="0047168A">
        <w:rPr>
          <w:rFonts w:cs="Times New Roman"/>
          <w:color w:val="auto"/>
          <w:sz w:val="22"/>
          <w:szCs w:val="22"/>
          <w:lang w:val="en-GB"/>
        </w:rPr>
        <w:t xml:space="preserve">and the </w:t>
      </w:r>
      <w:r w:rsidR="00D93580">
        <w:rPr>
          <w:rFonts w:cs="Times New Roman"/>
          <w:color w:val="auto"/>
          <w:sz w:val="22"/>
          <w:szCs w:val="22"/>
          <w:lang w:val="en-GB"/>
        </w:rPr>
        <w:t>militarisation of</w:t>
      </w:r>
      <w:r w:rsidR="006650AB" w:rsidRPr="0047168A">
        <w:rPr>
          <w:rFonts w:cs="Times New Roman"/>
          <w:color w:val="auto"/>
          <w:sz w:val="22"/>
          <w:szCs w:val="22"/>
          <w:lang w:val="en-GB"/>
        </w:rPr>
        <w:t xml:space="preserve"> public security tasks, the homicides of women not only increased - the murder rate increased from 1.9 women per 100,000, in 200</w:t>
      </w:r>
      <w:r w:rsidR="00D93580">
        <w:rPr>
          <w:rFonts w:cs="Times New Roman"/>
          <w:color w:val="auto"/>
          <w:sz w:val="22"/>
          <w:szCs w:val="22"/>
          <w:lang w:val="en-GB"/>
        </w:rPr>
        <w:t>7, to 5.42 in 2017–</w:t>
      </w:r>
      <w:r w:rsidR="006650AB" w:rsidRPr="0047168A">
        <w:rPr>
          <w:rFonts w:cs="Times New Roman"/>
          <w:color w:val="auto"/>
          <w:sz w:val="22"/>
          <w:szCs w:val="22"/>
          <w:lang w:val="en-GB"/>
        </w:rPr>
        <w:t xml:space="preserve"> but they changed</w:t>
      </w:r>
      <w:r w:rsidR="00D9505B">
        <w:rPr>
          <w:rFonts w:cs="Times New Roman"/>
          <w:color w:val="auto"/>
          <w:sz w:val="22"/>
          <w:szCs w:val="22"/>
          <w:lang w:val="en-GB"/>
        </w:rPr>
        <w:t xml:space="preserve"> in</w:t>
      </w:r>
      <w:r w:rsidR="006650AB" w:rsidRPr="0047168A">
        <w:rPr>
          <w:rFonts w:cs="Times New Roman"/>
          <w:color w:val="auto"/>
          <w:sz w:val="22"/>
          <w:szCs w:val="22"/>
          <w:lang w:val="en-GB"/>
        </w:rPr>
        <w:t xml:space="preserve"> dynamics and intensity. </w:t>
      </w:r>
      <w:r w:rsidR="001961DD">
        <w:rPr>
          <w:rFonts w:cs="Times New Roman"/>
          <w:color w:val="auto"/>
          <w:sz w:val="22"/>
          <w:szCs w:val="22"/>
          <w:lang w:val="en-GB"/>
        </w:rPr>
        <w:t>While</w:t>
      </w:r>
      <w:r w:rsidR="006650AB" w:rsidRPr="0047168A">
        <w:rPr>
          <w:rFonts w:cs="Times New Roman"/>
          <w:color w:val="auto"/>
          <w:sz w:val="22"/>
          <w:szCs w:val="22"/>
          <w:lang w:val="en-GB"/>
        </w:rPr>
        <w:t xml:space="preserve"> between 1997 and 2008</w:t>
      </w:r>
      <w:r w:rsidR="001961DD">
        <w:rPr>
          <w:rFonts w:cs="Times New Roman"/>
          <w:color w:val="auto"/>
          <w:sz w:val="22"/>
          <w:szCs w:val="22"/>
          <w:lang w:val="en-GB"/>
        </w:rPr>
        <w:t xml:space="preserve"> most homicides of women occurred in the private sphere</w:t>
      </w:r>
      <w:r w:rsidR="006650AB" w:rsidRPr="0047168A">
        <w:rPr>
          <w:rFonts w:cs="Times New Roman"/>
          <w:color w:val="auto"/>
          <w:sz w:val="22"/>
          <w:szCs w:val="22"/>
          <w:lang w:val="en-GB"/>
        </w:rPr>
        <w:t xml:space="preserve">, </w:t>
      </w:r>
      <w:r w:rsidR="001961DD">
        <w:rPr>
          <w:rFonts w:cs="Times New Roman"/>
          <w:color w:val="auto"/>
          <w:sz w:val="22"/>
          <w:szCs w:val="22"/>
          <w:lang w:val="en-GB"/>
        </w:rPr>
        <w:t>since</w:t>
      </w:r>
      <w:r w:rsidR="006650AB" w:rsidRPr="0047168A">
        <w:rPr>
          <w:rFonts w:cs="Times New Roman"/>
          <w:color w:val="auto"/>
          <w:sz w:val="22"/>
          <w:szCs w:val="22"/>
          <w:lang w:val="en-GB"/>
        </w:rPr>
        <w:t xml:space="preserve"> 2009 the majority of homicides of women occur</w:t>
      </w:r>
      <w:r w:rsidR="001961DD">
        <w:rPr>
          <w:rFonts w:cs="Times New Roman"/>
          <w:color w:val="auto"/>
          <w:sz w:val="22"/>
          <w:szCs w:val="22"/>
          <w:lang w:val="en-GB"/>
        </w:rPr>
        <w:t>s</w:t>
      </w:r>
      <w:r w:rsidR="006650AB" w:rsidRPr="0047168A">
        <w:rPr>
          <w:rFonts w:cs="Times New Roman"/>
          <w:color w:val="auto"/>
          <w:sz w:val="22"/>
          <w:szCs w:val="22"/>
          <w:lang w:val="en-GB"/>
        </w:rPr>
        <w:t xml:space="preserve"> in the public space. Additionally, the homicides of women committed with a firearm have increased significantly, compared to the increase in homicides by hanging or by use of a sharp object. Finally, the percentage of women shot by elements of the Army (6.92%) or the Navy (6.23%) is much higher than </w:t>
      </w:r>
      <w:r w:rsidR="001961DD">
        <w:rPr>
          <w:rFonts w:cs="Times New Roman"/>
          <w:color w:val="auto"/>
          <w:sz w:val="22"/>
          <w:szCs w:val="22"/>
          <w:lang w:val="en-GB"/>
        </w:rPr>
        <w:t xml:space="preserve">those </w:t>
      </w:r>
      <w:r w:rsidR="00D93580">
        <w:rPr>
          <w:rFonts w:cs="Times New Roman"/>
          <w:color w:val="auto"/>
          <w:sz w:val="22"/>
          <w:szCs w:val="22"/>
          <w:lang w:val="en-GB"/>
        </w:rPr>
        <w:t>s</w:t>
      </w:r>
      <w:r w:rsidR="001961DD">
        <w:rPr>
          <w:rFonts w:cs="Times New Roman"/>
          <w:color w:val="auto"/>
          <w:sz w:val="22"/>
          <w:szCs w:val="22"/>
          <w:lang w:val="en-GB"/>
        </w:rPr>
        <w:t>hot by</w:t>
      </w:r>
      <w:r w:rsidR="006650AB" w:rsidRPr="0047168A">
        <w:rPr>
          <w:rFonts w:cs="Times New Roman"/>
          <w:color w:val="auto"/>
          <w:sz w:val="22"/>
          <w:szCs w:val="22"/>
          <w:lang w:val="en-GB"/>
        </w:rPr>
        <w:t xml:space="preserve"> the municipal (1.26%), state (2.41%) , federal (2.59%) and judicial police (2.19%).</w:t>
      </w:r>
      <w:r w:rsidR="006650AB" w:rsidRPr="0047168A">
        <w:rPr>
          <w:rStyle w:val="FootnoteReference"/>
          <w:rFonts w:cs="Times New Roman"/>
          <w:color w:val="auto"/>
          <w:sz w:val="22"/>
          <w:szCs w:val="22"/>
          <w:lang w:val="en-GB"/>
        </w:rPr>
        <w:footnoteReference w:id="50"/>
      </w:r>
    </w:p>
    <w:p w14:paraId="227B4E50" w14:textId="7DFA9660" w:rsidR="006650AB" w:rsidRPr="0047168A" w:rsidRDefault="00DD241E" w:rsidP="0047168A">
      <w:pPr>
        <w:spacing w:line="240" w:lineRule="auto"/>
        <w:rPr>
          <w:rFonts w:cs="Arial"/>
          <w:lang w:val="en-GB"/>
        </w:rPr>
      </w:pPr>
      <w:r w:rsidRPr="0047168A">
        <w:rPr>
          <w:rFonts w:cs="Arial"/>
          <w:sz w:val="22"/>
          <w:szCs w:val="22"/>
          <w:lang w:val="en-GB"/>
        </w:rPr>
        <w:t>Women are more at risk than m</w:t>
      </w:r>
      <w:r w:rsidR="00567F3F">
        <w:rPr>
          <w:rFonts w:cs="Arial"/>
          <w:sz w:val="22"/>
          <w:szCs w:val="22"/>
          <w:lang w:val="en-GB"/>
        </w:rPr>
        <w:t>e</w:t>
      </w:r>
      <w:r w:rsidRPr="0047168A">
        <w:rPr>
          <w:rFonts w:cs="Arial"/>
          <w:sz w:val="22"/>
          <w:szCs w:val="22"/>
          <w:lang w:val="en-GB"/>
        </w:rPr>
        <w:t>n to suffering sexual torture during detention at the hands of the army or other public security officers.</w:t>
      </w:r>
      <w:r w:rsidR="00CA5463">
        <w:rPr>
          <w:rFonts w:cs="Arial"/>
          <w:sz w:val="22"/>
          <w:szCs w:val="22"/>
          <w:lang w:val="en-GB"/>
        </w:rPr>
        <w:t xml:space="preserve"> </w:t>
      </w:r>
      <w:r w:rsidR="00567F3F">
        <w:rPr>
          <w:rFonts w:cs="Arial"/>
          <w:sz w:val="22"/>
          <w:szCs w:val="22"/>
          <w:lang w:val="en-GB"/>
        </w:rPr>
        <w:t xml:space="preserve">The </w:t>
      </w:r>
      <w:r w:rsidR="00CA5463">
        <w:rPr>
          <w:rFonts w:cs="Arial"/>
          <w:sz w:val="22"/>
          <w:szCs w:val="22"/>
          <w:lang w:val="en-GB"/>
        </w:rPr>
        <w:t>CEDAW Committee expressed its concern</w:t>
      </w:r>
      <w:r w:rsidR="00567F3F">
        <w:rPr>
          <w:rFonts w:cs="Arial"/>
          <w:sz w:val="22"/>
          <w:szCs w:val="22"/>
          <w:lang w:val="en-GB"/>
        </w:rPr>
        <w:t>s</w:t>
      </w:r>
      <w:r w:rsidR="00CA5463">
        <w:rPr>
          <w:rFonts w:cs="Arial"/>
          <w:sz w:val="22"/>
          <w:szCs w:val="22"/>
          <w:lang w:val="en-GB"/>
        </w:rPr>
        <w:t xml:space="preserve"> regarding the increase of sexual torture against women in Mexico in 2018</w:t>
      </w:r>
      <w:r w:rsidR="00567F3F">
        <w:rPr>
          <w:rFonts w:cs="Arial"/>
          <w:sz w:val="22"/>
          <w:szCs w:val="22"/>
          <w:lang w:val="en-GB"/>
        </w:rPr>
        <w:t>,</w:t>
      </w:r>
      <w:r w:rsidR="00CA5463">
        <w:rPr>
          <w:rFonts w:cs="Arial"/>
          <w:sz w:val="22"/>
          <w:szCs w:val="22"/>
          <w:lang w:val="en-GB"/>
        </w:rPr>
        <w:t xml:space="preserve"> and in </w:t>
      </w:r>
      <w:r w:rsidR="00C34130">
        <w:rPr>
          <w:rFonts w:cs="Arial"/>
          <w:sz w:val="22"/>
          <w:szCs w:val="22"/>
          <w:lang w:val="en-GB"/>
        </w:rPr>
        <w:t>2019 numerous Mexican and international NGO</w:t>
      </w:r>
      <w:r w:rsidR="00567F3F">
        <w:rPr>
          <w:rFonts w:cs="Arial"/>
          <w:sz w:val="22"/>
          <w:szCs w:val="22"/>
          <w:lang w:val="en-GB"/>
        </w:rPr>
        <w:t>s</w:t>
      </w:r>
      <w:r w:rsidR="00DB1911">
        <w:rPr>
          <w:rFonts w:cs="Arial"/>
          <w:sz w:val="22"/>
          <w:szCs w:val="22"/>
          <w:lang w:val="en-GB"/>
        </w:rPr>
        <w:t xml:space="preserve"> </w:t>
      </w:r>
      <w:r w:rsidR="00C34130">
        <w:rPr>
          <w:rFonts w:cs="Arial"/>
          <w:sz w:val="22"/>
          <w:szCs w:val="22"/>
          <w:lang w:val="en-GB"/>
        </w:rPr>
        <w:t xml:space="preserve">documented cases of sexual torture against women in the alternative report to the </w:t>
      </w:r>
      <w:r w:rsidR="00AB686A">
        <w:rPr>
          <w:rFonts w:cs="Arial"/>
          <w:sz w:val="22"/>
          <w:szCs w:val="22"/>
          <w:lang w:val="en-GB"/>
        </w:rPr>
        <w:t>United Nations Committee Against Torture</w:t>
      </w:r>
      <w:r w:rsidR="009F4185">
        <w:rPr>
          <w:rStyle w:val="FootnoteReference"/>
          <w:rFonts w:cs="Arial"/>
          <w:sz w:val="22"/>
          <w:szCs w:val="22"/>
          <w:lang w:val="en-GB"/>
        </w:rPr>
        <w:footnoteReference w:id="51"/>
      </w:r>
      <w:r w:rsidR="00AB686A">
        <w:rPr>
          <w:rFonts w:cs="Arial"/>
          <w:sz w:val="22"/>
          <w:szCs w:val="22"/>
          <w:lang w:val="en-GB"/>
        </w:rPr>
        <w:t xml:space="preserve">. </w:t>
      </w:r>
      <w:r w:rsidR="009F4185">
        <w:rPr>
          <w:rFonts w:cs="Arial"/>
          <w:sz w:val="22"/>
          <w:szCs w:val="22"/>
          <w:lang w:val="en-GB"/>
        </w:rPr>
        <w:t>Equis has collected several interviews of women in prison who have been victims of sexual violence during detention, including rape.</w:t>
      </w:r>
      <w:r w:rsidR="00AB686A">
        <w:rPr>
          <w:rFonts w:cs="Arial"/>
          <w:sz w:val="22"/>
          <w:szCs w:val="22"/>
          <w:lang w:val="en-GB"/>
        </w:rPr>
        <w:t xml:space="preserve"> </w:t>
      </w:r>
    </w:p>
    <w:p w14:paraId="6F782A5A" w14:textId="5B4935F5" w:rsidR="00CE6B19" w:rsidRPr="0047168A" w:rsidRDefault="00547082" w:rsidP="0047168A">
      <w:pPr>
        <w:spacing w:line="240" w:lineRule="auto"/>
        <w:jc w:val="both"/>
        <w:rPr>
          <w:rFonts w:cs="Arial"/>
          <w:b/>
          <w:color w:val="000000" w:themeColor="text1"/>
          <w:lang w:val="en-GB"/>
        </w:rPr>
      </w:pPr>
      <w:r w:rsidRPr="0047168A">
        <w:rPr>
          <w:b/>
          <w:bCs/>
          <w:color w:val="000000" w:themeColor="text1"/>
          <w:lang w:val="en-GB"/>
        </w:rPr>
        <w:t xml:space="preserve">4. </w:t>
      </w:r>
      <w:r w:rsidR="00CE6B19" w:rsidRPr="0047168A">
        <w:rPr>
          <w:b/>
          <w:bCs/>
          <w:color w:val="000000" w:themeColor="text1"/>
          <w:lang w:val="en-GB"/>
        </w:rPr>
        <w:t>Treatment of persons deprived of their liberty</w:t>
      </w:r>
      <w:r w:rsidR="00472E90" w:rsidRPr="0047168A">
        <w:rPr>
          <w:b/>
          <w:bCs/>
          <w:color w:val="000000" w:themeColor="text1"/>
          <w:lang w:val="en-GB"/>
        </w:rPr>
        <w:t xml:space="preserve"> </w:t>
      </w:r>
    </w:p>
    <w:p w14:paraId="32B2B604" w14:textId="34402D7E" w:rsidR="00547082" w:rsidRPr="0047168A" w:rsidRDefault="00547082" w:rsidP="00C72434">
      <w:pPr>
        <w:spacing w:line="240" w:lineRule="auto"/>
        <w:jc w:val="both"/>
        <w:rPr>
          <w:b/>
          <w:color w:val="auto"/>
          <w:sz w:val="22"/>
          <w:szCs w:val="22"/>
          <w:lang w:val="en-GB"/>
        </w:rPr>
      </w:pPr>
      <w:r w:rsidRPr="0047168A">
        <w:rPr>
          <w:rFonts w:cs="Arial"/>
          <w:b/>
          <w:color w:val="auto"/>
          <w:sz w:val="22"/>
          <w:szCs w:val="22"/>
          <w:lang w:val="en-GB"/>
        </w:rPr>
        <w:lastRenderedPageBreak/>
        <w:t xml:space="preserve">Issue </w:t>
      </w:r>
      <w:r w:rsidR="005777B2" w:rsidRPr="0047168A">
        <w:rPr>
          <w:rFonts w:cs="Arial"/>
          <w:b/>
          <w:color w:val="auto"/>
          <w:sz w:val="22"/>
          <w:szCs w:val="22"/>
          <w:lang w:val="en-GB"/>
        </w:rPr>
        <w:t>20. “</w:t>
      </w:r>
      <w:r w:rsidR="005777B2" w:rsidRPr="0047168A">
        <w:rPr>
          <w:b/>
          <w:color w:val="auto"/>
          <w:sz w:val="22"/>
          <w:szCs w:val="22"/>
          <w:lang w:val="en-GB"/>
        </w:rPr>
        <w:t>updated information on the steps taken to: (</w:t>
      </w:r>
      <w:r w:rsidR="009B4D6A" w:rsidRPr="0047168A">
        <w:rPr>
          <w:b/>
          <w:color w:val="auto"/>
          <w:sz w:val="22"/>
          <w:szCs w:val="22"/>
          <w:lang w:val="en-GB"/>
        </w:rPr>
        <w:t>…)</w:t>
      </w:r>
      <w:r w:rsidR="005777B2" w:rsidRPr="0047168A">
        <w:rPr>
          <w:b/>
          <w:color w:val="auto"/>
          <w:sz w:val="22"/>
          <w:szCs w:val="22"/>
          <w:lang w:val="en-GB"/>
        </w:rPr>
        <w:t xml:space="preserve"> (c) improve conditions for all detainees, in particular by reducing overcrowding and providing adequate food and medical services.”</w:t>
      </w:r>
      <w:r w:rsidR="009B4D6A" w:rsidRPr="0047168A">
        <w:rPr>
          <w:b/>
          <w:color w:val="auto"/>
          <w:sz w:val="22"/>
          <w:szCs w:val="22"/>
          <w:lang w:val="en-GB"/>
        </w:rPr>
        <w:t xml:space="preserve"> </w:t>
      </w:r>
    </w:p>
    <w:p w14:paraId="6FFDAFFC" w14:textId="513F788E" w:rsidR="006C46AB" w:rsidRPr="0047168A" w:rsidRDefault="009B4D6A" w:rsidP="00C72434">
      <w:pPr>
        <w:spacing w:line="240" w:lineRule="auto"/>
        <w:jc w:val="both"/>
        <w:rPr>
          <w:rFonts w:cs="Arial"/>
          <w:b/>
          <w:color w:val="auto"/>
          <w:sz w:val="22"/>
          <w:szCs w:val="22"/>
          <w:lang w:val="en-GB"/>
        </w:rPr>
      </w:pPr>
      <w:r w:rsidRPr="0047168A">
        <w:rPr>
          <w:b/>
          <w:color w:val="auto"/>
          <w:sz w:val="22"/>
          <w:szCs w:val="22"/>
          <w:lang w:val="en-GB"/>
        </w:rPr>
        <w:t>R</w:t>
      </w:r>
      <w:r w:rsidRPr="0047168A">
        <w:rPr>
          <w:b/>
          <w:bCs/>
          <w:color w:val="auto"/>
          <w:sz w:val="22"/>
          <w:szCs w:val="22"/>
          <w:lang w:val="en-GB"/>
        </w:rPr>
        <w:t xml:space="preserve">ight to life; prohibition of torture and cruel, inhuman or degrading treatment or punishment; right to liberty and security of person, </w:t>
      </w:r>
      <w:r w:rsidR="00547082" w:rsidRPr="0047168A">
        <w:rPr>
          <w:b/>
          <w:bCs/>
          <w:color w:val="auto"/>
          <w:sz w:val="22"/>
          <w:szCs w:val="22"/>
          <w:lang w:val="en-GB"/>
        </w:rPr>
        <w:t>(</w:t>
      </w:r>
      <w:r w:rsidRPr="0047168A">
        <w:rPr>
          <w:b/>
          <w:bCs/>
          <w:color w:val="auto"/>
          <w:sz w:val="22"/>
          <w:szCs w:val="22"/>
          <w:lang w:val="en-GB"/>
        </w:rPr>
        <w:t>arts. 2, 6, 7 and 9)</w:t>
      </w:r>
      <w:r w:rsidR="00547082" w:rsidRPr="0047168A">
        <w:rPr>
          <w:b/>
          <w:bCs/>
          <w:color w:val="auto"/>
          <w:sz w:val="22"/>
          <w:szCs w:val="22"/>
          <w:lang w:val="en-GB"/>
        </w:rPr>
        <w:t>.</w:t>
      </w:r>
    </w:p>
    <w:p w14:paraId="725548F6" w14:textId="79BD0C5F" w:rsidR="00830619" w:rsidRPr="0047168A" w:rsidRDefault="00830619" w:rsidP="00C72434">
      <w:pPr>
        <w:spacing w:line="240" w:lineRule="auto"/>
        <w:jc w:val="both"/>
        <w:rPr>
          <w:rFonts w:cs="Arial"/>
          <w:i/>
          <w:color w:val="auto"/>
          <w:sz w:val="22"/>
          <w:szCs w:val="22"/>
          <w:lang w:val="en-GB"/>
        </w:rPr>
      </w:pPr>
      <w:r w:rsidRPr="0047168A">
        <w:rPr>
          <w:rFonts w:cs="Arial"/>
          <w:i/>
          <w:color w:val="auto"/>
          <w:sz w:val="22"/>
          <w:szCs w:val="22"/>
          <w:lang w:val="en-GB"/>
        </w:rPr>
        <w:t xml:space="preserve">4.1. The rights of incarcerated persons under Mexican </w:t>
      </w:r>
      <w:r w:rsidR="007E02BC" w:rsidRPr="0047168A">
        <w:rPr>
          <w:rFonts w:cs="Arial"/>
          <w:i/>
          <w:color w:val="auto"/>
          <w:sz w:val="22"/>
          <w:szCs w:val="22"/>
          <w:lang w:val="en-GB"/>
        </w:rPr>
        <w:t xml:space="preserve">and international </w:t>
      </w:r>
      <w:r w:rsidRPr="0047168A">
        <w:rPr>
          <w:rFonts w:cs="Arial"/>
          <w:i/>
          <w:color w:val="auto"/>
          <w:sz w:val="22"/>
          <w:szCs w:val="22"/>
          <w:lang w:val="en-GB"/>
        </w:rPr>
        <w:t>law</w:t>
      </w:r>
    </w:p>
    <w:p w14:paraId="4CDCED4B" w14:textId="1D1DF7FE" w:rsidR="006C46AB" w:rsidRPr="0047168A" w:rsidRDefault="00D93580" w:rsidP="00C72434">
      <w:pPr>
        <w:spacing w:line="240" w:lineRule="auto"/>
        <w:jc w:val="both"/>
        <w:rPr>
          <w:rFonts w:cs="Arial"/>
          <w:color w:val="auto"/>
          <w:sz w:val="22"/>
          <w:szCs w:val="22"/>
          <w:lang w:val="en-GB"/>
        </w:rPr>
      </w:pPr>
      <w:r>
        <w:rPr>
          <w:rFonts w:cs="Arial"/>
          <w:color w:val="auto"/>
          <w:sz w:val="22"/>
          <w:szCs w:val="22"/>
          <w:lang w:val="en-GB"/>
        </w:rPr>
        <w:t>Under</w:t>
      </w:r>
      <w:r w:rsidR="00DB1911">
        <w:rPr>
          <w:rFonts w:cs="Arial"/>
          <w:color w:val="auto"/>
          <w:sz w:val="22"/>
          <w:szCs w:val="22"/>
          <w:lang w:val="en-GB"/>
        </w:rPr>
        <w:t xml:space="preserve"> </w:t>
      </w:r>
      <w:r w:rsidR="006C46AB" w:rsidRPr="0047168A">
        <w:rPr>
          <w:rFonts w:cs="Arial"/>
          <w:color w:val="auto"/>
          <w:sz w:val="22"/>
          <w:szCs w:val="22"/>
          <w:lang w:val="en-GB"/>
        </w:rPr>
        <w:t>Mexican law</w:t>
      </w:r>
      <w:r w:rsidR="005A7C24" w:rsidRPr="0047168A">
        <w:rPr>
          <w:rFonts w:cs="Arial"/>
          <w:color w:val="auto"/>
          <w:sz w:val="22"/>
          <w:szCs w:val="22"/>
          <w:lang w:val="en-GB"/>
        </w:rPr>
        <w:t>, social reintegration</w:t>
      </w:r>
      <w:r w:rsidR="006C46AB" w:rsidRPr="0047168A">
        <w:rPr>
          <w:rFonts w:cs="Arial"/>
          <w:color w:val="auto"/>
          <w:sz w:val="22"/>
          <w:szCs w:val="22"/>
          <w:lang w:val="en-GB"/>
        </w:rPr>
        <w:t xml:space="preserve"> is understood as the governmental obligation to guarantee all reasonable means for the development of the personality of incarcerated people. That is why the National Law of Execution of Criminal Sanctions establishes that “persons deprived of their liberty in a Penitentiary Center, during the execution of pretrial detention or the penal sanctions imposed, shall enjoy all the rights provided by the Constitution and International Treaties of which the Mexican Government is a party, as long as these have not been restricted by resolution or sentence, or their exercise is incompatible with their object.”</w:t>
      </w:r>
    </w:p>
    <w:p w14:paraId="66F4E8B7" w14:textId="40112284" w:rsidR="007E02BC" w:rsidRPr="00D93580" w:rsidRDefault="00DC07A4" w:rsidP="00D93580">
      <w:pPr>
        <w:spacing w:line="240" w:lineRule="auto"/>
        <w:jc w:val="both"/>
        <w:rPr>
          <w:rFonts w:cs="Arial"/>
          <w:color w:val="auto"/>
          <w:sz w:val="22"/>
          <w:szCs w:val="22"/>
          <w:lang w:val="en-GB"/>
        </w:rPr>
      </w:pPr>
      <w:r w:rsidRPr="0047168A">
        <w:rPr>
          <w:rFonts w:cs="Arial"/>
          <w:color w:val="auto"/>
          <w:sz w:val="22"/>
          <w:szCs w:val="22"/>
          <w:lang w:val="en-GB"/>
        </w:rPr>
        <w:t>U</w:t>
      </w:r>
      <w:r w:rsidR="007E02BC" w:rsidRPr="0047168A">
        <w:rPr>
          <w:rFonts w:cs="Arial"/>
          <w:color w:val="auto"/>
          <w:sz w:val="22"/>
          <w:szCs w:val="22"/>
          <w:lang w:val="en-GB"/>
        </w:rPr>
        <w:t>nder international human rights law</w:t>
      </w:r>
      <w:r w:rsidRPr="0047168A">
        <w:rPr>
          <w:rFonts w:cs="Arial"/>
          <w:color w:val="auto"/>
          <w:sz w:val="22"/>
          <w:szCs w:val="22"/>
          <w:lang w:val="en-GB"/>
        </w:rPr>
        <w:t>,</w:t>
      </w:r>
      <w:r w:rsidR="007E02BC" w:rsidRPr="0047168A">
        <w:rPr>
          <w:rFonts w:cs="Arial"/>
          <w:color w:val="auto"/>
          <w:sz w:val="22"/>
          <w:szCs w:val="22"/>
          <w:lang w:val="en-GB"/>
        </w:rPr>
        <w:t xml:space="preserve"> persons deprived of their liberty enjoy all the rights set forth in the ICCPR, subject only to the restrictions unavoidable in a closed environment</w:t>
      </w:r>
      <w:r w:rsidR="007E02BC" w:rsidRPr="00D93580">
        <w:rPr>
          <w:rFonts w:cs="Arial"/>
          <w:color w:val="auto"/>
          <w:sz w:val="22"/>
          <w:szCs w:val="22"/>
          <w:lang w:val="en-GB"/>
        </w:rPr>
        <w:t>.</w:t>
      </w:r>
      <w:r w:rsidR="007E02BC" w:rsidRPr="00D93580">
        <w:rPr>
          <w:rFonts w:cs="Arial"/>
          <w:color w:val="auto"/>
          <w:sz w:val="22"/>
          <w:szCs w:val="22"/>
          <w:vertAlign w:val="superscript"/>
          <w:lang w:val="en-GB"/>
        </w:rPr>
        <w:footnoteReference w:id="52"/>
      </w:r>
      <w:r w:rsidR="007E02BC" w:rsidRPr="00D93580">
        <w:rPr>
          <w:rFonts w:cs="Arial"/>
          <w:color w:val="auto"/>
          <w:sz w:val="22"/>
          <w:szCs w:val="22"/>
          <w:lang w:val="en-GB"/>
        </w:rPr>
        <w:t xml:space="preserve"> </w:t>
      </w:r>
      <w:r w:rsidR="001961DD">
        <w:rPr>
          <w:rFonts w:cs="Arial"/>
          <w:color w:val="auto"/>
          <w:sz w:val="22"/>
          <w:szCs w:val="22"/>
          <w:lang w:val="en-GB"/>
        </w:rPr>
        <w:t>S</w:t>
      </w:r>
      <w:r w:rsidR="007E02BC" w:rsidRPr="00D93580">
        <w:rPr>
          <w:rFonts w:cs="Arial"/>
          <w:color w:val="auto"/>
          <w:sz w:val="22"/>
          <w:szCs w:val="22"/>
          <w:lang w:val="en-GB"/>
        </w:rPr>
        <w:t>tates have a heightened duty of care for the life and health of incarcerated persons</w:t>
      </w:r>
      <w:r w:rsidR="001961DD">
        <w:rPr>
          <w:rFonts w:cs="Arial"/>
          <w:color w:val="auto"/>
          <w:sz w:val="22"/>
          <w:szCs w:val="22"/>
          <w:lang w:val="en-GB"/>
        </w:rPr>
        <w:t>,</w:t>
      </w:r>
      <w:r w:rsidR="007E02BC" w:rsidRPr="00D93580">
        <w:rPr>
          <w:rFonts w:cs="Arial"/>
          <w:color w:val="auto"/>
          <w:sz w:val="22"/>
          <w:szCs w:val="22"/>
          <w:vertAlign w:val="superscript"/>
          <w:lang w:val="en-GB"/>
        </w:rPr>
        <w:footnoteReference w:id="53"/>
      </w:r>
      <w:r w:rsidR="007E02BC" w:rsidRPr="00D93580">
        <w:rPr>
          <w:rFonts w:cs="Arial"/>
          <w:color w:val="auto"/>
          <w:sz w:val="22"/>
          <w:szCs w:val="22"/>
          <w:lang w:val="en-GB"/>
        </w:rPr>
        <w:t xml:space="preserve"> </w:t>
      </w:r>
      <w:r w:rsidR="001961DD">
        <w:rPr>
          <w:rFonts w:cs="Arial"/>
          <w:color w:val="auto"/>
          <w:sz w:val="22"/>
          <w:szCs w:val="22"/>
          <w:lang w:val="en-GB"/>
        </w:rPr>
        <w:t>which also</w:t>
      </w:r>
      <w:r w:rsidR="007E02BC" w:rsidRPr="00D93580">
        <w:rPr>
          <w:rFonts w:cs="Arial"/>
          <w:color w:val="auto"/>
          <w:sz w:val="22"/>
          <w:szCs w:val="22"/>
          <w:lang w:val="en-GB"/>
        </w:rPr>
        <w:t xml:space="preserve"> implies the obligation to regularly monitor the health of detainees.</w:t>
      </w:r>
      <w:r w:rsidR="007E02BC" w:rsidRPr="00D93580">
        <w:rPr>
          <w:rFonts w:cs="Arial"/>
          <w:color w:val="auto"/>
          <w:sz w:val="22"/>
          <w:szCs w:val="22"/>
          <w:vertAlign w:val="superscript"/>
          <w:lang w:val="en-GB"/>
        </w:rPr>
        <w:footnoteReference w:id="54"/>
      </w:r>
    </w:p>
    <w:p w14:paraId="52882DB0" w14:textId="77E048A8" w:rsidR="006C46AB" w:rsidRDefault="006C46AB" w:rsidP="00C72434">
      <w:pPr>
        <w:spacing w:line="240" w:lineRule="auto"/>
        <w:jc w:val="both"/>
        <w:rPr>
          <w:rFonts w:cs="Arial"/>
          <w:color w:val="auto"/>
          <w:sz w:val="22"/>
          <w:szCs w:val="22"/>
          <w:lang w:val="en-GB"/>
        </w:rPr>
      </w:pPr>
      <w:r w:rsidRPr="0047168A">
        <w:rPr>
          <w:rFonts w:cs="Arial"/>
          <w:color w:val="auto"/>
          <w:sz w:val="22"/>
          <w:szCs w:val="22"/>
          <w:lang w:val="en-GB"/>
        </w:rPr>
        <w:t>Thereby,</w:t>
      </w:r>
      <w:r w:rsidR="001961DD">
        <w:rPr>
          <w:rFonts w:cs="Arial"/>
          <w:color w:val="auto"/>
          <w:sz w:val="22"/>
          <w:szCs w:val="22"/>
          <w:lang w:val="en-GB"/>
        </w:rPr>
        <w:t xml:space="preserve"> it descends from domestic legislation as well as from Articles 6 and 7 ICCPR that the state has an obligation to fully guarantee to the right to</w:t>
      </w:r>
      <w:r w:rsidRPr="0047168A">
        <w:rPr>
          <w:rFonts w:cs="Arial"/>
          <w:color w:val="auto"/>
          <w:sz w:val="22"/>
          <w:szCs w:val="22"/>
          <w:lang w:val="en-GB"/>
        </w:rPr>
        <w:t xml:space="preserve"> life and human integrity </w:t>
      </w:r>
      <w:r w:rsidR="001961DD">
        <w:rPr>
          <w:rFonts w:cs="Arial"/>
          <w:color w:val="auto"/>
          <w:sz w:val="22"/>
          <w:szCs w:val="22"/>
          <w:lang w:val="en-GB"/>
        </w:rPr>
        <w:t>of incarcerated people</w:t>
      </w:r>
      <w:r w:rsidRPr="0047168A">
        <w:rPr>
          <w:rFonts w:cs="Arial"/>
          <w:color w:val="auto"/>
          <w:sz w:val="22"/>
          <w:szCs w:val="22"/>
          <w:lang w:val="en-GB"/>
        </w:rPr>
        <w:t xml:space="preserve">, </w:t>
      </w:r>
      <w:r w:rsidR="004A4F04" w:rsidRPr="0047168A">
        <w:rPr>
          <w:rFonts w:cs="Arial"/>
          <w:color w:val="auto"/>
          <w:sz w:val="22"/>
          <w:szCs w:val="22"/>
          <w:lang w:val="en-GB"/>
        </w:rPr>
        <w:t xml:space="preserve">the right </w:t>
      </w:r>
      <w:r w:rsidR="001961DD">
        <w:rPr>
          <w:rFonts w:cs="Arial"/>
          <w:color w:val="auto"/>
          <w:sz w:val="22"/>
          <w:szCs w:val="22"/>
          <w:lang w:val="en-GB"/>
        </w:rPr>
        <w:t>to</w:t>
      </w:r>
      <w:r w:rsidR="004A4F04" w:rsidRPr="0047168A">
        <w:rPr>
          <w:rFonts w:cs="Arial"/>
          <w:color w:val="auto"/>
          <w:sz w:val="22"/>
          <w:szCs w:val="22"/>
          <w:lang w:val="en-GB"/>
        </w:rPr>
        <w:t xml:space="preserve"> dignified conditions of </w:t>
      </w:r>
      <w:r w:rsidR="00D93580">
        <w:rPr>
          <w:rFonts w:cs="Arial"/>
          <w:color w:val="auto"/>
          <w:sz w:val="22"/>
          <w:szCs w:val="22"/>
          <w:lang w:val="en-GB"/>
        </w:rPr>
        <w:t>detention</w:t>
      </w:r>
      <w:r w:rsidR="001961DD">
        <w:rPr>
          <w:rFonts w:cs="Arial"/>
          <w:color w:val="auto"/>
          <w:sz w:val="22"/>
          <w:szCs w:val="22"/>
          <w:lang w:val="en-GB"/>
        </w:rPr>
        <w:t>,</w:t>
      </w:r>
      <w:r w:rsidR="004A4F04" w:rsidRPr="0047168A">
        <w:rPr>
          <w:rFonts w:cs="Arial"/>
          <w:color w:val="auto"/>
          <w:sz w:val="22"/>
          <w:szCs w:val="22"/>
          <w:lang w:val="en-GB"/>
        </w:rPr>
        <w:t xml:space="preserve"> and </w:t>
      </w:r>
      <w:r w:rsidRPr="0047168A">
        <w:rPr>
          <w:rFonts w:cs="Arial"/>
          <w:color w:val="auto"/>
          <w:sz w:val="22"/>
          <w:szCs w:val="22"/>
          <w:lang w:val="en-GB"/>
        </w:rPr>
        <w:t>the right to health</w:t>
      </w:r>
      <w:r w:rsidR="001961DD">
        <w:rPr>
          <w:rFonts w:cs="Arial"/>
          <w:color w:val="auto"/>
          <w:sz w:val="22"/>
          <w:szCs w:val="22"/>
          <w:lang w:val="en-GB"/>
        </w:rPr>
        <w:t>.</w:t>
      </w:r>
      <w:r w:rsidR="00D93580">
        <w:rPr>
          <w:rFonts w:cs="Arial"/>
          <w:color w:val="auto"/>
          <w:sz w:val="22"/>
          <w:szCs w:val="22"/>
          <w:lang w:val="en-GB"/>
        </w:rPr>
        <w:t xml:space="preserve"> T</w:t>
      </w:r>
      <w:r w:rsidRPr="0047168A">
        <w:rPr>
          <w:rFonts w:cs="Arial"/>
          <w:color w:val="auto"/>
          <w:sz w:val="22"/>
          <w:szCs w:val="22"/>
          <w:lang w:val="en-GB"/>
        </w:rPr>
        <w:t xml:space="preserve">he government must ensure </w:t>
      </w:r>
      <w:r w:rsidR="001961DD">
        <w:rPr>
          <w:rFonts w:cs="Arial"/>
          <w:color w:val="auto"/>
          <w:sz w:val="22"/>
          <w:szCs w:val="22"/>
          <w:lang w:val="en-GB"/>
        </w:rPr>
        <w:t>that essential</w:t>
      </w:r>
      <w:r w:rsidR="001961DD" w:rsidRPr="0047168A">
        <w:rPr>
          <w:rFonts w:cs="Arial"/>
          <w:color w:val="auto"/>
          <w:sz w:val="22"/>
          <w:szCs w:val="22"/>
          <w:lang w:val="en-GB"/>
        </w:rPr>
        <w:t xml:space="preserve"> </w:t>
      </w:r>
      <w:r w:rsidR="001961DD">
        <w:rPr>
          <w:rFonts w:cs="Arial"/>
          <w:color w:val="auto"/>
          <w:sz w:val="22"/>
          <w:szCs w:val="22"/>
          <w:lang w:val="en-GB"/>
        </w:rPr>
        <w:t xml:space="preserve">health </w:t>
      </w:r>
      <w:r w:rsidRPr="0047168A">
        <w:rPr>
          <w:rFonts w:cs="Arial"/>
          <w:color w:val="auto"/>
          <w:sz w:val="22"/>
          <w:szCs w:val="22"/>
          <w:lang w:val="en-GB"/>
        </w:rPr>
        <w:t>services are</w:t>
      </w:r>
      <w:r w:rsidR="001961DD">
        <w:rPr>
          <w:rFonts w:cs="Arial"/>
          <w:color w:val="auto"/>
          <w:sz w:val="22"/>
          <w:szCs w:val="22"/>
          <w:lang w:val="en-GB"/>
        </w:rPr>
        <w:t xml:space="preserve"> available in prison</w:t>
      </w:r>
      <w:r w:rsidR="00D93580">
        <w:rPr>
          <w:rFonts w:cs="Arial"/>
          <w:color w:val="auto"/>
          <w:sz w:val="22"/>
          <w:szCs w:val="22"/>
          <w:lang w:val="en-GB"/>
        </w:rPr>
        <w:t>s</w:t>
      </w:r>
      <w:r w:rsidR="001961DD">
        <w:rPr>
          <w:rFonts w:cs="Arial"/>
          <w:color w:val="auto"/>
          <w:sz w:val="22"/>
          <w:szCs w:val="22"/>
          <w:lang w:val="en-GB"/>
        </w:rPr>
        <w:t>, and are</w:t>
      </w:r>
      <w:r w:rsidRPr="0047168A">
        <w:rPr>
          <w:rFonts w:cs="Arial"/>
          <w:color w:val="auto"/>
          <w:sz w:val="22"/>
          <w:szCs w:val="22"/>
          <w:lang w:val="en-GB"/>
        </w:rPr>
        <w:t xml:space="preserve"> of quality, based on scientific principles, best practices</w:t>
      </w:r>
      <w:r w:rsidR="00D93580">
        <w:rPr>
          <w:rFonts w:cs="Arial"/>
          <w:color w:val="auto"/>
          <w:sz w:val="22"/>
          <w:szCs w:val="22"/>
          <w:lang w:val="en-GB"/>
        </w:rPr>
        <w:t>,</w:t>
      </w:r>
      <w:r w:rsidRPr="0047168A">
        <w:rPr>
          <w:rFonts w:cs="Arial"/>
          <w:color w:val="auto"/>
          <w:sz w:val="22"/>
          <w:szCs w:val="22"/>
          <w:lang w:val="en-GB"/>
        </w:rPr>
        <w:t xml:space="preserve"> and</w:t>
      </w:r>
      <w:r w:rsidR="00D93580">
        <w:rPr>
          <w:rFonts w:cs="Arial"/>
          <w:color w:val="auto"/>
          <w:sz w:val="22"/>
          <w:szCs w:val="22"/>
          <w:lang w:val="en-GB"/>
        </w:rPr>
        <w:t xml:space="preserve"> adequate</w:t>
      </w:r>
      <w:r w:rsidRPr="0047168A">
        <w:rPr>
          <w:rFonts w:cs="Arial"/>
          <w:color w:val="auto"/>
          <w:sz w:val="22"/>
          <w:szCs w:val="22"/>
          <w:lang w:val="en-GB"/>
        </w:rPr>
        <w:t xml:space="preserve"> to achieve physical and mental well-being of the incarcerated population.</w:t>
      </w:r>
    </w:p>
    <w:p w14:paraId="065390B3" w14:textId="7AE60E9F" w:rsidR="009F4185" w:rsidRPr="0047168A" w:rsidRDefault="0047168A" w:rsidP="00C72434">
      <w:pPr>
        <w:spacing w:line="240" w:lineRule="auto"/>
        <w:jc w:val="both"/>
        <w:rPr>
          <w:rFonts w:cs="Arial"/>
          <w:color w:val="auto"/>
          <w:sz w:val="22"/>
          <w:szCs w:val="22"/>
          <w:lang w:val="en-GB"/>
        </w:rPr>
      </w:pPr>
      <w:r>
        <w:rPr>
          <w:rFonts w:cs="Arial"/>
          <w:color w:val="auto"/>
          <w:sz w:val="22"/>
          <w:szCs w:val="22"/>
          <w:lang w:val="en-GB"/>
        </w:rPr>
        <w:t>D</w:t>
      </w:r>
      <w:r w:rsidR="00BE7DCE">
        <w:rPr>
          <w:rFonts w:cs="Arial"/>
          <w:color w:val="auto"/>
          <w:sz w:val="22"/>
          <w:szCs w:val="22"/>
          <w:lang w:val="en-GB"/>
        </w:rPr>
        <w:t xml:space="preserve">ata from </w:t>
      </w:r>
      <w:r w:rsidR="00156F87">
        <w:rPr>
          <w:rFonts w:cs="Arial"/>
          <w:color w:val="auto"/>
          <w:sz w:val="22"/>
          <w:szCs w:val="22"/>
          <w:lang w:val="en-GB"/>
        </w:rPr>
        <w:t>June 2019 shows that there has been an increase of the prison population, probably as a consequence of a Constitutional reform approved in April 2019 which widen</w:t>
      </w:r>
      <w:r w:rsidR="00567F3F">
        <w:rPr>
          <w:rFonts w:cs="Arial"/>
          <w:color w:val="auto"/>
          <w:sz w:val="22"/>
          <w:szCs w:val="22"/>
          <w:lang w:val="en-GB"/>
        </w:rPr>
        <w:t>s</w:t>
      </w:r>
      <w:r w:rsidR="00156F87">
        <w:rPr>
          <w:rFonts w:cs="Arial"/>
          <w:color w:val="auto"/>
          <w:sz w:val="22"/>
          <w:szCs w:val="22"/>
          <w:lang w:val="en-GB"/>
        </w:rPr>
        <w:t xml:space="preserve"> the number of offences that receive pre-trial mandatory detention.</w:t>
      </w:r>
      <w:r w:rsidR="00156F87">
        <w:rPr>
          <w:rStyle w:val="FootnoteReference"/>
          <w:rFonts w:cs="Arial"/>
          <w:color w:val="auto"/>
          <w:sz w:val="22"/>
          <w:szCs w:val="22"/>
          <w:lang w:val="en-GB"/>
        </w:rPr>
        <w:footnoteReference w:id="55"/>
      </w:r>
      <w:r w:rsidR="00156F87">
        <w:rPr>
          <w:rFonts w:cs="Arial"/>
          <w:color w:val="auto"/>
          <w:sz w:val="22"/>
          <w:szCs w:val="22"/>
          <w:lang w:val="en-GB"/>
        </w:rPr>
        <w:t>.</w:t>
      </w:r>
    </w:p>
    <w:p w14:paraId="18FF558B" w14:textId="01524972" w:rsidR="00830619" w:rsidRPr="0047168A" w:rsidRDefault="00830619" w:rsidP="00C72434">
      <w:pPr>
        <w:spacing w:line="240" w:lineRule="auto"/>
        <w:jc w:val="both"/>
        <w:rPr>
          <w:rFonts w:cs="Arial"/>
          <w:i/>
          <w:color w:val="auto"/>
          <w:sz w:val="22"/>
          <w:szCs w:val="22"/>
          <w:lang w:val="en-GB"/>
        </w:rPr>
      </w:pPr>
      <w:r w:rsidRPr="0047168A">
        <w:rPr>
          <w:rFonts w:cs="Arial"/>
          <w:i/>
          <w:color w:val="auto"/>
          <w:sz w:val="22"/>
          <w:szCs w:val="22"/>
          <w:lang w:val="en-GB"/>
        </w:rPr>
        <w:t>4.</w:t>
      </w:r>
      <w:r w:rsidR="007E02BC" w:rsidRPr="0047168A">
        <w:rPr>
          <w:rFonts w:cs="Arial"/>
          <w:i/>
          <w:color w:val="auto"/>
          <w:sz w:val="22"/>
          <w:szCs w:val="22"/>
          <w:lang w:val="en-GB"/>
        </w:rPr>
        <w:t>2</w:t>
      </w:r>
      <w:r w:rsidRPr="0047168A">
        <w:rPr>
          <w:rFonts w:cs="Arial"/>
          <w:i/>
          <w:color w:val="auto"/>
          <w:sz w:val="22"/>
          <w:szCs w:val="22"/>
          <w:lang w:val="en-GB"/>
        </w:rPr>
        <w:t xml:space="preserve">. Violation of </w:t>
      </w:r>
      <w:r w:rsidR="005D4FF9" w:rsidRPr="0047168A">
        <w:rPr>
          <w:rFonts w:cs="Arial"/>
          <w:i/>
          <w:color w:val="auto"/>
          <w:sz w:val="22"/>
          <w:szCs w:val="22"/>
          <w:lang w:val="en-GB"/>
        </w:rPr>
        <w:t>prohibition of cruel, inhuman or degrading treatment or punishment</w:t>
      </w:r>
    </w:p>
    <w:p w14:paraId="1BC4D9B9" w14:textId="6915FD76" w:rsidR="00FD1665" w:rsidRPr="0047168A" w:rsidRDefault="00FD1665" w:rsidP="00C72434">
      <w:pPr>
        <w:spacing w:line="240" w:lineRule="auto"/>
        <w:jc w:val="both"/>
        <w:rPr>
          <w:rFonts w:cs="Arial"/>
          <w:i/>
          <w:color w:val="auto"/>
          <w:sz w:val="22"/>
          <w:szCs w:val="22"/>
          <w:lang w:val="en-GB"/>
        </w:rPr>
      </w:pPr>
      <w:r w:rsidRPr="0047168A">
        <w:rPr>
          <w:rFonts w:cs="Arial"/>
          <w:i/>
          <w:color w:val="auto"/>
          <w:sz w:val="22"/>
          <w:szCs w:val="22"/>
          <w:lang w:val="en-GB"/>
        </w:rPr>
        <w:lastRenderedPageBreak/>
        <w:tab/>
        <w:t xml:space="preserve">4.2.1. </w:t>
      </w:r>
      <w:r w:rsidR="001961DD">
        <w:rPr>
          <w:rFonts w:cs="Arial"/>
          <w:i/>
          <w:color w:val="auto"/>
          <w:sz w:val="22"/>
          <w:szCs w:val="22"/>
          <w:lang w:val="en-GB"/>
        </w:rPr>
        <w:t>Inadequate</w:t>
      </w:r>
      <w:r w:rsidRPr="0047168A">
        <w:rPr>
          <w:rFonts w:cs="Arial"/>
          <w:i/>
          <w:color w:val="auto"/>
          <w:sz w:val="22"/>
          <w:szCs w:val="22"/>
          <w:lang w:val="en-GB"/>
        </w:rPr>
        <w:t xml:space="preserve"> health care standards in Mexican prisons</w:t>
      </w:r>
    </w:p>
    <w:p w14:paraId="16817EDB" w14:textId="766FB4AD" w:rsidR="006C46AB" w:rsidRDefault="001961DD" w:rsidP="00C72434">
      <w:pPr>
        <w:spacing w:line="240" w:lineRule="auto"/>
        <w:jc w:val="both"/>
        <w:rPr>
          <w:rFonts w:cs="Arial"/>
          <w:color w:val="auto"/>
          <w:sz w:val="22"/>
          <w:szCs w:val="22"/>
          <w:lang w:val="en-GB"/>
        </w:rPr>
      </w:pPr>
      <w:r>
        <w:rPr>
          <w:rFonts w:cs="Arial"/>
          <w:color w:val="auto"/>
          <w:sz w:val="22"/>
          <w:szCs w:val="22"/>
          <w:lang w:val="en-GB"/>
        </w:rPr>
        <w:t>T</w:t>
      </w:r>
      <w:r w:rsidR="006C46AB" w:rsidRPr="0047168A">
        <w:rPr>
          <w:rFonts w:cs="Arial"/>
          <w:color w:val="auto"/>
          <w:sz w:val="22"/>
          <w:szCs w:val="22"/>
          <w:lang w:val="en-GB"/>
        </w:rPr>
        <w:t xml:space="preserve">he United Nations Special Rapporteur on Torture and other Cruel, Inhuman or Degrading Treatment or Punishment reported in 2014 some cases of incarcerated people with chronic diseases and </w:t>
      </w:r>
      <w:r>
        <w:rPr>
          <w:rFonts w:cs="Arial"/>
          <w:color w:val="auto"/>
          <w:sz w:val="22"/>
          <w:szCs w:val="22"/>
          <w:lang w:val="en-GB"/>
        </w:rPr>
        <w:t xml:space="preserve">in </w:t>
      </w:r>
      <w:r w:rsidR="006C46AB" w:rsidRPr="0047168A">
        <w:rPr>
          <w:rFonts w:cs="Arial"/>
          <w:color w:val="auto"/>
          <w:sz w:val="22"/>
          <w:szCs w:val="22"/>
          <w:lang w:val="en-GB"/>
        </w:rPr>
        <w:t xml:space="preserve">needs of </w:t>
      </w:r>
      <w:r>
        <w:rPr>
          <w:rFonts w:cs="Arial"/>
          <w:color w:val="auto"/>
          <w:sz w:val="22"/>
          <w:szCs w:val="22"/>
          <w:lang w:val="en-GB"/>
        </w:rPr>
        <w:t xml:space="preserve">essential </w:t>
      </w:r>
      <w:r w:rsidR="006C46AB" w:rsidRPr="0047168A">
        <w:rPr>
          <w:rFonts w:cs="Arial"/>
          <w:color w:val="auto"/>
          <w:sz w:val="22"/>
          <w:szCs w:val="22"/>
          <w:lang w:val="en-GB"/>
        </w:rPr>
        <w:t xml:space="preserve">medicines </w:t>
      </w:r>
      <w:r>
        <w:rPr>
          <w:rFonts w:cs="Arial"/>
          <w:color w:val="auto"/>
          <w:sz w:val="22"/>
          <w:szCs w:val="22"/>
          <w:lang w:val="en-GB"/>
        </w:rPr>
        <w:t>which had been left untreated</w:t>
      </w:r>
      <w:r w:rsidR="006C46AB" w:rsidRPr="0047168A">
        <w:rPr>
          <w:rFonts w:cs="Arial"/>
          <w:color w:val="auto"/>
          <w:sz w:val="22"/>
          <w:szCs w:val="22"/>
          <w:lang w:val="en-GB"/>
        </w:rPr>
        <w:t xml:space="preserve">. </w:t>
      </w:r>
      <w:r>
        <w:rPr>
          <w:rFonts w:cs="Arial"/>
          <w:color w:val="auto"/>
          <w:sz w:val="22"/>
          <w:szCs w:val="22"/>
          <w:lang w:val="en-GB"/>
        </w:rPr>
        <w:t>Similarly</w:t>
      </w:r>
      <w:r w:rsidR="006C46AB" w:rsidRPr="0047168A">
        <w:rPr>
          <w:rFonts w:cs="Arial"/>
          <w:color w:val="auto"/>
          <w:sz w:val="22"/>
          <w:szCs w:val="22"/>
          <w:lang w:val="en-GB"/>
        </w:rPr>
        <w:t xml:space="preserve">, the Human Rights Commission of Mexico City, in its 2011 Special Report on the Right to Health of Persons Deprived of Liberty, warned about problems of accessibility and </w:t>
      </w:r>
      <w:r>
        <w:rPr>
          <w:rFonts w:cs="Arial"/>
          <w:color w:val="auto"/>
          <w:sz w:val="22"/>
          <w:szCs w:val="22"/>
          <w:lang w:val="en-GB"/>
        </w:rPr>
        <w:t xml:space="preserve">procedural </w:t>
      </w:r>
      <w:r w:rsidR="006C46AB" w:rsidRPr="0047168A">
        <w:rPr>
          <w:rFonts w:cs="Arial"/>
          <w:color w:val="auto"/>
          <w:sz w:val="22"/>
          <w:szCs w:val="22"/>
          <w:lang w:val="en-GB"/>
        </w:rPr>
        <w:t xml:space="preserve">delays </w:t>
      </w:r>
      <w:r>
        <w:rPr>
          <w:rFonts w:cs="Arial"/>
          <w:color w:val="auto"/>
          <w:sz w:val="22"/>
          <w:szCs w:val="22"/>
          <w:lang w:val="en-GB"/>
        </w:rPr>
        <w:t>for</w:t>
      </w:r>
      <w:r w:rsidR="006C46AB" w:rsidRPr="0047168A">
        <w:rPr>
          <w:rFonts w:cs="Arial"/>
          <w:color w:val="auto"/>
          <w:sz w:val="22"/>
          <w:szCs w:val="22"/>
          <w:lang w:val="en-GB"/>
        </w:rPr>
        <w:t xml:space="preserve"> incarcerated patients that require specialized medical care.</w:t>
      </w:r>
    </w:p>
    <w:p w14:paraId="68FE5EA1" w14:textId="53B4EF73" w:rsidR="009C7AD9" w:rsidRDefault="00156F87" w:rsidP="00C72434">
      <w:pPr>
        <w:spacing w:line="240" w:lineRule="auto"/>
        <w:jc w:val="both"/>
        <w:rPr>
          <w:rFonts w:cs="Arial"/>
          <w:color w:val="auto"/>
          <w:sz w:val="22"/>
          <w:szCs w:val="22"/>
          <w:lang w:val="en-GB"/>
        </w:rPr>
      </w:pPr>
      <w:r>
        <w:rPr>
          <w:rFonts w:cs="Arial"/>
          <w:color w:val="auto"/>
          <w:sz w:val="22"/>
          <w:szCs w:val="22"/>
          <w:lang w:val="en-GB"/>
        </w:rPr>
        <w:t xml:space="preserve">Lack of access to health in prison is particularly acute in the case of women and children living in prison with their mothers. </w:t>
      </w:r>
      <w:r w:rsidR="008C7980">
        <w:rPr>
          <w:rFonts w:cs="Arial"/>
          <w:color w:val="auto"/>
          <w:sz w:val="22"/>
          <w:szCs w:val="22"/>
          <w:lang w:val="en-GB"/>
        </w:rPr>
        <w:t>In Mexico, women represent 5% of the prison population. Out of 311 prisons, only 19 are exclusively for women. 53% states keep women in mixed prison centres. As shown by the National Commission of Human Rights</w:t>
      </w:r>
      <w:r w:rsidR="000C4809">
        <w:rPr>
          <w:rStyle w:val="FootnoteReference"/>
          <w:rFonts w:cs="Arial"/>
          <w:color w:val="auto"/>
          <w:sz w:val="22"/>
          <w:szCs w:val="22"/>
          <w:lang w:val="en-GB"/>
        </w:rPr>
        <w:footnoteReference w:id="56"/>
      </w:r>
      <w:r w:rsidR="008C7980">
        <w:rPr>
          <w:rFonts w:cs="Arial"/>
          <w:color w:val="auto"/>
          <w:sz w:val="22"/>
          <w:szCs w:val="22"/>
          <w:lang w:val="en-GB"/>
        </w:rPr>
        <w:t xml:space="preserve">, </w:t>
      </w:r>
      <w:r w:rsidR="000C4809">
        <w:rPr>
          <w:rFonts w:cs="Arial"/>
          <w:color w:val="auto"/>
          <w:sz w:val="22"/>
          <w:szCs w:val="22"/>
          <w:lang w:val="en-GB"/>
        </w:rPr>
        <w:t>access to health is more deficient in mixed prison</w:t>
      </w:r>
      <w:r w:rsidR="00567F3F">
        <w:rPr>
          <w:rFonts w:cs="Arial"/>
          <w:color w:val="auto"/>
          <w:sz w:val="22"/>
          <w:szCs w:val="22"/>
          <w:lang w:val="en-GB"/>
        </w:rPr>
        <w:t>s</w:t>
      </w:r>
      <w:r w:rsidR="000C4809">
        <w:rPr>
          <w:rFonts w:cs="Arial"/>
          <w:color w:val="auto"/>
          <w:sz w:val="22"/>
          <w:szCs w:val="22"/>
          <w:lang w:val="en-GB"/>
        </w:rPr>
        <w:t xml:space="preserve"> than in female prison centres. </w:t>
      </w:r>
    </w:p>
    <w:p w14:paraId="532F17C3" w14:textId="0A2114C0" w:rsidR="009C7AD9" w:rsidRDefault="009C7AD9" w:rsidP="00C72434">
      <w:pPr>
        <w:spacing w:line="240" w:lineRule="auto"/>
        <w:jc w:val="both"/>
        <w:rPr>
          <w:rFonts w:cs="Arial"/>
          <w:color w:val="auto"/>
          <w:sz w:val="22"/>
          <w:szCs w:val="22"/>
          <w:lang w:val="en-GB"/>
        </w:rPr>
      </w:pPr>
      <w:r>
        <w:rPr>
          <w:rFonts w:cs="Arial"/>
          <w:color w:val="auto"/>
          <w:sz w:val="22"/>
          <w:szCs w:val="22"/>
          <w:lang w:val="en-GB"/>
        </w:rPr>
        <w:t>Furthermore, women in mixed centres are more likely to be victims of intra-wall human trafficking and sexual exploitation by guards, prison staff</w:t>
      </w:r>
      <w:r w:rsidR="00567F3F">
        <w:rPr>
          <w:rFonts w:cs="Arial"/>
          <w:color w:val="auto"/>
          <w:sz w:val="22"/>
          <w:szCs w:val="22"/>
          <w:lang w:val="en-GB"/>
        </w:rPr>
        <w:t>,</w:t>
      </w:r>
      <w:r>
        <w:rPr>
          <w:rFonts w:cs="Arial"/>
          <w:color w:val="auto"/>
          <w:sz w:val="22"/>
          <w:szCs w:val="22"/>
          <w:lang w:val="en-GB"/>
        </w:rPr>
        <w:t xml:space="preserve"> and other inmates, thus increasing the health consequences of sexual violence against women and the transmission of Sexually Transmitted Diseases.</w:t>
      </w:r>
    </w:p>
    <w:p w14:paraId="41AFE4C6" w14:textId="367346A3" w:rsidR="009C7AD9" w:rsidRDefault="00567F3F" w:rsidP="00C72434">
      <w:pPr>
        <w:spacing w:line="240" w:lineRule="auto"/>
        <w:jc w:val="both"/>
        <w:rPr>
          <w:rFonts w:cs="Arial"/>
          <w:color w:val="auto"/>
          <w:sz w:val="22"/>
          <w:szCs w:val="22"/>
          <w:lang w:val="en-GB"/>
        </w:rPr>
      </w:pPr>
      <w:r>
        <w:rPr>
          <w:rFonts w:cs="Arial"/>
          <w:color w:val="auto"/>
          <w:sz w:val="22"/>
          <w:szCs w:val="22"/>
          <w:lang w:val="en-GB"/>
        </w:rPr>
        <w:t>According to civil society, s</w:t>
      </w:r>
      <w:r w:rsidR="009C7AD9">
        <w:rPr>
          <w:rFonts w:cs="Arial"/>
          <w:color w:val="auto"/>
          <w:sz w:val="22"/>
          <w:szCs w:val="22"/>
          <w:lang w:val="en-GB"/>
        </w:rPr>
        <w:t>exual violence is more acute among trans-gender women in male prison centres.</w:t>
      </w:r>
    </w:p>
    <w:p w14:paraId="5655A6A6" w14:textId="7F69A35E" w:rsidR="00156F87" w:rsidRPr="0047168A" w:rsidRDefault="00567F3F" w:rsidP="00C72434">
      <w:pPr>
        <w:spacing w:line="240" w:lineRule="auto"/>
        <w:jc w:val="both"/>
        <w:rPr>
          <w:rFonts w:cs="Arial"/>
          <w:color w:val="auto"/>
          <w:sz w:val="22"/>
          <w:szCs w:val="22"/>
          <w:lang w:val="en-GB"/>
        </w:rPr>
      </w:pPr>
      <w:r>
        <w:rPr>
          <w:rFonts w:cs="Arial"/>
          <w:color w:val="auto"/>
          <w:sz w:val="22"/>
          <w:szCs w:val="22"/>
          <w:lang w:val="en-GB"/>
        </w:rPr>
        <w:t>Local civil society has also found that t</w:t>
      </w:r>
      <w:r w:rsidR="000C4809">
        <w:rPr>
          <w:rFonts w:cs="Arial"/>
          <w:color w:val="auto"/>
          <w:sz w:val="22"/>
          <w:szCs w:val="22"/>
          <w:lang w:val="en-GB"/>
        </w:rPr>
        <w:t>he situation of children that live in prison with their mothers</w:t>
      </w:r>
      <w:r>
        <w:rPr>
          <w:rFonts w:cs="Arial"/>
          <w:color w:val="auto"/>
          <w:sz w:val="22"/>
          <w:szCs w:val="22"/>
          <w:lang w:val="en-GB"/>
        </w:rPr>
        <w:t xml:space="preserve"> is particularly dire</w:t>
      </w:r>
      <w:r w:rsidR="000C4809">
        <w:rPr>
          <w:rFonts w:cs="Arial"/>
          <w:color w:val="auto"/>
          <w:sz w:val="22"/>
          <w:szCs w:val="22"/>
          <w:lang w:val="en-GB"/>
        </w:rPr>
        <w:t>. Constant field work carried out by Equis in different female prisons shows that children lack access to paediatricians, medications, educations, contact with the external world and the allocation of proper spaces and infrastructure.</w:t>
      </w:r>
      <w:r w:rsidR="00417D9A">
        <w:rPr>
          <w:rFonts w:cs="Arial"/>
          <w:color w:val="auto"/>
          <w:sz w:val="22"/>
          <w:szCs w:val="22"/>
          <w:lang w:val="en-GB"/>
        </w:rPr>
        <w:t xml:space="preserve"> A striking case is the Federal Female Prison of Morelos, which operates under a semi-privatization scheme</w:t>
      </w:r>
      <w:r w:rsidR="009C7AD9">
        <w:rPr>
          <w:rFonts w:cs="Arial"/>
          <w:color w:val="auto"/>
          <w:sz w:val="22"/>
          <w:szCs w:val="22"/>
          <w:lang w:val="en-GB"/>
        </w:rPr>
        <w:t xml:space="preserve"> and is known as Centro de Prestación de Servicios (CPS) 16</w:t>
      </w:r>
      <w:r w:rsidR="00417D9A">
        <w:rPr>
          <w:rFonts w:cs="Arial"/>
          <w:color w:val="auto"/>
          <w:sz w:val="22"/>
          <w:szCs w:val="22"/>
          <w:lang w:val="en-GB"/>
        </w:rPr>
        <w:t>. Despite counting with a hospital and first-quality infrastructure, the centre lacks medical attentions and medicines</w:t>
      </w:r>
      <w:r>
        <w:rPr>
          <w:rFonts w:cs="Arial"/>
          <w:color w:val="auto"/>
          <w:sz w:val="22"/>
          <w:szCs w:val="22"/>
          <w:lang w:val="en-GB"/>
        </w:rPr>
        <w:t>,</w:t>
      </w:r>
      <w:r w:rsidR="00417D9A">
        <w:rPr>
          <w:rFonts w:cs="Arial"/>
          <w:color w:val="auto"/>
          <w:sz w:val="22"/>
          <w:szCs w:val="22"/>
          <w:lang w:val="en-GB"/>
        </w:rPr>
        <w:t xml:space="preserve"> and children who live there with their mothers do not have access to proper health care and paediatric medicines. </w:t>
      </w:r>
    </w:p>
    <w:p w14:paraId="5C8E3219" w14:textId="1D076CD2" w:rsidR="00FD1665" w:rsidRPr="0047168A" w:rsidRDefault="00FD1665" w:rsidP="00FD1665">
      <w:pPr>
        <w:spacing w:line="240" w:lineRule="auto"/>
        <w:jc w:val="both"/>
        <w:rPr>
          <w:rFonts w:cs="Arial"/>
          <w:i/>
          <w:color w:val="auto"/>
          <w:sz w:val="22"/>
          <w:szCs w:val="22"/>
          <w:lang w:val="en-GB"/>
        </w:rPr>
      </w:pPr>
      <w:r w:rsidRPr="0047168A">
        <w:rPr>
          <w:rFonts w:cs="Arial"/>
          <w:i/>
          <w:color w:val="auto"/>
          <w:sz w:val="22"/>
          <w:szCs w:val="22"/>
          <w:lang w:val="en-GB"/>
        </w:rPr>
        <w:tab/>
        <w:t xml:space="preserve">4.2.2. </w:t>
      </w:r>
      <w:r w:rsidR="001961DD">
        <w:rPr>
          <w:rFonts w:cs="Arial"/>
          <w:i/>
          <w:color w:val="auto"/>
          <w:sz w:val="22"/>
          <w:szCs w:val="22"/>
          <w:lang w:val="en-GB"/>
        </w:rPr>
        <w:t>D</w:t>
      </w:r>
      <w:r w:rsidRPr="0047168A">
        <w:rPr>
          <w:rFonts w:cs="Arial"/>
          <w:i/>
          <w:color w:val="auto"/>
          <w:sz w:val="22"/>
          <w:szCs w:val="22"/>
          <w:lang w:val="en-GB"/>
        </w:rPr>
        <w:t>rug use in Mexican prisons</w:t>
      </w:r>
    </w:p>
    <w:p w14:paraId="00EC445F" w14:textId="64AD1A40" w:rsidR="006C46AB" w:rsidRPr="0047168A" w:rsidRDefault="006C46AB" w:rsidP="00C72434">
      <w:pPr>
        <w:spacing w:line="240" w:lineRule="auto"/>
        <w:jc w:val="both"/>
        <w:rPr>
          <w:rFonts w:cs="Arial"/>
          <w:color w:val="auto"/>
          <w:sz w:val="22"/>
          <w:szCs w:val="22"/>
          <w:lang w:val="en-GB"/>
        </w:rPr>
      </w:pPr>
      <w:r w:rsidRPr="0047168A">
        <w:rPr>
          <w:rFonts w:cs="Arial"/>
          <w:color w:val="auto"/>
          <w:sz w:val="22"/>
          <w:szCs w:val="22"/>
          <w:lang w:val="en-GB"/>
        </w:rPr>
        <w:t>According to interviews conducted by the Human Rights Commission of Mexico City in prisons, 17%</w:t>
      </w:r>
      <w:r w:rsidR="001961DD">
        <w:rPr>
          <w:rFonts w:cs="Arial"/>
          <w:color w:val="auto"/>
          <w:sz w:val="22"/>
          <w:szCs w:val="22"/>
          <w:lang w:val="en-GB"/>
        </w:rPr>
        <w:t xml:space="preserve"> of people interviewed</w:t>
      </w:r>
      <w:r w:rsidRPr="0047168A">
        <w:rPr>
          <w:rFonts w:cs="Arial"/>
          <w:color w:val="auto"/>
          <w:sz w:val="22"/>
          <w:szCs w:val="22"/>
          <w:lang w:val="en-GB"/>
        </w:rPr>
        <w:t xml:space="preserve"> report using some type of drug. There is no accurate diagnosis of the situation and</w:t>
      </w:r>
      <w:r w:rsidR="00D93580">
        <w:rPr>
          <w:rFonts w:cs="Arial"/>
          <w:color w:val="auto"/>
          <w:sz w:val="22"/>
          <w:szCs w:val="22"/>
          <w:lang w:val="en-GB"/>
        </w:rPr>
        <w:t xml:space="preserve"> of</w:t>
      </w:r>
      <w:r w:rsidRPr="0047168A">
        <w:rPr>
          <w:rFonts w:cs="Arial"/>
          <w:color w:val="auto"/>
          <w:sz w:val="22"/>
          <w:szCs w:val="22"/>
          <w:lang w:val="en-GB"/>
        </w:rPr>
        <w:t xml:space="preserve"> the extent of drug</w:t>
      </w:r>
      <w:r w:rsidR="001E7875">
        <w:rPr>
          <w:rFonts w:cs="Arial"/>
          <w:color w:val="auto"/>
          <w:sz w:val="22"/>
          <w:szCs w:val="22"/>
          <w:lang w:val="en-GB"/>
        </w:rPr>
        <w:t xml:space="preserve"> use and d</w:t>
      </w:r>
      <w:r w:rsidR="00D93580">
        <w:rPr>
          <w:rFonts w:cs="Arial"/>
          <w:color w:val="auto"/>
          <w:sz w:val="22"/>
          <w:szCs w:val="22"/>
          <w:lang w:val="en-GB"/>
        </w:rPr>
        <w:t>r</w:t>
      </w:r>
      <w:r w:rsidR="001E7875">
        <w:rPr>
          <w:rFonts w:cs="Arial"/>
          <w:color w:val="auto"/>
          <w:sz w:val="22"/>
          <w:szCs w:val="22"/>
          <w:lang w:val="en-GB"/>
        </w:rPr>
        <w:t>ug</w:t>
      </w:r>
      <w:r w:rsidRPr="0047168A">
        <w:rPr>
          <w:rFonts w:cs="Arial"/>
          <w:color w:val="auto"/>
          <w:sz w:val="22"/>
          <w:szCs w:val="22"/>
          <w:lang w:val="en-GB"/>
        </w:rPr>
        <w:t xml:space="preserve"> dependence in prisons, however, </w:t>
      </w:r>
      <w:r w:rsidR="00D93580">
        <w:rPr>
          <w:rFonts w:cs="Arial"/>
          <w:color w:val="auto"/>
          <w:sz w:val="22"/>
          <w:szCs w:val="22"/>
          <w:lang w:val="en-GB"/>
        </w:rPr>
        <w:t>based on</w:t>
      </w:r>
      <w:r w:rsidRPr="0047168A">
        <w:rPr>
          <w:rFonts w:cs="Arial"/>
          <w:color w:val="auto"/>
          <w:sz w:val="22"/>
          <w:szCs w:val="22"/>
          <w:lang w:val="en-GB"/>
        </w:rPr>
        <w:t xml:space="preserve"> interviews with the staff responsible for the different detoxification programs in operation in </w:t>
      </w:r>
      <w:r w:rsidR="001E7875">
        <w:rPr>
          <w:rFonts w:cs="Arial"/>
          <w:color w:val="auto"/>
          <w:sz w:val="22"/>
          <w:szCs w:val="22"/>
          <w:lang w:val="en-GB"/>
        </w:rPr>
        <w:t>prisons</w:t>
      </w:r>
      <w:r w:rsidRPr="0047168A">
        <w:rPr>
          <w:rFonts w:cs="Arial"/>
          <w:color w:val="auto"/>
          <w:sz w:val="22"/>
          <w:szCs w:val="22"/>
          <w:lang w:val="en-GB"/>
        </w:rPr>
        <w:t xml:space="preserve">, </w:t>
      </w:r>
      <w:r w:rsidR="00D93580">
        <w:rPr>
          <w:rFonts w:cs="Arial"/>
          <w:color w:val="auto"/>
          <w:sz w:val="22"/>
          <w:szCs w:val="22"/>
          <w:lang w:val="en-GB"/>
        </w:rPr>
        <w:t>d</w:t>
      </w:r>
      <w:r w:rsidR="001E7875">
        <w:rPr>
          <w:rFonts w:cs="Arial"/>
          <w:color w:val="auto"/>
          <w:sz w:val="22"/>
          <w:szCs w:val="22"/>
          <w:lang w:val="en-GB"/>
        </w:rPr>
        <w:t>rug use seems to be common in all centres, with</w:t>
      </w:r>
      <w:r w:rsidRPr="0047168A">
        <w:rPr>
          <w:rFonts w:cs="Arial"/>
          <w:color w:val="auto"/>
          <w:sz w:val="22"/>
          <w:szCs w:val="22"/>
          <w:lang w:val="en-GB"/>
        </w:rPr>
        <w:t xml:space="preserve"> marijuana, crack and cocaine</w:t>
      </w:r>
      <w:r w:rsidR="001E7875">
        <w:rPr>
          <w:rFonts w:cs="Arial"/>
          <w:color w:val="auto"/>
          <w:sz w:val="22"/>
          <w:szCs w:val="22"/>
          <w:lang w:val="en-GB"/>
        </w:rPr>
        <w:t xml:space="preserve"> being the most common substances.</w:t>
      </w:r>
    </w:p>
    <w:p w14:paraId="6CB38133" w14:textId="5FD4E629" w:rsidR="00FD1665" w:rsidRPr="0047168A" w:rsidRDefault="00FD1665" w:rsidP="0047168A">
      <w:pPr>
        <w:spacing w:line="240" w:lineRule="auto"/>
        <w:ind w:firstLine="720"/>
        <w:jc w:val="both"/>
        <w:rPr>
          <w:rFonts w:cs="Arial"/>
          <w:i/>
          <w:color w:val="auto"/>
          <w:sz w:val="22"/>
          <w:szCs w:val="22"/>
          <w:lang w:val="en-GB"/>
        </w:rPr>
      </w:pPr>
      <w:r w:rsidRPr="0047168A">
        <w:rPr>
          <w:rFonts w:cs="Arial"/>
          <w:i/>
          <w:color w:val="auto"/>
          <w:sz w:val="22"/>
          <w:szCs w:val="22"/>
          <w:lang w:val="en-GB"/>
        </w:rPr>
        <w:t xml:space="preserve">4.2.3. </w:t>
      </w:r>
      <w:r w:rsidR="00733754">
        <w:rPr>
          <w:rFonts w:cs="Arial"/>
          <w:i/>
          <w:color w:val="auto"/>
          <w:sz w:val="22"/>
          <w:szCs w:val="22"/>
          <w:lang w:val="en-GB"/>
        </w:rPr>
        <w:t xml:space="preserve"> Lack of drug treatment in Mexican prisons</w:t>
      </w:r>
    </w:p>
    <w:p w14:paraId="03079575" w14:textId="058E95BB" w:rsidR="006C46AB" w:rsidRPr="0047168A" w:rsidRDefault="006C46AB" w:rsidP="00C72434">
      <w:pPr>
        <w:spacing w:line="240" w:lineRule="auto"/>
        <w:jc w:val="both"/>
        <w:rPr>
          <w:rFonts w:cs="Arial"/>
          <w:color w:val="auto"/>
          <w:sz w:val="22"/>
          <w:szCs w:val="22"/>
          <w:lang w:val="en-GB"/>
        </w:rPr>
      </w:pPr>
      <w:r w:rsidRPr="0047168A">
        <w:rPr>
          <w:rFonts w:cs="Arial"/>
          <w:color w:val="auto"/>
          <w:sz w:val="22"/>
          <w:szCs w:val="22"/>
          <w:lang w:val="en-GB"/>
        </w:rPr>
        <w:lastRenderedPageBreak/>
        <w:t xml:space="preserve">According to the World Health Organization (WHO), drug dependence is a physical and psycho-emotional disease that creates a dependency or need for a substance, activity or relationship. Drug dependence is a health affectation and must be attended with the same standards of quality and diligence as any other disease. </w:t>
      </w:r>
      <w:r w:rsidR="001E7875">
        <w:rPr>
          <w:rFonts w:cs="Arial"/>
          <w:color w:val="auto"/>
          <w:sz w:val="22"/>
          <w:szCs w:val="22"/>
          <w:lang w:val="en-GB"/>
        </w:rPr>
        <w:t>Accordingly</w:t>
      </w:r>
      <w:r w:rsidRPr="0047168A">
        <w:rPr>
          <w:rFonts w:cs="Arial"/>
          <w:color w:val="auto"/>
          <w:sz w:val="22"/>
          <w:szCs w:val="22"/>
          <w:lang w:val="en-GB"/>
        </w:rPr>
        <w:t xml:space="preserve">, the </w:t>
      </w:r>
      <w:r w:rsidR="001E7875">
        <w:rPr>
          <w:rFonts w:cs="Arial"/>
          <w:color w:val="auto"/>
          <w:sz w:val="22"/>
          <w:szCs w:val="22"/>
          <w:lang w:val="en-GB"/>
        </w:rPr>
        <w:t xml:space="preserve">Mexican </w:t>
      </w:r>
      <w:r w:rsidRPr="0047168A">
        <w:rPr>
          <w:rFonts w:cs="Arial"/>
          <w:color w:val="auto"/>
          <w:sz w:val="22"/>
          <w:szCs w:val="22"/>
          <w:lang w:val="en-GB"/>
        </w:rPr>
        <w:t xml:space="preserve">National Law of Execution of Criminal Sanctions compels prisons to provide the necessary services for the treatment of drug dependence. However, to </w:t>
      </w:r>
      <w:r w:rsidR="00D93580">
        <w:rPr>
          <w:rFonts w:cs="Arial"/>
          <w:color w:val="auto"/>
          <w:sz w:val="22"/>
          <w:szCs w:val="22"/>
          <w:lang w:val="en-GB"/>
        </w:rPr>
        <w:t>this day, there is no standardis</w:t>
      </w:r>
      <w:r w:rsidRPr="0047168A">
        <w:rPr>
          <w:rFonts w:cs="Arial"/>
          <w:color w:val="auto"/>
          <w:sz w:val="22"/>
          <w:szCs w:val="22"/>
          <w:lang w:val="en-GB"/>
        </w:rPr>
        <w:t>ed protocol that establishes the types of treatments th</w:t>
      </w:r>
      <w:r w:rsidR="00D93580">
        <w:rPr>
          <w:rFonts w:cs="Arial"/>
          <w:color w:val="auto"/>
          <w:sz w:val="22"/>
          <w:szCs w:val="22"/>
          <w:lang w:val="en-GB"/>
        </w:rPr>
        <w:t>at must be available in prisons;</w:t>
      </w:r>
      <w:r w:rsidRPr="0047168A">
        <w:rPr>
          <w:rFonts w:cs="Arial"/>
          <w:color w:val="auto"/>
          <w:sz w:val="22"/>
          <w:szCs w:val="22"/>
          <w:lang w:val="en-GB"/>
        </w:rPr>
        <w:t xml:space="preserve"> therefore, the type of service offered is at the discretion and budgetary disposition of each of them.</w:t>
      </w:r>
    </w:p>
    <w:p w14:paraId="54FD4BAC" w14:textId="2AA2739B" w:rsidR="006C46AB" w:rsidRPr="0047168A" w:rsidRDefault="006C46AB">
      <w:pPr>
        <w:spacing w:line="240" w:lineRule="auto"/>
        <w:jc w:val="both"/>
        <w:rPr>
          <w:rFonts w:cs="Arial"/>
          <w:color w:val="auto"/>
          <w:sz w:val="22"/>
          <w:szCs w:val="22"/>
          <w:lang w:val="en-GB"/>
        </w:rPr>
      </w:pPr>
      <w:r w:rsidRPr="0047168A">
        <w:rPr>
          <w:rFonts w:cs="Arial"/>
          <w:color w:val="auto"/>
          <w:sz w:val="22"/>
          <w:szCs w:val="22"/>
          <w:lang w:val="en-GB"/>
        </w:rPr>
        <w:t xml:space="preserve">The United Nations Office on Drugs and Crime (UNODC) </w:t>
      </w:r>
      <w:r w:rsidR="001E7875">
        <w:rPr>
          <w:rFonts w:cs="Arial"/>
          <w:color w:val="auto"/>
          <w:sz w:val="22"/>
          <w:szCs w:val="22"/>
          <w:lang w:val="en-GB"/>
        </w:rPr>
        <w:t>found</w:t>
      </w:r>
      <w:r w:rsidRPr="0047168A">
        <w:rPr>
          <w:rFonts w:cs="Arial"/>
          <w:color w:val="auto"/>
          <w:sz w:val="22"/>
          <w:szCs w:val="22"/>
          <w:lang w:val="en-GB"/>
        </w:rPr>
        <w:t xml:space="preserve"> that: “in general, drug use disorders should be seen as health effects and should be treated in the public health system. The treatment requires the involvement of the health system and could benefit from the participation of the community and social assistance systems, and must be operated with informed consent by trained professionals with practical experience in the subject.”</w:t>
      </w:r>
    </w:p>
    <w:p w14:paraId="7CE80340" w14:textId="287D9924" w:rsidR="00C35A87" w:rsidRDefault="006C46AB">
      <w:pPr>
        <w:spacing w:line="240" w:lineRule="auto"/>
        <w:jc w:val="both"/>
        <w:rPr>
          <w:rFonts w:cs="Arial"/>
          <w:color w:val="auto"/>
          <w:sz w:val="22"/>
          <w:szCs w:val="22"/>
          <w:lang w:val="en-GB"/>
        </w:rPr>
      </w:pPr>
      <w:r w:rsidRPr="0047168A">
        <w:rPr>
          <w:rFonts w:cs="Arial"/>
          <w:color w:val="auto"/>
          <w:sz w:val="22"/>
          <w:szCs w:val="22"/>
          <w:lang w:val="en-GB"/>
        </w:rPr>
        <w:t>However,</w:t>
      </w:r>
      <w:r w:rsidR="001E7875">
        <w:rPr>
          <w:rFonts w:cs="Arial"/>
          <w:color w:val="auto"/>
          <w:sz w:val="22"/>
          <w:szCs w:val="22"/>
          <w:lang w:val="en-GB"/>
        </w:rPr>
        <w:t xml:space="preserve"> according to available research</w:t>
      </w:r>
      <w:r w:rsidRPr="0047168A">
        <w:rPr>
          <w:rFonts w:cs="Arial"/>
          <w:color w:val="auto"/>
          <w:sz w:val="22"/>
          <w:szCs w:val="22"/>
          <w:lang w:val="en-GB"/>
        </w:rPr>
        <w:t xml:space="preserve"> this does not happen</w:t>
      </w:r>
      <w:r w:rsidR="001E7875">
        <w:rPr>
          <w:rFonts w:cs="Arial"/>
          <w:color w:val="auto"/>
          <w:sz w:val="22"/>
          <w:szCs w:val="22"/>
          <w:lang w:val="en-GB"/>
        </w:rPr>
        <w:t xml:space="preserve"> in Mexico</w:t>
      </w:r>
      <w:r w:rsidRPr="0047168A">
        <w:rPr>
          <w:rFonts w:cs="Arial"/>
          <w:color w:val="auto"/>
          <w:sz w:val="22"/>
          <w:szCs w:val="22"/>
          <w:lang w:val="en-GB"/>
        </w:rPr>
        <w:t xml:space="preserve">. In general, there are special or annexed cells in prisons where people who require </w:t>
      </w:r>
      <w:r w:rsidR="001E7875">
        <w:rPr>
          <w:rFonts w:cs="Arial"/>
          <w:color w:val="auto"/>
          <w:sz w:val="22"/>
          <w:szCs w:val="22"/>
          <w:lang w:val="en-GB"/>
        </w:rPr>
        <w:t>drug</w:t>
      </w:r>
      <w:r w:rsidR="001E7875" w:rsidRPr="0047168A">
        <w:rPr>
          <w:rFonts w:cs="Arial"/>
          <w:color w:val="auto"/>
          <w:sz w:val="22"/>
          <w:szCs w:val="22"/>
          <w:lang w:val="en-GB"/>
        </w:rPr>
        <w:t xml:space="preserve"> </w:t>
      </w:r>
      <w:r w:rsidRPr="0047168A">
        <w:rPr>
          <w:rFonts w:cs="Arial"/>
          <w:color w:val="auto"/>
          <w:sz w:val="22"/>
          <w:szCs w:val="22"/>
          <w:lang w:val="en-GB"/>
        </w:rPr>
        <w:t xml:space="preserve">treatment are treated. In these annexes, people are isolated and medicated with antidepressants, even if this medication is not required. Psychosocial support is limited and it is not included as part of the treatment for drug dependence </w:t>
      </w:r>
      <w:r w:rsidR="00D93580">
        <w:rPr>
          <w:rFonts w:cs="Arial"/>
          <w:color w:val="auto"/>
          <w:sz w:val="22"/>
          <w:szCs w:val="22"/>
          <w:lang w:val="en-GB"/>
        </w:rPr>
        <w:t>in Mexican prisons</w:t>
      </w:r>
      <w:r w:rsidRPr="0047168A">
        <w:rPr>
          <w:rFonts w:cs="Arial"/>
          <w:color w:val="auto"/>
          <w:sz w:val="22"/>
          <w:szCs w:val="22"/>
          <w:lang w:val="en-GB"/>
        </w:rPr>
        <w:t>.</w:t>
      </w:r>
    </w:p>
    <w:p w14:paraId="11873F2E" w14:textId="3A317C40" w:rsidR="001E7875" w:rsidRDefault="001E7875">
      <w:pPr>
        <w:spacing w:line="240" w:lineRule="auto"/>
        <w:jc w:val="both"/>
        <w:rPr>
          <w:rFonts w:cs="Arial"/>
          <w:color w:val="auto"/>
          <w:sz w:val="22"/>
          <w:szCs w:val="22"/>
          <w:lang w:val="en-GB"/>
        </w:rPr>
      </w:pPr>
    </w:p>
    <w:p w14:paraId="1CA2998E" w14:textId="77777777" w:rsidR="001E7875" w:rsidRDefault="001E7875" w:rsidP="0047168A">
      <w:pPr>
        <w:spacing w:line="240" w:lineRule="auto"/>
        <w:jc w:val="both"/>
        <w:rPr>
          <w:rFonts w:cs="Arial"/>
          <w:i/>
          <w:iCs/>
          <w:lang w:val="en-GB"/>
        </w:rPr>
      </w:pPr>
      <w:r>
        <w:rPr>
          <w:rFonts w:cs="Arial"/>
          <w:color w:val="auto"/>
          <w:sz w:val="22"/>
          <w:szCs w:val="22"/>
          <w:lang w:val="en-GB"/>
        </w:rPr>
        <w:tab/>
        <w:t xml:space="preserve">4.2.5. </w:t>
      </w:r>
      <w:r>
        <w:rPr>
          <w:rFonts w:cs="Arial"/>
          <w:i/>
          <w:iCs/>
          <w:color w:val="auto"/>
          <w:sz w:val="22"/>
          <w:szCs w:val="22"/>
          <w:lang w:val="en-GB"/>
        </w:rPr>
        <w:t>Lack of Harm reduction services in prison</w:t>
      </w:r>
    </w:p>
    <w:p w14:paraId="4CACF287" w14:textId="764B8B96" w:rsidR="00D93580" w:rsidRPr="0047168A" w:rsidRDefault="001E7875" w:rsidP="0047168A">
      <w:pPr>
        <w:spacing w:line="240" w:lineRule="auto"/>
        <w:jc w:val="both"/>
        <w:rPr>
          <w:rFonts w:cs="Open Sans"/>
          <w:lang w:val="en-US"/>
        </w:rPr>
      </w:pPr>
      <w:r w:rsidRPr="0047168A">
        <w:rPr>
          <w:rFonts w:cs="Open Sans"/>
          <w:sz w:val="22"/>
          <w:szCs w:val="22"/>
          <w:lang w:val="en-US"/>
        </w:rPr>
        <w:t>Harm reduction has been recognised as a fundamental component of the right to health.</w:t>
      </w:r>
      <w:r w:rsidR="00D93580" w:rsidRPr="001E7875">
        <w:rPr>
          <w:rStyle w:val="FootnoteReference"/>
          <w:rFonts w:cs="Open Sans"/>
          <w:sz w:val="22"/>
          <w:szCs w:val="22"/>
        </w:rPr>
        <w:footnoteReference w:id="57"/>
      </w:r>
      <w:r w:rsidR="00D93580" w:rsidRPr="0047168A">
        <w:rPr>
          <w:rFonts w:cs="Open Sans"/>
          <w:sz w:val="22"/>
          <w:szCs w:val="22"/>
          <w:lang w:val="en-US"/>
        </w:rPr>
        <w:t xml:space="preserve"> Harm reduction has been explicitly endorsed as an essential measure for people who use drugs on numerous occasions by the Committee on Economic, Social and Cultural,</w:t>
      </w:r>
      <w:r w:rsidR="00D93580" w:rsidRPr="001E7875">
        <w:rPr>
          <w:rStyle w:val="FootnoteReference"/>
          <w:rFonts w:cs="Open Sans"/>
          <w:sz w:val="22"/>
          <w:szCs w:val="22"/>
        </w:rPr>
        <w:footnoteReference w:id="58"/>
      </w:r>
      <w:r w:rsidR="00D93580" w:rsidRPr="0047168A">
        <w:rPr>
          <w:rFonts w:cs="Open Sans"/>
          <w:sz w:val="22"/>
          <w:szCs w:val="22"/>
          <w:lang w:val="en-US"/>
        </w:rPr>
        <w:t xml:space="preserve"> as well as by the UN General Assembly,</w:t>
      </w:r>
      <w:r w:rsidR="00D93580" w:rsidRPr="001E7875">
        <w:rPr>
          <w:rStyle w:val="FootnoteReference"/>
          <w:rFonts w:cs="Open Sans"/>
          <w:sz w:val="22"/>
          <w:szCs w:val="22"/>
        </w:rPr>
        <w:footnoteReference w:id="59"/>
      </w:r>
      <w:r w:rsidR="00D93580" w:rsidRPr="0047168A">
        <w:rPr>
          <w:rFonts w:cs="Open Sans"/>
          <w:sz w:val="22"/>
          <w:szCs w:val="22"/>
          <w:lang w:val="en-US"/>
        </w:rPr>
        <w:t xml:space="preserve"> the Human Rights Council,</w:t>
      </w:r>
      <w:r w:rsidR="00D93580" w:rsidRPr="001E7875">
        <w:rPr>
          <w:rStyle w:val="FootnoteReference"/>
          <w:rFonts w:cs="Open Sans"/>
          <w:sz w:val="22"/>
          <w:szCs w:val="22"/>
        </w:rPr>
        <w:footnoteReference w:id="60"/>
      </w:r>
      <w:r w:rsidR="00D93580" w:rsidRPr="0047168A">
        <w:rPr>
          <w:rFonts w:cs="Open Sans"/>
          <w:sz w:val="22"/>
          <w:szCs w:val="22"/>
          <w:lang w:val="en-US"/>
        </w:rPr>
        <w:t xml:space="preserve"> the Committee on the Rights of the Child,</w:t>
      </w:r>
      <w:r w:rsidR="00D93580" w:rsidRPr="001E7875">
        <w:rPr>
          <w:rStyle w:val="FootnoteReference"/>
          <w:rFonts w:cs="Open Sans"/>
          <w:sz w:val="22"/>
          <w:szCs w:val="22"/>
        </w:rPr>
        <w:footnoteReference w:id="61"/>
      </w:r>
      <w:r w:rsidR="00D93580" w:rsidRPr="0047168A">
        <w:rPr>
          <w:rFonts w:cs="Open Sans"/>
          <w:sz w:val="22"/>
          <w:szCs w:val="22"/>
          <w:lang w:val="en-US"/>
        </w:rPr>
        <w:t xml:space="preserve"> the Committee on the Elimination of Discrimination against Women,</w:t>
      </w:r>
      <w:r w:rsidR="00D93580" w:rsidRPr="001E7875">
        <w:rPr>
          <w:rStyle w:val="FootnoteReference"/>
          <w:rFonts w:cs="Open Sans"/>
          <w:sz w:val="22"/>
          <w:szCs w:val="22"/>
        </w:rPr>
        <w:footnoteReference w:id="62"/>
      </w:r>
      <w:r w:rsidR="00D93580" w:rsidRPr="0047168A">
        <w:rPr>
          <w:rFonts w:cs="Open Sans"/>
          <w:sz w:val="22"/>
          <w:szCs w:val="22"/>
          <w:lang w:val="en-US"/>
        </w:rPr>
        <w:t xml:space="preserve"> the Special </w:t>
      </w:r>
      <w:r w:rsidR="00D93580" w:rsidRPr="0047168A">
        <w:rPr>
          <w:rFonts w:cs="Open Sans"/>
          <w:sz w:val="22"/>
          <w:szCs w:val="22"/>
          <w:lang w:val="en-US"/>
        </w:rPr>
        <w:lastRenderedPageBreak/>
        <w:t>Rapporteur on the right of everyone to the enjoyment of the highest attainable standard of physical and mental health</w:t>
      </w:r>
      <w:r w:rsidR="00D93580" w:rsidRPr="001E7875">
        <w:rPr>
          <w:rStyle w:val="FootnoteReference"/>
          <w:rFonts w:cs="Open Sans"/>
          <w:sz w:val="22"/>
          <w:szCs w:val="22"/>
        </w:rPr>
        <w:footnoteReference w:id="63"/>
      </w:r>
      <w:r w:rsidR="00D93580" w:rsidRPr="0047168A">
        <w:rPr>
          <w:rFonts w:cs="Open Sans"/>
          <w:sz w:val="22"/>
          <w:szCs w:val="22"/>
          <w:lang w:val="en-US"/>
        </w:rPr>
        <w:t xml:space="preserve"> and the Special Rapporteur on torture and other cruel, inhuman or degrading treatment or punishment.</w:t>
      </w:r>
      <w:r w:rsidR="00D93580" w:rsidRPr="001E7875">
        <w:rPr>
          <w:rStyle w:val="FootnoteReference"/>
          <w:rFonts w:cs="Open Sans"/>
          <w:sz w:val="22"/>
          <w:szCs w:val="22"/>
        </w:rPr>
        <w:footnoteReference w:id="64"/>
      </w:r>
    </w:p>
    <w:p w14:paraId="164CFC55" w14:textId="77777777" w:rsidR="00D93580" w:rsidRPr="0047168A" w:rsidRDefault="00D93580" w:rsidP="0047168A">
      <w:pPr>
        <w:spacing w:after="0" w:line="240" w:lineRule="auto"/>
        <w:jc w:val="both"/>
        <w:rPr>
          <w:rFonts w:cs="Open Sans"/>
          <w:lang w:val="en-US"/>
        </w:rPr>
      </w:pPr>
      <w:r w:rsidRPr="0047168A">
        <w:rPr>
          <w:rFonts w:cs="Open Sans"/>
          <w:sz w:val="22"/>
          <w:szCs w:val="22"/>
          <w:lang w:val="en-US"/>
        </w:rPr>
        <w:t>Prisoners retain their right to health while incarcerated, which includes the right to harm reduction and preventive health services. Denial of these services in prison settings has also been found to contribute to, or even constitute, conditions that meet the threshold of ill treatment.</w:t>
      </w:r>
      <w:r w:rsidRPr="001E7875">
        <w:rPr>
          <w:rStyle w:val="FootnoteReference"/>
          <w:rFonts w:cs="Open Sans"/>
          <w:sz w:val="22"/>
          <w:szCs w:val="22"/>
        </w:rPr>
        <w:footnoteReference w:id="65"/>
      </w:r>
      <w:r w:rsidRPr="0047168A">
        <w:rPr>
          <w:rFonts w:cs="Open Sans"/>
          <w:sz w:val="22"/>
          <w:szCs w:val="22"/>
          <w:lang w:val="en-US"/>
        </w:rPr>
        <w:t xml:space="preserve"> </w:t>
      </w:r>
    </w:p>
    <w:p w14:paraId="22790D97" w14:textId="77777777" w:rsidR="00D93580" w:rsidRPr="006A66BD" w:rsidRDefault="00D93580" w:rsidP="001E7875">
      <w:pPr>
        <w:pStyle w:val="ListParagraph"/>
        <w:jc w:val="both"/>
        <w:rPr>
          <w:rFonts w:ascii="Verdana" w:hAnsi="Verdana" w:cs="Open Sans"/>
          <w:lang w:val="en-US"/>
        </w:rPr>
      </w:pPr>
    </w:p>
    <w:p w14:paraId="190B22FD" w14:textId="77777777" w:rsidR="001E7875" w:rsidRPr="0047168A" w:rsidRDefault="00D93580" w:rsidP="0047168A">
      <w:pPr>
        <w:spacing w:after="0" w:line="240" w:lineRule="auto"/>
        <w:jc w:val="both"/>
        <w:rPr>
          <w:rFonts w:cs="Open Sans"/>
          <w:lang w:val="en-US"/>
        </w:rPr>
      </w:pPr>
      <w:r w:rsidRPr="0047168A">
        <w:rPr>
          <w:rFonts w:cs="Open Sans"/>
          <w:sz w:val="22"/>
          <w:szCs w:val="22"/>
          <w:lang w:val="en-US"/>
        </w:rPr>
        <w:t>It is now widely accepted that providing harm reduction services to the general public but not to prisoners is a flagrant violation of international human rights law.</w:t>
      </w:r>
      <w:r w:rsidRPr="001E7875">
        <w:rPr>
          <w:rStyle w:val="FootnoteReference"/>
          <w:rFonts w:cs="Open Sans"/>
          <w:sz w:val="22"/>
          <w:szCs w:val="22"/>
        </w:rPr>
        <w:footnoteReference w:id="66"/>
      </w:r>
      <w:r w:rsidRPr="0047168A">
        <w:rPr>
          <w:rFonts w:cs="Open Sans"/>
          <w:sz w:val="22"/>
          <w:szCs w:val="22"/>
          <w:lang w:val="en-US"/>
        </w:rPr>
        <w:t xml:space="preserve"> This stems from the core obligation to “ensure the right of access to health facilities, goods and services, on a non-discriminatory basis, especially for vulnerable and marginalised groups”</w:t>
      </w:r>
      <w:r w:rsidRPr="001E7875">
        <w:rPr>
          <w:rStyle w:val="FootnoteReference"/>
          <w:rFonts w:cs="Open Sans"/>
          <w:sz w:val="22"/>
          <w:szCs w:val="22"/>
        </w:rPr>
        <w:footnoteReference w:id="67"/>
      </w:r>
      <w:r w:rsidRPr="0047168A">
        <w:rPr>
          <w:rFonts w:cs="Open Sans"/>
          <w:sz w:val="22"/>
          <w:szCs w:val="22"/>
          <w:lang w:val="en-US"/>
        </w:rPr>
        <w:t xml:space="preserve"> </w:t>
      </w:r>
      <w:r w:rsidR="001E7875" w:rsidRPr="0047168A">
        <w:rPr>
          <w:rFonts w:cs="Open Sans"/>
          <w:sz w:val="22"/>
          <w:szCs w:val="22"/>
          <w:lang w:val="en-US"/>
        </w:rPr>
        <w:t>and, closely related to this, the obligation to provide a standard of care that is at least equivalent to that available in the broader community, commonly known as the “principle of equivalence.”</w:t>
      </w:r>
    </w:p>
    <w:p w14:paraId="48C416EE" w14:textId="0AD213C8" w:rsidR="001E7875" w:rsidRDefault="001E7875" w:rsidP="0047168A">
      <w:pPr>
        <w:spacing w:line="240" w:lineRule="auto"/>
        <w:jc w:val="both"/>
        <w:rPr>
          <w:rFonts w:cs="Arial"/>
          <w:i/>
          <w:iCs/>
          <w:lang w:val="en-GB"/>
        </w:rPr>
      </w:pPr>
    </w:p>
    <w:p w14:paraId="384D95D5" w14:textId="5A9EC146" w:rsidR="001E7875" w:rsidRPr="00607B2B" w:rsidRDefault="001E7875" w:rsidP="001E7875">
      <w:pPr>
        <w:spacing w:line="240" w:lineRule="auto"/>
        <w:jc w:val="both"/>
        <w:rPr>
          <w:i/>
          <w:color w:val="000000" w:themeColor="text1"/>
          <w:sz w:val="22"/>
          <w:szCs w:val="22"/>
          <w:lang w:val="en-GB"/>
        </w:rPr>
      </w:pPr>
      <w:r w:rsidRPr="00607B2B">
        <w:rPr>
          <w:rFonts w:cs="Arial"/>
          <w:color w:val="auto"/>
          <w:sz w:val="22"/>
          <w:szCs w:val="22"/>
          <w:lang w:val="en-GB"/>
        </w:rPr>
        <w:t xml:space="preserve">Furthermore, </w:t>
      </w:r>
      <w:r w:rsidRPr="00607B2B">
        <w:rPr>
          <w:color w:val="000000" w:themeColor="text1"/>
          <w:sz w:val="22"/>
          <w:szCs w:val="22"/>
          <w:lang w:val="en-GB"/>
        </w:rPr>
        <w:t>Under ICCPR, states have a heightened duty of care to take the appropriate measures to protect the right to life of persons under their custody, which includes proactive measures such as providing the necessary medical care and regularly monitoring their health.</w:t>
      </w:r>
      <w:r w:rsidRPr="00607B2B">
        <w:rPr>
          <w:rStyle w:val="FootnoteReference"/>
          <w:rFonts w:cs="Open Sans"/>
          <w:color w:val="000000" w:themeColor="text1"/>
          <w:sz w:val="22"/>
          <w:szCs w:val="22"/>
          <w:lang w:val="en-GB"/>
        </w:rPr>
        <w:footnoteReference w:id="68"/>
      </w:r>
      <w:r w:rsidRPr="00607B2B">
        <w:rPr>
          <w:color w:val="000000" w:themeColor="text1"/>
          <w:sz w:val="22"/>
          <w:szCs w:val="22"/>
          <w:lang w:val="en-GB"/>
        </w:rPr>
        <w:t xml:space="preserve"> Turning a blind eye to both drug injection and equipment sharing leads to the creation of a high-risk environment for HIV infection, thus contravening this state obligation.  </w:t>
      </w:r>
    </w:p>
    <w:p w14:paraId="61348638" w14:textId="77777777" w:rsidR="001E7875" w:rsidRPr="001E7875" w:rsidRDefault="001E7875">
      <w:pPr>
        <w:spacing w:line="240" w:lineRule="auto"/>
        <w:jc w:val="both"/>
        <w:rPr>
          <w:rFonts w:cs="Arial"/>
          <w:i/>
          <w:iCs/>
          <w:color w:val="auto"/>
          <w:sz w:val="22"/>
          <w:szCs w:val="22"/>
          <w:lang w:val="en-GB"/>
        </w:rPr>
      </w:pPr>
    </w:p>
    <w:p w14:paraId="4198DCFB" w14:textId="3195E67D" w:rsidR="00A11346" w:rsidRPr="00607B2B" w:rsidRDefault="001E7875" w:rsidP="00607B2B">
      <w:pPr>
        <w:spacing w:line="240" w:lineRule="auto"/>
        <w:jc w:val="both"/>
        <w:rPr>
          <w:rFonts w:cs="Arial"/>
          <w:color w:val="auto"/>
          <w:sz w:val="22"/>
          <w:szCs w:val="22"/>
          <w:lang w:val="en-GB"/>
        </w:rPr>
      </w:pPr>
      <w:r>
        <w:rPr>
          <w:rFonts w:cs="Arial"/>
          <w:color w:val="auto"/>
          <w:sz w:val="22"/>
          <w:szCs w:val="22"/>
          <w:lang w:val="en-GB"/>
        </w:rPr>
        <w:t>In</w:t>
      </w:r>
      <w:r w:rsidR="00607B2B">
        <w:rPr>
          <w:rFonts w:cs="Arial"/>
          <w:color w:val="auto"/>
          <w:sz w:val="22"/>
          <w:szCs w:val="22"/>
          <w:lang w:val="en-GB"/>
        </w:rPr>
        <w:t xml:space="preserve"> </w:t>
      </w:r>
      <w:r>
        <w:rPr>
          <w:rFonts w:cs="Arial"/>
          <w:color w:val="auto"/>
          <w:sz w:val="22"/>
          <w:szCs w:val="22"/>
          <w:lang w:val="en-GB"/>
        </w:rPr>
        <w:t>spite of that,</w:t>
      </w:r>
      <w:r w:rsidR="004E432D">
        <w:rPr>
          <w:rFonts w:cs="Arial"/>
          <w:color w:val="auto"/>
          <w:sz w:val="22"/>
          <w:szCs w:val="22"/>
          <w:lang w:val="en-GB"/>
        </w:rPr>
        <w:t xml:space="preserve"> a</w:t>
      </w:r>
      <w:r w:rsidR="00C35A87" w:rsidRPr="0047168A">
        <w:rPr>
          <w:rFonts w:cs="Arial"/>
          <w:color w:val="auto"/>
          <w:sz w:val="22"/>
          <w:szCs w:val="22"/>
          <w:lang w:val="en-GB"/>
        </w:rPr>
        <w:t>ccording to research by Harm Reduction International</w:t>
      </w:r>
      <w:r w:rsidR="00C35A87" w:rsidRPr="0047168A">
        <w:rPr>
          <w:rStyle w:val="FootnoteReference"/>
          <w:rFonts w:cs="Arial"/>
          <w:color w:val="auto"/>
          <w:sz w:val="22"/>
          <w:szCs w:val="22"/>
          <w:lang w:val="en-GB"/>
        </w:rPr>
        <w:footnoteReference w:id="69"/>
      </w:r>
      <w:r w:rsidR="00DC07A4" w:rsidRPr="0047168A">
        <w:rPr>
          <w:rFonts w:cs="Arial"/>
          <w:color w:val="auto"/>
          <w:sz w:val="22"/>
          <w:szCs w:val="22"/>
          <w:lang w:val="en-GB"/>
        </w:rPr>
        <w:t xml:space="preserve"> Mexican authorities do not provide any form of harm reduction intervention to persons incarcerated</w:t>
      </w:r>
      <w:r>
        <w:rPr>
          <w:rFonts w:cs="Arial"/>
          <w:color w:val="auto"/>
          <w:sz w:val="22"/>
          <w:szCs w:val="22"/>
          <w:lang w:val="en-GB"/>
        </w:rPr>
        <w:t>.</w:t>
      </w:r>
      <w:r w:rsidR="00043C2D">
        <w:rPr>
          <w:rFonts w:cs="Arial"/>
          <w:color w:val="auto"/>
          <w:sz w:val="22"/>
          <w:szCs w:val="22"/>
          <w:lang w:val="en-GB"/>
        </w:rPr>
        <w:t xml:space="preserve"> </w:t>
      </w:r>
    </w:p>
    <w:p w14:paraId="3DBBA54B" w14:textId="77777777" w:rsidR="004E432D" w:rsidRDefault="004E432D" w:rsidP="0047168A">
      <w:pPr>
        <w:spacing w:line="240" w:lineRule="auto"/>
        <w:jc w:val="both"/>
        <w:rPr>
          <w:b/>
          <w:lang w:val="en-GB"/>
        </w:rPr>
      </w:pPr>
    </w:p>
    <w:p w14:paraId="78903B84" w14:textId="0836EA00" w:rsidR="006C46AB" w:rsidRPr="0047168A" w:rsidRDefault="00547082" w:rsidP="0047168A">
      <w:pPr>
        <w:spacing w:line="240" w:lineRule="auto"/>
        <w:jc w:val="both"/>
        <w:rPr>
          <w:b/>
          <w:lang w:val="en-GB"/>
        </w:rPr>
      </w:pPr>
      <w:r w:rsidRPr="0047168A">
        <w:rPr>
          <w:b/>
          <w:color w:val="auto"/>
          <w:sz w:val="22"/>
          <w:szCs w:val="22"/>
          <w:lang w:val="en-GB"/>
        </w:rPr>
        <w:t xml:space="preserve">5. </w:t>
      </w:r>
      <w:r w:rsidR="006C46AB" w:rsidRPr="0047168A">
        <w:rPr>
          <w:b/>
          <w:color w:val="auto"/>
          <w:sz w:val="22"/>
          <w:szCs w:val="22"/>
          <w:lang w:val="en-GB"/>
        </w:rPr>
        <w:t xml:space="preserve">Drug Dependence Treatment </w:t>
      </w:r>
      <w:r w:rsidR="00AD72AB" w:rsidRPr="0047168A">
        <w:rPr>
          <w:b/>
          <w:color w:val="auto"/>
          <w:sz w:val="22"/>
          <w:szCs w:val="22"/>
          <w:lang w:val="en-GB"/>
        </w:rPr>
        <w:t>f</w:t>
      </w:r>
      <w:r w:rsidR="006C46AB" w:rsidRPr="0047168A">
        <w:rPr>
          <w:b/>
          <w:color w:val="auto"/>
          <w:sz w:val="22"/>
          <w:szCs w:val="22"/>
          <w:lang w:val="en-GB"/>
        </w:rPr>
        <w:t>or Incarcerated Women</w:t>
      </w:r>
    </w:p>
    <w:p w14:paraId="08886846" w14:textId="2A095D20" w:rsidR="009B4D6A" w:rsidRPr="0047168A" w:rsidRDefault="009B4D6A" w:rsidP="00C72434">
      <w:pPr>
        <w:spacing w:line="240" w:lineRule="auto"/>
        <w:jc w:val="both"/>
        <w:rPr>
          <w:b/>
          <w:color w:val="auto"/>
          <w:sz w:val="22"/>
          <w:szCs w:val="22"/>
          <w:lang w:val="en-GB"/>
        </w:rPr>
      </w:pPr>
      <w:r w:rsidRPr="0047168A">
        <w:rPr>
          <w:rFonts w:cs="Arial"/>
          <w:b/>
          <w:color w:val="auto"/>
          <w:sz w:val="22"/>
          <w:szCs w:val="22"/>
          <w:lang w:val="en-GB"/>
        </w:rPr>
        <w:lastRenderedPageBreak/>
        <w:t xml:space="preserve">Item </w:t>
      </w:r>
      <w:r w:rsidR="005777B2" w:rsidRPr="0047168A">
        <w:rPr>
          <w:rFonts w:cs="Arial"/>
          <w:b/>
          <w:color w:val="auto"/>
          <w:sz w:val="22"/>
          <w:szCs w:val="22"/>
          <w:lang w:val="en-GB"/>
        </w:rPr>
        <w:t xml:space="preserve">20 in relation to </w:t>
      </w:r>
      <w:r w:rsidRPr="0047168A">
        <w:rPr>
          <w:rFonts w:cs="Arial"/>
          <w:b/>
          <w:color w:val="auto"/>
          <w:sz w:val="22"/>
          <w:szCs w:val="22"/>
          <w:lang w:val="en-GB"/>
        </w:rPr>
        <w:t xml:space="preserve">Item </w:t>
      </w:r>
      <w:r w:rsidR="005777B2" w:rsidRPr="0047168A">
        <w:rPr>
          <w:rFonts w:cs="Arial"/>
          <w:b/>
          <w:color w:val="auto"/>
          <w:sz w:val="22"/>
          <w:szCs w:val="22"/>
          <w:lang w:val="en-GB"/>
        </w:rPr>
        <w:t xml:space="preserve">9. </w:t>
      </w:r>
      <w:r w:rsidRPr="0047168A">
        <w:rPr>
          <w:rFonts w:cs="Arial"/>
          <w:b/>
          <w:color w:val="auto"/>
          <w:sz w:val="22"/>
          <w:szCs w:val="22"/>
          <w:lang w:val="en-GB"/>
        </w:rPr>
        <w:t>“U</w:t>
      </w:r>
      <w:r w:rsidRPr="0047168A">
        <w:rPr>
          <w:b/>
          <w:color w:val="auto"/>
          <w:sz w:val="22"/>
          <w:szCs w:val="22"/>
          <w:lang w:val="en-GB"/>
        </w:rPr>
        <w:t>pdated information on the steps taken to: (…) (c) improve conditions for all detainees, in particular by reducing overcrowding and providing adequate food and medical services; (…) (e) protect the rights of women in detention.”</w:t>
      </w:r>
    </w:p>
    <w:p w14:paraId="69EE2CF5" w14:textId="6DB744F5" w:rsidR="00547082" w:rsidRPr="0047168A" w:rsidRDefault="00547082" w:rsidP="00547082">
      <w:pPr>
        <w:spacing w:line="240" w:lineRule="auto"/>
        <w:jc w:val="both"/>
        <w:rPr>
          <w:rFonts w:cs="Arial"/>
          <w:b/>
          <w:color w:val="auto"/>
          <w:sz w:val="22"/>
          <w:szCs w:val="22"/>
          <w:lang w:val="en-GB"/>
        </w:rPr>
      </w:pPr>
      <w:r w:rsidRPr="0047168A">
        <w:rPr>
          <w:b/>
          <w:color w:val="auto"/>
          <w:sz w:val="22"/>
          <w:szCs w:val="22"/>
          <w:lang w:val="en-GB"/>
        </w:rPr>
        <w:t>R</w:t>
      </w:r>
      <w:r w:rsidRPr="0047168A">
        <w:rPr>
          <w:b/>
          <w:bCs/>
          <w:color w:val="auto"/>
          <w:sz w:val="22"/>
          <w:szCs w:val="22"/>
          <w:lang w:val="en-GB"/>
        </w:rPr>
        <w:t>ight to life; prohibition of torture and cruel, inhuman or degrading treatment or punishment; right to liberty and security of person, (arts. 2, 6, 7 and 9). V</w:t>
      </w:r>
      <w:r w:rsidRPr="0047168A">
        <w:rPr>
          <w:rFonts w:cs="Times New Roman"/>
          <w:b/>
          <w:color w:val="auto"/>
          <w:sz w:val="22"/>
          <w:szCs w:val="22"/>
          <w:lang w:val="en-GB"/>
        </w:rPr>
        <w:t>iolence against women (arts. 3, 6 and 7)</w:t>
      </w:r>
    </w:p>
    <w:p w14:paraId="5AF9EF6B" w14:textId="44466FD0" w:rsidR="004E432D" w:rsidRPr="0047168A" w:rsidRDefault="004E432D" w:rsidP="0047168A">
      <w:pPr>
        <w:spacing w:line="240" w:lineRule="auto"/>
        <w:jc w:val="both"/>
        <w:rPr>
          <w:rFonts w:cs="Arial"/>
          <w:i/>
          <w:color w:val="auto"/>
          <w:sz w:val="22"/>
          <w:szCs w:val="22"/>
          <w:lang w:val="en-GB"/>
        </w:rPr>
      </w:pPr>
      <w:r w:rsidRPr="0047168A">
        <w:rPr>
          <w:rFonts w:cs="Arial"/>
          <w:i/>
          <w:color w:val="auto"/>
          <w:sz w:val="22"/>
          <w:szCs w:val="22"/>
          <w:lang w:val="en-GB"/>
        </w:rPr>
        <w:t>5.1. The state of healthcare for women in Mexican prisons</w:t>
      </w:r>
    </w:p>
    <w:p w14:paraId="7C1A1B0D" w14:textId="47FD09E6" w:rsidR="006C46AB" w:rsidRPr="0047168A" w:rsidRDefault="006C46AB" w:rsidP="00C72434">
      <w:pPr>
        <w:spacing w:line="240" w:lineRule="auto"/>
        <w:jc w:val="both"/>
        <w:rPr>
          <w:rFonts w:cs="Arial"/>
          <w:color w:val="auto"/>
          <w:sz w:val="22"/>
          <w:szCs w:val="22"/>
          <w:lang w:val="en-GB"/>
        </w:rPr>
      </w:pPr>
      <w:r w:rsidRPr="0047168A">
        <w:rPr>
          <w:rFonts w:cs="Arial"/>
          <w:color w:val="auto"/>
          <w:sz w:val="22"/>
          <w:szCs w:val="22"/>
          <w:lang w:val="en-GB"/>
        </w:rPr>
        <w:t xml:space="preserve">In general, prison authorities </w:t>
      </w:r>
      <w:r w:rsidR="00607B2B">
        <w:rPr>
          <w:rFonts w:cs="Arial"/>
          <w:color w:val="auto"/>
          <w:sz w:val="22"/>
          <w:szCs w:val="22"/>
          <w:lang w:val="en-GB"/>
        </w:rPr>
        <w:t>are failing to guarantee essential</w:t>
      </w:r>
      <w:r w:rsidRPr="0047168A">
        <w:rPr>
          <w:rFonts w:cs="Arial"/>
          <w:color w:val="auto"/>
          <w:sz w:val="22"/>
          <w:szCs w:val="22"/>
          <w:lang w:val="en-GB"/>
        </w:rPr>
        <w:t xml:space="preserve"> health services in women's prisons. The United Nations Special Rapporteur on Torture and other Cruel, Inhuman or Degrading Treatment or Punishment noted the lack of </w:t>
      </w:r>
      <w:r w:rsidR="00607B2B" w:rsidRPr="0062576A">
        <w:rPr>
          <w:rFonts w:cs="Arial"/>
          <w:color w:val="auto"/>
          <w:sz w:val="22"/>
          <w:szCs w:val="22"/>
          <w:lang w:val="en-GB"/>
        </w:rPr>
        <w:t>gynaecological</w:t>
      </w:r>
      <w:r w:rsidRPr="0047168A">
        <w:rPr>
          <w:rFonts w:cs="Arial"/>
          <w:color w:val="auto"/>
          <w:sz w:val="22"/>
          <w:szCs w:val="22"/>
          <w:lang w:val="en-GB"/>
        </w:rPr>
        <w:t xml:space="preserve"> medical care, the lack of attention to female hygienic and biological needs</w:t>
      </w:r>
      <w:r w:rsidR="00607B2B">
        <w:rPr>
          <w:rFonts w:cs="Arial"/>
          <w:color w:val="auto"/>
          <w:sz w:val="22"/>
          <w:szCs w:val="22"/>
          <w:lang w:val="en-GB"/>
        </w:rPr>
        <w:t>,</w:t>
      </w:r>
      <w:r w:rsidRPr="0047168A">
        <w:rPr>
          <w:rFonts w:cs="Arial"/>
          <w:color w:val="auto"/>
          <w:sz w:val="22"/>
          <w:szCs w:val="22"/>
          <w:lang w:val="en-GB"/>
        </w:rPr>
        <w:t xml:space="preserve"> and the precarious attention for pregnant women and nursing mothers. </w:t>
      </w:r>
    </w:p>
    <w:p w14:paraId="108CCC7E" w14:textId="6F6B9556" w:rsidR="006C46AB" w:rsidRPr="0047168A" w:rsidRDefault="006C46AB" w:rsidP="00C72434">
      <w:pPr>
        <w:spacing w:line="240" w:lineRule="auto"/>
        <w:jc w:val="both"/>
        <w:rPr>
          <w:rFonts w:cs="Arial"/>
          <w:color w:val="auto"/>
          <w:sz w:val="22"/>
          <w:szCs w:val="22"/>
          <w:lang w:val="en-GB"/>
        </w:rPr>
      </w:pPr>
      <w:r w:rsidRPr="0047168A">
        <w:rPr>
          <w:rFonts w:cs="Arial"/>
          <w:color w:val="auto"/>
          <w:sz w:val="22"/>
          <w:szCs w:val="22"/>
          <w:lang w:val="en-GB"/>
        </w:rPr>
        <w:t xml:space="preserve">Drug treatment programs for incarcerated women </w:t>
      </w:r>
      <w:r w:rsidR="00607B2B">
        <w:rPr>
          <w:rFonts w:cs="Arial"/>
          <w:color w:val="auto"/>
          <w:sz w:val="22"/>
          <w:szCs w:val="22"/>
          <w:lang w:val="en-GB"/>
        </w:rPr>
        <w:t>run on</w:t>
      </w:r>
      <w:r w:rsidRPr="0047168A">
        <w:rPr>
          <w:rFonts w:cs="Arial"/>
          <w:color w:val="auto"/>
          <w:sz w:val="22"/>
          <w:szCs w:val="22"/>
          <w:lang w:val="en-GB"/>
        </w:rPr>
        <w:t xml:space="preserve"> very little staff, little training</w:t>
      </w:r>
      <w:r w:rsidR="00607B2B">
        <w:rPr>
          <w:rFonts w:cs="Arial"/>
          <w:color w:val="auto"/>
          <w:sz w:val="22"/>
          <w:szCs w:val="22"/>
          <w:lang w:val="en-GB"/>
        </w:rPr>
        <w:t>,</w:t>
      </w:r>
      <w:r w:rsidRPr="0047168A">
        <w:rPr>
          <w:rFonts w:cs="Arial"/>
          <w:color w:val="auto"/>
          <w:sz w:val="22"/>
          <w:szCs w:val="22"/>
          <w:lang w:val="en-GB"/>
        </w:rPr>
        <w:t xml:space="preserve"> and no budget. </w:t>
      </w:r>
    </w:p>
    <w:p w14:paraId="048DC08A" w14:textId="62868A5F" w:rsidR="006C46AB" w:rsidRPr="0047168A" w:rsidRDefault="007A09D0" w:rsidP="00C72434">
      <w:pPr>
        <w:spacing w:line="240" w:lineRule="auto"/>
        <w:jc w:val="both"/>
        <w:rPr>
          <w:rFonts w:cs="Arial"/>
          <w:color w:val="auto"/>
          <w:sz w:val="22"/>
          <w:szCs w:val="22"/>
          <w:lang w:val="en-GB"/>
        </w:rPr>
      </w:pPr>
      <w:r>
        <w:rPr>
          <w:rFonts w:cs="Arial"/>
          <w:color w:val="auto"/>
          <w:sz w:val="22"/>
          <w:szCs w:val="22"/>
          <w:lang w:val="en-GB"/>
        </w:rPr>
        <w:t>The i</w:t>
      </w:r>
      <w:r w:rsidR="006C46AB" w:rsidRPr="0047168A">
        <w:rPr>
          <w:rFonts w:cs="Arial"/>
          <w:color w:val="auto"/>
          <w:sz w:val="22"/>
          <w:szCs w:val="22"/>
          <w:lang w:val="en-GB"/>
        </w:rPr>
        <w:t xml:space="preserve">ncarcerated female population is much smaller than </w:t>
      </w:r>
      <w:r>
        <w:rPr>
          <w:rFonts w:cs="Arial"/>
          <w:color w:val="auto"/>
          <w:sz w:val="22"/>
          <w:szCs w:val="22"/>
          <w:lang w:val="en-GB"/>
        </w:rPr>
        <w:t>the male population</w:t>
      </w:r>
      <w:r w:rsidR="00607B2B">
        <w:rPr>
          <w:rFonts w:cs="Arial"/>
          <w:color w:val="auto"/>
          <w:sz w:val="22"/>
          <w:szCs w:val="22"/>
          <w:lang w:val="en-GB"/>
        </w:rPr>
        <w:t>.</w:t>
      </w:r>
      <w:r w:rsidR="0047168A">
        <w:rPr>
          <w:rStyle w:val="FootnoteReference"/>
          <w:rFonts w:cs="Arial"/>
          <w:color w:val="auto"/>
          <w:sz w:val="22"/>
          <w:szCs w:val="22"/>
          <w:lang w:val="en-GB"/>
        </w:rPr>
        <w:footnoteReference w:id="70"/>
      </w:r>
      <w:r w:rsidR="006C46AB" w:rsidRPr="0047168A">
        <w:rPr>
          <w:rFonts w:cs="Arial"/>
          <w:color w:val="auto"/>
          <w:sz w:val="22"/>
          <w:szCs w:val="22"/>
          <w:lang w:val="en-GB"/>
        </w:rPr>
        <w:t xml:space="preserve"> Therefore, there are few specific detention centers for women in Mexico. Although Mexican law establishes that women must be imprisoned in spaces that are duly separated from those of men, the small female population makes it untenable to build prisons in </w:t>
      </w:r>
      <w:r>
        <w:rPr>
          <w:rFonts w:cs="Arial"/>
          <w:color w:val="auto"/>
          <w:sz w:val="22"/>
          <w:szCs w:val="22"/>
          <w:lang w:val="en-GB"/>
        </w:rPr>
        <w:t>every</w:t>
      </w:r>
      <w:r w:rsidR="006C46AB" w:rsidRPr="0047168A">
        <w:rPr>
          <w:rFonts w:cs="Arial"/>
          <w:color w:val="auto"/>
          <w:sz w:val="22"/>
          <w:szCs w:val="22"/>
          <w:lang w:val="en-GB"/>
        </w:rPr>
        <w:t xml:space="preserve"> communit</w:t>
      </w:r>
      <w:r>
        <w:rPr>
          <w:rFonts w:cs="Arial"/>
          <w:color w:val="auto"/>
          <w:sz w:val="22"/>
          <w:szCs w:val="22"/>
          <w:lang w:val="en-GB"/>
        </w:rPr>
        <w:t>y.</w:t>
      </w:r>
      <w:r w:rsidR="006C46AB" w:rsidRPr="0047168A">
        <w:rPr>
          <w:rFonts w:cs="Arial"/>
          <w:color w:val="auto"/>
          <w:sz w:val="22"/>
          <w:szCs w:val="22"/>
          <w:lang w:val="en-GB"/>
        </w:rPr>
        <w:t xml:space="preserve"> As a result, in most cases, spaces for incarcerated women are </w:t>
      </w:r>
      <w:r w:rsidR="00607B2B">
        <w:rPr>
          <w:rFonts w:cs="Arial"/>
          <w:color w:val="auto"/>
          <w:sz w:val="22"/>
          <w:szCs w:val="22"/>
          <w:lang w:val="en-GB"/>
        </w:rPr>
        <w:t>contiguous</w:t>
      </w:r>
      <w:r w:rsidR="006C46AB" w:rsidRPr="0047168A">
        <w:rPr>
          <w:rFonts w:cs="Arial"/>
          <w:color w:val="auto"/>
          <w:sz w:val="22"/>
          <w:szCs w:val="22"/>
          <w:lang w:val="en-GB"/>
        </w:rPr>
        <w:t xml:space="preserve"> to prisons for men</w:t>
      </w:r>
      <w:r w:rsidR="00607B2B">
        <w:rPr>
          <w:rFonts w:cs="Arial"/>
          <w:color w:val="auto"/>
          <w:sz w:val="22"/>
          <w:szCs w:val="22"/>
          <w:lang w:val="en-GB"/>
        </w:rPr>
        <w:t>,</w:t>
      </w:r>
      <w:r w:rsidR="006C46AB" w:rsidRPr="0047168A">
        <w:rPr>
          <w:rFonts w:cs="Arial"/>
          <w:color w:val="auto"/>
          <w:sz w:val="22"/>
          <w:szCs w:val="22"/>
          <w:lang w:val="en-GB"/>
        </w:rPr>
        <w:t xml:space="preserve"> and </w:t>
      </w:r>
      <w:r>
        <w:rPr>
          <w:rFonts w:cs="Arial"/>
          <w:color w:val="auto"/>
          <w:sz w:val="22"/>
          <w:szCs w:val="22"/>
          <w:lang w:val="en-GB"/>
        </w:rPr>
        <w:t>are very small</w:t>
      </w:r>
      <w:r w:rsidR="006C46AB" w:rsidRPr="0047168A">
        <w:rPr>
          <w:rFonts w:cs="Arial"/>
          <w:color w:val="auto"/>
          <w:sz w:val="22"/>
          <w:szCs w:val="22"/>
          <w:lang w:val="en-GB"/>
        </w:rPr>
        <w:t>.</w:t>
      </w:r>
    </w:p>
    <w:p w14:paraId="4D201B8A" w14:textId="56D6C911" w:rsidR="006C46AB" w:rsidRPr="0047168A" w:rsidRDefault="007A09D0" w:rsidP="00C72434">
      <w:pPr>
        <w:spacing w:line="240" w:lineRule="auto"/>
        <w:jc w:val="both"/>
        <w:rPr>
          <w:rFonts w:cs="Arial"/>
          <w:color w:val="auto"/>
          <w:sz w:val="22"/>
          <w:szCs w:val="22"/>
          <w:lang w:val="en-GB"/>
        </w:rPr>
      </w:pPr>
      <w:r>
        <w:rPr>
          <w:rFonts w:cs="Arial"/>
          <w:color w:val="auto"/>
          <w:sz w:val="22"/>
          <w:szCs w:val="22"/>
          <w:lang w:val="en-GB"/>
        </w:rPr>
        <w:t>For this reason, when</w:t>
      </w:r>
      <w:r w:rsidR="006C46AB" w:rsidRPr="0047168A">
        <w:rPr>
          <w:rFonts w:cs="Arial"/>
          <w:color w:val="auto"/>
          <w:sz w:val="22"/>
          <w:szCs w:val="22"/>
          <w:lang w:val="en-GB"/>
        </w:rPr>
        <w:t xml:space="preserve"> medical treatment</w:t>
      </w:r>
      <w:r>
        <w:rPr>
          <w:rFonts w:cs="Arial"/>
          <w:color w:val="auto"/>
          <w:sz w:val="22"/>
          <w:szCs w:val="22"/>
          <w:lang w:val="en-GB"/>
        </w:rPr>
        <w:t xml:space="preserve"> is available</w:t>
      </w:r>
      <w:r w:rsidR="006C46AB" w:rsidRPr="0047168A">
        <w:rPr>
          <w:rFonts w:cs="Arial"/>
          <w:color w:val="auto"/>
          <w:sz w:val="22"/>
          <w:szCs w:val="22"/>
          <w:lang w:val="en-GB"/>
        </w:rPr>
        <w:t xml:space="preserve"> </w:t>
      </w:r>
      <w:r>
        <w:rPr>
          <w:rFonts w:cs="Arial"/>
          <w:color w:val="auto"/>
          <w:sz w:val="22"/>
          <w:szCs w:val="22"/>
          <w:lang w:val="en-GB"/>
        </w:rPr>
        <w:t xml:space="preserve">in </w:t>
      </w:r>
      <w:r w:rsidR="006C46AB" w:rsidRPr="0047168A">
        <w:rPr>
          <w:rFonts w:cs="Arial"/>
          <w:color w:val="auto"/>
          <w:sz w:val="22"/>
          <w:szCs w:val="22"/>
          <w:lang w:val="en-GB"/>
        </w:rPr>
        <w:t>women's prisons, it is supplied in special spaces or cells</w:t>
      </w:r>
      <w:r>
        <w:rPr>
          <w:rFonts w:cs="Arial"/>
          <w:color w:val="auto"/>
          <w:sz w:val="22"/>
          <w:szCs w:val="22"/>
          <w:lang w:val="en-GB"/>
        </w:rPr>
        <w:t xml:space="preserve"> </w:t>
      </w:r>
      <w:r w:rsidRPr="00EB10F9">
        <w:rPr>
          <w:rFonts w:cs="Arial"/>
          <w:color w:val="auto"/>
          <w:sz w:val="22"/>
          <w:szCs w:val="22"/>
          <w:lang w:val="en-GB"/>
        </w:rPr>
        <w:t>in deplorable conditions, with little access to medicines and little access to health specialists.</w:t>
      </w:r>
      <w:r w:rsidR="006C46AB" w:rsidRPr="0047168A">
        <w:rPr>
          <w:rFonts w:cs="Arial"/>
          <w:color w:val="auto"/>
          <w:sz w:val="22"/>
          <w:szCs w:val="22"/>
          <w:lang w:val="en-GB"/>
        </w:rPr>
        <w:t xml:space="preserve"> </w:t>
      </w:r>
    </w:p>
    <w:p w14:paraId="63CD59D1" w14:textId="7E18D801" w:rsidR="006C46AB" w:rsidRDefault="007A09D0" w:rsidP="00C72434">
      <w:pPr>
        <w:spacing w:line="240" w:lineRule="auto"/>
        <w:jc w:val="both"/>
        <w:rPr>
          <w:rFonts w:cs="Arial"/>
          <w:color w:val="auto"/>
          <w:sz w:val="22"/>
          <w:szCs w:val="22"/>
          <w:lang w:val="en-GB"/>
        </w:rPr>
      </w:pPr>
      <w:r>
        <w:rPr>
          <w:rFonts w:cs="Arial"/>
          <w:color w:val="auto"/>
          <w:sz w:val="22"/>
          <w:szCs w:val="22"/>
          <w:lang w:val="en-GB"/>
        </w:rPr>
        <w:t>Civil society reports that w</w:t>
      </w:r>
      <w:r w:rsidR="006C46AB" w:rsidRPr="0047168A">
        <w:rPr>
          <w:rFonts w:cs="Arial"/>
          <w:color w:val="auto"/>
          <w:sz w:val="22"/>
          <w:szCs w:val="22"/>
          <w:lang w:val="en-GB"/>
        </w:rPr>
        <w:t xml:space="preserve">hen a woman requests treatment for her </w:t>
      </w:r>
      <w:r>
        <w:rPr>
          <w:rFonts w:cs="Arial"/>
          <w:color w:val="auto"/>
          <w:sz w:val="22"/>
          <w:szCs w:val="22"/>
          <w:lang w:val="en-GB"/>
        </w:rPr>
        <w:t xml:space="preserve">drug </w:t>
      </w:r>
      <w:r w:rsidR="006C46AB" w:rsidRPr="0047168A">
        <w:rPr>
          <w:rFonts w:cs="Arial"/>
          <w:color w:val="auto"/>
          <w:sz w:val="22"/>
          <w:szCs w:val="22"/>
          <w:lang w:val="en-GB"/>
        </w:rPr>
        <w:t>dependence, it is the custodians</w:t>
      </w:r>
      <w:r>
        <w:rPr>
          <w:rFonts w:cs="Arial"/>
          <w:color w:val="auto"/>
          <w:sz w:val="22"/>
          <w:szCs w:val="22"/>
          <w:lang w:val="en-GB"/>
        </w:rPr>
        <w:t xml:space="preserve"> (and not a medical professional)</w:t>
      </w:r>
      <w:r w:rsidR="006C46AB" w:rsidRPr="0047168A">
        <w:rPr>
          <w:rFonts w:cs="Arial"/>
          <w:color w:val="auto"/>
          <w:sz w:val="22"/>
          <w:szCs w:val="22"/>
          <w:lang w:val="en-GB"/>
        </w:rPr>
        <w:t xml:space="preserve"> who make a first assessment of her request and then transmit it to the prison authorities, who refer her to the health services, if these are available. </w:t>
      </w:r>
    </w:p>
    <w:p w14:paraId="6E4EFF12" w14:textId="02F6BD0F" w:rsidR="00CC564F" w:rsidRDefault="00CC564F" w:rsidP="00C72434">
      <w:pPr>
        <w:spacing w:line="240" w:lineRule="auto"/>
        <w:jc w:val="both"/>
        <w:rPr>
          <w:rFonts w:cs="Arial"/>
          <w:color w:val="auto"/>
          <w:sz w:val="22"/>
          <w:szCs w:val="22"/>
          <w:lang w:val="en-US"/>
        </w:rPr>
      </w:pPr>
    </w:p>
    <w:p w14:paraId="2971180B" w14:textId="1A238B03" w:rsidR="00043C2D" w:rsidRDefault="00043C2D" w:rsidP="00043C2D">
      <w:pPr>
        <w:spacing w:line="240" w:lineRule="auto"/>
        <w:jc w:val="both"/>
        <w:rPr>
          <w:rFonts w:cs="Arial"/>
          <w:color w:val="auto"/>
          <w:sz w:val="22"/>
          <w:szCs w:val="22"/>
          <w:lang w:val="en-GB"/>
        </w:rPr>
      </w:pPr>
      <w:r>
        <w:rPr>
          <w:rFonts w:cs="Arial"/>
          <w:color w:val="auto"/>
          <w:sz w:val="22"/>
          <w:szCs w:val="22"/>
          <w:lang w:val="en-GB"/>
        </w:rPr>
        <w:t>Equis current field work in prison with female drug users shows that women not only do not have access to treatment in prison</w:t>
      </w:r>
      <w:r w:rsidR="00567F3F">
        <w:rPr>
          <w:rFonts w:cs="Arial"/>
          <w:color w:val="auto"/>
          <w:sz w:val="22"/>
          <w:szCs w:val="22"/>
          <w:lang w:val="en-GB"/>
        </w:rPr>
        <w:t>,</w:t>
      </w:r>
      <w:r>
        <w:rPr>
          <w:rFonts w:cs="Arial"/>
          <w:color w:val="auto"/>
          <w:sz w:val="22"/>
          <w:szCs w:val="22"/>
          <w:lang w:val="en-GB"/>
        </w:rPr>
        <w:t xml:space="preserve"> but also that the underling factors of their dependent or problematic drug use – namely violence against children and gender-based violence against women and girls, sexual violence in most cases – are overlooked or further reinforced by their criminalization process and subsequent detention. Once again, detention in mixed centres further reduces women’s possibilities to access to drug treatment if needed.</w:t>
      </w:r>
    </w:p>
    <w:p w14:paraId="04606547" w14:textId="77777777" w:rsidR="00043C2D" w:rsidRPr="0047168A" w:rsidRDefault="00043C2D" w:rsidP="00C72434">
      <w:pPr>
        <w:spacing w:line="240" w:lineRule="auto"/>
        <w:jc w:val="both"/>
        <w:rPr>
          <w:rFonts w:cs="Arial"/>
          <w:color w:val="auto"/>
          <w:sz w:val="22"/>
          <w:szCs w:val="22"/>
          <w:lang w:val="en-GB"/>
        </w:rPr>
      </w:pPr>
    </w:p>
    <w:p w14:paraId="57FB9B37" w14:textId="5D47E400" w:rsidR="004A4F04" w:rsidRPr="0047168A" w:rsidRDefault="004E432D" w:rsidP="0047168A">
      <w:pPr>
        <w:spacing w:line="240" w:lineRule="auto"/>
        <w:jc w:val="both"/>
        <w:rPr>
          <w:rFonts w:cs="Arial"/>
          <w:i/>
          <w:color w:val="auto"/>
          <w:sz w:val="22"/>
          <w:szCs w:val="22"/>
          <w:lang w:val="en-GB"/>
        </w:rPr>
      </w:pPr>
      <w:r w:rsidRPr="0047168A">
        <w:rPr>
          <w:rFonts w:cs="Arial"/>
          <w:i/>
          <w:color w:val="auto"/>
          <w:sz w:val="22"/>
          <w:szCs w:val="22"/>
          <w:lang w:val="en-GB"/>
        </w:rPr>
        <w:t>5.2. D</w:t>
      </w:r>
      <w:r w:rsidR="006C46AB" w:rsidRPr="0047168A">
        <w:rPr>
          <w:rFonts w:cs="Arial"/>
          <w:i/>
          <w:color w:val="auto"/>
          <w:sz w:val="22"/>
          <w:szCs w:val="22"/>
          <w:lang w:val="en-GB"/>
        </w:rPr>
        <w:t xml:space="preserve">rug dependence </w:t>
      </w:r>
      <w:r w:rsidR="007A09D0">
        <w:rPr>
          <w:rFonts w:cs="Arial"/>
          <w:i/>
          <w:color w:val="auto"/>
          <w:sz w:val="22"/>
          <w:szCs w:val="22"/>
          <w:lang w:val="en-GB"/>
        </w:rPr>
        <w:t>developed</w:t>
      </w:r>
      <w:r w:rsidRPr="0047168A">
        <w:rPr>
          <w:rFonts w:cs="Arial"/>
          <w:i/>
          <w:color w:val="auto"/>
          <w:sz w:val="22"/>
          <w:szCs w:val="22"/>
          <w:lang w:val="en-GB"/>
        </w:rPr>
        <w:t xml:space="preserve"> in prison</w:t>
      </w:r>
    </w:p>
    <w:p w14:paraId="6A7E6338" w14:textId="2A02AB4B" w:rsidR="006C46AB" w:rsidRPr="0047168A" w:rsidRDefault="006C46AB" w:rsidP="00C72434">
      <w:pPr>
        <w:spacing w:line="240" w:lineRule="auto"/>
        <w:jc w:val="both"/>
        <w:rPr>
          <w:rFonts w:cs="Arial"/>
          <w:color w:val="auto"/>
          <w:sz w:val="22"/>
          <w:szCs w:val="22"/>
          <w:lang w:val="en-GB"/>
        </w:rPr>
      </w:pPr>
      <w:r w:rsidRPr="0047168A">
        <w:rPr>
          <w:rFonts w:cs="Arial"/>
          <w:color w:val="auto"/>
          <w:sz w:val="22"/>
          <w:szCs w:val="22"/>
          <w:lang w:val="en-GB"/>
        </w:rPr>
        <w:lastRenderedPageBreak/>
        <w:t>Some civil society organizations have noted that women may develop drug dependence within prisons, due to the high availability of these substances</w:t>
      </w:r>
      <w:r w:rsidR="00607B2B">
        <w:rPr>
          <w:rFonts w:cs="Arial"/>
          <w:color w:val="auto"/>
          <w:sz w:val="22"/>
          <w:szCs w:val="22"/>
          <w:lang w:val="en-GB"/>
        </w:rPr>
        <w:t xml:space="preserve"> – especially solvents and crack -</w:t>
      </w:r>
      <w:r w:rsidRPr="0047168A">
        <w:rPr>
          <w:rFonts w:cs="Arial"/>
          <w:color w:val="auto"/>
          <w:sz w:val="22"/>
          <w:szCs w:val="22"/>
          <w:lang w:val="en-GB"/>
        </w:rPr>
        <w:t xml:space="preserve"> in </w:t>
      </w:r>
      <w:r w:rsidR="007A09D0">
        <w:rPr>
          <w:rFonts w:cs="Arial"/>
          <w:color w:val="auto"/>
          <w:sz w:val="22"/>
          <w:szCs w:val="22"/>
          <w:lang w:val="en-GB"/>
        </w:rPr>
        <w:t>detention settings</w:t>
      </w:r>
      <w:r w:rsidR="00607B2B">
        <w:rPr>
          <w:rFonts w:cs="Arial"/>
          <w:color w:val="auto"/>
          <w:sz w:val="22"/>
          <w:szCs w:val="22"/>
          <w:lang w:val="en-GB"/>
        </w:rPr>
        <w:t>.</w:t>
      </w:r>
    </w:p>
    <w:p w14:paraId="0DB15E2C" w14:textId="4372272D" w:rsidR="006C46AB" w:rsidRPr="0047168A" w:rsidRDefault="006C46AB" w:rsidP="00C72434">
      <w:pPr>
        <w:spacing w:line="240" w:lineRule="auto"/>
        <w:jc w:val="both"/>
        <w:rPr>
          <w:rFonts w:cs="Arial"/>
          <w:color w:val="auto"/>
          <w:sz w:val="22"/>
          <w:szCs w:val="22"/>
          <w:lang w:val="en-GB"/>
        </w:rPr>
      </w:pPr>
      <w:r w:rsidRPr="0047168A">
        <w:rPr>
          <w:rFonts w:cs="Arial"/>
          <w:color w:val="auto"/>
          <w:sz w:val="22"/>
          <w:szCs w:val="22"/>
          <w:lang w:val="en-GB"/>
        </w:rPr>
        <w:t>Also, these organizations have noted that unnecess</w:t>
      </w:r>
      <w:r w:rsidR="00607B2B">
        <w:rPr>
          <w:rFonts w:cs="Arial"/>
          <w:color w:val="auto"/>
          <w:sz w:val="22"/>
          <w:szCs w:val="22"/>
          <w:lang w:val="en-GB"/>
        </w:rPr>
        <w:t>ary and forced medication of</w:t>
      </w:r>
      <w:r w:rsidRPr="0047168A">
        <w:rPr>
          <w:rFonts w:cs="Arial"/>
          <w:color w:val="auto"/>
          <w:sz w:val="22"/>
          <w:szCs w:val="22"/>
          <w:lang w:val="en-GB"/>
        </w:rPr>
        <w:t xml:space="preserve"> incarcerated women is common in the Federal Center for Women's Social Readaptation. The use of antidepressant or medications for post-traumatic syndrome is frequently found in these types of prisons that have little security personnel and use them as a control mechanism, rather than </w:t>
      </w:r>
      <w:r w:rsidR="00D664BE">
        <w:rPr>
          <w:rFonts w:cs="Arial"/>
          <w:color w:val="auto"/>
          <w:sz w:val="22"/>
          <w:szCs w:val="22"/>
          <w:lang w:val="en-GB"/>
        </w:rPr>
        <w:t xml:space="preserve">for </w:t>
      </w:r>
      <w:r w:rsidRPr="0047168A">
        <w:rPr>
          <w:rFonts w:cs="Arial"/>
          <w:color w:val="auto"/>
          <w:sz w:val="22"/>
          <w:szCs w:val="22"/>
          <w:lang w:val="en-GB"/>
        </w:rPr>
        <w:t>health purposes.</w:t>
      </w:r>
    </w:p>
    <w:p w14:paraId="68767701" w14:textId="425FEB88" w:rsidR="006C46AB" w:rsidRPr="0047168A" w:rsidRDefault="006C46AB" w:rsidP="00C72434">
      <w:pPr>
        <w:spacing w:line="240" w:lineRule="auto"/>
        <w:jc w:val="both"/>
        <w:rPr>
          <w:rFonts w:cs="Arial"/>
          <w:color w:val="auto"/>
          <w:sz w:val="22"/>
          <w:szCs w:val="22"/>
          <w:lang w:val="en-GB"/>
        </w:rPr>
      </w:pPr>
      <w:r w:rsidRPr="0047168A">
        <w:rPr>
          <w:rFonts w:cs="Arial"/>
          <w:color w:val="auto"/>
          <w:sz w:val="22"/>
          <w:szCs w:val="22"/>
          <w:lang w:val="en-GB"/>
        </w:rPr>
        <w:t xml:space="preserve">This is </w:t>
      </w:r>
      <w:r w:rsidR="007A09D0">
        <w:rPr>
          <w:rFonts w:cs="Arial"/>
          <w:color w:val="auto"/>
          <w:sz w:val="22"/>
          <w:szCs w:val="22"/>
          <w:lang w:val="en-GB"/>
        </w:rPr>
        <w:t>in violation of several fundamental rights, and it is particularly worrisome considering that</w:t>
      </w:r>
      <w:r w:rsidRPr="0047168A">
        <w:rPr>
          <w:rFonts w:cs="Arial"/>
          <w:color w:val="auto"/>
          <w:sz w:val="22"/>
          <w:szCs w:val="22"/>
          <w:lang w:val="en-GB"/>
        </w:rPr>
        <w:t xml:space="preserve"> women</w:t>
      </w:r>
      <w:r w:rsidR="007A09D0">
        <w:rPr>
          <w:rFonts w:cs="Arial"/>
          <w:color w:val="auto"/>
          <w:sz w:val="22"/>
          <w:szCs w:val="22"/>
          <w:lang w:val="en-GB"/>
        </w:rPr>
        <w:t xml:space="preserve"> may develop</w:t>
      </w:r>
      <w:r w:rsidRPr="0047168A">
        <w:rPr>
          <w:rFonts w:cs="Arial"/>
          <w:color w:val="auto"/>
          <w:sz w:val="22"/>
          <w:szCs w:val="22"/>
          <w:lang w:val="en-GB"/>
        </w:rPr>
        <w:t xml:space="preserve"> a dependency on this type of medication. According to the latest National Survey on the Deprived Population of Liberty (ENPOL</w:t>
      </w:r>
      <w:r w:rsidR="007A09D0">
        <w:rPr>
          <w:rFonts w:cs="Arial"/>
          <w:color w:val="auto"/>
          <w:sz w:val="22"/>
          <w:szCs w:val="22"/>
          <w:lang w:val="en-GB"/>
        </w:rPr>
        <w:t>)</w:t>
      </w:r>
      <w:r w:rsidRPr="0047168A">
        <w:rPr>
          <w:color w:val="auto"/>
          <w:sz w:val="22"/>
          <w:szCs w:val="22"/>
          <w:lang w:val="en-GB"/>
        </w:rPr>
        <w:t xml:space="preserve"> </w:t>
      </w:r>
      <w:r w:rsidRPr="0047168A">
        <w:rPr>
          <w:rFonts w:cs="Arial"/>
          <w:color w:val="auto"/>
          <w:sz w:val="22"/>
          <w:szCs w:val="22"/>
          <w:lang w:val="en-GB"/>
        </w:rPr>
        <w:t xml:space="preserve">of 2016, 98.9% of women deprived of liberty </w:t>
      </w:r>
      <w:r w:rsidR="00095785">
        <w:rPr>
          <w:rFonts w:cs="Arial"/>
          <w:color w:val="auto"/>
          <w:sz w:val="22"/>
          <w:szCs w:val="22"/>
          <w:lang w:val="en-GB"/>
        </w:rPr>
        <w:t>have not received a condemnatory sentence</w:t>
      </w:r>
      <w:r w:rsidRPr="0047168A">
        <w:rPr>
          <w:rFonts w:cs="Arial"/>
          <w:color w:val="auto"/>
          <w:sz w:val="22"/>
          <w:szCs w:val="22"/>
          <w:lang w:val="en-GB"/>
        </w:rPr>
        <w:t xml:space="preserve">, </w:t>
      </w:r>
      <w:r w:rsidR="007A09D0">
        <w:rPr>
          <w:rFonts w:cs="Arial"/>
          <w:color w:val="auto"/>
          <w:sz w:val="22"/>
          <w:szCs w:val="22"/>
          <w:lang w:val="en-GB"/>
        </w:rPr>
        <w:t xml:space="preserve">thus </w:t>
      </w:r>
      <w:r w:rsidRPr="0047168A">
        <w:rPr>
          <w:rFonts w:cs="Arial"/>
          <w:color w:val="auto"/>
          <w:sz w:val="22"/>
          <w:szCs w:val="22"/>
          <w:lang w:val="en-GB"/>
        </w:rPr>
        <w:t xml:space="preserve">could be released from prison </w:t>
      </w:r>
      <w:r w:rsidR="007A09D0">
        <w:rPr>
          <w:rFonts w:cs="Arial"/>
          <w:color w:val="auto"/>
          <w:sz w:val="22"/>
          <w:szCs w:val="22"/>
          <w:lang w:val="en-GB"/>
        </w:rPr>
        <w:t>at any moment</w:t>
      </w:r>
      <w:r w:rsidRPr="0047168A">
        <w:rPr>
          <w:rFonts w:cs="Arial"/>
          <w:color w:val="auto"/>
          <w:sz w:val="22"/>
          <w:szCs w:val="22"/>
          <w:lang w:val="en-GB"/>
        </w:rPr>
        <w:t>. Th</w:t>
      </w:r>
      <w:r w:rsidR="007A09D0">
        <w:rPr>
          <w:rFonts w:cs="Arial"/>
          <w:color w:val="auto"/>
          <w:sz w:val="22"/>
          <w:szCs w:val="22"/>
          <w:lang w:val="en-GB"/>
        </w:rPr>
        <w:t xml:space="preserve">e release phase is </w:t>
      </w:r>
      <w:r w:rsidRPr="0047168A">
        <w:rPr>
          <w:rFonts w:cs="Arial"/>
          <w:color w:val="auto"/>
          <w:sz w:val="22"/>
          <w:szCs w:val="22"/>
          <w:lang w:val="en-GB"/>
        </w:rPr>
        <w:t xml:space="preserve"> </w:t>
      </w:r>
      <w:r w:rsidR="007A09D0">
        <w:rPr>
          <w:rFonts w:cs="Arial"/>
          <w:color w:val="auto"/>
          <w:sz w:val="22"/>
          <w:szCs w:val="22"/>
          <w:lang w:val="en-GB"/>
        </w:rPr>
        <w:t xml:space="preserve"> particularly</w:t>
      </w:r>
      <w:r w:rsidR="00D664BE">
        <w:rPr>
          <w:rFonts w:cs="Arial"/>
          <w:color w:val="auto"/>
          <w:sz w:val="22"/>
          <w:szCs w:val="22"/>
          <w:lang w:val="en-GB"/>
        </w:rPr>
        <w:t xml:space="preserve"> delicate</w:t>
      </w:r>
      <w:r w:rsidR="007A09D0">
        <w:rPr>
          <w:rFonts w:cs="Arial"/>
          <w:color w:val="auto"/>
          <w:sz w:val="22"/>
          <w:szCs w:val="22"/>
          <w:lang w:val="en-GB"/>
        </w:rPr>
        <w:t xml:space="preserve"> </w:t>
      </w:r>
      <w:r w:rsidRPr="0047168A">
        <w:rPr>
          <w:rFonts w:cs="Arial"/>
          <w:color w:val="auto"/>
          <w:sz w:val="22"/>
          <w:szCs w:val="22"/>
          <w:lang w:val="en-GB"/>
        </w:rPr>
        <w:t xml:space="preserve">for women who have </w:t>
      </w:r>
      <w:r w:rsidR="007A09D0">
        <w:rPr>
          <w:rFonts w:cs="Arial"/>
          <w:color w:val="auto"/>
          <w:sz w:val="22"/>
          <w:szCs w:val="22"/>
          <w:lang w:val="en-GB"/>
        </w:rPr>
        <w:t>developed a dependency while in detention</w:t>
      </w:r>
      <w:r w:rsidRPr="0047168A">
        <w:rPr>
          <w:rFonts w:cs="Arial"/>
          <w:color w:val="auto"/>
          <w:sz w:val="22"/>
          <w:szCs w:val="22"/>
          <w:lang w:val="en-GB"/>
        </w:rPr>
        <w:t>. Outside the prison, women face the impossibility of continuing to medicate and the risk of consuming more dangerous substances increases.</w:t>
      </w:r>
    </w:p>
    <w:p w14:paraId="2C7552F2" w14:textId="77777777" w:rsidR="00547082" w:rsidRPr="0047168A" w:rsidRDefault="00547082" w:rsidP="0047168A">
      <w:pPr>
        <w:spacing w:line="240" w:lineRule="auto"/>
        <w:jc w:val="both"/>
        <w:rPr>
          <w:rFonts w:cs="Arial"/>
          <w:b/>
          <w:lang w:val="en-GB"/>
        </w:rPr>
      </w:pPr>
    </w:p>
    <w:p w14:paraId="23C043F9" w14:textId="07610EC6" w:rsidR="006C46AB" w:rsidRPr="0047168A" w:rsidRDefault="00547082" w:rsidP="0047168A">
      <w:pPr>
        <w:spacing w:line="240" w:lineRule="auto"/>
        <w:jc w:val="both"/>
        <w:rPr>
          <w:b/>
          <w:lang w:val="en-GB"/>
        </w:rPr>
      </w:pPr>
      <w:r w:rsidRPr="0047168A">
        <w:rPr>
          <w:b/>
          <w:color w:val="auto"/>
          <w:sz w:val="22"/>
          <w:szCs w:val="22"/>
          <w:lang w:val="en-GB"/>
        </w:rPr>
        <w:t xml:space="preserve">6. </w:t>
      </w:r>
      <w:r w:rsidR="00733754">
        <w:rPr>
          <w:b/>
          <w:color w:val="auto"/>
          <w:sz w:val="22"/>
          <w:szCs w:val="22"/>
          <w:lang w:val="en-GB"/>
        </w:rPr>
        <w:t>Mandatory</w:t>
      </w:r>
      <w:r w:rsidR="00733754" w:rsidRPr="0047168A">
        <w:rPr>
          <w:b/>
          <w:color w:val="auto"/>
          <w:sz w:val="22"/>
          <w:szCs w:val="22"/>
          <w:lang w:val="en-GB"/>
        </w:rPr>
        <w:t xml:space="preserve"> </w:t>
      </w:r>
      <w:r w:rsidR="004A4F04" w:rsidRPr="0047168A">
        <w:rPr>
          <w:b/>
          <w:color w:val="auto"/>
          <w:sz w:val="22"/>
          <w:szCs w:val="22"/>
          <w:lang w:val="en-GB"/>
        </w:rPr>
        <w:t xml:space="preserve">pretrial detention </w:t>
      </w:r>
    </w:p>
    <w:p w14:paraId="21FC5C6F" w14:textId="31808751" w:rsidR="004A4F04" w:rsidRPr="0047168A" w:rsidRDefault="009B4D6A" w:rsidP="00C72434">
      <w:pPr>
        <w:spacing w:line="240" w:lineRule="auto"/>
        <w:jc w:val="both"/>
        <w:rPr>
          <w:b/>
          <w:color w:val="auto"/>
          <w:sz w:val="22"/>
          <w:szCs w:val="22"/>
          <w:lang w:val="en-GB"/>
        </w:rPr>
      </w:pPr>
      <w:r w:rsidRPr="0047168A">
        <w:rPr>
          <w:rFonts w:cs="Arial"/>
          <w:b/>
          <w:color w:val="auto"/>
          <w:sz w:val="22"/>
          <w:szCs w:val="22"/>
          <w:lang w:val="en-GB"/>
        </w:rPr>
        <w:t xml:space="preserve">Item </w:t>
      </w:r>
      <w:r w:rsidR="004A4F04" w:rsidRPr="0047168A">
        <w:rPr>
          <w:rFonts w:cs="Arial"/>
          <w:b/>
          <w:color w:val="auto"/>
          <w:sz w:val="22"/>
          <w:szCs w:val="22"/>
          <w:lang w:val="en-GB"/>
        </w:rPr>
        <w:t xml:space="preserve">20. </w:t>
      </w:r>
      <w:r w:rsidR="004A4F04" w:rsidRPr="0047168A">
        <w:rPr>
          <w:b/>
          <w:color w:val="auto"/>
          <w:sz w:val="22"/>
          <w:szCs w:val="22"/>
          <w:lang w:val="en-GB"/>
        </w:rPr>
        <w:t>Please also provide updated statistics on the number of persons deprived of their liberty, disaggregated by sex, age (adult or minor), whether the person is in pretrial detention or serving a sentence following conviction, and the place of detention, as well as the official capacity of each place of detention.</w:t>
      </w:r>
    </w:p>
    <w:p w14:paraId="0BD461B8" w14:textId="693C7582" w:rsidR="00644ACE" w:rsidRPr="0047168A" w:rsidRDefault="00644ACE" w:rsidP="00644ACE">
      <w:pPr>
        <w:spacing w:line="240" w:lineRule="auto"/>
        <w:jc w:val="both"/>
        <w:rPr>
          <w:rFonts w:cs="Arial"/>
          <w:b/>
          <w:color w:val="auto"/>
          <w:sz w:val="22"/>
          <w:szCs w:val="22"/>
          <w:lang w:val="en-GB"/>
        </w:rPr>
      </w:pPr>
      <w:r w:rsidRPr="0047168A">
        <w:rPr>
          <w:b/>
          <w:color w:val="auto"/>
          <w:sz w:val="22"/>
          <w:szCs w:val="22"/>
          <w:lang w:val="en-GB"/>
        </w:rPr>
        <w:t>R</w:t>
      </w:r>
      <w:r w:rsidRPr="0047168A">
        <w:rPr>
          <w:b/>
          <w:bCs/>
          <w:color w:val="auto"/>
          <w:sz w:val="22"/>
          <w:szCs w:val="22"/>
          <w:lang w:val="en-GB"/>
        </w:rPr>
        <w:t>ight to life; prohibition of torture and cruel, inhuman or degrading treatment or punishment; right to liberty and security of person; right to a fair trial (arts. 2, 7, 9, 10 and 14). V</w:t>
      </w:r>
      <w:r w:rsidRPr="0047168A">
        <w:rPr>
          <w:rFonts w:cs="Times New Roman"/>
          <w:b/>
          <w:color w:val="auto"/>
          <w:sz w:val="22"/>
          <w:szCs w:val="22"/>
          <w:lang w:val="en-GB"/>
        </w:rPr>
        <w:t>iolence against women (arts. 3, 6 and 7)</w:t>
      </w:r>
    </w:p>
    <w:p w14:paraId="5D5EDF5F" w14:textId="282A6452" w:rsidR="00F0206D" w:rsidRPr="0047168A" w:rsidRDefault="00F0206D" w:rsidP="00C72434">
      <w:pPr>
        <w:spacing w:line="240" w:lineRule="auto"/>
        <w:jc w:val="both"/>
        <w:rPr>
          <w:rFonts w:cs="Arial"/>
          <w:i/>
          <w:color w:val="auto"/>
          <w:sz w:val="22"/>
          <w:szCs w:val="22"/>
          <w:lang w:val="en-GB"/>
        </w:rPr>
      </w:pPr>
      <w:r w:rsidRPr="0047168A">
        <w:rPr>
          <w:rFonts w:cs="Arial"/>
          <w:i/>
          <w:color w:val="auto"/>
          <w:sz w:val="22"/>
          <w:szCs w:val="22"/>
          <w:lang w:val="en-GB"/>
        </w:rPr>
        <w:t xml:space="preserve">6.1. Pretrial detention </w:t>
      </w:r>
      <w:r w:rsidR="007A09D0">
        <w:rPr>
          <w:rFonts w:cs="Arial"/>
          <w:i/>
          <w:color w:val="auto"/>
          <w:sz w:val="22"/>
          <w:szCs w:val="22"/>
          <w:lang w:val="en-GB"/>
        </w:rPr>
        <w:t xml:space="preserve">in national and </w:t>
      </w:r>
      <w:r w:rsidRPr="0047168A">
        <w:rPr>
          <w:rFonts w:cs="Arial"/>
          <w:i/>
          <w:color w:val="auto"/>
          <w:sz w:val="22"/>
          <w:szCs w:val="22"/>
          <w:lang w:val="en-GB"/>
        </w:rPr>
        <w:t xml:space="preserve"> </w:t>
      </w:r>
      <w:r w:rsidR="007A09D0">
        <w:rPr>
          <w:rFonts w:cs="Arial"/>
          <w:i/>
          <w:color w:val="auto"/>
          <w:sz w:val="22"/>
          <w:szCs w:val="22"/>
          <w:lang w:val="en-GB"/>
        </w:rPr>
        <w:t>i</w:t>
      </w:r>
      <w:r w:rsidRPr="0047168A">
        <w:rPr>
          <w:rFonts w:cs="Arial"/>
          <w:i/>
          <w:color w:val="auto"/>
          <w:sz w:val="22"/>
          <w:szCs w:val="22"/>
          <w:lang w:val="en-GB"/>
        </w:rPr>
        <w:t>nternational</w:t>
      </w:r>
      <w:r w:rsidR="00D664BE">
        <w:rPr>
          <w:rFonts w:cs="Arial"/>
          <w:i/>
          <w:color w:val="auto"/>
          <w:sz w:val="22"/>
          <w:szCs w:val="22"/>
          <w:lang w:val="en-GB"/>
        </w:rPr>
        <w:t xml:space="preserve"> </w:t>
      </w:r>
      <w:r w:rsidR="007A09D0">
        <w:rPr>
          <w:rFonts w:cs="Arial"/>
          <w:i/>
          <w:color w:val="auto"/>
          <w:sz w:val="22"/>
          <w:szCs w:val="22"/>
          <w:lang w:val="en-GB"/>
        </w:rPr>
        <w:t>l</w:t>
      </w:r>
      <w:r w:rsidRPr="0047168A">
        <w:rPr>
          <w:rFonts w:cs="Arial"/>
          <w:i/>
          <w:color w:val="auto"/>
          <w:sz w:val="22"/>
          <w:szCs w:val="22"/>
          <w:lang w:val="en-GB"/>
        </w:rPr>
        <w:t>aw</w:t>
      </w:r>
    </w:p>
    <w:p w14:paraId="6972D1E8" w14:textId="118A2BD8" w:rsidR="00756B7A" w:rsidRPr="00B8189A" w:rsidRDefault="006C46AB" w:rsidP="00C72434">
      <w:pPr>
        <w:spacing w:line="240" w:lineRule="auto"/>
        <w:jc w:val="both"/>
        <w:rPr>
          <w:rFonts w:cs="Arial"/>
          <w:color w:val="auto"/>
          <w:sz w:val="22"/>
          <w:szCs w:val="22"/>
          <w:lang w:val="en-US"/>
        </w:rPr>
      </w:pPr>
      <w:r w:rsidRPr="0047168A">
        <w:rPr>
          <w:rFonts w:cs="Arial"/>
          <w:color w:val="auto"/>
          <w:sz w:val="22"/>
          <w:szCs w:val="22"/>
          <w:lang w:val="en-GB"/>
        </w:rPr>
        <w:t>In Mexican law, pretrial restraining measures are those provisions that a judge implements to person</w:t>
      </w:r>
      <w:r w:rsidR="00B8189A">
        <w:rPr>
          <w:rFonts w:cs="Arial"/>
          <w:color w:val="auto"/>
          <w:sz w:val="22"/>
          <w:szCs w:val="22"/>
          <w:lang w:val="en-GB"/>
        </w:rPr>
        <w:t>s</w:t>
      </w:r>
      <w:r w:rsidRPr="0047168A">
        <w:rPr>
          <w:rFonts w:cs="Arial"/>
          <w:color w:val="auto"/>
          <w:sz w:val="22"/>
          <w:szCs w:val="22"/>
          <w:lang w:val="en-GB"/>
        </w:rPr>
        <w:t xml:space="preserve"> who </w:t>
      </w:r>
      <w:r w:rsidR="00B8189A">
        <w:rPr>
          <w:rFonts w:cs="Arial"/>
          <w:color w:val="auto"/>
          <w:sz w:val="22"/>
          <w:szCs w:val="22"/>
          <w:lang w:val="en-GB"/>
        </w:rPr>
        <w:t>are</w:t>
      </w:r>
      <w:r w:rsidR="00B8189A" w:rsidRPr="0047168A">
        <w:rPr>
          <w:rFonts w:cs="Arial"/>
          <w:color w:val="auto"/>
          <w:sz w:val="22"/>
          <w:szCs w:val="22"/>
          <w:lang w:val="en-GB"/>
        </w:rPr>
        <w:t xml:space="preserve"> </w:t>
      </w:r>
      <w:r w:rsidRPr="0047168A">
        <w:rPr>
          <w:rFonts w:cs="Arial"/>
          <w:color w:val="auto"/>
          <w:sz w:val="22"/>
          <w:szCs w:val="22"/>
          <w:lang w:val="en-GB"/>
        </w:rPr>
        <w:t xml:space="preserve">being investigated in order to ensure their presence </w:t>
      </w:r>
      <w:r w:rsidR="00B8189A">
        <w:rPr>
          <w:rFonts w:cs="Arial"/>
          <w:color w:val="auto"/>
          <w:sz w:val="22"/>
          <w:szCs w:val="22"/>
          <w:lang w:val="en-GB"/>
        </w:rPr>
        <w:t>at</w:t>
      </w:r>
      <w:r w:rsidR="00B8189A" w:rsidRPr="0047168A">
        <w:rPr>
          <w:rFonts w:cs="Arial"/>
          <w:color w:val="auto"/>
          <w:sz w:val="22"/>
          <w:szCs w:val="22"/>
          <w:lang w:val="en-GB"/>
        </w:rPr>
        <w:t xml:space="preserve"> </w:t>
      </w:r>
      <w:r w:rsidRPr="0047168A">
        <w:rPr>
          <w:rFonts w:cs="Arial"/>
          <w:color w:val="auto"/>
          <w:sz w:val="22"/>
          <w:szCs w:val="22"/>
          <w:lang w:val="en-GB"/>
        </w:rPr>
        <w:t>the trial, to guarantee the course of the investigation</w:t>
      </w:r>
      <w:r w:rsidR="00D664BE">
        <w:rPr>
          <w:rFonts w:cs="Arial"/>
          <w:color w:val="auto"/>
          <w:sz w:val="22"/>
          <w:szCs w:val="22"/>
          <w:lang w:val="en-GB"/>
        </w:rPr>
        <w:t>,</w:t>
      </w:r>
      <w:r w:rsidRPr="0047168A">
        <w:rPr>
          <w:rFonts w:cs="Arial"/>
          <w:color w:val="auto"/>
          <w:sz w:val="22"/>
          <w:szCs w:val="22"/>
          <w:lang w:val="en-GB"/>
        </w:rPr>
        <w:t xml:space="preserve"> and to protect victims and witnesses. The</w:t>
      </w:r>
      <w:r w:rsidR="00B8189A">
        <w:rPr>
          <w:rFonts w:cs="Arial"/>
          <w:color w:val="auto"/>
          <w:sz w:val="22"/>
          <w:szCs w:val="22"/>
          <w:lang w:val="en-GB"/>
        </w:rPr>
        <w:t>se</w:t>
      </w:r>
      <w:r w:rsidRPr="0047168A">
        <w:rPr>
          <w:rFonts w:cs="Arial"/>
          <w:color w:val="auto"/>
          <w:sz w:val="22"/>
          <w:szCs w:val="22"/>
          <w:lang w:val="en-GB"/>
        </w:rPr>
        <w:t xml:space="preserve"> are requested by the prosecution</w:t>
      </w:r>
      <w:r w:rsidR="00B8189A">
        <w:rPr>
          <w:rFonts w:cs="Arial"/>
          <w:color w:val="auto"/>
          <w:sz w:val="22"/>
          <w:szCs w:val="22"/>
          <w:lang w:val="en-GB"/>
        </w:rPr>
        <w:t>, which</w:t>
      </w:r>
      <w:r w:rsidR="00733754">
        <w:rPr>
          <w:rFonts w:cs="Arial"/>
          <w:color w:val="auto"/>
          <w:sz w:val="22"/>
          <w:szCs w:val="22"/>
          <w:lang w:val="en-GB"/>
        </w:rPr>
        <w:t xml:space="preserve"> </w:t>
      </w:r>
      <w:r w:rsidRPr="0047168A">
        <w:rPr>
          <w:rFonts w:cs="Arial"/>
          <w:color w:val="auto"/>
          <w:sz w:val="22"/>
          <w:szCs w:val="22"/>
          <w:lang w:val="en-GB"/>
        </w:rPr>
        <w:t>must justify the need for their imposition, as well as the proportionality of the measure</w:t>
      </w:r>
      <w:r w:rsidR="00D664BE">
        <w:rPr>
          <w:rFonts w:cs="Arial"/>
          <w:color w:val="auto"/>
          <w:sz w:val="22"/>
          <w:szCs w:val="22"/>
          <w:lang w:val="en-GB"/>
        </w:rPr>
        <w:t>,</w:t>
      </w:r>
      <w:r w:rsidRPr="0047168A">
        <w:rPr>
          <w:rFonts w:cs="Arial"/>
          <w:color w:val="auto"/>
          <w:sz w:val="22"/>
          <w:szCs w:val="22"/>
          <w:lang w:val="en-GB"/>
        </w:rPr>
        <w:t xml:space="preserve"> to a judge. Under these </w:t>
      </w:r>
      <w:r w:rsidR="00D664BE">
        <w:rPr>
          <w:rFonts w:cs="Arial"/>
          <w:color w:val="auto"/>
          <w:sz w:val="22"/>
          <w:szCs w:val="22"/>
          <w:lang w:val="en-GB"/>
        </w:rPr>
        <w:t>laws</w:t>
      </w:r>
      <w:r w:rsidRPr="0047168A">
        <w:rPr>
          <w:rFonts w:cs="Arial"/>
          <w:color w:val="auto"/>
          <w:sz w:val="22"/>
          <w:szCs w:val="22"/>
          <w:lang w:val="en-GB"/>
        </w:rPr>
        <w:t xml:space="preserve">, pretrial detention is considered as a last resort measure and it </w:t>
      </w:r>
      <w:r w:rsidR="00B8189A">
        <w:rPr>
          <w:rFonts w:cs="Arial"/>
          <w:color w:val="auto"/>
          <w:sz w:val="22"/>
          <w:szCs w:val="22"/>
          <w:lang w:val="en-GB"/>
        </w:rPr>
        <w:t xml:space="preserve">can </w:t>
      </w:r>
      <w:r w:rsidRPr="0047168A">
        <w:rPr>
          <w:rFonts w:cs="Arial"/>
          <w:color w:val="auto"/>
          <w:sz w:val="22"/>
          <w:szCs w:val="22"/>
          <w:lang w:val="en-GB"/>
        </w:rPr>
        <w:t xml:space="preserve">only be imposed when other types of measures are not sufficient to guarantee the purposes described above. </w:t>
      </w:r>
    </w:p>
    <w:p w14:paraId="6A19DA6F" w14:textId="26548F01" w:rsidR="00B8189A" w:rsidRPr="0047168A" w:rsidRDefault="00B8189A" w:rsidP="00B8189A">
      <w:pPr>
        <w:jc w:val="both"/>
        <w:rPr>
          <w:rFonts w:cs="Times New Roman"/>
          <w:sz w:val="22"/>
          <w:szCs w:val="22"/>
          <w:lang w:val="en-US"/>
        </w:rPr>
      </w:pPr>
      <w:r w:rsidRPr="0047168A">
        <w:rPr>
          <w:rFonts w:cs="Times New Roman"/>
          <w:sz w:val="22"/>
          <w:szCs w:val="22"/>
          <w:lang w:val="en-US"/>
        </w:rPr>
        <w:lastRenderedPageBreak/>
        <w:t xml:space="preserve">International human rights law </w:t>
      </w:r>
      <w:r w:rsidR="00D664BE" w:rsidRPr="0047168A">
        <w:rPr>
          <w:rFonts w:cs="Times New Roman"/>
          <w:sz w:val="22"/>
          <w:szCs w:val="22"/>
          <w:lang w:val="en-US"/>
        </w:rPr>
        <w:t xml:space="preserve">also </w:t>
      </w:r>
      <w:r w:rsidRPr="0047168A">
        <w:rPr>
          <w:rFonts w:cs="Times New Roman"/>
          <w:sz w:val="22"/>
          <w:szCs w:val="22"/>
          <w:lang w:val="en-US"/>
        </w:rPr>
        <w:t>prescribes that pre-trial detention should be used as a measure of last resort when strictly necessary, and it should not be mandatory, but rather follow an individualised assessment.</w:t>
      </w:r>
      <w:r w:rsidRPr="00B8189A">
        <w:rPr>
          <w:rStyle w:val="FootnoteReference"/>
          <w:rFonts w:cs="Times New Roman"/>
          <w:sz w:val="22"/>
          <w:szCs w:val="22"/>
        </w:rPr>
        <w:footnoteReference w:id="71"/>
      </w:r>
      <w:r w:rsidRPr="0047168A">
        <w:rPr>
          <w:rFonts w:cs="Times New Roman"/>
          <w:sz w:val="22"/>
          <w:szCs w:val="22"/>
          <w:lang w:val="en-US"/>
        </w:rPr>
        <w:t xml:space="preserve"> </w:t>
      </w:r>
    </w:p>
    <w:p w14:paraId="62237A93" w14:textId="6E3E4FA8" w:rsidR="00B8189A" w:rsidRPr="0047168A" w:rsidRDefault="00B8189A" w:rsidP="00D664BE">
      <w:pPr>
        <w:jc w:val="both"/>
        <w:rPr>
          <w:rFonts w:cs="Times New Roman"/>
          <w:sz w:val="22"/>
          <w:szCs w:val="22"/>
          <w:lang w:val="en-US"/>
        </w:rPr>
      </w:pPr>
      <w:r w:rsidRPr="0047168A">
        <w:rPr>
          <w:rFonts w:cs="Times New Roman"/>
          <w:sz w:val="22"/>
          <w:szCs w:val="22"/>
          <w:lang w:val="en-US"/>
        </w:rPr>
        <w:t>The International Guidelines on Human Rights and Drug Policy encourage States to “Ensure that pre-trial detention is never mandatory for drug-related charges and is imposed only in exceptional circumstances where such detention is deemed reasonable, necessary, and proportional.”</w:t>
      </w:r>
      <w:r w:rsidRPr="00B8189A">
        <w:rPr>
          <w:rStyle w:val="FootnoteReference"/>
          <w:rFonts w:cs="Times New Roman"/>
          <w:sz w:val="22"/>
          <w:szCs w:val="22"/>
        </w:rPr>
        <w:footnoteReference w:id="72"/>
      </w:r>
    </w:p>
    <w:p w14:paraId="7D34A408" w14:textId="77777777" w:rsidR="00B8189A" w:rsidRDefault="00B8189A" w:rsidP="00C72434">
      <w:pPr>
        <w:spacing w:line="240" w:lineRule="auto"/>
        <w:jc w:val="both"/>
        <w:rPr>
          <w:rFonts w:cs="Arial"/>
          <w:i/>
          <w:color w:val="auto"/>
          <w:sz w:val="22"/>
          <w:szCs w:val="22"/>
          <w:lang w:val="en-GB"/>
        </w:rPr>
      </w:pPr>
    </w:p>
    <w:p w14:paraId="57CC206C" w14:textId="28D48D12" w:rsidR="00F0206D" w:rsidRPr="0047168A" w:rsidRDefault="00F0206D" w:rsidP="00C72434">
      <w:pPr>
        <w:spacing w:line="240" w:lineRule="auto"/>
        <w:jc w:val="both"/>
        <w:rPr>
          <w:rFonts w:cs="Arial"/>
          <w:i/>
          <w:color w:val="auto"/>
          <w:sz w:val="22"/>
          <w:szCs w:val="22"/>
          <w:lang w:val="en-GB"/>
        </w:rPr>
      </w:pPr>
      <w:r w:rsidRPr="0047168A">
        <w:rPr>
          <w:rFonts w:cs="Arial"/>
          <w:i/>
          <w:color w:val="auto"/>
          <w:sz w:val="22"/>
          <w:szCs w:val="22"/>
          <w:lang w:val="en-GB"/>
        </w:rPr>
        <w:t>6.2. Pretrial detention for drug offences in Mexico</w:t>
      </w:r>
    </w:p>
    <w:p w14:paraId="161694D3" w14:textId="7CC0A5C7" w:rsidR="00B8189A" w:rsidRDefault="00B8189A" w:rsidP="00B8189A">
      <w:pPr>
        <w:spacing w:line="240" w:lineRule="auto"/>
        <w:jc w:val="both"/>
        <w:rPr>
          <w:rFonts w:cs="Calibri"/>
          <w:bCs/>
          <w:sz w:val="22"/>
          <w:szCs w:val="22"/>
          <w:lang w:val="en-GB"/>
        </w:rPr>
      </w:pPr>
      <w:r>
        <w:rPr>
          <w:rFonts w:cs="Arial"/>
          <w:color w:val="auto"/>
          <w:sz w:val="22"/>
          <w:szCs w:val="22"/>
          <w:lang w:val="en-GB"/>
        </w:rPr>
        <w:t>In violation of the above-mentioned standards,</w:t>
      </w:r>
      <w:r w:rsidRPr="00EB10F9">
        <w:rPr>
          <w:rFonts w:cs="Arial"/>
          <w:color w:val="auto"/>
          <w:sz w:val="22"/>
          <w:szCs w:val="22"/>
          <w:lang w:val="en-GB"/>
        </w:rPr>
        <w:t xml:space="preserve"> the Mexican Constitution establishes a </w:t>
      </w:r>
      <w:r w:rsidR="00D664BE">
        <w:rPr>
          <w:rFonts w:cs="Arial"/>
          <w:color w:val="auto"/>
          <w:sz w:val="22"/>
          <w:szCs w:val="22"/>
          <w:lang w:val="en-GB"/>
        </w:rPr>
        <w:t>list</w:t>
      </w:r>
      <w:r w:rsidRPr="00EB10F9">
        <w:rPr>
          <w:rFonts w:cs="Arial"/>
          <w:color w:val="auto"/>
          <w:sz w:val="22"/>
          <w:szCs w:val="22"/>
          <w:lang w:val="en-GB"/>
        </w:rPr>
        <w:t xml:space="preserve"> of criminal offenses </w:t>
      </w:r>
      <w:r>
        <w:rPr>
          <w:rFonts w:cs="Arial"/>
          <w:color w:val="auto"/>
          <w:sz w:val="22"/>
          <w:szCs w:val="22"/>
          <w:lang w:val="en-GB"/>
        </w:rPr>
        <w:t>for which</w:t>
      </w:r>
      <w:r w:rsidRPr="00EB10F9">
        <w:rPr>
          <w:rFonts w:cs="Arial"/>
          <w:color w:val="auto"/>
          <w:sz w:val="22"/>
          <w:szCs w:val="22"/>
          <w:lang w:val="en-GB"/>
        </w:rPr>
        <w:t xml:space="preserve"> judges must impose </w:t>
      </w:r>
      <w:r w:rsidRPr="00B8189A">
        <w:rPr>
          <w:rFonts w:cs="Arial"/>
          <w:color w:val="auto"/>
          <w:sz w:val="22"/>
          <w:szCs w:val="22"/>
          <w:lang w:val="en-US"/>
        </w:rPr>
        <w:t>pretrial detention automatically.</w:t>
      </w:r>
      <w:r>
        <w:rPr>
          <w:rFonts w:cs="Arial"/>
          <w:color w:val="auto"/>
          <w:sz w:val="22"/>
          <w:szCs w:val="22"/>
          <w:lang w:val="en-GB"/>
        </w:rPr>
        <w:t xml:space="preserve"> Among them </w:t>
      </w:r>
      <w:r w:rsidR="006C46AB" w:rsidRPr="0047168A">
        <w:rPr>
          <w:rFonts w:cs="Arial"/>
          <w:color w:val="auto"/>
          <w:sz w:val="22"/>
          <w:szCs w:val="22"/>
          <w:lang w:val="en-GB"/>
        </w:rPr>
        <w:t>a</w:t>
      </w:r>
      <w:r w:rsidR="00892183" w:rsidRPr="0047168A">
        <w:rPr>
          <w:rFonts w:cs="Arial"/>
          <w:color w:val="auto"/>
          <w:sz w:val="22"/>
          <w:szCs w:val="22"/>
          <w:lang w:val="en-GB"/>
        </w:rPr>
        <w:t>re drug-related crimes.</w:t>
      </w:r>
      <w:r w:rsidR="00892183" w:rsidRPr="0047168A">
        <w:rPr>
          <w:rFonts w:cs="Calibri"/>
          <w:bCs/>
          <w:sz w:val="22"/>
          <w:szCs w:val="22"/>
          <w:lang w:val="en-GB"/>
        </w:rPr>
        <w:t xml:space="preserve"> </w:t>
      </w:r>
    </w:p>
    <w:p w14:paraId="74EBAB56" w14:textId="0C77D982" w:rsidR="00892183" w:rsidRPr="0047168A" w:rsidRDefault="00892183" w:rsidP="00B8189A">
      <w:pPr>
        <w:spacing w:line="240" w:lineRule="auto"/>
        <w:jc w:val="both"/>
        <w:rPr>
          <w:rFonts w:cs="Calibri"/>
          <w:bCs/>
          <w:sz w:val="22"/>
          <w:szCs w:val="22"/>
          <w:lang w:val="en-GB"/>
        </w:rPr>
      </w:pPr>
      <w:r w:rsidRPr="00A20CE4">
        <w:rPr>
          <w:rFonts w:cs="Calibri"/>
          <w:bCs/>
          <w:sz w:val="22"/>
          <w:szCs w:val="22"/>
          <w:lang w:val="en-GB"/>
        </w:rPr>
        <w:t xml:space="preserve">The so-called “Small trafficking law”, introduced in 2009 as part of President Calderon’s </w:t>
      </w:r>
      <w:r w:rsidR="00B8189A">
        <w:rPr>
          <w:rFonts w:cs="Calibri"/>
          <w:bCs/>
          <w:sz w:val="22"/>
          <w:szCs w:val="22"/>
          <w:lang w:val="en-GB"/>
        </w:rPr>
        <w:t>crackdown on</w:t>
      </w:r>
      <w:r w:rsidR="00B8189A" w:rsidRPr="00A20CE4">
        <w:rPr>
          <w:rFonts w:cs="Calibri"/>
          <w:bCs/>
          <w:sz w:val="22"/>
          <w:szCs w:val="22"/>
          <w:lang w:val="en-GB"/>
        </w:rPr>
        <w:t xml:space="preserve"> </w:t>
      </w:r>
      <w:r w:rsidRPr="00A20CE4">
        <w:rPr>
          <w:rFonts w:cs="Calibri"/>
          <w:bCs/>
          <w:sz w:val="22"/>
          <w:szCs w:val="22"/>
          <w:lang w:val="en-GB"/>
        </w:rPr>
        <w:t>drug</w:t>
      </w:r>
      <w:r w:rsidR="00B8189A">
        <w:rPr>
          <w:rFonts w:cs="Calibri"/>
          <w:bCs/>
          <w:sz w:val="22"/>
          <w:szCs w:val="22"/>
          <w:lang w:val="en-GB"/>
        </w:rPr>
        <w:t>s</w:t>
      </w:r>
      <w:r w:rsidRPr="00A20CE4">
        <w:rPr>
          <w:rFonts w:cs="Calibri"/>
          <w:bCs/>
          <w:sz w:val="22"/>
          <w:szCs w:val="22"/>
          <w:lang w:val="en-GB"/>
        </w:rPr>
        <w:t xml:space="preserve"> </w:t>
      </w:r>
      <w:r w:rsidRPr="0047168A">
        <w:rPr>
          <w:rFonts w:cs="Calibri"/>
          <w:bCs/>
          <w:sz w:val="22"/>
          <w:szCs w:val="22"/>
          <w:lang w:val="en-GB"/>
        </w:rPr>
        <w:t>created a category called “crimes against health” that includes a broad range of offences relating to drugs (</w:t>
      </w:r>
      <w:r w:rsidR="00B8189A">
        <w:rPr>
          <w:rFonts w:cs="Calibri"/>
          <w:bCs/>
          <w:sz w:val="22"/>
          <w:szCs w:val="22"/>
          <w:lang w:val="en-GB"/>
        </w:rPr>
        <w:t>such</w:t>
      </w:r>
      <w:r w:rsidR="00B8189A" w:rsidRPr="0047168A">
        <w:rPr>
          <w:rFonts w:cs="Calibri"/>
          <w:bCs/>
          <w:sz w:val="22"/>
          <w:szCs w:val="22"/>
          <w:lang w:val="en-GB"/>
        </w:rPr>
        <w:t xml:space="preserve"> </w:t>
      </w:r>
      <w:r w:rsidR="00D664BE">
        <w:rPr>
          <w:rFonts w:cs="Calibri"/>
          <w:bCs/>
          <w:sz w:val="22"/>
          <w:szCs w:val="22"/>
          <w:lang w:val="en-GB"/>
        </w:rPr>
        <w:t xml:space="preserve">as </w:t>
      </w:r>
      <w:r w:rsidRPr="0047168A">
        <w:rPr>
          <w:rFonts w:cs="Calibri"/>
          <w:bCs/>
          <w:sz w:val="22"/>
          <w:szCs w:val="22"/>
          <w:lang w:val="en-GB"/>
        </w:rPr>
        <w:t>cultivation, processing, transportation, sale or supply, purchase, possession, or consumption).</w:t>
      </w:r>
      <w:r w:rsidR="0062576A">
        <w:rPr>
          <w:rFonts w:cs="Calibri"/>
          <w:bCs/>
          <w:sz w:val="22"/>
          <w:szCs w:val="22"/>
          <w:lang w:val="en-GB"/>
        </w:rPr>
        <w:t xml:space="preserve"> </w:t>
      </w:r>
    </w:p>
    <w:p w14:paraId="1018FE54" w14:textId="75F3A864" w:rsidR="006C46AB" w:rsidRPr="0047168A" w:rsidRDefault="00B8189A" w:rsidP="00C72434">
      <w:pPr>
        <w:spacing w:line="240" w:lineRule="auto"/>
        <w:jc w:val="both"/>
        <w:rPr>
          <w:rFonts w:cs="Arial"/>
          <w:color w:val="auto"/>
          <w:sz w:val="22"/>
          <w:szCs w:val="22"/>
          <w:lang w:val="en-GB"/>
        </w:rPr>
      </w:pPr>
      <w:r>
        <w:rPr>
          <w:rFonts w:cs="Arial"/>
          <w:sz w:val="22"/>
          <w:szCs w:val="22"/>
          <w:lang w:val="en-GB"/>
        </w:rPr>
        <w:t>Under the Constitution, p</w:t>
      </w:r>
      <w:r w:rsidR="00892183" w:rsidRPr="0047168A">
        <w:rPr>
          <w:rFonts w:cs="Arial"/>
          <w:sz w:val="22"/>
          <w:szCs w:val="22"/>
          <w:lang w:val="en-GB"/>
        </w:rPr>
        <w:t>re</w:t>
      </w:r>
      <w:r w:rsidR="00D43199" w:rsidRPr="0047168A">
        <w:rPr>
          <w:rFonts w:cs="Arial"/>
          <w:sz w:val="22"/>
          <w:szCs w:val="22"/>
          <w:lang w:val="en-GB"/>
        </w:rPr>
        <w:t xml:space="preserve">trial detention </w:t>
      </w:r>
      <w:r w:rsidR="00892183" w:rsidRPr="0047168A">
        <w:rPr>
          <w:rFonts w:cs="Arial"/>
          <w:sz w:val="22"/>
          <w:szCs w:val="22"/>
          <w:lang w:val="en-GB"/>
        </w:rPr>
        <w:t xml:space="preserve">is </w:t>
      </w:r>
      <w:r w:rsidR="00D43199" w:rsidRPr="0047168A">
        <w:rPr>
          <w:rFonts w:cs="Arial"/>
          <w:sz w:val="22"/>
          <w:szCs w:val="22"/>
          <w:lang w:val="en-GB"/>
        </w:rPr>
        <w:t>mandatory for</w:t>
      </w:r>
      <w:r>
        <w:rPr>
          <w:rFonts w:cs="Arial"/>
          <w:sz w:val="22"/>
          <w:szCs w:val="22"/>
          <w:lang w:val="en-GB"/>
        </w:rPr>
        <w:t xml:space="preserve"> all</w:t>
      </w:r>
      <w:r w:rsidR="00D43199" w:rsidRPr="0047168A">
        <w:rPr>
          <w:rFonts w:cs="Arial"/>
          <w:sz w:val="22"/>
          <w:szCs w:val="22"/>
          <w:lang w:val="en-GB"/>
        </w:rPr>
        <w:t xml:space="preserve"> drug-related </w:t>
      </w:r>
      <w:r w:rsidR="00892183" w:rsidRPr="0047168A">
        <w:rPr>
          <w:rFonts w:cs="Arial"/>
          <w:sz w:val="22"/>
          <w:szCs w:val="22"/>
          <w:lang w:val="en-GB"/>
        </w:rPr>
        <w:t>crimes</w:t>
      </w:r>
      <w:r w:rsidR="00095785">
        <w:rPr>
          <w:rFonts w:cs="Arial"/>
          <w:sz w:val="22"/>
          <w:szCs w:val="22"/>
          <w:lang w:val="en-GB"/>
        </w:rPr>
        <w:t>, including those related to small trafficking law (</w:t>
      </w:r>
      <w:r w:rsidR="00892183" w:rsidRPr="0047168A">
        <w:rPr>
          <w:rFonts w:cs="Arial"/>
          <w:sz w:val="22"/>
          <w:szCs w:val="22"/>
          <w:lang w:val="en-GB"/>
        </w:rPr>
        <w:t xml:space="preserve">except </w:t>
      </w:r>
      <w:r w:rsidR="00892183" w:rsidRPr="0047168A">
        <w:rPr>
          <w:rFonts w:cs="Arial"/>
          <w:color w:val="auto"/>
          <w:sz w:val="22"/>
          <w:szCs w:val="22"/>
          <w:lang w:val="en-GB"/>
        </w:rPr>
        <w:t xml:space="preserve">possession for </w:t>
      </w:r>
      <w:r w:rsidR="00A32A43">
        <w:rPr>
          <w:rFonts w:cs="Arial"/>
          <w:color w:val="auto"/>
          <w:sz w:val="22"/>
          <w:szCs w:val="22"/>
          <w:lang w:val="en-GB"/>
        </w:rPr>
        <w:t>personal use</w:t>
      </w:r>
      <w:r w:rsidR="00095785">
        <w:rPr>
          <w:rFonts w:cs="Arial"/>
          <w:color w:val="auto"/>
          <w:sz w:val="22"/>
          <w:szCs w:val="22"/>
          <w:lang w:val="en-GB"/>
        </w:rPr>
        <w:t>)</w:t>
      </w:r>
      <w:r w:rsidR="00892183" w:rsidRPr="0047168A">
        <w:rPr>
          <w:rFonts w:cs="Arial"/>
          <w:color w:val="auto"/>
          <w:sz w:val="22"/>
          <w:szCs w:val="22"/>
          <w:lang w:val="en-GB"/>
        </w:rPr>
        <w:t xml:space="preserve">. </w:t>
      </w:r>
      <w:r w:rsidR="006C46AB" w:rsidRPr="0047168A">
        <w:rPr>
          <w:rFonts w:cs="Arial"/>
          <w:color w:val="auto"/>
          <w:sz w:val="22"/>
          <w:szCs w:val="22"/>
          <w:lang w:val="en-GB"/>
        </w:rPr>
        <w:t>Th</w:t>
      </w:r>
      <w:r>
        <w:rPr>
          <w:rFonts w:cs="Arial"/>
          <w:color w:val="auto"/>
          <w:sz w:val="22"/>
          <w:szCs w:val="22"/>
          <w:lang w:val="en-GB"/>
        </w:rPr>
        <w:t>is leads to the systematic mandatory – thus absent an individualised assessment - detention of people who may be innocent. M</w:t>
      </w:r>
      <w:r w:rsidR="006C46AB" w:rsidRPr="0047168A">
        <w:rPr>
          <w:rFonts w:cs="Arial"/>
          <w:color w:val="auto"/>
          <w:sz w:val="22"/>
          <w:szCs w:val="22"/>
          <w:lang w:val="en-GB"/>
        </w:rPr>
        <w:t>ost worrying</w:t>
      </w:r>
      <w:r>
        <w:rPr>
          <w:rFonts w:cs="Arial"/>
          <w:color w:val="auto"/>
          <w:sz w:val="22"/>
          <w:szCs w:val="22"/>
          <w:lang w:val="en-GB"/>
        </w:rPr>
        <w:t>ly,</w:t>
      </w:r>
      <w:r w:rsidR="006C46AB" w:rsidRPr="0047168A">
        <w:rPr>
          <w:rFonts w:cs="Arial"/>
          <w:color w:val="auto"/>
          <w:sz w:val="22"/>
          <w:szCs w:val="22"/>
          <w:lang w:val="en-GB"/>
        </w:rPr>
        <w:t xml:space="preserve"> </w:t>
      </w:r>
      <w:r>
        <w:rPr>
          <w:rFonts w:cs="Arial"/>
          <w:color w:val="auto"/>
          <w:sz w:val="22"/>
          <w:szCs w:val="22"/>
          <w:lang w:val="en-GB"/>
        </w:rPr>
        <w:t>a disproportionate number of</w:t>
      </w:r>
      <w:r w:rsidR="006C46AB" w:rsidRPr="0047168A">
        <w:rPr>
          <w:rFonts w:cs="Arial"/>
          <w:color w:val="auto"/>
          <w:sz w:val="22"/>
          <w:szCs w:val="22"/>
          <w:lang w:val="en-GB"/>
        </w:rPr>
        <w:t xml:space="preserve"> people  imprisoned for drug offenses</w:t>
      </w:r>
      <w:r>
        <w:rPr>
          <w:rFonts w:cs="Arial"/>
          <w:color w:val="auto"/>
          <w:sz w:val="22"/>
          <w:szCs w:val="22"/>
          <w:lang w:val="en-GB"/>
        </w:rPr>
        <w:t xml:space="preserve"> in Mexico</w:t>
      </w:r>
      <w:r w:rsidR="006C46AB" w:rsidRPr="0047168A">
        <w:rPr>
          <w:rFonts w:cs="Arial"/>
          <w:color w:val="auto"/>
          <w:sz w:val="22"/>
          <w:szCs w:val="22"/>
          <w:lang w:val="en-GB"/>
        </w:rPr>
        <w:t xml:space="preserve"> belong to the lowest l</w:t>
      </w:r>
      <w:r>
        <w:rPr>
          <w:rFonts w:cs="Arial"/>
          <w:color w:val="auto"/>
          <w:sz w:val="22"/>
          <w:szCs w:val="22"/>
          <w:lang w:val="en-GB"/>
        </w:rPr>
        <w:t>evels</w:t>
      </w:r>
      <w:r w:rsidR="006C46AB" w:rsidRPr="0047168A">
        <w:rPr>
          <w:rFonts w:cs="Arial"/>
          <w:color w:val="auto"/>
          <w:sz w:val="22"/>
          <w:szCs w:val="22"/>
          <w:lang w:val="en-GB"/>
        </w:rPr>
        <w:t xml:space="preserve"> </w:t>
      </w:r>
      <w:r>
        <w:rPr>
          <w:rFonts w:cs="Arial"/>
          <w:color w:val="auto"/>
          <w:sz w:val="22"/>
          <w:szCs w:val="22"/>
          <w:lang w:val="en-GB"/>
        </w:rPr>
        <w:t xml:space="preserve">of the drug market, </w:t>
      </w:r>
      <w:r w:rsidR="006C46AB" w:rsidRPr="0047168A">
        <w:rPr>
          <w:rFonts w:cs="Arial"/>
          <w:color w:val="auto"/>
          <w:sz w:val="22"/>
          <w:szCs w:val="22"/>
          <w:lang w:val="en-GB"/>
        </w:rPr>
        <w:t xml:space="preserve">are usually </w:t>
      </w:r>
      <w:r>
        <w:rPr>
          <w:rFonts w:cs="Arial"/>
          <w:color w:val="auto"/>
          <w:sz w:val="22"/>
          <w:szCs w:val="22"/>
          <w:lang w:val="en-GB"/>
        </w:rPr>
        <w:t>in a position of poverty or financial need, and were not rarely</w:t>
      </w:r>
      <w:r w:rsidR="00D664BE">
        <w:rPr>
          <w:rFonts w:cs="Arial"/>
          <w:color w:val="auto"/>
          <w:sz w:val="22"/>
          <w:szCs w:val="22"/>
          <w:lang w:val="en-GB"/>
        </w:rPr>
        <w:t xml:space="preserve"> </w:t>
      </w:r>
      <w:r w:rsidR="006C46AB" w:rsidRPr="0047168A">
        <w:rPr>
          <w:rFonts w:cs="Arial"/>
          <w:color w:val="auto"/>
          <w:sz w:val="22"/>
          <w:szCs w:val="22"/>
          <w:lang w:val="en-GB"/>
        </w:rPr>
        <w:t>forced to participate in this illegal market.</w:t>
      </w:r>
    </w:p>
    <w:p w14:paraId="2846322C" w14:textId="52D5113E" w:rsidR="00734282" w:rsidRPr="0047168A" w:rsidRDefault="00734282" w:rsidP="00734282">
      <w:pPr>
        <w:spacing w:line="240" w:lineRule="auto"/>
        <w:jc w:val="both"/>
        <w:rPr>
          <w:rFonts w:cs="Arial"/>
          <w:color w:val="auto"/>
          <w:sz w:val="22"/>
          <w:szCs w:val="22"/>
          <w:lang w:val="en-GB"/>
        </w:rPr>
      </w:pPr>
      <w:r w:rsidRPr="0047168A">
        <w:rPr>
          <w:rFonts w:cs="Arial"/>
          <w:color w:val="auto"/>
          <w:sz w:val="22"/>
          <w:szCs w:val="22"/>
          <w:lang w:val="en-GB"/>
        </w:rPr>
        <w:t xml:space="preserve">Pretrial detention has </w:t>
      </w:r>
      <w:r w:rsidR="0062576A">
        <w:rPr>
          <w:rFonts w:cs="Arial"/>
          <w:color w:val="auto"/>
          <w:sz w:val="22"/>
          <w:szCs w:val="22"/>
          <w:lang w:val="en-GB"/>
        </w:rPr>
        <w:t xml:space="preserve">a significant </w:t>
      </w:r>
      <w:r w:rsidRPr="0047168A">
        <w:rPr>
          <w:rFonts w:cs="Arial"/>
          <w:color w:val="auto"/>
          <w:sz w:val="22"/>
          <w:szCs w:val="22"/>
          <w:lang w:val="en-GB"/>
        </w:rPr>
        <w:t xml:space="preserve">impact on </w:t>
      </w:r>
      <w:r w:rsidR="0062576A">
        <w:rPr>
          <w:rFonts w:cs="Arial"/>
          <w:color w:val="auto"/>
          <w:sz w:val="22"/>
          <w:szCs w:val="22"/>
          <w:lang w:val="en-GB"/>
        </w:rPr>
        <w:t xml:space="preserve">the </w:t>
      </w:r>
      <w:r w:rsidRPr="0047168A">
        <w:rPr>
          <w:rFonts w:cs="Arial"/>
          <w:color w:val="auto"/>
          <w:sz w:val="22"/>
          <w:szCs w:val="22"/>
          <w:lang w:val="en-GB"/>
        </w:rPr>
        <w:t xml:space="preserve">Mexican prison system. </w:t>
      </w:r>
      <w:r w:rsidR="00B8189A">
        <w:rPr>
          <w:rFonts w:cs="Arial"/>
          <w:color w:val="auto"/>
          <w:sz w:val="22"/>
          <w:szCs w:val="22"/>
          <w:lang w:val="en-GB"/>
        </w:rPr>
        <w:t>the country</w:t>
      </w:r>
      <w:r w:rsidRPr="0047168A">
        <w:rPr>
          <w:rFonts w:cs="Arial"/>
          <w:color w:val="auto"/>
          <w:sz w:val="22"/>
          <w:szCs w:val="22"/>
          <w:lang w:val="en-GB"/>
        </w:rPr>
        <w:t xml:space="preserve"> has a total prison population of, approximately, 204,422 people </w:t>
      </w:r>
      <w:r w:rsidR="00B8189A">
        <w:rPr>
          <w:rFonts w:cs="Arial"/>
          <w:color w:val="auto"/>
          <w:sz w:val="22"/>
          <w:szCs w:val="22"/>
          <w:lang w:val="en-GB"/>
        </w:rPr>
        <w:t xml:space="preserve">(corresponding to </w:t>
      </w:r>
      <w:r w:rsidRPr="0047168A">
        <w:rPr>
          <w:rFonts w:cs="Arial"/>
          <w:color w:val="auto"/>
          <w:sz w:val="22"/>
          <w:szCs w:val="22"/>
          <w:lang w:val="en-GB"/>
        </w:rPr>
        <w:t>a rate of 164 per 100,000 habitants</w:t>
      </w:r>
      <w:r w:rsidR="0062576A">
        <w:rPr>
          <w:rFonts w:cs="Arial"/>
          <w:color w:val="auto"/>
          <w:sz w:val="22"/>
          <w:szCs w:val="22"/>
          <w:lang w:val="en-GB"/>
        </w:rPr>
        <w:t>);</w:t>
      </w:r>
      <w:r w:rsidRPr="0047168A">
        <w:rPr>
          <w:rFonts w:cs="Arial"/>
          <w:color w:val="auto"/>
          <w:sz w:val="22"/>
          <w:szCs w:val="22"/>
          <w:lang w:val="en-GB"/>
        </w:rPr>
        <w:t xml:space="preserve"> 94.8% </w:t>
      </w:r>
      <w:r w:rsidR="00B8189A">
        <w:rPr>
          <w:rFonts w:cs="Arial"/>
          <w:color w:val="auto"/>
          <w:sz w:val="22"/>
          <w:szCs w:val="22"/>
          <w:lang w:val="en-GB"/>
        </w:rPr>
        <w:t xml:space="preserve">of prisoners </w:t>
      </w:r>
      <w:r w:rsidRPr="0047168A">
        <w:rPr>
          <w:rFonts w:cs="Arial"/>
          <w:color w:val="auto"/>
          <w:sz w:val="22"/>
          <w:szCs w:val="22"/>
          <w:lang w:val="en-GB"/>
        </w:rPr>
        <w:t xml:space="preserve">are male and 5.2%, female. </w:t>
      </w:r>
    </w:p>
    <w:p w14:paraId="27FF95AE" w14:textId="137833F3" w:rsidR="00734282" w:rsidRPr="0047168A" w:rsidRDefault="00734282" w:rsidP="00734282">
      <w:pPr>
        <w:spacing w:line="240" w:lineRule="auto"/>
        <w:jc w:val="both"/>
        <w:rPr>
          <w:rFonts w:cs="Arial"/>
          <w:color w:val="auto"/>
          <w:sz w:val="22"/>
          <w:szCs w:val="22"/>
          <w:lang w:val="en-GB"/>
        </w:rPr>
      </w:pPr>
      <w:r w:rsidRPr="0047168A">
        <w:rPr>
          <w:rFonts w:cs="Arial"/>
          <w:color w:val="auto"/>
          <w:sz w:val="22"/>
          <w:szCs w:val="22"/>
          <w:lang w:val="en-GB"/>
        </w:rPr>
        <w:t>39.2% of the total prison population in Mexico are pre-trial detainees.</w:t>
      </w:r>
      <w:r w:rsidRPr="0047168A">
        <w:rPr>
          <w:rStyle w:val="FootnoteReference"/>
          <w:rFonts w:cs="Arial"/>
          <w:color w:val="auto"/>
          <w:sz w:val="22"/>
          <w:szCs w:val="22"/>
          <w:lang w:val="en-GB"/>
        </w:rPr>
        <w:footnoteReference w:id="73"/>
      </w:r>
      <w:r w:rsidRPr="0047168A">
        <w:rPr>
          <w:rFonts w:cs="Arial"/>
          <w:color w:val="auto"/>
          <w:sz w:val="22"/>
          <w:szCs w:val="22"/>
          <w:lang w:val="en-GB"/>
        </w:rPr>
        <w:t xml:space="preserve"> As the cha</w:t>
      </w:r>
      <w:r w:rsidR="00FE5B1C">
        <w:rPr>
          <w:rFonts w:cs="Arial"/>
          <w:color w:val="auto"/>
          <w:sz w:val="22"/>
          <w:szCs w:val="22"/>
          <w:lang w:val="en-GB"/>
        </w:rPr>
        <w:t>rt</w:t>
      </w:r>
      <w:r w:rsidRPr="0047168A">
        <w:rPr>
          <w:rFonts w:cs="Arial"/>
          <w:color w:val="auto"/>
          <w:sz w:val="22"/>
          <w:szCs w:val="22"/>
          <w:lang w:val="en-GB"/>
        </w:rPr>
        <w:t xml:space="preserve"> shows, this trend has been steady during the last few years.</w:t>
      </w:r>
      <w:r w:rsidRPr="0047168A">
        <w:rPr>
          <w:rStyle w:val="FootnoteReference"/>
          <w:rFonts w:cs="Arial"/>
          <w:color w:val="auto"/>
          <w:sz w:val="22"/>
          <w:szCs w:val="22"/>
          <w:lang w:val="en-GB"/>
        </w:rPr>
        <w:footnoteReference w:id="74"/>
      </w:r>
    </w:p>
    <w:p w14:paraId="131E09EF" w14:textId="77777777" w:rsidR="00734282" w:rsidRPr="0047168A" w:rsidRDefault="00734282" w:rsidP="00734282">
      <w:pPr>
        <w:spacing w:line="240" w:lineRule="auto"/>
        <w:jc w:val="center"/>
        <w:rPr>
          <w:rFonts w:cs="Arial"/>
          <w:color w:val="auto"/>
          <w:sz w:val="22"/>
          <w:szCs w:val="22"/>
          <w:lang w:val="en-GB"/>
        </w:rPr>
      </w:pPr>
      <w:r w:rsidRPr="0047168A">
        <w:rPr>
          <w:rFonts w:cs="Arial"/>
          <w:noProof/>
          <w:color w:val="auto"/>
          <w:sz w:val="22"/>
          <w:szCs w:val="22"/>
          <w:lang w:val="en-US" w:eastAsia="en-US"/>
        </w:rPr>
        <w:lastRenderedPageBreak/>
        <w:drawing>
          <wp:inline distT="0" distB="0" distL="0" distR="0" wp14:anchorId="2C0F6EB5" wp14:editId="6716D404">
            <wp:extent cx="3699299" cy="1488804"/>
            <wp:effectExtent l="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99299" cy="1488804"/>
                    </a:xfrm>
                    <a:prstGeom prst="rect">
                      <a:avLst/>
                    </a:prstGeom>
                    <a:noFill/>
                  </pic:spPr>
                </pic:pic>
              </a:graphicData>
            </a:graphic>
          </wp:inline>
        </w:drawing>
      </w:r>
    </w:p>
    <w:p w14:paraId="026FC183" w14:textId="77777777" w:rsidR="00734282" w:rsidRPr="0047168A" w:rsidRDefault="00734282" w:rsidP="00734282">
      <w:pPr>
        <w:spacing w:line="240" w:lineRule="auto"/>
        <w:jc w:val="right"/>
        <w:rPr>
          <w:rFonts w:cs="Arial"/>
          <w:color w:val="auto"/>
          <w:sz w:val="12"/>
          <w:szCs w:val="22"/>
          <w:lang w:val="en-GB"/>
        </w:rPr>
      </w:pPr>
      <w:r w:rsidRPr="0047168A">
        <w:rPr>
          <w:rFonts w:cs="Arial"/>
          <w:color w:val="auto"/>
          <w:sz w:val="12"/>
          <w:szCs w:val="22"/>
          <w:lang w:val="en-GB"/>
        </w:rPr>
        <w:t xml:space="preserve">Based on </w:t>
      </w:r>
      <w:r w:rsidRPr="0047168A">
        <w:rPr>
          <w:sz w:val="12"/>
          <w:szCs w:val="22"/>
          <w:lang w:val="en-GB"/>
        </w:rPr>
        <w:t>World Prison Brief, March 2018.</w:t>
      </w:r>
    </w:p>
    <w:p w14:paraId="145F6E19" w14:textId="286163FE" w:rsidR="00734282" w:rsidRPr="0047168A" w:rsidRDefault="00734282" w:rsidP="00734282">
      <w:pPr>
        <w:spacing w:line="240" w:lineRule="auto"/>
        <w:jc w:val="both"/>
        <w:rPr>
          <w:rFonts w:cs="Arial"/>
          <w:color w:val="auto"/>
          <w:sz w:val="22"/>
          <w:szCs w:val="22"/>
          <w:lang w:val="en-GB"/>
        </w:rPr>
      </w:pPr>
      <w:r w:rsidRPr="0047168A">
        <w:rPr>
          <w:rFonts w:cs="Arial"/>
          <w:color w:val="auto"/>
          <w:sz w:val="22"/>
          <w:szCs w:val="22"/>
          <w:lang w:val="en-GB"/>
        </w:rPr>
        <w:t xml:space="preserve">Pretrial detention has a direct impact on the occupancy level and </w:t>
      </w:r>
      <w:r w:rsidR="00FE5B1C">
        <w:rPr>
          <w:rFonts w:cs="Arial"/>
          <w:color w:val="auto"/>
          <w:sz w:val="22"/>
          <w:szCs w:val="22"/>
          <w:lang w:val="en-GB"/>
        </w:rPr>
        <w:t>prison overcrowding</w:t>
      </w:r>
      <w:r w:rsidRPr="0047168A">
        <w:rPr>
          <w:rFonts w:cs="Arial"/>
          <w:color w:val="auto"/>
          <w:sz w:val="22"/>
          <w:szCs w:val="22"/>
          <w:lang w:val="en-GB"/>
        </w:rPr>
        <w:t xml:space="preserve">. Overall, </w:t>
      </w:r>
      <w:r w:rsidR="00FE5B1C">
        <w:rPr>
          <w:rFonts w:cs="Arial"/>
          <w:color w:val="auto"/>
          <w:sz w:val="22"/>
          <w:szCs w:val="22"/>
          <w:lang w:val="en-GB"/>
        </w:rPr>
        <w:t xml:space="preserve">the </w:t>
      </w:r>
      <w:r w:rsidRPr="0047168A">
        <w:rPr>
          <w:rFonts w:cs="Arial"/>
          <w:color w:val="auto"/>
          <w:sz w:val="22"/>
          <w:szCs w:val="22"/>
          <w:lang w:val="en-GB"/>
        </w:rPr>
        <w:t xml:space="preserve">Mexican prison system has a 94.4% occupancy level (based on official capacity). </w:t>
      </w:r>
      <w:r w:rsidR="00FE5B1C">
        <w:rPr>
          <w:rFonts w:cs="Arial"/>
          <w:color w:val="auto"/>
          <w:sz w:val="22"/>
          <w:szCs w:val="22"/>
          <w:lang w:val="en-GB"/>
        </w:rPr>
        <w:t xml:space="preserve">However, a different picture emerges when </w:t>
      </w:r>
      <w:r w:rsidR="0062576A" w:rsidRPr="0062576A">
        <w:rPr>
          <w:rFonts w:cs="Arial"/>
          <w:color w:val="auto"/>
          <w:sz w:val="22"/>
          <w:szCs w:val="22"/>
          <w:lang w:val="en-GB"/>
        </w:rPr>
        <w:t>analysing</w:t>
      </w:r>
      <w:r w:rsidRPr="0047168A">
        <w:rPr>
          <w:rFonts w:cs="Arial"/>
          <w:color w:val="auto"/>
          <w:sz w:val="22"/>
          <w:szCs w:val="22"/>
          <w:lang w:val="en-GB"/>
        </w:rPr>
        <w:t xml:space="preserve"> the federal and local level</w:t>
      </w:r>
      <w:r w:rsidR="00FE5B1C">
        <w:rPr>
          <w:rFonts w:cs="Arial"/>
          <w:color w:val="auto"/>
          <w:sz w:val="22"/>
          <w:szCs w:val="22"/>
          <w:lang w:val="en-GB"/>
        </w:rPr>
        <w:t>s separately</w:t>
      </w:r>
      <w:r w:rsidRPr="0047168A">
        <w:rPr>
          <w:rFonts w:cs="Arial"/>
          <w:color w:val="auto"/>
          <w:sz w:val="22"/>
          <w:szCs w:val="22"/>
          <w:lang w:val="en-GB"/>
        </w:rPr>
        <w:t xml:space="preserve">. </w:t>
      </w:r>
      <w:r w:rsidR="00FE5B1C">
        <w:rPr>
          <w:rFonts w:cs="Arial"/>
          <w:color w:val="auto"/>
          <w:sz w:val="22"/>
          <w:szCs w:val="22"/>
          <w:lang w:val="en-GB"/>
        </w:rPr>
        <w:t>I</w:t>
      </w:r>
      <w:r w:rsidRPr="0047168A">
        <w:rPr>
          <w:rFonts w:cs="Arial"/>
          <w:color w:val="auto"/>
          <w:sz w:val="22"/>
          <w:szCs w:val="22"/>
          <w:lang w:val="en-GB"/>
        </w:rPr>
        <w:t>n 2016, the federal prison system was at the 68% of its occupancy level</w:t>
      </w:r>
      <w:r w:rsidR="00FE5B1C">
        <w:rPr>
          <w:rFonts w:cs="Arial"/>
          <w:color w:val="auto"/>
          <w:sz w:val="22"/>
          <w:szCs w:val="22"/>
          <w:lang w:val="en-GB"/>
        </w:rPr>
        <w:t xml:space="preserve">, </w:t>
      </w:r>
      <w:r w:rsidR="0062576A">
        <w:rPr>
          <w:rFonts w:cs="Arial"/>
          <w:color w:val="auto"/>
          <w:sz w:val="22"/>
          <w:szCs w:val="22"/>
          <w:lang w:val="en-GB"/>
        </w:rPr>
        <w:t>while</w:t>
      </w:r>
      <w:r w:rsidRPr="0047168A">
        <w:rPr>
          <w:rFonts w:cs="Arial"/>
          <w:color w:val="auto"/>
          <w:sz w:val="22"/>
          <w:szCs w:val="22"/>
          <w:lang w:val="en-GB"/>
        </w:rPr>
        <w:t xml:space="preserve"> the local prison system was at</w:t>
      </w:r>
      <w:r w:rsidR="0062576A">
        <w:rPr>
          <w:rFonts w:cs="Arial"/>
          <w:color w:val="auto"/>
          <w:sz w:val="22"/>
          <w:szCs w:val="22"/>
          <w:lang w:val="en-GB"/>
        </w:rPr>
        <w:t xml:space="preserve"> </w:t>
      </w:r>
      <w:r w:rsidRPr="0047168A">
        <w:rPr>
          <w:rFonts w:cs="Arial"/>
          <w:color w:val="auto"/>
          <w:sz w:val="22"/>
          <w:szCs w:val="22"/>
          <w:lang w:val="en-GB"/>
        </w:rPr>
        <w:t xml:space="preserve">111% occupancy level. </w:t>
      </w:r>
      <w:r w:rsidR="00FE5B1C">
        <w:rPr>
          <w:rFonts w:cs="Arial"/>
          <w:color w:val="auto"/>
          <w:sz w:val="22"/>
          <w:szCs w:val="22"/>
          <w:lang w:val="en-GB"/>
        </w:rPr>
        <w:t>As a consequence</w:t>
      </w:r>
      <w:r w:rsidRPr="0047168A">
        <w:rPr>
          <w:rFonts w:cs="Arial"/>
          <w:color w:val="auto"/>
          <w:sz w:val="22"/>
          <w:szCs w:val="22"/>
          <w:lang w:val="en-GB"/>
        </w:rPr>
        <w:t xml:space="preserve">, in local prisons the 51% of </w:t>
      </w:r>
      <w:r w:rsidR="00FE5B1C">
        <w:rPr>
          <w:rFonts w:cs="Arial"/>
          <w:color w:val="auto"/>
          <w:sz w:val="22"/>
          <w:szCs w:val="22"/>
          <w:lang w:val="en-GB"/>
        </w:rPr>
        <w:t xml:space="preserve">the </w:t>
      </w:r>
      <w:r w:rsidRPr="0047168A">
        <w:rPr>
          <w:rFonts w:cs="Arial"/>
          <w:color w:val="auto"/>
          <w:sz w:val="22"/>
          <w:szCs w:val="22"/>
          <w:lang w:val="en-GB"/>
        </w:rPr>
        <w:t>population share</w:t>
      </w:r>
      <w:r w:rsidR="00FE5B1C">
        <w:rPr>
          <w:rFonts w:cs="Arial"/>
          <w:color w:val="auto"/>
          <w:sz w:val="22"/>
          <w:szCs w:val="22"/>
          <w:lang w:val="en-GB"/>
        </w:rPr>
        <w:t>s</w:t>
      </w:r>
      <w:r w:rsidRPr="0047168A">
        <w:rPr>
          <w:rFonts w:cs="Arial"/>
          <w:color w:val="auto"/>
          <w:sz w:val="22"/>
          <w:szCs w:val="22"/>
          <w:lang w:val="en-GB"/>
        </w:rPr>
        <w:t xml:space="preserve"> their </w:t>
      </w:r>
      <w:r w:rsidR="00FE5B1C">
        <w:rPr>
          <w:rFonts w:cs="Arial"/>
          <w:color w:val="auto"/>
          <w:sz w:val="22"/>
          <w:szCs w:val="22"/>
          <w:lang w:val="en-GB"/>
        </w:rPr>
        <w:t>cells</w:t>
      </w:r>
      <w:r w:rsidRPr="0047168A">
        <w:rPr>
          <w:rFonts w:cs="Arial"/>
          <w:color w:val="auto"/>
          <w:sz w:val="22"/>
          <w:szCs w:val="22"/>
          <w:lang w:val="en-GB"/>
        </w:rPr>
        <w:t xml:space="preserve"> with </w:t>
      </w:r>
      <w:r w:rsidR="00FE5B1C">
        <w:rPr>
          <w:rFonts w:cs="Arial"/>
          <w:color w:val="auto"/>
          <w:sz w:val="22"/>
          <w:szCs w:val="22"/>
          <w:lang w:val="en-GB"/>
        </w:rPr>
        <w:t>five other</w:t>
      </w:r>
      <w:r w:rsidRPr="0047168A">
        <w:rPr>
          <w:rFonts w:cs="Arial"/>
          <w:color w:val="auto"/>
          <w:sz w:val="22"/>
          <w:szCs w:val="22"/>
          <w:lang w:val="en-GB"/>
        </w:rPr>
        <w:t xml:space="preserve"> people; 22% with</w:t>
      </w:r>
      <w:r w:rsidR="00FE5B1C">
        <w:rPr>
          <w:rFonts w:cs="Arial"/>
          <w:color w:val="auto"/>
          <w:sz w:val="22"/>
          <w:szCs w:val="22"/>
          <w:lang w:val="en-GB"/>
        </w:rPr>
        <w:t xml:space="preserve"> other six to ten people;</w:t>
      </w:r>
      <w:r w:rsidRPr="0047168A">
        <w:rPr>
          <w:rFonts w:cs="Arial"/>
          <w:color w:val="auto"/>
          <w:sz w:val="22"/>
          <w:szCs w:val="22"/>
          <w:lang w:val="en-GB"/>
        </w:rPr>
        <w:t xml:space="preserve"> 11% with 11 to 15</w:t>
      </w:r>
      <w:r w:rsidR="00FE5B1C">
        <w:rPr>
          <w:rFonts w:cs="Arial"/>
          <w:color w:val="auto"/>
          <w:sz w:val="22"/>
          <w:szCs w:val="22"/>
          <w:lang w:val="en-GB"/>
        </w:rPr>
        <w:t xml:space="preserve"> people</w:t>
      </w:r>
      <w:r w:rsidRPr="0047168A">
        <w:rPr>
          <w:rFonts w:cs="Arial"/>
          <w:color w:val="auto"/>
          <w:sz w:val="22"/>
          <w:szCs w:val="22"/>
          <w:lang w:val="en-GB"/>
        </w:rPr>
        <w:t>; and 13% with more than 15 persons).</w:t>
      </w:r>
      <w:r w:rsidRPr="0047168A">
        <w:rPr>
          <w:rStyle w:val="FootnoteReference"/>
          <w:rFonts w:cs="Arial"/>
          <w:color w:val="auto"/>
          <w:sz w:val="22"/>
          <w:szCs w:val="22"/>
          <w:lang w:val="en-GB"/>
        </w:rPr>
        <w:t xml:space="preserve"> </w:t>
      </w:r>
      <w:r w:rsidRPr="0047168A">
        <w:rPr>
          <w:rStyle w:val="FootnoteReference"/>
          <w:rFonts w:cs="Arial"/>
          <w:color w:val="auto"/>
          <w:sz w:val="22"/>
          <w:szCs w:val="22"/>
          <w:lang w:val="en-GB"/>
        </w:rPr>
        <w:footnoteReference w:id="75"/>
      </w:r>
    </w:p>
    <w:p w14:paraId="4CAA2612" w14:textId="3B45D846" w:rsidR="00734282" w:rsidRPr="0047168A" w:rsidRDefault="00734282" w:rsidP="00C72434">
      <w:pPr>
        <w:spacing w:line="240" w:lineRule="auto"/>
        <w:jc w:val="both"/>
        <w:rPr>
          <w:rFonts w:cs="Calibri"/>
          <w:bCs/>
          <w:i/>
          <w:sz w:val="22"/>
          <w:szCs w:val="22"/>
          <w:lang w:val="en-GB"/>
        </w:rPr>
      </w:pPr>
      <w:r w:rsidRPr="0047168A">
        <w:rPr>
          <w:rFonts w:cs="Calibri"/>
          <w:bCs/>
          <w:i/>
          <w:sz w:val="22"/>
          <w:szCs w:val="22"/>
          <w:lang w:val="en-GB"/>
        </w:rPr>
        <w:t>6.3. Pretrial detention of Mexican women for drug off</w:t>
      </w:r>
      <w:r w:rsidR="00FE5B1C">
        <w:rPr>
          <w:rFonts w:cs="Calibri"/>
          <w:bCs/>
          <w:i/>
          <w:sz w:val="22"/>
          <w:szCs w:val="22"/>
          <w:lang w:val="en-GB"/>
        </w:rPr>
        <w:t>en</w:t>
      </w:r>
      <w:r w:rsidRPr="0047168A">
        <w:rPr>
          <w:rFonts w:cs="Calibri"/>
          <w:bCs/>
          <w:i/>
          <w:sz w:val="22"/>
          <w:szCs w:val="22"/>
          <w:lang w:val="en-GB"/>
        </w:rPr>
        <w:t xml:space="preserve">ces </w:t>
      </w:r>
    </w:p>
    <w:p w14:paraId="57241CAC" w14:textId="0FAB0E28" w:rsidR="006C46AB" w:rsidRPr="0047168A" w:rsidRDefault="00892183" w:rsidP="00C72434">
      <w:pPr>
        <w:spacing w:line="240" w:lineRule="auto"/>
        <w:jc w:val="both"/>
        <w:rPr>
          <w:rFonts w:cs="Calibri"/>
          <w:bCs/>
          <w:sz w:val="22"/>
          <w:szCs w:val="22"/>
          <w:lang w:val="en-GB"/>
        </w:rPr>
      </w:pPr>
      <w:r w:rsidRPr="0047168A">
        <w:rPr>
          <w:rFonts w:cs="Calibri"/>
          <w:bCs/>
          <w:sz w:val="22"/>
          <w:szCs w:val="22"/>
          <w:lang w:val="en-GB"/>
        </w:rPr>
        <w:t xml:space="preserve">In </w:t>
      </w:r>
      <w:r w:rsidR="00D43199" w:rsidRPr="0047168A">
        <w:rPr>
          <w:rFonts w:cs="Calibri"/>
          <w:bCs/>
          <w:sz w:val="22"/>
          <w:szCs w:val="22"/>
          <w:lang w:val="en-GB"/>
        </w:rPr>
        <w:t>Mexico</w:t>
      </w:r>
      <w:r w:rsidR="00FE5B1C">
        <w:rPr>
          <w:rFonts w:cs="Calibri"/>
          <w:bCs/>
          <w:sz w:val="22"/>
          <w:szCs w:val="22"/>
          <w:lang w:val="en-GB"/>
        </w:rPr>
        <w:t xml:space="preserve"> between 2011 and 2013, </w:t>
      </w:r>
      <w:r w:rsidR="00D43199" w:rsidRPr="0047168A">
        <w:rPr>
          <w:rFonts w:cs="Calibri"/>
          <w:bCs/>
          <w:sz w:val="22"/>
          <w:szCs w:val="22"/>
          <w:lang w:val="en-GB"/>
        </w:rPr>
        <w:t xml:space="preserve">the </w:t>
      </w:r>
      <w:r w:rsidR="00FE5B1C">
        <w:rPr>
          <w:rFonts w:cs="Calibri"/>
          <w:bCs/>
          <w:sz w:val="22"/>
          <w:szCs w:val="22"/>
          <w:lang w:val="en-GB"/>
        </w:rPr>
        <w:t xml:space="preserve">total </w:t>
      </w:r>
      <w:r w:rsidR="00D43199" w:rsidRPr="0047168A">
        <w:rPr>
          <w:rFonts w:cs="Calibri"/>
          <w:bCs/>
          <w:sz w:val="22"/>
          <w:szCs w:val="22"/>
          <w:lang w:val="en-GB"/>
        </w:rPr>
        <w:t xml:space="preserve">prison population increased by 7, </w:t>
      </w:r>
      <w:r w:rsidR="00FE5B1C">
        <w:rPr>
          <w:rFonts w:cs="Calibri"/>
          <w:bCs/>
          <w:sz w:val="22"/>
          <w:szCs w:val="22"/>
          <w:lang w:val="en-GB"/>
        </w:rPr>
        <w:t xml:space="preserve">while the </w:t>
      </w:r>
      <w:r w:rsidR="00D43199" w:rsidRPr="0047168A">
        <w:rPr>
          <w:rFonts w:cs="Calibri"/>
          <w:bCs/>
          <w:sz w:val="22"/>
          <w:szCs w:val="22"/>
          <w:lang w:val="en-GB"/>
        </w:rPr>
        <w:t>population incarcerated for drug offenses grew by 19%.</w:t>
      </w:r>
      <w:r w:rsidRPr="0047168A">
        <w:rPr>
          <w:rStyle w:val="FootnoteReference"/>
          <w:rFonts w:cs="Calibri"/>
          <w:bCs/>
          <w:sz w:val="22"/>
          <w:szCs w:val="22"/>
          <w:lang w:val="en-GB"/>
        </w:rPr>
        <w:footnoteReference w:id="76"/>
      </w:r>
      <w:r w:rsidRPr="0047168A">
        <w:rPr>
          <w:rFonts w:cs="Calibri"/>
          <w:bCs/>
          <w:sz w:val="22"/>
          <w:szCs w:val="22"/>
          <w:lang w:val="en-GB"/>
        </w:rPr>
        <w:t xml:space="preserve"> T</w:t>
      </w:r>
      <w:r w:rsidRPr="0047168A">
        <w:rPr>
          <w:rFonts w:cs="Arial"/>
          <w:color w:val="auto"/>
          <w:sz w:val="22"/>
          <w:szCs w:val="22"/>
          <w:lang w:val="en-GB"/>
        </w:rPr>
        <w:t xml:space="preserve">his phenomenon </w:t>
      </w:r>
      <w:r w:rsidR="00FE5B1C">
        <w:rPr>
          <w:rFonts w:cs="Arial"/>
          <w:color w:val="auto"/>
          <w:sz w:val="22"/>
          <w:szCs w:val="22"/>
          <w:lang w:val="en-GB"/>
        </w:rPr>
        <w:t>is exacerbated for women</w:t>
      </w:r>
      <w:r w:rsidRPr="0047168A">
        <w:rPr>
          <w:rFonts w:cs="Arial"/>
          <w:color w:val="auto"/>
          <w:sz w:val="22"/>
          <w:szCs w:val="22"/>
          <w:lang w:val="en-GB"/>
        </w:rPr>
        <w:t xml:space="preserve">. </w:t>
      </w:r>
      <w:r w:rsidR="006C46AB" w:rsidRPr="0047168A">
        <w:rPr>
          <w:rFonts w:cs="Arial"/>
          <w:color w:val="auto"/>
          <w:sz w:val="22"/>
          <w:szCs w:val="22"/>
          <w:lang w:val="en-GB"/>
        </w:rPr>
        <w:t>Acco</w:t>
      </w:r>
      <w:r w:rsidRPr="0047168A">
        <w:rPr>
          <w:rFonts w:cs="Arial"/>
          <w:color w:val="auto"/>
          <w:sz w:val="22"/>
          <w:szCs w:val="22"/>
          <w:lang w:val="en-GB"/>
        </w:rPr>
        <w:t xml:space="preserve">rding to the organization Equis, Justicia para las Mujeres, </w:t>
      </w:r>
      <w:r w:rsidR="006C46AB" w:rsidRPr="0047168A">
        <w:rPr>
          <w:rFonts w:cs="Arial"/>
          <w:color w:val="auto"/>
          <w:sz w:val="22"/>
          <w:szCs w:val="22"/>
          <w:lang w:val="en-GB"/>
        </w:rPr>
        <w:t xml:space="preserve">“crimes against health represent, therefore, 13.5% of the crimes of the common law for which women are admitted </w:t>
      </w:r>
      <w:r w:rsidR="00FE5B1C">
        <w:rPr>
          <w:rFonts w:cs="Arial"/>
          <w:color w:val="auto"/>
          <w:sz w:val="22"/>
          <w:szCs w:val="22"/>
          <w:lang w:val="en-GB"/>
        </w:rPr>
        <w:t>[to prison]</w:t>
      </w:r>
      <w:r w:rsidR="006C46AB" w:rsidRPr="0047168A">
        <w:rPr>
          <w:rFonts w:cs="Arial"/>
          <w:color w:val="auto"/>
          <w:sz w:val="22"/>
          <w:szCs w:val="22"/>
          <w:lang w:val="en-GB"/>
        </w:rPr>
        <w:t xml:space="preserve">. According to the data, in 2014, the women who entered for drug trafficking crimes were 940; in 2015, there were 1,617 and, in 2016, the income of 1,911 women was recorded. It is observed, therefore, that the trend in the prosecution of these crimes has increased for women, showing a growth rate of 72% for 2015 and an increase of 103.3% in the last two years.” Also, </w:t>
      </w:r>
      <w:r w:rsidR="0062576A">
        <w:rPr>
          <w:rFonts w:cs="Arial"/>
          <w:color w:val="auto"/>
          <w:sz w:val="22"/>
          <w:szCs w:val="22"/>
          <w:lang w:val="en-GB"/>
        </w:rPr>
        <w:t>EQUIS</w:t>
      </w:r>
      <w:r w:rsidR="006C46AB" w:rsidRPr="0047168A">
        <w:rPr>
          <w:rFonts w:cs="Arial"/>
          <w:color w:val="auto"/>
          <w:sz w:val="22"/>
          <w:szCs w:val="22"/>
          <w:lang w:val="en-GB"/>
        </w:rPr>
        <w:t xml:space="preserve"> point</w:t>
      </w:r>
      <w:r w:rsidR="0062576A">
        <w:rPr>
          <w:rFonts w:cs="Arial"/>
          <w:color w:val="auto"/>
          <w:sz w:val="22"/>
          <w:szCs w:val="22"/>
          <w:lang w:val="en-GB"/>
        </w:rPr>
        <w:t>s</w:t>
      </w:r>
      <w:r w:rsidR="006C46AB" w:rsidRPr="0047168A">
        <w:rPr>
          <w:rFonts w:cs="Arial"/>
          <w:color w:val="auto"/>
          <w:sz w:val="22"/>
          <w:szCs w:val="22"/>
          <w:lang w:val="en-GB"/>
        </w:rPr>
        <w:t xml:space="preserve"> out that “crimes against health</w:t>
      </w:r>
      <w:r w:rsidR="0062576A">
        <w:rPr>
          <w:rFonts w:cs="Arial"/>
          <w:color w:val="auto"/>
          <w:sz w:val="22"/>
          <w:szCs w:val="22"/>
          <w:lang w:val="en-GB"/>
        </w:rPr>
        <w:t xml:space="preserve"> represent 43% of cases of imprisonment</w:t>
      </w:r>
      <w:r w:rsidR="006C46AB" w:rsidRPr="0047168A">
        <w:rPr>
          <w:rFonts w:cs="Arial"/>
          <w:color w:val="auto"/>
          <w:sz w:val="22"/>
          <w:szCs w:val="22"/>
          <w:lang w:val="en-GB"/>
        </w:rPr>
        <w:t xml:space="preserve"> of women for crimes of federal jurisdiction. Although, in absolute terms, the figure is smaller than that of the common law, in percentage terms the difference is striking. At the federal level, crimes against health clearly represent the first cause of deprivation of women's freedom, with the crime of possession taking first place”.</w:t>
      </w:r>
      <w:r w:rsidR="006C46AB" w:rsidRPr="0047168A">
        <w:rPr>
          <w:rStyle w:val="FootnoteReference"/>
          <w:rFonts w:cs="Arial"/>
          <w:color w:val="auto"/>
          <w:sz w:val="22"/>
          <w:szCs w:val="22"/>
          <w:lang w:val="en-GB"/>
        </w:rPr>
        <w:footnoteReference w:id="77"/>
      </w:r>
    </w:p>
    <w:p w14:paraId="411F7E1F" w14:textId="0323E923" w:rsidR="00832387" w:rsidRDefault="006C46AB" w:rsidP="00C72434">
      <w:pPr>
        <w:spacing w:line="240" w:lineRule="auto"/>
        <w:jc w:val="both"/>
        <w:rPr>
          <w:rFonts w:cs="Arial"/>
          <w:color w:val="auto"/>
          <w:sz w:val="22"/>
          <w:szCs w:val="22"/>
          <w:lang w:val="en-GB"/>
        </w:rPr>
      </w:pPr>
      <w:r w:rsidRPr="0047168A">
        <w:rPr>
          <w:rFonts w:cs="Arial"/>
          <w:color w:val="auto"/>
          <w:sz w:val="22"/>
          <w:szCs w:val="22"/>
          <w:lang w:val="en-GB"/>
        </w:rPr>
        <w:t xml:space="preserve">Although </w:t>
      </w:r>
      <w:r w:rsidR="00832387">
        <w:rPr>
          <w:rFonts w:cs="Arial"/>
          <w:color w:val="auto"/>
          <w:sz w:val="22"/>
          <w:szCs w:val="22"/>
          <w:lang w:val="en-GB"/>
        </w:rPr>
        <w:t>data on imprisonment for</w:t>
      </w:r>
      <w:r w:rsidR="0062576A">
        <w:rPr>
          <w:rFonts w:cs="Arial"/>
          <w:color w:val="auto"/>
          <w:sz w:val="22"/>
          <w:szCs w:val="22"/>
          <w:lang w:val="en-GB"/>
        </w:rPr>
        <w:t xml:space="preserve"> </w:t>
      </w:r>
      <w:r w:rsidRPr="0047168A">
        <w:rPr>
          <w:rFonts w:cs="Arial"/>
          <w:color w:val="auto"/>
          <w:sz w:val="22"/>
          <w:szCs w:val="22"/>
          <w:lang w:val="en-GB"/>
        </w:rPr>
        <w:t xml:space="preserve">drug crimes are not disaggregated and, as already mentioned, the crime of possession for consumption does not get </w:t>
      </w:r>
      <w:r w:rsidR="0062576A">
        <w:rPr>
          <w:rFonts w:cs="Arial"/>
          <w:color w:val="auto"/>
          <w:sz w:val="22"/>
          <w:szCs w:val="22"/>
          <w:lang w:val="en-GB"/>
        </w:rPr>
        <w:t>mandatory</w:t>
      </w:r>
      <w:r w:rsidRPr="0047168A">
        <w:rPr>
          <w:rFonts w:cs="Arial"/>
          <w:color w:val="auto"/>
          <w:sz w:val="22"/>
          <w:szCs w:val="22"/>
          <w:lang w:val="en-GB"/>
        </w:rPr>
        <w:t xml:space="preserve"> pretrial detention, the “crimes against the health” do. For that reason, </w:t>
      </w:r>
      <w:r w:rsidR="0062576A">
        <w:rPr>
          <w:rFonts w:cs="Arial"/>
          <w:color w:val="auto"/>
          <w:sz w:val="22"/>
          <w:szCs w:val="22"/>
          <w:lang w:val="en-GB"/>
        </w:rPr>
        <w:t>it</w:t>
      </w:r>
      <w:r w:rsidR="00832387">
        <w:rPr>
          <w:rFonts w:cs="Arial"/>
          <w:color w:val="auto"/>
          <w:sz w:val="22"/>
          <w:szCs w:val="22"/>
          <w:lang w:val="en-GB"/>
        </w:rPr>
        <w:t xml:space="preserve"> is believed</w:t>
      </w:r>
      <w:r w:rsidRPr="0047168A">
        <w:rPr>
          <w:rFonts w:cs="Arial"/>
          <w:color w:val="auto"/>
          <w:sz w:val="22"/>
          <w:szCs w:val="22"/>
          <w:lang w:val="en-GB"/>
        </w:rPr>
        <w:t xml:space="preserve"> that in 2016 at least 1,169 women were in </w:t>
      </w:r>
      <w:r w:rsidR="0062576A">
        <w:rPr>
          <w:rFonts w:cs="Arial"/>
          <w:color w:val="auto"/>
          <w:sz w:val="22"/>
          <w:szCs w:val="22"/>
          <w:lang w:val="en-GB"/>
        </w:rPr>
        <w:t>mandatory</w:t>
      </w:r>
      <w:r w:rsidRPr="0047168A">
        <w:rPr>
          <w:rFonts w:cs="Arial"/>
          <w:color w:val="auto"/>
          <w:sz w:val="22"/>
          <w:szCs w:val="22"/>
          <w:lang w:val="en-GB"/>
        </w:rPr>
        <w:t xml:space="preserve"> pretrial detention for drug offenses. </w:t>
      </w:r>
    </w:p>
    <w:p w14:paraId="38C21119" w14:textId="36DB7E47" w:rsidR="00832387" w:rsidRDefault="00832387" w:rsidP="00C72434">
      <w:pPr>
        <w:spacing w:line="240" w:lineRule="auto"/>
        <w:jc w:val="both"/>
        <w:rPr>
          <w:rFonts w:cs="Arial"/>
          <w:color w:val="auto"/>
          <w:sz w:val="22"/>
          <w:szCs w:val="22"/>
          <w:lang w:val="en-GB"/>
        </w:rPr>
      </w:pPr>
    </w:p>
    <w:p w14:paraId="7CCD1ED6" w14:textId="34A0CC6E" w:rsidR="00832387" w:rsidRDefault="00832387" w:rsidP="00C72434">
      <w:pPr>
        <w:spacing w:line="240" w:lineRule="auto"/>
        <w:jc w:val="both"/>
        <w:rPr>
          <w:rFonts w:cs="Arial"/>
          <w:b/>
          <w:bCs/>
          <w:color w:val="auto"/>
          <w:sz w:val="22"/>
          <w:szCs w:val="22"/>
          <w:lang w:val="en-GB"/>
        </w:rPr>
      </w:pPr>
      <w:r>
        <w:rPr>
          <w:rFonts w:cs="Arial"/>
          <w:b/>
          <w:bCs/>
          <w:color w:val="auto"/>
          <w:sz w:val="22"/>
          <w:szCs w:val="22"/>
          <w:lang w:val="en-GB"/>
        </w:rPr>
        <w:t>Conclusions and recommendations</w:t>
      </w:r>
    </w:p>
    <w:p w14:paraId="17CF5BB3" w14:textId="0774DFE2" w:rsidR="00832387" w:rsidRDefault="00832387" w:rsidP="00C72434">
      <w:pPr>
        <w:spacing w:line="240" w:lineRule="auto"/>
        <w:jc w:val="both"/>
        <w:rPr>
          <w:rFonts w:cs="Arial"/>
          <w:b/>
          <w:bCs/>
          <w:color w:val="auto"/>
          <w:sz w:val="22"/>
          <w:szCs w:val="22"/>
          <w:lang w:val="en-GB"/>
        </w:rPr>
      </w:pPr>
    </w:p>
    <w:p w14:paraId="29BD939B" w14:textId="4654F226" w:rsidR="00832387" w:rsidRDefault="00832387" w:rsidP="00C72434">
      <w:pPr>
        <w:spacing w:line="240" w:lineRule="auto"/>
        <w:jc w:val="both"/>
        <w:rPr>
          <w:rFonts w:cs="Arial"/>
          <w:color w:val="auto"/>
          <w:sz w:val="22"/>
          <w:szCs w:val="22"/>
          <w:lang w:val="en-GB"/>
        </w:rPr>
      </w:pPr>
      <w:r>
        <w:rPr>
          <w:rFonts w:cs="Arial"/>
          <w:color w:val="auto"/>
          <w:sz w:val="22"/>
          <w:szCs w:val="22"/>
          <w:lang w:val="en-GB"/>
        </w:rPr>
        <w:t>In light of the above, we respectfully ask This Committee to recommend the Government of Mexico to:</w:t>
      </w:r>
    </w:p>
    <w:p w14:paraId="0AD704CC" w14:textId="32CB5861" w:rsidR="00A32A43" w:rsidRPr="0062576A" w:rsidRDefault="00733754" w:rsidP="0047168A">
      <w:pPr>
        <w:pStyle w:val="ListParagraph"/>
        <w:numPr>
          <w:ilvl w:val="0"/>
          <w:numId w:val="39"/>
        </w:numPr>
        <w:spacing w:line="240" w:lineRule="auto"/>
        <w:jc w:val="both"/>
        <w:rPr>
          <w:rFonts w:cs="Arial"/>
          <w:lang w:val="en-GB"/>
        </w:rPr>
      </w:pPr>
      <w:r w:rsidRPr="00A32A43">
        <w:rPr>
          <w:rFonts w:ascii="Verdana" w:hAnsi="Verdana" w:cs="Arial"/>
          <w:lang w:val="en-GB"/>
        </w:rPr>
        <w:t>Take all necessary steps to ensure that public security is upheld by civilian rather than military forces, to the maximum extent – thus reiterating recommendations made to the Government in the latest cycle of periodic review;</w:t>
      </w:r>
      <w:r w:rsidRPr="00A32A43">
        <w:rPr>
          <w:rStyle w:val="FootnoteReference"/>
          <w:rFonts w:ascii="Verdana" w:hAnsi="Verdana" w:cs="Arial"/>
          <w:lang w:val="en-GB"/>
        </w:rPr>
        <w:footnoteReference w:id="78"/>
      </w:r>
    </w:p>
    <w:p w14:paraId="53102CC3" w14:textId="06560F10" w:rsidR="0062576A" w:rsidRPr="0062576A" w:rsidRDefault="00733754" w:rsidP="0062576A">
      <w:pPr>
        <w:pStyle w:val="ListParagraph"/>
        <w:numPr>
          <w:ilvl w:val="0"/>
          <w:numId w:val="39"/>
        </w:numPr>
        <w:spacing w:line="240" w:lineRule="auto"/>
        <w:jc w:val="both"/>
        <w:rPr>
          <w:rFonts w:ascii="Verdana" w:hAnsi="Verdana" w:cs="Arial"/>
          <w:lang w:val="en-GB"/>
        </w:rPr>
      </w:pPr>
      <w:r w:rsidRPr="00A32A43">
        <w:rPr>
          <w:rFonts w:ascii="Verdana" w:hAnsi="Verdana" w:cs="Arial"/>
          <w:lang w:val="en-GB"/>
        </w:rPr>
        <w:t xml:space="preserve">Ensure that all allegations of human rights violations committed by military forces are </w:t>
      </w:r>
      <w:r w:rsidR="00A32A43" w:rsidRPr="00A32A43">
        <w:rPr>
          <w:rFonts w:ascii="Verdana" w:hAnsi="Verdana" w:cs="Arial"/>
          <w:lang w:val="en-GB"/>
        </w:rPr>
        <w:t>promptly and fully</w:t>
      </w:r>
      <w:r w:rsidRPr="00A32A43">
        <w:rPr>
          <w:rFonts w:ascii="Verdana" w:hAnsi="Verdana" w:cs="Arial"/>
          <w:lang w:val="en-GB"/>
        </w:rPr>
        <w:t xml:space="preserve"> investigated, that the perpetrators are held accountable, and that victims have access to justice and reparations;</w:t>
      </w:r>
    </w:p>
    <w:p w14:paraId="2022A0D9" w14:textId="28039A3E" w:rsidR="00733754" w:rsidRPr="00A32A43" w:rsidRDefault="00A32A43" w:rsidP="0047168A">
      <w:pPr>
        <w:pStyle w:val="ListParagraph"/>
        <w:numPr>
          <w:ilvl w:val="0"/>
          <w:numId w:val="39"/>
        </w:numPr>
        <w:spacing w:line="240" w:lineRule="auto"/>
        <w:jc w:val="both"/>
        <w:rPr>
          <w:rFonts w:cs="Arial"/>
          <w:lang w:val="en-GB"/>
        </w:rPr>
      </w:pPr>
      <w:r w:rsidRPr="00A32A43">
        <w:rPr>
          <w:rFonts w:ascii="Verdana" w:hAnsi="Verdana" w:cs="Arial"/>
          <w:lang w:val="en-GB"/>
        </w:rPr>
        <w:t>Ensure that all allegations of torture and ill-treatment, disappearance, and extrajudicial killing are promptly and fully investigated, that the perpetrators are held accountable, and that victims and their families have access to justice and reparations;</w:t>
      </w:r>
    </w:p>
    <w:p w14:paraId="2D411132" w14:textId="2EE4BAD4" w:rsidR="00A32A43" w:rsidRPr="00A32A43" w:rsidRDefault="00A32A43" w:rsidP="0047168A">
      <w:pPr>
        <w:pStyle w:val="ListParagraph"/>
        <w:numPr>
          <w:ilvl w:val="0"/>
          <w:numId w:val="39"/>
        </w:numPr>
        <w:spacing w:line="240" w:lineRule="auto"/>
        <w:jc w:val="both"/>
        <w:rPr>
          <w:rFonts w:cs="Arial"/>
          <w:lang w:val="en-GB"/>
        </w:rPr>
      </w:pPr>
      <w:r w:rsidRPr="00A32A43">
        <w:rPr>
          <w:rFonts w:ascii="Verdana" w:hAnsi="Verdana" w:cs="Arial"/>
          <w:lang w:val="en-GB"/>
        </w:rPr>
        <w:t>Ensure that complete, updated, disaggregated information on the number of civilians killed in confrontations with armed forces is publicly available;</w:t>
      </w:r>
    </w:p>
    <w:p w14:paraId="225B027F" w14:textId="08EEFD92" w:rsidR="00A32A43" w:rsidRPr="00A32A43" w:rsidRDefault="00A32A43" w:rsidP="0047168A">
      <w:pPr>
        <w:pStyle w:val="ListParagraph"/>
        <w:numPr>
          <w:ilvl w:val="0"/>
          <w:numId w:val="39"/>
        </w:numPr>
        <w:spacing w:line="240" w:lineRule="auto"/>
        <w:jc w:val="both"/>
        <w:rPr>
          <w:rFonts w:cs="Arial"/>
          <w:lang w:val="en-GB"/>
        </w:rPr>
      </w:pPr>
      <w:r w:rsidRPr="00A32A43">
        <w:rPr>
          <w:rFonts w:ascii="Verdana" w:hAnsi="Verdana" w:cs="Arial"/>
          <w:lang w:val="en-GB"/>
        </w:rPr>
        <w:t>Protect and promote the human rights of people in detention, with a focus on guaranteeing adequate and dignified conditions of detention and access to essential healthcare – including harm reduction and drug treatment services;</w:t>
      </w:r>
    </w:p>
    <w:p w14:paraId="06E992FA" w14:textId="6CBFAE20" w:rsidR="00A32A43" w:rsidRPr="00567F3F" w:rsidRDefault="00A32A43" w:rsidP="0047168A">
      <w:pPr>
        <w:pStyle w:val="ListParagraph"/>
        <w:numPr>
          <w:ilvl w:val="0"/>
          <w:numId w:val="39"/>
        </w:numPr>
        <w:spacing w:line="240" w:lineRule="auto"/>
        <w:jc w:val="both"/>
        <w:rPr>
          <w:rFonts w:cs="Arial"/>
          <w:lang w:val="en-GB"/>
        </w:rPr>
      </w:pPr>
      <w:r w:rsidRPr="00A32A43">
        <w:rPr>
          <w:rFonts w:ascii="Verdana" w:hAnsi="Verdana" w:cs="Arial"/>
          <w:lang w:val="en-GB"/>
        </w:rPr>
        <w:t>Initiate a process of reform of the system of incarceration of female prisoners, also promoting alternatives to incarceration when appropriate;</w:t>
      </w:r>
    </w:p>
    <w:p w14:paraId="1087F8D7" w14:textId="5411A5B7" w:rsidR="00567F3F" w:rsidRPr="00A32A43" w:rsidRDefault="00567F3F" w:rsidP="0047168A">
      <w:pPr>
        <w:pStyle w:val="ListParagraph"/>
        <w:numPr>
          <w:ilvl w:val="0"/>
          <w:numId w:val="39"/>
        </w:numPr>
        <w:spacing w:line="240" w:lineRule="auto"/>
        <w:jc w:val="both"/>
        <w:rPr>
          <w:rFonts w:cs="Arial"/>
          <w:lang w:val="en-GB"/>
        </w:rPr>
      </w:pPr>
      <w:r>
        <w:rPr>
          <w:rFonts w:ascii="Verdana" w:hAnsi="Verdana" w:cs="Arial"/>
          <w:lang w:val="en-GB"/>
        </w:rPr>
        <w:t xml:space="preserve">Publish complete, updated, and disaggregated data on children with incarcerated parents living in prison. Ensure that children in prison </w:t>
      </w:r>
      <w:r w:rsidR="003B4B06">
        <w:rPr>
          <w:rFonts w:ascii="Verdana" w:hAnsi="Verdana" w:cs="Arial"/>
          <w:lang w:val="en-GB"/>
        </w:rPr>
        <w:t>live in humane and dignified conditions, and that their right to health be protected and promoted;</w:t>
      </w:r>
    </w:p>
    <w:p w14:paraId="4E3A5E5F" w14:textId="1E297121" w:rsidR="00A32A43" w:rsidRPr="00A32A43" w:rsidRDefault="00A32A43" w:rsidP="0047168A">
      <w:pPr>
        <w:pStyle w:val="ListParagraph"/>
        <w:numPr>
          <w:ilvl w:val="0"/>
          <w:numId w:val="39"/>
        </w:numPr>
        <w:spacing w:line="240" w:lineRule="auto"/>
        <w:jc w:val="both"/>
        <w:rPr>
          <w:rFonts w:cs="Arial"/>
          <w:lang w:val="en-GB"/>
        </w:rPr>
      </w:pPr>
      <w:r w:rsidRPr="00A32A43">
        <w:rPr>
          <w:rFonts w:ascii="Verdana" w:hAnsi="Verdana" w:cs="Arial"/>
          <w:lang w:val="en-GB"/>
        </w:rPr>
        <w:t xml:space="preserve">Amend the provision in the national Constitution which </w:t>
      </w:r>
      <w:r w:rsidR="00383A2E">
        <w:rPr>
          <w:rFonts w:ascii="Verdana" w:hAnsi="Verdana" w:cs="Arial"/>
          <w:lang w:val="en-GB"/>
        </w:rPr>
        <w:t>requires</w:t>
      </w:r>
      <w:r w:rsidRPr="00A32A43">
        <w:rPr>
          <w:rFonts w:ascii="Verdana" w:hAnsi="Verdana" w:cs="Arial"/>
          <w:lang w:val="en-GB"/>
        </w:rPr>
        <w:t xml:space="preserve"> the mandatory </w:t>
      </w:r>
      <w:r w:rsidR="00383A2E">
        <w:rPr>
          <w:rFonts w:ascii="Verdana" w:hAnsi="Verdana" w:cs="Arial"/>
          <w:lang w:val="en-GB"/>
        </w:rPr>
        <w:t>pretrial</w:t>
      </w:r>
      <w:r w:rsidRPr="00A32A43">
        <w:rPr>
          <w:rFonts w:ascii="Verdana" w:hAnsi="Verdana" w:cs="Arial"/>
          <w:lang w:val="en-GB"/>
        </w:rPr>
        <w:t xml:space="preserve"> detention of subjects investigated for a range of crimes. Ensure that all people mandatorily detained have their cases reviewed on the basis of an individualised assessment of the </w:t>
      </w:r>
      <w:r w:rsidR="00383A2E" w:rsidRPr="00A32A43">
        <w:rPr>
          <w:rFonts w:ascii="Verdana" w:hAnsi="Verdana" w:cs="Arial"/>
          <w:lang w:val="en-GB"/>
        </w:rPr>
        <w:t>necessity</w:t>
      </w:r>
      <w:r w:rsidRPr="00A32A43">
        <w:rPr>
          <w:rFonts w:ascii="Verdana" w:hAnsi="Verdana" w:cs="Arial"/>
          <w:lang w:val="en-GB"/>
        </w:rPr>
        <w:t xml:space="preserve"> and proportionality of the detention;</w:t>
      </w:r>
    </w:p>
    <w:p w14:paraId="3AF26CCE" w14:textId="7906124C" w:rsidR="00A32A43" w:rsidRPr="00A32A43" w:rsidRDefault="00A32A43" w:rsidP="0047168A">
      <w:pPr>
        <w:pStyle w:val="ListParagraph"/>
        <w:numPr>
          <w:ilvl w:val="0"/>
          <w:numId w:val="39"/>
        </w:numPr>
        <w:spacing w:line="240" w:lineRule="auto"/>
        <w:jc w:val="both"/>
        <w:rPr>
          <w:rFonts w:cs="Arial"/>
          <w:lang w:val="en-GB"/>
        </w:rPr>
      </w:pPr>
      <w:r w:rsidRPr="00A32A43">
        <w:rPr>
          <w:rFonts w:ascii="Verdana" w:hAnsi="Verdana" w:cs="Arial"/>
          <w:lang w:val="en-GB"/>
        </w:rPr>
        <w:t>Initiate a comprehensive project of review of the country’s drug policy in line with international human rights standards</w:t>
      </w:r>
      <w:r w:rsidR="00383A2E">
        <w:rPr>
          <w:rFonts w:ascii="Verdana" w:hAnsi="Verdana" w:cs="Arial"/>
          <w:lang w:val="en-GB"/>
        </w:rPr>
        <w:t xml:space="preserve"> (as clarified by the International Guidelines on Human Rights and Drug Policy)</w:t>
      </w:r>
      <w:r w:rsidRPr="00A32A43">
        <w:rPr>
          <w:rFonts w:ascii="Verdana" w:hAnsi="Verdana" w:cs="Arial"/>
          <w:lang w:val="en-GB"/>
        </w:rPr>
        <w:t xml:space="preserve"> and with a gender-mainstreaming approach</w:t>
      </w:r>
      <w:r w:rsidR="00383A2E">
        <w:rPr>
          <w:rFonts w:ascii="Verdana" w:hAnsi="Verdana" w:cs="Arial"/>
          <w:lang w:val="en-GB"/>
        </w:rPr>
        <w:t>;</w:t>
      </w:r>
      <w:r w:rsidRPr="00A32A43">
        <w:rPr>
          <w:rFonts w:ascii="Verdana" w:hAnsi="Verdana" w:cs="Arial"/>
          <w:lang w:val="en-GB"/>
        </w:rPr>
        <w:t xml:space="preserve"> also with a view to reducing prison overcrowding, enforced disappearances, and extrajudicial killings. </w:t>
      </w:r>
    </w:p>
    <w:p w14:paraId="01F54832" w14:textId="547753E8" w:rsidR="00444F5C" w:rsidRPr="0047168A" w:rsidRDefault="00A32A43" w:rsidP="00095785">
      <w:pPr>
        <w:pStyle w:val="ListParagraph"/>
        <w:numPr>
          <w:ilvl w:val="0"/>
          <w:numId w:val="39"/>
        </w:numPr>
        <w:spacing w:line="240" w:lineRule="auto"/>
        <w:jc w:val="both"/>
      </w:pPr>
      <w:r w:rsidRPr="00A32A43">
        <w:rPr>
          <w:rFonts w:ascii="Verdana" w:hAnsi="Verdana" w:cs="Arial"/>
          <w:lang w:val="en-GB"/>
        </w:rPr>
        <w:t xml:space="preserve">Consider decriminalising drug use and possession for personal use. </w:t>
      </w:r>
    </w:p>
    <w:sectPr w:rsidR="00444F5C" w:rsidRPr="0047168A" w:rsidSect="006426FF">
      <w:headerReference w:type="even" r:id="rId13"/>
      <w:headerReference w:type="default" r:id="rId14"/>
      <w:footerReference w:type="even" r:id="rId15"/>
      <w:footerReference w:type="default" r:id="rId16"/>
      <w:headerReference w:type="first" r:id="rId17"/>
      <w:footerReference w:type="first" r:id="rId18"/>
      <w:pgSz w:w="12240" w:h="15840" w:code="1"/>
      <w:pgMar w:top="1417" w:right="1701" w:bottom="1417" w:left="1701" w:header="510" w:footer="576" w:gutter="0"/>
      <w:pgNumType w:start="1"/>
      <w:cols w:space="720"/>
      <w:titlePg/>
      <w:docGrid w:linePitch="272"/>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6BC5409" w15:done="0"/>
  <w15:commentEx w15:paraId="43EECF10" w15:done="0"/>
  <w15:commentEx w15:paraId="3FA794F3" w15:done="0"/>
  <w15:commentEx w15:paraId="58381A02" w15:done="0"/>
  <w15:commentEx w15:paraId="4A83CCE5" w15:done="0"/>
  <w15:commentEx w15:paraId="199A4EE7" w15:done="0"/>
  <w15:commentEx w15:paraId="4A103FA7" w15:done="0"/>
  <w15:commentEx w15:paraId="7177BFD5" w15:done="0"/>
  <w15:commentEx w15:paraId="03E93FC9" w15:done="0"/>
  <w15:commentEx w15:paraId="7FCD73B8" w15:done="0"/>
  <w15:commentEx w15:paraId="4F7658BD"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21774C" w14:textId="77777777" w:rsidR="003D2AD3" w:rsidRDefault="003D2AD3">
      <w:pPr>
        <w:spacing w:after="0" w:line="240" w:lineRule="auto"/>
      </w:pPr>
      <w:r>
        <w:separator/>
      </w:r>
    </w:p>
  </w:endnote>
  <w:endnote w:type="continuationSeparator" w:id="0">
    <w:p w14:paraId="1D834C4E" w14:textId="77777777" w:rsidR="003D2AD3" w:rsidRDefault="003D2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Noto Sans Symbols">
    <w:charset w:val="00"/>
    <w:family w:val="auto"/>
    <w:pitch w:val="default"/>
  </w:font>
  <w:font w:name="Arial">
    <w:panose1 w:val="020B0604020202020204"/>
    <w:charset w:val="00"/>
    <w:family w:val="auto"/>
    <w:pitch w:val="variable"/>
    <w:sig w:usb0="E0002AFF" w:usb1="C0007843" w:usb2="00000009" w:usb3="00000000" w:csb0="000001FF" w:csb1="00000000"/>
  </w:font>
  <w:font w:name="Open Sans">
    <w:altName w:val="Tahoma"/>
    <w:charset w:val="00"/>
    <w:family w:val="swiss"/>
    <w:pitch w:val="variable"/>
    <w:sig w:usb0="E00002EF" w:usb1="4000205B" w:usb2="00000028" w:usb3="00000000" w:csb0="0000019F" w:csb1="00000000"/>
  </w:font>
  <w:font w:name="ヒラギノ角ゴ Pro W3">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Vrinda">
    <w:panose1 w:val="00000000000000000000"/>
    <w:charset w:val="01"/>
    <w:family w:val="roman"/>
    <w:notTrueType/>
    <w:pitch w:val="variable"/>
  </w:font>
  <w:font w:name="Segoe UI">
    <w:altName w:val="Calibri"/>
    <w:charset w:val="00"/>
    <w:family w:val="swiss"/>
    <w:pitch w:val="variable"/>
    <w:sig w:usb0="E4002EFF" w:usb1="C000E47F" w:usb2="00000009" w:usb3="00000000" w:csb0="000001FF" w:csb1="00000000"/>
  </w:font>
  <w:font w:name="Lucida Grande">
    <w:altName w:val="Franklin Gothic Medium Cond"/>
    <w:panose1 w:val="020B0600040502020204"/>
    <w:charset w:val="00"/>
    <w:family w:val="auto"/>
    <w:pitch w:val="variable"/>
    <w:sig w:usb0="E1000AEF" w:usb1="5000A1FF" w:usb2="00000000" w:usb3="00000000" w:csb0="000001BF" w:csb1="00000000"/>
  </w:font>
  <w:font w:name="DengXian">
    <w:charset w:val="86"/>
    <w:family w:val="auto"/>
    <w:pitch w:val="variable"/>
    <w:sig w:usb0="A00002BF" w:usb1="38CF7CFA" w:usb2="00000016" w:usb3="00000000" w:csb0="0004000F" w:csb1="00000000"/>
  </w:font>
  <w:font w:name="HelveticaNeue-Light">
    <w:altName w:val="Helvetica Neue Light"/>
    <w:charset w:val="00"/>
    <w:family w:val="auto"/>
    <w:pitch w:val="variable"/>
    <w:sig w:usb0="00000001" w:usb1="5000205B" w:usb2="00000002" w:usb3="00000000" w:csb0="00000007"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1C631" w14:textId="77777777" w:rsidR="003D2AD3" w:rsidRDefault="003D2AD3">
    <w:pPr>
      <w:spacing w:after="0" w:line="240" w:lineRule="auto"/>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593548"/>
      <w:docPartObj>
        <w:docPartGallery w:val="Page Numbers (Bottom of Page)"/>
        <w:docPartUnique/>
      </w:docPartObj>
    </w:sdtPr>
    <w:sdtEndPr>
      <w:rPr>
        <w:sz w:val="20"/>
      </w:rPr>
    </w:sdtEndPr>
    <w:sdtContent>
      <w:p w14:paraId="1E666310" w14:textId="03CCA992" w:rsidR="003D2AD3" w:rsidRPr="00444F5C" w:rsidRDefault="003D2AD3">
        <w:pPr>
          <w:pStyle w:val="Footer"/>
          <w:jc w:val="right"/>
          <w:rPr>
            <w:sz w:val="20"/>
          </w:rPr>
        </w:pPr>
        <w:r w:rsidRPr="00444F5C">
          <w:rPr>
            <w:sz w:val="20"/>
          </w:rPr>
          <w:fldChar w:fldCharType="begin"/>
        </w:r>
        <w:r w:rsidRPr="00444F5C">
          <w:rPr>
            <w:sz w:val="20"/>
          </w:rPr>
          <w:instrText>PAGE   \* MERGEFORMAT</w:instrText>
        </w:r>
        <w:r w:rsidRPr="00444F5C">
          <w:rPr>
            <w:sz w:val="20"/>
          </w:rPr>
          <w:fldChar w:fldCharType="separate"/>
        </w:r>
        <w:r w:rsidR="00127AFF" w:rsidRPr="00127AFF">
          <w:rPr>
            <w:noProof/>
            <w:sz w:val="20"/>
            <w:lang w:val="es-ES"/>
          </w:rPr>
          <w:t>20</w:t>
        </w:r>
        <w:r w:rsidRPr="00444F5C">
          <w:rPr>
            <w:sz w:val="20"/>
          </w:rPr>
          <w:fldChar w:fldCharType="end"/>
        </w:r>
      </w:p>
    </w:sdtContent>
  </w:sdt>
  <w:p w14:paraId="58F31D1A" w14:textId="77777777" w:rsidR="003D2AD3" w:rsidRDefault="003D2AD3">
    <w:pPr>
      <w:spacing w:after="0" w:line="240" w:lineRule="auto"/>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0550D9" w14:textId="77777777" w:rsidR="003D2AD3" w:rsidRPr="006426FF" w:rsidRDefault="003D2AD3" w:rsidP="006426FF">
    <w:pPr>
      <w:pStyle w:val="Footer"/>
      <w:spacing w:after="120"/>
      <w:jc w:val="center"/>
      <w:rPr>
        <w:rFonts w:ascii="Verdana" w:hAnsi="Verdana"/>
        <w:b/>
        <w:bCs/>
        <w:sz w:val="18"/>
        <w:szCs w:val="18"/>
      </w:rPr>
    </w:pPr>
    <w:r w:rsidRPr="006426FF">
      <w:rPr>
        <w:rFonts w:ascii="Verdana" w:hAnsi="Verdana"/>
        <w:b/>
        <w:bCs/>
        <w:sz w:val="18"/>
        <w:szCs w:val="18"/>
      </w:rPr>
      <w:t>Contact information</w:t>
    </w:r>
  </w:p>
  <w:p w14:paraId="348C800F" w14:textId="14E25FB2" w:rsidR="003D2AD3" w:rsidRPr="006426FF" w:rsidRDefault="003D2AD3">
    <w:pPr>
      <w:pStyle w:val="Footer"/>
      <w:jc w:val="center"/>
      <w:rPr>
        <w:rFonts w:ascii="Verdana" w:hAnsi="Verdana"/>
        <w:sz w:val="18"/>
        <w:szCs w:val="18"/>
      </w:rPr>
    </w:pPr>
    <w:r w:rsidRPr="006426FF">
      <w:rPr>
        <w:rFonts w:ascii="Verdana" w:hAnsi="Verdana"/>
        <w:sz w:val="18"/>
        <w:szCs w:val="18"/>
      </w:rPr>
      <w:t>MUCD, Gobernador José Guadalupe Covarrubias 78, Interior 101, Col. San Miguel Chapultepec, Miguel Hidalgo, Ciudad de México, 11850 Mexico</w:t>
    </w:r>
  </w:p>
  <w:p w14:paraId="4B7DFA38" w14:textId="09B84F12" w:rsidR="003D2AD3" w:rsidRPr="003D2AD3" w:rsidRDefault="003D2AD3" w:rsidP="00567F3F">
    <w:pPr>
      <w:pStyle w:val="Footer"/>
      <w:tabs>
        <w:tab w:val="center" w:pos="4419"/>
        <w:tab w:val="left" w:pos="6620"/>
      </w:tabs>
      <w:spacing w:after="120"/>
      <w:rPr>
        <w:rStyle w:val="Hyperlink"/>
        <w:rFonts w:ascii="Verdana" w:hAnsi="Verdana"/>
        <w:sz w:val="18"/>
        <w:szCs w:val="18"/>
        <w:lang w:val="en-US"/>
      </w:rPr>
    </w:pPr>
    <w:r>
      <w:tab/>
    </w:r>
    <w:hyperlink r:id="rId1">
      <w:r w:rsidRPr="003D2AD3">
        <w:rPr>
          <w:rStyle w:val="Hyperlink"/>
          <w:rFonts w:ascii="Verdana" w:hAnsi="Verdana"/>
          <w:sz w:val="18"/>
          <w:szCs w:val="18"/>
          <w:lang w:val="en-US"/>
        </w:rPr>
        <w:t>t.ramirez@mucd.org.mx</w:t>
      </w:r>
    </w:hyperlink>
  </w:p>
  <w:p w14:paraId="30BE326A" w14:textId="63CDEE74" w:rsidR="003D2AD3" w:rsidRPr="003D2AD3" w:rsidRDefault="003D2AD3" w:rsidP="006426FF">
    <w:pPr>
      <w:pStyle w:val="Footer"/>
      <w:spacing w:after="120"/>
      <w:jc w:val="center"/>
      <w:rPr>
        <w:rFonts w:ascii="Verdana" w:hAnsi="Verdana"/>
        <w:sz w:val="18"/>
        <w:szCs w:val="18"/>
        <w:lang w:val="en-US"/>
      </w:rPr>
    </w:pPr>
    <w:r w:rsidRPr="0047168A">
      <w:rPr>
        <w:rFonts w:ascii="Verdana" w:hAnsi="Verdana"/>
        <w:sz w:val="18"/>
        <w:szCs w:val="18"/>
        <w:lang w:val="en-US"/>
      </w:rPr>
      <w:t>Equis Justic</w:t>
    </w:r>
    <w:r w:rsidRPr="003D2AD3">
      <w:rPr>
        <w:rFonts w:ascii="Verdana" w:hAnsi="Verdana"/>
        <w:sz w:val="18"/>
        <w:szCs w:val="18"/>
        <w:lang w:val="en-US"/>
      </w:rPr>
      <w:t xml:space="preserve">ia para las Mujeres, S.C. </w:t>
    </w:r>
    <w:hyperlink r:id="rId2" w:history="1">
      <w:r w:rsidRPr="003D2AD3">
        <w:rPr>
          <w:rStyle w:val="Hyperlink"/>
          <w:rFonts w:ascii="Verdana" w:eastAsia="Times New Roman" w:hAnsi="Verdana"/>
          <w:sz w:val="18"/>
          <w:szCs w:val="18"/>
        </w:rPr>
        <w:t>equis@equis.org.mx</w:t>
      </w:r>
    </w:hyperlink>
    <w:r w:rsidRPr="003D2AD3" w:rsidDel="003D2AD3">
      <w:rPr>
        <w:rFonts w:ascii="Verdana" w:hAnsi="Verdana"/>
        <w:sz w:val="18"/>
        <w:szCs w:val="18"/>
        <w:highlight w:val="yellow"/>
        <w:lang w:val="en-US"/>
      </w:rPr>
      <w:t xml:space="preserve"> </w:t>
    </w:r>
  </w:p>
  <w:p w14:paraId="41FB49E2" w14:textId="3C94BA5C" w:rsidR="003D2AD3" w:rsidRPr="0047168A" w:rsidRDefault="003D2AD3">
    <w:pPr>
      <w:pStyle w:val="Footer"/>
      <w:jc w:val="center"/>
      <w:rPr>
        <w:rFonts w:ascii="Verdana" w:hAnsi="Verdana"/>
        <w:sz w:val="18"/>
        <w:szCs w:val="18"/>
        <w:lang w:val="en-US"/>
      </w:rPr>
    </w:pPr>
    <w:r w:rsidRPr="003D2AD3">
      <w:rPr>
        <w:rFonts w:ascii="Verdana" w:hAnsi="Verdana"/>
        <w:sz w:val="18"/>
        <w:szCs w:val="18"/>
        <w:lang w:val="en-US"/>
      </w:rPr>
      <w:t>Harm Reduction Int</w:t>
    </w:r>
    <w:r w:rsidRPr="0047168A">
      <w:rPr>
        <w:rFonts w:ascii="Verdana" w:hAnsi="Verdana"/>
        <w:sz w:val="18"/>
        <w:szCs w:val="18"/>
        <w:lang w:val="en-US"/>
      </w:rPr>
      <w:t>ernational, 61 Mansell Street, Aldgate, E1 8AN, London (UK)</w:t>
    </w:r>
  </w:p>
  <w:p w14:paraId="604E2DA7" w14:textId="3C431E48" w:rsidR="003D2AD3" w:rsidRPr="006426FF" w:rsidRDefault="003D2AD3" w:rsidP="006426FF">
    <w:pPr>
      <w:pStyle w:val="Footer"/>
      <w:spacing w:after="120"/>
      <w:jc w:val="center"/>
      <w:rPr>
        <w:rStyle w:val="Hyperlink"/>
        <w:rFonts w:ascii="Verdana" w:hAnsi="Verdana"/>
        <w:sz w:val="18"/>
        <w:szCs w:val="18"/>
      </w:rPr>
    </w:pPr>
    <w:hyperlink r:id="rId3" w:history="1">
      <w:r w:rsidRPr="006426FF">
        <w:rPr>
          <w:rStyle w:val="Hyperlink"/>
          <w:rFonts w:ascii="Verdana" w:hAnsi="Verdana"/>
          <w:sz w:val="18"/>
          <w:szCs w:val="18"/>
        </w:rPr>
        <w:t>Giada.girelli@hri.global</w:t>
      </w:r>
    </w:hyperlink>
  </w:p>
  <w:p w14:paraId="75ED7191" w14:textId="10C55034" w:rsidR="003D2AD3" w:rsidRDefault="003D2AD3" w:rsidP="001630B9">
    <w:pPr>
      <w:pStyle w:val="Footer"/>
      <w:jc w:val="center"/>
    </w:pPr>
  </w:p>
  <w:p w14:paraId="4D53188B" w14:textId="12F5FDCA" w:rsidR="003D2AD3" w:rsidRPr="00BE5C8F" w:rsidRDefault="003D2AD3" w:rsidP="00BE5C8F">
    <w:pPr>
      <w:pStyle w:val="Heading5"/>
      <w:spacing w:before="0" w:line="240" w:lineRule="auto"/>
      <w:ind w:right="79"/>
      <w:rPr>
        <w:b/>
        <w:color w:val="108372"/>
        <w:sz w:val="16"/>
        <w:szCs w:val="16"/>
      </w:rPr>
    </w:pPr>
    <w:bookmarkStart w:id="1" w:name="_d07svbe70p8y" w:colFirst="0" w:colLast="0"/>
    <w:bookmarkStart w:id="2" w:name="_vysk4a1fa79n" w:colFirst="0" w:colLast="0"/>
    <w:bookmarkEnd w:id="1"/>
    <w:bookmarkEnd w:id="2"/>
    <w:r>
      <w:rPr>
        <w:color w:val="108372"/>
        <w:sz w:val="16"/>
        <w:szCs w:val="16"/>
        <w:u w:val="single"/>
      </w:rPr>
      <w:tab/>
    </w:r>
    <w:r>
      <w:rPr>
        <w:b/>
        <w:color w:val="108372"/>
        <w:sz w:val="16"/>
        <w:szCs w:val="16"/>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2B0937" w14:textId="77777777" w:rsidR="003D2AD3" w:rsidRDefault="003D2AD3">
      <w:pPr>
        <w:spacing w:after="0" w:line="240" w:lineRule="auto"/>
      </w:pPr>
      <w:r>
        <w:separator/>
      </w:r>
    </w:p>
  </w:footnote>
  <w:footnote w:type="continuationSeparator" w:id="0">
    <w:p w14:paraId="3B18BA28" w14:textId="77777777" w:rsidR="003D2AD3" w:rsidRDefault="003D2AD3">
      <w:pPr>
        <w:spacing w:after="0" w:line="240" w:lineRule="auto"/>
      </w:pPr>
      <w:r>
        <w:continuationSeparator/>
      </w:r>
    </w:p>
  </w:footnote>
  <w:footnote w:id="1">
    <w:p w14:paraId="0749B832" w14:textId="16BE2B9E" w:rsidR="00127AFF" w:rsidRPr="00127AFF" w:rsidRDefault="00127AFF">
      <w:pPr>
        <w:pStyle w:val="FootnoteText"/>
        <w:rPr>
          <w:sz w:val="18"/>
          <w:szCs w:val="18"/>
          <w:lang w:val="es-ES_tradnl"/>
        </w:rPr>
      </w:pPr>
      <w:r w:rsidRPr="00127AFF">
        <w:rPr>
          <w:rStyle w:val="FootnoteReference"/>
          <w:sz w:val="18"/>
          <w:szCs w:val="18"/>
        </w:rPr>
        <w:footnoteRef/>
      </w:r>
      <w:r w:rsidRPr="00127AFF">
        <w:rPr>
          <w:sz w:val="18"/>
          <w:szCs w:val="18"/>
        </w:rPr>
        <w:t xml:space="preserve"> </w:t>
      </w:r>
      <w:r w:rsidRPr="00127AFF">
        <w:rPr>
          <w:rFonts w:cs="Times New Roman"/>
          <w:color w:val="auto"/>
          <w:sz w:val="18"/>
          <w:szCs w:val="18"/>
          <w:lang w:val="es-ES_tradnl"/>
        </w:rPr>
        <w:t xml:space="preserve">Javier Treviño Rangel, “El Ejército y su guerra: rendición de cuentas y cuentos”, </w:t>
      </w:r>
      <w:r w:rsidRPr="00127AFF">
        <w:rPr>
          <w:rFonts w:cs="Times New Roman"/>
          <w:i/>
          <w:color w:val="auto"/>
          <w:sz w:val="18"/>
          <w:szCs w:val="18"/>
          <w:lang w:val="es-ES_tradnl"/>
        </w:rPr>
        <w:t>Revista Nexos</w:t>
      </w:r>
      <w:r w:rsidRPr="00127AFF">
        <w:rPr>
          <w:rFonts w:cs="Times New Roman"/>
          <w:color w:val="auto"/>
          <w:sz w:val="18"/>
          <w:szCs w:val="18"/>
          <w:lang w:val="es-ES_tradnl"/>
        </w:rPr>
        <w:t xml:space="preserve">, March 28, 2019. </w:t>
      </w:r>
      <w:r w:rsidRPr="00127AFF">
        <w:rPr>
          <w:rFonts w:cs="Times New Roman"/>
          <w:color w:val="auto"/>
          <w:sz w:val="18"/>
          <w:szCs w:val="18"/>
          <w:lang w:val="en-GB"/>
        </w:rPr>
        <w:t>Available at: https://seguridad.nexos.com.mx/?p=1316</w:t>
      </w:r>
    </w:p>
  </w:footnote>
  <w:footnote w:id="2">
    <w:p w14:paraId="1D35E11D"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Catherine Daly, Kimberly Heinle y David A. Shirk, “Armed with Impunity Curbing Military Human Rights Abuses in Mexico”. Trans-Border Institute, Joan B. Kroc School of Peace Studies University of San Diego, 2012. Available at: https://justiceinmexico.org/wp</w:t>
      </w:r>
    </w:p>
  </w:footnote>
  <w:footnote w:id="3">
    <w:p w14:paraId="0F069788" w14:textId="35FB8BCB"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Available at:</w:t>
      </w:r>
      <w:r w:rsidR="00127AFF" w:rsidRPr="00127AFF">
        <w:rPr>
          <w:rFonts w:cs="Times New Roman"/>
          <w:color w:val="auto"/>
          <w:sz w:val="18"/>
          <w:szCs w:val="18"/>
          <w:lang w:val="en-GB"/>
        </w:rPr>
        <w:t xml:space="preserve"> </w:t>
      </w:r>
      <w:r w:rsidRPr="00127AFF">
        <w:rPr>
          <w:rStyle w:val="Hipervnculo1"/>
          <w:rFonts w:cs="Times New Roman"/>
          <w:color w:val="auto"/>
          <w:sz w:val="18"/>
          <w:szCs w:val="18"/>
          <w:lang w:val="en-GB"/>
        </w:rPr>
        <w:t>https://www.gob.mx/cms/uploads/attachment/file/85733/5_Amaya_ORDORIKA.pdf</w:t>
      </w:r>
    </w:p>
  </w:footnote>
  <w:footnote w:id="4">
    <w:p w14:paraId="0AEFE9D1" w14:textId="77777777" w:rsidR="003D2AD3" w:rsidRPr="00127AFF" w:rsidRDefault="003D2AD3" w:rsidP="00127AFF">
      <w:pPr>
        <w:spacing w:after="0" w:line="240" w:lineRule="auto"/>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Centro Prodh, </w:t>
      </w:r>
      <w:r w:rsidRPr="00127AFF">
        <w:rPr>
          <w:rFonts w:cs="Times New Roman"/>
          <w:i/>
          <w:color w:val="auto"/>
          <w:sz w:val="18"/>
          <w:szCs w:val="18"/>
          <w:lang w:val="es-ES_tradnl"/>
        </w:rPr>
        <w:t>Perpetuar el modelo de seguridad fallido: la Ley de Seguridad Interior y el legado de una década de políticas de seguridad contrarias a los derechos humanos en México</w:t>
      </w:r>
      <w:r w:rsidRPr="00127AFF">
        <w:rPr>
          <w:rFonts w:cs="Times New Roman"/>
          <w:color w:val="auto"/>
          <w:sz w:val="18"/>
          <w:szCs w:val="18"/>
          <w:lang w:val="es-ES_tradnl"/>
        </w:rPr>
        <w:t>, Centro Prodh, 2017.</w:t>
      </w:r>
    </w:p>
  </w:footnote>
  <w:footnote w:id="5">
    <w:p w14:paraId="30E9AD40" w14:textId="77777777" w:rsidR="003D2AD3" w:rsidRPr="00127AFF" w:rsidRDefault="003D2AD3" w:rsidP="00127AFF">
      <w:pPr>
        <w:pStyle w:val="FootnoteText"/>
        <w:tabs>
          <w:tab w:val="left" w:pos="816"/>
        </w:tabs>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Press Communicate, “CIDH saluda decisión de la Suprema Corte de Justicia de la Nación de México que declara inconstitucional la Ley de Seguridad Interior”, November 26, 2018. </w:t>
      </w:r>
      <w:r w:rsidRPr="00127AFF">
        <w:rPr>
          <w:rFonts w:cs="Times New Roman"/>
          <w:color w:val="auto"/>
          <w:sz w:val="18"/>
          <w:szCs w:val="18"/>
          <w:lang w:val="en-GB"/>
        </w:rPr>
        <w:t>Available at: https://www.oas.org/es/cidh/prensa/comunicados/2018/251.asp</w:t>
      </w:r>
      <w:r w:rsidRPr="00127AFF">
        <w:rPr>
          <w:rFonts w:cs="Times New Roman"/>
          <w:color w:val="auto"/>
          <w:sz w:val="18"/>
          <w:szCs w:val="18"/>
          <w:lang w:val="en-GB"/>
        </w:rPr>
        <w:tab/>
      </w:r>
    </w:p>
  </w:footnote>
  <w:footnote w:id="6">
    <w:p w14:paraId="0FA83E2E"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See the Second Transitory Article of the National Guard constitutional reform. Available at: https://dof.gob.mx/nota_detalle.php?codigo=5555126&amp;fecha=26/03/2019</w:t>
      </w:r>
    </w:p>
  </w:footnote>
  <w:footnote w:id="7">
    <w:p w14:paraId="44661A97"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Neither the National Guard regulations have yet clarified how the civil and police nature of this body will remain intact, before the imminent incorporation of the Army and the Navy. </w:t>
      </w:r>
      <w:r w:rsidRPr="00127AFF">
        <w:rPr>
          <w:rFonts w:cs="Times New Roman"/>
          <w:color w:val="auto"/>
          <w:sz w:val="18"/>
          <w:szCs w:val="18"/>
          <w:lang w:val="es-ES_tradnl"/>
        </w:rPr>
        <w:t xml:space="preserve">See: Frida Ibarra y Gerardo Álvarez, “La Guardia Nacional ante la Constitución y el Sistema Interamericano de Derechos Humanos”, </w:t>
      </w:r>
      <w:r w:rsidRPr="00127AFF">
        <w:rPr>
          <w:rFonts w:cs="Times New Roman"/>
          <w:i/>
          <w:color w:val="auto"/>
          <w:sz w:val="18"/>
          <w:szCs w:val="18"/>
          <w:lang w:val="es-ES_tradnl"/>
        </w:rPr>
        <w:t>Animal Político</w:t>
      </w:r>
      <w:r w:rsidRPr="00127AFF">
        <w:rPr>
          <w:rFonts w:cs="Times New Roman"/>
          <w:color w:val="auto"/>
          <w:sz w:val="18"/>
          <w:szCs w:val="18"/>
          <w:lang w:val="es-ES_tradnl"/>
        </w:rPr>
        <w:t xml:space="preserve">, August, 20, 2019. </w:t>
      </w:r>
      <w:r w:rsidRPr="00127AFF">
        <w:rPr>
          <w:rFonts w:cs="Times New Roman"/>
          <w:color w:val="auto"/>
          <w:sz w:val="18"/>
          <w:szCs w:val="18"/>
          <w:lang w:val="en-GB"/>
        </w:rPr>
        <w:t xml:space="preserve">Available at: https://www.animalpolitico.com/blog-invitado/la-guardia-nacional-ante-la-constitucion-y-el-sistema-interamericano-de-derechos-humanos/2019. </w:t>
      </w:r>
      <w:r w:rsidRPr="00127AFF">
        <w:rPr>
          <w:rFonts w:cs="Times New Roman"/>
          <w:color w:val="auto"/>
          <w:sz w:val="18"/>
          <w:szCs w:val="18"/>
          <w:lang w:val="es-ES_tradnl"/>
        </w:rPr>
        <w:t>Available at: https://seguridad.nexos.com.mx/?p=1316</w:t>
      </w:r>
    </w:p>
    <w:p w14:paraId="1C16EF52" w14:textId="77777777" w:rsidR="003D2AD3" w:rsidRPr="00127AFF" w:rsidRDefault="003D2AD3" w:rsidP="00127AFF">
      <w:pPr>
        <w:pStyle w:val="FootnoteText"/>
        <w:tabs>
          <w:tab w:val="left" w:pos="816"/>
        </w:tabs>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Press Communicate, “CIDH saluda decisión de la Suprema Corte de Justicia de la Nación de México que declara inconstitucional la Ley de Seguridad Interior”, November 26, 2018. </w:t>
      </w:r>
      <w:r w:rsidRPr="00127AFF">
        <w:rPr>
          <w:rFonts w:cs="Times New Roman"/>
          <w:color w:val="auto"/>
          <w:sz w:val="18"/>
          <w:szCs w:val="18"/>
          <w:lang w:val="en-GB"/>
        </w:rPr>
        <w:t>Available at: https://www.oas.org/es/cidh/prensa/comunicados/2018/251.asp</w:t>
      </w:r>
      <w:r w:rsidRPr="00127AFF">
        <w:rPr>
          <w:rFonts w:cs="Times New Roman"/>
          <w:color w:val="auto"/>
          <w:sz w:val="18"/>
          <w:szCs w:val="18"/>
          <w:lang w:val="en-GB"/>
        </w:rPr>
        <w:tab/>
      </w:r>
    </w:p>
    <w:p w14:paraId="36E7D5CF"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See the Second Transitory Article of the National Guard constitutional reform. Available at: https://dof.gob.mx/nota_detalle.php?codigo=5555126&amp;fecha=26/03/2019</w:t>
      </w:r>
    </w:p>
  </w:footnote>
  <w:footnote w:id="8">
    <w:p w14:paraId="1CF774ED"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Paul Frissard y Daniela Osorio, “Dos meses de Guardia Nacional: ¿Qué observamos?”, Revista Nexos, September 2, 2019. Available at:https://seguridad.nexos.com.mx/?p=1551</w:t>
      </w:r>
    </w:p>
  </w:footnote>
  <w:footnote w:id="9">
    <w:p w14:paraId="5C4D7A84"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Plan nacional de paz y seguridad 2018-2024. </w:t>
      </w:r>
      <w:r w:rsidRPr="00127AFF">
        <w:rPr>
          <w:rFonts w:cs="Times New Roman"/>
          <w:color w:val="auto"/>
          <w:sz w:val="18"/>
          <w:szCs w:val="18"/>
          <w:lang w:val="en-GB"/>
        </w:rPr>
        <w:t>Available at: https://lopezobrador.org.mx/wp-content/uploads/2018/11/PLAN-DE-PAZ-Y-SEGURIDAD_ANEXO.pdf</w:t>
      </w:r>
    </w:p>
  </w:footnote>
  <w:footnote w:id="10">
    <w:p w14:paraId="236212AA"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Paul Frissard y Daniela Osorio, “Dos meses de Guardia Nacional: ¿Qué observamos?”, Revista Nexos, September 2, 2019. Disponible en:https://seguridad.nexos.com.mx/?p=1551</w:t>
      </w:r>
    </w:p>
  </w:footnote>
  <w:footnote w:id="11">
    <w:p w14:paraId="0472CF24"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Arturo Ángel, “Guardia Nacional iniciará sin reglamento, con dudas sobre su estado de fuerza y capacitación”, Animal Político, June 28, 2019. </w:t>
      </w:r>
      <w:r w:rsidRPr="00127AFF">
        <w:rPr>
          <w:rFonts w:cs="Times New Roman"/>
          <w:color w:val="auto"/>
          <w:sz w:val="18"/>
          <w:szCs w:val="18"/>
          <w:lang w:val="en-GB"/>
        </w:rPr>
        <w:t>Available at: https://www.animalpolitico.com/2019/06/guardia-nacional-inicio-reglamento-dudas-capacitacion/</w:t>
      </w:r>
    </w:p>
  </w:footnote>
  <w:footnote w:id="12">
    <w:p w14:paraId="50AFAA1B"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Paulina Villegas y Elisabeth Malkin, “La policía mexicana se rebela contra el nuevo plan de seguridad del gobierno”, </w:t>
      </w:r>
      <w:r w:rsidRPr="00127AFF">
        <w:rPr>
          <w:rFonts w:cs="Times New Roman"/>
          <w:i/>
          <w:color w:val="auto"/>
          <w:sz w:val="18"/>
          <w:szCs w:val="18"/>
          <w:lang w:val="es-ES_tradnl"/>
        </w:rPr>
        <w:t>The New York Times</w:t>
      </w:r>
      <w:r w:rsidRPr="00127AFF">
        <w:rPr>
          <w:rFonts w:cs="Times New Roman"/>
          <w:color w:val="auto"/>
          <w:sz w:val="18"/>
          <w:szCs w:val="18"/>
          <w:lang w:val="es-ES_tradnl"/>
        </w:rPr>
        <w:t xml:space="preserve">, July 5, 2019. </w:t>
      </w:r>
      <w:r w:rsidRPr="00127AFF">
        <w:rPr>
          <w:rFonts w:cs="Times New Roman"/>
          <w:color w:val="auto"/>
          <w:sz w:val="18"/>
          <w:szCs w:val="18"/>
          <w:lang w:val="en-GB"/>
        </w:rPr>
        <w:t xml:space="preserve">Available at: </w:t>
      </w:r>
      <w:hyperlink r:id="rId1" w:history="1">
        <w:r w:rsidRPr="00127AFF">
          <w:rPr>
            <w:rStyle w:val="Hyperlink"/>
            <w:rFonts w:cs="Times New Roman"/>
            <w:color w:val="auto"/>
            <w:sz w:val="18"/>
            <w:szCs w:val="18"/>
            <w:lang w:val="en-GB"/>
          </w:rPr>
          <w:t>https://www.nytimes.com/es/2019/07/05/guardia-nacional-mexico-amlo/?rref=collection%2Fsectioncollection%2Fnyt-es&amp;action=click&amp;contentCollection=guardia-nacional&amp;region=stream&amp;module=stream_unit&amp;version=latest&amp;contentPlacement=1&amp;pgtype=collection</w:t>
        </w:r>
      </w:hyperlink>
    </w:p>
  </w:footnote>
  <w:footnote w:id="13">
    <w:p w14:paraId="7E1DA073"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Arturo Rangel, “33 mil soldados seguirán en tareas de seguridad pública, sin formar parte de la Guardia Nacional”, </w:t>
      </w:r>
      <w:r w:rsidRPr="00127AFF">
        <w:rPr>
          <w:rFonts w:cs="Times New Roman"/>
          <w:i/>
          <w:color w:val="auto"/>
          <w:sz w:val="18"/>
          <w:szCs w:val="18"/>
          <w:lang w:val="es-ES_tradnl"/>
        </w:rPr>
        <w:t>Animal Político</w:t>
      </w:r>
      <w:r w:rsidRPr="00127AFF">
        <w:rPr>
          <w:rFonts w:cs="Times New Roman"/>
          <w:color w:val="auto"/>
          <w:sz w:val="18"/>
          <w:szCs w:val="18"/>
          <w:lang w:val="es-ES_tradnl"/>
        </w:rPr>
        <w:t xml:space="preserve">, May 31, 2019. </w:t>
      </w:r>
      <w:r w:rsidRPr="00127AFF">
        <w:rPr>
          <w:rFonts w:cs="Times New Roman"/>
          <w:color w:val="auto"/>
          <w:sz w:val="18"/>
          <w:szCs w:val="18"/>
          <w:lang w:val="en-GB"/>
        </w:rPr>
        <w:t>Available at: https://www.animalpolitico.com/2019/05/soldados-guardia-nacional-seguridad-publica/</w:t>
      </w:r>
    </w:p>
  </w:footnote>
  <w:footnote w:id="14">
    <w:p w14:paraId="30F4DE1F"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Laura Atuesta, “Las cuentas de la militarización”, </w:t>
      </w:r>
      <w:r w:rsidRPr="00127AFF">
        <w:rPr>
          <w:rFonts w:cs="Times New Roman"/>
          <w:i/>
          <w:color w:val="auto"/>
          <w:sz w:val="18"/>
          <w:szCs w:val="18"/>
          <w:lang w:val="es-ES_tradnl"/>
        </w:rPr>
        <w:t>Revista Nexos</w:t>
      </w:r>
      <w:r w:rsidRPr="00127AFF">
        <w:rPr>
          <w:rFonts w:cs="Times New Roman"/>
          <w:color w:val="auto"/>
          <w:sz w:val="18"/>
          <w:szCs w:val="18"/>
          <w:lang w:val="es-ES_tradnl"/>
        </w:rPr>
        <w:t xml:space="preserve">, March 1, 2017. </w:t>
      </w:r>
      <w:r w:rsidRPr="00127AFF">
        <w:rPr>
          <w:rFonts w:cs="Times New Roman"/>
          <w:color w:val="auto"/>
          <w:sz w:val="18"/>
          <w:szCs w:val="18"/>
          <w:lang w:val="en-GB"/>
        </w:rPr>
        <w:t>Available at: https://www.nexos.com.mx/?p=31552</w:t>
      </w:r>
    </w:p>
  </w:footnote>
  <w:footnote w:id="15">
    <w:p w14:paraId="3CFA0794"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Ibíd.</w:t>
      </w:r>
    </w:p>
  </w:footnote>
  <w:footnote w:id="16">
    <w:p w14:paraId="5F019B12"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Pérez Correa et al, “Deadly forces: The Lethality Index of Mexican security forces 2007-2011”, in Barbara Frey &amp; Alejandro Anaya (editors), Human Rights in Mexico. </w:t>
      </w:r>
      <w:r w:rsidRPr="00127AFF">
        <w:rPr>
          <w:rFonts w:cs="Times New Roman"/>
          <w:color w:val="auto"/>
          <w:sz w:val="18"/>
          <w:szCs w:val="18"/>
          <w:lang w:val="es-ES_tradnl"/>
        </w:rPr>
        <w:t>Crisis and Opportunity, University of Pennsylvania Press (forthcoming in 2018).</w:t>
      </w:r>
    </w:p>
  </w:footnote>
  <w:footnote w:id="17">
    <w:p w14:paraId="5BA6E75E"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Maureen Meyer, “Propuesta de Guardia Nacional concretizaría la militarización de la seguridad pública en México”, June 10, 2019. </w:t>
      </w:r>
      <w:r w:rsidRPr="00127AFF">
        <w:rPr>
          <w:rFonts w:cs="Times New Roman"/>
          <w:color w:val="auto"/>
          <w:sz w:val="18"/>
          <w:szCs w:val="18"/>
          <w:lang w:val="en-GB"/>
        </w:rPr>
        <w:t>Available at: https://www.wola.org/es/analisis/guardia-nacional-mexico-abusos-militares/</w:t>
      </w:r>
    </w:p>
  </w:footnote>
  <w:footnote w:id="18">
    <w:p w14:paraId="2D06D538"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Coupland, Robin and Meddings, David, “Mortality associated with use of weapons in armed conflicts, wartime atrocities, and civilian mass shootings: literature review”, </w:t>
      </w:r>
      <w:r w:rsidRPr="00127AFF">
        <w:rPr>
          <w:rFonts w:cs="Times New Roman"/>
          <w:i/>
          <w:color w:val="auto"/>
          <w:sz w:val="18"/>
          <w:szCs w:val="18"/>
          <w:lang w:val="en-GB"/>
        </w:rPr>
        <w:t>BMJ</w:t>
      </w:r>
      <w:r w:rsidRPr="00127AFF">
        <w:rPr>
          <w:rFonts w:cs="Times New Roman"/>
          <w:color w:val="auto"/>
          <w:sz w:val="18"/>
          <w:szCs w:val="18"/>
          <w:lang w:val="en-GB"/>
        </w:rPr>
        <w:t>, 319(407), 1999.</w:t>
      </w:r>
    </w:p>
  </w:footnote>
  <w:footnote w:id="19">
    <w:p w14:paraId="7A2E9789"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“La Directiva que regula el uso legítimo de la fuerza por parte del personal del Ejército y Fuerza Aérea Mexicanos, en cumplimiento del ejercicio de sus funciones en apoyo a las Autoridades Civiles”, “la Ley Federal de Armas de Fuego y Explosivos” and “El Manual de Uso de la Fuerza, de Aplicación Común a las Tres Fuerzas Armadas”.</w:t>
      </w:r>
    </w:p>
  </w:footnote>
  <w:footnote w:id="20">
    <w:p w14:paraId="68786CEF"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Javier Treviño Rangel, “El Ejército y su guerra: rendición de cuentas y cuentos”, </w:t>
      </w:r>
      <w:r w:rsidRPr="00127AFF">
        <w:rPr>
          <w:rFonts w:cs="Times New Roman"/>
          <w:i/>
          <w:color w:val="auto"/>
          <w:sz w:val="18"/>
          <w:szCs w:val="18"/>
          <w:lang w:val="es-ES_tradnl"/>
        </w:rPr>
        <w:t>Revista Nexos</w:t>
      </w:r>
      <w:r w:rsidRPr="00127AFF">
        <w:rPr>
          <w:rFonts w:cs="Times New Roman"/>
          <w:color w:val="auto"/>
          <w:sz w:val="18"/>
          <w:szCs w:val="18"/>
          <w:lang w:val="es-ES_tradnl"/>
        </w:rPr>
        <w:t xml:space="preserve">, March 28, 2019. </w:t>
      </w:r>
      <w:r w:rsidRPr="00127AFF">
        <w:rPr>
          <w:rFonts w:cs="Times New Roman"/>
          <w:color w:val="auto"/>
          <w:sz w:val="18"/>
          <w:szCs w:val="18"/>
          <w:lang w:val="en-GB"/>
        </w:rPr>
        <w:t>Available at: https://seguridad.nexos.com.mx/?p=1316</w:t>
      </w:r>
    </w:p>
  </w:footnote>
  <w:footnote w:id="21">
    <w:p w14:paraId="6EF80AED"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Ibíd.</w:t>
      </w:r>
    </w:p>
  </w:footnote>
  <w:footnote w:id="22">
    <w:p w14:paraId="3CC81AD6"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Human Rights Watch, “Informe Mundial 2019: México eventos 2018”. Available at: https://www.hrw.org/es/world-report/2019/country-chapters/326034</w:t>
      </w:r>
    </w:p>
  </w:footnote>
  <w:footnote w:id="23">
    <w:p w14:paraId="63BA5D94"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Ibíd.</w:t>
      </w:r>
    </w:p>
  </w:footnote>
  <w:footnote w:id="24">
    <w:p w14:paraId="705C09CC" w14:textId="2BBA1073" w:rsidR="003D2AD3" w:rsidRPr="00127AFF" w:rsidRDefault="003D2AD3" w:rsidP="00127AFF">
      <w:pPr>
        <w:pStyle w:val="FootnoteText"/>
        <w:contextualSpacing/>
        <w:rPr>
          <w:color w:val="auto"/>
          <w:sz w:val="18"/>
          <w:szCs w:val="18"/>
          <w:lang w:val="en-GB"/>
        </w:rPr>
      </w:pPr>
      <w:r w:rsidRPr="00127AFF">
        <w:rPr>
          <w:rStyle w:val="FootnoteReference"/>
          <w:color w:val="auto"/>
          <w:sz w:val="18"/>
          <w:szCs w:val="18"/>
        </w:rPr>
        <w:footnoteRef/>
      </w:r>
      <w:r w:rsidRPr="00127AFF">
        <w:rPr>
          <w:color w:val="auto"/>
          <w:sz w:val="18"/>
          <w:szCs w:val="18"/>
          <w:lang w:val="en-US"/>
        </w:rPr>
        <w:t xml:space="preserve"> </w:t>
      </w:r>
      <w:r w:rsidRPr="00127AFF">
        <w:rPr>
          <w:rFonts w:cs="Open Sans"/>
          <w:color w:val="auto"/>
          <w:sz w:val="18"/>
          <w:szCs w:val="18"/>
          <w:lang w:val="en-GB"/>
        </w:rPr>
        <w:fldChar w:fldCharType="begin"/>
      </w:r>
      <w:r w:rsidRPr="00127AFF">
        <w:rPr>
          <w:rFonts w:cs="Open Sans"/>
          <w:color w:val="auto"/>
          <w:sz w:val="18"/>
          <w:szCs w:val="18"/>
          <w:lang w:val="en-GB"/>
        </w:rPr>
        <w:instrText xml:space="preserve"> ADDIN ZOTERO_ITEM CSL_CITATION {"citationID":"VCSqXt9M","properties":{"formattedCitation":"Human Rights Committee, \\uc0\\u8216{}General Comment No. 36 on Article 6 of the International Covenant on Civil and Political Rights, on the Right to Life\\uc0\\u8217{} (United Nations, 2018), 3, https://www.ohchr.org/Documents/HRBodies/CCPR/GCArticle6/GCArticle6_EN.pdf.","plainCitation":"Human Rights Committee, ‘General Comment No. 36 on Article 6 of the International Covenant on Civil and Political Rights, on the Right to Life’ (United Nations, 2018), 3, https://www.ohchr.org/Documents/HRBodies/CCPR/GCArticle6/GCArticle6_EN.pdf.","dontUpdate":true,"noteIndex":38},"citationItems":[{"id":122,"uris":["http://zotero.org/groups/2265556/items/T6LTZN7A"],"uri":["http://zotero.org/groups/2265556/items/T6LTZN7A"],"itemData":{"id":122,"type":"report","title":"General comment No. 36 on article 6 of the International Covenant on Civil and Political Rights, on the right to life","publisher":"United Nations","URL":"https://www.ohchr.org/Documents/HRBodies/CCPR/GCArticle6/GCArticle6_EN.pdf","author":[{"literal":"Human Rights Committee"}],"issued":{"date-parts":[["2018"]]},"accessed":{"date-parts":[["2019",1,15]]}},"locator":"3"}],"schema":"https://github.com/citation-style-language/schema/raw/master/csl-citation.json"} </w:instrText>
      </w:r>
      <w:r w:rsidRPr="00127AFF">
        <w:rPr>
          <w:rFonts w:cs="Open Sans"/>
          <w:color w:val="auto"/>
          <w:sz w:val="18"/>
          <w:szCs w:val="18"/>
          <w:lang w:val="en-GB"/>
        </w:rPr>
        <w:fldChar w:fldCharType="separate"/>
      </w:r>
      <w:r w:rsidRPr="00127AFF">
        <w:rPr>
          <w:rFonts w:cs="Open Sans"/>
          <w:color w:val="auto"/>
          <w:sz w:val="18"/>
          <w:szCs w:val="18"/>
          <w:lang w:val="en-GB"/>
        </w:rPr>
        <w:t xml:space="preserve">Human Rights Committee, ‘Concluding observations on the second periodic report of Honduras (United Nations, 2017), 21, </w:t>
      </w:r>
      <w:r w:rsidRPr="00127AFF">
        <w:rPr>
          <w:rFonts w:cs="Open Sans"/>
          <w:color w:val="auto"/>
          <w:sz w:val="18"/>
          <w:szCs w:val="18"/>
          <w:lang w:val="en-GB"/>
        </w:rPr>
        <w:fldChar w:fldCharType="end"/>
      </w:r>
      <w:r w:rsidRPr="00127AFF">
        <w:rPr>
          <w:color w:val="auto"/>
          <w:sz w:val="18"/>
          <w:szCs w:val="18"/>
          <w:lang w:val="en-US"/>
        </w:rPr>
        <w:t xml:space="preserve"> </w:t>
      </w:r>
      <w:hyperlink r:id="rId2" w:history="1">
        <w:r w:rsidRPr="00127AFF">
          <w:rPr>
            <w:rStyle w:val="Hyperlink"/>
            <w:color w:val="auto"/>
            <w:sz w:val="18"/>
            <w:szCs w:val="18"/>
            <w:lang w:val="en-US"/>
          </w:rPr>
          <w:t>http://docstore.ohchr.org/SelfServices/FilesHandler.ashx?enc=6QkG1d%2fPPRiCAqhKb7yhsoNGbyGkOIGC%2fg46yWsxEHvAsWZ9dtpLIRdNyWhUFxDS9TSKnM1HjcwVmj7vRSWWBxMIwMms4waby1y%2bABGlU4s4ZS%2fzpHhaQAhZXcoETsc%2b</w:t>
        </w:r>
      </w:hyperlink>
    </w:p>
  </w:footnote>
  <w:footnote w:id="25">
    <w:p w14:paraId="66044380" w14:textId="677DCDD0" w:rsidR="003D2AD3" w:rsidRPr="00127AFF" w:rsidRDefault="003D2AD3" w:rsidP="00127AFF">
      <w:pPr>
        <w:pStyle w:val="FootnoteText"/>
        <w:contextualSpacing/>
        <w:rPr>
          <w:color w:val="auto"/>
          <w:sz w:val="18"/>
          <w:szCs w:val="18"/>
          <w:lang w:val="en-GB"/>
        </w:rPr>
      </w:pPr>
      <w:r w:rsidRPr="00127AFF">
        <w:rPr>
          <w:rStyle w:val="FootnoteReference"/>
          <w:color w:val="auto"/>
          <w:sz w:val="18"/>
          <w:szCs w:val="18"/>
        </w:rPr>
        <w:footnoteRef/>
      </w:r>
      <w:r w:rsidRPr="00127AFF">
        <w:rPr>
          <w:color w:val="auto"/>
          <w:sz w:val="18"/>
          <w:szCs w:val="18"/>
          <w:lang w:val="en-US"/>
        </w:rPr>
        <w:t xml:space="preserve"> </w:t>
      </w:r>
      <w:r w:rsidRPr="00127AFF">
        <w:rPr>
          <w:rFonts w:cs="Open Sans"/>
          <w:color w:val="auto"/>
          <w:sz w:val="18"/>
          <w:szCs w:val="18"/>
          <w:lang w:val="en-GB"/>
        </w:rPr>
        <w:fldChar w:fldCharType="begin"/>
      </w:r>
      <w:r w:rsidRPr="00127AFF">
        <w:rPr>
          <w:rFonts w:cs="Open Sans"/>
          <w:color w:val="auto"/>
          <w:sz w:val="18"/>
          <w:szCs w:val="18"/>
          <w:lang w:val="en-GB"/>
        </w:rPr>
        <w:instrText xml:space="preserve"> ADDIN ZOTERO_ITEM CSL_CITATION {"citationID":"VCSqXt9M","properties":{"formattedCitation":"Human Rights Committee, \\uc0\\u8216{}General Comment No. 36 on Article 6 of the International Covenant on Civil and Political Rights, on the Right to Life\\uc0\\u8217{} (United Nations, 2018), 3, https://www.ohchr.org/Documents/HRBodies/CCPR/GCArticle6/GCArticle6_EN.pdf.","plainCitation":"Human Rights Committee, ‘General Comment No. 36 on Article 6 of the International Covenant on Civil and Political Rights, on the Right to Life’ (United Nations, 2018), 3, https://www.ohchr.org/Documents/HRBodies/CCPR/GCArticle6/GCArticle6_EN.pdf.","dontUpdate":true,"noteIndex":38},"citationItems":[{"id":122,"uris":["http://zotero.org/groups/2265556/items/T6LTZN7A"],"uri":["http://zotero.org/groups/2265556/items/T6LTZN7A"],"itemData":{"id":122,"type":"report","title":"General comment No. 36 on article 6 of the International Covenant on Civil and Political Rights, on the right to life","publisher":"United Nations","URL":"https://www.ohchr.org/Documents/HRBodies/CCPR/GCArticle6/GCArticle6_EN.pdf","author":[{"literal":"Human Rights Committee"}],"issued":{"date-parts":[["2018"]]},"accessed":{"date-parts":[["2019",1,15]]}},"locator":"3"}],"schema":"https://github.com/citation-style-language/schema/raw/master/csl-citation.json"} </w:instrText>
      </w:r>
      <w:r w:rsidRPr="00127AFF">
        <w:rPr>
          <w:rFonts w:cs="Open Sans"/>
          <w:color w:val="auto"/>
          <w:sz w:val="18"/>
          <w:szCs w:val="18"/>
          <w:lang w:val="en-GB"/>
        </w:rPr>
        <w:fldChar w:fldCharType="separate"/>
      </w:r>
      <w:r w:rsidRPr="00127AFF">
        <w:rPr>
          <w:rFonts w:cs="Open Sans"/>
          <w:color w:val="auto"/>
          <w:sz w:val="18"/>
          <w:szCs w:val="18"/>
          <w:lang w:val="en-GB"/>
        </w:rPr>
        <w:t xml:space="preserve">Human Rights Committee, ‘Concluding observations on the fifth  periodic report of Mexico (United Nations, 2010), 11, </w:t>
      </w:r>
      <w:r w:rsidRPr="00127AFF">
        <w:rPr>
          <w:rFonts w:cs="Open Sans"/>
          <w:color w:val="auto"/>
          <w:sz w:val="18"/>
          <w:szCs w:val="18"/>
          <w:lang w:val="en-GB"/>
        </w:rPr>
        <w:fldChar w:fldCharType="end"/>
      </w:r>
      <w:r w:rsidRPr="00127AFF">
        <w:rPr>
          <w:color w:val="auto"/>
          <w:sz w:val="18"/>
          <w:szCs w:val="18"/>
          <w:lang w:val="en-US"/>
        </w:rPr>
        <w:t xml:space="preserve"> </w:t>
      </w:r>
      <w:hyperlink r:id="rId3" w:history="1">
        <w:r w:rsidRPr="00127AFF">
          <w:rPr>
            <w:rStyle w:val="Hyperlink"/>
            <w:color w:val="auto"/>
            <w:sz w:val="18"/>
            <w:szCs w:val="18"/>
            <w:lang w:val="en-US"/>
          </w:rPr>
          <w:t>http://docstore.ohchr.org/SelfServices/FilesHandler.ashx?enc=6QkG1d%2fPPRiCAqhKb7yhsnn3otTjgQWftWGGStAtK%2fAIldteZw9pELsKyA4KCdQ1cYGYVhfF%2bHWBul1UcrBSHiX8YducU6Bde4tOasgIdI0eQtvoIiGlCf8bTD2GCD0P</w:t>
        </w:r>
      </w:hyperlink>
      <w:r w:rsidRPr="00127AFF">
        <w:rPr>
          <w:color w:val="auto"/>
          <w:sz w:val="18"/>
          <w:szCs w:val="18"/>
          <w:lang w:val="en-US"/>
        </w:rPr>
        <w:t>.</w:t>
      </w:r>
    </w:p>
  </w:footnote>
  <w:footnote w:id="26">
    <w:p w14:paraId="6012FAC9" w14:textId="120C89B6" w:rsidR="003D2AD3" w:rsidRPr="00127AFF" w:rsidRDefault="003D2AD3" w:rsidP="00127AFF">
      <w:pPr>
        <w:pStyle w:val="FootnoteText"/>
        <w:contextualSpacing/>
        <w:rPr>
          <w:color w:val="auto"/>
          <w:sz w:val="18"/>
          <w:szCs w:val="18"/>
          <w:lang w:val="en-GB"/>
        </w:rPr>
      </w:pPr>
      <w:r w:rsidRPr="00127AFF">
        <w:rPr>
          <w:rStyle w:val="FootnoteReference"/>
          <w:color w:val="auto"/>
          <w:sz w:val="18"/>
          <w:szCs w:val="18"/>
        </w:rPr>
        <w:footnoteRef/>
      </w:r>
      <w:r w:rsidRPr="00127AFF">
        <w:rPr>
          <w:color w:val="auto"/>
          <w:sz w:val="18"/>
          <w:szCs w:val="18"/>
          <w:lang w:val="en-US"/>
        </w:rPr>
        <w:t xml:space="preserve"> Ibid.</w:t>
      </w:r>
    </w:p>
  </w:footnote>
  <w:footnote w:id="27">
    <w:p w14:paraId="502C64B4" w14:textId="70ADD194" w:rsidR="003D2AD3" w:rsidRPr="00127AFF" w:rsidRDefault="003D2AD3" w:rsidP="00127AFF">
      <w:pPr>
        <w:pStyle w:val="FootnoteText"/>
        <w:contextualSpacing/>
        <w:rPr>
          <w:color w:val="auto"/>
          <w:sz w:val="18"/>
          <w:szCs w:val="18"/>
          <w:lang w:val="en-GB"/>
        </w:rPr>
      </w:pPr>
      <w:r w:rsidRPr="00127AFF">
        <w:rPr>
          <w:rStyle w:val="FootnoteReference"/>
          <w:color w:val="auto"/>
          <w:sz w:val="18"/>
          <w:szCs w:val="18"/>
        </w:rPr>
        <w:footnoteRef/>
      </w:r>
      <w:r w:rsidRPr="00127AFF">
        <w:rPr>
          <w:color w:val="auto"/>
          <w:sz w:val="18"/>
          <w:szCs w:val="18"/>
          <w:lang w:val="en-US"/>
        </w:rPr>
        <w:t xml:space="preserve"> </w:t>
      </w:r>
      <w:r w:rsidRPr="00127AFF">
        <w:rPr>
          <w:rFonts w:cs="Open Sans"/>
          <w:color w:val="auto"/>
          <w:sz w:val="18"/>
          <w:szCs w:val="18"/>
          <w:lang w:val="en-GB"/>
        </w:rPr>
        <w:fldChar w:fldCharType="begin"/>
      </w:r>
      <w:r w:rsidRPr="00127AFF">
        <w:rPr>
          <w:rFonts w:cs="Open Sans"/>
          <w:color w:val="auto"/>
          <w:sz w:val="18"/>
          <w:szCs w:val="18"/>
          <w:lang w:val="en-GB"/>
        </w:rPr>
        <w:instrText xml:space="preserve"> ADDIN ZOTERO_ITEM CSL_CITATION {"citationID":"VCSqXt9M","properties":{"formattedCitation":"Human Rights Committee, \\uc0\\u8216{}General Comment No. 36 on Article 6 of the International Covenant on Civil and Political Rights, on the Right to Life\\uc0\\u8217{} (United Nations, 2018), 3, https://www.ohchr.org/Documents/HRBodies/CCPR/GCArticle6/GCArticle6_EN.pdf.","plainCitation":"Human Rights Committee, ‘General Comment No. 36 on Article 6 of the International Covenant on Civil and Political Rights, on the Right to Life’ (United Nations, 2018), 3, https://www.ohchr.org/Documents/HRBodies/CCPR/GCArticle6/GCArticle6_EN.pdf.","dontUpdate":true,"noteIndex":38},"citationItems":[{"id":122,"uris":["http://zotero.org/groups/2265556/items/T6LTZN7A"],"uri":["http://zotero.org/groups/2265556/items/T6LTZN7A"],"itemData":{"id":122,"type":"report","title":"General comment No. 36 on article 6 of the International Covenant on Civil and Political Rights, on the right to life","publisher":"United Nations","URL":"https://www.ohchr.org/Documents/HRBodies/CCPR/GCArticle6/GCArticle6_EN.pdf","author":[{"literal":"Human Rights Committee"}],"issued":{"date-parts":[["2018"]]},"accessed":{"date-parts":[["2019",1,15]]}},"locator":"3"}],"schema":"https://github.com/citation-style-language/schema/raw/master/csl-citation.json"} </w:instrText>
      </w:r>
      <w:r w:rsidRPr="00127AFF">
        <w:rPr>
          <w:rFonts w:cs="Open Sans"/>
          <w:color w:val="auto"/>
          <w:sz w:val="18"/>
          <w:szCs w:val="18"/>
          <w:lang w:val="en-GB"/>
        </w:rPr>
        <w:fldChar w:fldCharType="separate"/>
      </w:r>
      <w:r w:rsidRPr="00127AFF">
        <w:rPr>
          <w:rFonts w:cs="Open Sans"/>
          <w:color w:val="auto"/>
          <w:sz w:val="18"/>
          <w:szCs w:val="18"/>
          <w:lang w:val="en-GB"/>
        </w:rPr>
        <w:t xml:space="preserve">Human Rights Committee, ‘General Comment on Article 4' (United Nations, 2001), 2, </w:t>
      </w:r>
      <w:r w:rsidRPr="00127AFF">
        <w:rPr>
          <w:rFonts w:cs="Open Sans"/>
          <w:color w:val="auto"/>
          <w:sz w:val="18"/>
          <w:szCs w:val="18"/>
          <w:lang w:val="en-GB"/>
        </w:rPr>
        <w:fldChar w:fldCharType="end"/>
      </w:r>
      <w:r w:rsidRPr="00127AFF">
        <w:rPr>
          <w:color w:val="auto"/>
          <w:sz w:val="18"/>
          <w:szCs w:val="18"/>
          <w:lang w:val="en-US"/>
        </w:rPr>
        <w:t xml:space="preserve"> </w:t>
      </w:r>
      <w:hyperlink r:id="rId4" w:history="1">
        <w:hyperlink r:id="rId5" w:history="1">
          <w:r w:rsidRPr="00127AFF">
            <w:rPr>
              <w:rStyle w:val="Hyperlink"/>
              <w:color w:val="auto"/>
              <w:sz w:val="18"/>
              <w:szCs w:val="18"/>
              <w:lang w:val="en-US"/>
            </w:rPr>
            <w:t>http://docstore.ohchr.org/SelfServices/FilesHandler.ashx?enc=6QkG1d%2fPPRiCAqhKb7yhsjYoiCfMKoIRv2FVaVzRkMjTnjRO%2bfud3cPVrcM9YR0iix49nlFOsUPO4oTG7R%2fo7TSsorhtwUUG%2by2PtslYr5BldM8DN9shT8B8NpbsC%2b7bODxKR6zdESeXKjiLnNU%2bgQ%3d%3d</w:t>
          </w:r>
        </w:hyperlink>
        <w:r w:rsidRPr="00127AFF">
          <w:rPr>
            <w:rStyle w:val="Hyperlink"/>
            <w:color w:val="auto"/>
            <w:sz w:val="18"/>
            <w:szCs w:val="18"/>
            <w:lang w:val="en-US"/>
          </w:rPr>
          <w:t>b</w:t>
        </w:r>
      </w:hyperlink>
    </w:p>
  </w:footnote>
  <w:footnote w:id="28">
    <w:p w14:paraId="64F14102" w14:textId="157484AF" w:rsidR="003D2AD3" w:rsidRPr="00127AFF" w:rsidRDefault="003D2AD3" w:rsidP="00127AFF">
      <w:pPr>
        <w:pStyle w:val="FootnoteText"/>
        <w:contextualSpacing/>
        <w:rPr>
          <w:color w:val="auto"/>
          <w:sz w:val="18"/>
          <w:szCs w:val="18"/>
          <w:lang w:val="es-ES_tradnl"/>
        </w:rPr>
      </w:pPr>
      <w:r w:rsidRPr="00127AFF">
        <w:rPr>
          <w:rStyle w:val="FootnoteReference"/>
          <w:color w:val="auto"/>
          <w:sz w:val="18"/>
          <w:szCs w:val="18"/>
        </w:rPr>
        <w:footnoteRef/>
      </w:r>
      <w:r w:rsidRPr="00127AFF">
        <w:rPr>
          <w:color w:val="auto"/>
          <w:sz w:val="18"/>
          <w:szCs w:val="18"/>
        </w:rPr>
        <w:t xml:space="preserve"> </w:t>
      </w:r>
      <w:r w:rsidRPr="00127AFF">
        <w:rPr>
          <w:color w:val="auto"/>
          <w:sz w:val="18"/>
          <w:szCs w:val="18"/>
          <w:lang w:val="es-ES_tradnl"/>
        </w:rPr>
        <w:t xml:space="preserve">Ibid, para. 4. </w:t>
      </w:r>
    </w:p>
  </w:footnote>
  <w:footnote w:id="29">
    <w:p w14:paraId="7FA4EECC" w14:textId="77777777" w:rsidR="003D2AD3" w:rsidRPr="00127AFF" w:rsidRDefault="003D2AD3" w:rsidP="00127AFF">
      <w:pPr>
        <w:pStyle w:val="FootnoteText"/>
        <w:contextualSpacing/>
        <w:jc w:val="both"/>
        <w:rPr>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Plan nacional de paz y seguridad 2018-2024. </w:t>
      </w:r>
      <w:r w:rsidRPr="00127AFF">
        <w:rPr>
          <w:rFonts w:cs="Times New Roman"/>
          <w:color w:val="auto"/>
          <w:sz w:val="18"/>
          <w:szCs w:val="18"/>
          <w:lang w:val="en-GB"/>
        </w:rPr>
        <w:t>Available at: https://lopezobrador.org.mx/wp-content/uploads/2018/11/PLAN-DE-PAZ-Y-SEGURIDAD_ANEXO.pdf</w:t>
      </w:r>
    </w:p>
  </w:footnote>
  <w:footnote w:id="30">
    <w:p w14:paraId="756A07DC" w14:textId="77777777" w:rsidR="003D2AD3" w:rsidRPr="00127AFF" w:rsidRDefault="003D2AD3" w:rsidP="00127AFF">
      <w:pPr>
        <w:spacing w:after="0" w:line="240" w:lineRule="auto"/>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Consejo de Derechos Humanos 26º período de sesiones Tema 3 de la agenda Promoción y protección de todos los derechos humanos, civiles, políticos, económicos, sociales y culturales, incluido el derecho al desarrollo Informe del Relator Especial sobre las ejecuciones extrajudiciales, sumarias o arbitrarias, Christof Heyns Adición Misión a México. </w:t>
      </w:r>
      <w:r w:rsidRPr="00127AFF">
        <w:rPr>
          <w:rFonts w:cs="Times New Roman"/>
          <w:color w:val="auto"/>
          <w:sz w:val="18"/>
          <w:szCs w:val="18"/>
          <w:lang w:val="en-GB"/>
        </w:rPr>
        <w:t>Available at:</w:t>
      </w:r>
      <w:hyperlink r:id="rId6">
        <w:r w:rsidRPr="00127AFF">
          <w:rPr>
            <w:rFonts w:cs="Times New Roman"/>
            <w:color w:val="auto"/>
            <w:sz w:val="18"/>
            <w:szCs w:val="18"/>
            <w:lang w:val="en-GB"/>
          </w:rPr>
          <w:t xml:space="preserve"> </w:t>
        </w:r>
      </w:hyperlink>
      <w:r w:rsidRPr="00127AFF">
        <w:rPr>
          <w:rFonts w:cs="Times New Roman"/>
          <w:color w:val="auto"/>
          <w:sz w:val="18"/>
          <w:szCs w:val="18"/>
          <w:u w:val="single"/>
          <w:lang w:val="en-GB"/>
        </w:rPr>
        <w:t>https://www.ohchr.org/Documents/HRBodies/HRCouncil/RegularSession/Session20/A.HRC.20.22.SPA.pdf</w:t>
      </w:r>
    </w:p>
  </w:footnote>
  <w:footnote w:id="31">
    <w:p w14:paraId="7FBC7795"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Alberto Najar, “Primer informe de gobierno de AMLO: la controvertida estrategia de seguridad de López Obrador que no ha servido de momento para frenar al narcotráfico”, BBC Mundo, Ciudad de México, September 2, 2019. </w:t>
      </w:r>
      <w:r w:rsidRPr="00127AFF">
        <w:rPr>
          <w:rFonts w:cs="Times New Roman"/>
          <w:color w:val="auto"/>
          <w:sz w:val="18"/>
          <w:szCs w:val="18"/>
          <w:lang w:val="en-GB"/>
        </w:rPr>
        <w:t>Available at: https://www.bbc.com/mundo/noticias-america-latina-49521069</w:t>
      </w:r>
    </w:p>
  </w:footnote>
  <w:footnote w:id="32">
    <w:p w14:paraId="7C448849"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Juan Raúl Linares, “Mucha Guardia Nacional, pero la violencia sigue”, Revista Proceso, September 7, 2019. </w:t>
      </w:r>
      <w:r w:rsidRPr="00127AFF">
        <w:rPr>
          <w:rFonts w:cs="Times New Roman"/>
          <w:color w:val="auto"/>
          <w:sz w:val="18"/>
          <w:szCs w:val="18"/>
          <w:lang w:val="en-GB"/>
        </w:rPr>
        <w:t>Available at: https://www.proceso.com.mx/598731/mucha-guardia-nacional-pero-la-violencia-sigue</w:t>
      </w:r>
    </w:p>
  </w:footnote>
  <w:footnote w:id="33">
    <w:p w14:paraId="6C2D4DC8"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Paul Frissard y Daniela Osorio, “Dos meses de Guardia Nacional: ¿Qué observamos?”, </w:t>
      </w:r>
      <w:r w:rsidRPr="00127AFF">
        <w:rPr>
          <w:rFonts w:cs="Times New Roman"/>
          <w:i/>
          <w:color w:val="auto"/>
          <w:sz w:val="18"/>
          <w:szCs w:val="18"/>
          <w:lang w:val="es-ES_tradnl"/>
        </w:rPr>
        <w:t>Revista Nexos</w:t>
      </w:r>
      <w:r w:rsidRPr="00127AFF">
        <w:rPr>
          <w:rFonts w:cs="Times New Roman"/>
          <w:color w:val="auto"/>
          <w:sz w:val="18"/>
          <w:szCs w:val="18"/>
          <w:lang w:val="es-ES_tradnl"/>
        </w:rPr>
        <w:t>, September 2, 2019. Available at:</w:t>
      </w:r>
      <w:hyperlink r:id="rId7" w:history="1">
        <w:r w:rsidRPr="00127AFF">
          <w:rPr>
            <w:rStyle w:val="Hyperlink"/>
            <w:rFonts w:cs="Times New Roman"/>
            <w:color w:val="auto"/>
            <w:sz w:val="18"/>
            <w:szCs w:val="18"/>
            <w:lang w:val="es-ES_tradnl"/>
          </w:rPr>
          <w:t>https://seguridad.nexos.com.mx/?p=1551</w:t>
        </w:r>
      </w:hyperlink>
    </w:p>
  </w:footnote>
  <w:footnote w:id="34">
    <w:p w14:paraId="210DD5D6"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Una guerra sin rumbo claro – El País:</w:t>
      </w:r>
      <w:hyperlink r:id="rId8">
        <w:r w:rsidRPr="00127AFF">
          <w:rPr>
            <w:rFonts w:cs="Times New Roman"/>
            <w:color w:val="auto"/>
            <w:sz w:val="18"/>
            <w:szCs w:val="18"/>
            <w:lang w:val="es-ES_tradnl"/>
          </w:rPr>
          <w:t xml:space="preserve"> </w:t>
        </w:r>
      </w:hyperlink>
      <w:r w:rsidRPr="00127AFF">
        <w:rPr>
          <w:rFonts w:cs="Times New Roman"/>
          <w:color w:val="auto"/>
          <w:sz w:val="18"/>
          <w:szCs w:val="18"/>
          <w:u w:val="single"/>
          <w:lang w:val="es-ES_tradnl"/>
        </w:rPr>
        <w:t>https://elpais.com/especiales/2016/guerra-narcotrafico-mexico/</w:t>
      </w:r>
    </w:p>
  </w:footnote>
  <w:footnote w:id="35">
    <w:p w14:paraId="2AD1470A" w14:textId="77777777" w:rsidR="003D2AD3" w:rsidRPr="00127AFF" w:rsidRDefault="003D2AD3" w:rsidP="00127AFF">
      <w:pPr>
        <w:spacing w:after="0" w:line="240" w:lineRule="auto"/>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Gobierno Federal destina 400 MDP a la búsqueda de desaparecidos. Nota de El Informador, Febraury 4, 2019. </w:t>
      </w:r>
    </w:p>
    <w:p w14:paraId="399F0B5F" w14:textId="77777777" w:rsidR="003D2AD3" w:rsidRPr="00127AFF" w:rsidRDefault="003D2AD3" w:rsidP="00127AFF">
      <w:pPr>
        <w:spacing w:after="0" w:line="240" w:lineRule="auto"/>
        <w:contextualSpacing/>
        <w:jc w:val="both"/>
        <w:rPr>
          <w:rFonts w:cs="Times New Roman"/>
          <w:color w:val="auto"/>
          <w:sz w:val="18"/>
          <w:szCs w:val="18"/>
          <w:lang w:val="es-ES_tradnl"/>
        </w:rPr>
      </w:pPr>
      <w:r w:rsidRPr="00127AFF">
        <w:rPr>
          <w:rFonts w:cs="Times New Roman"/>
          <w:color w:val="auto"/>
          <w:sz w:val="18"/>
          <w:szCs w:val="18"/>
          <w:u w:val="single"/>
          <w:lang w:val="es-ES_tradnl"/>
        </w:rPr>
        <w:t>https://www.informador.mx/mexico/Gobierno-Federal-destina-400-MDP-a-la-busqueda-de-desaparecidos-20190204-0043.html</w:t>
      </w:r>
    </w:p>
  </w:footnote>
  <w:footnote w:id="36">
    <w:p w14:paraId="258412F4"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José A. Guevara B., “CMDPDH: Las Fuerzas Armadas y la seguridad pública”, </w:t>
      </w:r>
      <w:r w:rsidRPr="00127AFF">
        <w:rPr>
          <w:rFonts w:cs="Times New Roman"/>
          <w:i/>
          <w:color w:val="auto"/>
          <w:sz w:val="18"/>
          <w:szCs w:val="18"/>
          <w:lang w:val="es-ES_tradnl"/>
        </w:rPr>
        <w:t>Revista Nexos</w:t>
      </w:r>
      <w:r w:rsidRPr="00127AFF">
        <w:rPr>
          <w:rFonts w:cs="Times New Roman"/>
          <w:color w:val="auto"/>
          <w:sz w:val="18"/>
          <w:szCs w:val="18"/>
          <w:lang w:val="es-ES_tradnl"/>
        </w:rPr>
        <w:t>, March 1, 2019. Available at: https://www.nexos.com.mx/?p=41380</w:t>
      </w:r>
    </w:p>
  </w:footnote>
  <w:footnote w:id="37">
    <w:p w14:paraId="56D7F381"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Georgina Zerega, “El Gobierno de México cifra las fosas clandestinas en más de 3.000, </w:t>
      </w:r>
      <w:r w:rsidRPr="00127AFF">
        <w:rPr>
          <w:rFonts w:cs="Times New Roman"/>
          <w:i/>
          <w:color w:val="auto"/>
          <w:sz w:val="18"/>
          <w:szCs w:val="18"/>
          <w:lang w:val="es-ES_tradnl"/>
        </w:rPr>
        <w:t>El País</w:t>
      </w:r>
      <w:r w:rsidRPr="00127AFF">
        <w:rPr>
          <w:rFonts w:cs="Times New Roman"/>
          <w:color w:val="auto"/>
          <w:sz w:val="18"/>
          <w:szCs w:val="18"/>
          <w:lang w:val="es-ES_tradnl"/>
        </w:rPr>
        <w:t xml:space="preserve">, August 30, 2019. Available at: </w:t>
      </w:r>
      <w:hyperlink r:id="rId9" w:history="1">
        <w:r w:rsidRPr="00127AFF">
          <w:rPr>
            <w:rStyle w:val="Hyperlink"/>
            <w:rFonts w:eastAsia="Times New Roman" w:cs="Times New Roman"/>
            <w:color w:val="auto"/>
            <w:sz w:val="18"/>
            <w:szCs w:val="18"/>
            <w:lang w:val="es-ES_tradnl" w:eastAsia="zh-CN"/>
          </w:rPr>
          <w:t>https://elpais.com/internacional/2019/08/30/mexico/1567173416_337248.html</w:t>
        </w:r>
      </w:hyperlink>
    </w:p>
  </w:footnote>
  <w:footnote w:id="38">
    <w:p w14:paraId="35A5860A"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José Luis Pardo Veiras, “México: el violento país que AMLO no tiene bajo control”, The New York Times, MAy 12, 2019. </w:t>
      </w:r>
      <w:r w:rsidRPr="00127AFF">
        <w:rPr>
          <w:rFonts w:cs="Times New Roman"/>
          <w:color w:val="auto"/>
          <w:sz w:val="18"/>
          <w:szCs w:val="18"/>
          <w:lang w:val="en-GB"/>
        </w:rPr>
        <w:t>Available at: https://www.nytimes.com/es/2019/05/12/homicidios-lopez-obrador/</w:t>
      </w:r>
    </w:p>
  </w:footnote>
  <w:footnote w:id="39">
    <w:p w14:paraId="2A13EFDF" w14:textId="77777777" w:rsidR="003D2AD3" w:rsidRPr="00127AFF" w:rsidRDefault="003D2AD3" w:rsidP="00127AFF">
      <w:pPr>
        <w:spacing w:after="0" w:line="240" w:lineRule="auto"/>
        <w:contextualSpacing/>
        <w:jc w:val="both"/>
        <w:rPr>
          <w:rFonts w:eastAsia="Times New Roman" w:cs="Times New Roman"/>
          <w:color w:val="auto"/>
          <w:sz w:val="18"/>
          <w:szCs w:val="18"/>
          <w:u w:val="single"/>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París Martínez, “</w:t>
      </w:r>
      <w:r w:rsidRPr="00127AFF">
        <w:rPr>
          <w:rFonts w:eastAsia="DengXian" w:cs="Times New Roman"/>
          <w:color w:val="auto"/>
          <w:sz w:val="18"/>
          <w:szCs w:val="18"/>
          <w:lang w:val="es-ES_tradnl" w:eastAsia="zh-CN"/>
        </w:rPr>
        <w:t xml:space="preserve">Madres hallan fosa con 500 cadáveres en Tamaulipas; acusan a autoridades de ocultar información, pero Fiscalía lo niega”, </w:t>
      </w:r>
      <w:r w:rsidRPr="00127AFF">
        <w:rPr>
          <w:rFonts w:eastAsia="DengXian" w:cs="Times New Roman"/>
          <w:i/>
          <w:color w:val="auto"/>
          <w:sz w:val="18"/>
          <w:szCs w:val="18"/>
          <w:lang w:val="es-ES_tradnl" w:eastAsia="zh-CN"/>
        </w:rPr>
        <w:t>Animal Político</w:t>
      </w:r>
      <w:r w:rsidRPr="00127AFF">
        <w:rPr>
          <w:rFonts w:eastAsia="DengXian" w:cs="Times New Roman"/>
          <w:color w:val="auto"/>
          <w:sz w:val="18"/>
          <w:szCs w:val="18"/>
          <w:lang w:val="es-ES_tradnl" w:eastAsia="zh-CN"/>
        </w:rPr>
        <w:t xml:space="preserve">, Febraury 12, 2019. </w:t>
      </w:r>
      <w:r w:rsidRPr="00127AFF">
        <w:rPr>
          <w:rFonts w:cs="Times New Roman"/>
          <w:color w:val="auto"/>
          <w:sz w:val="18"/>
          <w:szCs w:val="18"/>
          <w:lang w:val="en-GB"/>
        </w:rPr>
        <w:t>Available at</w:t>
      </w:r>
      <w:r w:rsidRPr="00127AFF">
        <w:rPr>
          <w:rFonts w:eastAsia="DengXian" w:cs="Times New Roman"/>
          <w:color w:val="auto"/>
          <w:sz w:val="18"/>
          <w:szCs w:val="18"/>
          <w:lang w:val="en-GB" w:eastAsia="zh-CN"/>
        </w:rPr>
        <w:t xml:space="preserve">: </w:t>
      </w:r>
      <w:hyperlink r:id="rId10" w:history="1">
        <w:r w:rsidRPr="00127AFF">
          <w:rPr>
            <w:rStyle w:val="Hyperlink"/>
            <w:rFonts w:eastAsia="Times New Roman" w:cs="Times New Roman"/>
            <w:color w:val="auto"/>
            <w:sz w:val="18"/>
            <w:szCs w:val="18"/>
            <w:lang w:val="en-GB"/>
          </w:rPr>
          <w:t>https://www.animalpolitico.com/2019/02/madres-fosas-cadaveres-tamaulipas/</w:t>
        </w:r>
      </w:hyperlink>
    </w:p>
  </w:footnote>
  <w:footnote w:id="40">
    <w:p w14:paraId="59E6075E"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Rodrigo Soberanes, “Cierran Colinas de Santa Fe, la fosa más grande de México hallada por madres de desaparecidos”, Animal Político, August 9,  2019. </w:t>
      </w:r>
      <w:r w:rsidRPr="00127AFF">
        <w:rPr>
          <w:rFonts w:cs="Times New Roman"/>
          <w:color w:val="auto"/>
          <w:sz w:val="18"/>
          <w:szCs w:val="18"/>
          <w:lang w:val="en-GB"/>
        </w:rPr>
        <w:t>Available at: https://www.animalpolitico.com/2019/08/veracruz-cierran-colinas-santa-fe-busquedas-fosas/</w:t>
      </w:r>
    </w:p>
  </w:footnote>
  <w:footnote w:id="41">
    <w:p w14:paraId="68B57451" w14:textId="77777777" w:rsidR="003D2AD3" w:rsidRPr="00127AFF" w:rsidRDefault="003D2AD3" w:rsidP="00127AFF">
      <w:pPr>
        <w:spacing w:after="0" w:line="240" w:lineRule="auto"/>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Luis Pablo Beaurgard. El País. </w:t>
      </w:r>
      <w:r w:rsidRPr="00127AFF">
        <w:rPr>
          <w:rFonts w:cs="Times New Roman"/>
          <w:color w:val="auto"/>
          <w:sz w:val="18"/>
          <w:szCs w:val="18"/>
          <w:lang w:val="en-GB"/>
        </w:rPr>
        <w:t>Internacional. May 15, 2015. Available at:</w:t>
      </w:r>
      <w:hyperlink r:id="rId11">
        <w:r w:rsidRPr="00127AFF">
          <w:rPr>
            <w:rFonts w:cs="Times New Roman"/>
            <w:color w:val="auto"/>
            <w:sz w:val="18"/>
            <w:szCs w:val="18"/>
            <w:lang w:val="en-GB"/>
          </w:rPr>
          <w:t xml:space="preserve"> </w:t>
        </w:r>
      </w:hyperlink>
      <w:hyperlink r:id="rId12">
        <w:r w:rsidRPr="00127AFF">
          <w:rPr>
            <w:rFonts w:cs="Times New Roman"/>
            <w:color w:val="auto"/>
            <w:sz w:val="18"/>
            <w:szCs w:val="18"/>
            <w:u w:val="single"/>
            <w:lang w:val="en-GB"/>
          </w:rPr>
          <w:t>http://internacional.elpais.com/internacional/2015/05/15/actualidad/1431655479_587421.html</w:t>
        </w:r>
      </w:hyperlink>
    </w:p>
  </w:footnote>
  <w:footnote w:id="42">
    <w:p w14:paraId="143C3918" w14:textId="77777777" w:rsidR="003D2AD3" w:rsidRPr="00127AFF" w:rsidRDefault="003D2AD3" w:rsidP="00127AFF">
      <w:pPr>
        <w:spacing w:after="0" w:line="240" w:lineRule="auto"/>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Comisión Nacional de Derechos Humanos. Informe especial sobre desplazamiento forzado interno; demanda el reconocimiento oficial del fenómeno y atención a las víctimas bajo un perfil humanitario. 11 de mayo de 2016. Available at:</w:t>
      </w:r>
      <w:hyperlink r:id="rId13">
        <w:r w:rsidRPr="00127AFF">
          <w:rPr>
            <w:rFonts w:cs="Times New Roman"/>
            <w:color w:val="auto"/>
            <w:sz w:val="18"/>
            <w:szCs w:val="18"/>
            <w:lang w:val="es-ES_tradnl"/>
          </w:rPr>
          <w:t xml:space="preserve"> </w:t>
        </w:r>
      </w:hyperlink>
      <w:r w:rsidRPr="00127AFF">
        <w:rPr>
          <w:rFonts w:cs="Times New Roman"/>
          <w:color w:val="auto"/>
          <w:sz w:val="18"/>
          <w:szCs w:val="18"/>
          <w:u w:val="single"/>
          <w:lang w:val="es-ES_tradnl"/>
        </w:rPr>
        <w:t>http://www.cndh.org.mx/sites/all/doc/Comunicados/2016/Com_2016_131.pdf</w:t>
      </w:r>
    </w:p>
  </w:footnote>
  <w:footnote w:id="43">
    <w:p w14:paraId="6567163F" w14:textId="77777777" w:rsidR="003D2AD3" w:rsidRPr="00127AFF" w:rsidRDefault="003D2AD3" w:rsidP="00127AFF">
      <w:pPr>
        <w:spacing w:after="0" w:line="240" w:lineRule="auto"/>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Desplazamiento interno forzado en México – CMDPDH. </w:t>
      </w:r>
      <w:r w:rsidRPr="00127AFF">
        <w:rPr>
          <w:rFonts w:cs="Times New Roman"/>
          <w:color w:val="auto"/>
          <w:sz w:val="18"/>
          <w:szCs w:val="18"/>
          <w:lang w:val="en-GB"/>
        </w:rPr>
        <w:t>Avalaible at:</w:t>
      </w:r>
      <w:hyperlink r:id="rId14">
        <w:r w:rsidRPr="00127AFF">
          <w:rPr>
            <w:rFonts w:cs="Times New Roman"/>
            <w:color w:val="auto"/>
            <w:sz w:val="18"/>
            <w:szCs w:val="18"/>
            <w:lang w:val="en-GB"/>
          </w:rPr>
          <w:t xml:space="preserve"> </w:t>
        </w:r>
      </w:hyperlink>
      <w:r w:rsidRPr="00127AFF">
        <w:rPr>
          <w:rFonts w:cs="Times New Roman"/>
          <w:color w:val="auto"/>
          <w:sz w:val="18"/>
          <w:szCs w:val="18"/>
          <w:u w:val="single"/>
          <w:lang w:val="en-GB"/>
        </w:rPr>
        <w:t>http://www.cmdpdh.org/publicaciones-pdf/cmdpdh-desplazamiento-web.pdf</w:t>
      </w:r>
    </w:p>
  </w:footnote>
  <w:footnote w:id="44">
    <w:p w14:paraId="3ECD687F"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n-GB"/>
        </w:rPr>
        <w:t xml:space="preserve"> Human Rights Watch, “Informe Mundial 2019: México eventos 2018”. Available at: https://www.hrw.org/es/world-report/2019/country-chapters/326034</w:t>
      </w:r>
    </w:p>
  </w:footnote>
  <w:footnote w:id="45">
    <w:p w14:paraId="692EA268"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José A. Guevara B, “Las Fuerzas Armadas y la seguridad pública”, </w:t>
      </w:r>
      <w:r w:rsidRPr="00127AFF">
        <w:rPr>
          <w:rFonts w:cs="Times New Roman"/>
          <w:i/>
          <w:color w:val="auto"/>
          <w:sz w:val="18"/>
          <w:szCs w:val="18"/>
          <w:lang w:val="es-ES_tradnl"/>
        </w:rPr>
        <w:t>Revista Nexos</w:t>
      </w:r>
      <w:r w:rsidRPr="00127AFF">
        <w:rPr>
          <w:rFonts w:cs="Times New Roman"/>
          <w:color w:val="auto"/>
          <w:sz w:val="18"/>
          <w:szCs w:val="18"/>
          <w:lang w:val="es-ES_tradnl"/>
        </w:rPr>
        <w:t>, March 1, 2019. Available at: https://www.nexos.com.mx/?p=41380</w:t>
      </w:r>
    </w:p>
  </w:footnote>
  <w:footnote w:id="46">
    <w:p w14:paraId="3D195A8E"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Ibíd.</w:t>
      </w:r>
    </w:p>
  </w:footnote>
  <w:footnote w:id="47">
    <w:p w14:paraId="10B3CD36"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Estefanía Vela, “¿Una milicia con perspectiva de género?”, </w:t>
      </w:r>
      <w:r w:rsidRPr="00127AFF">
        <w:rPr>
          <w:rFonts w:cs="Times New Roman"/>
          <w:i/>
          <w:color w:val="auto"/>
          <w:sz w:val="18"/>
          <w:szCs w:val="18"/>
          <w:lang w:val="es-ES_tradnl"/>
        </w:rPr>
        <w:t>Animal Político</w:t>
      </w:r>
      <w:r w:rsidRPr="00127AFF">
        <w:rPr>
          <w:rFonts w:cs="Times New Roman"/>
          <w:color w:val="auto"/>
          <w:sz w:val="18"/>
          <w:szCs w:val="18"/>
          <w:lang w:val="es-ES_tradnl"/>
        </w:rPr>
        <w:t xml:space="preserve">, Febraury 12, 2019. </w:t>
      </w:r>
      <w:r w:rsidRPr="00127AFF">
        <w:rPr>
          <w:rFonts w:cs="Times New Roman"/>
          <w:color w:val="auto"/>
          <w:sz w:val="18"/>
          <w:szCs w:val="18"/>
          <w:lang w:val="en-GB"/>
        </w:rPr>
        <w:t>Avalaible at: https://www.animalpolitico.com/columna-invitada/una-milicia-con-perspectiva-de-genero/</w:t>
      </w:r>
    </w:p>
  </w:footnote>
  <w:footnote w:id="48">
    <w:p w14:paraId="5CD43901" w14:textId="77777777" w:rsidR="003D2AD3" w:rsidRPr="00127AFF" w:rsidRDefault="003D2AD3" w:rsidP="00127AFF">
      <w:pPr>
        <w:pStyle w:val="FootnoteText"/>
        <w:contextualSpacing/>
        <w:jc w:val="both"/>
        <w:rPr>
          <w:rFonts w:cs="Times New Roman"/>
          <w:color w:val="auto"/>
          <w:sz w:val="18"/>
          <w:szCs w:val="18"/>
          <w:lang w:val="es-ES_tradnl"/>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Ibid.</w:t>
      </w:r>
    </w:p>
  </w:footnote>
  <w:footnote w:id="49">
    <w:p w14:paraId="549BB188" w14:textId="77777777"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Estefanía Vela, “¿Una milicia con perspectiva de género?”, </w:t>
      </w:r>
      <w:r w:rsidRPr="00127AFF">
        <w:rPr>
          <w:rFonts w:cs="Times New Roman"/>
          <w:i/>
          <w:color w:val="auto"/>
          <w:sz w:val="18"/>
          <w:szCs w:val="18"/>
          <w:lang w:val="es-ES_tradnl"/>
        </w:rPr>
        <w:t>Animal Político</w:t>
      </w:r>
      <w:r w:rsidRPr="00127AFF">
        <w:rPr>
          <w:rFonts w:cs="Times New Roman"/>
          <w:color w:val="auto"/>
          <w:sz w:val="18"/>
          <w:szCs w:val="18"/>
          <w:lang w:val="es-ES_tradnl"/>
        </w:rPr>
        <w:t xml:space="preserve">, Febraury 12, 2019. </w:t>
      </w:r>
      <w:r w:rsidRPr="00127AFF">
        <w:rPr>
          <w:rFonts w:cs="Times New Roman"/>
          <w:color w:val="auto"/>
          <w:sz w:val="18"/>
          <w:szCs w:val="18"/>
          <w:lang w:val="en-GB"/>
        </w:rPr>
        <w:t>Available at: https://www.animalpolitico.com/columna-invitada/una-milicia-con-perspectiva-de-genero/</w:t>
      </w:r>
    </w:p>
  </w:footnote>
  <w:footnote w:id="50">
    <w:p w14:paraId="4DE96B87" w14:textId="2A889952" w:rsidR="003D2AD3" w:rsidRPr="00127AFF" w:rsidRDefault="003D2AD3" w:rsidP="00127AFF">
      <w:pPr>
        <w:pStyle w:val="FootnoteText"/>
        <w:contextualSpacing/>
        <w:jc w:val="both"/>
        <w:rPr>
          <w:rFonts w:cs="Times New Roman"/>
          <w:color w:val="auto"/>
          <w:sz w:val="18"/>
          <w:szCs w:val="18"/>
          <w:lang w:val="en-GB"/>
        </w:rPr>
      </w:pPr>
      <w:r w:rsidRPr="00127AFF">
        <w:rPr>
          <w:rStyle w:val="FootnoteReference"/>
          <w:rFonts w:cs="Times New Roman"/>
          <w:color w:val="auto"/>
          <w:sz w:val="18"/>
          <w:szCs w:val="18"/>
          <w:lang w:val="en-GB"/>
        </w:rPr>
        <w:footnoteRef/>
      </w:r>
      <w:r w:rsidRPr="00127AFF">
        <w:rPr>
          <w:rFonts w:cs="Times New Roman"/>
          <w:color w:val="auto"/>
          <w:sz w:val="18"/>
          <w:szCs w:val="18"/>
          <w:lang w:val="es-ES_tradnl"/>
        </w:rPr>
        <w:t xml:space="preserve"> Estefanía Vela, “¿Una milicia con perspectiva de género?”, </w:t>
      </w:r>
      <w:r w:rsidRPr="00127AFF">
        <w:rPr>
          <w:rFonts w:cs="Times New Roman"/>
          <w:i/>
          <w:color w:val="auto"/>
          <w:sz w:val="18"/>
          <w:szCs w:val="18"/>
          <w:lang w:val="es-ES_tradnl"/>
        </w:rPr>
        <w:t>Animal Político</w:t>
      </w:r>
      <w:r w:rsidRPr="00127AFF">
        <w:rPr>
          <w:rFonts w:cs="Times New Roman"/>
          <w:color w:val="auto"/>
          <w:sz w:val="18"/>
          <w:szCs w:val="18"/>
          <w:lang w:val="es-ES_tradnl"/>
        </w:rPr>
        <w:t xml:space="preserve">, February 12, 2019. </w:t>
      </w:r>
      <w:r w:rsidRPr="00127AFF">
        <w:rPr>
          <w:rFonts w:cs="Times New Roman"/>
          <w:color w:val="auto"/>
          <w:sz w:val="18"/>
          <w:szCs w:val="18"/>
          <w:lang w:val="en-GB"/>
        </w:rPr>
        <w:t>Available at: https://www.animalpolitico.com/columna-invitada/una-milicia-con-perspectiva-de-genero/</w:t>
      </w:r>
    </w:p>
  </w:footnote>
  <w:footnote w:id="51">
    <w:p w14:paraId="60BADFCD" w14:textId="359A9504" w:rsidR="003D2AD3" w:rsidRPr="00127AFF" w:rsidRDefault="003D2AD3" w:rsidP="00127AFF">
      <w:pPr>
        <w:spacing w:after="0"/>
        <w:contextualSpacing/>
        <w:rPr>
          <w:color w:val="auto"/>
          <w:sz w:val="18"/>
          <w:szCs w:val="18"/>
          <w:lang w:val="en-US"/>
        </w:rPr>
      </w:pPr>
      <w:r w:rsidRPr="00127AFF">
        <w:rPr>
          <w:rStyle w:val="FootnoteReference"/>
          <w:color w:val="auto"/>
          <w:sz w:val="18"/>
          <w:szCs w:val="18"/>
        </w:rPr>
        <w:footnoteRef/>
      </w:r>
      <w:r w:rsidRPr="00127AFF">
        <w:rPr>
          <w:color w:val="auto"/>
          <w:sz w:val="18"/>
          <w:szCs w:val="18"/>
          <w:lang w:val="es-ES_tradnl"/>
        </w:rPr>
        <w:t xml:space="preserve"> Organizations of Civil Society, INFORME ALTERNATIVO DE LAS ORGANIZACIONES DE LA SOCIEDAD CIVIL DE MÉXICO AL COMITÉ CONTRA LA TORTURA DE LA ONU 2012-2019, 2019. </w:t>
      </w:r>
      <w:r w:rsidRPr="00127AFF">
        <w:rPr>
          <w:color w:val="auto"/>
          <w:sz w:val="18"/>
          <w:szCs w:val="18"/>
          <w:lang w:val="en-US"/>
        </w:rPr>
        <w:t xml:space="preserve">Available at: </w:t>
      </w:r>
      <w:hyperlink r:id="rId15" w:history="1">
        <w:r w:rsidRPr="00127AFF">
          <w:rPr>
            <w:rStyle w:val="Hyperlink"/>
            <w:rFonts w:eastAsia="Times New Roman"/>
            <w:color w:val="auto"/>
            <w:sz w:val="18"/>
            <w:szCs w:val="18"/>
            <w:lang w:val="en-US"/>
          </w:rPr>
          <w:t>http://www.cmdpdh.org/publicaciones-pdf/cmdpdh-informe-conjunto-cat-2019.pdf</w:t>
        </w:r>
      </w:hyperlink>
      <w:r w:rsidRPr="00127AFF">
        <w:rPr>
          <w:rFonts w:eastAsia="Times New Roman"/>
          <w:color w:val="auto"/>
          <w:sz w:val="18"/>
          <w:szCs w:val="18"/>
          <w:lang w:val="en-US"/>
        </w:rPr>
        <w:t>.</w:t>
      </w:r>
    </w:p>
  </w:footnote>
  <w:footnote w:id="52">
    <w:p w14:paraId="5C90AAB7" w14:textId="77777777" w:rsidR="003D2AD3" w:rsidRPr="00127AFF" w:rsidRDefault="003D2AD3" w:rsidP="00127AFF">
      <w:pPr>
        <w:pStyle w:val="FootnoteText"/>
        <w:contextualSpacing/>
        <w:rPr>
          <w:rFonts w:cs="Open Sans"/>
          <w:color w:val="auto"/>
          <w:sz w:val="18"/>
          <w:szCs w:val="18"/>
          <w:lang w:val="en-GB"/>
        </w:rPr>
      </w:pPr>
      <w:r w:rsidRPr="00127AFF">
        <w:rPr>
          <w:rStyle w:val="FootnoteReference"/>
          <w:rFonts w:cs="Open Sans"/>
          <w:color w:val="auto"/>
          <w:sz w:val="18"/>
          <w:szCs w:val="18"/>
          <w:lang w:val="en-GB"/>
        </w:rPr>
        <w:footnoteRef/>
      </w:r>
      <w:r w:rsidRPr="00127AFF">
        <w:rPr>
          <w:rFonts w:cs="Open Sans"/>
          <w:color w:val="auto"/>
          <w:sz w:val="18"/>
          <w:szCs w:val="18"/>
          <w:lang w:val="en-GB"/>
        </w:rPr>
        <w:t xml:space="preserve"> </w:t>
      </w:r>
      <w:r w:rsidRPr="00127AFF">
        <w:rPr>
          <w:rFonts w:cs="Open Sans"/>
          <w:color w:val="auto"/>
          <w:sz w:val="18"/>
          <w:szCs w:val="18"/>
          <w:lang w:val="en-GB"/>
        </w:rPr>
        <w:fldChar w:fldCharType="begin"/>
      </w:r>
      <w:r w:rsidRPr="00127AFF">
        <w:rPr>
          <w:rFonts w:cs="Open Sans"/>
          <w:color w:val="auto"/>
          <w:sz w:val="18"/>
          <w:szCs w:val="18"/>
          <w:lang w:val="en-GB"/>
        </w:rPr>
        <w:instrText xml:space="preserve"> ADDIN ZOTERO_ITEM CSL_CITATION {"citationID":"rad90bZv","properties":{"formattedCitation":"Human Rights Committee, \\uc0\\u8216{}General Comment No 21: Article 10 (Human Treatment of Persons Deprived of Their Liberty)\\uc0\\u8217{}, 10 April 1992, 21, https://www.refworld.org/docid/453883fb11.html.","plainCitation":"Human Rights Committee, ‘General Comment No 21: Article 10 (Human Treatment of Persons Deprived of Their Liberty)’, 10 April 1992, 21, https://www.refworld.org/docid/453883fb11.html.","noteIndex":33},"citationItems":[{"id":551,"uris":["http://zotero.org/groups/2265556/items/97I5I7ME"],"uri":["http://zotero.org/groups/2265556/items/97I5I7ME"],"itemData":{"id":551,"type":"report","title":"General Comment No 21: Article 10 (Human Treatment of Persons Deprived of their Liberty)","URL":"https://www.refworld.org/docid/453883fb11.html","author":[{"family":"Human Rights Committee","given":""}],"issued":{"date-parts":[["1992",4,10]]}},"locator":"21"}],"schema":"https://github.com/citation-style-language/schema/raw/master/csl-citation.json"} </w:instrText>
      </w:r>
      <w:r w:rsidRPr="00127AFF">
        <w:rPr>
          <w:rFonts w:cs="Open Sans"/>
          <w:color w:val="auto"/>
          <w:sz w:val="18"/>
          <w:szCs w:val="18"/>
          <w:lang w:val="en-GB"/>
        </w:rPr>
        <w:fldChar w:fldCharType="separate"/>
      </w:r>
      <w:r w:rsidRPr="00127AFF">
        <w:rPr>
          <w:rFonts w:cs="Open Sans"/>
          <w:color w:val="auto"/>
          <w:sz w:val="18"/>
          <w:szCs w:val="18"/>
          <w:lang w:val="en-GB"/>
        </w:rPr>
        <w:t>Human Rights Committee, ‘General Comment No 21: Article 10 (Human Treatment of Persons Deprived of Their Liberty)’, 10 April 1992, 21, https://www.refworld.org/docid/453883fb11.html.</w:t>
      </w:r>
      <w:r w:rsidRPr="00127AFF">
        <w:rPr>
          <w:rFonts w:cs="Open Sans"/>
          <w:color w:val="auto"/>
          <w:sz w:val="18"/>
          <w:szCs w:val="18"/>
          <w:lang w:val="en-GB"/>
        </w:rPr>
        <w:fldChar w:fldCharType="end"/>
      </w:r>
    </w:p>
  </w:footnote>
  <w:footnote w:id="53">
    <w:p w14:paraId="34F22073" w14:textId="77777777" w:rsidR="003D2AD3" w:rsidRPr="00127AFF" w:rsidRDefault="003D2AD3" w:rsidP="00127AFF">
      <w:pPr>
        <w:pStyle w:val="Heading3"/>
        <w:spacing w:before="0" w:line="240" w:lineRule="auto"/>
        <w:contextualSpacing/>
        <w:rPr>
          <w:rFonts w:cs="Open Sans"/>
          <w:b w:val="0"/>
          <w:color w:val="auto"/>
          <w:sz w:val="18"/>
          <w:szCs w:val="18"/>
          <w:lang w:val="en-GB"/>
        </w:rPr>
      </w:pPr>
      <w:r w:rsidRPr="00127AFF">
        <w:rPr>
          <w:b w:val="0"/>
          <w:color w:val="auto"/>
          <w:sz w:val="18"/>
          <w:szCs w:val="18"/>
          <w:lang w:val="en-GB"/>
        </w:rPr>
        <w:footnoteRef/>
      </w:r>
      <w:r w:rsidRPr="00127AFF">
        <w:rPr>
          <w:rFonts w:cs="Open Sans"/>
          <w:b w:val="0"/>
          <w:color w:val="auto"/>
          <w:sz w:val="18"/>
          <w:szCs w:val="18"/>
          <w:lang w:val="en-GB"/>
        </w:rPr>
        <w:t xml:space="preserve"> </w:t>
      </w:r>
      <w:r w:rsidRPr="00127AFF">
        <w:rPr>
          <w:rFonts w:cs="Open Sans"/>
          <w:b w:val="0"/>
          <w:color w:val="auto"/>
          <w:sz w:val="18"/>
          <w:szCs w:val="18"/>
          <w:lang w:val="en-GB"/>
        </w:rPr>
        <w:fldChar w:fldCharType="begin"/>
      </w:r>
      <w:r w:rsidRPr="00127AFF">
        <w:rPr>
          <w:rFonts w:cs="Open Sans"/>
          <w:b w:val="0"/>
          <w:color w:val="auto"/>
          <w:sz w:val="18"/>
          <w:szCs w:val="18"/>
          <w:lang w:val="en-GB"/>
        </w:rPr>
        <w:instrText xml:space="preserve"> ADDIN ZOTERO_ITEM CSL_CITATION {"citationID":"mNwF8wDW","properties":{"formattedCitation":"Human Rights Committee, \\uc0\\u8216{}Ms. Yekaterina Pavlovna Lantsova v. The Russian Federation, Communication  No. 763/1997\\uc0\\u8217{}, 29 March 2002, http://hrlibrary.umn.edu/undocs/763-1997.html.","plainCitation":"Human Rights Committee, ‘Ms. Yekaterina Pavlovna Lantsova v. The Russian Federation, Communication  No. 763/1997’, 29 March 2002, http://hrlibrary.umn.edu/undocs/763-1997.html.","noteIndex":34},"citationItems":[{"id":552,"uris":["http://zotero.org/groups/2265556/items/9MY57BQW"],"uri":["http://zotero.org/groups/2265556/items/9MY57BQW"],"itemData":{"id":552,"type":"report","title":"Ms. Yekaterina Pavlovna Lantsova v. The Russian Federation, Communication  No. 763/1997,","URL":"http://hrlibrary.umn.edu/undocs/763-1997.html","number":"U.N. Doc. CCPR/C/74/D/763/1997 (2002).","author":[{"family":"Human Rights Committee","given":""}],"issued":{"date-parts":[["2002",3,29]]}}}],"schema":"https://github.com/citation-style-language/schema/raw/master/csl-citation.json"} </w:instrText>
      </w:r>
      <w:r w:rsidRPr="00127AFF">
        <w:rPr>
          <w:rFonts w:cs="Open Sans"/>
          <w:b w:val="0"/>
          <w:color w:val="auto"/>
          <w:sz w:val="18"/>
          <w:szCs w:val="18"/>
          <w:lang w:val="en-GB"/>
        </w:rPr>
        <w:fldChar w:fldCharType="separate"/>
      </w:r>
      <w:r w:rsidRPr="00127AFF">
        <w:rPr>
          <w:rFonts w:cs="Open Sans"/>
          <w:b w:val="0"/>
          <w:color w:val="auto"/>
          <w:sz w:val="18"/>
          <w:szCs w:val="18"/>
          <w:lang w:val="en-GB"/>
        </w:rPr>
        <w:t>Human Rights Committee, ‘Ms. Yekaterina Pavlovna Lantsova v. The Russian Federation, Communication  No. 763/1997’, 29 March 2002, 9.2, http://hrlibrary.umn.edu/undocs/763-1997.html.</w:t>
      </w:r>
      <w:r w:rsidRPr="00127AFF">
        <w:rPr>
          <w:rFonts w:cs="Open Sans"/>
          <w:b w:val="0"/>
          <w:color w:val="auto"/>
          <w:sz w:val="18"/>
          <w:szCs w:val="18"/>
          <w:lang w:val="en-GB"/>
        </w:rPr>
        <w:fldChar w:fldCharType="end"/>
      </w:r>
    </w:p>
  </w:footnote>
  <w:footnote w:id="54">
    <w:p w14:paraId="47D399D1" w14:textId="77777777" w:rsidR="003D2AD3" w:rsidRPr="00127AFF" w:rsidRDefault="003D2AD3" w:rsidP="00127AFF">
      <w:pPr>
        <w:pStyle w:val="FootnoteText"/>
        <w:contextualSpacing/>
        <w:rPr>
          <w:rFonts w:cs="Open Sans"/>
          <w:color w:val="auto"/>
          <w:sz w:val="18"/>
          <w:szCs w:val="18"/>
          <w:lang w:val="en-GB"/>
        </w:rPr>
      </w:pPr>
      <w:r w:rsidRPr="00127AFF">
        <w:rPr>
          <w:color w:val="auto"/>
          <w:sz w:val="18"/>
          <w:szCs w:val="18"/>
          <w:lang w:val="en-GB"/>
        </w:rPr>
        <w:footnoteRef/>
      </w:r>
      <w:r w:rsidRPr="00127AFF">
        <w:rPr>
          <w:rFonts w:cs="Open Sans"/>
          <w:color w:val="auto"/>
          <w:sz w:val="18"/>
          <w:szCs w:val="18"/>
          <w:lang w:val="en-GB"/>
        </w:rPr>
        <w:t xml:space="preserve"> </w:t>
      </w:r>
      <w:r w:rsidRPr="00127AFF">
        <w:rPr>
          <w:rFonts w:cs="Open Sans"/>
          <w:color w:val="auto"/>
          <w:sz w:val="18"/>
          <w:szCs w:val="18"/>
          <w:lang w:val="en-GB"/>
        </w:rPr>
        <w:fldChar w:fldCharType="begin"/>
      </w:r>
      <w:r w:rsidRPr="00127AFF">
        <w:rPr>
          <w:rFonts w:cs="Open Sans"/>
          <w:color w:val="auto"/>
          <w:sz w:val="18"/>
          <w:szCs w:val="18"/>
          <w:lang w:val="en-GB"/>
        </w:rPr>
        <w:instrText xml:space="preserve"> ADDIN ZOTERO_ITEM CSL_CITATION {"citationID":"pKY1XDu4","properties":{"formattedCitation":"Human Rights Committee, \\uc0\\u8216{}General Comment No. 36 on Article 6 of the International Covenant on Civil and Political Rights, on the Right to Life\\uc0\\u8217{} (United Nations, 2018), 3, https://www.ohchr.org/Documents/HRBodies/CCPR/GCArticle6/GCArticle6_EN.pdf.","plainCitation":"Human Rights Committee, ‘General Comment No. 36 on Article 6 of the International Covenant on Civil and Political Rights, on the Right to Life’ (United Nations, 2018), 3, https://www.ohchr.org/Documents/HRBodies/CCPR/GCArticle6/GCArticle6_EN.pdf.","dontUpdate":true,"noteIndex":35},"citationItems":[{"id":122,"uris":["http://zotero.org/groups/2265556/items/T6LTZN7A"],"uri":["http://zotero.org/groups/2265556/items/T6LTZN7A"],"itemData":{"id":122,"type":"report","title":"General comment No. 36 on article 6 of the International Covenant on Civil and Political Rights, on the right to life","publisher":"United Nations","URL":"https://www.ohchr.org/Documents/HRBodies/CCPR/GCArticle6/GCArticle6_EN.pdf","author":[{"literal":"Human Rights Committee"}],"issued":{"date-parts":[["2018"]]},"accessed":{"date-parts":[["2019",1,15]]}},"locator":"3"}],"schema":"https://github.com/citation-style-language/schema/raw/master/csl-citation.json"} </w:instrText>
      </w:r>
      <w:r w:rsidRPr="00127AFF">
        <w:rPr>
          <w:rFonts w:cs="Open Sans"/>
          <w:color w:val="auto"/>
          <w:sz w:val="18"/>
          <w:szCs w:val="18"/>
          <w:lang w:val="en-GB"/>
        </w:rPr>
        <w:fldChar w:fldCharType="separate"/>
      </w:r>
      <w:r w:rsidRPr="00127AFF">
        <w:rPr>
          <w:rFonts w:cs="Open Sans"/>
          <w:color w:val="auto"/>
          <w:sz w:val="18"/>
          <w:szCs w:val="18"/>
          <w:lang w:val="en-GB"/>
        </w:rPr>
        <w:t>Human Rights Committee, ‘General Comment No. 36 on Article 6 of the International Covenant on Civil and Political Rights, on the Right to Life’ (United Nations, 2018), 26,  https://www.ohchr.org/Documents/HRBodies/CCPR/GCArticle6/GCArticle6_EN.pdf</w:t>
      </w:r>
      <w:r w:rsidRPr="00127AFF">
        <w:rPr>
          <w:rFonts w:cs="Open Sans"/>
          <w:color w:val="auto"/>
          <w:sz w:val="18"/>
          <w:szCs w:val="18"/>
          <w:lang w:val="en-GB"/>
        </w:rPr>
        <w:fldChar w:fldCharType="end"/>
      </w:r>
    </w:p>
  </w:footnote>
  <w:footnote w:id="55">
    <w:p w14:paraId="275C0FB3" w14:textId="5F07A473" w:rsidR="003D2AD3" w:rsidRPr="00127AFF" w:rsidRDefault="003D2AD3" w:rsidP="00127AFF">
      <w:pPr>
        <w:spacing w:after="0"/>
        <w:contextualSpacing/>
        <w:rPr>
          <w:color w:val="auto"/>
          <w:sz w:val="18"/>
          <w:szCs w:val="18"/>
          <w:lang w:val="en-US"/>
        </w:rPr>
      </w:pPr>
      <w:r w:rsidRPr="00127AFF">
        <w:rPr>
          <w:rStyle w:val="FootnoteReference"/>
          <w:color w:val="auto"/>
          <w:sz w:val="18"/>
          <w:szCs w:val="18"/>
        </w:rPr>
        <w:footnoteRef/>
      </w:r>
      <w:r w:rsidRPr="00127AFF">
        <w:rPr>
          <w:color w:val="auto"/>
          <w:sz w:val="18"/>
          <w:szCs w:val="18"/>
          <w:lang w:val="es-ES_tradnl"/>
        </w:rPr>
        <w:t xml:space="preserve"> Arturo Ángel, “Aumenta la población penitenciaria tras 5 años de tendencia a la baja”, </w:t>
      </w:r>
      <w:r w:rsidRPr="00127AFF">
        <w:rPr>
          <w:i/>
          <w:color w:val="auto"/>
          <w:sz w:val="18"/>
          <w:szCs w:val="18"/>
          <w:lang w:val="es-ES_tradnl"/>
        </w:rPr>
        <w:t>Animal Político</w:t>
      </w:r>
      <w:r w:rsidRPr="00127AFF">
        <w:rPr>
          <w:color w:val="auto"/>
          <w:sz w:val="18"/>
          <w:szCs w:val="18"/>
          <w:lang w:val="es-ES_tradnl"/>
        </w:rPr>
        <w:t xml:space="preserve">, September 3rd 2019. </w:t>
      </w:r>
      <w:r w:rsidRPr="00127AFF">
        <w:rPr>
          <w:color w:val="auto"/>
          <w:sz w:val="18"/>
          <w:szCs w:val="18"/>
          <w:lang w:val="en-US"/>
        </w:rPr>
        <w:t xml:space="preserve">Available at: </w:t>
      </w:r>
      <w:hyperlink r:id="rId16" w:history="1">
        <w:r w:rsidRPr="00127AFF">
          <w:rPr>
            <w:rStyle w:val="Hyperlink"/>
            <w:rFonts w:eastAsia="Times New Roman"/>
            <w:color w:val="auto"/>
            <w:sz w:val="18"/>
            <w:szCs w:val="18"/>
            <w:lang w:val="en-US"/>
          </w:rPr>
          <w:t>https://www.animalpolitico.com/2019/09/poblacion-carceles-aumento-prision-preventiva/</w:t>
        </w:r>
      </w:hyperlink>
      <w:r w:rsidRPr="00127AFF">
        <w:rPr>
          <w:rFonts w:eastAsia="Times New Roman"/>
          <w:color w:val="auto"/>
          <w:sz w:val="18"/>
          <w:szCs w:val="18"/>
          <w:lang w:val="en-US"/>
        </w:rPr>
        <w:t>.</w:t>
      </w:r>
    </w:p>
  </w:footnote>
  <w:footnote w:id="56">
    <w:p w14:paraId="6791367A" w14:textId="48E3D211" w:rsidR="003D2AD3" w:rsidRPr="00127AFF" w:rsidRDefault="003D2AD3" w:rsidP="00127AFF">
      <w:pPr>
        <w:spacing w:after="0"/>
        <w:contextualSpacing/>
        <w:rPr>
          <w:rFonts w:eastAsia="Times New Roman"/>
          <w:color w:val="auto"/>
          <w:sz w:val="18"/>
          <w:szCs w:val="18"/>
          <w:lang w:val="en-US" w:eastAsia="es-ES_tradnl"/>
        </w:rPr>
      </w:pPr>
      <w:r w:rsidRPr="00127AFF">
        <w:rPr>
          <w:rStyle w:val="FootnoteReference"/>
          <w:color w:val="auto"/>
          <w:sz w:val="18"/>
          <w:szCs w:val="18"/>
        </w:rPr>
        <w:footnoteRef/>
      </w:r>
      <w:r w:rsidRPr="00127AFF">
        <w:rPr>
          <w:color w:val="auto"/>
          <w:sz w:val="18"/>
          <w:szCs w:val="18"/>
          <w:lang w:val="es-ES_tradnl"/>
        </w:rPr>
        <w:t xml:space="preserve"> Comisión Nacional de los Derechos Humanos, </w:t>
      </w:r>
      <w:r w:rsidRPr="00127AFF">
        <w:rPr>
          <w:i/>
          <w:color w:val="auto"/>
          <w:sz w:val="18"/>
          <w:szCs w:val="18"/>
          <w:lang w:val="es-ES_tradnl"/>
        </w:rPr>
        <w:t>Diagnóstico Nacional de Supervisión Penitenciaria</w:t>
      </w:r>
      <w:r w:rsidRPr="00127AFF">
        <w:rPr>
          <w:color w:val="auto"/>
          <w:sz w:val="18"/>
          <w:szCs w:val="18"/>
          <w:lang w:val="es-ES_tradnl"/>
        </w:rPr>
        <w:t xml:space="preserve"> 2018, 2018. </w:t>
      </w:r>
      <w:r w:rsidRPr="00127AFF">
        <w:rPr>
          <w:color w:val="auto"/>
          <w:sz w:val="18"/>
          <w:szCs w:val="18"/>
          <w:lang w:val="en-US"/>
        </w:rPr>
        <w:t xml:space="preserve">Available at: </w:t>
      </w:r>
      <w:hyperlink r:id="rId17" w:history="1">
        <w:r w:rsidRPr="00127AFF">
          <w:rPr>
            <w:rStyle w:val="Hyperlink"/>
            <w:rFonts w:eastAsia="Times New Roman"/>
            <w:color w:val="auto"/>
            <w:sz w:val="18"/>
            <w:szCs w:val="18"/>
            <w:lang w:val="en-US"/>
          </w:rPr>
          <w:t>https://www.cndh.org.mx/sites/all/doc/sistemas/DNSP/DNSP_2018.pdf</w:t>
        </w:r>
      </w:hyperlink>
      <w:r w:rsidRPr="00127AFF">
        <w:rPr>
          <w:rFonts w:eastAsia="Times New Roman"/>
          <w:color w:val="auto"/>
          <w:sz w:val="18"/>
          <w:szCs w:val="18"/>
          <w:lang w:val="en-US"/>
        </w:rPr>
        <w:t>.</w:t>
      </w:r>
    </w:p>
    <w:p w14:paraId="7C796609" w14:textId="78B7AA71" w:rsidR="003D2AD3" w:rsidRPr="00127AFF" w:rsidRDefault="003D2AD3" w:rsidP="00127AFF">
      <w:pPr>
        <w:pStyle w:val="FootnoteText"/>
        <w:contextualSpacing/>
        <w:rPr>
          <w:color w:val="auto"/>
          <w:sz w:val="18"/>
          <w:szCs w:val="18"/>
          <w:lang w:val="en-US"/>
        </w:rPr>
      </w:pPr>
      <w:r w:rsidRPr="00127AFF">
        <w:rPr>
          <w:color w:val="auto"/>
          <w:sz w:val="18"/>
          <w:szCs w:val="18"/>
          <w:lang w:val="en-US"/>
        </w:rPr>
        <w:t xml:space="preserve"> </w:t>
      </w:r>
    </w:p>
  </w:footnote>
  <w:footnote w:id="57">
    <w:p w14:paraId="21E10D6C" w14:textId="77777777" w:rsidR="003D2AD3" w:rsidRPr="00127AFF" w:rsidRDefault="003D2AD3" w:rsidP="00127AFF">
      <w:pPr>
        <w:pStyle w:val="FootnoteText"/>
        <w:contextualSpacing/>
        <w:rPr>
          <w:rFonts w:cs="Open Sans"/>
          <w:color w:val="auto"/>
          <w:sz w:val="18"/>
          <w:szCs w:val="18"/>
          <w:lang w:val="en-US"/>
        </w:rPr>
      </w:pPr>
      <w:r w:rsidRPr="00127AFF">
        <w:rPr>
          <w:rStyle w:val="FootnoteReference"/>
          <w:rFonts w:cs="Open Sans"/>
          <w:color w:val="auto"/>
          <w:sz w:val="18"/>
          <w:szCs w:val="18"/>
        </w:rPr>
        <w:footnoteRef/>
      </w:r>
      <w:r w:rsidRPr="00127AFF">
        <w:rPr>
          <w:rFonts w:cs="Open Sans"/>
          <w:color w:val="auto"/>
          <w:sz w:val="18"/>
          <w:szCs w:val="18"/>
          <w:lang w:val="en-US"/>
        </w:rPr>
        <w:t xml:space="preserve"> Among others, see: Paul Hunt, ‘Human rights, health, and harm reduction’, 8; Report of the Special Rapporteur on the right of everyone to the enjoyment of the highest attainable standard of physical and mental health, Anand Grover (2010) A/65/255, para. 55; CESCR, Concluding Observations on the combined initial and second periodic reports of Thailand, UN Doc. E//C.12/THA/CO/1-2; CEDAW, Concluding Observations on the combined fourth and fifth periodic reports of Georgia (2014), UN Doc. CEDAW/C/GEO/CO/4-5, para. 31(e); Report of the Special Rapporteur on the right of everyone to the enjoyment of the highest attainable standard of physical and mental health, Anand Grover, Mission to Poland (2010) A/HRC/14/20/Add.3, para. 86; CESCR, 2016, Concluding Observations on the sixth periodic report of Sweden. UN Doc. E/C.12/SWE/CO/6.</w:t>
      </w:r>
    </w:p>
    <w:p w14:paraId="51CC9CAF" w14:textId="77777777" w:rsidR="003D2AD3" w:rsidRPr="00127AFF" w:rsidRDefault="003D2AD3" w:rsidP="00127AFF">
      <w:pPr>
        <w:pStyle w:val="FootnoteText"/>
        <w:contextualSpacing/>
        <w:rPr>
          <w:rFonts w:cs="Open Sans"/>
          <w:color w:val="auto"/>
          <w:sz w:val="18"/>
          <w:szCs w:val="18"/>
          <w:lang w:val="en-US"/>
        </w:rPr>
      </w:pPr>
      <w:r w:rsidRPr="00127AFF">
        <w:rPr>
          <w:rFonts w:cs="Open Sans"/>
          <w:color w:val="auto"/>
          <w:sz w:val="18"/>
          <w:szCs w:val="18"/>
          <w:lang w:val="en-US"/>
        </w:rPr>
        <w:t xml:space="preserve">For more information, see: International Centre on Human Rights and Drug Policy, UNAIDS, UNDP and WHO, International Guidelines on Human Rights and Drug Policy (2019), 1.1. </w:t>
      </w:r>
    </w:p>
  </w:footnote>
  <w:footnote w:id="58">
    <w:p w14:paraId="31A3C51C" w14:textId="77777777" w:rsidR="003D2AD3" w:rsidRPr="00127AFF" w:rsidRDefault="003D2AD3" w:rsidP="00127AFF">
      <w:pPr>
        <w:pStyle w:val="FootnoteText"/>
        <w:contextualSpacing/>
        <w:rPr>
          <w:rFonts w:cs="Open Sans"/>
          <w:color w:val="auto"/>
          <w:sz w:val="18"/>
          <w:szCs w:val="18"/>
          <w:lang w:val="en-US"/>
        </w:rPr>
      </w:pPr>
      <w:r w:rsidRPr="00127AFF">
        <w:rPr>
          <w:rStyle w:val="FootnoteReference"/>
          <w:rFonts w:cs="Open Sans"/>
          <w:color w:val="auto"/>
          <w:sz w:val="18"/>
          <w:szCs w:val="18"/>
        </w:rPr>
        <w:footnoteRef/>
      </w:r>
      <w:r w:rsidRPr="00127AFF">
        <w:rPr>
          <w:rFonts w:cs="Open Sans"/>
          <w:color w:val="auto"/>
          <w:sz w:val="18"/>
          <w:szCs w:val="18"/>
          <w:lang w:val="en-US"/>
        </w:rPr>
        <w:t xml:space="preserve"> In E/C.12/RUS/CO/5, E/C.12/LTU/CO/2, E/C.12/EST/CO/2 and E/C.12/UKR/CO/5. </w:t>
      </w:r>
    </w:p>
  </w:footnote>
  <w:footnote w:id="59">
    <w:p w14:paraId="72CD8D59" w14:textId="77777777" w:rsidR="003D2AD3" w:rsidRPr="00127AFF" w:rsidRDefault="003D2AD3" w:rsidP="00127AFF">
      <w:pPr>
        <w:pStyle w:val="FootnoteText"/>
        <w:contextualSpacing/>
        <w:rPr>
          <w:rFonts w:eastAsiaTheme="minorHAnsi" w:cs="Open Sans"/>
          <w:color w:val="auto"/>
          <w:sz w:val="18"/>
          <w:szCs w:val="18"/>
          <w:lang w:val="en-US"/>
        </w:rPr>
      </w:pPr>
      <w:r w:rsidRPr="00127AFF">
        <w:rPr>
          <w:rStyle w:val="FootnoteReference"/>
          <w:rFonts w:cs="Open Sans"/>
          <w:color w:val="auto"/>
          <w:sz w:val="18"/>
          <w:szCs w:val="18"/>
        </w:rPr>
        <w:footnoteRef/>
      </w:r>
      <w:r w:rsidRPr="00127AFF">
        <w:rPr>
          <w:rFonts w:cs="Open Sans"/>
          <w:color w:val="auto"/>
          <w:sz w:val="18"/>
          <w:szCs w:val="18"/>
          <w:lang w:val="en-US"/>
        </w:rPr>
        <w:t xml:space="preserve"> In its resolution 65/277.</w:t>
      </w:r>
    </w:p>
  </w:footnote>
  <w:footnote w:id="60">
    <w:p w14:paraId="52B488CA" w14:textId="77777777" w:rsidR="003D2AD3" w:rsidRPr="00127AFF" w:rsidRDefault="003D2AD3" w:rsidP="00127AFF">
      <w:pPr>
        <w:pStyle w:val="FootnoteText"/>
        <w:contextualSpacing/>
        <w:rPr>
          <w:rFonts w:cs="Open Sans"/>
          <w:color w:val="auto"/>
          <w:sz w:val="18"/>
          <w:szCs w:val="18"/>
          <w:lang w:val="en-US"/>
        </w:rPr>
      </w:pPr>
      <w:r w:rsidRPr="00127AFF">
        <w:rPr>
          <w:rStyle w:val="FootnoteReference"/>
          <w:rFonts w:cs="Open Sans"/>
          <w:color w:val="auto"/>
          <w:sz w:val="18"/>
          <w:szCs w:val="18"/>
        </w:rPr>
        <w:footnoteRef/>
      </w:r>
      <w:r w:rsidRPr="00127AFF">
        <w:rPr>
          <w:rFonts w:cs="Open Sans"/>
          <w:color w:val="auto"/>
          <w:sz w:val="18"/>
          <w:szCs w:val="18"/>
          <w:lang w:val="en-US"/>
        </w:rPr>
        <w:t xml:space="preserve"> In its resolution 12/27.</w:t>
      </w:r>
    </w:p>
  </w:footnote>
  <w:footnote w:id="61">
    <w:p w14:paraId="72F09827" w14:textId="77777777" w:rsidR="003D2AD3" w:rsidRPr="00127AFF" w:rsidRDefault="003D2AD3" w:rsidP="00127AFF">
      <w:pPr>
        <w:pStyle w:val="FootnoteText"/>
        <w:contextualSpacing/>
        <w:rPr>
          <w:rFonts w:cs="Open Sans"/>
          <w:color w:val="auto"/>
          <w:sz w:val="18"/>
          <w:szCs w:val="18"/>
          <w:lang w:val="en-US"/>
        </w:rPr>
      </w:pPr>
      <w:r w:rsidRPr="00127AFF">
        <w:rPr>
          <w:rStyle w:val="FootnoteReference"/>
          <w:rFonts w:cs="Open Sans"/>
          <w:color w:val="auto"/>
          <w:sz w:val="18"/>
          <w:szCs w:val="18"/>
        </w:rPr>
        <w:footnoteRef/>
      </w:r>
      <w:r w:rsidRPr="00127AFF">
        <w:rPr>
          <w:rFonts w:cs="Open Sans"/>
          <w:color w:val="auto"/>
          <w:sz w:val="18"/>
          <w:szCs w:val="18"/>
          <w:lang w:val="en-US"/>
        </w:rPr>
        <w:t xml:space="preserve"> See the Committee’s general comment No. 15 (2013) on the right of the child to the enjoyment of the highest attainable standard of health.</w:t>
      </w:r>
    </w:p>
  </w:footnote>
  <w:footnote w:id="62">
    <w:p w14:paraId="130A0A27" w14:textId="77777777" w:rsidR="003D2AD3" w:rsidRPr="00127AFF" w:rsidRDefault="003D2AD3" w:rsidP="00127AFF">
      <w:pPr>
        <w:pStyle w:val="FootnoteText"/>
        <w:contextualSpacing/>
        <w:rPr>
          <w:rFonts w:cs="Open Sans"/>
          <w:color w:val="auto"/>
          <w:sz w:val="18"/>
          <w:szCs w:val="18"/>
          <w:lang w:val="en-US"/>
        </w:rPr>
      </w:pPr>
      <w:r w:rsidRPr="00127AFF">
        <w:rPr>
          <w:rStyle w:val="FootnoteReference"/>
          <w:rFonts w:cs="Open Sans"/>
          <w:color w:val="auto"/>
          <w:sz w:val="18"/>
          <w:szCs w:val="18"/>
        </w:rPr>
        <w:footnoteRef/>
      </w:r>
      <w:r w:rsidRPr="00127AFF">
        <w:rPr>
          <w:rFonts w:cs="Open Sans"/>
          <w:color w:val="auto"/>
          <w:sz w:val="18"/>
          <w:szCs w:val="18"/>
          <w:lang w:val="en-US"/>
        </w:rPr>
        <w:t xml:space="preserve"> In CEDAW/C/GEO/CO/4-5 and CEDAW/C/CAN/CO/8-9.</w:t>
      </w:r>
    </w:p>
  </w:footnote>
  <w:footnote w:id="63">
    <w:p w14:paraId="033448EC" w14:textId="77777777" w:rsidR="003D2AD3" w:rsidRPr="00127AFF" w:rsidRDefault="003D2AD3" w:rsidP="00127AFF">
      <w:pPr>
        <w:pStyle w:val="FootnoteText"/>
        <w:contextualSpacing/>
        <w:rPr>
          <w:rFonts w:cs="Open Sans"/>
          <w:color w:val="auto"/>
          <w:sz w:val="18"/>
          <w:szCs w:val="18"/>
          <w:lang w:val="en-US"/>
        </w:rPr>
      </w:pPr>
      <w:r w:rsidRPr="00127AFF">
        <w:rPr>
          <w:rStyle w:val="FootnoteReference"/>
          <w:rFonts w:cs="Open Sans"/>
          <w:color w:val="auto"/>
          <w:sz w:val="18"/>
          <w:szCs w:val="18"/>
        </w:rPr>
        <w:footnoteRef/>
      </w:r>
      <w:r w:rsidRPr="00127AFF">
        <w:rPr>
          <w:rFonts w:cs="Open Sans"/>
          <w:color w:val="auto"/>
          <w:sz w:val="18"/>
          <w:szCs w:val="18"/>
          <w:lang w:val="en-US"/>
        </w:rPr>
        <w:t xml:space="preserve"> In A/65/255.</w:t>
      </w:r>
    </w:p>
  </w:footnote>
  <w:footnote w:id="64">
    <w:p w14:paraId="07DE358B" w14:textId="77777777" w:rsidR="003D2AD3" w:rsidRPr="00127AFF" w:rsidRDefault="003D2AD3" w:rsidP="00127AFF">
      <w:pPr>
        <w:pStyle w:val="FootnoteText"/>
        <w:contextualSpacing/>
        <w:rPr>
          <w:rFonts w:cs="Open Sans"/>
          <w:color w:val="auto"/>
          <w:sz w:val="18"/>
          <w:szCs w:val="18"/>
          <w:lang w:val="en-US"/>
        </w:rPr>
      </w:pPr>
      <w:r w:rsidRPr="00127AFF">
        <w:rPr>
          <w:rStyle w:val="FootnoteReference"/>
          <w:rFonts w:cs="Open Sans"/>
          <w:color w:val="auto"/>
          <w:sz w:val="18"/>
          <w:szCs w:val="18"/>
        </w:rPr>
        <w:footnoteRef/>
      </w:r>
      <w:r w:rsidRPr="00127AFF">
        <w:rPr>
          <w:rFonts w:cs="Open Sans"/>
          <w:color w:val="auto"/>
          <w:sz w:val="18"/>
          <w:szCs w:val="18"/>
          <w:lang w:val="en-US"/>
        </w:rPr>
        <w:t xml:space="preserve"> In A/HRC/22/53.</w:t>
      </w:r>
    </w:p>
  </w:footnote>
  <w:footnote w:id="65">
    <w:p w14:paraId="5B4A022D" w14:textId="77777777" w:rsidR="003D2AD3" w:rsidRPr="00127AFF" w:rsidRDefault="003D2AD3" w:rsidP="00127AFF">
      <w:pPr>
        <w:pStyle w:val="FootnoteText"/>
        <w:contextualSpacing/>
        <w:rPr>
          <w:rFonts w:cs="Open Sans"/>
          <w:color w:val="auto"/>
          <w:sz w:val="18"/>
          <w:szCs w:val="18"/>
          <w:lang w:val="en-US"/>
        </w:rPr>
      </w:pPr>
      <w:r w:rsidRPr="00127AFF">
        <w:rPr>
          <w:rStyle w:val="FootnoteReference"/>
          <w:rFonts w:cs="Open Sans"/>
          <w:color w:val="auto"/>
          <w:sz w:val="18"/>
          <w:szCs w:val="18"/>
        </w:rPr>
        <w:footnoteRef/>
      </w:r>
      <w:r w:rsidRPr="00127AFF">
        <w:rPr>
          <w:rFonts w:cs="Open Sans"/>
          <w:color w:val="auto"/>
          <w:sz w:val="18"/>
          <w:szCs w:val="18"/>
          <w:lang w:val="en-US"/>
        </w:rPr>
        <w:t xml:space="preserve"> Sander G, Lines R, “HIV, Hepatitis C, TB, Harm Reduction and Persons Deprived of Liberty: What Standards Does International Human Rights Law Establish?”</w:t>
      </w:r>
      <w:r w:rsidRPr="00127AFF">
        <w:rPr>
          <w:rFonts w:cs="Open Sans"/>
          <w:i/>
          <w:color w:val="auto"/>
          <w:sz w:val="18"/>
          <w:szCs w:val="18"/>
          <w:lang w:val="en-US"/>
        </w:rPr>
        <w:t xml:space="preserve"> The International Journal of Health and Human Rights</w:t>
      </w:r>
      <w:r w:rsidRPr="00127AFF">
        <w:rPr>
          <w:rFonts w:cs="Open Sans"/>
          <w:color w:val="auto"/>
          <w:sz w:val="18"/>
          <w:szCs w:val="18"/>
          <w:lang w:val="en-US"/>
        </w:rPr>
        <w:t xml:space="preserve"> (2017)</w:t>
      </w:r>
    </w:p>
  </w:footnote>
  <w:footnote w:id="66">
    <w:p w14:paraId="41425004" w14:textId="77777777" w:rsidR="003D2AD3" w:rsidRPr="00127AFF" w:rsidRDefault="003D2AD3" w:rsidP="00127AFF">
      <w:pPr>
        <w:spacing w:after="0"/>
        <w:contextualSpacing/>
        <w:rPr>
          <w:rFonts w:eastAsia="Times New Roman" w:cs="Open Sans"/>
          <w:color w:val="auto"/>
          <w:sz w:val="18"/>
          <w:szCs w:val="18"/>
          <w:lang w:val="en-US" w:eastAsia="en-GB"/>
        </w:rPr>
      </w:pPr>
      <w:r w:rsidRPr="00127AFF">
        <w:rPr>
          <w:rStyle w:val="FootnoteReference"/>
          <w:rFonts w:cs="Open Sans"/>
          <w:color w:val="auto"/>
          <w:sz w:val="18"/>
          <w:szCs w:val="18"/>
        </w:rPr>
        <w:footnoteRef/>
      </w:r>
      <w:r w:rsidRPr="00127AFF">
        <w:rPr>
          <w:rFonts w:cs="Open Sans"/>
          <w:color w:val="auto"/>
          <w:sz w:val="18"/>
          <w:szCs w:val="18"/>
          <w:lang w:val="en-US"/>
        </w:rPr>
        <w:t xml:space="preserve"> See for example, </w:t>
      </w:r>
      <w:r w:rsidRPr="00127AFF">
        <w:rPr>
          <w:rFonts w:eastAsia="Times New Roman" w:cs="Open Sans"/>
          <w:color w:val="auto"/>
          <w:sz w:val="18"/>
          <w:szCs w:val="18"/>
          <w:lang w:val="en-US" w:eastAsia="en-GB"/>
        </w:rPr>
        <w:t>A. Grover, UN Special Rapporteur on the Right to the highest attainable standard of physical and mental health, Report of the UN Special Rapporteur on the Right to the highest attainable standard of physical and mental health, UN Doc. A/65/255 (August 6, 2010) para. 60.</w:t>
      </w:r>
    </w:p>
  </w:footnote>
  <w:footnote w:id="67">
    <w:p w14:paraId="280470DD" w14:textId="77777777" w:rsidR="003D2AD3" w:rsidRPr="00127AFF" w:rsidRDefault="003D2AD3" w:rsidP="00127AFF">
      <w:pPr>
        <w:pStyle w:val="FootnoteText"/>
        <w:contextualSpacing/>
        <w:rPr>
          <w:rFonts w:cs="Open Sans"/>
          <w:color w:val="auto"/>
          <w:sz w:val="18"/>
          <w:szCs w:val="18"/>
          <w:lang w:val="en-US"/>
        </w:rPr>
      </w:pPr>
      <w:r w:rsidRPr="00127AFF">
        <w:rPr>
          <w:rStyle w:val="FootnoteReference"/>
          <w:rFonts w:cs="Open Sans"/>
          <w:color w:val="auto"/>
          <w:sz w:val="18"/>
          <w:szCs w:val="18"/>
        </w:rPr>
        <w:footnoteRef/>
      </w:r>
      <w:r w:rsidRPr="00127AFF">
        <w:rPr>
          <w:rFonts w:cs="Open Sans"/>
          <w:color w:val="auto"/>
          <w:sz w:val="18"/>
          <w:szCs w:val="18"/>
          <w:lang w:val="en-US"/>
        </w:rPr>
        <w:t xml:space="preserve"> UN Committee on Economic, Social and Cultural Rights, General Comment 14, UN Doc. E/C.12/2000/4, 2000, para 43(a).</w:t>
      </w:r>
    </w:p>
  </w:footnote>
  <w:footnote w:id="68">
    <w:p w14:paraId="62FEF70D" w14:textId="77777777" w:rsidR="003D2AD3" w:rsidRPr="00127AFF" w:rsidRDefault="003D2AD3" w:rsidP="00127AFF">
      <w:pPr>
        <w:pStyle w:val="FootnoteText"/>
        <w:contextualSpacing/>
        <w:rPr>
          <w:rFonts w:cs="Open Sans"/>
          <w:color w:val="auto"/>
          <w:sz w:val="18"/>
          <w:szCs w:val="18"/>
          <w:lang w:val="en-GB"/>
        </w:rPr>
      </w:pPr>
      <w:r w:rsidRPr="00127AFF">
        <w:rPr>
          <w:rStyle w:val="FootnoteReference"/>
          <w:rFonts w:cs="Open Sans"/>
          <w:color w:val="auto"/>
          <w:sz w:val="18"/>
          <w:szCs w:val="18"/>
          <w:lang w:val="en-GB"/>
        </w:rPr>
        <w:footnoteRef/>
      </w:r>
      <w:r w:rsidRPr="00127AFF">
        <w:rPr>
          <w:rFonts w:cs="Open Sans"/>
          <w:color w:val="auto"/>
          <w:sz w:val="18"/>
          <w:szCs w:val="18"/>
          <w:lang w:val="en-GB"/>
        </w:rPr>
        <w:t xml:space="preserve"> </w:t>
      </w:r>
      <w:r w:rsidRPr="00127AFF">
        <w:rPr>
          <w:rFonts w:cs="Open Sans"/>
          <w:color w:val="auto"/>
          <w:sz w:val="18"/>
          <w:szCs w:val="18"/>
          <w:lang w:val="en-GB"/>
        </w:rPr>
        <w:fldChar w:fldCharType="begin"/>
      </w:r>
      <w:r w:rsidRPr="00127AFF">
        <w:rPr>
          <w:rFonts w:cs="Open Sans"/>
          <w:color w:val="auto"/>
          <w:sz w:val="18"/>
          <w:szCs w:val="18"/>
          <w:lang w:val="en-GB"/>
        </w:rPr>
        <w:instrText xml:space="preserve"> ADDIN ZOTERO_ITEM CSL_CITATION {"citationID":"VCSqXt9M","properties":{"formattedCitation":"Human Rights Committee, \\uc0\\u8216{}General Comment No. 36 on Article 6 of the International Covenant on Civil and Political Rights, on the Right to Life\\uc0\\u8217{} (United Nations, 2018), 3, https://www.ohchr.org/Documents/HRBodies/CCPR/GCArticle6/GCArticle6_EN.pdf.","plainCitation":"Human Rights Committee, ‘General Comment No. 36 on Article 6 of the International Covenant on Civil and Political Rights, on the Right to Life’ (United Nations, 2018), 3, https://www.ohchr.org/Documents/HRBodies/CCPR/GCArticle6/GCArticle6_EN.pdf.","dontUpdate":true,"noteIndex":38},"citationItems":[{"id":122,"uris":["http://zotero.org/groups/2265556/items/T6LTZN7A"],"uri":["http://zotero.org/groups/2265556/items/T6LTZN7A"],"itemData":{"id":122,"type":"report","title":"General comment No. 36 on article 6 of the International Covenant on Civil and Political Rights, on the right to life","publisher":"United Nations","URL":"https://www.ohchr.org/Documents/HRBodies/CCPR/GCArticle6/GCArticle6_EN.pdf","author":[{"literal":"Human Rights Committee"}],"issued":{"date-parts":[["2018"]]},"accessed":{"date-parts":[["2019",1,15]]}},"locator":"3"}],"schema":"https://github.com/citation-style-language/schema/raw/master/csl-citation.json"} </w:instrText>
      </w:r>
      <w:r w:rsidRPr="00127AFF">
        <w:rPr>
          <w:rFonts w:cs="Open Sans"/>
          <w:color w:val="auto"/>
          <w:sz w:val="18"/>
          <w:szCs w:val="18"/>
          <w:lang w:val="en-GB"/>
        </w:rPr>
        <w:fldChar w:fldCharType="separate"/>
      </w:r>
      <w:r w:rsidRPr="00127AFF">
        <w:rPr>
          <w:rFonts w:cs="Open Sans"/>
          <w:color w:val="auto"/>
          <w:sz w:val="18"/>
          <w:szCs w:val="18"/>
          <w:lang w:val="en-GB"/>
        </w:rPr>
        <w:t>Human Rights Committee, ‘General Comment No. 36 on Article 6 of the International Covenant on Civil and Political Rights, on the Right to Life’ (United Nations, 2018), 26,  https://www.ohchr.org/Documents/HRBodies/CCPR/GCArticle6/GCArticle6_EN.pdf</w:t>
      </w:r>
      <w:r w:rsidRPr="00127AFF">
        <w:rPr>
          <w:rFonts w:cs="Open Sans"/>
          <w:color w:val="auto"/>
          <w:sz w:val="18"/>
          <w:szCs w:val="18"/>
          <w:lang w:val="en-GB"/>
        </w:rPr>
        <w:fldChar w:fldCharType="end"/>
      </w:r>
    </w:p>
  </w:footnote>
  <w:footnote w:id="69">
    <w:p w14:paraId="1173F146" w14:textId="1C00B96E" w:rsidR="003D2AD3" w:rsidRPr="00127AFF" w:rsidRDefault="003D2AD3" w:rsidP="00127AFF">
      <w:pPr>
        <w:pStyle w:val="FootnoteText"/>
        <w:contextualSpacing/>
        <w:rPr>
          <w:color w:val="auto"/>
          <w:sz w:val="18"/>
          <w:szCs w:val="18"/>
          <w:lang w:val="en-GB"/>
        </w:rPr>
      </w:pPr>
      <w:r w:rsidRPr="00127AFF">
        <w:rPr>
          <w:rStyle w:val="FootnoteReference"/>
          <w:color w:val="auto"/>
          <w:sz w:val="18"/>
          <w:szCs w:val="18"/>
          <w:lang w:val="en-GB"/>
        </w:rPr>
        <w:footnoteRef/>
      </w:r>
      <w:r w:rsidRPr="00127AFF">
        <w:rPr>
          <w:color w:val="auto"/>
          <w:sz w:val="18"/>
          <w:szCs w:val="18"/>
          <w:lang w:val="en-GB"/>
        </w:rPr>
        <w:t xml:space="preserve"> </w:t>
      </w:r>
      <w:r w:rsidRPr="00127AFF">
        <w:rPr>
          <w:rFonts w:cs="Open Sans"/>
          <w:color w:val="auto"/>
          <w:sz w:val="18"/>
          <w:szCs w:val="18"/>
          <w:lang w:val="en-GB"/>
        </w:rPr>
        <w:fldChar w:fldCharType="begin"/>
      </w:r>
      <w:r w:rsidRPr="00127AFF">
        <w:rPr>
          <w:rFonts w:cs="Open Sans"/>
          <w:color w:val="auto"/>
          <w:sz w:val="18"/>
          <w:szCs w:val="18"/>
          <w:lang w:val="en-GB"/>
        </w:rPr>
        <w:instrText xml:space="preserve"> ADDIN ZOTERO_ITEM CSL_CITATION {"citationID":"szOM9bwu","properties":{"formattedCitation":"Katie Stone and Sam Shirley-Beavan, \\uc0\\u8216{}The Global State of Harm Reduction\\uc0\\u8217{} (Harm Reduction International [HRI], December 2018), https://www.hri.global/files/2018/12/11/global-state-harm-reduction-2018.pdf.","plainCitation":"Katie Stone and Sam Shirley-Beavan, ‘The Global State of Harm Reduction’ (Harm Reduction International [HRI], December 2018), https://www.hri.global/files/2018/12/11/global-state-harm-reduction-2018.pdf.","dontUpdate":true,"noteIndex":21},"citationItems":[{"id":332,"uris":["http://zotero.org/groups/2265556/items/EC6ERILX"],"uri":["http://zotero.org/groups/2265556/items/EC6ERILX"],"itemData":{"id":332,"type":"report","title":"The Global State of Harm Reduction","publisher":"Harm Reduction International [HRI]","page":"30","URL":"https://www.hri.global/files/2018/12/11/global-state-harm-reduction-2018.pdf","author":[{"literal":"Katie Stone"},{"literal":"Sam Shirley-Beavan"}],"issued":{"date-parts":[["2018",12]]},"accessed":{"date-parts":[["2019",1,7]]}}}],"schema":"https://github.com/citation-style-language/schema/raw/master/csl-citation.json"} </w:instrText>
      </w:r>
      <w:r w:rsidRPr="00127AFF">
        <w:rPr>
          <w:rFonts w:cs="Open Sans"/>
          <w:color w:val="auto"/>
          <w:sz w:val="18"/>
          <w:szCs w:val="18"/>
          <w:lang w:val="en-GB"/>
        </w:rPr>
        <w:fldChar w:fldCharType="separate"/>
      </w:r>
      <w:r w:rsidRPr="00127AFF">
        <w:rPr>
          <w:rFonts w:cs="Open Sans"/>
          <w:color w:val="auto"/>
          <w:sz w:val="18"/>
          <w:szCs w:val="18"/>
          <w:lang w:val="en-GB"/>
        </w:rPr>
        <w:t>Katie Stone and Sam Shirley-Beavan, ‘The Global State of Harm Reduction’ (Harm Reduction International [HRI], December 2018), 16,  https://www.hri.global/files/2018/12/11/global-state-harm-reduction-2018.pdf.</w:t>
      </w:r>
      <w:r w:rsidRPr="00127AFF">
        <w:rPr>
          <w:rFonts w:cs="Open Sans"/>
          <w:color w:val="auto"/>
          <w:sz w:val="18"/>
          <w:szCs w:val="18"/>
          <w:lang w:val="en-GB"/>
        </w:rPr>
        <w:fldChar w:fldCharType="end"/>
      </w:r>
    </w:p>
  </w:footnote>
  <w:footnote w:id="70">
    <w:p w14:paraId="5E77568C" w14:textId="2DD7E713" w:rsidR="003D2AD3" w:rsidRPr="00127AFF" w:rsidRDefault="003D2AD3" w:rsidP="00127AFF">
      <w:pPr>
        <w:pStyle w:val="FootnoteText"/>
        <w:contextualSpacing/>
        <w:rPr>
          <w:color w:val="auto"/>
          <w:sz w:val="18"/>
          <w:szCs w:val="18"/>
          <w:lang w:val="es-ES_tradnl"/>
        </w:rPr>
      </w:pPr>
      <w:r w:rsidRPr="00127AFF">
        <w:rPr>
          <w:rStyle w:val="FootnoteReference"/>
          <w:color w:val="auto"/>
          <w:sz w:val="18"/>
          <w:szCs w:val="18"/>
        </w:rPr>
        <w:footnoteRef/>
      </w:r>
      <w:r w:rsidRPr="00127AFF">
        <w:rPr>
          <w:color w:val="auto"/>
          <w:sz w:val="18"/>
          <w:szCs w:val="18"/>
        </w:rPr>
        <w:t xml:space="preserve"> </w:t>
      </w:r>
      <w:r w:rsidRPr="00127AFF">
        <w:rPr>
          <w:color w:val="auto"/>
          <w:sz w:val="18"/>
          <w:szCs w:val="18"/>
          <w:lang w:val="en-GB"/>
        </w:rPr>
        <w:t>World Prison Brief, March 2018.</w:t>
      </w:r>
    </w:p>
  </w:footnote>
  <w:footnote w:id="71">
    <w:p w14:paraId="642F3C39" w14:textId="77777777" w:rsidR="003D2AD3" w:rsidRPr="00127AFF" w:rsidRDefault="003D2AD3" w:rsidP="00127AFF">
      <w:pPr>
        <w:pStyle w:val="FootnoteText"/>
        <w:contextualSpacing/>
        <w:rPr>
          <w:rFonts w:cs="Times New Roman"/>
          <w:color w:val="auto"/>
          <w:sz w:val="18"/>
          <w:szCs w:val="18"/>
          <w:lang w:val="en-US"/>
        </w:rPr>
      </w:pPr>
      <w:r w:rsidRPr="00127AFF">
        <w:rPr>
          <w:rStyle w:val="FootnoteReference"/>
          <w:rFonts w:cs="Times New Roman"/>
          <w:color w:val="auto"/>
          <w:sz w:val="18"/>
          <w:szCs w:val="18"/>
        </w:rPr>
        <w:footnoteRef/>
      </w:r>
      <w:r w:rsidRPr="00127AFF">
        <w:rPr>
          <w:rFonts w:cs="Times New Roman"/>
          <w:color w:val="auto"/>
          <w:sz w:val="18"/>
          <w:szCs w:val="18"/>
          <w:lang w:val="en-US"/>
        </w:rPr>
        <w:t xml:space="preserve"> ICCPR Article 9 and 14; CCPR/G/GC/35; CCPR/C/99/D/150/2006, par.10(4)</w:t>
      </w:r>
    </w:p>
  </w:footnote>
  <w:footnote w:id="72">
    <w:p w14:paraId="032645AE" w14:textId="77777777" w:rsidR="003D2AD3" w:rsidRPr="00127AFF" w:rsidRDefault="003D2AD3" w:rsidP="00127AFF">
      <w:pPr>
        <w:pStyle w:val="FootnoteText"/>
        <w:contextualSpacing/>
        <w:rPr>
          <w:rFonts w:cs="Times New Roman"/>
          <w:color w:val="auto"/>
          <w:sz w:val="18"/>
          <w:szCs w:val="18"/>
          <w:lang w:val="en-US"/>
        </w:rPr>
      </w:pPr>
      <w:r w:rsidRPr="00127AFF">
        <w:rPr>
          <w:rStyle w:val="FootnoteReference"/>
          <w:rFonts w:cs="Times New Roman"/>
          <w:color w:val="auto"/>
          <w:sz w:val="18"/>
          <w:szCs w:val="18"/>
        </w:rPr>
        <w:footnoteRef/>
      </w:r>
      <w:r w:rsidRPr="00127AFF">
        <w:rPr>
          <w:rFonts w:cs="Times New Roman"/>
          <w:color w:val="auto"/>
          <w:sz w:val="18"/>
          <w:szCs w:val="18"/>
          <w:lang w:val="en-US"/>
        </w:rPr>
        <w:t xml:space="preserve"> UNAIDS et al., ‘International Guidelines on Human Rights and Drug Policy’ (2019), 7.ii</w:t>
      </w:r>
    </w:p>
  </w:footnote>
  <w:footnote w:id="73">
    <w:p w14:paraId="6AE9AB74" w14:textId="77777777" w:rsidR="003D2AD3" w:rsidRPr="00127AFF" w:rsidRDefault="003D2AD3" w:rsidP="00127AFF">
      <w:pPr>
        <w:pStyle w:val="FootnoteText"/>
        <w:contextualSpacing/>
        <w:rPr>
          <w:color w:val="auto"/>
          <w:sz w:val="18"/>
          <w:szCs w:val="18"/>
          <w:lang w:val="en-GB"/>
        </w:rPr>
      </w:pPr>
      <w:r w:rsidRPr="00127AFF">
        <w:rPr>
          <w:rStyle w:val="FootnoteReference"/>
          <w:color w:val="auto"/>
          <w:sz w:val="18"/>
          <w:szCs w:val="18"/>
          <w:lang w:val="en-GB"/>
        </w:rPr>
        <w:footnoteRef/>
      </w:r>
      <w:r w:rsidRPr="00127AFF">
        <w:rPr>
          <w:color w:val="auto"/>
          <w:sz w:val="18"/>
          <w:szCs w:val="18"/>
          <w:lang w:val="en-GB"/>
        </w:rPr>
        <w:t xml:space="preserve"> World Prison Brief, March 2018.</w:t>
      </w:r>
    </w:p>
  </w:footnote>
  <w:footnote w:id="74">
    <w:p w14:paraId="21635F07" w14:textId="77777777" w:rsidR="003D2AD3" w:rsidRPr="00127AFF" w:rsidRDefault="003D2AD3" w:rsidP="00127AFF">
      <w:pPr>
        <w:pStyle w:val="FootnoteText"/>
        <w:contextualSpacing/>
        <w:rPr>
          <w:color w:val="auto"/>
          <w:sz w:val="18"/>
          <w:szCs w:val="18"/>
          <w:lang w:val="en-GB"/>
        </w:rPr>
      </w:pPr>
      <w:r w:rsidRPr="00127AFF">
        <w:rPr>
          <w:rStyle w:val="FootnoteReference"/>
          <w:color w:val="auto"/>
          <w:sz w:val="18"/>
          <w:szCs w:val="18"/>
          <w:lang w:val="en-GB"/>
        </w:rPr>
        <w:footnoteRef/>
      </w:r>
      <w:r w:rsidRPr="00127AFF">
        <w:rPr>
          <w:color w:val="auto"/>
          <w:sz w:val="18"/>
          <w:szCs w:val="18"/>
          <w:lang w:val="en-GB"/>
        </w:rPr>
        <w:t xml:space="preserve"> World Prison Brief, March 2018.</w:t>
      </w:r>
    </w:p>
  </w:footnote>
  <w:footnote w:id="75">
    <w:p w14:paraId="7C4159F2" w14:textId="77777777" w:rsidR="003D2AD3" w:rsidRPr="00127AFF" w:rsidRDefault="003D2AD3" w:rsidP="00127AFF">
      <w:pPr>
        <w:pStyle w:val="FootnoteText"/>
        <w:contextualSpacing/>
        <w:rPr>
          <w:color w:val="auto"/>
          <w:sz w:val="18"/>
          <w:szCs w:val="18"/>
          <w:lang w:val="es-ES_tradnl"/>
        </w:rPr>
      </w:pPr>
      <w:r w:rsidRPr="00127AFF">
        <w:rPr>
          <w:rStyle w:val="FootnoteReference"/>
          <w:color w:val="auto"/>
          <w:sz w:val="18"/>
          <w:szCs w:val="18"/>
          <w:lang w:val="en-GB"/>
        </w:rPr>
        <w:footnoteRef/>
      </w:r>
      <w:r w:rsidRPr="00127AFF">
        <w:rPr>
          <w:color w:val="auto"/>
          <w:sz w:val="18"/>
          <w:szCs w:val="18"/>
          <w:lang w:val="es-ES_tradnl"/>
        </w:rPr>
        <w:t xml:space="preserve"> World Prison Brief, March 2018.</w:t>
      </w:r>
    </w:p>
  </w:footnote>
  <w:footnote w:id="76">
    <w:p w14:paraId="4B090BAE" w14:textId="77777777" w:rsidR="003D2AD3" w:rsidRPr="00127AFF" w:rsidRDefault="003D2AD3" w:rsidP="00127AFF">
      <w:pPr>
        <w:pStyle w:val="FootnoteText"/>
        <w:contextualSpacing/>
        <w:rPr>
          <w:color w:val="auto"/>
          <w:sz w:val="18"/>
          <w:szCs w:val="18"/>
          <w:lang w:val="es-ES_tradnl"/>
        </w:rPr>
      </w:pPr>
      <w:r w:rsidRPr="00127AFF">
        <w:rPr>
          <w:rStyle w:val="FootnoteReference"/>
          <w:color w:val="auto"/>
          <w:sz w:val="18"/>
          <w:szCs w:val="18"/>
          <w:lang w:val="en-GB"/>
        </w:rPr>
        <w:footnoteRef/>
      </w:r>
      <w:r w:rsidRPr="00127AFF">
        <w:rPr>
          <w:color w:val="auto"/>
          <w:sz w:val="18"/>
          <w:szCs w:val="18"/>
          <w:lang w:val="es-ES_tradnl"/>
        </w:rPr>
        <w:t xml:space="preserve"> Pérez Correa &amp; Chaparro Hernández, Sobredosis carcelaria y política de drogas en A.L., 2017</w:t>
      </w:r>
    </w:p>
  </w:footnote>
  <w:footnote w:id="77">
    <w:p w14:paraId="3511F112" w14:textId="77777777" w:rsidR="003D2AD3" w:rsidRPr="00127AFF" w:rsidRDefault="003D2AD3" w:rsidP="00127AFF">
      <w:pPr>
        <w:pStyle w:val="FootnoteText"/>
        <w:contextualSpacing/>
        <w:jc w:val="both"/>
        <w:rPr>
          <w:rFonts w:cs="Arial"/>
          <w:color w:val="auto"/>
          <w:sz w:val="18"/>
          <w:szCs w:val="18"/>
          <w:lang w:val="es-ES_tradnl"/>
        </w:rPr>
      </w:pPr>
      <w:r w:rsidRPr="00127AFF">
        <w:rPr>
          <w:rStyle w:val="FootnoteReference"/>
          <w:rFonts w:cs="Arial"/>
          <w:color w:val="auto"/>
          <w:sz w:val="18"/>
          <w:szCs w:val="18"/>
          <w:lang w:val="en-GB"/>
        </w:rPr>
        <w:footnoteRef/>
      </w:r>
      <w:r w:rsidRPr="00127AFF">
        <w:rPr>
          <w:rFonts w:cs="Arial"/>
          <w:color w:val="auto"/>
          <w:sz w:val="18"/>
          <w:szCs w:val="18"/>
          <w:lang w:val="es-ES_tradnl"/>
        </w:rPr>
        <w:t xml:space="preserve"> Equis, Justicia para las Mujeres, Políticas de drogas, género y encarcelamiento en México, 2018, p. 9-10. http://equis.org.mx/wp-content/uploads/2018/02/Gui%CC%81a_Drogas.pdf</w:t>
      </w:r>
    </w:p>
  </w:footnote>
  <w:footnote w:id="78">
    <w:p w14:paraId="0B4CF928" w14:textId="00B57F6C" w:rsidR="003D2AD3" w:rsidRPr="0047168A" w:rsidRDefault="003D2AD3" w:rsidP="00127AFF">
      <w:pPr>
        <w:pStyle w:val="FootnoteText"/>
        <w:contextualSpacing/>
        <w:rPr>
          <w:lang w:val="en-GB"/>
        </w:rPr>
      </w:pPr>
      <w:r w:rsidRPr="00127AFF">
        <w:rPr>
          <w:rStyle w:val="FootnoteReference"/>
          <w:color w:val="auto"/>
          <w:sz w:val="18"/>
          <w:szCs w:val="18"/>
        </w:rPr>
        <w:footnoteRef/>
      </w:r>
      <w:r w:rsidRPr="00127AFF">
        <w:rPr>
          <w:color w:val="auto"/>
          <w:sz w:val="18"/>
          <w:szCs w:val="18"/>
        </w:rPr>
        <w:t xml:space="preserve"> </w:t>
      </w:r>
      <w:r w:rsidRPr="00127AFF">
        <w:rPr>
          <w:color w:val="auto"/>
          <w:sz w:val="18"/>
          <w:szCs w:val="18"/>
          <w:lang w:val="en-GB"/>
        </w:rPr>
        <w:t>Para. 11</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054C11" w14:textId="77777777" w:rsidR="003D2AD3" w:rsidRDefault="003D2AD3">
    <w:pPr>
      <w:spacing w:after="0" w:line="240" w:lineRule="aut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945EE8" w14:textId="5C7A28B3" w:rsidR="003D2AD3" w:rsidRDefault="003D2AD3" w:rsidP="00E969E9">
    <w:pPr>
      <w:spacing w:after="0" w:line="240" w:lineRule="auto"/>
    </w:pPr>
    <w:r>
      <w:rPr>
        <w:noProof/>
        <w:lang w:val="en-US" w:eastAsia="en-US"/>
      </w:rPr>
      <w:drawing>
        <wp:anchor distT="0" distB="0" distL="114300" distR="114300" simplePos="0" relativeHeight="251663360" behindDoc="1" locked="0" layoutInCell="1" allowOverlap="1" wp14:anchorId="25292AB5" wp14:editId="185F3D6E">
          <wp:simplePos x="0" y="0"/>
          <wp:positionH relativeFrom="margin">
            <wp:posOffset>2158365</wp:posOffset>
          </wp:positionH>
          <wp:positionV relativeFrom="paragraph">
            <wp:posOffset>-292100</wp:posOffset>
          </wp:positionV>
          <wp:extent cx="889000" cy="889000"/>
          <wp:effectExtent l="0" t="0" r="0" b="0"/>
          <wp:wrapNone/>
          <wp:docPr id="8" name="Picture 8" descr="Equ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qu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889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60288" behindDoc="0" locked="0" layoutInCell="1" hidden="0" allowOverlap="1" wp14:anchorId="7909AF23" wp14:editId="15DAE887">
          <wp:simplePos x="0" y="0"/>
          <wp:positionH relativeFrom="margin">
            <wp:posOffset>3486785</wp:posOffset>
          </wp:positionH>
          <wp:positionV relativeFrom="paragraph">
            <wp:posOffset>-35560</wp:posOffset>
          </wp:positionV>
          <wp:extent cx="2614295" cy="396000"/>
          <wp:effectExtent l="0" t="0" r="0" b="4445"/>
          <wp:wrapNone/>
          <wp:docPr id="5" name="image2.png" descr="../Google%20Drive/Comunicación%20Interna/Logos/Logos%20asociación/mexicounidocd_hzt_der.png"/>
          <wp:cNvGraphicFramePr/>
          <a:graphic xmlns:a="http://schemas.openxmlformats.org/drawingml/2006/main">
            <a:graphicData uri="http://schemas.openxmlformats.org/drawingml/2006/picture">
              <pic:pic xmlns:pic="http://schemas.openxmlformats.org/drawingml/2006/picture">
                <pic:nvPicPr>
                  <pic:cNvPr id="0" name="image2.png" descr="../Google%20Drive/Comunicación%20Interna/Logos/Logos%20asociación/mexicounidocd_hzt_der.png"/>
                  <pic:cNvPicPr preferRelativeResize="0"/>
                </pic:nvPicPr>
                <pic:blipFill>
                  <a:blip r:embed="rId2"/>
                  <a:srcRect/>
                  <a:stretch>
                    <a:fillRect/>
                  </a:stretch>
                </pic:blipFill>
                <pic:spPr>
                  <a:xfrm>
                    <a:off x="0" y="0"/>
                    <a:ext cx="2614295" cy="396000"/>
                  </a:xfrm>
                  <a:prstGeom prst="rect">
                    <a:avLst/>
                  </a:prstGeom>
                  <a:ln/>
                </pic:spPr>
              </pic:pic>
            </a:graphicData>
          </a:graphic>
          <wp14:sizeRelV relativeFrom="margin">
            <wp14:pctHeight>0</wp14:pctHeight>
          </wp14:sizeRelV>
        </wp:anchor>
      </w:drawing>
    </w:r>
    <w:r w:rsidRPr="0047168A">
      <w:rPr>
        <w:rFonts w:ascii="HelveticaNeue-Light" w:hAnsi="HelveticaNeue-Light" w:cs="HelveticaNeue-Light"/>
        <w:noProof/>
        <w:color w:val="7F7F7F"/>
        <w:spacing w:val="-1"/>
        <w:sz w:val="16"/>
        <w:szCs w:val="18"/>
        <w:lang w:val="en-US" w:eastAsia="en-US"/>
      </w:rPr>
      <w:drawing>
        <wp:anchor distT="0" distB="0" distL="114300" distR="114300" simplePos="0" relativeHeight="251661312" behindDoc="1" locked="0" layoutInCell="1" allowOverlap="1" wp14:anchorId="65679AFA" wp14:editId="1EC240F0">
          <wp:simplePos x="0" y="0"/>
          <wp:positionH relativeFrom="margin">
            <wp:posOffset>-146685</wp:posOffset>
          </wp:positionH>
          <wp:positionV relativeFrom="paragraph">
            <wp:posOffset>-101600</wp:posOffset>
          </wp:positionV>
          <wp:extent cx="1835785" cy="44386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835785" cy="44386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PAGE</w:instrText>
    </w:r>
    <w:r>
      <w:fldChar w:fldCharType="separate"/>
    </w:r>
    <w:r w:rsidR="00127AFF">
      <w:rPr>
        <w:noProof/>
      </w:rPr>
      <w:t>20</w:t>
    </w:r>
    <w:r>
      <w:fldChar w:fldCharType="end"/>
    </w:r>
  </w:p>
  <w:p w14:paraId="511DE08F" w14:textId="48490F72" w:rsidR="003D2AD3" w:rsidRDefault="003D2AD3" w:rsidP="00567F3F">
    <w:pPr>
      <w:tabs>
        <w:tab w:val="left" w:pos="3070"/>
      </w:tabs>
      <w:spacing w:after="0" w:line="240" w:lineRule="auto"/>
    </w:pPr>
    <w:r>
      <w:tab/>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752352"/>
      <w:temporary/>
      <w:showingPlcHdr/>
    </w:sdtPr>
    <w:sdtContent>
      <w:p w14:paraId="445B07A8" w14:textId="77777777" w:rsidR="003D2AD3" w:rsidRDefault="003D2AD3">
        <w:pPr>
          <w:pStyle w:val="Header"/>
        </w:pPr>
        <w:r>
          <w:t>[Type here]</w:t>
        </w:r>
      </w:p>
    </w:sdtContent>
  </w:sdt>
  <w:p w14:paraId="61F1B447" w14:textId="098CBB47" w:rsidR="003D2AD3" w:rsidRPr="00972C5F" w:rsidRDefault="003D2AD3">
    <w:pPr>
      <w:spacing w:after="0" w:line="240" w:lineRule="aut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15459"/>
    <w:multiLevelType w:val="hybridMultilevel"/>
    <w:tmpl w:val="4AE82CEE"/>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68F4E12"/>
    <w:multiLevelType w:val="hybridMultilevel"/>
    <w:tmpl w:val="8DB015E0"/>
    <w:lvl w:ilvl="0" w:tplc="96965C44">
      <w:start w:val="1"/>
      <w:numFmt w:val="bullet"/>
      <w:lvlText w:val=""/>
      <w:lvlJc w:val="left"/>
      <w:pPr>
        <w:ind w:left="360" w:hanging="360"/>
      </w:pPr>
      <w:rPr>
        <w:rFonts w:ascii="Symbol" w:hAnsi="Symbol" w:hint="default"/>
        <w:color w:val="auto"/>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nsid w:val="0BC251B6"/>
    <w:multiLevelType w:val="hybridMultilevel"/>
    <w:tmpl w:val="36E4483C"/>
    <w:lvl w:ilvl="0" w:tplc="B9A4410A">
      <w:start w:val="1"/>
      <w:numFmt w:val="decimal"/>
      <w:lvlText w:val="%1."/>
      <w:lvlJc w:val="left"/>
      <w:pPr>
        <w:ind w:left="720" w:hanging="360"/>
      </w:pPr>
      <w:rPr>
        <w:rFonts w:ascii="Calibri" w:hAnsi="Calibri" w:cs="Calibri"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FF6524"/>
    <w:multiLevelType w:val="hybridMultilevel"/>
    <w:tmpl w:val="D45095F4"/>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nsid w:val="0E353FF6"/>
    <w:multiLevelType w:val="hybridMultilevel"/>
    <w:tmpl w:val="40B83A7A"/>
    <w:lvl w:ilvl="0" w:tplc="5BC0664E">
      <w:start w:val="2"/>
      <w:numFmt w:val="decimal"/>
      <w:lvlText w:val="%1."/>
      <w:lvlJc w:val="left"/>
      <w:pPr>
        <w:ind w:left="1080" w:hanging="360"/>
      </w:pPr>
      <w:rPr>
        <w:rFonts w:cs="Verdana"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0F347F43"/>
    <w:multiLevelType w:val="hybridMultilevel"/>
    <w:tmpl w:val="00BC68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34C6D6B"/>
    <w:multiLevelType w:val="hybridMultilevel"/>
    <w:tmpl w:val="CB7E593E"/>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60D2CE3"/>
    <w:multiLevelType w:val="hybridMultilevel"/>
    <w:tmpl w:val="0136E734"/>
    <w:lvl w:ilvl="0" w:tplc="B576FFA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nsid w:val="1887178B"/>
    <w:multiLevelType w:val="hybridMultilevel"/>
    <w:tmpl w:val="EDEE7A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C63286D"/>
    <w:multiLevelType w:val="hybridMultilevel"/>
    <w:tmpl w:val="3060340E"/>
    <w:lvl w:ilvl="0" w:tplc="A126D09C">
      <w:start w:val="1"/>
      <w:numFmt w:val="bullet"/>
      <w:lvlText w:val=""/>
      <w:lvlJc w:val="left"/>
      <w:pPr>
        <w:ind w:left="360" w:hanging="360"/>
      </w:pPr>
      <w:rPr>
        <w:rFonts w:ascii="Wingdings" w:hAnsi="Wingdings" w:hint="default"/>
        <w:color w:val="00AB97"/>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0">
    <w:nsid w:val="1D0F06C9"/>
    <w:multiLevelType w:val="hybridMultilevel"/>
    <w:tmpl w:val="ED627E60"/>
    <w:lvl w:ilvl="0" w:tplc="FB126FB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EA00530"/>
    <w:multiLevelType w:val="hybridMultilevel"/>
    <w:tmpl w:val="44C832A2"/>
    <w:lvl w:ilvl="0" w:tplc="873ED5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FF24A30"/>
    <w:multiLevelType w:val="hybridMultilevel"/>
    <w:tmpl w:val="BAF27958"/>
    <w:lvl w:ilvl="0" w:tplc="FB126FB0">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3">
    <w:nsid w:val="20EB1682"/>
    <w:multiLevelType w:val="hybridMultilevel"/>
    <w:tmpl w:val="7010AC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224D2F9A"/>
    <w:multiLevelType w:val="hybridMultilevel"/>
    <w:tmpl w:val="A4A24C78"/>
    <w:lvl w:ilvl="0" w:tplc="96965C44">
      <w:start w:val="1"/>
      <w:numFmt w:val="bullet"/>
      <w:lvlText w:val=""/>
      <w:lvlJc w:val="left"/>
      <w:pPr>
        <w:ind w:left="360" w:hanging="360"/>
      </w:pPr>
      <w:rPr>
        <w:rFonts w:ascii="Symbol" w:hAnsi="Symbol" w:hint="default"/>
        <w:color w:val="auto"/>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nsid w:val="240A4920"/>
    <w:multiLevelType w:val="multilevel"/>
    <w:tmpl w:val="B8A2BBF8"/>
    <w:lvl w:ilvl="0">
      <w:start w:val="1"/>
      <w:numFmt w:val="bullet"/>
      <w:lvlText w:val="●"/>
      <w:lvlJc w:val="left"/>
      <w:pPr>
        <w:ind w:left="720" w:hanging="360"/>
      </w:pPr>
      <w:rPr>
        <w:rFonts w:ascii="Noto Sans Symbols" w:eastAsia="Noto Sans Symbols" w:hAnsi="Noto Sans Symbols" w:cs="Noto Sans Symbols"/>
        <w:color w:val="auto"/>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nsid w:val="26A83D89"/>
    <w:multiLevelType w:val="hybridMultilevel"/>
    <w:tmpl w:val="ED9E8C6A"/>
    <w:lvl w:ilvl="0" w:tplc="4E847CC8">
      <w:start w:val="1"/>
      <w:numFmt w:val="bullet"/>
      <w:lvlText w:val="•"/>
      <w:lvlJc w:val="left"/>
      <w:pPr>
        <w:tabs>
          <w:tab w:val="num" w:pos="720"/>
        </w:tabs>
        <w:ind w:left="720" w:hanging="360"/>
      </w:pPr>
      <w:rPr>
        <w:rFonts w:ascii="Arial" w:hAnsi="Arial" w:hint="default"/>
      </w:rPr>
    </w:lvl>
    <w:lvl w:ilvl="1" w:tplc="83107F74" w:tentative="1">
      <w:start w:val="1"/>
      <w:numFmt w:val="bullet"/>
      <w:lvlText w:val="•"/>
      <w:lvlJc w:val="left"/>
      <w:pPr>
        <w:tabs>
          <w:tab w:val="num" w:pos="1440"/>
        </w:tabs>
        <w:ind w:left="1440" w:hanging="360"/>
      </w:pPr>
      <w:rPr>
        <w:rFonts w:ascii="Arial" w:hAnsi="Arial" w:hint="default"/>
      </w:rPr>
    </w:lvl>
    <w:lvl w:ilvl="2" w:tplc="E5C435EE" w:tentative="1">
      <w:start w:val="1"/>
      <w:numFmt w:val="bullet"/>
      <w:lvlText w:val="•"/>
      <w:lvlJc w:val="left"/>
      <w:pPr>
        <w:tabs>
          <w:tab w:val="num" w:pos="2160"/>
        </w:tabs>
        <w:ind w:left="2160" w:hanging="360"/>
      </w:pPr>
      <w:rPr>
        <w:rFonts w:ascii="Arial" w:hAnsi="Arial" w:hint="default"/>
      </w:rPr>
    </w:lvl>
    <w:lvl w:ilvl="3" w:tplc="6EFC3A80" w:tentative="1">
      <w:start w:val="1"/>
      <w:numFmt w:val="bullet"/>
      <w:lvlText w:val="•"/>
      <w:lvlJc w:val="left"/>
      <w:pPr>
        <w:tabs>
          <w:tab w:val="num" w:pos="2880"/>
        </w:tabs>
        <w:ind w:left="2880" w:hanging="360"/>
      </w:pPr>
      <w:rPr>
        <w:rFonts w:ascii="Arial" w:hAnsi="Arial" w:hint="default"/>
      </w:rPr>
    </w:lvl>
    <w:lvl w:ilvl="4" w:tplc="8ECCA5BC" w:tentative="1">
      <w:start w:val="1"/>
      <w:numFmt w:val="bullet"/>
      <w:lvlText w:val="•"/>
      <w:lvlJc w:val="left"/>
      <w:pPr>
        <w:tabs>
          <w:tab w:val="num" w:pos="3600"/>
        </w:tabs>
        <w:ind w:left="3600" w:hanging="360"/>
      </w:pPr>
      <w:rPr>
        <w:rFonts w:ascii="Arial" w:hAnsi="Arial" w:hint="default"/>
      </w:rPr>
    </w:lvl>
    <w:lvl w:ilvl="5" w:tplc="BAAE35A2" w:tentative="1">
      <w:start w:val="1"/>
      <w:numFmt w:val="bullet"/>
      <w:lvlText w:val="•"/>
      <w:lvlJc w:val="left"/>
      <w:pPr>
        <w:tabs>
          <w:tab w:val="num" w:pos="4320"/>
        </w:tabs>
        <w:ind w:left="4320" w:hanging="360"/>
      </w:pPr>
      <w:rPr>
        <w:rFonts w:ascii="Arial" w:hAnsi="Arial" w:hint="default"/>
      </w:rPr>
    </w:lvl>
    <w:lvl w:ilvl="6" w:tplc="DE6460B2" w:tentative="1">
      <w:start w:val="1"/>
      <w:numFmt w:val="bullet"/>
      <w:lvlText w:val="•"/>
      <w:lvlJc w:val="left"/>
      <w:pPr>
        <w:tabs>
          <w:tab w:val="num" w:pos="5040"/>
        </w:tabs>
        <w:ind w:left="5040" w:hanging="360"/>
      </w:pPr>
      <w:rPr>
        <w:rFonts w:ascii="Arial" w:hAnsi="Arial" w:hint="default"/>
      </w:rPr>
    </w:lvl>
    <w:lvl w:ilvl="7" w:tplc="E66C8334" w:tentative="1">
      <w:start w:val="1"/>
      <w:numFmt w:val="bullet"/>
      <w:lvlText w:val="•"/>
      <w:lvlJc w:val="left"/>
      <w:pPr>
        <w:tabs>
          <w:tab w:val="num" w:pos="5760"/>
        </w:tabs>
        <w:ind w:left="5760" w:hanging="360"/>
      </w:pPr>
      <w:rPr>
        <w:rFonts w:ascii="Arial" w:hAnsi="Arial" w:hint="default"/>
      </w:rPr>
    </w:lvl>
    <w:lvl w:ilvl="8" w:tplc="DFA0A068" w:tentative="1">
      <w:start w:val="1"/>
      <w:numFmt w:val="bullet"/>
      <w:lvlText w:val="•"/>
      <w:lvlJc w:val="left"/>
      <w:pPr>
        <w:tabs>
          <w:tab w:val="num" w:pos="6480"/>
        </w:tabs>
        <w:ind w:left="6480" w:hanging="360"/>
      </w:pPr>
      <w:rPr>
        <w:rFonts w:ascii="Arial" w:hAnsi="Arial" w:hint="default"/>
      </w:rPr>
    </w:lvl>
  </w:abstractNum>
  <w:abstractNum w:abstractNumId="17">
    <w:nsid w:val="26EE3064"/>
    <w:multiLevelType w:val="hybridMultilevel"/>
    <w:tmpl w:val="5C6AC4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2ABA55D3"/>
    <w:multiLevelType w:val="hybridMultilevel"/>
    <w:tmpl w:val="FAE4B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1E01E7F"/>
    <w:multiLevelType w:val="hybridMultilevel"/>
    <w:tmpl w:val="5E5AFBF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0">
    <w:nsid w:val="37F4490C"/>
    <w:multiLevelType w:val="hybridMultilevel"/>
    <w:tmpl w:val="2A5423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399C6192"/>
    <w:multiLevelType w:val="hybridMultilevel"/>
    <w:tmpl w:val="B3728B0A"/>
    <w:lvl w:ilvl="0" w:tplc="D792BAD2">
      <w:start w:val="2"/>
      <w:numFmt w:val="bullet"/>
      <w:lvlText w:val="-"/>
      <w:lvlJc w:val="left"/>
      <w:pPr>
        <w:ind w:left="227" w:hanging="227"/>
      </w:pPr>
      <w:rPr>
        <w:rFonts w:ascii="Open Sans" w:eastAsia="ヒラギノ角ゴ Pro W3" w:hAnsi="Open San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99E3248"/>
    <w:multiLevelType w:val="hybridMultilevel"/>
    <w:tmpl w:val="49B4FB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429E7296"/>
    <w:multiLevelType w:val="hybridMultilevel"/>
    <w:tmpl w:val="5BD6B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3B46449"/>
    <w:multiLevelType w:val="multilevel"/>
    <w:tmpl w:val="E918C35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337B97"/>
    <w:multiLevelType w:val="hybridMultilevel"/>
    <w:tmpl w:val="6ACED9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B9704B9"/>
    <w:multiLevelType w:val="hybridMultilevel"/>
    <w:tmpl w:val="C2D4EA0C"/>
    <w:lvl w:ilvl="0" w:tplc="86B08DCA">
      <w:start w:val="1"/>
      <w:numFmt w:val="bullet"/>
      <w:lvlText w:val="•"/>
      <w:lvlJc w:val="left"/>
      <w:pPr>
        <w:tabs>
          <w:tab w:val="num" w:pos="720"/>
        </w:tabs>
        <w:ind w:left="720" w:hanging="360"/>
      </w:pPr>
      <w:rPr>
        <w:rFonts w:ascii="Arial" w:hAnsi="Arial" w:hint="default"/>
      </w:rPr>
    </w:lvl>
    <w:lvl w:ilvl="1" w:tplc="1188CE02" w:tentative="1">
      <w:start w:val="1"/>
      <w:numFmt w:val="bullet"/>
      <w:lvlText w:val="•"/>
      <w:lvlJc w:val="left"/>
      <w:pPr>
        <w:tabs>
          <w:tab w:val="num" w:pos="1440"/>
        </w:tabs>
        <w:ind w:left="1440" w:hanging="360"/>
      </w:pPr>
      <w:rPr>
        <w:rFonts w:ascii="Arial" w:hAnsi="Arial" w:hint="default"/>
      </w:rPr>
    </w:lvl>
    <w:lvl w:ilvl="2" w:tplc="C5C0E168" w:tentative="1">
      <w:start w:val="1"/>
      <w:numFmt w:val="bullet"/>
      <w:lvlText w:val="•"/>
      <w:lvlJc w:val="left"/>
      <w:pPr>
        <w:tabs>
          <w:tab w:val="num" w:pos="2160"/>
        </w:tabs>
        <w:ind w:left="2160" w:hanging="360"/>
      </w:pPr>
      <w:rPr>
        <w:rFonts w:ascii="Arial" w:hAnsi="Arial" w:hint="default"/>
      </w:rPr>
    </w:lvl>
    <w:lvl w:ilvl="3" w:tplc="E976FC7E" w:tentative="1">
      <w:start w:val="1"/>
      <w:numFmt w:val="bullet"/>
      <w:lvlText w:val="•"/>
      <w:lvlJc w:val="left"/>
      <w:pPr>
        <w:tabs>
          <w:tab w:val="num" w:pos="2880"/>
        </w:tabs>
        <w:ind w:left="2880" w:hanging="360"/>
      </w:pPr>
      <w:rPr>
        <w:rFonts w:ascii="Arial" w:hAnsi="Arial" w:hint="default"/>
      </w:rPr>
    </w:lvl>
    <w:lvl w:ilvl="4" w:tplc="0FE412AE" w:tentative="1">
      <w:start w:val="1"/>
      <w:numFmt w:val="bullet"/>
      <w:lvlText w:val="•"/>
      <w:lvlJc w:val="left"/>
      <w:pPr>
        <w:tabs>
          <w:tab w:val="num" w:pos="3600"/>
        </w:tabs>
        <w:ind w:left="3600" w:hanging="360"/>
      </w:pPr>
      <w:rPr>
        <w:rFonts w:ascii="Arial" w:hAnsi="Arial" w:hint="default"/>
      </w:rPr>
    </w:lvl>
    <w:lvl w:ilvl="5" w:tplc="DA3CC6C4" w:tentative="1">
      <w:start w:val="1"/>
      <w:numFmt w:val="bullet"/>
      <w:lvlText w:val="•"/>
      <w:lvlJc w:val="left"/>
      <w:pPr>
        <w:tabs>
          <w:tab w:val="num" w:pos="4320"/>
        </w:tabs>
        <w:ind w:left="4320" w:hanging="360"/>
      </w:pPr>
      <w:rPr>
        <w:rFonts w:ascii="Arial" w:hAnsi="Arial" w:hint="default"/>
      </w:rPr>
    </w:lvl>
    <w:lvl w:ilvl="6" w:tplc="C2BC41AE" w:tentative="1">
      <w:start w:val="1"/>
      <w:numFmt w:val="bullet"/>
      <w:lvlText w:val="•"/>
      <w:lvlJc w:val="left"/>
      <w:pPr>
        <w:tabs>
          <w:tab w:val="num" w:pos="5040"/>
        </w:tabs>
        <w:ind w:left="5040" w:hanging="360"/>
      </w:pPr>
      <w:rPr>
        <w:rFonts w:ascii="Arial" w:hAnsi="Arial" w:hint="default"/>
      </w:rPr>
    </w:lvl>
    <w:lvl w:ilvl="7" w:tplc="448E5CFE" w:tentative="1">
      <w:start w:val="1"/>
      <w:numFmt w:val="bullet"/>
      <w:lvlText w:val="•"/>
      <w:lvlJc w:val="left"/>
      <w:pPr>
        <w:tabs>
          <w:tab w:val="num" w:pos="5760"/>
        </w:tabs>
        <w:ind w:left="5760" w:hanging="360"/>
      </w:pPr>
      <w:rPr>
        <w:rFonts w:ascii="Arial" w:hAnsi="Arial" w:hint="default"/>
      </w:rPr>
    </w:lvl>
    <w:lvl w:ilvl="8" w:tplc="FBCC6228" w:tentative="1">
      <w:start w:val="1"/>
      <w:numFmt w:val="bullet"/>
      <w:lvlText w:val="•"/>
      <w:lvlJc w:val="left"/>
      <w:pPr>
        <w:tabs>
          <w:tab w:val="num" w:pos="6480"/>
        </w:tabs>
        <w:ind w:left="6480" w:hanging="360"/>
      </w:pPr>
      <w:rPr>
        <w:rFonts w:ascii="Arial" w:hAnsi="Arial" w:hint="default"/>
      </w:rPr>
    </w:lvl>
  </w:abstractNum>
  <w:abstractNum w:abstractNumId="27">
    <w:nsid w:val="5EDE3922"/>
    <w:multiLevelType w:val="hybridMultilevel"/>
    <w:tmpl w:val="EF763D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DF686A"/>
    <w:multiLevelType w:val="hybridMultilevel"/>
    <w:tmpl w:val="0136E734"/>
    <w:lvl w:ilvl="0" w:tplc="B576FFA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9">
    <w:nsid w:val="67E467B8"/>
    <w:multiLevelType w:val="hybridMultilevel"/>
    <w:tmpl w:val="A9826A0A"/>
    <w:lvl w:ilvl="0" w:tplc="FB126FB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8205A84"/>
    <w:multiLevelType w:val="hybridMultilevel"/>
    <w:tmpl w:val="0136E734"/>
    <w:lvl w:ilvl="0" w:tplc="B576FFA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1">
    <w:nsid w:val="6C3A2DE0"/>
    <w:multiLevelType w:val="hybridMultilevel"/>
    <w:tmpl w:val="72886DBC"/>
    <w:lvl w:ilvl="0" w:tplc="96965C44">
      <w:start w:val="1"/>
      <w:numFmt w:val="bullet"/>
      <w:lvlText w:val=""/>
      <w:lvlJc w:val="left"/>
      <w:pPr>
        <w:ind w:left="360" w:hanging="360"/>
      </w:pPr>
      <w:rPr>
        <w:rFonts w:ascii="Symbol" w:hAnsi="Symbol" w:hint="default"/>
        <w:color w:val="auto"/>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2">
    <w:nsid w:val="6C972C21"/>
    <w:multiLevelType w:val="hybridMultilevel"/>
    <w:tmpl w:val="3DD687A8"/>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6F9B5556"/>
    <w:multiLevelType w:val="hybridMultilevel"/>
    <w:tmpl w:val="02B4F0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770C59A6"/>
    <w:multiLevelType w:val="hybridMultilevel"/>
    <w:tmpl w:val="CC7C5A2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85651A4"/>
    <w:multiLevelType w:val="hybridMultilevel"/>
    <w:tmpl w:val="0136E734"/>
    <w:lvl w:ilvl="0" w:tplc="B576FFA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6">
    <w:nsid w:val="796D208C"/>
    <w:multiLevelType w:val="hybridMultilevel"/>
    <w:tmpl w:val="A46A222E"/>
    <w:lvl w:ilvl="0" w:tplc="96965C44">
      <w:start w:val="1"/>
      <w:numFmt w:val="bullet"/>
      <w:lvlText w:val=""/>
      <w:lvlJc w:val="left"/>
      <w:pPr>
        <w:ind w:left="360" w:hanging="360"/>
      </w:pPr>
      <w:rPr>
        <w:rFonts w:ascii="Symbol" w:hAnsi="Symbol" w:hint="default"/>
        <w:color w:val="auto"/>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7">
    <w:nsid w:val="7B583A5F"/>
    <w:multiLevelType w:val="hybridMultilevel"/>
    <w:tmpl w:val="F774A65C"/>
    <w:lvl w:ilvl="0" w:tplc="0F3A85A8">
      <w:numFmt w:val="bullet"/>
      <w:lvlText w:val="-"/>
      <w:lvlJc w:val="left"/>
      <w:pPr>
        <w:ind w:left="720" w:hanging="360"/>
      </w:pPr>
      <w:rPr>
        <w:rFonts w:ascii="Verdana" w:eastAsia="Verdana"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CBF0441"/>
    <w:multiLevelType w:val="hybridMultilevel"/>
    <w:tmpl w:val="B182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2"/>
  </w:num>
  <w:num w:numId="3">
    <w:abstractNumId w:val="25"/>
  </w:num>
  <w:num w:numId="4">
    <w:abstractNumId w:val="5"/>
  </w:num>
  <w:num w:numId="5">
    <w:abstractNumId w:val="8"/>
  </w:num>
  <w:num w:numId="6">
    <w:abstractNumId w:val="15"/>
  </w:num>
  <w:num w:numId="7">
    <w:abstractNumId w:val="12"/>
  </w:num>
  <w:num w:numId="8">
    <w:abstractNumId w:val="29"/>
  </w:num>
  <w:num w:numId="9">
    <w:abstractNumId w:val="10"/>
  </w:num>
  <w:num w:numId="10">
    <w:abstractNumId w:val="17"/>
  </w:num>
  <w:num w:numId="11">
    <w:abstractNumId w:val="0"/>
  </w:num>
  <w:num w:numId="12">
    <w:abstractNumId w:val="9"/>
  </w:num>
  <w:num w:numId="13">
    <w:abstractNumId w:val="6"/>
  </w:num>
  <w:num w:numId="14">
    <w:abstractNumId w:val="32"/>
  </w:num>
  <w:num w:numId="15">
    <w:abstractNumId w:val="36"/>
  </w:num>
  <w:num w:numId="16">
    <w:abstractNumId w:val="3"/>
  </w:num>
  <w:num w:numId="17">
    <w:abstractNumId w:val="31"/>
  </w:num>
  <w:num w:numId="18">
    <w:abstractNumId w:val="14"/>
  </w:num>
  <w:num w:numId="19">
    <w:abstractNumId w:val="1"/>
  </w:num>
  <w:num w:numId="20">
    <w:abstractNumId w:val="11"/>
  </w:num>
  <w:num w:numId="21">
    <w:abstractNumId w:val="19"/>
  </w:num>
  <w:num w:numId="22">
    <w:abstractNumId w:val="13"/>
  </w:num>
  <w:num w:numId="23">
    <w:abstractNumId w:val="20"/>
  </w:num>
  <w:num w:numId="24">
    <w:abstractNumId w:val="33"/>
  </w:num>
  <w:num w:numId="25">
    <w:abstractNumId w:val="34"/>
  </w:num>
  <w:num w:numId="26">
    <w:abstractNumId w:val="28"/>
  </w:num>
  <w:num w:numId="27">
    <w:abstractNumId w:val="7"/>
  </w:num>
  <w:num w:numId="28">
    <w:abstractNumId w:val="35"/>
  </w:num>
  <w:num w:numId="29">
    <w:abstractNumId w:val="30"/>
  </w:num>
  <w:num w:numId="30">
    <w:abstractNumId w:val="26"/>
  </w:num>
  <w:num w:numId="31">
    <w:abstractNumId w:val="16"/>
  </w:num>
  <w:num w:numId="32">
    <w:abstractNumId w:val="4"/>
  </w:num>
  <w:num w:numId="33">
    <w:abstractNumId w:val="27"/>
  </w:num>
  <w:num w:numId="34">
    <w:abstractNumId w:val="21"/>
  </w:num>
  <w:num w:numId="35">
    <w:abstractNumId w:val="38"/>
  </w:num>
  <w:num w:numId="36">
    <w:abstractNumId w:val="18"/>
  </w:num>
  <w:num w:numId="37">
    <w:abstractNumId w:val="23"/>
  </w:num>
  <w:num w:numId="38">
    <w:abstractNumId w:val="2"/>
  </w:num>
  <w:num w:numId="39">
    <w:abstractNumId w:val="37"/>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ria Cots Fernandez">
    <w15:presenceInfo w15:providerId="AD" w15:userId="S-1-5-21-1798018610-3841362389-1805230127-1250"/>
  </w15:person>
  <w15:person w15:author="Giada Girelli">
    <w15:presenceInfo w15:providerId="Windows Live" w15:userId="74dd17b8982f5e78"/>
  </w15:person>
  <w15:person w15:author="Corina Giacomello">
    <w15:presenceInfo w15:providerId="Windows Live" w15:userId="6d53249436535e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6F5"/>
    <w:rsid w:val="0000304F"/>
    <w:rsid w:val="000058A2"/>
    <w:rsid w:val="000315AF"/>
    <w:rsid w:val="0003488F"/>
    <w:rsid w:val="000438CF"/>
    <w:rsid w:val="00043C2D"/>
    <w:rsid w:val="00056739"/>
    <w:rsid w:val="000779E9"/>
    <w:rsid w:val="00082174"/>
    <w:rsid w:val="00095785"/>
    <w:rsid w:val="000C4809"/>
    <w:rsid w:val="000F2262"/>
    <w:rsid w:val="00115D4D"/>
    <w:rsid w:val="001174A4"/>
    <w:rsid w:val="00123CA1"/>
    <w:rsid w:val="00127AFF"/>
    <w:rsid w:val="0013548C"/>
    <w:rsid w:val="0014222C"/>
    <w:rsid w:val="00153E51"/>
    <w:rsid w:val="00156F87"/>
    <w:rsid w:val="001630B9"/>
    <w:rsid w:val="00187B1A"/>
    <w:rsid w:val="00191D21"/>
    <w:rsid w:val="001961DD"/>
    <w:rsid w:val="001A4C56"/>
    <w:rsid w:val="001C123E"/>
    <w:rsid w:val="001E07D7"/>
    <w:rsid w:val="001E7875"/>
    <w:rsid w:val="001F649A"/>
    <w:rsid w:val="00212AD9"/>
    <w:rsid w:val="002171DE"/>
    <w:rsid w:val="00233984"/>
    <w:rsid w:val="002477F9"/>
    <w:rsid w:val="0025799A"/>
    <w:rsid w:val="00282452"/>
    <w:rsid w:val="00284ACB"/>
    <w:rsid w:val="002863F0"/>
    <w:rsid w:val="002967F1"/>
    <w:rsid w:val="002A4051"/>
    <w:rsid w:val="002A60FA"/>
    <w:rsid w:val="002B0CB5"/>
    <w:rsid w:val="002D5111"/>
    <w:rsid w:val="002D74F8"/>
    <w:rsid w:val="002E2E4F"/>
    <w:rsid w:val="002E6AFE"/>
    <w:rsid w:val="002F2331"/>
    <w:rsid w:val="00383A2E"/>
    <w:rsid w:val="0039684A"/>
    <w:rsid w:val="003A5CE9"/>
    <w:rsid w:val="003B4B06"/>
    <w:rsid w:val="003C13F9"/>
    <w:rsid w:val="003C23A3"/>
    <w:rsid w:val="003C6B67"/>
    <w:rsid w:val="003D25FD"/>
    <w:rsid w:val="003D2AD3"/>
    <w:rsid w:val="003F732B"/>
    <w:rsid w:val="0040610F"/>
    <w:rsid w:val="00415A63"/>
    <w:rsid w:val="00417D9A"/>
    <w:rsid w:val="00444F5C"/>
    <w:rsid w:val="0045217E"/>
    <w:rsid w:val="00467BEB"/>
    <w:rsid w:val="0047168A"/>
    <w:rsid w:val="00472E90"/>
    <w:rsid w:val="00491C27"/>
    <w:rsid w:val="004A3417"/>
    <w:rsid w:val="004A4F04"/>
    <w:rsid w:val="004E432D"/>
    <w:rsid w:val="004F68C3"/>
    <w:rsid w:val="00520B1B"/>
    <w:rsid w:val="005307F4"/>
    <w:rsid w:val="00547082"/>
    <w:rsid w:val="00552C05"/>
    <w:rsid w:val="00563EC0"/>
    <w:rsid w:val="00567F3F"/>
    <w:rsid w:val="0057236D"/>
    <w:rsid w:val="005777B2"/>
    <w:rsid w:val="005806A9"/>
    <w:rsid w:val="005A5F2C"/>
    <w:rsid w:val="005A7C24"/>
    <w:rsid w:val="005B07EA"/>
    <w:rsid w:val="005C3BDA"/>
    <w:rsid w:val="005D4FF9"/>
    <w:rsid w:val="005E3376"/>
    <w:rsid w:val="00607B2B"/>
    <w:rsid w:val="00620B8B"/>
    <w:rsid w:val="0062576A"/>
    <w:rsid w:val="0063172E"/>
    <w:rsid w:val="006426FF"/>
    <w:rsid w:val="00644ACE"/>
    <w:rsid w:val="00652BBA"/>
    <w:rsid w:val="00657FC2"/>
    <w:rsid w:val="006606BF"/>
    <w:rsid w:val="006650AB"/>
    <w:rsid w:val="0068617D"/>
    <w:rsid w:val="006930B3"/>
    <w:rsid w:val="006A66BD"/>
    <w:rsid w:val="006A7646"/>
    <w:rsid w:val="006B719A"/>
    <w:rsid w:val="006C46AB"/>
    <w:rsid w:val="006D1E80"/>
    <w:rsid w:val="006E343D"/>
    <w:rsid w:val="006E69EE"/>
    <w:rsid w:val="006F3086"/>
    <w:rsid w:val="007007DF"/>
    <w:rsid w:val="007153BC"/>
    <w:rsid w:val="00721098"/>
    <w:rsid w:val="007326F5"/>
    <w:rsid w:val="00733754"/>
    <w:rsid w:val="00734282"/>
    <w:rsid w:val="007372EE"/>
    <w:rsid w:val="00740CBD"/>
    <w:rsid w:val="00746B9E"/>
    <w:rsid w:val="00754ED8"/>
    <w:rsid w:val="00756B7A"/>
    <w:rsid w:val="00761223"/>
    <w:rsid w:val="007653C0"/>
    <w:rsid w:val="007754E5"/>
    <w:rsid w:val="00783901"/>
    <w:rsid w:val="007856F5"/>
    <w:rsid w:val="007A09D0"/>
    <w:rsid w:val="007E02BC"/>
    <w:rsid w:val="007E06D3"/>
    <w:rsid w:val="00803A70"/>
    <w:rsid w:val="00830619"/>
    <w:rsid w:val="00832387"/>
    <w:rsid w:val="00865602"/>
    <w:rsid w:val="00887942"/>
    <w:rsid w:val="00891095"/>
    <w:rsid w:val="00892183"/>
    <w:rsid w:val="008A0D7C"/>
    <w:rsid w:val="008B1BC2"/>
    <w:rsid w:val="008C7980"/>
    <w:rsid w:val="008D22D7"/>
    <w:rsid w:val="008D6BDB"/>
    <w:rsid w:val="00920C9D"/>
    <w:rsid w:val="0093307F"/>
    <w:rsid w:val="0094558C"/>
    <w:rsid w:val="00952ED6"/>
    <w:rsid w:val="00972C5F"/>
    <w:rsid w:val="00983540"/>
    <w:rsid w:val="009865E9"/>
    <w:rsid w:val="009B2652"/>
    <w:rsid w:val="009B4D6A"/>
    <w:rsid w:val="009C373D"/>
    <w:rsid w:val="009C7AD9"/>
    <w:rsid w:val="009C7CEF"/>
    <w:rsid w:val="009E74F4"/>
    <w:rsid w:val="009E7A05"/>
    <w:rsid w:val="009F4185"/>
    <w:rsid w:val="00A11346"/>
    <w:rsid w:val="00A17894"/>
    <w:rsid w:val="00A20CE4"/>
    <w:rsid w:val="00A32A43"/>
    <w:rsid w:val="00A340E7"/>
    <w:rsid w:val="00A3579A"/>
    <w:rsid w:val="00A44ECA"/>
    <w:rsid w:val="00A45DD8"/>
    <w:rsid w:val="00A558C3"/>
    <w:rsid w:val="00AB686A"/>
    <w:rsid w:val="00AD036F"/>
    <w:rsid w:val="00AD72AB"/>
    <w:rsid w:val="00AF1A84"/>
    <w:rsid w:val="00B53746"/>
    <w:rsid w:val="00B8189A"/>
    <w:rsid w:val="00B82F96"/>
    <w:rsid w:val="00B865F9"/>
    <w:rsid w:val="00B87564"/>
    <w:rsid w:val="00B90A93"/>
    <w:rsid w:val="00BB0581"/>
    <w:rsid w:val="00BB0F4E"/>
    <w:rsid w:val="00BB3734"/>
    <w:rsid w:val="00BD1CA0"/>
    <w:rsid w:val="00BD6163"/>
    <w:rsid w:val="00BD68A6"/>
    <w:rsid w:val="00BE5B78"/>
    <w:rsid w:val="00BE5C8F"/>
    <w:rsid w:val="00BE7DCE"/>
    <w:rsid w:val="00C04199"/>
    <w:rsid w:val="00C34130"/>
    <w:rsid w:val="00C35A87"/>
    <w:rsid w:val="00C44EC3"/>
    <w:rsid w:val="00C63801"/>
    <w:rsid w:val="00C70C87"/>
    <w:rsid w:val="00C72434"/>
    <w:rsid w:val="00C85CB1"/>
    <w:rsid w:val="00C92B1B"/>
    <w:rsid w:val="00C97D92"/>
    <w:rsid w:val="00CA32CD"/>
    <w:rsid w:val="00CA5463"/>
    <w:rsid w:val="00CC50FC"/>
    <w:rsid w:val="00CC564F"/>
    <w:rsid w:val="00CE6B19"/>
    <w:rsid w:val="00CF0059"/>
    <w:rsid w:val="00D01D6E"/>
    <w:rsid w:val="00D10F04"/>
    <w:rsid w:val="00D202BD"/>
    <w:rsid w:val="00D3140D"/>
    <w:rsid w:val="00D3394A"/>
    <w:rsid w:val="00D33B1A"/>
    <w:rsid w:val="00D43199"/>
    <w:rsid w:val="00D664BE"/>
    <w:rsid w:val="00D6661F"/>
    <w:rsid w:val="00D72FC3"/>
    <w:rsid w:val="00D80D84"/>
    <w:rsid w:val="00D9275D"/>
    <w:rsid w:val="00D93580"/>
    <w:rsid w:val="00D9505B"/>
    <w:rsid w:val="00DA1FA7"/>
    <w:rsid w:val="00DA2FD4"/>
    <w:rsid w:val="00DB1911"/>
    <w:rsid w:val="00DB2605"/>
    <w:rsid w:val="00DB30A0"/>
    <w:rsid w:val="00DC07A4"/>
    <w:rsid w:val="00DD241E"/>
    <w:rsid w:val="00DF5E14"/>
    <w:rsid w:val="00E447E3"/>
    <w:rsid w:val="00E538E4"/>
    <w:rsid w:val="00E55064"/>
    <w:rsid w:val="00E81805"/>
    <w:rsid w:val="00E864B5"/>
    <w:rsid w:val="00E94130"/>
    <w:rsid w:val="00E969E9"/>
    <w:rsid w:val="00EE4AA3"/>
    <w:rsid w:val="00EE64BA"/>
    <w:rsid w:val="00EF5879"/>
    <w:rsid w:val="00F0206D"/>
    <w:rsid w:val="00F21115"/>
    <w:rsid w:val="00F31729"/>
    <w:rsid w:val="00F5667B"/>
    <w:rsid w:val="00F8190E"/>
    <w:rsid w:val="00FB5EB4"/>
    <w:rsid w:val="00FD1665"/>
    <w:rsid w:val="00FE5B1C"/>
  </w:rsids>
  <m:mathPr>
    <m:mathFont m:val="Cambria Math"/>
    <m:brkBin m:val="before"/>
    <m:brkBinSub m:val="--"/>
    <m:smallFrac m:val="0"/>
    <m:dispDef/>
    <m:lMargin m:val="0"/>
    <m:rMargin m:val="0"/>
    <m:defJc m:val="centerGroup"/>
    <m:wrapIndent m:val="1440"/>
    <m:intLim m:val="subSup"/>
    <m:naryLim m:val="undOvr"/>
  </m:mathPr>
  <w:themeFontLang w:val="es-MX"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39F5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Verdana" w:hAnsi="Verdana" w:cs="Verdana"/>
        <w:color w:val="323948"/>
        <w:lang w:val="es-ES" w:eastAsia="es-MX" w:bidi="ar-SA"/>
      </w:rPr>
    </w:rPrDefault>
    <w:pPrDefault>
      <w:pPr>
        <w:pBdr>
          <w:top w:val="nil"/>
          <w:left w:val="nil"/>
          <w:bottom w:val="nil"/>
          <w:right w:val="nil"/>
          <w:between w:val="nil"/>
        </w:pBdr>
        <w:spacing w:after="16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80" w:after="120"/>
      <w:outlineLvl w:val="0"/>
    </w:pPr>
    <w:rPr>
      <w:b/>
      <w:color w:val="000000"/>
      <w:sz w:val="34"/>
      <w:szCs w:val="34"/>
    </w:rPr>
  </w:style>
  <w:style w:type="paragraph" w:styleId="Heading2">
    <w:name w:val="heading 2"/>
    <w:basedOn w:val="Normal"/>
    <w:next w:val="Normal"/>
    <w:pPr>
      <w:keepNext/>
      <w:keepLines/>
      <w:spacing w:before="40" w:after="0"/>
      <w:outlineLvl w:val="1"/>
    </w:pPr>
    <w:rPr>
      <w:b/>
      <w:sz w:val="24"/>
      <w:szCs w:val="24"/>
    </w:rPr>
  </w:style>
  <w:style w:type="paragraph" w:styleId="Heading3">
    <w:name w:val="heading 3"/>
    <w:basedOn w:val="Normal"/>
    <w:next w:val="Normal"/>
    <w:pPr>
      <w:keepNext/>
      <w:keepLines/>
      <w:spacing w:before="40" w:after="0"/>
      <w:outlineLvl w:val="2"/>
    </w:pPr>
    <w:rPr>
      <w:b/>
      <w:sz w:val="24"/>
      <w:szCs w:val="24"/>
    </w:rPr>
  </w:style>
  <w:style w:type="paragraph" w:styleId="Heading4">
    <w:name w:val="heading 4"/>
    <w:basedOn w:val="Normal"/>
    <w:next w:val="Normal"/>
    <w:pPr>
      <w:keepNext/>
      <w:keepLines/>
      <w:spacing w:before="40" w:after="0"/>
      <w:outlineLvl w:val="3"/>
    </w:pPr>
    <w:rPr>
      <w:i/>
      <w:color w:val="45B698"/>
    </w:rPr>
  </w:style>
  <w:style w:type="paragraph" w:styleId="Heading5">
    <w:name w:val="heading 5"/>
    <w:basedOn w:val="Normal"/>
    <w:next w:val="Normal"/>
    <w:pPr>
      <w:keepNext/>
      <w:keepLines/>
      <w:spacing w:before="40" w:after="0"/>
      <w:outlineLvl w:val="4"/>
    </w:pPr>
    <w:rPr>
      <w:color w:val="45B698"/>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spacing w:after="0" w:line="240" w:lineRule="auto"/>
      <w:contextualSpacing/>
    </w:pPr>
    <w:rPr>
      <w:rFonts w:ascii="Times New Roman" w:eastAsia="Times New Roman" w:hAnsi="Times New Roman" w:cs="Times New Roman"/>
      <w:color w:val="FFFFFF"/>
      <w:sz w:val="78"/>
      <w:szCs w:val="78"/>
    </w:rPr>
  </w:style>
  <w:style w:type="paragraph" w:styleId="Subtitle">
    <w:name w:val="Subtitle"/>
    <w:basedOn w:val="Normal"/>
    <w:next w:val="Normal"/>
    <w:pPr>
      <w:spacing w:after="0"/>
      <w:jc w:val="right"/>
    </w:pPr>
    <w:rPr>
      <w:sz w:val="32"/>
      <w:szCs w:val="32"/>
    </w:rPr>
  </w:style>
  <w:style w:type="paragraph" w:styleId="ListParagraph">
    <w:name w:val="List Paragraph"/>
    <w:basedOn w:val="Normal"/>
    <w:uiPriority w:val="34"/>
    <w:qFormat/>
    <w:rsid w:val="00BE5B78"/>
    <w:pPr>
      <w:pBdr>
        <w:top w:val="none" w:sz="0" w:space="0" w:color="auto"/>
        <w:left w:val="none" w:sz="0" w:space="0" w:color="auto"/>
        <w:bottom w:val="none" w:sz="0" w:space="0" w:color="auto"/>
        <w:right w:val="none" w:sz="0" w:space="0" w:color="auto"/>
        <w:between w:val="none" w:sz="0" w:space="0" w:color="auto"/>
      </w:pBdr>
      <w:spacing w:line="259" w:lineRule="auto"/>
      <w:ind w:left="720"/>
      <w:contextualSpacing/>
    </w:pPr>
    <w:rPr>
      <w:rFonts w:asciiTheme="minorHAnsi" w:eastAsiaTheme="minorHAnsi" w:hAnsiTheme="minorHAnsi" w:cstheme="minorBidi"/>
      <w:color w:val="auto"/>
      <w:sz w:val="22"/>
      <w:szCs w:val="22"/>
      <w:lang w:val="es-MX" w:eastAsia="en-US"/>
    </w:rPr>
  </w:style>
  <w:style w:type="paragraph" w:styleId="NormalWeb">
    <w:name w:val="Normal (Web)"/>
    <w:basedOn w:val="Normal"/>
    <w:uiPriority w:val="99"/>
    <w:unhideWhenUsed/>
    <w:rsid w:val="006317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lang w:eastAsia="es-ES"/>
    </w:rPr>
  </w:style>
  <w:style w:type="character" w:styleId="Hyperlink">
    <w:name w:val="Hyperlink"/>
    <w:basedOn w:val="DefaultParagraphFont"/>
    <w:uiPriority w:val="99"/>
    <w:unhideWhenUsed/>
    <w:rsid w:val="0063172E"/>
    <w:rPr>
      <w:color w:val="0000FF"/>
      <w:u w:val="single"/>
    </w:rPr>
  </w:style>
  <w:style w:type="paragraph" w:styleId="BalloonText">
    <w:name w:val="Balloon Text"/>
    <w:basedOn w:val="Normal"/>
    <w:link w:val="BalloonTextChar"/>
    <w:uiPriority w:val="99"/>
    <w:semiHidden/>
    <w:unhideWhenUsed/>
    <w:rsid w:val="00BE5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5C8F"/>
    <w:rPr>
      <w:rFonts w:ascii="Segoe UI" w:hAnsi="Segoe UI" w:cs="Segoe UI"/>
      <w:sz w:val="18"/>
      <w:szCs w:val="18"/>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Ca,FA Fu?notentext,Texto nota pie1,C"/>
    <w:basedOn w:val="Normal"/>
    <w:link w:val="FootnoteTextChar"/>
    <w:uiPriority w:val="99"/>
    <w:unhideWhenUsed/>
    <w:qFormat/>
    <w:rsid w:val="00E81805"/>
    <w:pPr>
      <w:spacing w:after="0" w:line="240" w:lineRule="auto"/>
    </w:p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uiPriority w:val="99"/>
    <w:rsid w:val="00E81805"/>
  </w:style>
  <w:style w:type="character" w:styleId="FootnoteReference">
    <w:name w:val="footnote reference"/>
    <w:aliases w:val="Ref. de nota al pie 2,Texto de nota al pie,Footnotes refss,Appel note de bas de page,referencia nota al pie,BVI fnr,Footnote number,f,4_G,16 Point,Superscript 6 Point,Texto nota al pie,Footnote Reference Char3,ftref,Ref. de nota al,R"/>
    <w:basedOn w:val="DefaultParagraphFont"/>
    <w:uiPriority w:val="99"/>
    <w:unhideWhenUsed/>
    <w:qFormat/>
    <w:rsid w:val="00E81805"/>
    <w:rPr>
      <w:vertAlign w:val="superscript"/>
    </w:rPr>
  </w:style>
  <w:style w:type="paragraph" w:customStyle="1" w:styleId="Normal1">
    <w:name w:val="Normal1"/>
    <w:rsid w:val="00B87564"/>
    <w:pPr>
      <w:widowControl w:val="0"/>
      <w:pBdr>
        <w:top w:val="none" w:sz="0" w:space="0" w:color="auto"/>
        <w:left w:val="none" w:sz="0" w:space="0" w:color="auto"/>
        <w:bottom w:val="none" w:sz="0" w:space="0" w:color="auto"/>
        <w:right w:val="none" w:sz="0" w:space="0" w:color="auto"/>
        <w:between w:val="none" w:sz="0" w:space="0" w:color="auto"/>
      </w:pBdr>
      <w:spacing w:line="259" w:lineRule="auto"/>
    </w:pPr>
    <w:rPr>
      <w:rFonts w:ascii="Calibri" w:eastAsia="Calibri" w:hAnsi="Calibri" w:cs="Calibri"/>
      <w:color w:val="000000"/>
      <w:sz w:val="22"/>
      <w:szCs w:val="22"/>
      <w:lang w:val="es-MX"/>
    </w:rPr>
  </w:style>
  <w:style w:type="character" w:styleId="FollowedHyperlink">
    <w:name w:val="FollowedHyperlink"/>
    <w:basedOn w:val="DefaultParagraphFont"/>
    <w:uiPriority w:val="99"/>
    <w:semiHidden/>
    <w:unhideWhenUsed/>
    <w:rsid w:val="00887942"/>
    <w:rPr>
      <w:color w:val="800080" w:themeColor="followedHyperlink"/>
      <w:u w:val="single"/>
    </w:rPr>
  </w:style>
  <w:style w:type="character" w:customStyle="1" w:styleId="Hipervnculo1">
    <w:name w:val="Hipervínculo1"/>
    <w:basedOn w:val="DefaultParagraphFont"/>
    <w:uiPriority w:val="99"/>
    <w:unhideWhenUsed/>
    <w:rsid w:val="006C46AB"/>
    <w:rPr>
      <w:color w:val="0563C1"/>
      <w:u w:val="single"/>
    </w:rPr>
  </w:style>
  <w:style w:type="paragraph" w:styleId="Footer">
    <w:name w:val="footer"/>
    <w:basedOn w:val="Normal"/>
    <w:link w:val="FooterChar"/>
    <w:uiPriority w:val="99"/>
    <w:unhideWhenUsed/>
    <w:rsid w:val="00444F5C"/>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after="0" w:line="240" w:lineRule="auto"/>
    </w:pPr>
    <w:rPr>
      <w:rFonts w:asciiTheme="minorHAnsi" w:eastAsiaTheme="minorEastAsia" w:hAnsiTheme="minorHAnsi" w:cs="Times New Roman"/>
      <w:color w:val="auto"/>
      <w:sz w:val="22"/>
      <w:szCs w:val="22"/>
      <w:lang w:val="es-MX"/>
    </w:rPr>
  </w:style>
  <w:style w:type="character" w:customStyle="1" w:styleId="FooterChar">
    <w:name w:val="Footer Char"/>
    <w:basedOn w:val="DefaultParagraphFont"/>
    <w:link w:val="Footer"/>
    <w:uiPriority w:val="99"/>
    <w:rsid w:val="00444F5C"/>
    <w:rPr>
      <w:rFonts w:asciiTheme="minorHAnsi" w:eastAsiaTheme="minorEastAsia" w:hAnsiTheme="minorHAnsi" w:cs="Times New Roman"/>
      <w:color w:val="auto"/>
      <w:sz w:val="22"/>
      <w:szCs w:val="22"/>
      <w:lang w:val="es-MX"/>
    </w:rPr>
  </w:style>
  <w:style w:type="character" w:styleId="CommentReference">
    <w:name w:val="annotation reference"/>
    <w:basedOn w:val="DefaultParagraphFont"/>
    <w:uiPriority w:val="99"/>
    <w:semiHidden/>
    <w:unhideWhenUsed/>
    <w:rsid w:val="00830619"/>
    <w:rPr>
      <w:sz w:val="16"/>
      <w:szCs w:val="16"/>
    </w:rPr>
  </w:style>
  <w:style w:type="paragraph" w:styleId="CommentText">
    <w:name w:val="annotation text"/>
    <w:basedOn w:val="Normal"/>
    <w:link w:val="CommentTextChar"/>
    <w:uiPriority w:val="99"/>
    <w:semiHidden/>
    <w:unhideWhenUsed/>
    <w:rsid w:val="00830619"/>
    <w:pPr>
      <w:spacing w:line="240" w:lineRule="auto"/>
    </w:pPr>
  </w:style>
  <w:style w:type="character" w:customStyle="1" w:styleId="CommentTextChar">
    <w:name w:val="Comment Text Char"/>
    <w:basedOn w:val="DefaultParagraphFont"/>
    <w:link w:val="CommentText"/>
    <w:uiPriority w:val="99"/>
    <w:semiHidden/>
    <w:rsid w:val="00830619"/>
  </w:style>
  <w:style w:type="paragraph" w:styleId="CommentSubject">
    <w:name w:val="annotation subject"/>
    <w:basedOn w:val="CommentText"/>
    <w:next w:val="CommentText"/>
    <w:link w:val="CommentSubjectChar"/>
    <w:uiPriority w:val="99"/>
    <w:semiHidden/>
    <w:unhideWhenUsed/>
    <w:rsid w:val="00830619"/>
    <w:rPr>
      <w:b/>
      <w:bCs/>
    </w:rPr>
  </w:style>
  <w:style w:type="character" w:customStyle="1" w:styleId="CommentSubjectChar">
    <w:name w:val="Comment Subject Char"/>
    <w:basedOn w:val="CommentTextChar"/>
    <w:link w:val="CommentSubject"/>
    <w:uiPriority w:val="99"/>
    <w:semiHidden/>
    <w:rsid w:val="00830619"/>
    <w:rPr>
      <w:b/>
      <w:bCs/>
    </w:rPr>
  </w:style>
  <w:style w:type="paragraph" w:customStyle="1" w:styleId="BodyText1">
    <w:name w:val="Body Text1"/>
    <w:rsid w:val="00E969E9"/>
    <w:pPr>
      <w:pBdr>
        <w:top w:val="none" w:sz="0" w:space="0" w:color="auto"/>
        <w:left w:val="none" w:sz="0" w:space="0" w:color="auto"/>
        <w:bottom w:val="none" w:sz="0" w:space="0" w:color="auto"/>
        <w:right w:val="none" w:sz="0" w:space="0" w:color="auto"/>
        <w:between w:val="none" w:sz="0" w:space="0" w:color="auto"/>
      </w:pBdr>
      <w:spacing w:after="120" w:line="256" w:lineRule="auto"/>
    </w:pPr>
    <w:rPr>
      <w:rFonts w:ascii="Lucida Grande" w:eastAsia="ヒラギノ角ゴ Pro W3" w:hAnsi="Lucida Grande" w:cs="Times New Roman"/>
      <w:color w:val="000000"/>
      <w:sz w:val="22"/>
      <w:lang w:val="en-GB" w:eastAsia="en-GB"/>
    </w:rPr>
  </w:style>
  <w:style w:type="paragraph" w:styleId="EndnoteText">
    <w:name w:val="endnote text"/>
    <w:aliases w:val="2_G"/>
    <w:basedOn w:val="Normal"/>
    <w:link w:val="EndnoteTextChar"/>
    <w:uiPriority w:val="99"/>
    <w:unhideWhenUsed/>
    <w:rsid w:val="007E02BC"/>
    <w:pPr>
      <w:pBdr>
        <w:top w:val="none" w:sz="0" w:space="0" w:color="auto"/>
        <w:left w:val="none" w:sz="0" w:space="0" w:color="auto"/>
        <w:bottom w:val="none" w:sz="0" w:space="0" w:color="auto"/>
        <w:right w:val="none" w:sz="0" w:space="0" w:color="auto"/>
        <w:between w:val="none" w:sz="0" w:space="0" w:color="auto"/>
      </w:pBdr>
      <w:spacing w:after="0" w:line="240" w:lineRule="auto"/>
      <w:jc w:val="both"/>
    </w:pPr>
    <w:rPr>
      <w:rFonts w:ascii="Open Sans" w:eastAsia="ヒラギノ角ゴ Pro W3" w:hAnsi="Open Sans" w:cs="Times New Roman"/>
      <w:color w:val="000000"/>
      <w:lang w:val="en-GB" w:eastAsia="en-US"/>
    </w:rPr>
  </w:style>
  <w:style w:type="character" w:customStyle="1" w:styleId="EndnoteTextChar">
    <w:name w:val="Endnote Text Char"/>
    <w:aliases w:val="2_G Char"/>
    <w:basedOn w:val="DefaultParagraphFont"/>
    <w:link w:val="EndnoteText"/>
    <w:uiPriority w:val="99"/>
    <w:rsid w:val="007E02BC"/>
    <w:rPr>
      <w:rFonts w:ascii="Open Sans" w:eastAsia="ヒラギノ角ゴ Pro W3" w:hAnsi="Open Sans" w:cs="Times New Roman"/>
      <w:color w:val="000000"/>
      <w:lang w:val="en-GB" w:eastAsia="en-US"/>
    </w:rPr>
  </w:style>
  <w:style w:type="character" w:styleId="EndnoteReference">
    <w:name w:val="endnote reference"/>
    <w:aliases w:val="1_G"/>
    <w:basedOn w:val="DefaultParagraphFont"/>
    <w:uiPriority w:val="99"/>
    <w:unhideWhenUsed/>
    <w:rsid w:val="007E02BC"/>
    <w:rPr>
      <w:vertAlign w:val="superscript"/>
    </w:rPr>
  </w:style>
  <w:style w:type="paragraph" w:styleId="Header">
    <w:name w:val="header"/>
    <w:aliases w:val="Subpara"/>
    <w:basedOn w:val="Normal"/>
    <w:link w:val="HeaderChar"/>
    <w:uiPriority w:val="99"/>
    <w:unhideWhenUsed/>
    <w:qFormat/>
    <w:rsid w:val="00A20CE4"/>
    <w:pPr>
      <w:pBdr>
        <w:top w:val="none" w:sz="0" w:space="0" w:color="auto"/>
        <w:left w:val="none" w:sz="0" w:space="0" w:color="auto"/>
        <w:bottom w:val="none" w:sz="0" w:space="0" w:color="auto"/>
        <w:right w:val="none" w:sz="0" w:space="0" w:color="auto"/>
        <w:between w:val="none" w:sz="0" w:space="0" w:color="auto"/>
      </w:pBdr>
      <w:tabs>
        <w:tab w:val="center" w:pos="4513"/>
        <w:tab w:val="right" w:pos="9026"/>
      </w:tabs>
      <w:spacing w:after="0" w:line="360" w:lineRule="auto"/>
      <w:jc w:val="both"/>
    </w:pPr>
    <w:rPr>
      <w:rFonts w:asciiTheme="majorHAnsi" w:eastAsia="ヒラギノ角ゴ Pro W3" w:hAnsiTheme="majorHAnsi" w:cs="Times New Roman"/>
      <w:i/>
      <w:color w:val="000000"/>
      <w:sz w:val="22"/>
      <w:szCs w:val="24"/>
      <w:lang w:val="en-GB" w:eastAsia="en-US"/>
    </w:rPr>
  </w:style>
  <w:style w:type="character" w:customStyle="1" w:styleId="HeaderChar">
    <w:name w:val="Header Char"/>
    <w:aliases w:val="Subpara Char"/>
    <w:basedOn w:val="DefaultParagraphFont"/>
    <w:link w:val="Header"/>
    <w:uiPriority w:val="99"/>
    <w:rsid w:val="00A20CE4"/>
    <w:rPr>
      <w:rFonts w:asciiTheme="majorHAnsi" w:eastAsia="ヒラギノ角ゴ Pro W3" w:hAnsiTheme="majorHAnsi" w:cs="Times New Roman"/>
      <w:i/>
      <w:color w:val="000000"/>
      <w:sz w:val="22"/>
      <w:szCs w:val="24"/>
      <w:lang w:val="en-GB" w:eastAsia="en-US"/>
    </w:rPr>
  </w:style>
  <w:style w:type="paragraph" w:styleId="Revision">
    <w:name w:val="Revision"/>
    <w:hidden/>
    <w:uiPriority w:val="99"/>
    <w:semiHidden/>
    <w:rsid w:val="00567F3F"/>
    <w:pPr>
      <w:pBdr>
        <w:top w:val="none" w:sz="0" w:space="0" w:color="auto"/>
        <w:left w:val="none" w:sz="0" w:space="0" w:color="auto"/>
        <w:bottom w:val="none" w:sz="0" w:space="0" w:color="auto"/>
        <w:right w:val="none" w:sz="0" w:space="0" w:color="auto"/>
        <w:between w:val="none" w:sz="0" w:space="0" w:color="auto"/>
      </w:pBdr>
      <w:spacing w:after="0" w:line="240" w:lineRule="auto"/>
    </w:pPr>
  </w:style>
  <w:style w:type="character" w:customStyle="1" w:styleId="tlid-translation">
    <w:name w:val="tlid-translation"/>
    <w:basedOn w:val="DefaultParagraphFont"/>
    <w:rsid w:val="003D2AD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Verdana" w:hAnsi="Verdana" w:cs="Verdana"/>
        <w:color w:val="323948"/>
        <w:lang w:val="es-ES" w:eastAsia="es-MX" w:bidi="ar-SA"/>
      </w:rPr>
    </w:rPrDefault>
    <w:pPrDefault>
      <w:pPr>
        <w:pBdr>
          <w:top w:val="nil"/>
          <w:left w:val="nil"/>
          <w:bottom w:val="nil"/>
          <w:right w:val="nil"/>
          <w:between w:val="nil"/>
        </w:pBdr>
        <w:spacing w:after="16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80" w:after="120"/>
      <w:outlineLvl w:val="0"/>
    </w:pPr>
    <w:rPr>
      <w:b/>
      <w:color w:val="000000"/>
      <w:sz w:val="34"/>
      <w:szCs w:val="34"/>
    </w:rPr>
  </w:style>
  <w:style w:type="paragraph" w:styleId="Heading2">
    <w:name w:val="heading 2"/>
    <w:basedOn w:val="Normal"/>
    <w:next w:val="Normal"/>
    <w:pPr>
      <w:keepNext/>
      <w:keepLines/>
      <w:spacing w:before="40" w:after="0"/>
      <w:outlineLvl w:val="1"/>
    </w:pPr>
    <w:rPr>
      <w:b/>
      <w:sz w:val="24"/>
      <w:szCs w:val="24"/>
    </w:rPr>
  </w:style>
  <w:style w:type="paragraph" w:styleId="Heading3">
    <w:name w:val="heading 3"/>
    <w:basedOn w:val="Normal"/>
    <w:next w:val="Normal"/>
    <w:pPr>
      <w:keepNext/>
      <w:keepLines/>
      <w:spacing w:before="40" w:after="0"/>
      <w:outlineLvl w:val="2"/>
    </w:pPr>
    <w:rPr>
      <w:b/>
      <w:sz w:val="24"/>
      <w:szCs w:val="24"/>
    </w:rPr>
  </w:style>
  <w:style w:type="paragraph" w:styleId="Heading4">
    <w:name w:val="heading 4"/>
    <w:basedOn w:val="Normal"/>
    <w:next w:val="Normal"/>
    <w:pPr>
      <w:keepNext/>
      <w:keepLines/>
      <w:spacing w:before="40" w:after="0"/>
      <w:outlineLvl w:val="3"/>
    </w:pPr>
    <w:rPr>
      <w:i/>
      <w:color w:val="45B698"/>
    </w:rPr>
  </w:style>
  <w:style w:type="paragraph" w:styleId="Heading5">
    <w:name w:val="heading 5"/>
    <w:basedOn w:val="Normal"/>
    <w:next w:val="Normal"/>
    <w:pPr>
      <w:keepNext/>
      <w:keepLines/>
      <w:spacing w:before="40" w:after="0"/>
      <w:outlineLvl w:val="4"/>
    </w:pPr>
    <w:rPr>
      <w:color w:val="45B698"/>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spacing w:after="0" w:line="240" w:lineRule="auto"/>
      <w:contextualSpacing/>
    </w:pPr>
    <w:rPr>
      <w:rFonts w:ascii="Times New Roman" w:eastAsia="Times New Roman" w:hAnsi="Times New Roman" w:cs="Times New Roman"/>
      <w:color w:val="FFFFFF"/>
      <w:sz w:val="78"/>
      <w:szCs w:val="78"/>
    </w:rPr>
  </w:style>
  <w:style w:type="paragraph" w:styleId="Subtitle">
    <w:name w:val="Subtitle"/>
    <w:basedOn w:val="Normal"/>
    <w:next w:val="Normal"/>
    <w:pPr>
      <w:spacing w:after="0"/>
      <w:jc w:val="right"/>
    </w:pPr>
    <w:rPr>
      <w:sz w:val="32"/>
      <w:szCs w:val="32"/>
    </w:rPr>
  </w:style>
  <w:style w:type="paragraph" w:styleId="ListParagraph">
    <w:name w:val="List Paragraph"/>
    <w:basedOn w:val="Normal"/>
    <w:uiPriority w:val="34"/>
    <w:qFormat/>
    <w:rsid w:val="00BE5B78"/>
    <w:pPr>
      <w:pBdr>
        <w:top w:val="none" w:sz="0" w:space="0" w:color="auto"/>
        <w:left w:val="none" w:sz="0" w:space="0" w:color="auto"/>
        <w:bottom w:val="none" w:sz="0" w:space="0" w:color="auto"/>
        <w:right w:val="none" w:sz="0" w:space="0" w:color="auto"/>
        <w:between w:val="none" w:sz="0" w:space="0" w:color="auto"/>
      </w:pBdr>
      <w:spacing w:line="259" w:lineRule="auto"/>
      <w:ind w:left="720"/>
      <w:contextualSpacing/>
    </w:pPr>
    <w:rPr>
      <w:rFonts w:asciiTheme="minorHAnsi" w:eastAsiaTheme="minorHAnsi" w:hAnsiTheme="minorHAnsi" w:cstheme="minorBidi"/>
      <w:color w:val="auto"/>
      <w:sz w:val="22"/>
      <w:szCs w:val="22"/>
      <w:lang w:val="es-MX" w:eastAsia="en-US"/>
    </w:rPr>
  </w:style>
  <w:style w:type="paragraph" w:styleId="NormalWeb">
    <w:name w:val="Normal (Web)"/>
    <w:basedOn w:val="Normal"/>
    <w:uiPriority w:val="99"/>
    <w:unhideWhenUsed/>
    <w:rsid w:val="006317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lang w:eastAsia="es-ES"/>
    </w:rPr>
  </w:style>
  <w:style w:type="character" w:styleId="Hyperlink">
    <w:name w:val="Hyperlink"/>
    <w:basedOn w:val="DefaultParagraphFont"/>
    <w:uiPriority w:val="99"/>
    <w:unhideWhenUsed/>
    <w:rsid w:val="0063172E"/>
    <w:rPr>
      <w:color w:val="0000FF"/>
      <w:u w:val="single"/>
    </w:rPr>
  </w:style>
  <w:style w:type="paragraph" w:styleId="BalloonText">
    <w:name w:val="Balloon Text"/>
    <w:basedOn w:val="Normal"/>
    <w:link w:val="BalloonTextChar"/>
    <w:uiPriority w:val="99"/>
    <w:semiHidden/>
    <w:unhideWhenUsed/>
    <w:rsid w:val="00BE5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5C8F"/>
    <w:rPr>
      <w:rFonts w:ascii="Segoe UI" w:hAnsi="Segoe UI" w:cs="Segoe UI"/>
      <w:sz w:val="18"/>
      <w:szCs w:val="18"/>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Ca,FA Fu?notentext,Texto nota pie1,C"/>
    <w:basedOn w:val="Normal"/>
    <w:link w:val="FootnoteTextChar"/>
    <w:uiPriority w:val="99"/>
    <w:unhideWhenUsed/>
    <w:qFormat/>
    <w:rsid w:val="00E81805"/>
    <w:pPr>
      <w:spacing w:after="0" w:line="240" w:lineRule="auto"/>
    </w:p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uiPriority w:val="99"/>
    <w:rsid w:val="00E81805"/>
  </w:style>
  <w:style w:type="character" w:styleId="FootnoteReference">
    <w:name w:val="footnote reference"/>
    <w:aliases w:val="Ref. de nota al pie 2,Texto de nota al pie,Footnotes refss,Appel note de bas de page,referencia nota al pie,BVI fnr,Footnote number,f,4_G,16 Point,Superscript 6 Point,Texto nota al pie,Footnote Reference Char3,ftref,Ref. de nota al,R"/>
    <w:basedOn w:val="DefaultParagraphFont"/>
    <w:uiPriority w:val="99"/>
    <w:unhideWhenUsed/>
    <w:qFormat/>
    <w:rsid w:val="00E81805"/>
    <w:rPr>
      <w:vertAlign w:val="superscript"/>
    </w:rPr>
  </w:style>
  <w:style w:type="paragraph" w:customStyle="1" w:styleId="Normal1">
    <w:name w:val="Normal1"/>
    <w:rsid w:val="00B87564"/>
    <w:pPr>
      <w:widowControl w:val="0"/>
      <w:pBdr>
        <w:top w:val="none" w:sz="0" w:space="0" w:color="auto"/>
        <w:left w:val="none" w:sz="0" w:space="0" w:color="auto"/>
        <w:bottom w:val="none" w:sz="0" w:space="0" w:color="auto"/>
        <w:right w:val="none" w:sz="0" w:space="0" w:color="auto"/>
        <w:between w:val="none" w:sz="0" w:space="0" w:color="auto"/>
      </w:pBdr>
      <w:spacing w:line="259" w:lineRule="auto"/>
    </w:pPr>
    <w:rPr>
      <w:rFonts w:ascii="Calibri" w:eastAsia="Calibri" w:hAnsi="Calibri" w:cs="Calibri"/>
      <w:color w:val="000000"/>
      <w:sz w:val="22"/>
      <w:szCs w:val="22"/>
      <w:lang w:val="es-MX"/>
    </w:rPr>
  </w:style>
  <w:style w:type="character" w:styleId="FollowedHyperlink">
    <w:name w:val="FollowedHyperlink"/>
    <w:basedOn w:val="DefaultParagraphFont"/>
    <w:uiPriority w:val="99"/>
    <w:semiHidden/>
    <w:unhideWhenUsed/>
    <w:rsid w:val="00887942"/>
    <w:rPr>
      <w:color w:val="800080" w:themeColor="followedHyperlink"/>
      <w:u w:val="single"/>
    </w:rPr>
  </w:style>
  <w:style w:type="character" w:customStyle="1" w:styleId="Hipervnculo1">
    <w:name w:val="Hipervínculo1"/>
    <w:basedOn w:val="DefaultParagraphFont"/>
    <w:uiPriority w:val="99"/>
    <w:unhideWhenUsed/>
    <w:rsid w:val="006C46AB"/>
    <w:rPr>
      <w:color w:val="0563C1"/>
      <w:u w:val="single"/>
    </w:rPr>
  </w:style>
  <w:style w:type="paragraph" w:styleId="Footer">
    <w:name w:val="footer"/>
    <w:basedOn w:val="Normal"/>
    <w:link w:val="FooterChar"/>
    <w:uiPriority w:val="99"/>
    <w:unhideWhenUsed/>
    <w:rsid w:val="00444F5C"/>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after="0" w:line="240" w:lineRule="auto"/>
    </w:pPr>
    <w:rPr>
      <w:rFonts w:asciiTheme="minorHAnsi" w:eastAsiaTheme="minorEastAsia" w:hAnsiTheme="minorHAnsi" w:cs="Times New Roman"/>
      <w:color w:val="auto"/>
      <w:sz w:val="22"/>
      <w:szCs w:val="22"/>
      <w:lang w:val="es-MX"/>
    </w:rPr>
  </w:style>
  <w:style w:type="character" w:customStyle="1" w:styleId="FooterChar">
    <w:name w:val="Footer Char"/>
    <w:basedOn w:val="DefaultParagraphFont"/>
    <w:link w:val="Footer"/>
    <w:uiPriority w:val="99"/>
    <w:rsid w:val="00444F5C"/>
    <w:rPr>
      <w:rFonts w:asciiTheme="minorHAnsi" w:eastAsiaTheme="minorEastAsia" w:hAnsiTheme="minorHAnsi" w:cs="Times New Roman"/>
      <w:color w:val="auto"/>
      <w:sz w:val="22"/>
      <w:szCs w:val="22"/>
      <w:lang w:val="es-MX"/>
    </w:rPr>
  </w:style>
  <w:style w:type="character" w:styleId="CommentReference">
    <w:name w:val="annotation reference"/>
    <w:basedOn w:val="DefaultParagraphFont"/>
    <w:uiPriority w:val="99"/>
    <w:semiHidden/>
    <w:unhideWhenUsed/>
    <w:rsid w:val="00830619"/>
    <w:rPr>
      <w:sz w:val="16"/>
      <w:szCs w:val="16"/>
    </w:rPr>
  </w:style>
  <w:style w:type="paragraph" w:styleId="CommentText">
    <w:name w:val="annotation text"/>
    <w:basedOn w:val="Normal"/>
    <w:link w:val="CommentTextChar"/>
    <w:uiPriority w:val="99"/>
    <w:semiHidden/>
    <w:unhideWhenUsed/>
    <w:rsid w:val="00830619"/>
    <w:pPr>
      <w:spacing w:line="240" w:lineRule="auto"/>
    </w:pPr>
  </w:style>
  <w:style w:type="character" w:customStyle="1" w:styleId="CommentTextChar">
    <w:name w:val="Comment Text Char"/>
    <w:basedOn w:val="DefaultParagraphFont"/>
    <w:link w:val="CommentText"/>
    <w:uiPriority w:val="99"/>
    <w:semiHidden/>
    <w:rsid w:val="00830619"/>
  </w:style>
  <w:style w:type="paragraph" w:styleId="CommentSubject">
    <w:name w:val="annotation subject"/>
    <w:basedOn w:val="CommentText"/>
    <w:next w:val="CommentText"/>
    <w:link w:val="CommentSubjectChar"/>
    <w:uiPriority w:val="99"/>
    <w:semiHidden/>
    <w:unhideWhenUsed/>
    <w:rsid w:val="00830619"/>
    <w:rPr>
      <w:b/>
      <w:bCs/>
    </w:rPr>
  </w:style>
  <w:style w:type="character" w:customStyle="1" w:styleId="CommentSubjectChar">
    <w:name w:val="Comment Subject Char"/>
    <w:basedOn w:val="CommentTextChar"/>
    <w:link w:val="CommentSubject"/>
    <w:uiPriority w:val="99"/>
    <w:semiHidden/>
    <w:rsid w:val="00830619"/>
    <w:rPr>
      <w:b/>
      <w:bCs/>
    </w:rPr>
  </w:style>
  <w:style w:type="paragraph" w:customStyle="1" w:styleId="BodyText1">
    <w:name w:val="Body Text1"/>
    <w:rsid w:val="00E969E9"/>
    <w:pPr>
      <w:pBdr>
        <w:top w:val="none" w:sz="0" w:space="0" w:color="auto"/>
        <w:left w:val="none" w:sz="0" w:space="0" w:color="auto"/>
        <w:bottom w:val="none" w:sz="0" w:space="0" w:color="auto"/>
        <w:right w:val="none" w:sz="0" w:space="0" w:color="auto"/>
        <w:between w:val="none" w:sz="0" w:space="0" w:color="auto"/>
      </w:pBdr>
      <w:spacing w:after="120" w:line="256" w:lineRule="auto"/>
    </w:pPr>
    <w:rPr>
      <w:rFonts w:ascii="Lucida Grande" w:eastAsia="ヒラギノ角ゴ Pro W3" w:hAnsi="Lucida Grande" w:cs="Times New Roman"/>
      <w:color w:val="000000"/>
      <w:sz w:val="22"/>
      <w:lang w:val="en-GB" w:eastAsia="en-GB"/>
    </w:rPr>
  </w:style>
  <w:style w:type="paragraph" w:styleId="EndnoteText">
    <w:name w:val="endnote text"/>
    <w:aliases w:val="2_G"/>
    <w:basedOn w:val="Normal"/>
    <w:link w:val="EndnoteTextChar"/>
    <w:uiPriority w:val="99"/>
    <w:unhideWhenUsed/>
    <w:rsid w:val="007E02BC"/>
    <w:pPr>
      <w:pBdr>
        <w:top w:val="none" w:sz="0" w:space="0" w:color="auto"/>
        <w:left w:val="none" w:sz="0" w:space="0" w:color="auto"/>
        <w:bottom w:val="none" w:sz="0" w:space="0" w:color="auto"/>
        <w:right w:val="none" w:sz="0" w:space="0" w:color="auto"/>
        <w:between w:val="none" w:sz="0" w:space="0" w:color="auto"/>
      </w:pBdr>
      <w:spacing w:after="0" w:line="240" w:lineRule="auto"/>
      <w:jc w:val="both"/>
    </w:pPr>
    <w:rPr>
      <w:rFonts w:ascii="Open Sans" w:eastAsia="ヒラギノ角ゴ Pro W3" w:hAnsi="Open Sans" w:cs="Times New Roman"/>
      <w:color w:val="000000"/>
      <w:lang w:val="en-GB" w:eastAsia="en-US"/>
    </w:rPr>
  </w:style>
  <w:style w:type="character" w:customStyle="1" w:styleId="EndnoteTextChar">
    <w:name w:val="Endnote Text Char"/>
    <w:aliases w:val="2_G Char"/>
    <w:basedOn w:val="DefaultParagraphFont"/>
    <w:link w:val="EndnoteText"/>
    <w:uiPriority w:val="99"/>
    <w:rsid w:val="007E02BC"/>
    <w:rPr>
      <w:rFonts w:ascii="Open Sans" w:eastAsia="ヒラギノ角ゴ Pro W3" w:hAnsi="Open Sans" w:cs="Times New Roman"/>
      <w:color w:val="000000"/>
      <w:lang w:val="en-GB" w:eastAsia="en-US"/>
    </w:rPr>
  </w:style>
  <w:style w:type="character" w:styleId="EndnoteReference">
    <w:name w:val="endnote reference"/>
    <w:aliases w:val="1_G"/>
    <w:basedOn w:val="DefaultParagraphFont"/>
    <w:uiPriority w:val="99"/>
    <w:unhideWhenUsed/>
    <w:rsid w:val="007E02BC"/>
    <w:rPr>
      <w:vertAlign w:val="superscript"/>
    </w:rPr>
  </w:style>
  <w:style w:type="paragraph" w:styleId="Header">
    <w:name w:val="header"/>
    <w:aliases w:val="Subpara"/>
    <w:basedOn w:val="Normal"/>
    <w:link w:val="HeaderChar"/>
    <w:uiPriority w:val="99"/>
    <w:unhideWhenUsed/>
    <w:qFormat/>
    <w:rsid w:val="00A20CE4"/>
    <w:pPr>
      <w:pBdr>
        <w:top w:val="none" w:sz="0" w:space="0" w:color="auto"/>
        <w:left w:val="none" w:sz="0" w:space="0" w:color="auto"/>
        <w:bottom w:val="none" w:sz="0" w:space="0" w:color="auto"/>
        <w:right w:val="none" w:sz="0" w:space="0" w:color="auto"/>
        <w:between w:val="none" w:sz="0" w:space="0" w:color="auto"/>
      </w:pBdr>
      <w:tabs>
        <w:tab w:val="center" w:pos="4513"/>
        <w:tab w:val="right" w:pos="9026"/>
      </w:tabs>
      <w:spacing w:after="0" w:line="360" w:lineRule="auto"/>
      <w:jc w:val="both"/>
    </w:pPr>
    <w:rPr>
      <w:rFonts w:asciiTheme="majorHAnsi" w:eastAsia="ヒラギノ角ゴ Pro W3" w:hAnsiTheme="majorHAnsi" w:cs="Times New Roman"/>
      <w:i/>
      <w:color w:val="000000"/>
      <w:sz w:val="22"/>
      <w:szCs w:val="24"/>
      <w:lang w:val="en-GB" w:eastAsia="en-US"/>
    </w:rPr>
  </w:style>
  <w:style w:type="character" w:customStyle="1" w:styleId="HeaderChar">
    <w:name w:val="Header Char"/>
    <w:aliases w:val="Subpara Char"/>
    <w:basedOn w:val="DefaultParagraphFont"/>
    <w:link w:val="Header"/>
    <w:uiPriority w:val="99"/>
    <w:rsid w:val="00A20CE4"/>
    <w:rPr>
      <w:rFonts w:asciiTheme="majorHAnsi" w:eastAsia="ヒラギノ角ゴ Pro W3" w:hAnsiTheme="majorHAnsi" w:cs="Times New Roman"/>
      <w:i/>
      <w:color w:val="000000"/>
      <w:sz w:val="22"/>
      <w:szCs w:val="24"/>
      <w:lang w:val="en-GB" w:eastAsia="en-US"/>
    </w:rPr>
  </w:style>
  <w:style w:type="paragraph" w:styleId="Revision">
    <w:name w:val="Revision"/>
    <w:hidden/>
    <w:uiPriority w:val="99"/>
    <w:semiHidden/>
    <w:rsid w:val="00567F3F"/>
    <w:pPr>
      <w:pBdr>
        <w:top w:val="none" w:sz="0" w:space="0" w:color="auto"/>
        <w:left w:val="none" w:sz="0" w:space="0" w:color="auto"/>
        <w:bottom w:val="none" w:sz="0" w:space="0" w:color="auto"/>
        <w:right w:val="none" w:sz="0" w:space="0" w:color="auto"/>
        <w:between w:val="none" w:sz="0" w:space="0" w:color="auto"/>
      </w:pBdr>
      <w:spacing w:after="0" w:line="240" w:lineRule="auto"/>
    </w:pPr>
  </w:style>
  <w:style w:type="character" w:customStyle="1" w:styleId="tlid-translation">
    <w:name w:val="tlid-translation"/>
    <w:basedOn w:val="DefaultParagraphFont"/>
    <w:rsid w:val="003D2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863416">
      <w:bodyDiv w:val="1"/>
      <w:marLeft w:val="0"/>
      <w:marRight w:val="0"/>
      <w:marTop w:val="0"/>
      <w:marBottom w:val="0"/>
      <w:divBdr>
        <w:top w:val="none" w:sz="0" w:space="0" w:color="auto"/>
        <w:left w:val="none" w:sz="0" w:space="0" w:color="auto"/>
        <w:bottom w:val="none" w:sz="0" w:space="0" w:color="auto"/>
        <w:right w:val="none" w:sz="0" w:space="0" w:color="auto"/>
      </w:divBdr>
    </w:div>
    <w:div w:id="422845228">
      <w:bodyDiv w:val="1"/>
      <w:marLeft w:val="0"/>
      <w:marRight w:val="0"/>
      <w:marTop w:val="0"/>
      <w:marBottom w:val="0"/>
      <w:divBdr>
        <w:top w:val="none" w:sz="0" w:space="0" w:color="auto"/>
        <w:left w:val="none" w:sz="0" w:space="0" w:color="auto"/>
        <w:bottom w:val="none" w:sz="0" w:space="0" w:color="auto"/>
        <w:right w:val="none" w:sz="0" w:space="0" w:color="auto"/>
      </w:divBdr>
    </w:div>
    <w:div w:id="441340719">
      <w:bodyDiv w:val="1"/>
      <w:marLeft w:val="0"/>
      <w:marRight w:val="0"/>
      <w:marTop w:val="0"/>
      <w:marBottom w:val="0"/>
      <w:divBdr>
        <w:top w:val="none" w:sz="0" w:space="0" w:color="auto"/>
        <w:left w:val="none" w:sz="0" w:space="0" w:color="auto"/>
        <w:bottom w:val="none" w:sz="0" w:space="0" w:color="auto"/>
        <w:right w:val="none" w:sz="0" w:space="0" w:color="auto"/>
      </w:divBdr>
    </w:div>
    <w:div w:id="756827229">
      <w:bodyDiv w:val="1"/>
      <w:marLeft w:val="0"/>
      <w:marRight w:val="0"/>
      <w:marTop w:val="0"/>
      <w:marBottom w:val="0"/>
      <w:divBdr>
        <w:top w:val="none" w:sz="0" w:space="0" w:color="auto"/>
        <w:left w:val="none" w:sz="0" w:space="0" w:color="auto"/>
        <w:bottom w:val="none" w:sz="0" w:space="0" w:color="auto"/>
        <w:right w:val="none" w:sz="0" w:space="0" w:color="auto"/>
      </w:divBdr>
    </w:div>
    <w:div w:id="813641858">
      <w:bodyDiv w:val="1"/>
      <w:marLeft w:val="0"/>
      <w:marRight w:val="0"/>
      <w:marTop w:val="0"/>
      <w:marBottom w:val="0"/>
      <w:divBdr>
        <w:top w:val="none" w:sz="0" w:space="0" w:color="auto"/>
        <w:left w:val="none" w:sz="0" w:space="0" w:color="auto"/>
        <w:bottom w:val="none" w:sz="0" w:space="0" w:color="auto"/>
        <w:right w:val="none" w:sz="0" w:space="0" w:color="auto"/>
      </w:divBdr>
    </w:div>
    <w:div w:id="814180849">
      <w:bodyDiv w:val="1"/>
      <w:marLeft w:val="0"/>
      <w:marRight w:val="0"/>
      <w:marTop w:val="0"/>
      <w:marBottom w:val="0"/>
      <w:divBdr>
        <w:top w:val="none" w:sz="0" w:space="0" w:color="auto"/>
        <w:left w:val="none" w:sz="0" w:space="0" w:color="auto"/>
        <w:bottom w:val="none" w:sz="0" w:space="0" w:color="auto"/>
        <w:right w:val="none" w:sz="0" w:space="0" w:color="auto"/>
      </w:divBdr>
    </w:div>
    <w:div w:id="835923053">
      <w:bodyDiv w:val="1"/>
      <w:marLeft w:val="0"/>
      <w:marRight w:val="0"/>
      <w:marTop w:val="0"/>
      <w:marBottom w:val="0"/>
      <w:divBdr>
        <w:top w:val="none" w:sz="0" w:space="0" w:color="auto"/>
        <w:left w:val="none" w:sz="0" w:space="0" w:color="auto"/>
        <w:bottom w:val="none" w:sz="0" w:space="0" w:color="auto"/>
        <w:right w:val="none" w:sz="0" w:space="0" w:color="auto"/>
      </w:divBdr>
    </w:div>
    <w:div w:id="942884706">
      <w:bodyDiv w:val="1"/>
      <w:marLeft w:val="0"/>
      <w:marRight w:val="0"/>
      <w:marTop w:val="0"/>
      <w:marBottom w:val="0"/>
      <w:divBdr>
        <w:top w:val="none" w:sz="0" w:space="0" w:color="auto"/>
        <w:left w:val="none" w:sz="0" w:space="0" w:color="auto"/>
        <w:bottom w:val="none" w:sz="0" w:space="0" w:color="auto"/>
        <w:right w:val="none" w:sz="0" w:space="0" w:color="auto"/>
      </w:divBdr>
    </w:div>
    <w:div w:id="1185708101">
      <w:bodyDiv w:val="1"/>
      <w:marLeft w:val="0"/>
      <w:marRight w:val="0"/>
      <w:marTop w:val="0"/>
      <w:marBottom w:val="0"/>
      <w:divBdr>
        <w:top w:val="none" w:sz="0" w:space="0" w:color="auto"/>
        <w:left w:val="none" w:sz="0" w:space="0" w:color="auto"/>
        <w:bottom w:val="none" w:sz="0" w:space="0" w:color="auto"/>
        <w:right w:val="none" w:sz="0" w:space="0" w:color="auto"/>
      </w:divBdr>
    </w:div>
    <w:div w:id="1201555362">
      <w:bodyDiv w:val="1"/>
      <w:marLeft w:val="0"/>
      <w:marRight w:val="0"/>
      <w:marTop w:val="0"/>
      <w:marBottom w:val="0"/>
      <w:divBdr>
        <w:top w:val="none" w:sz="0" w:space="0" w:color="auto"/>
        <w:left w:val="none" w:sz="0" w:space="0" w:color="auto"/>
        <w:bottom w:val="none" w:sz="0" w:space="0" w:color="auto"/>
        <w:right w:val="none" w:sz="0" w:space="0" w:color="auto"/>
      </w:divBdr>
    </w:div>
    <w:div w:id="1219393263">
      <w:bodyDiv w:val="1"/>
      <w:marLeft w:val="0"/>
      <w:marRight w:val="0"/>
      <w:marTop w:val="0"/>
      <w:marBottom w:val="0"/>
      <w:divBdr>
        <w:top w:val="none" w:sz="0" w:space="0" w:color="auto"/>
        <w:left w:val="none" w:sz="0" w:space="0" w:color="auto"/>
        <w:bottom w:val="none" w:sz="0" w:space="0" w:color="auto"/>
        <w:right w:val="none" w:sz="0" w:space="0" w:color="auto"/>
      </w:divBdr>
      <w:divsChild>
        <w:div w:id="57536403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09231467">
      <w:bodyDiv w:val="1"/>
      <w:marLeft w:val="0"/>
      <w:marRight w:val="0"/>
      <w:marTop w:val="0"/>
      <w:marBottom w:val="0"/>
      <w:divBdr>
        <w:top w:val="none" w:sz="0" w:space="0" w:color="auto"/>
        <w:left w:val="none" w:sz="0" w:space="0" w:color="auto"/>
        <w:bottom w:val="none" w:sz="0" w:space="0" w:color="auto"/>
        <w:right w:val="none" w:sz="0" w:space="0" w:color="auto"/>
      </w:divBdr>
    </w:div>
    <w:div w:id="1412968387">
      <w:bodyDiv w:val="1"/>
      <w:marLeft w:val="0"/>
      <w:marRight w:val="0"/>
      <w:marTop w:val="0"/>
      <w:marBottom w:val="0"/>
      <w:divBdr>
        <w:top w:val="none" w:sz="0" w:space="0" w:color="auto"/>
        <w:left w:val="none" w:sz="0" w:space="0" w:color="auto"/>
        <w:bottom w:val="none" w:sz="0" w:space="0" w:color="auto"/>
        <w:right w:val="none" w:sz="0" w:space="0" w:color="auto"/>
      </w:divBdr>
    </w:div>
    <w:div w:id="1547641706">
      <w:bodyDiv w:val="1"/>
      <w:marLeft w:val="0"/>
      <w:marRight w:val="0"/>
      <w:marTop w:val="0"/>
      <w:marBottom w:val="0"/>
      <w:divBdr>
        <w:top w:val="none" w:sz="0" w:space="0" w:color="auto"/>
        <w:left w:val="none" w:sz="0" w:space="0" w:color="auto"/>
        <w:bottom w:val="none" w:sz="0" w:space="0" w:color="auto"/>
        <w:right w:val="none" w:sz="0" w:space="0" w:color="auto"/>
      </w:divBdr>
    </w:div>
    <w:div w:id="1555123980">
      <w:bodyDiv w:val="1"/>
      <w:marLeft w:val="0"/>
      <w:marRight w:val="0"/>
      <w:marTop w:val="0"/>
      <w:marBottom w:val="0"/>
      <w:divBdr>
        <w:top w:val="none" w:sz="0" w:space="0" w:color="auto"/>
        <w:left w:val="none" w:sz="0" w:space="0" w:color="auto"/>
        <w:bottom w:val="none" w:sz="0" w:space="0" w:color="auto"/>
        <w:right w:val="none" w:sz="0" w:space="0" w:color="auto"/>
      </w:divBdr>
      <w:divsChild>
        <w:div w:id="968436271">
          <w:marLeft w:val="446"/>
          <w:marRight w:val="0"/>
          <w:marTop w:val="0"/>
          <w:marBottom w:val="0"/>
          <w:divBdr>
            <w:top w:val="none" w:sz="0" w:space="0" w:color="auto"/>
            <w:left w:val="none" w:sz="0" w:space="0" w:color="auto"/>
            <w:bottom w:val="none" w:sz="0" w:space="0" w:color="auto"/>
            <w:right w:val="none" w:sz="0" w:space="0" w:color="auto"/>
          </w:divBdr>
        </w:div>
      </w:divsChild>
    </w:div>
    <w:div w:id="1684434237">
      <w:bodyDiv w:val="1"/>
      <w:marLeft w:val="0"/>
      <w:marRight w:val="0"/>
      <w:marTop w:val="0"/>
      <w:marBottom w:val="0"/>
      <w:divBdr>
        <w:top w:val="none" w:sz="0" w:space="0" w:color="auto"/>
        <w:left w:val="none" w:sz="0" w:space="0" w:color="auto"/>
        <w:bottom w:val="none" w:sz="0" w:space="0" w:color="auto"/>
        <w:right w:val="none" w:sz="0" w:space="0" w:color="auto"/>
      </w:divBdr>
      <w:divsChild>
        <w:div w:id="84116710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94472559">
      <w:bodyDiv w:val="1"/>
      <w:marLeft w:val="0"/>
      <w:marRight w:val="0"/>
      <w:marTop w:val="0"/>
      <w:marBottom w:val="0"/>
      <w:divBdr>
        <w:top w:val="none" w:sz="0" w:space="0" w:color="auto"/>
        <w:left w:val="none" w:sz="0" w:space="0" w:color="auto"/>
        <w:bottom w:val="none" w:sz="0" w:space="0" w:color="auto"/>
        <w:right w:val="none" w:sz="0" w:space="0" w:color="auto"/>
      </w:divBdr>
    </w:div>
    <w:div w:id="1994335250">
      <w:bodyDiv w:val="1"/>
      <w:marLeft w:val="0"/>
      <w:marRight w:val="0"/>
      <w:marTop w:val="0"/>
      <w:marBottom w:val="0"/>
      <w:divBdr>
        <w:top w:val="none" w:sz="0" w:space="0" w:color="auto"/>
        <w:left w:val="none" w:sz="0" w:space="0" w:color="auto"/>
        <w:bottom w:val="none" w:sz="0" w:space="0" w:color="auto"/>
        <w:right w:val="none" w:sz="0" w:space="0" w:color="auto"/>
      </w:divBdr>
      <w:divsChild>
        <w:div w:id="1826046097">
          <w:marLeft w:val="547"/>
          <w:marRight w:val="0"/>
          <w:marTop w:val="96"/>
          <w:marBottom w:val="0"/>
          <w:divBdr>
            <w:top w:val="none" w:sz="0" w:space="0" w:color="auto"/>
            <w:left w:val="none" w:sz="0" w:space="0" w:color="auto"/>
            <w:bottom w:val="none" w:sz="0" w:space="0" w:color="auto"/>
            <w:right w:val="none" w:sz="0" w:space="0" w:color="auto"/>
          </w:divBdr>
        </w:div>
        <w:div w:id="1483152926">
          <w:marLeft w:val="547"/>
          <w:marRight w:val="0"/>
          <w:marTop w:val="96"/>
          <w:marBottom w:val="0"/>
          <w:divBdr>
            <w:top w:val="none" w:sz="0" w:space="0" w:color="auto"/>
            <w:left w:val="none" w:sz="0" w:space="0" w:color="auto"/>
            <w:bottom w:val="none" w:sz="0" w:space="0" w:color="auto"/>
            <w:right w:val="none" w:sz="0" w:space="0" w:color="auto"/>
          </w:divBdr>
        </w:div>
        <w:div w:id="1717656479">
          <w:marLeft w:val="547"/>
          <w:marRight w:val="0"/>
          <w:marTop w:val="96"/>
          <w:marBottom w:val="0"/>
          <w:divBdr>
            <w:top w:val="none" w:sz="0" w:space="0" w:color="auto"/>
            <w:left w:val="none" w:sz="0" w:space="0" w:color="auto"/>
            <w:bottom w:val="none" w:sz="0" w:space="0" w:color="auto"/>
            <w:right w:val="none" w:sz="0" w:space="0" w:color="auto"/>
          </w:divBdr>
        </w:div>
      </w:divsChild>
    </w:div>
    <w:div w:id="20898368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8" Type="http://schemas.openxmlformats.org/officeDocument/2006/relationships/endnotes" Target="endnotes.xml"/><Relationship Id="rId21" Type="http://schemas.microsoft.com/office/2011/relationships/people" Target="peop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eader" Target="header3.xml"/><Relationship Id="rId7" Type="http://schemas.openxmlformats.org/officeDocument/2006/relationships/footnotes" Target="footnotes.xml"/><Relationship Id="rId25" Type="http://schemas.openxmlformats.org/officeDocument/2006/relationships/customXml" Target="../customXml/item4.xml"/><Relationship Id="rId20" Type="http://schemas.openxmlformats.org/officeDocument/2006/relationships/theme" Target="theme/theme1.xml"/><Relationship Id="rId16" Type="http://schemas.openxmlformats.org/officeDocument/2006/relationships/footer" Target="footer2.xml"/><Relationship Id="rId2" Type="http://schemas.openxmlformats.org/officeDocument/2006/relationships/numbering" Target="numbering.xml"/><Relationship Id="rId1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customXml" Target="../customXml/item3.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2.xml"/><Relationship Id="rId10" Type="http://schemas.openxmlformats.org/officeDocument/2006/relationships/image" Target="media/image2.png"/><Relationship Id="rId19" Type="http://schemas.openxmlformats.org/officeDocument/2006/relationships/fontTable" Target="fontTable.xml"/><Relationship Id="rId9" Type="http://schemas.openxmlformats.org/officeDocument/2006/relationships/image" Target="media/image1.png"/><Relationship Id="rId22" Type="http://schemas.microsoft.com/office/2011/relationships/commentsExtended" Target="commentsExtended.xml"/><Relationship Id="rId14" Type="http://schemas.openxmlformats.org/officeDocument/2006/relationships/header" Target="header2.xml"/><Relationship Id="rId4" Type="http://schemas.microsoft.com/office/2007/relationships/stylesWithEffects" Target="stylesWithEffects.xml"/></Relationships>
</file>

<file path=word/_rels/footer3.xml.rels><?xml version="1.0" encoding="UTF-8" standalone="yes"?>
<Relationships xmlns="http://schemas.openxmlformats.org/package/2006/relationships"><Relationship Id="rId1" Type="http://schemas.openxmlformats.org/officeDocument/2006/relationships/hyperlink" Target="mailto:mucd@mucd.org.mx" TargetMode="External"/><Relationship Id="rId2" Type="http://schemas.openxmlformats.org/officeDocument/2006/relationships/hyperlink" Target="mailto:equis@equis.org.mx?subject=Hola" TargetMode="External"/><Relationship Id="rId3" Type="http://schemas.openxmlformats.org/officeDocument/2006/relationships/hyperlink" Target="mailto:Giada.girelli@hri.global" TargetMode="External"/></Relationships>
</file>

<file path=word/_rels/footnotes.xml.rels><?xml version="1.0" encoding="UTF-8" standalone="yes"?>
<Relationships xmlns="http://schemas.openxmlformats.org/package/2006/relationships"><Relationship Id="rId11" Type="http://schemas.openxmlformats.org/officeDocument/2006/relationships/hyperlink" Target="http://internacional.elpais.com/internacional/2015/05/15/actualidad/1431655479_587421.html" TargetMode="External"/><Relationship Id="rId12" Type="http://schemas.openxmlformats.org/officeDocument/2006/relationships/hyperlink" Target="http://internacional.elpais.com/internacional/2015/05/15/actualidad/1431655479_587421.html" TargetMode="External"/><Relationship Id="rId13" Type="http://schemas.openxmlformats.org/officeDocument/2006/relationships/hyperlink" Target="http://www.cndh.org.mx/sites/all/doc/Comunicados/2016/Com_2016_131.pdf" TargetMode="External"/><Relationship Id="rId14" Type="http://schemas.openxmlformats.org/officeDocument/2006/relationships/hyperlink" Target="http://www.cmdpdh.org/publicaciones-pdf/cmdpdh-desplazamiento-web.pdf" TargetMode="External"/><Relationship Id="rId15" Type="http://schemas.openxmlformats.org/officeDocument/2006/relationships/hyperlink" Target="http://www.cmdpdh.org/publicaciones-pdf/cmdpdh-informe-conjunto-cat-2019.pdf" TargetMode="External"/><Relationship Id="rId16" Type="http://schemas.openxmlformats.org/officeDocument/2006/relationships/hyperlink" Target="https://www.animalpolitico.com/2019/09/poblacion-carceles-aumento-prision-preventiva/" TargetMode="External"/><Relationship Id="rId17" Type="http://schemas.openxmlformats.org/officeDocument/2006/relationships/hyperlink" Target="https://www.cndh.org.mx/sites/all/doc/sistemas/DNSP/DNSP_2018.pdf" TargetMode="External"/><Relationship Id="rId1" Type="http://schemas.openxmlformats.org/officeDocument/2006/relationships/hyperlink" Target="https://www.nytimes.com/es/2019/07/05/guardia-nacional-mexico-amlo/?rref=collection%2Fsectioncollection%2Fnyt-es&amp;action=click&amp;contentCollection=guardia-nacional&amp;region=stream&amp;module=stream_unit&amp;version=latest&amp;contentPlacement=1&amp;pgtype=collection" TargetMode="External"/><Relationship Id="rId2" Type="http://schemas.openxmlformats.org/officeDocument/2006/relationships/hyperlink" Target="http://docstore.ohchr.org/SelfServices/FilesHandler.ashx?enc=6QkG1d%2fPPRiCAqhKb7yhsoNGbyGkOIGC%2fg46yWsxEHvAsWZ9dtpLIRdNyWhUFxDS9TSKnM1HjcwVmj7vRSWWBxMIwMms4waby1y%2bABGlU4s4ZS%2fzpHhaQAhZXcoETsc%2b" TargetMode="External"/><Relationship Id="rId3" Type="http://schemas.openxmlformats.org/officeDocument/2006/relationships/hyperlink" Target="http://docstore.ohchr.org/SelfServices/FilesHandler.ashx?enc=6QkG1d%2fPPRiCAqhKb7yhsnn3otTjgQWftWGGStAtK%2fAIldteZw9pELsKyA4KCdQ1cYGYVhfF%2bHWBul1UcrBSHiX8YducU6Bde4tOasgIdI0eQtvoIiGlCf8bTD2GCD0P" TargetMode="External"/><Relationship Id="rId4" Type="http://schemas.openxmlformats.org/officeDocument/2006/relationships/hyperlink" Target="http://docstore.ohchr.org/SelfServices/FilesHandler.ashx?enc=6QkG1d%2fPPRiCAqhKb7yhsoNGbyGkOIGC%2fg46yWsxEHvAsWZ9dtpLIRdNyWhUFxDS9TSKnM1HjcwVmj7vRSWWBxMIwMms4waby1y%2bABGlU4s4ZS%2fzpHhaQAhZXcoETsc%2b" TargetMode="External"/><Relationship Id="rId5" Type="http://schemas.openxmlformats.org/officeDocument/2006/relationships/hyperlink" Target="http://docstore.ohchr.org/SelfServices/FilesHandler.ashx?enc=6QkG1d%2fPPRiCAqhKb7yhsjYoiCfMKoIRv2FVaVzRkMjTnjRO%2bfud3cPVrcM9YR0iix49nlFOsUPO4oTG7R%2fo7TSsorhtwUUG%2by2PtslYr5BldM8DN9shT8B8NpbsC%2b7bODxKR6zdESeXKjiLnNU%2bgQ%3d%3d" TargetMode="External"/><Relationship Id="rId6" Type="http://schemas.openxmlformats.org/officeDocument/2006/relationships/hyperlink" Target="https://www.ohchr.org/Documents/HRBodies/HRCouncil/RegularSession/Session20/A.HRC.20.22.SPA.pdf" TargetMode="External"/><Relationship Id="rId7" Type="http://schemas.openxmlformats.org/officeDocument/2006/relationships/hyperlink" Target="https://seguridad.nexos.com.mx/?p=1551" TargetMode="External"/><Relationship Id="rId8" Type="http://schemas.openxmlformats.org/officeDocument/2006/relationships/hyperlink" Target="https://elpais.com/especiales/2016/guerra-narcotrafico-mexico/" TargetMode="External"/><Relationship Id="rId9" Type="http://schemas.openxmlformats.org/officeDocument/2006/relationships/hyperlink" Target="https://elpais.com/internacional/2019/08/30/mexico/1567173416_337248.html" TargetMode="External"/><Relationship Id="rId10" Type="http://schemas.openxmlformats.org/officeDocument/2006/relationships/hyperlink" Target="https://www.animalpolitico.com/2019/02/madres-fosas-cadaveres-tamaulipa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 Id="rId3"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D10EDC-D87A-CA44-9CC7-D540BDECE33F}">
  <ds:schemaRefs>
    <ds:schemaRef ds:uri="http://schemas.openxmlformats.org/officeDocument/2006/bibliography"/>
  </ds:schemaRefs>
</ds:datastoreItem>
</file>

<file path=customXml/itemProps2.xml><?xml version="1.0" encoding="utf-8"?>
<ds:datastoreItem xmlns:ds="http://schemas.openxmlformats.org/officeDocument/2006/customXml" ds:itemID="{348626E3-40BD-4269-81DB-8114B0B93602}"/>
</file>

<file path=customXml/itemProps3.xml><?xml version="1.0" encoding="utf-8"?>
<ds:datastoreItem xmlns:ds="http://schemas.openxmlformats.org/officeDocument/2006/customXml" ds:itemID="{E4974824-0F63-480D-A25E-F292BF28ACAF}"/>
</file>

<file path=customXml/itemProps4.xml><?xml version="1.0" encoding="utf-8"?>
<ds:datastoreItem xmlns:ds="http://schemas.openxmlformats.org/officeDocument/2006/customXml" ds:itemID="{769985FC-D9B2-4018-B955-8244EC5D21B7}"/>
</file>

<file path=docProps/app.xml><?xml version="1.0" encoding="utf-8"?>
<Properties xmlns="http://schemas.openxmlformats.org/officeDocument/2006/extended-properties" xmlns:vt="http://schemas.openxmlformats.org/officeDocument/2006/docPropsVTypes">
  <Template>Normal.dotm</Template>
  <TotalTime>3</TotalTime>
  <Pages>20</Pages>
  <Words>6171</Words>
  <Characters>35181</Characters>
  <Application>Microsoft Macintosh Word</Application>
  <DocSecurity>0</DocSecurity>
  <Lines>293</Lines>
  <Paragraphs>82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Coordinador Web</dc:creator>
  <cp:lastModifiedBy>Q</cp:lastModifiedBy>
  <cp:revision>2</cp:revision>
  <cp:lastPrinted>2018-08-01T22:32:00Z</cp:lastPrinted>
  <dcterms:created xsi:type="dcterms:W3CDTF">2019-09-16T18:05:00Z</dcterms:created>
  <dcterms:modified xsi:type="dcterms:W3CDTF">2019-09-16T18:05:00Z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