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A771B" w:rsidRDefault="00000000">
      <w:pPr>
        <w:widowControl w:val="0"/>
        <w:spacing w:after="0" w:line="240" w:lineRule="auto"/>
        <w:ind w:left="1440" w:firstLine="720"/>
        <w:rPr>
          <w:rFonts w:ascii="Arial" w:eastAsia="Arial" w:hAnsi="Arial" w:cs="Arial"/>
          <w:b/>
          <w:color w:val="4472C4"/>
          <w:sz w:val="68"/>
          <w:szCs w:val="68"/>
        </w:rPr>
      </w:pPr>
      <w:r>
        <w:rPr>
          <w:rFonts w:ascii="Poppins ExtraBold" w:eastAsia="Poppins ExtraBold" w:hAnsi="Poppins ExtraBold" w:cs="Poppins ExtraBold"/>
          <w:color w:val="4472C4"/>
          <w:sz w:val="80"/>
          <w:szCs w:val="80"/>
        </w:rPr>
        <w:t xml:space="preserve">   INFORME   ALTERNATIVO</w:t>
      </w:r>
    </w:p>
    <w:p w:rsidR="00FA771B" w:rsidRDefault="00FA771B">
      <w:pPr>
        <w:widowControl w:val="0"/>
        <w:spacing w:after="0" w:line="276" w:lineRule="auto"/>
        <w:jc w:val="center"/>
        <w:rPr>
          <w:rFonts w:ascii="Arial" w:eastAsia="Arial" w:hAnsi="Arial" w:cs="Arial"/>
          <w:b/>
          <w:color w:val="434343"/>
          <w:sz w:val="34"/>
          <w:szCs w:val="34"/>
        </w:rPr>
      </w:pPr>
    </w:p>
    <w:p w:rsidR="00FA771B" w:rsidRDefault="00000000">
      <w:pPr>
        <w:widowControl w:val="0"/>
        <w:spacing w:after="0" w:line="276" w:lineRule="auto"/>
        <w:jc w:val="center"/>
        <w:rPr>
          <w:rFonts w:ascii="Arial" w:eastAsia="Arial" w:hAnsi="Arial" w:cs="Arial"/>
          <w:b/>
          <w:sz w:val="44"/>
          <w:szCs w:val="44"/>
        </w:rPr>
      </w:pPr>
      <w:r>
        <w:rPr>
          <w:rFonts w:ascii="Arial" w:eastAsia="Arial" w:hAnsi="Arial" w:cs="Arial"/>
          <w:sz w:val="26"/>
          <w:szCs w:val="26"/>
        </w:rPr>
        <w:t>PRESENTADO POR LA MESA DE DISCAPACIDAD Y DERECHOS Y ALIADOS SOBRE LA IMPLEMENTACIÓN DE LA CONVENCIÓN SOBRE LOS DERECHOS ECONÓMICOS, SOCIALES Y CULTURALES</w:t>
      </w:r>
    </w:p>
    <w:p w:rsidR="00FA771B" w:rsidRDefault="00000000">
      <w:pPr>
        <w:widowControl w:val="0"/>
        <w:spacing w:after="0" w:line="276" w:lineRule="auto"/>
        <w:jc w:val="center"/>
        <w:rPr>
          <w:rFonts w:ascii="Arial" w:eastAsia="Arial" w:hAnsi="Arial" w:cs="Arial"/>
          <w:b/>
          <w:color w:val="4472C4"/>
          <w:sz w:val="44"/>
          <w:szCs w:val="44"/>
        </w:rPr>
      </w:pPr>
      <w:r>
        <w:rPr>
          <w:rFonts w:ascii="Arial" w:eastAsia="Arial" w:hAnsi="Arial" w:cs="Arial"/>
          <w:b/>
          <w:color w:val="4472C4"/>
          <w:sz w:val="44"/>
          <w:szCs w:val="44"/>
        </w:rPr>
        <w:t>_________________________</w:t>
      </w:r>
    </w:p>
    <w:p w:rsidR="00FA771B" w:rsidRDefault="00000000">
      <w:pPr>
        <w:widowControl w:val="0"/>
        <w:spacing w:after="0" w:line="276" w:lineRule="auto"/>
        <w:jc w:val="center"/>
        <w:rPr>
          <w:rFonts w:ascii="Arial" w:eastAsia="Arial" w:hAnsi="Arial" w:cs="Arial"/>
          <w:sz w:val="26"/>
          <w:szCs w:val="26"/>
        </w:rPr>
      </w:pPr>
      <w:r>
        <w:rPr>
          <w:rFonts w:ascii="Arial" w:eastAsia="Arial" w:hAnsi="Arial" w:cs="Arial"/>
          <w:sz w:val="26"/>
          <w:szCs w:val="26"/>
        </w:rPr>
        <w:t>Organización de las Naciones Unidas (ONU)</w:t>
      </w:r>
    </w:p>
    <w:p w:rsidR="00FA771B" w:rsidRDefault="00FA771B">
      <w:pPr>
        <w:widowControl w:val="0"/>
        <w:spacing w:after="0" w:line="276" w:lineRule="auto"/>
        <w:jc w:val="center"/>
        <w:rPr>
          <w:rFonts w:ascii="Arial" w:eastAsia="Arial" w:hAnsi="Arial" w:cs="Arial"/>
          <w:sz w:val="26"/>
          <w:szCs w:val="26"/>
        </w:rPr>
      </w:pPr>
    </w:p>
    <w:p w:rsidR="00FA771B" w:rsidRDefault="00000000">
      <w:pPr>
        <w:widowControl w:val="0"/>
        <w:spacing w:after="0" w:line="276" w:lineRule="auto"/>
        <w:jc w:val="center"/>
        <w:rPr>
          <w:rFonts w:ascii="Arial" w:eastAsia="Arial" w:hAnsi="Arial" w:cs="Arial"/>
          <w:sz w:val="26"/>
          <w:szCs w:val="26"/>
        </w:rPr>
      </w:pPr>
      <w:r>
        <w:rPr>
          <w:rFonts w:ascii="Arial" w:eastAsia="Arial" w:hAnsi="Arial" w:cs="Arial"/>
          <w:sz w:val="26"/>
          <w:szCs w:val="26"/>
        </w:rPr>
        <w:t>Comité sobre los Derechos Económicos, Sociales y Culturales</w:t>
      </w:r>
    </w:p>
    <w:p w:rsidR="00FA771B" w:rsidRDefault="00FA771B">
      <w:pPr>
        <w:widowControl w:val="0"/>
        <w:spacing w:after="0" w:line="276" w:lineRule="auto"/>
        <w:jc w:val="center"/>
        <w:rPr>
          <w:rFonts w:ascii="Arial" w:eastAsia="Arial" w:hAnsi="Arial" w:cs="Arial"/>
          <w:sz w:val="26"/>
          <w:szCs w:val="26"/>
        </w:rPr>
      </w:pPr>
    </w:p>
    <w:p w:rsidR="00FA771B" w:rsidRDefault="00000000">
      <w:pPr>
        <w:widowControl w:val="0"/>
        <w:spacing w:after="0" w:line="276" w:lineRule="auto"/>
        <w:jc w:val="center"/>
        <w:rPr>
          <w:rFonts w:ascii="Arial" w:eastAsia="Arial" w:hAnsi="Arial" w:cs="Arial"/>
          <w:sz w:val="26"/>
          <w:szCs w:val="26"/>
        </w:rPr>
      </w:pPr>
      <w:hyperlink r:id="rId8">
        <w:r>
          <w:rPr>
            <w:rFonts w:ascii="Roboto" w:eastAsia="Roboto" w:hAnsi="Roboto" w:cs="Roboto"/>
            <w:color w:val="1155CC"/>
            <w:sz w:val="28"/>
            <w:szCs w:val="28"/>
            <w:highlight w:val="white"/>
            <w:u w:val="single"/>
          </w:rPr>
          <w:t>77th</w:t>
        </w:r>
      </w:hyperlink>
      <w:r>
        <w:rPr>
          <w:rFonts w:ascii="Arial" w:eastAsia="Arial" w:hAnsi="Arial" w:cs="Arial"/>
          <w:sz w:val="26"/>
          <w:szCs w:val="26"/>
        </w:rPr>
        <w:t xml:space="preserve"> período de sesiones</w:t>
      </w:r>
    </w:p>
    <w:p w:rsidR="00FA771B" w:rsidRDefault="00FA771B">
      <w:pPr>
        <w:widowControl w:val="0"/>
        <w:spacing w:after="0" w:line="276" w:lineRule="auto"/>
        <w:jc w:val="center"/>
        <w:rPr>
          <w:rFonts w:ascii="Arial" w:eastAsia="Arial" w:hAnsi="Arial" w:cs="Arial"/>
          <w:sz w:val="26"/>
          <w:szCs w:val="26"/>
        </w:rPr>
      </w:pPr>
    </w:p>
    <w:p w:rsidR="00FA771B" w:rsidRDefault="00000000">
      <w:pPr>
        <w:widowControl w:val="0"/>
        <w:spacing w:after="0" w:line="276" w:lineRule="auto"/>
        <w:rPr>
          <w:rFonts w:ascii="Arial" w:eastAsia="Arial" w:hAnsi="Arial" w:cs="Arial"/>
          <w:sz w:val="26"/>
          <w:szCs w:val="26"/>
        </w:rPr>
      </w:pPr>
      <w:r>
        <w:rPr>
          <w:rFonts w:ascii="Arial" w:eastAsia="Arial" w:hAnsi="Arial" w:cs="Arial"/>
          <w:sz w:val="26"/>
          <w:szCs w:val="26"/>
        </w:rPr>
        <w:t xml:space="preserve">                                                  Enero, 2025</w:t>
      </w:r>
    </w:p>
    <w:p w:rsidR="00FA771B" w:rsidRDefault="00FA771B">
      <w:pPr>
        <w:widowControl w:val="0"/>
        <w:spacing w:after="0" w:line="276" w:lineRule="auto"/>
        <w:jc w:val="center"/>
        <w:rPr>
          <w:rFonts w:ascii="Arial" w:eastAsia="Arial" w:hAnsi="Arial" w:cs="Arial"/>
          <w:sz w:val="26"/>
          <w:szCs w:val="26"/>
        </w:rPr>
      </w:pPr>
    </w:p>
    <w:p w:rsidR="00FA771B" w:rsidRDefault="00000000">
      <w:pPr>
        <w:widowControl w:val="0"/>
        <w:spacing w:after="0" w:line="276" w:lineRule="auto"/>
        <w:jc w:val="center"/>
        <w:rPr>
          <w:rFonts w:ascii="Arial" w:eastAsia="Arial" w:hAnsi="Arial" w:cs="Arial"/>
          <w:sz w:val="26"/>
          <w:szCs w:val="26"/>
        </w:rPr>
      </w:pPr>
      <w:r>
        <w:rPr>
          <w:rFonts w:ascii="Arial" w:eastAsia="Arial" w:hAnsi="Arial" w:cs="Arial"/>
          <w:sz w:val="26"/>
          <w:szCs w:val="26"/>
        </w:rPr>
        <w:t>Ginebra, Suiza</w:t>
      </w:r>
    </w:p>
    <w:p w:rsidR="00FA771B" w:rsidRDefault="00FA771B">
      <w:pPr>
        <w:widowControl w:val="0"/>
        <w:spacing w:after="0" w:line="276" w:lineRule="auto"/>
        <w:rPr>
          <w:rFonts w:ascii="Arial" w:eastAsia="Arial" w:hAnsi="Arial" w:cs="Arial"/>
          <w:b/>
          <w:sz w:val="44"/>
          <w:szCs w:val="44"/>
        </w:rPr>
      </w:pPr>
    </w:p>
    <w:p w:rsidR="00FA771B" w:rsidRDefault="00FA771B">
      <w:pPr>
        <w:widowControl w:val="0"/>
        <w:spacing w:after="0" w:line="276" w:lineRule="auto"/>
        <w:rPr>
          <w:rFonts w:ascii="Arial" w:eastAsia="Arial" w:hAnsi="Arial" w:cs="Arial"/>
          <w:b/>
          <w:sz w:val="44"/>
          <w:szCs w:val="44"/>
        </w:rPr>
      </w:pPr>
    </w:p>
    <w:p w:rsidR="00FA771B" w:rsidRDefault="00FA771B">
      <w:pPr>
        <w:widowControl w:val="0"/>
        <w:spacing w:after="0" w:line="276" w:lineRule="auto"/>
        <w:rPr>
          <w:rFonts w:ascii="Arial" w:eastAsia="Arial" w:hAnsi="Arial" w:cs="Arial"/>
          <w:b/>
          <w:sz w:val="44"/>
          <w:szCs w:val="44"/>
        </w:rPr>
      </w:pPr>
    </w:p>
    <w:p w:rsidR="00FA771B" w:rsidRDefault="00FA771B">
      <w:pPr>
        <w:widowControl w:val="0"/>
        <w:spacing w:after="0" w:line="276" w:lineRule="auto"/>
        <w:rPr>
          <w:rFonts w:ascii="Arial" w:eastAsia="Arial" w:hAnsi="Arial" w:cs="Arial"/>
          <w:b/>
          <w:sz w:val="44"/>
          <w:szCs w:val="44"/>
        </w:rPr>
      </w:pPr>
    </w:p>
    <w:p w:rsidR="00FA771B" w:rsidRDefault="00FA771B">
      <w:pPr>
        <w:widowControl w:val="0"/>
        <w:spacing w:after="0" w:line="276" w:lineRule="auto"/>
        <w:rPr>
          <w:rFonts w:ascii="Arial" w:eastAsia="Arial" w:hAnsi="Arial" w:cs="Arial"/>
          <w:b/>
          <w:sz w:val="44"/>
          <w:szCs w:val="44"/>
        </w:rPr>
      </w:pPr>
    </w:p>
    <w:p w:rsidR="00FA771B" w:rsidRDefault="00FA771B">
      <w:pPr>
        <w:widowControl w:val="0"/>
        <w:spacing w:after="0" w:line="276" w:lineRule="auto"/>
        <w:rPr>
          <w:rFonts w:ascii="Arial" w:eastAsia="Arial" w:hAnsi="Arial" w:cs="Arial"/>
          <w:b/>
          <w:sz w:val="44"/>
          <w:szCs w:val="44"/>
        </w:rPr>
      </w:pPr>
    </w:p>
    <w:p w:rsidR="00FA771B" w:rsidRDefault="00000000">
      <w:pPr>
        <w:tabs>
          <w:tab w:val="center" w:pos="4252"/>
        </w:tabs>
        <w:rPr>
          <w:color w:val="4472C4"/>
        </w:rPr>
      </w:pPr>
      <w:r>
        <w:rPr>
          <w:color w:val="4472C4"/>
        </w:rPr>
        <w:tab/>
      </w:r>
    </w:p>
    <w:p w:rsidR="00FA771B" w:rsidRDefault="00FA771B">
      <w:pPr>
        <w:widowControl w:val="0"/>
        <w:spacing w:line="240" w:lineRule="auto"/>
        <w:rPr>
          <w:rFonts w:ascii="Arial" w:eastAsia="Arial" w:hAnsi="Arial" w:cs="Arial"/>
          <w:sz w:val="24"/>
          <w:szCs w:val="24"/>
        </w:rPr>
      </w:pPr>
    </w:p>
    <w:p w:rsidR="00FA771B" w:rsidRDefault="00FA771B">
      <w:pPr>
        <w:widowControl w:val="0"/>
        <w:spacing w:line="240" w:lineRule="auto"/>
        <w:rPr>
          <w:rFonts w:ascii="Arial" w:eastAsia="Arial" w:hAnsi="Arial" w:cs="Arial"/>
          <w:sz w:val="24"/>
          <w:szCs w:val="24"/>
        </w:rPr>
      </w:pPr>
    </w:p>
    <w:p w:rsidR="00FA771B" w:rsidRDefault="00FA771B">
      <w:pPr>
        <w:widowControl w:val="0"/>
        <w:spacing w:line="240" w:lineRule="auto"/>
        <w:rPr>
          <w:rFonts w:ascii="Arial" w:eastAsia="Arial" w:hAnsi="Arial" w:cs="Arial"/>
          <w:sz w:val="24"/>
          <w:szCs w:val="24"/>
        </w:rPr>
      </w:pPr>
    </w:p>
    <w:p w:rsidR="00FA771B" w:rsidRDefault="00FA771B">
      <w:pPr>
        <w:keepNext/>
        <w:keepLines/>
        <w:spacing w:before="240" w:after="0"/>
        <w:jc w:val="center"/>
        <w:rPr>
          <w:b/>
          <w:color w:val="2F5496"/>
          <w:sz w:val="32"/>
          <w:szCs w:val="32"/>
        </w:rPr>
      </w:pPr>
    </w:p>
    <w:p w:rsidR="00FA771B" w:rsidRDefault="00FA771B">
      <w:pPr>
        <w:widowControl w:val="0"/>
        <w:spacing w:line="240" w:lineRule="auto"/>
        <w:rPr>
          <w:rFonts w:ascii="Arial" w:eastAsia="Arial" w:hAnsi="Arial" w:cs="Arial"/>
          <w:b/>
        </w:rPr>
      </w:pPr>
    </w:p>
    <w:p w:rsidR="00FA771B" w:rsidRDefault="00000000">
      <w:pPr>
        <w:keepNext/>
        <w:keepLines/>
        <w:spacing w:after="240" w:line="240" w:lineRule="auto"/>
        <w:jc w:val="both"/>
        <w:rPr>
          <w:rFonts w:ascii="Arial" w:eastAsia="Arial" w:hAnsi="Arial" w:cs="Arial"/>
          <w:sz w:val="48"/>
          <w:szCs w:val="48"/>
        </w:rPr>
      </w:pPr>
      <w:bookmarkStart w:id="0" w:name="_heading=h.gjdgxs" w:colFirst="0" w:colLast="0"/>
      <w:bookmarkEnd w:id="0"/>
      <w:r>
        <w:rPr>
          <w:rFonts w:ascii="Arial" w:eastAsia="Arial" w:hAnsi="Arial" w:cs="Arial"/>
          <w:b/>
          <w:sz w:val="48"/>
          <w:szCs w:val="48"/>
        </w:rPr>
        <w:lastRenderedPageBreak/>
        <w:t>PRESENTACIÓN</w:t>
      </w:r>
    </w:p>
    <w:p w:rsidR="00FA771B" w:rsidRDefault="00000000">
      <w:pPr>
        <w:spacing w:after="240" w:line="240" w:lineRule="auto"/>
        <w:jc w:val="both"/>
        <w:rPr>
          <w:rFonts w:ascii="Arial" w:eastAsia="Arial" w:hAnsi="Arial" w:cs="Arial"/>
        </w:rPr>
      </w:pPr>
      <w:r>
        <w:rPr>
          <w:rFonts w:ascii="Arial" w:eastAsia="Arial" w:hAnsi="Arial" w:cs="Arial"/>
        </w:rPr>
        <w:t xml:space="preserve">El presente informe ha sido elaborado en el marco de la quinta revisión del Estado peruano ante el Comité sobre los Derechos Económicos, Sociales y Culturales de las Naciones Unidas por la Mesa de Discapacidad y Derechos y organizaciones aliadas. </w:t>
      </w:r>
    </w:p>
    <w:p w:rsidR="00FA771B" w:rsidRDefault="00000000">
      <w:pPr>
        <w:spacing w:after="240" w:line="240" w:lineRule="auto"/>
        <w:jc w:val="both"/>
        <w:rPr>
          <w:rFonts w:ascii="Arial" w:eastAsia="Arial" w:hAnsi="Arial" w:cs="Arial"/>
        </w:rPr>
      </w:pPr>
      <w:r>
        <w:rPr>
          <w:rFonts w:ascii="Arial" w:eastAsia="Arial" w:hAnsi="Arial" w:cs="Arial"/>
        </w:rPr>
        <w:t>La Mesa de Discapacidad y Derechos forma parte de la Coordinadora Nacional de Derechos Humanos y es un espacio conformado por 20 organizaciones de personas con discapacidad e instituciones que trabajan en favor de los derechos de dicho colectivo</w:t>
      </w:r>
      <w:r>
        <w:rPr>
          <w:rFonts w:ascii="Arial" w:eastAsia="Arial" w:hAnsi="Arial" w:cs="Arial"/>
          <w:vertAlign w:val="superscript"/>
        </w:rPr>
        <w:footnoteReference w:id="1"/>
      </w:r>
      <w:r>
        <w:rPr>
          <w:rFonts w:ascii="Arial" w:eastAsia="Arial" w:hAnsi="Arial" w:cs="Arial"/>
        </w:rPr>
        <w:t xml:space="preserve"> y organizaciones aliadas. En este espacio se debaten y articulan acciones de incidencia sobre la temática de discapacidad con los diversos sectores del Estado Peruano. </w:t>
      </w:r>
    </w:p>
    <w:p w:rsidR="00FA771B" w:rsidRDefault="00000000">
      <w:pPr>
        <w:spacing w:after="240" w:line="240" w:lineRule="auto"/>
        <w:jc w:val="both"/>
        <w:rPr>
          <w:rFonts w:ascii="Arial" w:eastAsia="Arial" w:hAnsi="Arial" w:cs="Arial"/>
          <w:b/>
        </w:rPr>
      </w:pPr>
      <w:r>
        <w:rPr>
          <w:rFonts w:ascii="Arial" w:eastAsia="Arial" w:hAnsi="Arial" w:cs="Arial"/>
          <w:b/>
        </w:rPr>
        <w:t>PROPÓSITO Y OBLIGACIONES GENERALES (ARTÍCULOS 1 AL 5 DEL PACTO)</w:t>
      </w:r>
    </w:p>
    <w:p w:rsidR="00FA771B" w:rsidRDefault="00000000">
      <w:pPr>
        <w:spacing w:after="240" w:line="240" w:lineRule="auto"/>
        <w:jc w:val="center"/>
        <w:rPr>
          <w:rFonts w:ascii="Arial" w:eastAsia="Arial" w:hAnsi="Arial" w:cs="Arial"/>
          <w:b/>
        </w:rPr>
      </w:pPr>
      <w:r>
        <w:rPr>
          <w:rFonts w:ascii="Arial" w:eastAsia="Arial" w:hAnsi="Arial" w:cs="Arial"/>
          <w:b/>
        </w:rPr>
        <w:t>Transversalización del enfoque de discapacidad</w:t>
      </w:r>
    </w:p>
    <w:p w:rsidR="00FA771B" w:rsidRDefault="00000000">
      <w:pPr>
        <w:numPr>
          <w:ilvl w:val="0"/>
          <w:numId w:val="1"/>
        </w:numPr>
        <w:spacing w:after="240" w:line="240" w:lineRule="auto"/>
        <w:jc w:val="both"/>
        <w:rPr>
          <w:rFonts w:ascii="Arial" w:eastAsia="Arial" w:hAnsi="Arial" w:cs="Arial"/>
          <w:b/>
          <w:sz w:val="24"/>
          <w:szCs w:val="24"/>
        </w:rPr>
      </w:pPr>
      <w:r>
        <w:rPr>
          <w:rFonts w:ascii="Arial" w:eastAsia="Arial" w:hAnsi="Arial" w:cs="Arial"/>
          <w:b/>
          <w:sz w:val="24"/>
          <w:szCs w:val="24"/>
        </w:rPr>
        <w:t xml:space="preserve">Derecho a la autodeterminación y al desarrollo económico, social y cultural de las personas con discapacidad: </w:t>
      </w:r>
    </w:p>
    <w:p w:rsidR="00FA771B" w:rsidRDefault="00000000">
      <w:pPr>
        <w:spacing w:after="240" w:line="240" w:lineRule="auto"/>
        <w:jc w:val="both"/>
        <w:rPr>
          <w:rFonts w:ascii="Arial" w:eastAsia="Arial" w:hAnsi="Arial" w:cs="Arial"/>
        </w:rPr>
      </w:pPr>
      <w:r>
        <w:rPr>
          <w:rFonts w:ascii="Arial" w:eastAsia="Arial" w:hAnsi="Arial" w:cs="Arial"/>
        </w:rPr>
        <w:t xml:space="preserve">La estructura actual del </w:t>
      </w:r>
      <w:r>
        <w:rPr>
          <w:rFonts w:ascii="Arial" w:eastAsia="Arial" w:hAnsi="Arial" w:cs="Arial"/>
          <w:b/>
        </w:rPr>
        <w:t>Consejo Nacional para la Integración de la Persona con Discapacidad</w:t>
      </w:r>
      <w:r>
        <w:rPr>
          <w:rFonts w:ascii="Arial" w:eastAsia="Arial" w:hAnsi="Arial" w:cs="Arial"/>
        </w:rPr>
        <w:t xml:space="preserve"> (CONADIS) compromete su capacidad para liderar eficazmente la transversalización del enfoque de discapacidad con perspectiva interseccional. </w:t>
      </w:r>
    </w:p>
    <w:p w:rsidR="00FA771B" w:rsidRDefault="00000000">
      <w:pPr>
        <w:spacing w:after="240" w:line="240" w:lineRule="auto"/>
        <w:jc w:val="both"/>
        <w:rPr>
          <w:rFonts w:ascii="Arial" w:eastAsia="Arial" w:hAnsi="Arial" w:cs="Arial"/>
        </w:rPr>
      </w:pPr>
      <w:r>
        <w:rPr>
          <w:rFonts w:ascii="Arial" w:eastAsia="Arial" w:hAnsi="Arial" w:cs="Arial"/>
          <w:b/>
        </w:rPr>
        <w:t>Se observa una sobrecarga en la gestión</w:t>
      </w:r>
      <w:r>
        <w:rPr>
          <w:rFonts w:ascii="Arial" w:eastAsia="Arial" w:hAnsi="Arial" w:cs="Arial"/>
        </w:rPr>
        <w:t xml:space="preserve"> debido a la frecuencia con que otros sectores trasladan al CONADIS sus responsabilidades cuando estas se encuentran en intersección con la discapacidad. Un ejemplo reciente es la fusión de la Unidad de personas con discapacidad del Instituto de Bienestar Familiar (INABIF) con CONADIS. </w:t>
      </w:r>
    </w:p>
    <w:p w:rsidR="00FA771B" w:rsidRDefault="00000000">
      <w:pPr>
        <w:spacing w:after="240" w:line="240" w:lineRule="auto"/>
        <w:jc w:val="both"/>
        <w:rPr>
          <w:rFonts w:ascii="Arial" w:eastAsia="Arial" w:hAnsi="Arial" w:cs="Arial"/>
        </w:rPr>
      </w:pPr>
      <w:r>
        <w:rPr>
          <w:rFonts w:ascii="Arial" w:eastAsia="Arial" w:hAnsi="Arial" w:cs="Arial"/>
        </w:rPr>
        <w:t xml:space="preserve">La frecuencia del endoso de responsabilidades ha incrementado considerablemente las obligaciones del CONADIS </w:t>
      </w:r>
      <w:r>
        <w:rPr>
          <w:rFonts w:ascii="Arial" w:eastAsia="Arial" w:hAnsi="Arial" w:cs="Arial"/>
          <w:b/>
        </w:rPr>
        <w:t>superando largamente sus competencias</w:t>
      </w:r>
      <w:r>
        <w:rPr>
          <w:rFonts w:ascii="Arial" w:eastAsia="Arial" w:hAnsi="Arial" w:cs="Arial"/>
        </w:rPr>
        <w:t xml:space="preserve"> y su capacidad instalada, puesto que los recursos de gestión como financieros, siguen siendo los mismos. </w:t>
      </w:r>
    </w:p>
    <w:p w:rsidR="00FA771B" w:rsidRDefault="00000000">
      <w:pPr>
        <w:spacing w:after="240" w:line="240" w:lineRule="auto"/>
        <w:jc w:val="both"/>
        <w:rPr>
          <w:rFonts w:ascii="Arial" w:eastAsia="Arial" w:hAnsi="Arial" w:cs="Arial"/>
        </w:rPr>
      </w:pPr>
      <w:r>
        <w:rPr>
          <w:rFonts w:ascii="Arial" w:eastAsia="Arial" w:hAnsi="Arial" w:cs="Arial"/>
        </w:rPr>
        <w:t xml:space="preserve">Finalmente  la Política Nacional Multisectorial en Discapacidad para el Desarrollo al 2030, aprobada en 2021, establece una serie de objetivos, lineamientos, servicios y sectores responsables. Sin embargo, </w:t>
      </w:r>
      <w:r>
        <w:rPr>
          <w:rFonts w:ascii="Arial" w:eastAsia="Arial" w:hAnsi="Arial" w:cs="Arial"/>
          <w:b/>
        </w:rPr>
        <w:t>no se ha publicado ningún documento que dé cuenta de los avances</w:t>
      </w:r>
      <w:r>
        <w:rPr>
          <w:rFonts w:ascii="Arial" w:eastAsia="Arial" w:hAnsi="Arial" w:cs="Arial"/>
        </w:rPr>
        <w:t xml:space="preserve"> y se desconocen los mecanismos de seguimiento a estos indicadores planteados por CONADIS.</w:t>
      </w:r>
    </w:p>
    <w:p w:rsidR="00CA0F4F" w:rsidRDefault="00CA0F4F" w:rsidP="00CA0F4F">
      <w:pPr>
        <w:spacing w:after="240" w:line="240" w:lineRule="auto"/>
        <w:jc w:val="both"/>
        <w:rPr>
          <w:rFonts w:ascii="Arial" w:eastAsia="Arial" w:hAnsi="Arial" w:cs="Arial"/>
        </w:rPr>
      </w:pPr>
    </w:p>
    <w:p w:rsidR="00CA0F4F" w:rsidRDefault="00CA0F4F" w:rsidP="00CA0F4F">
      <w:pPr>
        <w:spacing w:after="240" w:line="240" w:lineRule="auto"/>
        <w:jc w:val="both"/>
        <w:rPr>
          <w:rFonts w:ascii="Arial" w:eastAsia="Arial" w:hAnsi="Arial" w:cs="Arial"/>
        </w:rPr>
      </w:pPr>
    </w:p>
    <w:p w:rsidR="00CA0F4F" w:rsidRDefault="00000000" w:rsidP="00CA0F4F">
      <w:pPr>
        <w:spacing w:after="240" w:line="240" w:lineRule="auto"/>
        <w:jc w:val="both"/>
        <w:rPr>
          <w:rFonts w:ascii="Arial" w:eastAsia="Arial" w:hAnsi="Arial" w:cs="Arial"/>
        </w:rPr>
      </w:pPr>
      <w:r>
        <w:rPr>
          <w:rFonts w:ascii="Arial" w:eastAsia="Arial" w:hAnsi="Arial" w:cs="Arial"/>
        </w:rPr>
        <w:lastRenderedPageBreak/>
        <w:t xml:space="preserve">De otro  lado, la recurrencia de normativas aprobadas sin reglamento ni asignación presupuestaria obstaculiza no solo la implementación de las políticas derivadas de estas, sino también la incorporación necesaria de ajustes orientados a la diversidad por discapacidad. </w:t>
      </w:r>
    </w:p>
    <w:p w:rsidR="00CA0F4F" w:rsidRDefault="00000000" w:rsidP="00CA0F4F">
      <w:pPr>
        <w:spacing w:after="240" w:line="240" w:lineRule="auto"/>
        <w:jc w:val="both"/>
        <w:rPr>
          <w:rFonts w:ascii="Arial" w:eastAsia="Arial" w:hAnsi="Arial" w:cs="Arial"/>
        </w:rPr>
      </w:pPr>
      <w:r>
        <w:rPr>
          <w:rFonts w:ascii="Arial" w:eastAsia="Arial" w:hAnsi="Arial" w:cs="Arial"/>
        </w:rPr>
        <w:t xml:space="preserve">Estos ajustes deben aplicarse en aspectos clave como (i) la publicidad y divulgación, que debe ser accesible; (ii) la modificación o creación de nuevas condiciones que deben ser resultado de procesos de consulta y promover la participación de las personas con discapacidad y sus familias; (iii) la sensibilización y capacitación de actores clave, funcionarios y operadores; y la coordinación intergubernamental para garantizar la coherencia en la ejecución y (iv) la asignación efectiva de recursos. </w:t>
      </w:r>
    </w:p>
    <w:p w:rsidR="00CA0F4F" w:rsidRDefault="00000000" w:rsidP="00CA0F4F">
      <w:pPr>
        <w:spacing w:after="240" w:line="240" w:lineRule="auto"/>
        <w:jc w:val="both"/>
        <w:rPr>
          <w:rFonts w:ascii="Arial" w:eastAsia="Arial" w:hAnsi="Arial" w:cs="Arial"/>
        </w:rPr>
      </w:pPr>
      <w:r>
        <w:rPr>
          <w:rFonts w:ascii="Arial" w:eastAsia="Arial" w:hAnsi="Arial" w:cs="Arial"/>
        </w:rPr>
        <w:t xml:space="preserve">Un ejemplo reciente es la 19ª Disposición Complementaria de la Ley N.º 32185, Ley de Presupuesto del Sector Público para el Año Fiscal 2025, promulgada el 11 de diciembre de 2024. </w:t>
      </w:r>
    </w:p>
    <w:p w:rsidR="00CA0F4F" w:rsidRDefault="00000000" w:rsidP="00CA0F4F">
      <w:pPr>
        <w:spacing w:after="240" w:line="240" w:lineRule="auto"/>
        <w:jc w:val="both"/>
        <w:rPr>
          <w:rFonts w:ascii="Arial" w:eastAsia="Arial" w:hAnsi="Arial" w:cs="Arial"/>
        </w:rPr>
      </w:pPr>
      <w:r>
        <w:rPr>
          <w:rFonts w:ascii="Arial" w:eastAsia="Arial" w:hAnsi="Arial" w:cs="Arial"/>
        </w:rPr>
        <w:t>Esta disposición establece una fórmula de cálculo del gasto que reduce considerablemente lo previsto, ignorando lo establecido en la Ley N.º 32139, la cual fija un porcentaje del 1% del presupuesto institucional de los gobiernos regionales y locales para actividades y proyectos dirigidos a la atención de personas con discapacidad, promulgada el 22 de octubre de 2024, con anterioridad a la Ley N  32185 y cuyo reglamento estaba en proceso de formulación y dentro del plazo.</w:t>
      </w:r>
    </w:p>
    <w:p w:rsidR="00FA771B" w:rsidRPr="00CA0F4F" w:rsidRDefault="00CA0F4F" w:rsidP="00CA0F4F">
      <w:pPr>
        <w:spacing w:after="240" w:line="240" w:lineRule="auto"/>
        <w:jc w:val="both"/>
        <w:rPr>
          <w:rFonts w:ascii="Arial" w:eastAsia="Arial" w:hAnsi="Arial" w:cs="Arial"/>
        </w:rPr>
      </w:pPr>
      <w:r>
        <w:rPr>
          <w:rFonts w:ascii="Arial" w:eastAsia="Arial" w:hAnsi="Arial" w:cs="Arial"/>
          <w:noProof/>
        </w:rPr>
        <w:drawing>
          <wp:anchor distT="0" distB="0" distL="114300" distR="114300" simplePos="0" relativeHeight="251658240" behindDoc="0" locked="0" layoutInCell="1" allowOverlap="1" wp14:anchorId="43E957A1">
            <wp:simplePos x="0" y="0"/>
            <wp:positionH relativeFrom="column">
              <wp:posOffset>26035</wp:posOffset>
            </wp:positionH>
            <wp:positionV relativeFrom="paragraph">
              <wp:posOffset>1079846</wp:posOffset>
            </wp:positionV>
            <wp:extent cx="5393055" cy="2933700"/>
            <wp:effectExtent l="25400" t="25400" r="29845" b="25400"/>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5393055" cy="2933700"/>
                    </a:xfrm>
                    <a:prstGeom prst="rect">
                      <a:avLst/>
                    </a:prstGeom>
                    <a:ln w="25400">
                      <a:solidFill>
                        <a:srgbClr val="000000"/>
                      </a:solidFill>
                      <a:prstDash val="solid"/>
                    </a:ln>
                  </pic:spPr>
                </pic:pic>
              </a:graphicData>
            </a:graphic>
            <wp14:sizeRelH relativeFrom="page">
              <wp14:pctWidth>0</wp14:pctWidth>
            </wp14:sizeRelH>
            <wp14:sizeRelV relativeFrom="page">
              <wp14:pctHeight>0</wp14:pctHeight>
            </wp14:sizeRelV>
          </wp:anchor>
        </w:drawing>
      </w:r>
      <w:r w:rsidR="00000000">
        <w:rPr>
          <w:rFonts w:ascii="Arial" w:eastAsia="Arial" w:hAnsi="Arial" w:cs="Arial"/>
        </w:rPr>
        <w:t>El Congreso de la República tiene la atribución para realizar procesos de  adecuación y respecto al presupuesto sobre discapacidad  se ha eximido. Tomando  como referencia la ejecución del gasto global de los gobiernos locales, gobiernos regionales y lo ejecutado por la Municipalidad de Lima en 2024 tenemos</w:t>
      </w:r>
      <w:r w:rsidR="00000000">
        <w:rPr>
          <w:rFonts w:ascii="Arial" w:eastAsia="Arial" w:hAnsi="Arial" w:cs="Arial"/>
          <w:vertAlign w:val="superscript"/>
        </w:rPr>
        <w:footnoteReference w:id="2"/>
      </w:r>
      <w:r w:rsidR="00000000">
        <w:rPr>
          <w:rFonts w:ascii="Arial" w:eastAsia="Arial" w:hAnsi="Arial" w:cs="Arial"/>
        </w:rPr>
        <w:t xml:space="preserve">: </w:t>
      </w:r>
    </w:p>
    <w:p w:rsidR="00FA771B" w:rsidRDefault="00FA771B">
      <w:pPr>
        <w:keepNext/>
        <w:keepLines/>
        <w:tabs>
          <w:tab w:val="right" w:pos="851"/>
        </w:tabs>
        <w:spacing w:before="360" w:after="240" w:line="270" w:lineRule="auto"/>
        <w:ind w:right="157"/>
        <w:jc w:val="both"/>
        <w:rPr>
          <w:rFonts w:ascii="Arial" w:eastAsia="Arial" w:hAnsi="Arial" w:cs="Arial"/>
        </w:rPr>
      </w:pPr>
    </w:p>
    <w:p w:rsidR="00FA771B" w:rsidRDefault="00000000">
      <w:pPr>
        <w:keepNext/>
        <w:keepLines/>
        <w:tabs>
          <w:tab w:val="right" w:pos="851"/>
        </w:tabs>
        <w:spacing w:before="360" w:after="240" w:line="270" w:lineRule="auto"/>
        <w:ind w:right="157"/>
        <w:jc w:val="both"/>
        <w:rPr>
          <w:rFonts w:ascii="Arial" w:eastAsia="Arial" w:hAnsi="Arial" w:cs="Arial"/>
        </w:rPr>
      </w:pPr>
      <w:r>
        <w:rPr>
          <w:rFonts w:ascii="Arial" w:eastAsia="Arial" w:hAnsi="Arial" w:cs="Arial"/>
        </w:rPr>
        <w:t xml:space="preserve">Otro ejemplo de comportamientos legislativos y administrativos erráticos y contrarios al PIDESC se relaciona con el derecho de las personas sordas a usar la lengua de señas peruana. Ocurre que el Reglamento de la Ley N 29535, que Otorga Reconocimiento Oficial a la Lengua de Señas Peruana (2017) ordena al Ministerio de Educación (MINEDU) aprobar los requisitos y el perfil del intérprete de lengua de señas peruana, en un plazo de ciento veinte 120 días calendario, obligación que hasta la fecha se encuentra pendiente.   </w:t>
      </w:r>
    </w:p>
    <w:p w:rsidR="00FA771B" w:rsidRDefault="00000000">
      <w:pPr>
        <w:keepNext/>
        <w:keepLines/>
        <w:tabs>
          <w:tab w:val="right" w:pos="851"/>
        </w:tabs>
        <w:spacing w:before="360" w:after="240" w:line="270" w:lineRule="auto"/>
        <w:ind w:right="157"/>
        <w:jc w:val="both"/>
        <w:rPr>
          <w:rFonts w:ascii="Arial" w:eastAsia="Arial" w:hAnsi="Arial" w:cs="Arial"/>
        </w:rPr>
      </w:pPr>
      <w:r>
        <w:rPr>
          <w:rFonts w:ascii="Arial" w:eastAsia="Arial" w:hAnsi="Arial" w:cs="Arial"/>
        </w:rPr>
        <w:t>Muy recientemente ha ocurrido una agresión sectorial de discriminación contra  la comunidad sorda, promovida por el Ministerio de Cultura, que presentó vía propuesta legislativa la modificación de la Ley 29535 para revocarle a la lengua de señas peruana el reconocimiento como lengua oficial.</w:t>
      </w:r>
    </w:p>
    <w:p w:rsidR="00FA771B" w:rsidRDefault="00000000">
      <w:pPr>
        <w:keepNext/>
        <w:keepLines/>
        <w:tabs>
          <w:tab w:val="right" w:pos="851"/>
        </w:tabs>
        <w:spacing w:before="360" w:after="240" w:line="270" w:lineRule="auto"/>
        <w:ind w:right="157"/>
        <w:jc w:val="both"/>
        <w:rPr>
          <w:rFonts w:ascii="Arial" w:eastAsia="Arial" w:hAnsi="Arial" w:cs="Arial"/>
        </w:rPr>
      </w:pPr>
      <w:r>
        <w:rPr>
          <w:rFonts w:ascii="Arial" w:eastAsia="Arial" w:hAnsi="Arial" w:cs="Arial"/>
        </w:rPr>
        <w:t>El Estado peruano tiene obligaciones constitucionales solo con las lenguas  oficiales. Al revocarle el reconocimiento de lengua oficial a  la lengua de señas peruana, deja de tener las obligaciones de preservación, defensa y promoción que tiene con las lenguas oficiales y originarias, tales como la  acreditación y profesionalización de los intérpretes, la implementación de servicios de  interpretación en acciones policiales y procesos judiciales. Esto afecta significativamente el derecho de las personas sordas a usar la lengua de señas peruana como su modo natural de comunicación.</w:t>
      </w:r>
    </w:p>
    <w:p w:rsidR="00FA771B" w:rsidRDefault="00000000">
      <w:pPr>
        <w:tabs>
          <w:tab w:val="left" w:pos="284"/>
          <w:tab w:val="left" w:pos="2268"/>
          <w:tab w:val="left" w:pos="2835"/>
          <w:tab w:val="left" w:pos="8364"/>
        </w:tabs>
        <w:spacing w:after="240" w:line="240" w:lineRule="auto"/>
        <w:jc w:val="both"/>
        <w:rPr>
          <w:rFonts w:ascii="Arial" w:eastAsia="Arial" w:hAnsi="Arial" w:cs="Arial"/>
          <w:b/>
          <w:sz w:val="24"/>
          <w:szCs w:val="24"/>
        </w:rPr>
      </w:pPr>
      <w:r>
        <w:rPr>
          <w:rFonts w:ascii="Arial" w:eastAsia="Arial" w:hAnsi="Arial" w:cs="Arial"/>
          <w:b/>
          <w:color w:val="1F3763"/>
          <w:sz w:val="24"/>
          <w:szCs w:val="24"/>
        </w:rPr>
        <w:t>Por ello, sugerimos al Comité las siguientes recomendaciones:</w:t>
      </w:r>
    </w:p>
    <w:p w:rsidR="00FA771B" w:rsidRDefault="00000000">
      <w:pPr>
        <w:numPr>
          <w:ilvl w:val="0"/>
          <w:numId w:val="8"/>
        </w:numPr>
        <w:tabs>
          <w:tab w:val="left" w:pos="284"/>
          <w:tab w:val="left" w:pos="2268"/>
          <w:tab w:val="left" w:pos="2835"/>
          <w:tab w:val="left" w:pos="8364"/>
        </w:tabs>
        <w:spacing w:after="0" w:line="240" w:lineRule="auto"/>
        <w:jc w:val="both"/>
        <w:rPr>
          <w:rFonts w:ascii="Arial" w:eastAsia="Arial" w:hAnsi="Arial" w:cs="Arial"/>
        </w:rPr>
      </w:pPr>
      <w:r>
        <w:rPr>
          <w:rFonts w:ascii="Arial" w:eastAsia="Arial" w:hAnsi="Arial" w:cs="Arial"/>
        </w:rPr>
        <w:t>Que se conforme una comisión multisectorial liderada por el CONADIS para la formulación de un plan estratégico que garantice la transversalización del enfoque de discapacidad con perspectiva interseccional en los tres niveles de gobierno y las distintas instituciones públicas.</w:t>
      </w:r>
    </w:p>
    <w:p w:rsidR="00FA771B" w:rsidRDefault="00000000">
      <w:pPr>
        <w:numPr>
          <w:ilvl w:val="0"/>
          <w:numId w:val="8"/>
        </w:numPr>
        <w:tabs>
          <w:tab w:val="left" w:pos="284"/>
          <w:tab w:val="left" w:pos="2268"/>
          <w:tab w:val="left" w:pos="2835"/>
          <w:tab w:val="left" w:pos="8364"/>
        </w:tabs>
        <w:spacing w:after="0" w:line="240" w:lineRule="auto"/>
        <w:jc w:val="both"/>
        <w:rPr>
          <w:rFonts w:ascii="Arial" w:eastAsia="Arial" w:hAnsi="Arial" w:cs="Arial"/>
        </w:rPr>
      </w:pPr>
      <w:r>
        <w:rPr>
          <w:rFonts w:ascii="Arial" w:eastAsia="Arial" w:hAnsi="Arial" w:cs="Arial"/>
        </w:rPr>
        <w:t>Garantizar el fortalecimiento del CONADIS con la contribución de instituciones como el Centro Nacional de Planificación Estratégica, así como la asignación suficiente de recursos a  fin que su estructura,  su capacidad operativa y sus acuerdos de gestión sean compatibles y proporcionales con las responsabilidades adicionales asumidas  pendientes de cumplimiento.</w:t>
      </w:r>
    </w:p>
    <w:p w:rsidR="00FA771B" w:rsidRDefault="00000000">
      <w:pPr>
        <w:numPr>
          <w:ilvl w:val="0"/>
          <w:numId w:val="8"/>
        </w:numPr>
        <w:tabs>
          <w:tab w:val="left" w:pos="284"/>
          <w:tab w:val="left" w:pos="2268"/>
          <w:tab w:val="left" w:pos="2835"/>
          <w:tab w:val="left" w:pos="8364"/>
        </w:tabs>
        <w:spacing w:after="0" w:line="240" w:lineRule="auto"/>
        <w:jc w:val="both"/>
        <w:rPr>
          <w:rFonts w:ascii="Arial" w:eastAsia="Arial" w:hAnsi="Arial" w:cs="Arial"/>
        </w:rPr>
      </w:pPr>
      <w:r>
        <w:rPr>
          <w:rFonts w:ascii="Arial" w:eastAsia="Arial" w:hAnsi="Arial" w:cs="Arial"/>
        </w:rPr>
        <w:t xml:space="preserve">Que el Estado peruano en uso de sus facultades ordinarias o de facultades especiales solicitadas al Congreso de la República impulse la revisión y adecuación de la normativa relativa a la promoción, provisión y protección de las personas con discapacidad para garantizar la asignación presupuestaria requerida y la efectiva implementación de leyes existentes. </w:t>
      </w:r>
    </w:p>
    <w:p w:rsidR="00FA771B" w:rsidRDefault="00000000">
      <w:pPr>
        <w:numPr>
          <w:ilvl w:val="0"/>
          <w:numId w:val="8"/>
        </w:numPr>
        <w:tabs>
          <w:tab w:val="left" w:pos="284"/>
          <w:tab w:val="left" w:pos="2268"/>
          <w:tab w:val="left" w:pos="2835"/>
          <w:tab w:val="left" w:pos="8364"/>
        </w:tabs>
        <w:spacing w:after="0" w:line="240" w:lineRule="auto"/>
        <w:jc w:val="both"/>
        <w:rPr>
          <w:rFonts w:ascii="Arial" w:eastAsia="Arial" w:hAnsi="Arial" w:cs="Arial"/>
        </w:rPr>
      </w:pPr>
      <w:r>
        <w:rPr>
          <w:rFonts w:ascii="Arial" w:eastAsia="Arial" w:hAnsi="Arial" w:cs="Arial"/>
        </w:rPr>
        <w:t>Específicamente, derogar la 19ª Disposición Complementaria de la Ley N 32185 para alinearla con los requisitos presupuestarios de la Ley N 32139, asegurando el 1% del presupuesto para actividades dirigidas a la atención de personas con discapacidad.</w:t>
      </w:r>
    </w:p>
    <w:p w:rsidR="00FA771B" w:rsidRDefault="00000000">
      <w:pPr>
        <w:numPr>
          <w:ilvl w:val="0"/>
          <w:numId w:val="8"/>
        </w:numPr>
        <w:tabs>
          <w:tab w:val="left" w:pos="284"/>
          <w:tab w:val="left" w:pos="2268"/>
          <w:tab w:val="left" w:pos="2835"/>
          <w:tab w:val="left" w:pos="8364"/>
        </w:tabs>
        <w:spacing w:after="240" w:line="240" w:lineRule="auto"/>
        <w:jc w:val="both"/>
        <w:rPr>
          <w:rFonts w:ascii="Arial" w:eastAsia="Arial" w:hAnsi="Arial" w:cs="Arial"/>
        </w:rPr>
      </w:pPr>
      <w:r>
        <w:rPr>
          <w:rFonts w:ascii="Arial" w:eastAsia="Arial" w:hAnsi="Arial" w:cs="Arial"/>
        </w:rPr>
        <w:t>Que el CONADIS conjuntamente con el Ministerio de Educación, Ministerio de la Mujer y Poblaciones vulnerables, Ministerio de Justicia y Derechos Humanos, Ministerio de Desarrollo e Inclusión Social, y el Ministerio de Cultura, se involucren en diversas acciones de promoción y defensa de los derechos  culturales y lingüísticos de la comunidad sorda signante.</w:t>
      </w:r>
    </w:p>
    <w:p w:rsidR="00FA771B" w:rsidRDefault="00000000">
      <w:pPr>
        <w:keepNext/>
        <w:keepLines/>
        <w:tabs>
          <w:tab w:val="right" w:pos="851"/>
        </w:tabs>
        <w:spacing w:before="360" w:after="240" w:line="270" w:lineRule="auto"/>
        <w:ind w:left="1134" w:right="157"/>
        <w:jc w:val="center"/>
        <w:rPr>
          <w:rFonts w:ascii="Arial" w:eastAsia="Arial" w:hAnsi="Arial" w:cs="Arial"/>
          <w:b/>
          <w:sz w:val="24"/>
          <w:szCs w:val="24"/>
        </w:rPr>
      </w:pPr>
      <w:r>
        <w:rPr>
          <w:rFonts w:ascii="Arial" w:eastAsia="Arial" w:hAnsi="Arial" w:cs="Arial"/>
          <w:b/>
          <w:sz w:val="24"/>
          <w:szCs w:val="24"/>
        </w:rPr>
        <w:lastRenderedPageBreak/>
        <w:t xml:space="preserve"> Cuestiones relativas a disposiciones específicas del Pacto (arts. 6 a 15)</w:t>
      </w:r>
    </w:p>
    <w:p w:rsidR="00FA771B" w:rsidRDefault="00000000">
      <w:pPr>
        <w:keepNext/>
        <w:keepLines/>
        <w:tabs>
          <w:tab w:val="right" w:pos="851"/>
        </w:tabs>
        <w:spacing w:before="240" w:after="120" w:line="240" w:lineRule="auto"/>
        <w:ind w:right="1134"/>
        <w:jc w:val="center"/>
        <w:rPr>
          <w:rFonts w:ascii="Arial" w:eastAsia="Arial" w:hAnsi="Arial" w:cs="Arial"/>
          <w:b/>
        </w:rPr>
      </w:pPr>
      <w:r>
        <w:rPr>
          <w:rFonts w:ascii="Arial" w:eastAsia="Arial" w:hAnsi="Arial" w:cs="Arial"/>
          <w:b/>
          <w:sz w:val="30"/>
          <w:szCs w:val="30"/>
        </w:rPr>
        <w:t xml:space="preserve">                   Derecho a trabajar (art. 6)</w:t>
      </w:r>
    </w:p>
    <w:p w:rsidR="00FA771B" w:rsidRDefault="00000000">
      <w:pPr>
        <w:keepNext/>
        <w:keepLines/>
        <w:tabs>
          <w:tab w:val="right" w:pos="851"/>
          <w:tab w:val="left" w:pos="8364"/>
        </w:tabs>
        <w:spacing w:after="240" w:line="240" w:lineRule="auto"/>
        <w:jc w:val="center"/>
      </w:pPr>
      <w:r>
        <w:rPr>
          <w:rFonts w:ascii="Arial" w:eastAsia="Arial" w:hAnsi="Arial" w:cs="Arial"/>
          <w:b/>
        </w:rPr>
        <w:t>Derecho a condiciones de trabajo equitativas y satisfactorias (art. 7)</w:t>
      </w:r>
    </w:p>
    <w:p w:rsidR="00FA771B" w:rsidRDefault="00000000">
      <w:pPr>
        <w:numPr>
          <w:ilvl w:val="0"/>
          <w:numId w:val="9"/>
        </w:numPr>
        <w:tabs>
          <w:tab w:val="left" w:pos="284"/>
          <w:tab w:val="left" w:pos="2268"/>
          <w:tab w:val="left" w:pos="2835"/>
          <w:tab w:val="left" w:pos="8364"/>
        </w:tabs>
        <w:spacing w:after="240" w:line="240" w:lineRule="auto"/>
        <w:ind w:left="0" w:firstLine="0"/>
        <w:jc w:val="both"/>
      </w:pPr>
      <w:r>
        <w:rPr>
          <w:rFonts w:ascii="Arial" w:eastAsia="Arial" w:hAnsi="Arial" w:cs="Arial"/>
        </w:rPr>
        <w:t>Las cifras indican que solo el 43,7% de las personas con discapacidad forman parte de la Población Económicamente Activa (PEA), en comparación con el 73,8% de la población sin discapacidad, una brecha de 30,1 puntos porcentuales</w:t>
      </w:r>
      <w:hyperlink r:id="rId10">
        <w:r>
          <w:rPr>
            <w:rFonts w:ascii="Arial" w:eastAsia="Arial" w:hAnsi="Arial" w:cs="Arial"/>
          </w:rPr>
          <w:t xml:space="preserve"> </w:t>
        </w:r>
      </w:hyperlink>
      <w:hyperlink r:id="rId11">
        <w:r>
          <w:rPr>
            <w:rFonts w:ascii="Arial" w:eastAsia="Arial" w:hAnsi="Arial" w:cs="Arial"/>
            <w:color w:val="1155CC"/>
            <w:u w:val="single"/>
          </w:rPr>
          <w:t>(</w:t>
        </w:r>
      </w:hyperlink>
      <w:hyperlink r:id="rId12">
        <w:r>
          <w:rPr>
            <w:rFonts w:ascii="Arial" w:eastAsia="Arial" w:hAnsi="Arial" w:cs="Arial"/>
            <w:color w:val="1155CC"/>
            <w:u w:val="single"/>
          </w:rPr>
          <w:t>INEI 2022</w:t>
        </w:r>
      </w:hyperlink>
      <w:hyperlink r:id="rId13">
        <w:r>
          <w:rPr>
            <w:rFonts w:ascii="Arial" w:eastAsia="Arial" w:hAnsi="Arial" w:cs="Arial"/>
            <w:color w:val="1155CC"/>
            <w:u w:val="single"/>
          </w:rPr>
          <w:t>).</w:t>
        </w:r>
      </w:hyperlink>
      <w:r>
        <w:rPr>
          <w:rFonts w:ascii="Arial" w:eastAsia="Arial" w:hAnsi="Arial" w:cs="Arial"/>
        </w:rPr>
        <w:t xml:space="preserve"> Este desfase pone en evidencia la ineficacia de las medidas actuales para promover la inserción de las personas con discapacidad en el empleo formal, especialmente aquellas desempleadas de larga duración. </w:t>
      </w:r>
    </w:p>
    <w:p w:rsidR="00FA771B" w:rsidRDefault="00000000">
      <w:pPr>
        <w:numPr>
          <w:ilvl w:val="0"/>
          <w:numId w:val="9"/>
        </w:numPr>
        <w:tabs>
          <w:tab w:val="left" w:pos="284"/>
          <w:tab w:val="left" w:pos="2268"/>
          <w:tab w:val="left" w:pos="2835"/>
          <w:tab w:val="left" w:pos="8364"/>
        </w:tabs>
        <w:spacing w:after="240" w:line="240" w:lineRule="auto"/>
        <w:ind w:left="0" w:firstLine="0"/>
        <w:jc w:val="both"/>
      </w:pPr>
      <w:r>
        <w:rPr>
          <w:rFonts w:ascii="Arial" w:eastAsia="Arial" w:hAnsi="Arial" w:cs="Arial"/>
        </w:rPr>
        <w:t xml:space="preserve">Pese a existir la obligación de contratar a personas con discapacidad, la cuota laboral (5% en el sector público y 3% en empresas privadas con más de 50 trabajadores) durante más de 10 años, esto no se cumple. </w:t>
      </w:r>
      <w:r>
        <w:rPr>
          <w:rFonts w:ascii="Arial" w:eastAsia="Arial" w:hAnsi="Arial" w:cs="Arial"/>
          <w:b/>
        </w:rPr>
        <w:t>Las organizaciones reportan que no existe una adecuada fiscalización de la cuota laboral</w:t>
      </w:r>
      <w:r>
        <w:rPr>
          <w:rFonts w:ascii="Arial" w:eastAsia="Arial" w:hAnsi="Arial" w:cs="Arial"/>
        </w:rPr>
        <w:t xml:space="preserve">, lo que agrava la situación. De acuerdo a información del Consejo Nacional para la Integración de la Persona con Discapacidad (CONADIS), en mayo del 2024, </w:t>
      </w:r>
      <w:hyperlink r:id="rId14">
        <w:r>
          <w:rPr>
            <w:rFonts w:ascii="Arial" w:eastAsia="Arial" w:hAnsi="Arial" w:cs="Arial"/>
            <w:color w:val="1155CC"/>
            <w:u w:val="single"/>
          </w:rPr>
          <w:t xml:space="preserve">esta entidad sancionó a los gobiernos regionales de Amazonas, Cajamarca, Huancavelica, Lambayeque y Pasco </w:t>
        </w:r>
      </w:hyperlink>
      <w:r>
        <w:rPr>
          <w:rFonts w:ascii="Arial" w:eastAsia="Arial" w:hAnsi="Arial" w:cs="Arial"/>
          <w:color w:val="26292E"/>
          <w:highlight w:val="white"/>
        </w:rPr>
        <w:t xml:space="preserve">con un total de S/ 309.000 por incumplir con la cuota laboral de personas con discapacidad. Así mismo, según </w:t>
      </w:r>
      <w:r>
        <w:rPr>
          <w:rFonts w:ascii="Arial" w:eastAsia="Arial" w:hAnsi="Arial" w:cs="Arial"/>
        </w:rPr>
        <w:t xml:space="preserve">información de la Superintendencia de Fiscalización Laboral (SUNAFIL), únicamente </w:t>
      </w:r>
      <w:hyperlink r:id="rId15">
        <w:r>
          <w:rPr>
            <w:rFonts w:ascii="Arial" w:eastAsia="Arial" w:hAnsi="Arial" w:cs="Arial"/>
            <w:color w:val="1155CC"/>
            <w:u w:val="single"/>
          </w:rPr>
          <w:t xml:space="preserve">170 empresas </w:t>
        </w:r>
      </w:hyperlink>
      <w:r>
        <w:rPr>
          <w:rFonts w:ascii="Arial" w:eastAsia="Arial" w:hAnsi="Arial" w:cs="Arial"/>
        </w:rPr>
        <w:t xml:space="preserve">cumplen con esta medida positiva. </w:t>
      </w:r>
    </w:p>
    <w:p w:rsidR="00FA771B" w:rsidRDefault="00000000">
      <w:pPr>
        <w:numPr>
          <w:ilvl w:val="0"/>
          <w:numId w:val="9"/>
        </w:numPr>
        <w:tabs>
          <w:tab w:val="left" w:pos="284"/>
          <w:tab w:val="left" w:pos="2268"/>
          <w:tab w:val="left" w:pos="2835"/>
          <w:tab w:val="left" w:pos="8364"/>
        </w:tabs>
        <w:spacing w:after="240" w:line="240" w:lineRule="auto"/>
        <w:ind w:left="0" w:firstLine="0"/>
        <w:jc w:val="both"/>
      </w:pPr>
      <w:r>
        <w:rPr>
          <w:rFonts w:ascii="Arial" w:eastAsia="Arial" w:hAnsi="Arial" w:cs="Arial"/>
        </w:rPr>
        <w:t>El ingreso promedio mensual de las personas con discapacidad es S/ 968,2 (lo que equivale a 255.93 USD), muy por debajo del ingreso promedio de S/ 1.499,0 (396.30 USD) de la población sin discapacidad (INEI 2022). La brecha salarial da cuenta de la desvalorización de las labores de las personas con discapacidad. Las organizaciones de personas con discapacidad han señalado la falta de un acompañamiento adecuado para la sostenibilidad del empleo y la carencia de capacitación en ajustes razonables, elementos fundamentales para garantizar un entorno laboral accesible.</w:t>
      </w:r>
    </w:p>
    <w:p w:rsidR="00FA771B" w:rsidRDefault="00000000">
      <w:pPr>
        <w:numPr>
          <w:ilvl w:val="0"/>
          <w:numId w:val="9"/>
        </w:numPr>
        <w:tabs>
          <w:tab w:val="left" w:pos="284"/>
          <w:tab w:val="left" w:pos="2268"/>
          <w:tab w:val="left" w:pos="2835"/>
          <w:tab w:val="left" w:pos="8364"/>
        </w:tabs>
        <w:spacing w:after="240" w:line="240" w:lineRule="auto"/>
        <w:ind w:left="0" w:firstLine="0"/>
        <w:jc w:val="both"/>
      </w:pPr>
      <w:r>
        <w:rPr>
          <w:rFonts w:ascii="Arial" w:eastAsia="Arial" w:hAnsi="Arial" w:cs="Arial"/>
        </w:rPr>
        <w:t xml:space="preserve">Respecto al </w:t>
      </w:r>
      <w:r>
        <w:rPr>
          <w:rFonts w:ascii="Arial" w:eastAsia="Arial" w:hAnsi="Arial" w:cs="Arial"/>
          <w:b/>
        </w:rPr>
        <w:t>empleo en el sector informal,</w:t>
      </w:r>
      <w:r>
        <w:rPr>
          <w:rFonts w:ascii="Arial" w:eastAsia="Arial" w:hAnsi="Arial" w:cs="Arial"/>
        </w:rPr>
        <w:t xml:space="preserve"> de acuerdo a la Encuesta Nacional de Hogares del 2022, el 87,4% de las personas con discapacidad trabaja en el sector informal, frente al 75,4% de personas sin discapacidad. Otro dato importante es que el </w:t>
      </w:r>
      <w:r>
        <w:rPr>
          <w:rFonts w:ascii="Arial" w:eastAsia="Arial" w:hAnsi="Arial" w:cs="Arial"/>
          <w:b/>
        </w:rPr>
        <w:t>50,9% de la PEA ocupada con discapacidad trabaja de manera independiente</w:t>
      </w:r>
      <w:r>
        <w:rPr>
          <w:rFonts w:ascii="Arial" w:eastAsia="Arial" w:hAnsi="Arial" w:cs="Arial"/>
        </w:rPr>
        <w:t>. Esta cifra refleja la ausencia de oportunidades en el acceso al trabajo dependiente. La sobrerrepresentación de las personas con discapacidad en el empleo informal tiene como consecuencia que enfrenten muy pocas probabilidades de acceder a una pensión digna. Esto las expone a una alta vulnerabilidad económica.</w:t>
      </w:r>
    </w:p>
    <w:p w:rsidR="00FA771B" w:rsidRDefault="00000000">
      <w:pPr>
        <w:numPr>
          <w:ilvl w:val="0"/>
          <w:numId w:val="9"/>
        </w:numPr>
        <w:tabs>
          <w:tab w:val="left" w:pos="129"/>
          <w:tab w:val="left" w:pos="2268"/>
          <w:tab w:val="left" w:pos="2835"/>
          <w:tab w:val="left" w:pos="8364"/>
        </w:tabs>
        <w:spacing w:after="240" w:line="240" w:lineRule="auto"/>
        <w:ind w:left="0" w:firstLine="0"/>
        <w:jc w:val="both"/>
      </w:pPr>
      <w:r>
        <w:rPr>
          <w:rFonts w:ascii="Arial" w:eastAsia="Arial" w:hAnsi="Arial" w:cs="Arial"/>
        </w:rPr>
        <w:t xml:space="preserve">Mientras tanto, los programas de prestación económica dirigidos a personas con discapacidad otorgados por el Estado no están vinculados con mecanismos que promuevan la inserción laboral efectiva de este grupo, replicando así los círculos de pobreza y exclusión. La pandemia de COVID-19 reveló con crudeza las brechas existentes en la protección laboral de las personas con discapacidad. A pesar de las medidas adoptadas por el gobierno para mitigar los impactos de la crisis sanitaria, como la implementación del trabajo remoto, estas no siempre beneficiaron a este grupo, especialmente en sectores donde sus labores eran operativas o manuales, lo que llevó a despidos o suspensiones contractuales amparadas en la figura de la "suspensión perfecta". </w:t>
      </w:r>
    </w:p>
    <w:p w:rsidR="00FA771B" w:rsidRDefault="00000000">
      <w:pPr>
        <w:tabs>
          <w:tab w:val="left" w:pos="129"/>
          <w:tab w:val="left" w:pos="2268"/>
          <w:tab w:val="left" w:pos="2835"/>
          <w:tab w:val="left" w:pos="8364"/>
        </w:tabs>
        <w:spacing w:after="240" w:line="240" w:lineRule="auto"/>
        <w:jc w:val="both"/>
      </w:pPr>
      <w:r>
        <w:rPr>
          <w:rFonts w:ascii="Arial" w:eastAsia="Arial" w:hAnsi="Arial" w:cs="Arial"/>
        </w:rPr>
        <w:lastRenderedPageBreak/>
        <w:t xml:space="preserve">Esta figura permitió a los empleadores suspender el vínculo laboral y el pago de salarios sin terminar el contrato, dejando a los trabajadores en una situación de vulnerabilidad económica. </w:t>
      </w:r>
    </w:p>
    <w:p w:rsidR="00FA771B" w:rsidRDefault="00000000">
      <w:pPr>
        <w:numPr>
          <w:ilvl w:val="0"/>
          <w:numId w:val="9"/>
        </w:numPr>
        <w:tabs>
          <w:tab w:val="left" w:pos="284"/>
          <w:tab w:val="left" w:pos="2268"/>
          <w:tab w:val="left" w:pos="2835"/>
          <w:tab w:val="left" w:pos="8364"/>
        </w:tabs>
        <w:spacing w:after="240" w:line="240" w:lineRule="auto"/>
        <w:ind w:left="0" w:firstLine="0"/>
        <w:jc w:val="both"/>
      </w:pPr>
      <w:r>
        <w:rPr>
          <w:rFonts w:ascii="Arial" w:eastAsia="Arial" w:hAnsi="Arial" w:cs="Arial"/>
        </w:rPr>
        <w:t xml:space="preserve">En conclusión, </w:t>
      </w:r>
      <w:r>
        <w:rPr>
          <w:rFonts w:ascii="Arial" w:eastAsia="Arial" w:hAnsi="Arial" w:cs="Arial"/>
          <w:b/>
        </w:rPr>
        <w:t>l</w:t>
      </w:r>
      <w:r>
        <w:rPr>
          <w:rFonts w:ascii="Arial" w:eastAsia="Arial" w:hAnsi="Arial" w:cs="Arial"/>
        </w:rPr>
        <w:t>as medidas adoptadas hasta el momento no han logrado revertir las desigualdades estructurales que afectan a las personas con discapacidad en el mercado laboral peruano. Las políticas actuales favorecen a quienes han tenido la oportunidad de incorporarse al empleo formal, mientras que las personas con discapacidad en el sector informal permanecen desprotegidas.</w:t>
      </w:r>
    </w:p>
    <w:p w:rsidR="00FA771B" w:rsidRDefault="00000000">
      <w:pPr>
        <w:tabs>
          <w:tab w:val="left" w:pos="284"/>
          <w:tab w:val="left" w:pos="2268"/>
          <w:tab w:val="left" w:pos="2835"/>
          <w:tab w:val="left" w:pos="8364"/>
        </w:tabs>
        <w:spacing w:after="240" w:line="240" w:lineRule="auto"/>
        <w:jc w:val="both"/>
        <w:rPr>
          <w:sz w:val="24"/>
          <w:szCs w:val="24"/>
        </w:rPr>
      </w:pPr>
      <w:r>
        <w:rPr>
          <w:rFonts w:ascii="Arial" w:eastAsia="Arial" w:hAnsi="Arial" w:cs="Arial"/>
          <w:b/>
          <w:color w:val="1F3763"/>
          <w:sz w:val="24"/>
          <w:szCs w:val="24"/>
        </w:rPr>
        <w:t>Por ello, sugerimos al Comité las siguientes recomendaciones:</w:t>
      </w:r>
    </w:p>
    <w:p w:rsidR="00FA771B" w:rsidRDefault="00000000">
      <w:pPr>
        <w:numPr>
          <w:ilvl w:val="0"/>
          <w:numId w:val="6"/>
        </w:numPr>
        <w:shd w:val="clear" w:color="auto" w:fill="FFFFFF"/>
        <w:tabs>
          <w:tab w:val="left" w:pos="1701"/>
          <w:tab w:val="left" w:pos="2268"/>
          <w:tab w:val="left" w:pos="2835"/>
          <w:tab w:val="left" w:pos="8364"/>
        </w:tabs>
        <w:spacing w:after="0" w:line="240" w:lineRule="auto"/>
        <w:jc w:val="both"/>
        <w:rPr>
          <w:rFonts w:ascii="Arial" w:eastAsia="Arial" w:hAnsi="Arial" w:cs="Arial"/>
          <w:color w:val="222222"/>
        </w:rPr>
      </w:pPr>
      <w:r>
        <w:rPr>
          <w:rFonts w:ascii="Arial" w:eastAsia="Arial" w:hAnsi="Arial" w:cs="Arial"/>
          <w:color w:val="222222"/>
        </w:rPr>
        <w:t>Adoptar medidas sostenibles desde el Estado para garantizar la empleabilidad de las personas con discapacidad que incluya capacitación en ajustes razonables, acompañamientos con apoyo y facilitar entornos laborales accesibles en los espacios de trabajo.</w:t>
      </w:r>
    </w:p>
    <w:p w:rsidR="00FA771B" w:rsidRDefault="00000000">
      <w:pPr>
        <w:numPr>
          <w:ilvl w:val="0"/>
          <w:numId w:val="6"/>
        </w:numPr>
        <w:shd w:val="clear" w:color="auto" w:fill="FFFFFF"/>
        <w:tabs>
          <w:tab w:val="left" w:pos="1701"/>
          <w:tab w:val="left" w:pos="2268"/>
          <w:tab w:val="left" w:pos="2835"/>
          <w:tab w:val="left" w:pos="8364"/>
        </w:tabs>
        <w:spacing w:after="0" w:line="240" w:lineRule="auto"/>
        <w:jc w:val="both"/>
        <w:rPr>
          <w:rFonts w:ascii="Arial" w:eastAsia="Arial" w:hAnsi="Arial" w:cs="Arial"/>
          <w:color w:val="222222"/>
        </w:rPr>
      </w:pPr>
      <w:r>
        <w:rPr>
          <w:rFonts w:ascii="Arial" w:eastAsia="Arial" w:hAnsi="Arial" w:cs="Arial"/>
          <w:color w:val="222222"/>
        </w:rPr>
        <w:t>Fiscalizar de manera adecuada las cuotas laborales, garantizando personal capacitado para realizar esta labor.</w:t>
      </w:r>
    </w:p>
    <w:p w:rsidR="00FA771B" w:rsidRDefault="00000000">
      <w:pPr>
        <w:numPr>
          <w:ilvl w:val="0"/>
          <w:numId w:val="6"/>
        </w:numPr>
        <w:shd w:val="clear" w:color="auto" w:fill="FFFFFF"/>
        <w:tabs>
          <w:tab w:val="left" w:pos="1701"/>
          <w:tab w:val="left" w:pos="2268"/>
          <w:tab w:val="left" w:pos="2835"/>
          <w:tab w:val="left" w:pos="8364"/>
        </w:tabs>
        <w:spacing w:after="0" w:line="240" w:lineRule="auto"/>
        <w:jc w:val="both"/>
        <w:rPr>
          <w:rFonts w:ascii="Arial" w:eastAsia="Arial" w:hAnsi="Arial" w:cs="Arial"/>
          <w:color w:val="222222"/>
        </w:rPr>
      </w:pPr>
      <w:r>
        <w:rPr>
          <w:rFonts w:ascii="Arial" w:eastAsia="Arial" w:hAnsi="Arial" w:cs="Arial"/>
          <w:color w:val="222222"/>
        </w:rPr>
        <w:t>Vincular los programas de protección social, como aquellos orientados a la prestaciones económicas, con programas que promuevan la autonomía y la inserción laboral de la población con discapacidad.</w:t>
      </w:r>
    </w:p>
    <w:p w:rsidR="00FA771B" w:rsidRDefault="00000000">
      <w:pPr>
        <w:numPr>
          <w:ilvl w:val="0"/>
          <w:numId w:val="6"/>
        </w:numPr>
        <w:shd w:val="clear" w:color="auto" w:fill="FFFFFF"/>
        <w:tabs>
          <w:tab w:val="left" w:pos="1701"/>
          <w:tab w:val="left" w:pos="2268"/>
          <w:tab w:val="left" w:pos="2835"/>
          <w:tab w:val="left" w:pos="8364"/>
        </w:tabs>
        <w:spacing w:after="0" w:line="240" w:lineRule="auto"/>
        <w:jc w:val="both"/>
        <w:rPr>
          <w:rFonts w:ascii="Arial" w:eastAsia="Arial" w:hAnsi="Arial" w:cs="Arial"/>
          <w:color w:val="222222"/>
        </w:rPr>
      </w:pPr>
      <w:r>
        <w:rPr>
          <w:rFonts w:ascii="Arial" w:eastAsia="Arial" w:hAnsi="Arial" w:cs="Arial"/>
          <w:color w:val="222222"/>
        </w:rPr>
        <w:t>Diseñar programas de promoción de   emprendimientos con la colaboración de la población con discapacidad que contenga información accesible y que responda a las necesidades de la comunidad de personas con discapacidad.</w:t>
      </w:r>
    </w:p>
    <w:p w:rsidR="00FA771B" w:rsidRDefault="00000000">
      <w:pPr>
        <w:numPr>
          <w:ilvl w:val="0"/>
          <w:numId w:val="6"/>
        </w:numPr>
        <w:shd w:val="clear" w:color="auto" w:fill="FFFFFF"/>
        <w:tabs>
          <w:tab w:val="left" w:pos="1701"/>
          <w:tab w:val="left" w:pos="2268"/>
          <w:tab w:val="left" w:pos="2835"/>
          <w:tab w:val="left" w:pos="8364"/>
        </w:tabs>
        <w:spacing w:after="240" w:line="240" w:lineRule="auto"/>
        <w:jc w:val="both"/>
        <w:rPr>
          <w:rFonts w:ascii="Arial" w:eastAsia="Arial" w:hAnsi="Arial" w:cs="Arial"/>
          <w:color w:val="222222"/>
        </w:rPr>
      </w:pPr>
      <w:r>
        <w:rPr>
          <w:rFonts w:ascii="Arial" w:eastAsia="Arial" w:hAnsi="Arial" w:cs="Arial"/>
          <w:color w:val="222222"/>
        </w:rPr>
        <w:t>Diseñar medidas de mitigación ante emergencias y sus impactos que contemplen una perspectiva de discapacidad.</w:t>
      </w:r>
    </w:p>
    <w:p w:rsidR="00FA771B" w:rsidRDefault="00FA771B">
      <w:pPr>
        <w:tabs>
          <w:tab w:val="left" w:pos="1701"/>
          <w:tab w:val="left" w:pos="2268"/>
          <w:tab w:val="left" w:pos="2835"/>
          <w:tab w:val="left" w:pos="8364"/>
        </w:tabs>
        <w:spacing w:after="240" w:line="240" w:lineRule="auto"/>
        <w:rPr>
          <w:rFonts w:ascii="Arial" w:eastAsia="Arial" w:hAnsi="Arial" w:cs="Arial"/>
          <w:b/>
          <w:sz w:val="30"/>
          <w:szCs w:val="30"/>
        </w:rPr>
      </w:pPr>
    </w:p>
    <w:p w:rsidR="00FA771B" w:rsidRDefault="00000000">
      <w:pPr>
        <w:tabs>
          <w:tab w:val="left" w:pos="1701"/>
          <w:tab w:val="left" w:pos="2268"/>
          <w:tab w:val="left" w:pos="2835"/>
          <w:tab w:val="left" w:pos="8364"/>
        </w:tabs>
        <w:spacing w:after="240" w:line="240" w:lineRule="auto"/>
        <w:jc w:val="center"/>
        <w:rPr>
          <w:rFonts w:ascii="Arial" w:eastAsia="Arial" w:hAnsi="Arial" w:cs="Arial"/>
          <w:sz w:val="30"/>
          <w:szCs w:val="30"/>
        </w:rPr>
      </w:pPr>
      <w:r>
        <w:rPr>
          <w:rFonts w:ascii="Arial" w:eastAsia="Arial" w:hAnsi="Arial" w:cs="Arial"/>
          <w:b/>
          <w:sz w:val="30"/>
          <w:szCs w:val="30"/>
        </w:rPr>
        <w:t>Derecho a la seguridad social (art. 9)</w:t>
      </w:r>
    </w:p>
    <w:p w:rsidR="00FA771B" w:rsidRDefault="00000000">
      <w:pPr>
        <w:numPr>
          <w:ilvl w:val="0"/>
          <w:numId w:val="9"/>
        </w:numPr>
        <w:tabs>
          <w:tab w:val="left" w:pos="426"/>
          <w:tab w:val="left" w:pos="2268"/>
          <w:tab w:val="left" w:pos="2835"/>
          <w:tab w:val="left" w:pos="8364"/>
        </w:tabs>
        <w:spacing w:after="240" w:line="240" w:lineRule="auto"/>
        <w:ind w:left="0" w:firstLine="0"/>
        <w:jc w:val="both"/>
      </w:pPr>
      <w:r>
        <w:rPr>
          <w:rFonts w:ascii="Arial" w:eastAsia="Arial" w:hAnsi="Arial" w:cs="Arial"/>
        </w:rPr>
        <w:t xml:space="preserve"> Impacto de las Crisis Contemporáneas en la Protección Social para Personas con Discapacidad: el contexto de la protección social en el Perú, la pandemia de COVID-19 y las crisis energética y alimentaria han exacerbado las dificultades para garantizar que las personas con discapacidad accedan a prestaciones adecuadas. Según el informe de Sodis “Protección Social y Discapacidad: Deficiencias del Sistema Peruano y Recomendaciones para una Inclusión Efectiva de las Personas con Discapacidad”</w:t>
      </w:r>
      <w:r>
        <w:rPr>
          <w:rFonts w:ascii="Arial" w:eastAsia="Arial" w:hAnsi="Arial" w:cs="Arial"/>
          <w:vertAlign w:val="superscript"/>
        </w:rPr>
        <w:footnoteReference w:id="3"/>
      </w:r>
      <w:r>
        <w:rPr>
          <w:rFonts w:ascii="Arial" w:eastAsia="Arial" w:hAnsi="Arial" w:cs="Arial"/>
        </w:rPr>
        <w:t>, se identifican varias barreras y deficiencias que limitan la cobertura y efectividad de la  protección social para este grupo. La cobertura de las pensiones sigue siendo insuficiente, con solo un 26% de personas con discapacidad accediendo a protección previsional. Este problema es especialmente agudo en las zonas rurales, donde la cobertura es solo del 6,5%.</w:t>
      </w:r>
    </w:p>
    <w:p w:rsidR="00FA771B" w:rsidRDefault="00000000">
      <w:pPr>
        <w:numPr>
          <w:ilvl w:val="0"/>
          <w:numId w:val="9"/>
        </w:numPr>
        <w:tabs>
          <w:tab w:val="left" w:pos="426"/>
          <w:tab w:val="left" w:pos="2268"/>
          <w:tab w:val="left" w:pos="2835"/>
          <w:tab w:val="left" w:pos="8364"/>
        </w:tabs>
        <w:spacing w:after="240" w:line="240" w:lineRule="auto"/>
        <w:ind w:left="0" w:firstLine="0"/>
        <w:jc w:val="both"/>
      </w:pPr>
      <w:r>
        <w:rPr>
          <w:rFonts w:ascii="Arial" w:eastAsia="Arial" w:hAnsi="Arial" w:cs="Arial"/>
        </w:rPr>
        <w:t xml:space="preserve"> Deficiencias en la Cobertura de Protección Previsional para Personas con Discapacidad:  los sistemas contributivos, la discapacidad se sigue entendiendo desde  un enfoque médico. Este diseño ha concentrado su respuesta en la  "incapacidad para trabajar" de las personas, dejando desatendidas el cambio de grupo ocupacional, la </w:t>
      </w:r>
      <w:r>
        <w:rPr>
          <w:rFonts w:ascii="Arial" w:eastAsia="Arial" w:hAnsi="Arial" w:cs="Arial"/>
        </w:rPr>
        <w:lastRenderedPageBreak/>
        <w:t xml:space="preserve">reubicación o cualquier otra medida que promueva cuando no garantice la continuidad laboral.  </w:t>
      </w:r>
    </w:p>
    <w:p w:rsidR="00FA771B" w:rsidRDefault="00000000">
      <w:pPr>
        <w:numPr>
          <w:ilvl w:val="0"/>
          <w:numId w:val="9"/>
        </w:numPr>
        <w:tabs>
          <w:tab w:val="left" w:pos="426"/>
          <w:tab w:val="left" w:pos="2268"/>
          <w:tab w:val="left" w:pos="2835"/>
          <w:tab w:val="left" w:pos="8364"/>
        </w:tabs>
        <w:spacing w:after="240" w:line="240" w:lineRule="auto"/>
        <w:ind w:left="0" w:firstLine="0"/>
        <w:jc w:val="both"/>
      </w:pPr>
      <w:r>
        <w:rPr>
          <w:rFonts w:ascii="Arial" w:eastAsia="Arial" w:hAnsi="Arial" w:cs="Arial"/>
        </w:rPr>
        <w:t xml:space="preserve"> Perspectiva Médica y Barreras en los Sistemas Contributivos: las  pensiones por "incapacidad para el trabajo" se sustentan en una discapacidad sobreviniente, tanto en el sistema público como en el privado, exigen como requisito determinante la ”incapacidad para  trabajar” certificada, la que debe ser o establecerse como definitiva, lo que implica que para conservar la pensión la persona tiene prohibido realizar actividades laborales de cualquier índole de manera formal. Si bien se admite un período de suspensión de la pensión para realizar actividades laborales, este es demasiado corto y el procedimiento para recuperar la condición de pensionista por “incapacidad para el trabajo”, es lento. Esta situación desincentiva la reintegración laboral y, en muchos casos, obliga a las personas a mantenerse en situación de desempleo.</w:t>
      </w:r>
    </w:p>
    <w:p w:rsidR="00FA771B" w:rsidRDefault="00000000">
      <w:pPr>
        <w:numPr>
          <w:ilvl w:val="0"/>
          <w:numId w:val="9"/>
        </w:numPr>
        <w:tabs>
          <w:tab w:val="left" w:pos="426"/>
          <w:tab w:val="left" w:pos="2268"/>
          <w:tab w:val="left" w:pos="2835"/>
          <w:tab w:val="left" w:pos="8364"/>
        </w:tabs>
        <w:spacing w:after="240" w:line="240" w:lineRule="auto"/>
        <w:ind w:left="0" w:firstLine="0"/>
        <w:jc w:val="both"/>
      </w:pPr>
      <w:r>
        <w:rPr>
          <w:rFonts w:ascii="Arial" w:eastAsia="Arial" w:hAnsi="Arial" w:cs="Arial"/>
        </w:rPr>
        <w:t>Lo mismo ocurre con las pensiones de orfandad. Si bien la Ley General de Personas con Discapacidad establece que las personas con discapacidad mayores de edad solo pierden el beneficio si perciben más de dos remuneraciones mínimas vitales, esta continúa siendo una restricción importante, pues no considera los costos elevados que afrontan las personas con discapacidad.</w:t>
      </w:r>
    </w:p>
    <w:p w:rsidR="00FA771B" w:rsidRDefault="00000000">
      <w:pPr>
        <w:numPr>
          <w:ilvl w:val="0"/>
          <w:numId w:val="9"/>
        </w:numPr>
        <w:tabs>
          <w:tab w:val="left" w:pos="426"/>
          <w:tab w:val="left" w:pos="2268"/>
          <w:tab w:val="left" w:pos="2835"/>
          <w:tab w:val="left" w:pos="8364"/>
        </w:tabs>
        <w:spacing w:after="240" w:line="240" w:lineRule="auto"/>
        <w:ind w:left="0" w:firstLine="0"/>
        <w:jc w:val="both"/>
        <w:rPr>
          <w:rFonts w:ascii="Arial" w:eastAsia="Arial" w:hAnsi="Arial" w:cs="Arial"/>
        </w:rPr>
      </w:pPr>
      <w:r>
        <w:rPr>
          <w:rFonts w:ascii="Arial" w:eastAsia="Arial" w:hAnsi="Arial" w:cs="Arial"/>
        </w:rPr>
        <w:t xml:space="preserve">  La Capacidad Jurídica y Acceso Condicionado a Pensiones: en el informe de SODIS sobre el "Derecho a la Capacidad Jurídica de las Personas con Discapacidad en el Perú"</w:t>
      </w:r>
      <w:r>
        <w:rPr>
          <w:rFonts w:ascii="Arial" w:eastAsia="Arial" w:hAnsi="Arial" w:cs="Arial"/>
          <w:vertAlign w:val="superscript"/>
        </w:rPr>
        <w:footnoteReference w:id="4"/>
      </w:r>
      <w:r>
        <w:rPr>
          <w:rFonts w:ascii="Arial" w:eastAsia="Arial" w:hAnsi="Arial" w:cs="Arial"/>
        </w:rPr>
        <w:t xml:space="preserve"> se señala que, a pesar de las reformas legales que reconocen la capacidad jurídica de las personas con discapacidad y su derecho a tomar decisiones sobre su propia vida, el acceso a pensiones sigue condicionado a que las personas inicien procesos legales para designar apoyos para la toma de decisiones que sea válidas legalmente, de modo que la o las personas designadas como apoyos administren la pensión. Así se configura una violación del derecho a la capacidad jurídica de la persona con discapacidad a través de la obligación de renunciar a ella para obtener su pensión, a ser administrada por otra persona.</w:t>
      </w:r>
    </w:p>
    <w:p w:rsidR="00FA771B" w:rsidRDefault="00000000">
      <w:pPr>
        <w:tabs>
          <w:tab w:val="left" w:pos="426"/>
          <w:tab w:val="left" w:pos="2268"/>
          <w:tab w:val="left" w:pos="2835"/>
          <w:tab w:val="left" w:pos="8364"/>
        </w:tabs>
        <w:spacing w:after="240" w:line="240" w:lineRule="auto"/>
        <w:rPr>
          <w:b/>
          <w:sz w:val="26"/>
          <w:szCs w:val="26"/>
        </w:rPr>
      </w:pPr>
      <w:r>
        <w:rPr>
          <w:b/>
          <w:sz w:val="26"/>
          <w:szCs w:val="26"/>
        </w:rPr>
        <w:t>Programas no contributivos y la falta de consideración de los costos adicionales relacionados con la discapacidad y la medición de la pobreza</w:t>
      </w:r>
    </w:p>
    <w:p w:rsidR="00FA771B" w:rsidRDefault="00000000">
      <w:pPr>
        <w:numPr>
          <w:ilvl w:val="0"/>
          <w:numId w:val="9"/>
        </w:numPr>
        <w:tabs>
          <w:tab w:val="left" w:pos="426"/>
          <w:tab w:val="left" w:pos="2268"/>
          <w:tab w:val="left" w:pos="2835"/>
          <w:tab w:val="left" w:pos="8364"/>
        </w:tabs>
        <w:spacing w:after="240" w:line="240" w:lineRule="auto"/>
        <w:ind w:left="0" w:firstLine="0"/>
        <w:jc w:val="both"/>
      </w:pPr>
      <w:r>
        <w:rPr>
          <w:rFonts w:ascii="Arial" w:eastAsia="Arial" w:hAnsi="Arial" w:cs="Arial"/>
        </w:rPr>
        <w:t>El acceso a programas no contributivos, como el Programa Contigo, está condicionado a la calificación de pobreza extrema según el SISFOH, que no considera los costos adicionales que enfrentan las personas con discapacidad. Este programa otorga 300 soles (80.20 USD) bimestrales solo a quienes tienen "discapacidad severa" y están desempleados, excluyendo otros factores de pobreza relacionados con la discapacidad. Además, el monto es insuficiente y se entrega cada dos meses, complicando aún más la situación económica de los beneficiarios.</w:t>
      </w:r>
    </w:p>
    <w:p w:rsidR="00FA771B" w:rsidRDefault="00000000">
      <w:pPr>
        <w:numPr>
          <w:ilvl w:val="0"/>
          <w:numId w:val="9"/>
        </w:numPr>
        <w:tabs>
          <w:tab w:val="left" w:pos="426"/>
          <w:tab w:val="left" w:pos="2268"/>
          <w:tab w:val="left" w:pos="2835"/>
          <w:tab w:val="left" w:pos="8364"/>
        </w:tabs>
        <w:spacing w:after="240" w:line="240" w:lineRule="auto"/>
        <w:ind w:left="0" w:firstLine="0"/>
        <w:jc w:val="both"/>
      </w:pPr>
      <w:r>
        <w:rPr>
          <w:rFonts w:ascii="Arial" w:eastAsia="Arial" w:hAnsi="Arial" w:cs="Arial"/>
        </w:rPr>
        <w:t xml:space="preserve">Salvo acciones específicas del Programa Contigo, que  ha buscado articular sus beneficios con el acceso a otros servicios, en general, los demás  programas diseñados como respuestas de protección social, no vinculan sus prestaciones económicas con otro tipo de servicios educativos o de formación para el trabajo. </w:t>
      </w:r>
    </w:p>
    <w:p w:rsidR="00FA771B" w:rsidRDefault="00000000">
      <w:pPr>
        <w:numPr>
          <w:ilvl w:val="0"/>
          <w:numId w:val="9"/>
        </w:numPr>
        <w:tabs>
          <w:tab w:val="left" w:pos="426"/>
          <w:tab w:val="left" w:pos="2268"/>
          <w:tab w:val="left" w:pos="2835"/>
          <w:tab w:val="left" w:pos="8364"/>
        </w:tabs>
        <w:spacing w:after="240" w:line="240" w:lineRule="auto"/>
        <w:ind w:left="0" w:firstLine="0"/>
        <w:jc w:val="both"/>
      </w:pPr>
      <w:r>
        <w:rPr>
          <w:rFonts w:ascii="Arial" w:eastAsia="Arial" w:hAnsi="Arial" w:cs="Arial"/>
        </w:rPr>
        <w:t>El sistema de protección social en Perú se caracteriza por una sobre concentración en prestaciones económicas, dejando de lado otros servicios necesarios para la vida independiente, como la formación laboral, la rehabilitación,  el fortalecimiento socio-</w:t>
      </w:r>
      <w:r>
        <w:rPr>
          <w:rFonts w:ascii="Arial" w:eastAsia="Arial" w:hAnsi="Arial" w:cs="Arial"/>
        </w:rPr>
        <w:lastRenderedPageBreak/>
        <w:t xml:space="preserve">comunitario o desarrollo de comunidades que le den sostenibilidad a las medidas y otros servicios de atención. Esta situación perpetúa la dependencia y no promueve la inclusión. </w:t>
      </w:r>
    </w:p>
    <w:p w:rsidR="00FA771B" w:rsidRDefault="00000000">
      <w:pPr>
        <w:tabs>
          <w:tab w:val="left" w:pos="426"/>
          <w:tab w:val="left" w:pos="2268"/>
          <w:tab w:val="left" w:pos="2835"/>
          <w:tab w:val="left" w:pos="8364"/>
        </w:tabs>
        <w:spacing w:after="240" w:line="240" w:lineRule="auto"/>
        <w:rPr>
          <w:b/>
          <w:sz w:val="26"/>
          <w:szCs w:val="26"/>
        </w:rPr>
      </w:pPr>
      <w:r>
        <w:rPr>
          <w:b/>
          <w:sz w:val="26"/>
          <w:szCs w:val="26"/>
        </w:rPr>
        <w:t>Barreras administrativas y técnicas en los trámites de certificación de la discapacidad</w:t>
      </w:r>
    </w:p>
    <w:p w:rsidR="00FA771B" w:rsidRDefault="00000000">
      <w:pPr>
        <w:numPr>
          <w:ilvl w:val="0"/>
          <w:numId w:val="9"/>
        </w:numPr>
        <w:tabs>
          <w:tab w:val="left" w:pos="426"/>
          <w:tab w:val="left" w:pos="2268"/>
          <w:tab w:val="left" w:pos="2835"/>
          <w:tab w:val="left" w:pos="8364"/>
        </w:tabs>
        <w:spacing w:after="240" w:line="240" w:lineRule="auto"/>
        <w:ind w:left="0" w:firstLine="0"/>
        <w:jc w:val="both"/>
      </w:pPr>
      <w:r>
        <w:rPr>
          <w:rFonts w:ascii="Arial" w:eastAsia="Arial" w:hAnsi="Arial" w:cs="Arial"/>
        </w:rPr>
        <w:t>Finalmente, y en tanto la certificación de la discapacidad es un requisito en el país para el acceso a servicios, un indicador importante de la incorporación del enfoque de discapacidad con perspectiva interseccional en el sistema nacional de cuidados y apoyo amplio o ampliado lo constituye  la eliminación de barreras administrativas y técnicas que enfrentan las personas con discapacidad para la certificación.</w:t>
      </w:r>
    </w:p>
    <w:p w:rsidR="00FA771B" w:rsidRDefault="00000000">
      <w:pPr>
        <w:numPr>
          <w:ilvl w:val="0"/>
          <w:numId w:val="9"/>
        </w:numPr>
        <w:tabs>
          <w:tab w:val="left" w:pos="426"/>
          <w:tab w:val="left" w:pos="2268"/>
          <w:tab w:val="left" w:pos="2835"/>
          <w:tab w:val="left" w:pos="8364"/>
        </w:tabs>
        <w:spacing w:after="240" w:line="240" w:lineRule="auto"/>
        <w:ind w:left="0" w:firstLine="0"/>
        <w:jc w:val="both"/>
      </w:pPr>
      <w:r>
        <w:rPr>
          <w:rFonts w:ascii="Arial" w:eastAsia="Arial" w:hAnsi="Arial" w:cs="Arial"/>
        </w:rPr>
        <w:t>La certificación de la discapacidad  está a cargo de  profesionales (médicos certificadores),  especialidad de muy baja disponibilidad en el mercado y que por la naturaleza de su trabajo sólo están disponibles en Lima y en algunas ciudades capitales de regiones, de manera que no suelen estar disponibles en establecimientos del primer nivel de atención y en zonas alejadas, lo que perjudica a personas viviendo en zonas rurales o con acceso restringido al transporte comercial. Aunque existe la opción de certificarse de manera privada, esta opción resulta de costo alto por su estrecha vinculación con evaluaciones muy especializadas en caso la discapacidad no sea indiscutiblemente evidente.</w:t>
      </w:r>
    </w:p>
    <w:p w:rsidR="00FA771B" w:rsidRDefault="00000000">
      <w:pPr>
        <w:numPr>
          <w:ilvl w:val="0"/>
          <w:numId w:val="9"/>
        </w:numPr>
        <w:tabs>
          <w:tab w:val="left" w:pos="426"/>
          <w:tab w:val="left" w:pos="2268"/>
          <w:tab w:val="left" w:pos="2835"/>
          <w:tab w:val="left" w:pos="8364"/>
        </w:tabs>
        <w:spacing w:after="240" w:line="240" w:lineRule="auto"/>
        <w:ind w:left="0" w:firstLine="0"/>
        <w:jc w:val="both"/>
        <w:rPr>
          <w:rFonts w:ascii="Arial" w:eastAsia="Arial" w:hAnsi="Arial" w:cs="Arial"/>
        </w:rPr>
      </w:pPr>
      <w:r>
        <w:rPr>
          <w:rFonts w:ascii="Arial" w:eastAsia="Arial" w:hAnsi="Arial" w:cs="Arial"/>
        </w:rPr>
        <w:t>El certificado no identifica las necesidades de apoyo de cada persona con discapacidad para conectarla con otros servicios necesarios. Las entidades del Estado continúan dedicando esfuerzos para promover la certificación sin dar información clara ni solucionar los grandes problemas de fondo.</w:t>
      </w:r>
    </w:p>
    <w:p w:rsidR="00FA771B" w:rsidRDefault="00000000">
      <w:pPr>
        <w:tabs>
          <w:tab w:val="left" w:pos="426"/>
          <w:tab w:val="left" w:pos="2268"/>
          <w:tab w:val="left" w:pos="2835"/>
          <w:tab w:val="left" w:pos="8364"/>
        </w:tabs>
        <w:spacing w:after="240" w:line="240" w:lineRule="auto"/>
        <w:jc w:val="both"/>
        <w:rPr>
          <w:rFonts w:ascii="Arial" w:eastAsia="Arial" w:hAnsi="Arial" w:cs="Arial"/>
          <w:b/>
        </w:rPr>
      </w:pPr>
      <w:r>
        <w:rPr>
          <w:rFonts w:ascii="Arial" w:eastAsia="Arial" w:hAnsi="Arial" w:cs="Arial"/>
          <w:b/>
          <w:color w:val="1F3763"/>
        </w:rPr>
        <w:t>Por ello, sugerimos al Comité las siguientes recomendaciones:</w:t>
      </w:r>
    </w:p>
    <w:p w:rsidR="00FA771B" w:rsidRDefault="00000000">
      <w:pPr>
        <w:numPr>
          <w:ilvl w:val="0"/>
          <w:numId w:val="7"/>
        </w:numPr>
        <w:tabs>
          <w:tab w:val="left" w:pos="1701"/>
          <w:tab w:val="left" w:pos="2268"/>
          <w:tab w:val="left" w:pos="2835"/>
          <w:tab w:val="left" w:pos="8364"/>
        </w:tabs>
        <w:spacing w:after="0" w:line="240" w:lineRule="auto"/>
        <w:jc w:val="both"/>
        <w:rPr>
          <w:rFonts w:ascii="Arial" w:eastAsia="Arial" w:hAnsi="Arial" w:cs="Arial"/>
        </w:rPr>
      </w:pPr>
      <w:r>
        <w:rPr>
          <w:rFonts w:ascii="Arial" w:eastAsia="Arial" w:hAnsi="Arial" w:cs="Arial"/>
        </w:rPr>
        <w:t>Realizar una nueva encuesta que supere las limitaciones de la de 2012 y permita un análisis más detallado de las realidades de las personas con discapacidad para diseñar políticas públicas inclusivas y efectivas.</w:t>
      </w:r>
    </w:p>
    <w:p w:rsidR="00FA771B" w:rsidRDefault="00000000">
      <w:pPr>
        <w:numPr>
          <w:ilvl w:val="0"/>
          <w:numId w:val="7"/>
        </w:numPr>
        <w:tabs>
          <w:tab w:val="left" w:pos="426"/>
          <w:tab w:val="left" w:pos="2268"/>
          <w:tab w:val="left" w:pos="2835"/>
          <w:tab w:val="left" w:pos="8364"/>
        </w:tabs>
        <w:spacing w:after="0" w:line="240" w:lineRule="auto"/>
        <w:jc w:val="both"/>
        <w:rPr>
          <w:rFonts w:ascii="Arial" w:eastAsia="Arial" w:hAnsi="Arial" w:cs="Arial"/>
        </w:rPr>
      </w:pPr>
      <w:r>
        <w:rPr>
          <w:rFonts w:ascii="Arial" w:eastAsia="Arial" w:hAnsi="Arial" w:cs="Arial"/>
        </w:rPr>
        <w:t>Incorporar los extra costos dentro del diseño de los programas de protección social. Asimismo, es crucial que el Sistema de Focalización de Hogares incluya la variable de discapacidad para la evaluación de los hogares en situación de pobreza.</w:t>
      </w:r>
    </w:p>
    <w:p w:rsidR="00FA771B" w:rsidRDefault="00000000">
      <w:pPr>
        <w:numPr>
          <w:ilvl w:val="0"/>
          <w:numId w:val="7"/>
        </w:numPr>
        <w:tabs>
          <w:tab w:val="left" w:pos="426"/>
          <w:tab w:val="left" w:pos="2268"/>
          <w:tab w:val="left" w:pos="2835"/>
          <w:tab w:val="left" w:pos="8364"/>
        </w:tabs>
        <w:spacing w:after="240" w:line="240" w:lineRule="auto"/>
        <w:jc w:val="both"/>
        <w:rPr>
          <w:rFonts w:ascii="Arial" w:eastAsia="Arial" w:hAnsi="Arial" w:cs="Arial"/>
        </w:rPr>
      </w:pPr>
      <w:r>
        <w:rPr>
          <w:rFonts w:ascii="Arial" w:eastAsia="Arial" w:hAnsi="Arial" w:cs="Arial"/>
        </w:rPr>
        <w:t>Vincular a los beneficiarios de programas sociales con servicios que impulsen su autonomía, como capacitación laboral, apoyo integral y un sistema centralizado de información accesible sobre beneficios.</w:t>
      </w:r>
    </w:p>
    <w:p w:rsidR="00FA771B" w:rsidRDefault="00FA771B">
      <w:pPr>
        <w:tabs>
          <w:tab w:val="left" w:pos="1701"/>
          <w:tab w:val="left" w:pos="2268"/>
          <w:tab w:val="left" w:pos="2835"/>
          <w:tab w:val="left" w:pos="8364"/>
        </w:tabs>
        <w:spacing w:after="240" w:line="240" w:lineRule="auto"/>
        <w:ind w:left="720"/>
        <w:jc w:val="both"/>
        <w:rPr>
          <w:rFonts w:ascii="Arial" w:eastAsia="Arial" w:hAnsi="Arial" w:cs="Arial"/>
        </w:rPr>
      </w:pPr>
    </w:p>
    <w:p w:rsidR="00FA771B" w:rsidRDefault="00000000">
      <w:pPr>
        <w:keepNext/>
        <w:keepLines/>
        <w:tabs>
          <w:tab w:val="right" w:pos="851"/>
          <w:tab w:val="left" w:pos="8364"/>
        </w:tabs>
        <w:spacing w:after="240" w:line="240" w:lineRule="auto"/>
        <w:jc w:val="center"/>
        <w:rPr>
          <w:rFonts w:ascii="Arial" w:eastAsia="Arial" w:hAnsi="Arial" w:cs="Arial"/>
          <w:b/>
          <w:sz w:val="30"/>
          <w:szCs w:val="30"/>
        </w:rPr>
      </w:pPr>
      <w:r>
        <w:rPr>
          <w:rFonts w:ascii="Arial" w:eastAsia="Arial" w:hAnsi="Arial" w:cs="Arial"/>
          <w:b/>
          <w:sz w:val="30"/>
          <w:szCs w:val="30"/>
        </w:rPr>
        <w:t>Protección de la familia y el niño (art. 10)</w:t>
      </w:r>
    </w:p>
    <w:p w:rsidR="00FA771B" w:rsidRDefault="00000000">
      <w:pPr>
        <w:numPr>
          <w:ilvl w:val="0"/>
          <w:numId w:val="9"/>
        </w:numPr>
        <w:tabs>
          <w:tab w:val="left" w:pos="1701"/>
          <w:tab w:val="left" w:pos="2268"/>
          <w:tab w:val="left" w:pos="2835"/>
        </w:tabs>
        <w:spacing w:after="0" w:line="276" w:lineRule="auto"/>
        <w:ind w:left="0" w:right="16"/>
        <w:jc w:val="both"/>
        <w:rPr>
          <w:rFonts w:ascii="Arial" w:eastAsia="Arial" w:hAnsi="Arial" w:cs="Arial"/>
        </w:rPr>
      </w:pPr>
      <w:r>
        <w:rPr>
          <w:rFonts w:ascii="Arial" w:eastAsia="Arial" w:hAnsi="Arial" w:cs="Arial"/>
        </w:rPr>
        <w:t xml:space="preserve"> En el Perú, históricamente, las personas con discapacidad han sido consideradas como objetos de cuidado y excluidas del diseño de políticas y sistemas que garanticen su autonomía y su derecho a vivir de forma independiente. </w:t>
      </w:r>
    </w:p>
    <w:p w:rsidR="00FA771B" w:rsidRDefault="00FA771B">
      <w:pPr>
        <w:tabs>
          <w:tab w:val="left" w:pos="1701"/>
          <w:tab w:val="left" w:pos="2268"/>
          <w:tab w:val="left" w:pos="2835"/>
        </w:tabs>
        <w:spacing w:after="0" w:line="276" w:lineRule="auto"/>
        <w:ind w:right="16" w:hanging="360"/>
        <w:jc w:val="both"/>
        <w:rPr>
          <w:rFonts w:ascii="Arial" w:eastAsia="Arial" w:hAnsi="Arial" w:cs="Arial"/>
        </w:rPr>
      </w:pPr>
    </w:p>
    <w:p w:rsidR="00FA771B" w:rsidRDefault="00000000">
      <w:pPr>
        <w:numPr>
          <w:ilvl w:val="0"/>
          <w:numId w:val="9"/>
        </w:numPr>
        <w:tabs>
          <w:tab w:val="left" w:pos="1701"/>
          <w:tab w:val="left" w:pos="2268"/>
          <w:tab w:val="left" w:pos="2835"/>
        </w:tabs>
        <w:spacing w:after="0" w:line="276" w:lineRule="auto"/>
        <w:ind w:left="0" w:right="16"/>
        <w:jc w:val="both"/>
        <w:rPr>
          <w:rFonts w:ascii="Arial" w:eastAsia="Arial" w:hAnsi="Arial" w:cs="Arial"/>
        </w:rPr>
      </w:pPr>
      <w:r>
        <w:rPr>
          <w:rFonts w:ascii="Arial" w:eastAsia="Arial" w:hAnsi="Arial" w:cs="Arial"/>
        </w:rPr>
        <w:t xml:space="preserve"> No existen servicios públicos de asistencia personal, y los programas que pudieran abordar estas necesidades son escasos.</w:t>
      </w:r>
    </w:p>
    <w:p w:rsidR="00FA771B" w:rsidRDefault="00FA771B">
      <w:pPr>
        <w:tabs>
          <w:tab w:val="left" w:pos="1701"/>
          <w:tab w:val="left" w:pos="2268"/>
          <w:tab w:val="left" w:pos="2835"/>
        </w:tabs>
        <w:spacing w:after="0" w:line="276" w:lineRule="auto"/>
        <w:ind w:right="16" w:hanging="360"/>
        <w:jc w:val="both"/>
        <w:rPr>
          <w:rFonts w:ascii="Arial" w:eastAsia="Arial" w:hAnsi="Arial" w:cs="Arial"/>
        </w:rPr>
      </w:pPr>
    </w:p>
    <w:p w:rsidR="00FA771B" w:rsidRDefault="00000000">
      <w:pPr>
        <w:numPr>
          <w:ilvl w:val="0"/>
          <w:numId w:val="9"/>
        </w:numPr>
        <w:tabs>
          <w:tab w:val="left" w:pos="1701"/>
          <w:tab w:val="left" w:pos="2268"/>
          <w:tab w:val="left" w:pos="2835"/>
        </w:tabs>
        <w:spacing w:after="0" w:line="276" w:lineRule="auto"/>
        <w:ind w:left="0" w:right="16"/>
        <w:jc w:val="both"/>
        <w:rPr>
          <w:rFonts w:ascii="Arial" w:eastAsia="Arial" w:hAnsi="Arial" w:cs="Arial"/>
        </w:rPr>
      </w:pPr>
      <w:r>
        <w:rPr>
          <w:rFonts w:ascii="Arial" w:eastAsia="Arial" w:hAnsi="Arial" w:cs="Arial"/>
        </w:rPr>
        <w:lastRenderedPageBreak/>
        <w:t xml:space="preserve"> Aunque los niños y niñas requieren mayores apoyos en su etapa de desarrollo, la ausencia de servicios que promuevan su autonomía afecta también a sus familias, especialmente a las mujeres, quienes asumen de manera desproporcionada las tareas de cuidado. Esto genera una sobrecarga que impacta en su bienestar, economía y calidad de vida.</w:t>
      </w:r>
    </w:p>
    <w:p w:rsidR="00FA771B" w:rsidRDefault="00FA771B">
      <w:pPr>
        <w:tabs>
          <w:tab w:val="left" w:pos="1701"/>
          <w:tab w:val="left" w:pos="2268"/>
          <w:tab w:val="left" w:pos="2835"/>
        </w:tabs>
        <w:spacing w:after="0" w:line="276" w:lineRule="auto"/>
        <w:ind w:right="16" w:hanging="360"/>
        <w:jc w:val="both"/>
        <w:rPr>
          <w:rFonts w:ascii="Arial" w:eastAsia="Arial" w:hAnsi="Arial" w:cs="Arial"/>
        </w:rPr>
      </w:pPr>
    </w:p>
    <w:p w:rsidR="00FA771B" w:rsidRDefault="00000000">
      <w:pPr>
        <w:numPr>
          <w:ilvl w:val="0"/>
          <w:numId w:val="9"/>
        </w:numPr>
        <w:tabs>
          <w:tab w:val="left" w:pos="1701"/>
          <w:tab w:val="left" w:pos="2268"/>
          <w:tab w:val="left" w:pos="2835"/>
        </w:tabs>
        <w:spacing w:after="0" w:line="276" w:lineRule="auto"/>
        <w:ind w:left="0" w:right="16"/>
        <w:jc w:val="both"/>
        <w:rPr>
          <w:rFonts w:ascii="Arial" w:eastAsia="Arial" w:hAnsi="Arial" w:cs="Arial"/>
        </w:rPr>
      </w:pPr>
      <w:r>
        <w:rPr>
          <w:rFonts w:ascii="Arial" w:eastAsia="Arial" w:hAnsi="Arial" w:cs="Arial"/>
        </w:rPr>
        <w:t xml:space="preserve"> De acuerdo con el informe del Programa Contigo,” Caracterización de los Hogares con Niñas, Niños y Adolescentes con Discapacidad Severa”, las niñas, niños y adolescentes con discapacidad beneficiarios del programa presentan una alta dependencia en actividades de la vida diaria, lo que subraya la urgente necesidad de diseñar medidas específicas para su atención.</w:t>
      </w:r>
    </w:p>
    <w:p w:rsidR="00FA771B" w:rsidRDefault="00FA771B">
      <w:pPr>
        <w:tabs>
          <w:tab w:val="left" w:pos="1701"/>
          <w:tab w:val="left" w:pos="2268"/>
          <w:tab w:val="left" w:pos="2835"/>
        </w:tabs>
        <w:spacing w:after="0" w:line="276" w:lineRule="auto"/>
        <w:ind w:left="1440" w:right="16"/>
        <w:jc w:val="both"/>
        <w:rPr>
          <w:rFonts w:ascii="Arial" w:eastAsia="Arial" w:hAnsi="Arial" w:cs="Arial"/>
        </w:rPr>
      </w:pPr>
    </w:p>
    <w:p w:rsidR="00FA771B" w:rsidRDefault="00000000">
      <w:pPr>
        <w:numPr>
          <w:ilvl w:val="0"/>
          <w:numId w:val="9"/>
        </w:numPr>
        <w:tabs>
          <w:tab w:val="left" w:pos="1701"/>
          <w:tab w:val="left" w:pos="2268"/>
          <w:tab w:val="left" w:pos="2835"/>
        </w:tabs>
        <w:spacing w:before="240" w:after="0" w:line="276" w:lineRule="auto"/>
        <w:ind w:left="0" w:right="16"/>
        <w:jc w:val="both"/>
        <w:rPr>
          <w:rFonts w:ascii="Arial" w:eastAsia="Arial" w:hAnsi="Arial" w:cs="Arial"/>
        </w:rPr>
      </w:pPr>
      <w:r>
        <w:rPr>
          <w:rFonts w:ascii="Arial" w:eastAsia="Arial" w:hAnsi="Arial" w:cs="Arial"/>
        </w:rPr>
        <w:t xml:space="preserve"> El costo del apoyo humano necesario para las personas con discapacidad es significativo. Según el informe de SODIS, “Personas con discapacidad en Perú: costos que enfrentan para participar en igualdad de condiciones”, este gasto representa el 43% de los costos destinados por los hogares para lograr la participación plena de niñas, niños y adolescentes con discapacidad, y el 35% para las personas adultas con discapacidad. Estos datos demuestran que la falta de servicios de apoyo adecuados no solo perjudica a las personas con discapacidad, sino también a sus familias, profundizando las brechas económicas y sociales.</w:t>
      </w:r>
    </w:p>
    <w:p w:rsidR="00FA771B" w:rsidRDefault="00FA771B">
      <w:pPr>
        <w:tabs>
          <w:tab w:val="left" w:pos="1701"/>
          <w:tab w:val="left" w:pos="2268"/>
          <w:tab w:val="left" w:pos="2835"/>
        </w:tabs>
        <w:spacing w:after="0" w:line="276" w:lineRule="auto"/>
        <w:ind w:right="16" w:hanging="360"/>
        <w:jc w:val="both"/>
        <w:rPr>
          <w:rFonts w:ascii="Arial" w:eastAsia="Arial" w:hAnsi="Arial" w:cs="Arial"/>
        </w:rPr>
      </w:pPr>
    </w:p>
    <w:p w:rsidR="00FA771B" w:rsidRDefault="00000000">
      <w:pPr>
        <w:numPr>
          <w:ilvl w:val="0"/>
          <w:numId w:val="9"/>
        </w:numPr>
        <w:tabs>
          <w:tab w:val="left" w:pos="1701"/>
          <w:tab w:val="left" w:pos="2268"/>
          <w:tab w:val="left" w:pos="2835"/>
        </w:tabs>
        <w:spacing w:after="0" w:line="276" w:lineRule="auto"/>
        <w:ind w:left="0" w:right="16"/>
        <w:jc w:val="both"/>
        <w:rPr>
          <w:rFonts w:ascii="Arial" w:eastAsia="Arial" w:hAnsi="Arial" w:cs="Arial"/>
        </w:rPr>
      </w:pPr>
      <w:r>
        <w:rPr>
          <w:rFonts w:ascii="Arial" w:eastAsia="Arial" w:hAnsi="Arial" w:cs="Arial"/>
        </w:rPr>
        <w:t>El informe del Programa Contigo también destaca que el 87.9% del trabajo de cuidado recae sobre las mujeres. Esta cifra evidencia la necesidad de abordar este tema desde una perspectiva interseccional y de género. La falta de servicios de respiro familiar, apoyos especializados y programas intersectoriales que garanticen la igualdad agrava la situación de exclusión de las familias.</w:t>
      </w:r>
    </w:p>
    <w:p w:rsidR="00FA771B" w:rsidRDefault="00FA771B">
      <w:pPr>
        <w:tabs>
          <w:tab w:val="left" w:pos="1701"/>
          <w:tab w:val="left" w:pos="2268"/>
          <w:tab w:val="left" w:pos="2835"/>
        </w:tabs>
        <w:spacing w:after="0" w:line="276" w:lineRule="auto"/>
        <w:ind w:left="1440" w:right="16"/>
        <w:jc w:val="both"/>
        <w:rPr>
          <w:rFonts w:ascii="Arial" w:eastAsia="Arial" w:hAnsi="Arial" w:cs="Arial"/>
        </w:rPr>
      </w:pPr>
    </w:p>
    <w:p w:rsidR="00FA771B" w:rsidRDefault="00FA771B">
      <w:pPr>
        <w:tabs>
          <w:tab w:val="left" w:pos="1701"/>
          <w:tab w:val="left" w:pos="2268"/>
          <w:tab w:val="left" w:pos="2835"/>
        </w:tabs>
        <w:spacing w:after="0" w:line="276" w:lineRule="auto"/>
        <w:ind w:left="-283" w:right="16"/>
        <w:jc w:val="both"/>
        <w:rPr>
          <w:rFonts w:ascii="Arial" w:eastAsia="Arial" w:hAnsi="Arial" w:cs="Arial"/>
        </w:rPr>
      </w:pPr>
    </w:p>
    <w:p w:rsidR="00FA771B" w:rsidRDefault="00000000">
      <w:pPr>
        <w:numPr>
          <w:ilvl w:val="0"/>
          <w:numId w:val="9"/>
        </w:numPr>
        <w:tabs>
          <w:tab w:val="left" w:pos="1701"/>
          <w:tab w:val="left" w:pos="2268"/>
          <w:tab w:val="left" w:pos="2835"/>
        </w:tabs>
        <w:spacing w:after="0" w:line="276" w:lineRule="auto"/>
        <w:ind w:left="0" w:right="16"/>
        <w:jc w:val="both"/>
        <w:rPr>
          <w:rFonts w:ascii="Arial" w:eastAsia="Arial" w:hAnsi="Arial" w:cs="Arial"/>
        </w:rPr>
      </w:pPr>
      <w:r>
        <w:rPr>
          <w:rFonts w:ascii="Arial" w:eastAsia="Arial" w:hAnsi="Arial" w:cs="Arial"/>
        </w:rPr>
        <w:t>Si bien existen programas como CUNA MÁS, que busca mejorar el desarrollo infantil en contextos de pobreza, su cobertura en cuanto a niñas y niños con discapacidad es limitada. Solo el 0.5% de los niños atendidos en el Servicio de Cuidado Diurno de dicho programa son niños con discapacidad leve o moderada, lo que pone de manifiesto la ausencia de políticas inclusivas y de un enfoque real de igualdad de oportunidades.</w:t>
      </w:r>
    </w:p>
    <w:p w:rsidR="00FA771B" w:rsidRDefault="00FA771B">
      <w:pPr>
        <w:tabs>
          <w:tab w:val="left" w:pos="1701"/>
          <w:tab w:val="left" w:pos="2268"/>
          <w:tab w:val="left" w:pos="2835"/>
        </w:tabs>
        <w:spacing w:after="0" w:line="276" w:lineRule="auto"/>
        <w:ind w:right="16" w:firstLine="60"/>
        <w:jc w:val="both"/>
        <w:rPr>
          <w:rFonts w:ascii="Arial" w:eastAsia="Arial" w:hAnsi="Arial" w:cs="Arial"/>
        </w:rPr>
      </w:pPr>
    </w:p>
    <w:p w:rsidR="00FA771B" w:rsidRDefault="00000000">
      <w:pPr>
        <w:tabs>
          <w:tab w:val="left" w:pos="1701"/>
          <w:tab w:val="left" w:pos="2268"/>
          <w:tab w:val="left" w:pos="2835"/>
          <w:tab w:val="left" w:pos="8364"/>
        </w:tabs>
        <w:spacing w:after="240" w:line="240" w:lineRule="auto"/>
        <w:jc w:val="both"/>
        <w:rPr>
          <w:rFonts w:ascii="Arial" w:eastAsia="Arial" w:hAnsi="Arial" w:cs="Arial"/>
        </w:rPr>
      </w:pPr>
      <w:r>
        <w:rPr>
          <w:rFonts w:ascii="Arial" w:eastAsia="Arial" w:hAnsi="Arial" w:cs="Arial"/>
          <w:b/>
          <w:color w:val="1F3763"/>
        </w:rPr>
        <w:t>Por ello, sugerimos al Comité las siguientes recomendaciones:</w:t>
      </w:r>
    </w:p>
    <w:p w:rsidR="00FA771B" w:rsidRDefault="00FA771B">
      <w:pPr>
        <w:tabs>
          <w:tab w:val="left" w:pos="1701"/>
          <w:tab w:val="left" w:pos="2268"/>
          <w:tab w:val="left" w:pos="2835"/>
        </w:tabs>
        <w:spacing w:after="0" w:line="276" w:lineRule="auto"/>
        <w:ind w:right="16" w:firstLine="60"/>
        <w:jc w:val="both"/>
        <w:rPr>
          <w:rFonts w:ascii="Arial" w:eastAsia="Arial" w:hAnsi="Arial" w:cs="Arial"/>
        </w:rPr>
      </w:pPr>
    </w:p>
    <w:p w:rsidR="00FA771B" w:rsidRDefault="00000000">
      <w:pPr>
        <w:numPr>
          <w:ilvl w:val="0"/>
          <w:numId w:val="3"/>
        </w:numPr>
        <w:tabs>
          <w:tab w:val="left" w:pos="1701"/>
          <w:tab w:val="left" w:pos="2268"/>
          <w:tab w:val="left" w:pos="2835"/>
        </w:tabs>
        <w:spacing w:after="0" w:line="240" w:lineRule="auto"/>
        <w:ind w:right="1"/>
        <w:jc w:val="both"/>
        <w:rPr>
          <w:rFonts w:ascii="Arial" w:eastAsia="Arial" w:hAnsi="Arial" w:cs="Arial"/>
        </w:rPr>
      </w:pPr>
      <w:r>
        <w:rPr>
          <w:rFonts w:ascii="Arial" w:eastAsia="Arial" w:hAnsi="Arial" w:cs="Arial"/>
        </w:rPr>
        <w:t xml:space="preserve">Establecer servicios de Cuidados que contemple la asistencia personal y otros apoyos como tecnologías de apoyo que promuevan la vida independiente, junto con programas que impulsen la autonomía de los niños y niñas con discapacidad. </w:t>
      </w:r>
    </w:p>
    <w:p w:rsidR="00FA771B" w:rsidRDefault="00FA771B">
      <w:pPr>
        <w:tabs>
          <w:tab w:val="left" w:pos="1701"/>
          <w:tab w:val="left" w:pos="2268"/>
          <w:tab w:val="left" w:pos="2835"/>
        </w:tabs>
        <w:spacing w:after="0" w:line="240" w:lineRule="auto"/>
        <w:ind w:right="1"/>
        <w:jc w:val="both"/>
        <w:rPr>
          <w:rFonts w:ascii="Arial" w:eastAsia="Arial" w:hAnsi="Arial" w:cs="Arial"/>
        </w:rPr>
      </w:pPr>
    </w:p>
    <w:p w:rsidR="00FA771B" w:rsidRDefault="00000000">
      <w:pPr>
        <w:numPr>
          <w:ilvl w:val="0"/>
          <w:numId w:val="3"/>
        </w:numPr>
        <w:tabs>
          <w:tab w:val="left" w:pos="1701"/>
          <w:tab w:val="left" w:pos="2268"/>
          <w:tab w:val="left" w:pos="2835"/>
        </w:tabs>
        <w:spacing w:after="0" w:line="240" w:lineRule="auto"/>
        <w:ind w:right="1"/>
        <w:jc w:val="both"/>
        <w:rPr>
          <w:rFonts w:ascii="Arial" w:eastAsia="Arial" w:hAnsi="Arial" w:cs="Arial"/>
        </w:rPr>
      </w:pPr>
      <w:r>
        <w:rPr>
          <w:rFonts w:ascii="Arial" w:eastAsia="Arial" w:hAnsi="Arial" w:cs="Arial"/>
        </w:rPr>
        <w:t xml:space="preserve">Es fundamental que se implementen servicios de respiro familiar, capacitación para las familias cuidadoras y apoyos intersectoriales, con un enfoque de género e interseccional que aborde la desproporcionada carga de trabajo que recae sobre las mujeres. </w:t>
      </w:r>
    </w:p>
    <w:p w:rsidR="00FA771B" w:rsidRDefault="00FA771B">
      <w:pPr>
        <w:tabs>
          <w:tab w:val="left" w:pos="1701"/>
          <w:tab w:val="left" w:pos="2268"/>
          <w:tab w:val="left" w:pos="2835"/>
        </w:tabs>
        <w:spacing w:after="0" w:line="240" w:lineRule="auto"/>
        <w:ind w:left="720" w:right="1"/>
        <w:jc w:val="both"/>
        <w:rPr>
          <w:rFonts w:ascii="Arial" w:eastAsia="Arial" w:hAnsi="Arial" w:cs="Arial"/>
        </w:rPr>
      </w:pPr>
    </w:p>
    <w:p w:rsidR="00FA771B" w:rsidRDefault="00000000">
      <w:pPr>
        <w:numPr>
          <w:ilvl w:val="0"/>
          <w:numId w:val="3"/>
        </w:numPr>
        <w:tabs>
          <w:tab w:val="left" w:pos="1701"/>
          <w:tab w:val="left" w:pos="2268"/>
          <w:tab w:val="left" w:pos="2835"/>
        </w:tabs>
        <w:spacing w:after="0" w:line="240" w:lineRule="auto"/>
        <w:ind w:right="1"/>
        <w:jc w:val="both"/>
        <w:rPr>
          <w:rFonts w:ascii="Arial" w:eastAsia="Arial" w:hAnsi="Arial" w:cs="Arial"/>
        </w:rPr>
      </w:pPr>
      <w:r>
        <w:rPr>
          <w:rFonts w:ascii="Arial" w:eastAsia="Arial" w:hAnsi="Arial" w:cs="Arial"/>
        </w:rPr>
        <w:lastRenderedPageBreak/>
        <w:t>El Estado debe garantizar el acceso equitativo a estos servicios y crear políticas públicas que reconozcan y valoren el rol de las familias cuidadoras, ofreciéndoles apoyo socioemocional, económico y formativo para mejorar la calidad del cuidado que brindan.</w:t>
      </w:r>
    </w:p>
    <w:p w:rsidR="00FA771B" w:rsidRDefault="00FA771B">
      <w:pPr>
        <w:tabs>
          <w:tab w:val="left" w:pos="1701"/>
          <w:tab w:val="left" w:pos="2268"/>
          <w:tab w:val="left" w:pos="2835"/>
          <w:tab w:val="left" w:pos="8364"/>
        </w:tabs>
        <w:spacing w:after="240" w:line="240" w:lineRule="auto"/>
        <w:ind w:left="720"/>
        <w:jc w:val="both"/>
        <w:rPr>
          <w:rFonts w:ascii="Arial" w:eastAsia="Arial" w:hAnsi="Arial" w:cs="Arial"/>
          <w:b/>
          <w:highlight w:val="yellow"/>
        </w:rPr>
      </w:pPr>
    </w:p>
    <w:p w:rsidR="00FA771B" w:rsidRDefault="00000000">
      <w:pPr>
        <w:keepNext/>
        <w:keepLines/>
        <w:tabs>
          <w:tab w:val="right" w:pos="851"/>
          <w:tab w:val="left" w:pos="8364"/>
        </w:tabs>
        <w:spacing w:after="240" w:line="240" w:lineRule="auto"/>
        <w:jc w:val="center"/>
        <w:rPr>
          <w:rFonts w:ascii="Arial" w:eastAsia="Arial" w:hAnsi="Arial" w:cs="Arial"/>
          <w:b/>
          <w:sz w:val="30"/>
          <w:szCs w:val="30"/>
        </w:rPr>
      </w:pPr>
      <w:r>
        <w:rPr>
          <w:rFonts w:ascii="Arial" w:eastAsia="Arial" w:hAnsi="Arial" w:cs="Arial"/>
          <w:b/>
          <w:sz w:val="30"/>
          <w:szCs w:val="30"/>
        </w:rPr>
        <w:t>Derecho a un nivel de vida adecuado (art. 11)</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 xml:space="preserve">El derecho a un nivel de vida adecuado de las personas con discapacidad en el Perú se ve gravemente vulnerado debido a la falta de políticas públicas inclusivas y a la precariedad de los programas existentes. Según el informe de CONADIS, </w:t>
      </w:r>
      <w:hyperlink r:id="rId16">
        <w:r>
          <w:rPr>
            <w:rFonts w:ascii="Arial" w:eastAsia="Arial" w:hAnsi="Arial" w:cs="Arial"/>
            <w:color w:val="1155CC"/>
            <w:u w:val="single"/>
          </w:rPr>
          <w:t>“Situación de la pobreza multidimensional en las personas con discapacidad del país: Análisis desde un enfoque interseccional”</w:t>
        </w:r>
      </w:hyperlink>
      <w:hyperlink r:id="rId17">
        <w:r>
          <w:rPr>
            <w:rFonts w:ascii="Arial" w:eastAsia="Arial" w:hAnsi="Arial" w:cs="Arial"/>
            <w:color w:val="1155CC"/>
          </w:rPr>
          <w:t xml:space="preserve"> </w:t>
        </w:r>
      </w:hyperlink>
      <w:r>
        <w:rPr>
          <w:rFonts w:ascii="Arial" w:eastAsia="Arial" w:hAnsi="Arial" w:cs="Arial"/>
          <w:color w:val="000000"/>
        </w:rPr>
        <w:t>en 2021, el 40% de las personas con discapacidad vivían en pobreza multidimensional, lo que evidencia una diferencia de 14,2 puntos porcentuales en comparación con la población sin discapacidad.</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Las principales privaciones que afectan a las personas con discapacidad incluyen la falta de acceso a la educación (72,9%), la falta de uso de materiales adecuados en la vivienda (56,9%), la falta de acceso a internet (55,4%) y a la energía (41,9%). A pesar de estos datos, no existen programas sociales que cubran de manera adecuada los costos adicionales que enfrentan las personas con discapacidad, tales como terapias, dispositivos de asistencia y transporte adaptado.</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 xml:space="preserve">El Programa Nacional de Apoyo Directo a los Más Pobres (Juntos) otorga transferencias bimestrales de S/ 200 (USD 53 aproximadamente) a los hogares que cumplen con ciertos criterios de elegibilidad, principalmente a aquellos que tienen una clasificación socioeconómica de pobreza o pobreza extrema, y al menos un miembro objetivo, como niños menores de 14 años o gestantes. Las familias beneficiarias deben cumplir con corresponsabilidades, tales como garantizar la inscripción y asistencia de los niños a las instituciones educativas o a los centros de salud. </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 xml:space="preserve">Sin embargo, en el caso de los niños con "discapacidad severa", estos pueden ser exceptuados del requisito de asistir a la escuela siempre y cuando presenten un certificado de discapacidad. </w:t>
      </w:r>
    </w:p>
    <w:p w:rsidR="00FA771B" w:rsidRDefault="00000000">
      <w:pPr>
        <w:pBdr>
          <w:top w:val="nil"/>
          <w:left w:val="nil"/>
          <w:bottom w:val="nil"/>
          <w:right w:val="nil"/>
          <w:between w:val="nil"/>
        </w:pBdr>
        <w:tabs>
          <w:tab w:val="left" w:pos="426"/>
          <w:tab w:val="left" w:pos="2268"/>
          <w:tab w:val="left" w:pos="2835"/>
          <w:tab w:val="left" w:pos="8364"/>
        </w:tabs>
        <w:spacing w:after="240" w:line="240" w:lineRule="auto"/>
        <w:jc w:val="both"/>
        <w:rPr>
          <w:rFonts w:ascii="Arial" w:eastAsia="Arial" w:hAnsi="Arial" w:cs="Arial"/>
          <w:color w:val="000000"/>
        </w:rPr>
      </w:pPr>
      <w:r>
        <w:rPr>
          <w:rFonts w:ascii="Arial" w:eastAsia="Arial" w:hAnsi="Arial" w:cs="Arial"/>
          <w:color w:val="000000"/>
        </w:rPr>
        <w:t>Aunque esta medida busca flexibilizar las obligaciones para este grupo, también puede dar lugar a escenarios de exclusión, ya que no se promueven alternativas educativas inclusivas ni se garantiza que estos niños reciban el apoyo necesario para incorporarse al sistema educativo.</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 xml:space="preserve">En situaciones de emergencia, como los desastres naturales y la actual crisis climática, las personas con discapacidad son un grupo altamente vulnerable. Perú, siendo un país afectado por el cambio climático y fenómenos como El Niño, ha experimentado daños significativos, especialmente en regiones como Piura. Las personas con discapacidad enfrentan una </w:t>
      </w:r>
      <w:hyperlink r:id="rId18">
        <w:r>
          <w:rPr>
            <w:rFonts w:ascii="Arial" w:eastAsia="Arial" w:hAnsi="Arial" w:cs="Arial"/>
            <w:color w:val="1155CC"/>
            <w:u w:val="single"/>
          </w:rPr>
          <w:t xml:space="preserve">tasa de mortalidad más alta en estos contextos </w:t>
        </w:r>
      </w:hyperlink>
      <w:r>
        <w:rPr>
          <w:rFonts w:ascii="Arial" w:eastAsia="Arial" w:hAnsi="Arial" w:cs="Arial"/>
          <w:color w:val="000000"/>
        </w:rPr>
        <w:t>debido a la falta de infraestructura accesible, transporte adecuado y sistemas de alerta adaptados.</w:t>
      </w:r>
    </w:p>
    <w:p w:rsidR="00FA771B" w:rsidRDefault="00000000">
      <w:pPr>
        <w:keepNext/>
        <w:keepLines/>
        <w:tabs>
          <w:tab w:val="left" w:pos="8364"/>
        </w:tabs>
        <w:spacing w:after="240" w:line="240" w:lineRule="auto"/>
        <w:rPr>
          <w:rFonts w:ascii="Arial" w:eastAsia="Arial" w:hAnsi="Arial" w:cs="Arial"/>
          <w:b/>
        </w:rPr>
      </w:pPr>
      <w:r>
        <w:rPr>
          <w:rFonts w:ascii="Arial" w:eastAsia="Arial" w:hAnsi="Arial" w:cs="Arial"/>
          <w:b/>
          <w:color w:val="1F3763"/>
        </w:rPr>
        <w:lastRenderedPageBreak/>
        <w:t>Por ello, sugerimos al Comité las siguientes recomendaciones:</w:t>
      </w:r>
    </w:p>
    <w:p w:rsidR="00FA771B" w:rsidRDefault="00000000">
      <w:pPr>
        <w:keepNext/>
        <w:keepLines/>
        <w:numPr>
          <w:ilvl w:val="0"/>
          <w:numId w:val="5"/>
        </w:numPr>
        <w:tabs>
          <w:tab w:val="right" w:pos="851"/>
          <w:tab w:val="left" w:pos="8364"/>
        </w:tabs>
        <w:spacing w:after="0" w:line="240" w:lineRule="auto"/>
        <w:jc w:val="both"/>
        <w:rPr>
          <w:rFonts w:ascii="Arial" w:eastAsia="Arial" w:hAnsi="Arial" w:cs="Arial"/>
        </w:rPr>
      </w:pPr>
      <w:r>
        <w:rPr>
          <w:rFonts w:ascii="Arial" w:eastAsia="Arial" w:hAnsi="Arial" w:cs="Arial"/>
        </w:rPr>
        <w:t>Implementar programas específicamente diseñados para cubrir los costos adicionales que enfrentan las personas con discapacidad, tales como terapias, dispositivos de asistencia, y transporte accesible.</w:t>
      </w:r>
    </w:p>
    <w:p w:rsidR="00FA771B" w:rsidRDefault="00000000">
      <w:pPr>
        <w:keepNext/>
        <w:keepLines/>
        <w:numPr>
          <w:ilvl w:val="0"/>
          <w:numId w:val="5"/>
        </w:numPr>
        <w:tabs>
          <w:tab w:val="right" w:pos="851"/>
          <w:tab w:val="left" w:pos="8364"/>
        </w:tabs>
        <w:spacing w:after="0" w:line="240" w:lineRule="auto"/>
        <w:jc w:val="both"/>
        <w:rPr>
          <w:rFonts w:ascii="Arial" w:eastAsia="Arial" w:hAnsi="Arial" w:cs="Arial"/>
        </w:rPr>
      </w:pPr>
      <w:r>
        <w:rPr>
          <w:rFonts w:ascii="Arial" w:eastAsia="Arial" w:hAnsi="Arial" w:cs="Arial"/>
        </w:rPr>
        <w:t>Revisar integralmente el Programa Juntos para garantizar que los hogares con personas con discapacidad no queden excluidos por cumplir con criterios que no responden a sus necesidades específicas.</w:t>
      </w:r>
    </w:p>
    <w:p w:rsidR="00FA771B" w:rsidRDefault="00000000">
      <w:pPr>
        <w:keepNext/>
        <w:keepLines/>
        <w:numPr>
          <w:ilvl w:val="0"/>
          <w:numId w:val="5"/>
        </w:numPr>
        <w:tabs>
          <w:tab w:val="right" w:pos="851"/>
          <w:tab w:val="left" w:pos="8364"/>
        </w:tabs>
        <w:spacing w:after="240" w:line="240" w:lineRule="auto"/>
        <w:jc w:val="both"/>
        <w:rPr>
          <w:rFonts w:ascii="Arial" w:eastAsia="Arial" w:hAnsi="Arial" w:cs="Arial"/>
        </w:rPr>
      </w:pPr>
      <w:r>
        <w:rPr>
          <w:rFonts w:ascii="Arial" w:eastAsia="Arial" w:hAnsi="Arial" w:cs="Arial"/>
        </w:rPr>
        <w:t>Fortalecer los mecanismos de respuesta ante desastres naturales, asegurando que los sistemas de alerta y transporte sean accesibles para las personas con discapacidad, y a desarrollar programas que mitiguen los impactos del cambio climático en las comunidades más vulnerables.</w:t>
      </w:r>
    </w:p>
    <w:p w:rsidR="00FA771B" w:rsidRDefault="00000000">
      <w:pPr>
        <w:keepNext/>
        <w:keepLines/>
        <w:tabs>
          <w:tab w:val="right" w:pos="851"/>
          <w:tab w:val="left" w:pos="8364"/>
        </w:tabs>
        <w:spacing w:after="240" w:line="240" w:lineRule="auto"/>
        <w:jc w:val="center"/>
        <w:rPr>
          <w:rFonts w:ascii="Arial" w:eastAsia="Arial" w:hAnsi="Arial" w:cs="Arial"/>
          <w:b/>
          <w:sz w:val="30"/>
          <w:szCs w:val="30"/>
        </w:rPr>
      </w:pPr>
      <w:r>
        <w:rPr>
          <w:rFonts w:ascii="Arial" w:eastAsia="Arial" w:hAnsi="Arial" w:cs="Arial"/>
          <w:b/>
          <w:sz w:val="30"/>
          <w:szCs w:val="30"/>
        </w:rPr>
        <w:t>Derecho a la salud física y mental (art. 12)</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La salud es otro ámbito en donde la brecha se amplía. El acceso a los servicios de salud para las personas con discapacidad en el Perú evidencia profundas desigualdades estructurales.</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A pesar de los compromisos asumidos por el Estado para garantizar una atención inclusiva con el lanzamiento de la Política Multisectorial en Discapacidad para el Desarrollo al 2030, los avances hasta la fecha son insuficientes. Aunque se indica que se busca garantizar un acceso equitativo a los servicios de salud considerando aspectos físicos, económicos y culturales, así como una atención integral que considere las necesidades específicas de las personas con discapacidad, incluyendo salud mental, rehabilitación y servicios de apoyo, los problemas de accesibilidad, calidad y disponibilidad son todavía muy grandes.</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 xml:space="preserve">Durante la pandemia se ha visibilizado la alta </w:t>
      </w:r>
      <w:r>
        <w:rPr>
          <w:rFonts w:ascii="Arial" w:eastAsia="Arial" w:hAnsi="Arial" w:cs="Arial"/>
          <w:b/>
          <w:color w:val="000000"/>
        </w:rPr>
        <w:t>brecha en el acceso a la salud de la población con discapacidad</w:t>
      </w:r>
      <w:r>
        <w:rPr>
          <w:rFonts w:ascii="Arial" w:eastAsia="Arial" w:hAnsi="Arial" w:cs="Arial"/>
          <w:color w:val="000000"/>
        </w:rPr>
        <w:t>. Los datos del último censo revelan que el 77,3% de la población con discapacidad (2.358.672 personas) tiene cobertura de seguro de salud y el 22,7% (692 mil 940) no cuenta con este servicio (INEI, 2018). La mayor proporción se encuentra afiliada al Seguro Integral de Salud (SIS), en un 54,2% y como segunda opción se encuentra el Seguro Social de Salud (EsSalud), con el 26,4% de personas con discapacidad cubiertas (INEI, 2019).</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 xml:space="preserve">Sin embargo, </w:t>
      </w:r>
      <w:r>
        <w:rPr>
          <w:rFonts w:ascii="Arial" w:eastAsia="Arial" w:hAnsi="Arial" w:cs="Arial"/>
          <w:b/>
          <w:color w:val="000000"/>
        </w:rPr>
        <w:t>la cobertura en las prestaciones del SIS</w:t>
      </w:r>
      <w:r>
        <w:rPr>
          <w:rFonts w:ascii="Arial" w:eastAsia="Arial" w:hAnsi="Arial" w:cs="Arial"/>
          <w:color w:val="000000"/>
        </w:rPr>
        <w:t xml:space="preserve"> es bastante limitada lo cual impacta en la satisfacción del derecho de este colectivo cuyas condiciones pueden requerir asistencia médica específica, de forma recurrente, o incluso más especializada.</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 xml:space="preserve">En cuanto a la </w:t>
      </w:r>
      <w:r>
        <w:rPr>
          <w:rFonts w:ascii="Arial" w:eastAsia="Arial" w:hAnsi="Arial" w:cs="Arial"/>
          <w:b/>
          <w:color w:val="000000"/>
        </w:rPr>
        <w:t>calidad de los de los establecimientos de salud</w:t>
      </w:r>
      <w:r>
        <w:rPr>
          <w:rFonts w:ascii="Arial" w:eastAsia="Arial" w:hAnsi="Arial" w:cs="Arial"/>
          <w:color w:val="000000"/>
        </w:rPr>
        <w:t>, desde la Encuesta Nacional Especializada sobre Discapacidad (ENEDIS), se reportó que las personas con discapacidad tienen dificultad para ingresar o desplazarse a estos establecimientos (29,3%), así como a centros de rehabilitación (18.9 %). Situación que empeora en el área rural, donde el 39,5% presentan este problema. Además, se cuestionó la falta de ascensores y servicios higiénicos adecuados, la inexistencia de rampas de acceso, lugares que brinden información y señalización.</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rPr>
        <w:t>Si hablamos sobre</w:t>
      </w:r>
      <w:r>
        <w:rPr>
          <w:rFonts w:ascii="Arial" w:eastAsia="Arial" w:hAnsi="Arial" w:cs="Arial"/>
          <w:color w:val="000000"/>
        </w:rPr>
        <w:t xml:space="preserve"> </w:t>
      </w:r>
      <w:r>
        <w:rPr>
          <w:rFonts w:ascii="Arial" w:eastAsia="Arial" w:hAnsi="Arial" w:cs="Arial"/>
          <w:b/>
          <w:color w:val="000000"/>
        </w:rPr>
        <w:t>tecnologías de asistencia</w:t>
      </w:r>
      <w:r>
        <w:rPr>
          <w:rFonts w:ascii="Arial" w:eastAsia="Arial" w:hAnsi="Arial" w:cs="Arial"/>
          <w:color w:val="000000"/>
        </w:rPr>
        <w:t xml:space="preserve">, la </w:t>
      </w:r>
      <w:hyperlink r:id="rId19">
        <w:r>
          <w:rPr>
            <w:rFonts w:ascii="Arial" w:eastAsia="Arial" w:hAnsi="Arial" w:cs="Arial"/>
            <w:color w:val="1155CC"/>
            <w:u w:val="single"/>
          </w:rPr>
          <w:t>Ley General de Discapacidad</w:t>
        </w:r>
      </w:hyperlink>
      <w:r>
        <w:rPr>
          <w:rFonts w:ascii="Arial" w:eastAsia="Arial" w:hAnsi="Arial" w:cs="Arial"/>
          <w:color w:val="000000"/>
        </w:rPr>
        <w:t xml:space="preserve"> peruana regula el derecho de las personas con discapacidad a contar con estos apoyos, incluidos los dispositivos técnicos y ayudas para la movilidad. Sin embargo, en la práctica, no se asegura la provisión de estos bienes tras identificarse la necesidad y haberse certificado la discapacidad. Las personas cubiertas por seguros de salud podrían no estar accediendo a dispositivos de apoyo como sillas de ruedas, bastones, </w:t>
      </w:r>
      <w:r>
        <w:rPr>
          <w:rFonts w:ascii="Arial" w:eastAsia="Arial" w:hAnsi="Arial" w:cs="Arial"/>
          <w:color w:val="000000"/>
        </w:rPr>
        <w:lastRenderedPageBreak/>
        <w:t>prótesis, etc</w:t>
      </w:r>
      <w:r>
        <w:rPr>
          <w:rFonts w:ascii="Times New Roman" w:eastAsia="Times New Roman" w:hAnsi="Times New Roman" w:cs="Times New Roman"/>
          <w:color w:val="000000"/>
        </w:rPr>
        <w:t>.</w:t>
      </w:r>
      <w:r>
        <w:rPr>
          <w:rFonts w:ascii="Arial" w:eastAsia="Arial" w:hAnsi="Arial" w:cs="Arial"/>
          <w:color w:val="000000"/>
        </w:rPr>
        <w:t xml:space="preserve"> Por su parte, las que no están aseguradas no tienen derecho a ningún tipo de asistencia y dependen de donaciones para acceder a una ayuda técnica y biomecánica.</w:t>
      </w:r>
    </w:p>
    <w:p w:rsidR="00FA771B" w:rsidRDefault="00000000">
      <w:pPr>
        <w:numPr>
          <w:ilvl w:val="0"/>
          <w:numId w:val="9"/>
        </w:numPr>
        <w:tabs>
          <w:tab w:val="left" w:pos="-5"/>
          <w:tab w:val="left" w:pos="2268"/>
          <w:tab w:val="left" w:pos="2835"/>
          <w:tab w:val="left" w:pos="8364"/>
        </w:tabs>
        <w:spacing w:after="0" w:line="276" w:lineRule="auto"/>
        <w:ind w:left="0" w:hanging="141"/>
        <w:jc w:val="both"/>
      </w:pPr>
      <w:r>
        <w:rPr>
          <w:rFonts w:ascii="Arial" w:eastAsia="Arial" w:hAnsi="Arial" w:cs="Arial"/>
          <w:highlight w:val="white"/>
        </w:rPr>
        <w:t xml:space="preserve">Por otro lado, el </w:t>
      </w:r>
      <w:r>
        <w:rPr>
          <w:rFonts w:ascii="Arial" w:eastAsia="Arial" w:hAnsi="Arial" w:cs="Arial"/>
          <w:b/>
          <w:highlight w:val="white"/>
        </w:rPr>
        <w:t>Programa de Intervención Temprana</w:t>
      </w:r>
      <w:r>
        <w:rPr>
          <w:rFonts w:ascii="Arial" w:eastAsia="Arial" w:hAnsi="Arial" w:cs="Arial"/>
          <w:highlight w:val="white"/>
        </w:rPr>
        <w:t xml:space="preserve"> (PRITE) es un servicio educativo que brinda atención especializada no escolarizada de prevención, detección y atención educativa a niños menores de tres años con discapacidad o en riesgo de adquirirla, promoviendo la transición hacia la educación básica regular de forma oportuna. Este servicio presenta dos falencias: </w:t>
      </w:r>
    </w:p>
    <w:p w:rsidR="00FA771B" w:rsidRDefault="00FA771B">
      <w:pPr>
        <w:tabs>
          <w:tab w:val="left" w:pos="-5"/>
          <w:tab w:val="left" w:pos="2268"/>
          <w:tab w:val="left" w:pos="2835"/>
          <w:tab w:val="left" w:pos="8364"/>
        </w:tabs>
        <w:spacing w:after="0" w:line="276" w:lineRule="auto"/>
        <w:ind w:left="1440"/>
        <w:jc w:val="both"/>
        <w:rPr>
          <w:rFonts w:ascii="Arial" w:eastAsia="Arial" w:hAnsi="Arial" w:cs="Arial"/>
          <w:highlight w:val="white"/>
        </w:rPr>
      </w:pPr>
    </w:p>
    <w:p w:rsidR="00FA771B" w:rsidRDefault="00000000">
      <w:pPr>
        <w:tabs>
          <w:tab w:val="left" w:pos="-5"/>
          <w:tab w:val="left" w:pos="2268"/>
          <w:tab w:val="left" w:pos="2835"/>
          <w:tab w:val="left" w:pos="8364"/>
        </w:tabs>
        <w:spacing w:after="0" w:line="276" w:lineRule="auto"/>
        <w:ind w:left="708"/>
        <w:jc w:val="both"/>
        <w:rPr>
          <w:rFonts w:ascii="Arial" w:eastAsia="Arial" w:hAnsi="Arial" w:cs="Arial"/>
          <w:highlight w:val="white"/>
        </w:rPr>
      </w:pPr>
      <w:r>
        <w:rPr>
          <w:rFonts w:ascii="Arial" w:eastAsia="Arial" w:hAnsi="Arial" w:cs="Arial"/>
          <w:highlight w:val="white"/>
        </w:rPr>
        <w:t>a) Solo se cubre el 35,1% de la demanda. Un total de 4,069 niñas y niños con discapacidad o riesgo de adquirirla menores de 3 años accedieron al PRITE a nivel nacional en 2021; mientras que el número total de niñez en esta condición es de 11 583</w:t>
      </w:r>
      <w:r>
        <w:rPr>
          <w:rFonts w:ascii="Arial" w:eastAsia="Arial" w:hAnsi="Arial" w:cs="Arial"/>
          <w:highlight w:val="white"/>
          <w:vertAlign w:val="superscript"/>
        </w:rPr>
        <w:footnoteReference w:id="5"/>
      </w:r>
      <w:r>
        <w:rPr>
          <w:rFonts w:ascii="Arial" w:eastAsia="Arial" w:hAnsi="Arial" w:cs="Arial"/>
          <w:highlight w:val="white"/>
        </w:rPr>
        <w:t>.</w:t>
      </w:r>
    </w:p>
    <w:p w:rsidR="00FA771B" w:rsidRDefault="00000000">
      <w:pPr>
        <w:tabs>
          <w:tab w:val="left" w:pos="-5"/>
          <w:tab w:val="left" w:pos="2268"/>
          <w:tab w:val="left" w:pos="2835"/>
          <w:tab w:val="left" w:pos="8364"/>
        </w:tabs>
        <w:spacing w:after="0" w:line="276" w:lineRule="auto"/>
        <w:ind w:left="708"/>
        <w:jc w:val="both"/>
        <w:rPr>
          <w:rFonts w:ascii="Arial" w:eastAsia="Arial" w:hAnsi="Arial" w:cs="Arial"/>
          <w:highlight w:val="white"/>
        </w:rPr>
      </w:pPr>
      <w:r>
        <w:rPr>
          <w:rFonts w:ascii="Arial" w:eastAsia="Arial" w:hAnsi="Arial" w:cs="Arial"/>
          <w:highlight w:val="white"/>
        </w:rPr>
        <w:t>b) Se restringe la atención hasta los 3 años, lo que puede generar un vacío que perjudica especialmente a aquella población que requiere estimulación y terapias específicas ante diagnósticos tardíos (como en el caso del autismo) o por tiempos prolongados.</w:t>
      </w:r>
    </w:p>
    <w:p w:rsidR="00FA771B" w:rsidRDefault="00FA771B">
      <w:pPr>
        <w:tabs>
          <w:tab w:val="left" w:pos="426"/>
          <w:tab w:val="left" w:pos="2268"/>
          <w:tab w:val="left" w:pos="2835"/>
          <w:tab w:val="left" w:pos="8364"/>
        </w:tabs>
        <w:spacing w:after="0" w:line="276" w:lineRule="auto"/>
        <w:ind w:left="1440"/>
        <w:jc w:val="both"/>
        <w:rPr>
          <w:rFonts w:ascii="Arial" w:eastAsia="Arial" w:hAnsi="Arial" w:cs="Arial"/>
        </w:rPr>
      </w:pPr>
    </w:p>
    <w:p w:rsidR="00FA771B" w:rsidRDefault="00000000">
      <w:pPr>
        <w:numPr>
          <w:ilvl w:val="0"/>
          <w:numId w:val="9"/>
        </w:numPr>
        <w:pBdr>
          <w:top w:val="nil"/>
          <w:left w:val="nil"/>
          <w:bottom w:val="nil"/>
          <w:right w:val="nil"/>
          <w:between w:val="nil"/>
        </w:pBdr>
        <w:tabs>
          <w:tab w:val="left" w:pos="129"/>
          <w:tab w:val="left" w:pos="2268"/>
          <w:tab w:val="left" w:pos="2835"/>
          <w:tab w:val="left" w:pos="8364"/>
        </w:tabs>
        <w:spacing w:after="240" w:line="240" w:lineRule="auto"/>
        <w:ind w:left="0" w:firstLine="0"/>
        <w:jc w:val="both"/>
        <w:rPr>
          <w:rFonts w:ascii="Arial" w:eastAsia="Arial" w:hAnsi="Arial" w:cs="Arial"/>
        </w:rPr>
      </w:pPr>
      <w:r>
        <w:rPr>
          <w:rFonts w:ascii="Arial" w:eastAsia="Arial" w:hAnsi="Arial" w:cs="Arial"/>
        </w:rPr>
        <w:t xml:space="preserve">Las mujeres con discapacidad enfrentan múltiples obstáculos para acceder a servicios de </w:t>
      </w:r>
      <w:r>
        <w:rPr>
          <w:rFonts w:ascii="Arial" w:eastAsia="Arial" w:hAnsi="Arial" w:cs="Arial"/>
          <w:b/>
        </w:rPr>
        <w:t>salud sexual y reproductiva</w:t>
      </w:r>
      <w:r>
        <w:rPr>
          <w:rFonts w:ascii="Arial" w:eastAsia="Arial" w:hAnsi="Arial" w:cs="Arial"/>
        </w:rPr>
        <w:t>. Un informe de la Defensoría del Pueblo destaca que los principales problemas incluyen la falta de información accesible, la discriminación y la falta de capacitación del personal de salud</w:t>
      </w:r>
      <w:r>
        <w:rPr>
          <w:rFonts w:ascii="Arial" w:eastAsia="Arial" w:hAnsi="Arial" w:cs="Arial"/>
          <w:vertAlign w:val="superscript"/>
        </w:rPr>
        <w:footnoteReference w:id="6"/>
      </w:r>
      <w:r>
        <w:rPr>
          <w:rFonts w:ascii="Arial" w:eastAsia="Arial" w:hAnsi="Arial" w:cs="Arial"/>
        </w:rPr>
        <w:t xml:space="preserve">. </w:t>
      </w:r>
    </w:p>
    <w:p w:rsidR="00FA771B" w:rsidRDefault="00000000">
      <w:pPr>
        <w:numPr>
          <w:ilvl w:val="0"/>
          <w:numId w:val="9"/>
        </w:numPr>
        <w:pBdr>
          <w:top w:val="nil"/>
          <w:left w:val="nil"/>
          <w:bottom w:val="nil"/>
          <w:right w:val="nil"/>
          <w:between w:val="nil"/>
        </w:pBdr>
        <w:tabs>
          <w:tab w:val="left" w:pos="129"/>
          <w:tab w:val="left" w:pos="2268"/>
          <w:tab w:val="left" w:pos="2835"/>
          <w:tab w:val="left" w:pos="8364"/>
        </w:tabs>
        <w:spacing w:after="240" w:line="240" w:lineRule="auto"/>
        <w:ind w:left="0" w:firstLine="0"/>
        <w:jc w:val="both"/>
        <w:rPr>
          <w:rFonts w:ascii="Arial" w:eastAsia="Arial" w:hAnsi="Arial" w:cs="Arial"/>
        </w:rPr>
      </w:pPr>
      <w:r>
        <w:rPr>
          <w:rFonts w:ascii="Arial" w:eastAsia="Arial" w:hAnsi="Arial" w:cs="Arial"/>
        </w:rPr>
        <w:t xml:space="preserve">Es común que se nieguen servicios debido a prejuicios sobre la capacidad de las mujeres con discapacidad para tener una vida sexual activa o para tomar decisiones sobre la maternidad. Esto limita su autonomía y las coloca en una situación de vulnerabilidad. </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 xml:space="preserve">En cuanto al abordaje en </w:t>
      </w:r>
      <w:r>
        <w:rPr>
          <w:rFonts w:ascii="Arial" w:eastAsia="Arial" w:hAnsi="Arial" w:cs="Arial"/>
          <w:b/>
          <w:color w:val="000000"/>
        </w:rPr>
        <w:t>salud mental</w:t>
      </w:r>
      <w:r>
        <w:rPr>
          <w:rFonts w:ascii="Arial" w:eastAsia="Arial" w:hAnsi="Arial" w:cs="Arial"/>
          <w:color w:val="000000"/>
        </w:rPr>
        <w:t>, fue en 2004 en donde el Ministerio de Salud habló por primera vez de la importancia de incorporar un enfoque comunitario. Sin embargo, tuvieron que pasar 14 años para que se aprobara el Plan Nacional de Fortalecimiento de Servicios de Salud Mental Comunitaria 2018-2021. Es con este enfoque que se busca reconocer la autonomía y capacidad de decisión de las personas con discapacidad psicosocial y se evita alienarlas de su comunidad.</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Al cierre del 2024 se reportó que existían 284 Centros de Salud Mental Comunitaria en el Perú (CSMC). A pesar de esta expansión, la Defensoría del Pueblo</w:t>
      </w:r>
      <w:r>
        <w:rPr>
          <w:color w:val="000000"/>
          <w:vertAlign w:val="superscript"/>
        </w:rPr>
        <w:footnoteReference w:id="7"/>
      </w:r>
      <w:r>
        <w:rPr>
          <w:rFonts w:ascii="Arial" w:eastAsia="Arial" w:hAnsi="Arial" w:cs="Arial"/>
          <w:color w:val="000000"/>
        </w:rPr>
        <w:t xml:space="preserve"> ha expresado su preocupación frente a la </w:t>
      </w:r>
      <w:r>
        <w:rPr>
          <w:rFonts w:ascii="Arial" w:eastAsia="Arial" w:hAnsi="Arial" w:cs="Arial"/>
          <w:b/>
          <w:color w:val="000000"/>
        </w:rPr>
        <w:t>falta de coordinación y articulación que existe entre los CSMC, los gobiernos regionales, EsSalud, la sanidad de las fuerzas armadas y el sector privado</w:t>
      </w:r>
      <w:r>
        <w:rPr>
          <w:rFonts w:ascii="Arial" w:eastAsia="Arial" w:hAnsi="Arial" w:cs="Arial"/>
          <w:color w:val="000000"/>
        </w:rPr>
        <w:t xml:space="preserve">, ya que cada sistema opera de manera independiente. No existe una </w:t>
      </w:r>
      <w:r>
        <w:rPr>
          <w:rFonts w:ascii="Arial" w:eastAsia="Arial" w:hAnsi="Arial" w:cs="Arial"/>
          <w:color w:val="000000"/>
        </w:rPr>
        <w:lastRenderedPageBreak/>
        <w:t xml:space="preserve">plataforma digital unificada que permita el intercambio de datos entre los CSMC y los demás actores del sistema de salud. </w:t>
      </w:r>
    </w:p>
    <w:p w:rsidR="00FA771B" w:rsidRDefault="00000000">
      <w:pPr>
        <w:pBdr>
          <w:top w:val="nil"/>
          <w:left w:val="nil"/>
          <w:bottom w:val="nil"/>
          <w:right w:val="nil"/>
          <w:between w:val="nil"/>
        </w:pBdr>
        <w:tabs>
          <w:tab w:val="left" w:pos="426"/>
          <w:tab w:val="left" w:pos="2268"/>
          <w:tab w:val="left" w:pos="2835"/>
          <w:tab w:val="left" w:pos="8364"/>
        </w:tabs>
        <w:spacing w:after="240" w:line="240" w:lineRule="auto"/>
        <w:jc w:val="both"/>
        <w:rPr>
          <w:rFonts w:ascii="Arial" w:eastAsia="Arial" w:hAnsi="Arial" w:cs="Arial"/>
          <w:color w:val="000000"/>
        </w:rPr>
      </w:pPr>
      <w:r>
        <w:rPr>
          <w:rFonts w:ascii="Arial" w:eastAsia="Arial" w:hAnsi="Arial" w:cs="Arial"/>
          <w:color w:val="000000"/>
        </w:rPr>
        <w:t>Tampoco existen protocolos claros de derivación interinstitucionales. Esto resulta en un obstáculo ya que no garantiza que los usuarios con discapacidad psicosocial puedan asegurar el acceso a los servicios de salud mental sin interrupciones independientemente del lugar o sistema en el que se encuentren.</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rPr>
        <w:t>La</w:t>
      </w:r>
      <w:r>
        <w:rPr>
          <w:rFonts w:ascii="Arial" w:eastAsia="Arial" w:hAnsi="Arial" w:cs="Arial"/>
          <w:color w:val="000000"/>
        </w:rPr>
        <w:t xml:space="preserve"> </w:t>
      </w:r>
      <w:r>
        <w:rPr>
          <w:rFonts w:ascii="Arial" w:eastAsia="Arial" w:hAnsi="Arial" w:cs="Arial"/>
        </w:rPr>
        <w:t>realidad</w:t>
      </w:r>
      <w:r>
        <w:rPr>
          <w:rFonts w:ascii="Arial" w:eastAsia="Arial" w:hAnsi="Arial" w:cs="Arial"/>
          <w:color w:val="000000"/>
        </w:rPr>
        <w:t xml:space="preserve"> que también amenaza con asegurar la continuidad y calidad de sus servicios es el </w:t>
      </w:r>
      <w:r>
        <w:rPr>
          <w:rFonts w:ascii="Arial" w:eastAsia="Arial" w:hAnsi="Arial" w:cs="Arial"/>
          <w:b/>
          <w:color w:val="000000"/>
        </w:rPr>
        <w:t>frecuente cambio de ubicación de muchos CSMC</w:t>
      </w:r>
      <w:r>
        <w:rPr>
          <w:rFonts w:ascii="Arial" w:eastAsia="Arial" w:hAnsi="Arial" w:cs="Arial"/>
          <w:color w:val="000000"/>
        </w:rPr>
        <w:t xml:space="preserve">, ya que operan en locales alquilados o prestados. Esta falta de estabilidad afecta, sobre todo, a personas con movilidad reducida, ya que muchas veces estos lugares no cuentan con los estándares mínimos de accesibilidad ni con las condiciones necesarias para sacar adelante terapias grupales, consultas privadas o actividades de rehabilitación psicosocial. Un caso representativo fue el del CSMC Ilarimun del distrito de Los Olivos, que cambió abruptamente de ubicación perjudicando la atención de más de 3000 personas entre niñas, niños, adolescentes, adultos y adultos mayores. </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 xml:space="preserve">Solo entre enero de 2022 y enero de 2023, un total de 248 Centros de Salud Mental Comunitaria del país tuvieron </w:t>
      </w:r>
      <w:r>
        <w:rPr>
          <w:rFonts w:ascii="Arial" w:eastAsia="Arial" w:hAnsi="Arial" w:cs="Arial"/>
          <w:b/>
          <w:color w:val="000000"/>
        </w:rPr>
        <w:t>períodos de desabastecimiento de 32 tipos de medicinas psiquiátricas durante varios meses</w:t>
      </w:r>
      <w:r>
        <w:rPr>
          <w:rFonts w:ascii="Arial" w:eastAsia="Arial" w:hAnsi="Arial" w:cs="Arial"/>
          <w:color w:val="000000"/>
        </w:rPr>
        <w:t>. Esto según los stocks mensuales que reporta cada establecimiento a la Dirección General de Medicamentos, Insumos y Drogas (Digemid). Este problema afecta a los más de un millón de usuarios que dependen de estos servicios, poniendo en riesgo no solo la continuidad de su tratamiento sino también su vida</w:t>
      </w:r>
      <w:r>
        <w:rPr>
          <w:color w:val="000000"/>
          <w:vertAlign w:val="superscript"/>
        </w:rPr>
        <w:footnoteReference w:id="8"/>
      </w:r>
      <w:r>
        <w:rPr>
          <w:rFonts w:ascii="Arial" w:eastAsia="Arial" w:hAnsi="Arial" w:cs="Arial"/>
          <w:color w:val="000000"/>
        </w:rPr>
        <w:t>.</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rPr>
        <w:t>Una</w:t>
      </w:r>
      <w:r>
        <w:rPr>
          <w:rFonts w:ascii="Arial" w:eastAsia="Arial" w:hAnsi="Arial" w:cs="Arial"/>
          <w:color w:val="000000"/>
        </w:rPr>
        <w:t xml:space="preserve"> </w:t>
      </w:r>
      <w:r>
        <w:rPr>
          <w:rFonts w:ascii="Arial" w:eastAsia="Arial" w:hAnsi="Arial" w:cs="Arial"/>
        </w:rPr>
        <w:t>situación</w:t>
      </w:r>
      <w:r>
        <w:rPr>
          <w:rFonts w:ascii="Arial" w:eastAsia="Arial" w:hAnsi="Arial" w:cs="Arial"/>
          <w:color w:val="000000"/>
        </w:rPr>
        <w:t xml:space="preserve"> que se registra tanto en estos espacios como en los principales hospitales especializados en salud mental, es </w:t>
      </w:r>
      <w:r>
        <w:rPr>
          <w:rFonts w:ascii="Arial" w:eastAsia="Arial" w:hAnsi="Arial" w:cs="Arial"/>
          <w:b/>
          <w:color w:val="000000"/>
        </w:rPr>
        <w:t>la falta de consentimiento informado</w:t>
      </w:r>
      <w:r>
        <w:rPr>
          <w:rFonts w:ascii="Arial" w:eastAsia="Arial" w:hAnsi="Arial" w:cs="Arial"/>
          <w:color w:val="000000"/>
        </w:rPr>
        <w:t xml:space="preserve">. El consentimiento informado está regulado en el Perú por la </w:t>
      </w:r>
      <w:hyperlink r:id="rId20">
        <w:r>
          <w:rPr>
            <w:rFonts w:ascii="Arial" w:eastAsia="Arial" w:hAnsi="Arial" w:cs="Arial"/>
            <w:color w:val="1155CC"/>
            <w:u w:val="single"/>
          </w:rPr>
          <w:t>Ley General de Salud</w:t>
        </w:r>
      </w:hyperlink>
      <w:r>
        <w:rPr>
          <w:rFonts w:ascii="Arial" w:eastAsia="Arial" w:hAnsi="Arial" w:cs="Arial"/>
          <w:color w:val="000000"/>
        </w:rPr>
        <w:t xml:space="preserve"> y la Ley de Salud Mental. A pesar de ser un derecho de los usuarios, que necesitan tomar conocimiento de los beneficios y riesgos de su tratamiento y tener la libertad de aceptarlo o pedir otras alternativas, este se omite. Las consecuencias van desde desarrollar afecciones de salud relacionadas con los efectos secundarios de los tratamientos hasta enfrentar problemas más complejos derivados de la falta de </w:t>
      </w:r>
      <w:r>
        <w:rPr>
          <w:rFonts w:ascii="Arial" w:eastAsia="Arial" w:hAnsi="Arial" w:cs="Arial"/>
        </w:rPr>
        <w:t>atención adecuada</w:t>
      </w:r>
      <w:r>
        <w:rPr>
          <w:rFonts w:ascii="Arial" w:eastAsia="Arial" w:hAnsi="Arial" w:cs="Arial"/>
          <w:color w:val="000000"/>
        </w:rPr>
        <w:t xml:space="preserve">. </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rPr>
      </w:pPr>
      <w:r>
        <w:rPr>
          <w:rFonts w:ascii="Arial" w:eastAsia="Arial" w:hAnsi="Arial" w:cs="Arial"/>
        </w:rPr>
        <w:t xml:space="preserve">Otra problemática que se presenta en los servicios de salud mental del Perú, tanto en hospitales especializados como en clínicas privadas, es la </w:t>
      </w:r>
      <w:r>
        <w:rPr>
          <w:rFonts w:ascii="Arial" w:eastAsia="Arial" w:hAnsi="Arial" w:cs="Arial"/>
          <w:b/>
        </w:rPr>
        <w:t>violencia psiquiátrica</w:t>
      </w:r>
      <w:r>
        <w:rPr>
          <w:rFonts w:ascii="Arial" w:eastAsia="Arial" w:hAnsi="Arial" w:cs="Arial"/>
        </w:rPr>
        <w:t xml:space="preserve">. Esta se manifiesta en prácticas como </w:t>
      </w:r>
      <w:r>
        <w:rPr>
          <w:rFonts w:ascii="Arial" w:eastAsia="Arial" w:hAnsi="Arial" w:cs="Arial"/>
          <w:b/>
        </w:rPr>
        <w:t>internamientos forzados, medicalización excesiva sin consentimiento informado y trato degradante hacia los usuarios</w:t>
      </w:r>
      <w:r>
        <w:rPr>
          <w:rFonts w:ascii="Arial" w:eastAsia="Arial" w:hAnsi="Arial" w:cs="Arial"/>
        </w:rPr>
        <w:t xml:space="preserve">. Aunque el derecho a un trato digno y respetuoso está garantizado por la Ley de Salud Mental </w:t>
      </w:r>
      <w:r>
        <w:rPr>
          <w:rFonts w:ascii="Arial" w:eastAsia="Arial" w:hAnsi="Arial" w:cs="Arial"/>
          <w:color w:val="1A1A1A"/>
          <w:highlight w:val="white"/>
        </w:rPr>
        <w:t xml:space="preserve">N 30947 </w:t>
      </w:r>
      <w:r>
        <w:rPr>
          <w:rFonts w:ascii="Arial" w:eastAsia="Arial" w:hAnsi="Arial" w:cs="Arial"/>
        </w:rPr>
        <w:t xml:space="preserve">y la Convención sobre los Derechos de las Personas con Discapacidad, estas garantías son frecuentemente vulneradas. </w:t>
      </w:r>
    </w:p>
    <w:p w:rsidR="00FA771B" w:rsidRDefault="00000000">
      <w:pPr>
        <w:numPr>
          <w:ilvl w:val="0"/>
          <w:numId w:val="9"/>
        </w:numPr>
        <w:pBdr>
          <w:top w:val="nil"/>
          <w:left w:val="nil"/>
          <w:bottom w:val="nil"/>
          <w:right w:val="nil"/>
          <w:between w:val="nil"/>
        </w:pBdr>
        <w:tabs>
          <w:tab w:val="left" w:pos="-5"/>
          <w:tab w:val="left" w:pos="2268"/>
          <w:tab w:val="left" w:pos="2835"/>
          <w:tab w:val="left" w:pos="8364"/>
        </w:tabs>
        <w:spacing w:after="0" w:line="240" w:lineRule="auto"/>
        <w:ind w:left="0" w:firstLine="0"/>
        <w:jc w:val="both"/>
        <w:rPr>
          <w:rFonts w:ascii="Arial" w:eastAsia="Arial" w:hAnsi="Arial" w:cs="Arial"/>
        </w:rPr>
      </w:pPr>
      <w:r>
        <w:rPr>
          <w:rFonts w:ascii="Arial" w:eastAsia="Arial" w:hAnsi="Arial" w:cs="Arial"/>
        </w:rPr>
        <w:t>Un ejemplo de esta grave situación es el caso de Belisa Sighuas, que se internó por voluntad propia en la Clínica Caravedo, ubicada en la ciudad de Lima, para tratar una depresión, sin imaginar que sería torturada: f</w:t>
      </w:r>
      <w:r>
        <w:rPr>
          <w:rFonts w:ascii="Arial" w:eastAsia="Arial" w:hAnsi="Arial" w:cs="Arial"/>
          <w:b/>
        </w:rPr>
        <w:t>ue atada de pies y manos y sedada hasta el punto de no poder probar bocado</w:t>
      </w:r>
      <w:r>
        <w:rPr>
          <w:rFonts w:ascii="Arial" w:eastAsia="Arial" w:hAnsi="Arial" w:cs="Arial"/>
        </w:rPr>
        <w:t xml:space="preserve">. Además, le pusieron un pañal para evitar que tenga que trasladarse al baño. La clínica cerró temporalmente luego de </w:t>
      </w:r>
      <w:r>
        <w:rPr>
          <w:rFonts w:ascii="Arial" w:eastAsia="Arial" w:hAnsi="Arial" w:cs="Arial"/>
        </w:rPr>
        <w:lastRenderedPageBreak/>
        <w:t>su denuncia, sin embargo, al día de hoy, sigue funcionando con normalidad</w:t>
      </w:r>
      <w:r>
        <w:rPr>
          <w:rFonts w:ascii="Arial" w:eastAsia="Arial" w:hAnsi="Arial" w:cs="Arial"/>
          <w:vertAlign w:val="superscript"/>
        </w:rPr>
        <w:footnoteReference w:id="9"/>
      </w:r>
      <w:r>
        <w:rPr>
          <w:rFonts w:ascii="Arial" w:eastAsia="Arial" w:hAnsi="Arial" w:cs="Arial"/>
        </w:rPr>
        <w:t>, evidenciando que no existen sanciones claras para establecimientos que atentan contra los derechos humanos.</w:t>
      </w:r>
    </w:p>
    <w:p w:rsidR="00FA771B" w:rsidRDefault="00000000">
      <w:pPr>
        <w:numPr>
          <w:ilvl w:val="0"/>
          <w:numId w:val="9"/>
        </w:numPr>
        <w:pBdr>
          <w:top w:val="nil"/>
          <w:left w:val="nil"/>
          <w:bottom w:val="nil"/>
          <w:right w:val="nil"/>
          <w:between w:val="nil"/>
        </w:pBdr>
        <w:tabs>
          <w:tab w:val="left" w:pos="-5"/>
          <w:tab w:val="left" w:pos="2268"/>
          <w:tab w:val="left" w:pos="2835"/>
          <w:tab w:val="left" w:pos="8364"/>
        </w:tabs>
        <w:spacing w:after="240" w:line="240" w:lineRule="auto"/>
        <w:ind w:left="0" w:firstLine="0"/>
        <w:jc w:val="both"/>
        <w:rPr>
          <w:rFonts w:ascii="Arial" w:eastAsia="Arial" w:hAnsi="Arial" w:cs="Arial"/>
        </w:rPr>
      </w:pPr>
      <w:r>
        <w:rPr>
          <w:rFonts w:ascii="Arial" w:eastAsia="Arial" w:hAnsi="Arial" w:cs="Arial"/>
        </w:rPr>
        <w:t>En el Perú también se mantienen operando “centros terapéuticos” dirigidos a personas con discapacidad, incluyendo niños y niñas autistas que registran denuncias de violencia física y otras formas de maltrato</w:t>
      </w:r>
      <w:r>
        <w:rPr>
          <w:rFonts w:ascii="Arial" w:eastAsia="Arial" w:hAnsi="Arial" w:cs="Arial"/>
          <w:vertAlign w:val="superscript"/>
        </w:rPr>
        <w:footnoteReference w:id="10"/>
      </w:r>
      <w:r>
        <w:rPr>
          <w:rFonts w:ascii="Arial" w:eastAsia="Arial" w:hAnsi="Arial" w:cs="Arial"/>
        </w:rPr>
        <w:t xml:space="preserve">. En el caso enunciado, se reportó que en el Centro Terapeútico Especializados para Niños (CETDIN), varios menores de cuatro años eran sujetados a sus sillas con cinta de embalaje, con la que también se les tapaba la boca para que no hagan ruido.  </w:t>
      </w:r>
    </w:p>
    <w:p w:rsidR="00FA771B" w:rsidRDefault="00000000">
      <w:pPr>
        <w:keepNext/>
        <w:keepLines/>
        <w:tabs>
          <w:tab w:val="left" w:pos="8364"/>
        </w:tabs>
        <w:spacing w:after="240" w:line="240" w:lineRule="auto"/>
        <w:rPr>
          <w:rFonts w:ascii="Arial" w:eastAsia="Arial" w:hAnsi="Arial" w:cs="Arial"/>
          <w:b/>
          <w:color w:val="1F3763"/>
        </w:rPr>
      </w:pPr>
      <w:bookmarkStart w:id="1" w:name="_heading=h.obb1uggb9be0" w:colFirst="0" w:colLast="0"/>
      <w:bookmarkEnd w:id="1"/>
      <w:r>
        <w:rPr>
          <w:rFonts w:ascii="Arial" w:eastAsia="Arial" w:hAnsi="Arial" w:cs="Arial"/>
          <w:b/>
          <w:color w:val="1F3763"/>
        </w:rPr>
        <w:t>Por ello, sugerimos al Comité las siguientes recomendaciones:</w:t>
      </w:r>
    </w:p>
    <w:p w:rsidR="00FA771B" w:rsidRDefault="00000000">
      <w:pPr>
        <w:numPr>
          <w:ilvl w:val="0"/>
          <w:numId w:val="2"/>
        </w:numPr>
        <w:tabs>
          <w:tab w:val="left" w:pos="1701"/>
          <w:tab w:val="left" w:pos="2268"/>
          <w:tab w:val="left" w:pos="2835"/>
          <w:tab w:val="left" w:pos="8364"/>
        </w:tabs>
        <w:spacing w:after="0" w:line="240" w:lineRule="auto"/>
        <w:jc w:val="both"/>
        <w:rPr>
          <w:rFonts w:ascii="Arial" w:eastAsia="Arial" w:hAnsi="Arial" w:cs="Arial"/>
        </w:rPr>
      </w:pPr>
      <w:r>
        <w:rPr>
          <w:rFonts w:ascii="Arial" w:eastAsia="Arial" w:hAnsi="Arial" w:cs="Arial"/>
        </w:rPr>
        <w:t>Asegurar que los centros de salud sean accesibles tanto física como tecnológicamente, cuenten con equipamiento adecuado y personal capacitado en atención a personas con discapacidad y diversidad sexual y de género.</w:t>
      </w:r>
    </w:p>
    <w:p w:rsidR="00FA771B" w:rsidRDefault="00000000">
      <w:pPr>
        <w:numPr>
          <w:ilvl w:val="0"/>
          <w:numId w:val="2"/>
        </w:numPr>
        <w:tabs>
          <w:tab w:val="left" w:pos="1701"/>
          <w:tab w:val="left" w:pos="2268"/>
          <w:tab w:val="left" w:pos="2835"/>
          <w:tab w:val="left" w:pos="8364"/>
        </w:tabs>
        <w:spacing w:after="0" w:line="240" w:lineRule="auto"/>
        <w:jc w:val="both"/>
        <w:rPr>
          <w:rFonts w:ascii="Arial" w:eastAsia="Arial" w:hAnsi="Arial" w:cs="Arial"/>
        </w:rPr>
      </w:pPr>
      <w:r>
        <w:rPr>
          <w:rFonts w:ascii="Arial" w:eastAsia="Arial" w:hAnsi="Arial" w:cs="Arial"/>
        </w:rPr>
        <w:t>Ejecutar programas obligatorios y continuos de formación sobre salud mental y discapacidad, con énfasis en un enfoque de derechos y atención humanizada.</w:t>
      </w:r>
    </w:p>
    <w:p w:rsidR="00FA771B" w:rsidRDefault="00000000">
      <w:pPr>
        <w:numPr>
          <w:ilvl w:val="0"/>
          <w:numId w:val="2"/>
        </w:numPr>
        <w:tabs>
          <w:tab w:val="left" w:pos="1701"/>
          <w:tab w:val="left" w:pos="2268"/>
          <w:tab w:val="left" w:pos="2835"/>
          <w:tab w:val="left" w:pos="8364"/>
        </w:tabs>
        <w:spacing w:after="0" w:line="240" w:lineRule="auto"/>
        <w:jc w:val="both"/>
        <w:rPr>
          <w:rFonts w:ascii="Arial" w:eastAsia="Arial" w:hAnsi="Arial" w:cs="Arial"/>
        </w:rPr>
      </w:pPr>
      <w:r>
        <w:rPr>
          <w:rFonts w:ascii="Arial" w:eastAsia="Arial" w:hAnsi="Arial" w:cs="Arial"/>
        </w:rPr>
        <w:t>Promover la autodefensa y liderazgo, asegurando la participación activa de los usuarios en la toma de decisiones.</w:t>
      </w:r>
    </w:p>
    <w:p w:rsidR="00FA771B" w:rsidRDefault="00000000">
      <w:pPr>
        <w:numPr>
          <w:ilvl w:val="0"/>
          <w:numId w:val="2"/>
        </w:numPr>
        <w:tabs>
          <w:tab w:val="left" w:pos="1701"/>
          <w:tab w:val="left" w:pos="2268"/>
          <w:tab w:val="left" w:pos="2835"/>
        </w:tabs>
        <w:spacing w:after="0" w:line="276" w:lineRule="auto"/>
        <w:jc w:val="both"/>
        <w:rPr>
          <w:rFonts w:ascii="Arial" w:eastAsia="Arial" w:hAnsi="Arial" w:cs="Arial"/>
        </w:rPr>
      </w:pPr>
      <w:r>
        <w:rPr>
          <w:rFonts w:ascii="Arial" w:eastAsia="Arial" w:hAnsi="Arial" w:cs="Arial"/>
        </w:rPr>
        <w:t>Que SUSALUD ajuste sus procedimientos dentro de su reglamento para cautelar el derecho al consentimiento informado y a la libertad de personas con discapacidad psicosocial que son internadas en establecimiento de salud en contra de voluntad.</w:t>
      </w:r>
    </w:p>
    <w:p w:rsidR="00FA771B" w:rsidRDefault="00000000">
      <w:pPr>
        <w:numPr>
          <w:ilvl w:val="0"/>
          <w:numId w:val="2"/>
        </w:numPr>
        <w:tabs>
          <w:tab w:val="left" w:pos="1701"/>
          <w:tab w:val="left" w:pos="2268"/>
          <w:tab w:val="left" w:pos="2835"/>
        </w:tabs>
        <w:spacing w:after="0" w:line="276" w:lineRule="auto"/>
        <w:jc w:val="both"/>
        <w:rPr>
          <w:rFonts w:ascii="Arial" w:eastAsia="Arial" w:hAnsi="Arial" w:cs="Arial"/>
        </w:rPr>
      </w:pPr>
      <w:r>
        <w:rPr>
          <w:rFonts w:ascii="Arial" w:eastAsia="Arial" w:hAnsi="Arial" w:cs="Arial"/>
        </w:rPr>
        <w:t>Que se supervise, con la participación de las personas con discapacidad y de las organizaciones que las representan, el cumplimiento de la prohibición de utilizar medidas coercitivas en todas las instituciones públicas y privadas, realizando visitas sin previo aviso, adoptando medidas efectivas para garantizar la observancia de la prohibición y llevando a los infractores ante la justicia.</w:t>
      </w:r>
    </w:p>
    <w:p w:rsidR="00FA771B" w:rsidRDefault="00FA771B">
      <w:pPr>
        <w:tabs>
          <w:tab w:val="left" w:pos="1701"/>
          <w:tab w:val="left" w:pos="2268"/>
          <w:tab w:val="left" w:pos="2835"/>
          <w:tab w:val="left" w:pos="8364"/>
        </w:tabs>
        <w:spacing w:after="240" w:line="240" w:lineRule="auto"/>
        <w:jc w:val="both"/>
        <w:rPr>
          <w:rFonts w:ascii="Arial" w:eastAsia="Arial" w:hAnsi="Arial" w:cs="Arial"/>
          <w:highlight w:val="yellow"/>
        </w:rPr>
      </w:pPr>
    </w:p>
    <w:p w:rsidR="00FA771B" w:rsidRDefault="00000000">
      <w:pPr>
        <w:keepNext/>
        <w:keepLines/>
        <w:tabs>
          <w:tab w:val="right" w:pos="851"/>
          <w:tab w:val="left" w:pos="8364"/>
        </w:tabs>
        <w:spacing w:after="240" w:line="240" w:lineRule="auto"/>
        <w:jc w:val="center"/>
        <w:rPr>
          <w:rFonts w:ascii="Arial" w:eastAsia="Arial" w:hAnsi="Arial" w:cs="Arial"/>
          <w:b/>
          <w:sz w:val="30"/>
          <w:szCs w:val="30"/>
        </w:rPr>
      </w:pPr>
      <w:r>
        <w:rPr>
          <w:rFonts w:ascii="Arial" w:eastAsia="Arial" w:hAnsi="Arial" w:cs="Arial"/>
          <w:b/>
          <w:sz w:val="30"/>
          <w:szCs w:val="30"/>
        </w:rPr>
        <w:t xml:space="preserve">Derecho a la educación (arts. 13 y 14) </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 xml:space="preserve">El acceso a una educación inclusiva y de calidad sigue siendo un desafío crítico en el Perú, especialmente para las personas con discapacidad. A pesar de que la </w:t>
      </w:r>
      <w:r>
        <w:rPr>
          <w:rFonts w:ascii="Arial" w:eastAsia="Arial" w:hAnsi="Arial" w:cs="Arial"/>
        </w:rPr>
        <w:t>Ley General de Educación N 28044,</w:t>
      </w:r>
      <w:r>
        <w:rPr>
          <w:rFonts w:ascii="Arial" w:eastAsia="Arial" w:hAnsi="Arial" w:cs="Arial"/>
          <w:color w:val="000000"/>
        </w:rPr>
        <w:t xml:space="preserve"> establece el derecho de todas las personas a recibir educación en igualdad de condiciones, </w:t>
      </w:r>
      <w:r>
        <w:rPr>
          <w:rFonts w:ascii="Arial" w:eastAsia="Arial" w:hAnsi="Arial" w:cs="Arial"/>
          <w:b/>
          <w:color w:val="000000"/>
        </w:rPr>
        <w:t>los estudiantes con discapacidad enfrentan una serie de obstáculos estructurales</w:t>
      </w:r>
      <w:r>
        <w:rPr>
          <w:rFonts w:ascii="Arial" w:eastAsia="Arial" w:hAnsi="Arial" w:cs="Arial"/>
          <w:color w:val="000000"/>
        </w:rPr>
        <w:t xml:space="preserve"> que limitan su acceso y permanencia en el sistema educativo. Se estima que el 58% de niños, niñas y adolescentes con algún tipo de discapacidad están fuera del sistema educativo (Censo Escolar 2021).</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b/>
          <w:color w:val="000000"/>
        </w:rPr>
        <w:t>La denegación de matrícula por motivos de discapacidad es una práctica común en las escuelas peruanas</w:t>
      </w:r>
      <w:r>
        <w:rPr>
          <w:rFonts w:ascii="Arial" w:eastAsia="Arial" w:hAnsi="Arial" w:cs="Arial"/>
          <w:color w:val="000000"/>
        </w:rPr>
        <w:t xml:space="preserve">, afectando gravemente a los niños y niñas que requieren adaptaciones educativas. Esta situación es difícil de denunciar, ya que la negativa suele darse de forma verbal y, ante la falta de pruebas documentales, resulta imposible iniciar quejas administrativas o demandas judiciales. Los largos tiempos de resolución de estos mecanismos también desincentivan las denuncias, ya que la </w:t>
      </w:r>
      <w:r>
        <w:rPr>
          <w:rFonts w:ascii="Arial" w:eastAsia="Arial" w:hAnsi="Arial" w:cs="Arial"/>
          <w:color w:val="000000"/>
        </w:rPr>
        <w:lastRenderedPageBreak/>
        <w:t>resolución puede tardar meses o incluso años, particularmente en demandas de amparo.</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Aunque la Resolución Ministerial N.º 447-2020-MINEDU obliga a las escuelas a reservar al menos dos vacantes por aula para estudiantes con discapacidad en todas las instituciones educativas, su implementación ha sido insuficiente para erradicar estas prácticas discriminatorias.</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 xml:space="preserve">El sistema educativo no solo falla en asegurar el acceso, </w:t>
      </w:r>
      <w:r>
        <w:rPr>
          <w:rFonts w:ascii="Arial" w:eastAsia="Arial" w:hAnsi="Arial" w:cs="Arial"/>
          <w:b/>
          <w:color w:val="000000"/>
        </w:rPr>
        <w:t>sino también en proveer los apoyos necesarios para que los estudiantes con discapacidad puedan participar plenamente en la vida escolar</w:t>
      </w:r>
      <w:r>
        <w:rPr>
          <w:rFonts w:ascii="Arial" w:eastAsia="Arial" w:hAnsi="Arial" w:cs="Arial"/>
          <w:color w:val="000000"/>
        </w:rPr>
        <w:t>, lo  que afecta particularmente a las familias. Muchas de ellas constantemente denuncian el requerimiento de cobros indebidos, mediante el incremento de matrículas y mensualidades, y la exigencia de realizar evaluaciones psicopedagógicas o terapias externas para permanecer en la escuela. Además, reportan la falta de ajustes razonables, el requerimiento de contar con apoyos externos financiados por la familia (especialmente en instituciones educativas privadas), la exclusión en las actividades curriculares y extracurriculares, así como situaciones de violencia.</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 xml:space="preserve">Adicionalmente, </w:t>
      </w:r>
      <w:r>
        <w:rPr>
          <w:rFonts w:ascii="Arial" w:eastAsia="Arial" w:hAnsi="Arial" w:cs="Arial"/>
          <w:b/>
          <w:color w:val="000000"/>
        </w:rPr>
        <w:t>las infraestructuras escolares son, en su mayoría, inaccesibles</w:t>
      </w:r>
      <w:r>
        <w:rPr>
          <w:rFonts w:ascii="Arial" w:eastAsia="Arial" w:hAnsi="Arial" w:cs="Arial"/>
          <w:color w:val="000000"/>
        </w:rPr>
        <w:t xml:space="preserve">. Según datos recogidos por la Defensoría del Pueblo, solo el 0.7% de las instalaciones educativas en el país son totalmente accesibles, lo que impide que muchos estudiantes con discapacidad asistan a la escuela. </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La violencia y el acoso escolar contra estudiantes con discapacidad persisten en las instituciones educativas peruanas. De acuerdo al Sistema Especializado en Atención de Casos sobre Violencia Escolar (SiseVe), en 2022 se registraron 32 casos de violencia contra estudiantes con discapacidad, principalmente relacionados con discriminación y agresión verbal, lo que evidencia la persistente estigmatización en el ámbito escolar. Los esfuerzos para erradicar estas conductas han sido insuficientes, y los mecanismos para denunciar y sancionar estos actos no son efectivos.</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De acuerdo al informe de SODIS, "Policy Analysis The role of social protection in the mitigation of the COVID-19 pandemic impact and future social shocks for persons with disabilities in Peru”,</w:t>
      </w:r>
      <w:r>
        <w:rPr>
          <w:rFonts w:ascii="Arial" w:eastAsia="Arial" w:hAnsi="Arial" w:cs="Arial"/>
          <w:color w:val="000000"/>
          <w:vertAlign w:val="superscript"/>
        </w:rPr>
        <w:footnoteReference w:id="11"/>
      </w:r>
      <w:r>
        <w:rPr>
          <w:rFonts w:ascii="Arial" w:eastAsia="Arial" w:hAnsi="Arial" w:cs="Arial"/>
          <w:color w:val="000000"/>
        </w:rPr>
        <w:t xml:space="preserve"> la</w:t>
      </w:r>
      <w:r>
        <w:rPr>
          <w:rFonts w:ascii="Arial" w:eastAsia="Arial" w:hAnsi="Arial" w:cs="Arial"/>
        </w:rPr>
        <w:t xml:space="preserve"> </w:t>
      </w:r>
      <w:r>
        <w:rPr>
          <w:rFonts w:ascii="Arial" w:eastAsia="Arial" w:hAnsi="Arial" w:cs="Arial"/>
          <w:color w:val="000000"/>
        </w:rPr>
        <w:t>pandemia de COVID-19 exacerbó las desigualdades preexistentes en el acceso a la educación. Las escuelas en Perú cerraron durante casi dos años, desde marzo de 2020 hasta marzo de 2022. Esto llevó al gobierno a implementar la estrategia virtual "Aprendo en Casa", que ofrecía contenidos educativos a través de diversas plataformas como televisión, radio e internet.</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 xml:space="preserve">Aunque se incluyó la interpretación en lengua de señas, no se ofrecieron subtítulos ni otros formatos accesibles. La falta de accesibilidad limitó el acceso equitativo a la educación para los estudiantes con discapacidades. Así mismo, la falta de acceso a internet y dispositivos electrónicos, especialmente en áreas pobres y rurales, </w:t>
      </w:r>
      <w:r>
        <w:rPr>
          <w:rFonts w:ascii="Arial" w:eastAsia="Arial" w:hAnsi="Arial" w:cs="Arial"/>
        </w:rPr>
        <w:t>constituye</w:t>
      </w:r>
      <w:r>
        <w:rPr>
          <w:rFonts w:ascii="Arial" w:eastAsia="Arial" w:hAnsi="Arial" w:cs="Arial"/>
          <w:color w:val="000000"/>
        </w:rPr>
        <w:t xml:space="preserve"> otra barrera importante para la educación remota, y la entrega de dispositivos electrónicos se retrasó, agravando la situación. Muchos estudiantes con discapacidad no pudieron acceder a los contenidos de "Aprendo en Casa" debido a esta brecha digital.</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 xml:space="preserve">A pesar de la creación de los Servicios de Apoyo Educativo (SAE) en 2021, diseñados para brindar soporte técnico y pedagógico a las escuelas en su conjunto y a los docentes, permitiendo atender de manera oportuna a los estudiantes con </w:t>
      </w:r>
      <w:r>
        <w:rPr>
          <w:rFonts w:ascii="Arial" w:eastAsia="Arial" w:hAnsi="Arial" w:cs="Arial"/>
          <w:color w:val="000000"/>
        </w:rPr>
        <w:lastRenderedPageBreak/>
        <w:t>discapacidad, su implementación ha sido limitada. Gracias a la presión de la sociedad civil, su implementación inició en 2024 en solo 8 de las 26 regiones del país. Sin embargo, para 2025 no se ha proyectado un incremento presupuestario, dejando el servicio limitado al mismo alcance inicial. Esto pone en riesgo la expansión, sostenibilidad y continuidad de los SAE, y con ello, el disfrute del derecho a una educación inclusiva.</w:t>
      </w:r>
    </w:p>
    <w:p w:rsidR="00FA771B" w:rsidRDefault="00000000">
      <w:pPr>
        <w:tabs>
          <w:tab w:val="left" w:pos="426"/>
          <w:tab w:val="left" w:pos="2268"/>
          <w:tab w:val="left" w:pos="2835"/>
          <w:tab w:val="left" w:pos="8364"/>
        </w:tabs>
        <w:spacing w:after="240" w:line="240" w:lineRule="auto"/>
        <w:jc w:val="both"/>
        <w:rPr>
          <w:rFonts w:ascii="Arial" w:eastAsia="Arial" w:hAnsi="Arial" w:cs="Arial"/>
          <w:b/>
          <w:color w:val="1F3763"/>
        </w:rPr>
      </w:pPr>
      <w:r>
        <w:rPr>
          <w:rFonts w:ascii="Arial" w:eastAsia="Arial" w:hAnsi="Arial" w:cs="Arial"/>
          <w:b/>
          <w:color w:val="1F3763"/>
        </w:rPr>
        <w:t>Por ello, sugerimos al Comité las siguientes recomendaciones</w:t>
      </w:r>
    </w:p>
    <w:p w:rsidR="00FA771B" w:rsidRDefault="00000000">
      <w:pPr>
        <w:numPr>
          <w:ilvl w:val="0"/>
          <w:numId w:val="4"/>
        </w:numPr>
        <w:tabs>
          <w:tab w:val="left" w:pos="426"/>
          <w:tab w:val="left" w:pos="2268"/>
          <w:tab w:val="left" w:pos="2835"/>
          <w:tab w:val="left" w:pos="8364"/>
        </w:tabs>
        <w:spacing w:after="0" w:line="240" w:lineRule="auto"/>
        <w:jc w:val="both"/>
        <w:rPr>
          <w:rFonts w:ascii="Arial" w:eastAsia="Arial" w:hAnsi="Arial" w:cs="Arial"/>
        </w:rPr>
      </w:pPr>
      <w:r>
        <w:rPr>
          <w:rFonts w:ascii="Arial" w:eastAsia="Arial" w:hAnsi="Arial" w:cs="Arial"/>
        </w:rPr>
        <w:t>Implementar mecanismos efectivos y accesibles para denunciar la discriminación en la matrícula de estudiantes con discapacidad y sancionar a las instituciones que persistan en estas prácticas</w:t>
      </w:r>
    </w:p>
    <w:p w:rsidR="00FA771B" w:rsidRDefault="00000000">
      <w:pPr>
        <w:numPr>
          <w:ilvl w:val="0"/>
          <w:numId w:val="4"/>
        </w:numPr>
        <w:tabs>
          <w:tab w:val="left" w:pos="426"/>
          <w:tab w:val="left" w:pos="2268"/>
          <w:tab w:val="left" w:pos="2835"/>
          <w:tab w:val="left" w:pos="8364"/>
        </w:tabs>
        <w:spacing w:after="0" w:line="240" w:lineRule="auto"/>
        <w:jc w:val="both"/>
        <w:rPr>
          <w:rFonts w:ascii="Arial" w:eastAsia="Arial" w:hAnsi="Arial" w:cs="Arial"/>
        </w:rPr>
      </w:pPr>
      <w:r>
        <w:rPr>
          <w:rFonts w:ascii="Arial" w:eastAsia="Arial" w:hAnsi="Arial" w:cs="Arial"/>
        </w:rPr>
        <w:t>Asegurar la asignación de recursos financieros suficientes para expandir los Servicios de Apoyo Educativo a todas las regiones del país, garantizando la sostenibilidad de estos servicios.</w:t>
      </w:r>
    </w:p>
    <w:p w:rsidR="00FA771B" w:rsidRDefault="00000000">
      <w:pPr>
        <w:numPr>
          <w:ilvl w:val="0"/>
          <w:numId w:val="4"/>
        </w:numPr>
        <w:tabs>
          <w:tab w:val="left" w:pos="426"/>
          <w:tab w:val="left" w:pos="2268"/>
          <w:tab w:val="left" w:pos="2835"/>
          <w:tab w:val="left" w:pos="8364"/>
        </w:tabs>
        <w:spacing w:after="0" w:line="240" w:lineRule="auto"/>
        <w:jc w:val="both"/>
        <w:rPr>
          <w:rFonts w:ascii="Arial" w:eastAsia="Arial" w:hAnsi="Arial" w:cs="Arial"/>
        </w:rPr>
      </w:pPr>
      <w:r>
        <w:rPr>
          <w:rFonts w:ascii="Arial" w:eastAsia="Arial" w:hAnsi="Arial" w:cs="Arial"/>
        </w:rPr>
        <w:t>Diseñar e implementar estrategias urgentes para identificar y reincorporar a los niños y niñas con discapacidad que están fuera del sistema educativo, y asegurar su inclusión en programas de educación básica.</w:t>
      </w:r>
    </w:p>
    <w:p w:rsidR="00FA771B" w:rsidRDefault="00000000">
      <w:pPr>
        <w:numPr>
          <w:ilvl w:val="0"/>
          <w:numId w:val="4"/>
        </w:numPr>
        <w:tabs>
          <w:tab w:val="left" w:pos="426"/>
          <w:tab w:val="left" w:pos="2268"/>
          <w:tab w:val="left" w:pos="2835"/>
          <w:tab w:val="left" w:pos="8364"/>
        </w:tabs>
        <w:spacing w:after="240" w:line="240" w:lineRule="auto"/>
        <w:jc w:val="both"/>
        <w:rPr>
          <w:rFonts w:ascii="Arial" w:eastAsia="Arial" w:hAnsi="Arial" w:cs="Arial"/>
        </w:rPr>
      </w:pPr>
      <w:r>
        <w:rPr>
          <w:rFonts w:ascii="Arial" w:eastAsia="Arial" w:hAnsi="Arial" w:cs="Arial"/>
        </w:rPr>
        <w:t>Fortalecer las estrategias contra el acoso escolar, con especial atención a estudiantes con discapacidad.</w:t>
      </w:r>
    </w:p>
    <w:p w:rsidR="00FA771B" w:rsidRDefault="00FA771B">
      <w:pPr>
        <w:keepNext/>
        <w:keepLines/>
        <w:tabs>
          <w:tab w:val="right" w:pos="851"/>
          <w:tab w:val="left" w:pos="8364"/>
        </w:tabs>
        <w:spacing w:after="240" w:line="240" w:lineRule="auto"/>
        <w:jc w:val="both"/>
        <w:rPr>
          <w:rFonts w:ascii="Arial" w:eastAsia="Arial" w:hAnsi="Arial" w:cs="Arial"/>
          <w:b/>
        </w:rPr>
      </w:pPr>
    </w:p>
    <w:p w:rsidR="00FA771B" w:rsidRDefault="00000000">
      <w:pPr>
        <w:keepNext/>
        <w:keepLines/>
        <w:tabs>
          <w:tab w:val="right" w:pos="851"/>
          <w:tab w:val="left" w:pos="8364"/>
        </w:tabs>
        <w:spacing w:after="240" w:line="240" w:lineRule="auto"/>
        <w:jc w:val="center"/>
        <w:rPr>
          <w:rFonts w:ascii="Arial" w:eastAsia="Arial" w:hAnsi="Arial" w:cs="Arial"/>
          <w:sz w:val="30"/>
          <w:szCs w:val="30"/>
        </w:rPr>
      </w:pPr>
      <w:r>
        <w:rPr>
          <w:rFonts w:ascii="Arial" w:eastAsia="Arial" w:hAnsi="Arial" w:cs="Arial"/>
          <w:b/>
          <w:sz w:val="30"/>
          <w:szCs w:val="30"/>
        </w:rPr>
        <w:t>Derechos culturales (art. 15)</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 xml:space="preserve">El derecho a participar en la vida cultural se ve gravemente limitado por la </w:t>
      </w:r>
      <w:r>
        <w:rPr>
          <w:rFonts w:ascii="Arial" w:eastAsia="Arial" w:hAnsi="Arial" w:cs="Arial"/>
          <w:b/>
          <w:color w:val="000000"/>
        </w:rPr>
        <w:t>falta de accesibilidad en las actividades culturales y recreativas</w:t>
      </w:r>
      <w:r>
        <w:rPr>
          <w:rFonts w:ascii="Arial" w:eastAsia="Arial" w:hAnsi="Arial" w:cs="Arial"/>
          <w:color w:val="000000"/>
        </w:rPr>
        <w:t xml:space="preserve">, lo que refleja un incumplimiento sistemático de las obligaciones del Estado en este ámbito. La promoción de la cultura no puede desligarse de la accesibilidad en el entorno urbano y en los lugares de recreación. La falta de accesibilidad física en edificios culturales, parques, playas, estadios y otros espacios públicos impide que las personas con discapacidad participen plenamente en actividades recreativas. </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 xml:space="preserve">A pesar de la normativa vigente, las barreras físicas persisten en todo el país, lo que refleja una carencia en la implementación efectiva de las políticas de accesibilidad. </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 xml:space="preserve">Un caso particular de vulneración del derecho a la cultura lo constituye la población sorda. Aunque la Ley 29535 reconoce oficialmente la Lengua de Señas Peruana, su implementación ha sido incompleta. El Ministerio de Educación no ha cumplido con los plazos establecidos para la aprobación del perfil de intérprete de lengua de señas, lo que obstaculiza el acceso a una educación y actividades culturales accesibles. </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Además, la reciente iniciativa de modificar dicha ley sin consultar a la comunidad sorda contraviene principios fundamentales de la Convención sobre los Derechos de las Personas con Discapacidad, perpetuando la exclusión de esta comunidad. Dicha modificatoria representaba algunos retrocesos para la comunidad sorda, puesto que definía a la lengua de señas como un sistema lingüístico y no como una lengua natural, completa y autónoma, que tiene sus propias gramáticas, como cualquier otra lengua.</w:t>
      </w:r>
    </w:p>
    <w:p w:rsidR="00FA771B" w:rsidRDefault="00000000">
      <w:pPr>
        <w:numPr>
          <w:ilvl w:val="0"/>
          <w:numId w:val="9"/>
        </w:numPr>
        <w:pBdr>
          <w:top w:val="nil"/>
          <w:left w:val="nil"/>
          <w:bottom w:val="nil"/>
          <w:right w:val="nil"/>
          <w:between w:val="nil"/>
        </w:pBdr>
        <w:tabs>
          <w:tab w:val="left" w:pos="426"/>
          <w:tab w:val="left" w:pos="2268"/>
          <w:tab w:val="left" w:pos="2835"/>
          <w:tab w:val="left" w:pos="8364"/>
        </w:tabs>
        <w:spacing w:after="240" w:line="240" w:lineRule="auto"/>
        <w:ind w:left="0" w:firstLine="0"/>
        <w:jc w:val="both"/>
        <w:rPr>
          <w:rFonts w:ascii="Arial" w:eastAsia="Arial" w:hAnsi="Arial" w:cs="Arial"/>
          <w:color w:val="000000"/>
        </w:rPr>
      </w:pPr>
      <w:r>
        <w:rPr>
          <w:rFonts w:ascii="Arial" w:eastAsia="Arial" w:hAnsi="Arial" w:cs="Arial"/>
          <w:color w:val="000000"/>
        </w:rPr>
        <w:t xml:space="preserve">Asimismo, los medios de comunicación masiva no incorporan de manera integral mecanismos de accesibilidad, como la interpretación en lengua de señas, subtitulado o audiodescripción, lo que viola el derecho de las personas con discapacidad sensorial a la información. Esta omisión no solo limita el acceso a contenidos culturales y de </w:t>
      </w:r>
      <w:r>
        <w:rPr>
          <w:rFonts w:ascii="Arial" w:eastAsia="Arial" w:hAnsi="Arial" w:cs="Arial"/>
          <w:color w:val="000000"/>
        </w:rPr>
        <w:lastRenderedPageBreak/>
        <w:t>entretenimiento, sino que también refleja la falta de voluntad política para cumplir con los principios de inclusión y equidad.</w:t>
      </w:r>
    </w:p>
    <w:p w:rsidR="00FA771B" w:rsidRDefault="00000000">
      <w:pPr>
        <w:keepNext/>
        <w:keepLines/>
        <w:tabs>
          <w:tab w:val="left" w:pos="8364"/>
        </w:tabs>
        <w:spacing w:after="240" w:line="240" w:lineRule="auto"/>
        <w:rPr>
          <w:rFonts w:ascii="Arial" w:eastAsia="Arial" w:hAnsi="Arial" w:cs="Arial"/>
          <w:b/>
        </w:rPr>
      </w:pPr>
      <w:bookmarkStart w:id="2" w:name="_heading=h.35nkun2" w:colFirst="0" w:colLast="0"/>
      <w:bookmarkEnd w:id="2"/>
      <w:r>
        <w:rPr>
          <w:rFonts w:ascii="Arial" w:eastAsia="Arial" w:hAnsi="Arial" w:cs="Arial"/>
          <w:b/>
          <w:color w:val="1F3763"/>
        </w:rPr>
        <w:t>Por ello, sugerimos al Comité las siguientes recomendaciones:</w:t>
      </w:r>
    </w:p>
    <w:p w:rsidR="00FA771B" w:rsidRDefault="00000000">
      <w:pPr>
        <w:numPr>
          <w:ilvl w:val="0"/>
          <w:numId w:val="10"/>
        </w:numPr>
        <w:tabs>
          <w:tab w:val="left" w:pos="8364"/>
        </w:tabs>
        <w:spacing w:after="0" w:line="240" w:lineRule="auto"/>
        <w:jc w:val="both"/>
        <w:rPr>
          <w:rFonts w:ascii="Arial" w:eastAsia="Arial" w:hAnsi="Arial" w:cs="Arial"/>
        </w:rPr>
      </w:pPr>
      <w:r>
        <w:rPr>
          <w:rFonts w:ascii="Arial" w:eastAsia="Arial" w:hAnsi="Arial" w:cs="Arial"/>
        </w:rPr>
        <w:t>Asegurar la accesibilidad física en todos los espacios donde se realicen actividades recreativas, como edificios, parques, playas y estadios, así como en los medios de comunicación de alcance nacional.</w:t>
      </w:r>
    </w:p>
    <w:p w:rsidR="00FA771B" w:rsidRDefault="00000000">
      <w:pPr>
        <w:numPr>
          <w:ilvl w:val="0"/>
          <w:numId w:val="10"/>
        </w:numPr>
        <w:tabs>
          <w:tab w:val="left" w:pos="8364"/>
        </w:tabs>
        <w:spacing w:after="240" w:line="240" w:lineRule="auto"/>
        <w:jc w:val="both"/>
        <w:rPr>
          <w:rFonts w:ascii="Arial" w:eastAsia="Arial" w:hAnsi="Arial" w:cs="Arial"/>
        </w:rPr>
      </w:pPr>
      <w:r>
        <w:rPr>
          <w:rFonts w:ascii="Arial" w:eastAsia="Arial" w:hAnsi="Arial" w:cs="Arial"/>
        </w:rPr>
        <w:t>Implementar de manera inmediata la normativa relacionada con la interpretación en lengua de señas, garantizando la consulta previa a la comunidad sorda para cualquier modificación legislativa que l</w:t>
      </w:r>
      <w:r>
        <w:rPr>
          <w:rFonts w:ascii="Arial" w:eastAsia="Arial" w:hAnsi="Arial" w:cs="Arial"/>
          <w:sz w:val="24"/>
          <w:szCs w:val="24"/>
        </w:rPr>
        <w:t>es afecte</w:t>
      </w:r>
      <w:r>
        <w:rPr>
          <w:rFonts w:ascii="Arial" w:eastAsia="Arial" w:hAnsi="Arial" w:cs="Arial"/>
          <w:sz w:val="20"/>
          <w:szCs w:val="20"/>
        </w:rPr>
        <w:t>.</w:t>
      </w:r>
    </w:p>
    <w:sectPr w:rsidR="00FA771B">
      <w:footerReference w:type="default" r:id="rId21"/>
      <w:footerReference w:type="first" r:id="rId22"/>
      <w:pgSz w:w="11906" w:h="16838"/>
      <w:pgMar w:top="1417" w:right="1711" w:bottom="1417" w:left="170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B4B25" w:rsidRDefault="008B4B25">
      <w:pPr>
        <w:spacing w:after="0" w:line="240" w:lineRule="auto"/>
      </w:pPr>
      <w:r>
        <w:separator/>
      </w:r>
    </w:p>
  </w:endnote>
  <w:endnote w:type="continuationSeparator" w:id="0">
    <w:p w:rsidR="008B4B25" w:rsidRDefault="008B4B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Poppins ExtraBold">
    <w:panose1 w:val="00000900000000000000"/>
    <w:charset w:val="4D"/>
    <w:family w:val="auto"/>
    <w:pitch w:val="variable"/>
    <w:sig w:usb0="00008007" w:usb1="00000000" w:usb2="00000000" w:usb3="00000000" w:csb0="00000093" w:csb1="00000000"/>
  </w:font>
  <w:font w:name="Roboto">
    <w:panose1 w:val="02000000000000000000"/>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771B"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CA0F4F">
      <w:rPr>
        <w:noProof/>
        <w:color w:val="000000"/>
      </w:rPr>
      <w:t>1</w:t>
    </w:r>
    <w:r>
      <w:rPr>
        <w:color w:val="000000"/>
      </w:rPr>
      <w:fldChar w:fldCharType="end"/>
    </w:r>
  </w:p>
  <w:p w:rsidR="00FA771B" w:rsidRDefault="00FA771B">
    <w:pPr>
      <w:spacing w:after="0" w:line="240" w:lineRule="auto"/>
      <w:rPr>
        <w:sz w:val="20"/>
        <w:szCs w:val="20"/>
      </w:rPr>
    </w:pPr>
  </w:p>
  <w:p w:rsidR="00FA771B" w:rsidRDefault="00FA771B">
    <w:pPr>
      <w:shd w:val="clear" w:color="auto" w:fill="FFFFFF"/>
      <w:tabs>
        <w:tab w:val="left" w:pos="1701"/>
        <w:tab w:val="left" w:pos="2268"/>
        <w:tab w:val="left" w:pos="2835"/>
      </w:tabs>
      <w:spacing w:line="240" w:lineRule="auto"/>
      <w:ind w:left="1133" w:right="1008"/>
      <w:jc w:val="both"/>
      <w:rPr>
        <w:rFonts w:ascii="Times New Roman" w:eastAsia="Times New Roman" w:hAnsi="Times New Roman" w:cs="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771B" w:rsidRDefault="00FA771B">
    <w:pPr>
      <w:pBdr>
        <w:top w:val="nil"/>
        <w:left w:val="nil"/>
        <w:bottom w:val="nil"/>
        <w:right w:val="nil"/>
        <w:between w:val="nil"/>
      </w:pBdr>
      <w:tabs>
        <w:tab w:val="center" w:pos="4680"/>
        <w:tab w:val="right" w:pos="9360"/>
      </w:tabs>
      <w:spacing w:after="0" w:line="240" w:lineRule="auto"/>
      <w:jc w:val="right"/>
      <w:rPr>
        <w:color w:val="000000"/>
      </w:rPr>
    </w:pPr>
  </w:p>
  <w:p w:rsidR="00FA771B" w:rsidRDefault="00FA771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B4B25" w:rsidRDefault="008B4B25">
      <w:pPr>
        <w:spacing w:after="0" w:line="240" w:lineRule="auto"/>
      </w:pPr>
      <w:r>
        <w:separator/>
      </w:r>
    </w:p>
  </w:footnote>
  <w:footnote w:type="continuationSeparator" w:id="0">
    <w:p w:rsidR="008B4B25" w:rsidRDefault="008B4B25">
      <w:pPr>
        <w:spacing w:after="0" w:line="240" w:lineRule="auto"/>
      </w:pPr>
      <w:r>
        <w:continuationSeparator/>
      </w:r>
    </w:p>
  </w:footnote>
  <w:footnote w:id="1">
    <w:p w:rsidR="00FA771B" w:rsidRDefault="00000000">
      <w:pPr>
        <w:pBdr>
          <w:top w:val="nil"/>
          <w:left w:val="nil"/>
          <w:bottom w:val="nil"/>
          <w:right w:val="nil"/>
          <w:between w:val="nil"/>
        </w:pBdr>
        <w:spacing w:after="0" w:line="240" w:lineRule="auto"/>
        <w:jc w:val="both"/>
        <w:rPr>
          <w:rFonts w:ascii="Arial" w:eastAsia="Arial" w:hAnsi="Arial" w:cs="Arial"/>
          <w:color w:val="000000"/>
          <w:sz w:val="20"/>
          <w:szCs w:val="20"/>
        </w:rPr>
      </w:pPr>
      <w:r>
        <w:rPr>
          <w:rStyle w:val="FootnoteReference"/>
        </w:rPr>
        <w:footnoteRef/>
      </w:r>
      <w:r>
        <w:rPr>
          <w:rFonts w:ascii="Arial" w:eastAsia="Arial" w:hAnsi="Arial" w:cs="Arial"/>
          <w:color w:val="000000"/>
          <w:sz w:val="20"/>
          <w:szCs w:val="20"/>
        </w:rPr>
        <w:t xml:space="preserve"> 1. Andares, 2. Asociación Capaz Perú, 3. Asociación de Abogados con Discapacidad Visual, 4. Asociación de Desarrollo y Crecimiento Personal – ADECEP, </w:t>
      </w:r>
      <w:r>
        <w:rPr>
          <w:rFonts w:ascii="Arial" w:eastAsia="Arial" w:hAnsi="Arial" w:cs="Arial"/>
          <w:sz w:val="20"/>
          <w:szCs w:val="20"/>
        </w:rPr>
        <w:t>5</w:t>
      </w:r>
      <w:r>
        <w:rPr>
          <w:rFonts w:ascii="Arial" w:eastAsia="Arial" w:hAnsi="Arial" w:cs="Arial"/>
          <w:color w:val="000000"/>
          <w:sz w:val="20"/>
          <w:szCs w:val="20"/>
        </w:rPr>
        <w:t>. Asociación Help Them Hope,</w:t>
      </w:r>
      <w:r>
        <w:rPr>
          <w:rFonts w:ascii="Arial" w:eastAsia="Arial" w:hAnsi="Arial" w:cs="Arial"/>
          <w:sz w:val="20"/>
          <w:szCs w:val="20"/>
        </w:rPr>
        <w:t xml:space="preserve"> 6</w:t>
      </w:r>
      <w:r>
        <w:rPr>
          <w:rFonts w:ascii="Arial" w:eastAsia="Arial" w:hAnsi="Arial" w:cs="Arial"/>
          <w:color w:val="000000"/>
          <w:sz w:val="20"/>
          <w:szCs w:val="20"/>
        </w:rPr>
        <w:t xml:space="preserve">. Autismo Perú, </w:t>
      </w:r>
      <w:r>
        <w:rPr>
          <w:rFonts w:ascii="Arial" w:eastAsia="Arial" w:hAnsi="Arial" w:cs="Arial"/>
          <w:sz w:val="20"/>
          <w:szCs w:val="20"/>
        </w:rPr>
        <w:t>7</w:t>
      </w:r>
      <w:r>
        <w:rPr>
          <w:rFonts w:ascii="Arial" w:eastAsia="Arial" w:hAnsi="Arial" w:cs="Arial"/>
          <w:color w:val="000000"/>
          <w:sz w:val="20"/>
          <w:szCs w:val="20"/>
        </w:rPr>
        <w:t xml:space="preserve">. Aynimundo, </w:t>
      </w:r>
      <w:r>
        <w:rPr>
          <w:rFonts w:ascii="Arial" w:eastAsia="Arial" w:hAnsi="Arial" w:cs="Arial"/>
          <w:sz w:val="20"/>
          <w:szCs w:val="20"/>
        </w:rPr>
        <w:t>8.</w:t>
      </w:r>
      <w:r>
        <w:rPr>
          <w:rFonts w:ascii="Arial" w:eastAsia="Arial" w:hAnsi="Arial" w:cs="Arial"/>
          <w:color w:val="000000"/>
          <w:sz w:val="20"/>
          <w:szCs w:val="20"/>
        </w:rPr>
        <w:t xml:space="preserve"> Centro de Empoderamiento de Personas con Discapacidad – CEMPDIS, </w:t>
      </w:r>
      <w:r>
        <w:rPr>
          <w:rFonts w:ascii="Arial" w:eastAsia="Arial" w:hAnsi="Arial" w:cs="Arial"/>
          <w:sz w:val="20"/>
          <w:szCs w:val="20"/>
        </w:rPr>
        <w:t>9</w:t>
      </w:r>
      <w:r>
        <w:rPr>
          <w:rFonts w:ascii="Arial" w:eastAsia="Arial" w:hAnsi="Arial" w:cs="Arial"/>
          <w:color w:val="000000"/>
          <w:sz w:val="20"/>
          <w:szCs w:val="20"/>
        </w:rPr>
        <w:t>. Clínica Jurídica de Discapacidad y Derechos Humanos de la PUCP, 1</w:t>
      </w:r>
      <w:r>
        <w:rPr>
          <w:rFonts w:ascii="Arial" w:eastAsia="Arial" w:hAnsi="Arial" w:cs="Arial"/>
          <w:sz w:val="20"/>
          <w:szCs w:val="20"/>
        </w:rPr>
        <w:t>0</w:t>
      </w:r>
      <w:r>
        <w:rPr>
          <w:rFonts w:ascii="Arial" w:eastAsia="Arial" w:hAnsi="Arial" w:cs="Arial"/>
          <w:color w:val="000000"/>
          <w:sz w:val="20"/>
          <w:szCs w:val="20"/>
        </w:rPr>
        <w:t>. Comisión de Damas Invidentes del Perú – CODIP, 1</w:t>
      </w:r>
      <w:r>
        <w:rPr>
          <w:rFonts w:ascii="Arial" w:eastAsia="Arial" w:hAnsi="Arial" w:cs="Arial"/>
          <w:sz w:val="20"/>
          <w:szCs w:val="20"/>
        </w:rPr>
        <w:t>1</w:t>
      </w:r>
      <w:r>
        <w:rPr>
          <w:rFonts w:ascii="Arial" w:eastAsia="Arial" w:hAnsi="Arial" w:cs="Arial"/>
          <w:color w:val="000000"/>
          <w:sz w:val="20"/>
          <w:szCs w:val="20"/>
        </w:rPr>
        <w:t>. Coalición de Salud Mental y DD.HH., 1</w:t>
      </w:r>
      <w:r>
        <w:rPr>
          <w:rFonts w:ascii="Arial" w:eastAsia="Arial" w:hAnsi="Arial" w:cs="Arial"/>
          <w:sz w:val="20"/>
          <w:szCs w:val="20"/>
        </w:rPr>
        <w:t>2</w:t>
      </w:r>
      <w:r>
        <w:rPr>
          <w:rFonts w:ascii="Arial" w:eastAsia="Arial" w:hAnsi="Arial" w:cs="Arial"/>
          <w:color w:val="000000"/>
          <w:sz w:val="20"/>
          <w:szCs w:val="20"/>
        </w:rPr>
        <w:t xml:space="preserve">. Colectivo 21, </w:t>
      </w:r>
      <w:r>
        <w:rPr>
          <w:rFonts w:ascii="Arial" w:eastAsia="Arial" w:hAnsi="Arial" w:cs="Arial"/>
          <w:sz w:val="20"/>
          <w:szCs w:val="20"/>
        </w:rPr>
        <w:t>13. Equipo 21</w:t>
      </w:r>
      <w:r>
        <w:rPr>
          <w:rFonts w:ascii="Arial" w:eastAsia="Arial" w:hAnsi="Arial" w:cs="Arial"/>
          <w:color w:val="000000"/>
          <w:sz w:val="20"/>
          <w:szCs w:val="20"/>
        </w:rPr>
        <w:t>, 1</w:t>
      </w:r>
      <w:r>
        <w:rPr>
          <w:rFonts w:ascii="Arial" w:eastAsia="Arial" w:hAnsi="Arial" w:cs="Arial"/>
          <w:sz w:val="20"/>
          <w:szCs w:val="20"/>
        </w:rPr>
        <w:t>4</w:t>
      </w:r>
      <w:r>
        <w:rPr>
          <w:rFonts w:ascii="Arial" w:eastAsia="Arial" w:hAnsi="Arial" w:cs="Arial"/>
          <w:color w:val="000000"/>
          <w:sz w:val="20"/>
          <w:szCs w:val="20"/>
        </w:rPr>
        <w:t>. Federación Nacional de Mujeres con Discapacidad del Perú – FENAMUDIP, 1</w:t>
      </w:r>
      <w:r>
        <w:rPr>
          <w:rFonts w:ascii="Arial" w:eastAsia="Arial" w:hAnsi="Arial" w:cs="Arial"/>
          <w:sz w:val="20"/>
          <w:szCs w:val="20"/>
        </w:rPr>
        <w:t>5</w:t>
      </w:r>
      <w:r>
        <w:rPr>
          <w:rFonts w:ascii="Arial" w:eastAsia="Arial" w:hAnsi="Arial" w:cs="Arial"/>
          <w:color w:val="000000"/>
          <w:sz w:val="20"/>
          <w:szCs w:val="20"/>
        </w:rPr>
        <w:t>. Musas Inspiradoras de Cambios,</w:t>
      </w:r>
      <w:r>
        <w:rPr>
          <w:rFonts w:ascii="Arial" w:eastAsia="Arial" w:hAnsi="Arial" w:cs="Arial"/>
          <w:sz w:val="20"/>
          <w:szCs w:val="20"/>
        </w:rPr>
        <w:t xml:space="preserve"> 16. Maw LSP - Organización de Personas Sordas,</w:t>
      </w:r>
      <w:r>
        <w:rPr>
          <w:rFonts w:ascii="Arial" w:eastAsia="Arial" w:hAnsi="Arial" w:cs="Arial"/>
          <w:color w:val="000000"/>
          <w:sz w:val="20"/>
          <w:szCs w:val="20"/>
        </w:rPr>
        <w:t xml:space="preserve"> 1</w:t>
      </w:r>
      <w:r>
        <w:rPr>
          <w:rFonts w:ascii="Arial" w:eastAsia="Arial" w:hAnsi="Arial" w:cs="Arial"/>
          <w:sz w:val="20"/>
          <w:szCs w:val="20"/>
        </w:rPr>
        <w:t>7</w:t>
      </w:r>
      <w:r>
        <w:rPr>
          <w:rFonts w:ascii="Arial" w:eastAsia="Arial" w:hAnsi="Arial" w:cs="Arial"/>
          <w:color w:val="000000"/>
          <w:sz w:val="20"/>
          <w:szCs w:val="20"/>
        </w:rPr>
        <w:t>. Paz y Esperanza, 1</w:t>
      </w:r>
      <w:r>
        <w:rPr>
          <w:rFonts w:ascii="Arial" w:eastAsia="Arial" w:hAnsi="Arial" w:cs="Arial"/>
          <w:sz w:val="20"/>
          <w:szCs w:val="20"/>
        </w:rPr>
        <w:t>8</w:t>
      </w:r>
      <w:r>
        <w:rPr>
          <w:rFonts w:ascii="Arial" w:eastAsia="Arial" w:hAnsi="Arial" w:cs="Arial"/>
          <w:color w:val="000000"/>
          <w:sz w:val="20"/>
          <w:szCs w:val="20"/>
        </w:rPr>
        <w:t xml:space="preserve">. Perú Equidad, </w:t>
      </w:r>
      <w:r>
        <w:rPr>
          <w:rFonts w:ascii="Arial" w:eastAsia="Arial" w:hAnsi="Arial" w:cs="Arial"/>
          <w:sz w:val="20"/>
          <w:szCs w:val="20"/>
        </w:rPr>
        <w:t>19</w:t>
      </w:r>
      <w:r>
        <w:rPr>
          <w:rFonts w:ascii="Arial" w:eastAsia="Arial" w:hAnsi="Arial" w:cs="Arial"/>
          <w:color w:val="000000"/>
          <w:sz w:val="20"/>
          <w:szCs w:val="20"/>
        </w:rPr>
        <w:t xml:space="preserve">. Sociedad y Discapacidad – SODIS y </w:t>
      </w:r>
      <w:r>
        <w:rPr>
          <w:rFonts w:ascii="Arial" w:eastAsia="Arial" w:hAnsi="Arial" w:cs="Arial"/>
          <w:sz w:val="20"/>
          <w:szCs w:val="20"/>
        </w:rPr>
        <w:t>20</w:t>
      </w:r>
      <w:r>
        <w:rPr>
          <w:rFonts w:ascii="Arial" w:eastAsia="Arial" w:hAnsi="Arial" w:cs="Arial"/>
          <w:color w:val="000000"/>
          <w:sz w:val="20"/>
          <w:szCs w:val="20"/>
        </w:rPr>
        <w:t>. Sociedad Peruana de Síndrome Down – SPSD.</w:t>
      </w:r>
    </w:p>
  </w:footnote>
  <w:footnote w:id="2">
    <w:p w:rsidR="00FA771B" w:rsidRDefault="00000000">
      <w:pPr>
        <w:spacing w:after="0" w:line="240" w:lineRule="auto"/>
        <w:rPr>
          <w:rFonts w:ascii="Arial" w:eastAsia="Arial" w:hAnsi="Arial" w:cs="Arial"/>
          <w:sz w:val="20"/>
          <w:szCs w:val="20"/>
        </w:rPr>
      </w:pPr>
      <w:r>
        <w:rPr>
          <w:rStyle w:val="FootnoteReference"/>
        </w:rPr>
        <w:footnoteRef/>
      </w:r>
      <w:r>
        <w:rPr>
          <w:rFonts w:ascii="Arial" w:eastAsia="Arial" w:hAnsi="Arial" w:cs="Arial"/>
          <w:sz w:val="20"/>
          <w:szCs w:val="20"/>
        </w:rPr>
        <w:t xml:space="preserve"> </w:t>
      </w:r>
      <w:r>
        <w:rPr>
          <w:rFonts w:ascii="Arial" w:eastAsia="Arial" w:hAnsi="Arial" w:cs="Arial"/>
          <w:sz w:val="20"/>
          <w:szCs w:val="20"/>
        </w:rPr>
        <w:t xml:space="preserve">Tabla de elaboración propia. </w:t>
      </w:r>
    </w:p>
  </w:footnote>
  <w:footnote w:id="3">
    <w:p w:rsidR="00FA771B" w:rsidRDefault="00000000">
      <w:pPr>
        <w:spacing w:after="0" w:line="240" w:lineRule="auto"/>
        <w:rPr>
          <w:rFonts w:ascii="Arial" w:eastAsia="Arial" w:hAnsi="Arial" w:cs="Arial"/>
          <w:sz w:val="20"/>
          <w:szCs w:val="20"/>
        </w:rPr>
      </w:pPr>
      <w:r>
        <w:rPr>
          <w:rStyle w:val="FootnoteReference"/>
        </w:rPr>
        <w:footnoteRef/>
      </w:r>
      <w:r>
        <w:rPr>
          <w:sz w:val="20"/>
          <w:szCs w:val="20"/>
        </w:rPr>
        <w:t xml:space="preserve"> </w:t>
      </w:r>
      <w:r>
        <w:rPr>
          <w:rFonts w:ascii="Arial" w:eastAsia="Arial" w:hAnsi="Arial" w:cs="Arial"/>
          <w:sz w:val="20"/>
          <w:szCs w:val="20"/>
        </w:rPr>
        <w:t xml:space="preserve">Sodis. Protección Social y Discapacidad: Deficiencias del Sistema Peruano y Recomendaciones para una Inclusión Efectiva de las Personas con Discapacidad (2024). Disponible en: </w:t>
      </w:r>
      <w:hyperlink r:id="rId1">
        <w:r>
          <w:rPr>
            <w:rFonts w:ascii="Arial" w:eastAsia="Arial" w:hAnsi="Arial" w:cs="Arial"/>
            <w:color w:val="1155CC"/>
            <w:sz w:val="20"/>
            <w:szCs w:val="20"/>
            <w:u w:val="single"/>
          </w:rPr>
          <w:t>https://drive.google.com/file/d/1NNsmR3OqU5pjKh4AAuorTENKgbNaWvuE/view</w:t>
        </w:r>
      </w:hyperlink>
    </w:p>
    <w:p w:rsidR="00FA771B" w:rsidRDefault="00FA771B">
      <w:pPr>
        <w:spacing w:after="0" w:line="240" w:lineRule="auto"/>
        <w:rPr>
          <w:rFonts w:ascii="Arial" w:eastAsia="Arial" w:hAnsi="Arial" w:cs="Arial"/>
          <w:sz w:val="20"/>
          <w:szCs w:val="20"/>
        </w:rPr>
      </w:pPr>
    </w:p>
  </w:footnote>
  <w:footnote w:id="4">
    <w:p w:rsidR="00FA771B" w:rsidRDefault="00000000">
      <w:pPr>
        <w:spacing w:after="0" w:line="240" w:lineRule="auto"/>
        <w:rPr>
          <w:rFonts w:ascii="Arial" w:eastAsia="Arial" w:hAnsi="Arial" w:cs="Arial"/>
          <w:sz w:val="20"/>
          <w:szCs w:val="20"/>
        </w:rPr>
      </w:pPr>
      <w:r>
        <w:rPr>
          <w:rStyle w:val="FootnoteReference"/>
        </w:rPr>
        <w:footnoteRef/>
      </w:r>
      <w:r>
        <w:rPr>
          <w:rFonts w:ascii="Arial" w:eastAsia="Arial" w:hAnsi="Arial" w:cs="Arial"/>
          <w:sz w:val="20"/>
          <w:szCs w:val="20"/>
        </w:rPr>
        <w:t xml:space="preserve"> </w:t>
      </w:r>
      <w:r>
        <w:rPr>
          <w:rFonts w:ascii="Arial" w:eastAsia="Arial" w:hAnsi="Arial" w:cs="Arial"/>
          <w:sz w:val="20"/>
          <w:szCs w:val="20"/>
        </w:rPr>
        <w:t xml:space="preserve">Sodis. Derecho a la Capacidad Jurídica de las Personas con Discapacidad en el Perú (2022). Disponible en: </w:t>
      </w:r>
      <w:hyperlink r:id="rId2">
        <w:r>
          <w:rPr>
            <w:rFonts w:ascii="Arial" w:eastAsia="Arial" w:hAnsi="Arial" w:cs="Arial"/>
            <w:color w:val="1155CC"/>
            <w:sz w:val="20"/>
            <w:szCs w:val="20"/>
            <w:u w:val="single"/>
          </w:rPr>
          <w:t>https://drive.google.com/file/d/1LKg41eQbXG67-MTjdCM_qJbYH48q5r4L/view</w:t>
        </w:r>
      </w:hyperlink>
    </w:p>
    <w:p w:rsidR="00FA771B" w:rsidRDefault="00FA771B">
      <w:pPr>
        <w:spacing w:after="0" w:line="240" w:lineRule="auto"/>
        <w:rPr>
          <w:sz w:val="20"/>
          <w:szCs w:val="20"/>
        </w:rPr>
      </w:pPr>
    </w:p>
  </w:footnote>
  <w:footnote w:id="5">
    <w:p w:rsidR="00FA771B" w:rsidRDefault="00000000">
      <w:pPr>
        <w:spacing w:after="0" w:line="240" w:lineRule="auto"/>
        <w:rPr>
          <w:rFonts w:ascii="Arial" w:eastAsia="Arial" w:hAnsi="Arial" w:cs="Arial"/>
          <w:sz w:val="20"/>
          <w:szCs w:val="20"/>
        </w:rPr>
      </w:pPr>
      <w:r>
        <w:rPr>
          <w:rStyle w:val="FootnoteReference"/>
        </w:rPr>
        <w:footnoteRef/>
      </w:r>
      <w:r>
        <w:rPr>
          <w:rFonts w:ascii="Arial" w:eastAsia="Arial" w:hAnsi="Arial" w:cs="Arial"/>
          <w:sz w:val="20"/>
          <w:szCs w:val="20"/>
        </w:rPr>
        <w:t xml:space="preserve"> </w:t>
      </w:r>
      <w:r>
        <w:rPr>
          <w:rFonts w:ascii="Arial" w:eastAsia="Arial" w:hAnsi="Arial" w:cs="Arial"/>
          <w:sz w:val="20"/>
          <w:szCs w:val="20"/>
        </w:rPr>
        <w:t xml:space="preserve">Véase: </w:t>
      </w:r>
      <w:hyperlink r:id="rId3">
        <w:r>
          <w:rPr>
            <w:rFonts w:ascii="Arial" w:eastAsia="Arial" w:hAnsi="Arial" w:cs="Arial"/>
            <w:color w:val="1155CC"/>
            <w:sz w:val="20"/>
            <w:szCs w:val="20"/>
            <w:u w:val="single"/>
          </w:rPr>
          <w:t>https://www.minedu.gob.pe/transparencia/2022/pdf/Pol%C3%ADtica_Nacional_Multisectorial_en_Discapacidad_para_el_Desarrollo_al_2030.pdf</w:t>
        </w:r>
      </w:hyperlink>
    </w:p>
    <w:p w:rsidR="00FA771B" w:rsidRDefault="00FA771B">
      <w:pPr>
        <w:spacing w:after="0" w:line="240" w:lineRule="auto"/>
        <w:rPr>
          <w:rFonts w:ascii="Arial" w:eastAsia="Arial" w:hAnsi="Arial" w:cs="Arial"/>
          <w:sz w:val="20"/>
          <w:szCs w:val="20"/>
        </w:rPr>
      </w:pPr>
    </w:p>
  </w:footnote>
  <w:footnote w:id="6">
    <w:p w:rsidR="00FA771B" w:rsidRDefault="00000000">
      <w:pPr>
        <w:spacing w:after="0" w:line="240" w:lineRule="auto"/>
        <w:rPr>
          <w:rFonts w:ascii="Arial" w:eastAsia="Arial" w:hAnsi="Arial" w:cs="Arial"/>
          <w:sz w:val="20"/>
          <w:szCs w:val="20"/>
        </w:rPr>
      </w:pPr>
      <w:r>
        <w:rPr>
          <w:rStyle w:val="FootnoteReference"/>
        </w:rPr>
        <w:footnoteRef/>
      </w:r>
      <w:r>
        <w:rPr>
          <w:sz w:val="20"/>
          <w:szCs w:val="20"/>
        </w:rPr>
        <w:t xml:space="preserve"> </w:t>
      </w:r>
      <w:r>
        <w:rPr>
          <w:rFonts w:ascii="Arial" w:eastAsia="Arial" w:hAnsi="Arial" w:cs="Arial"/>
          <w:sz w:val="20"/>
          <w:szCs w:val="20"/>
        </w:rPr>
        <w:t xml:space="preserve">Véase: </w:t>
      </w:r>
      <w:hyperlink r:id="rId4">
        <w:r>
          <w:rPr>
            <w:rFonts w:ascii="Arial" w:eastAsia="Arial" w:hAnsi="Arial" w:cs="Arial"/>
            <w:color w:val="1155CC"/>
            <w:sz w:val="20"/>
            <w:szCs w:val="20"/>
            <w:u w:val="single"/>
          </w:rPr>
          <w:t>https://www.defensoria.gob.pe/wp-content/uploads/2021/05/Informe-Derechos-Sexuales-y-Reproductivos.pdf?utm_source=chatgpt.com</w:t>
        </w:r>
      </w:hyperlink>
    </w:p>
    <w:p w:rsidR="00FA771B" w:rsidRDefault="00FA771B">
      <w:pPr>
        <w:spacing w:after="0" w:line="240" w:lineRule="auto"/>
        <w:rPr>
          <w:rFonts w:ascii="Arial" w:eastAsia="Arial" w:hAnsi="Arial" w:cs="Arial"/>
          <w:sz w:val="20"/>
          <w:szCs w:val="20"/>
        </w:rPr>
      </w:pPr>
    </w:p>
  </w:footnote>
  <w:footnote w:id="7">
    <w:p w:rsidR="00FA771B" w:rsidRDefault="00000000">
      <w:pPr>
        <w:spacing w:after="0" w:line="240" w:lineRule="auto"/>
        <w:rPr>
          <w:rFonts w:ascii="Arial" w:eastAsia="Arial" w:hAnsi="Arial" w:cs="Arial"/>
          <w:sz w:val="20"/>
          <w:szCs w:val="20"/>
        </w:rPr>
      </w:pPr>
      <w:r>
        <w:rPr>
          <w:rStyle w:val="FootnoteReference"/>
        </w:rPr>
        <w:footnoteRef/>
      </w:r>
      <w:r>
        <w:rPr>
          <w:sz w:val="20"/>
          <w:szCs w:val="20"/>
        </w:rPr>
        <w:t xml:space="preserve">  </w:t>
      </w:r>
      <w:r>
        <w:rPr>
          <w:rFonts w:ascii="Arial" w:eastAsia="Arial" w:hAnsi="Arial" w:cs="Arial"/>
          <w:sz w:val="20"/>
          <w:szCs w:val="20"/>
        </w:rPr>
        <w:t xml:space="preserve">Véase: </w:t>
      </w:r>
      <w:hyperlink r:id="rId5">
        <w:r>
          <w:rPr>
            <w:rFonts w:ascii="Arial" w:eastAsia="Arial" w:hAnsi="Arial" w:cs="Arial"/>
            <w:color w:val="1155CC"/>
            <w:sz w:val="20"/>
            <w:szCs w:val="20"/>
            <w:u w:val="single"/>
          </w:rPr>
          <w:t>https://www.defensoria.gob.pe/wp-content/uploads/2022/09/Informe-salud-mental-final.pdf</w:t>
        </w:r>
      </w:hyperlink>
    </w:p>
    <w:p w:rsidR="00FA771B" w:rsidRDefault="00FA771B">
      <w:pPr>
        <w:spacing w:after="0" w:line="240" w:lineRule="auto"/>
        <w:rPr>
          <w:sz w:val="20"/>
          <w:szCs w:val="20"/>
        </w:rPr>
      </w:pPr>
    </w:p>
  </w:footnote>
  <w:footnote w:id="8">
    <w:p w:rsidR="00FA771B" w:rsidRDefault="00000000">
      <w:pPr>
        <w:spacing w:after="0" w:line="240" w:lineRule="auto"/>
        <w:rPr>
          <w:rFonts w:ascii="Arial" w:eastAsia="Arial" w:hAnsi="Arial" w:cs="Arial"/>
          <w:sz w:val="20"/>
          <w:szCs w:val="20"/>
        </w:rPr>
      </w:pPr>
      <w:r>
        <w:rPr>
          <w:rStyle w:val="FootnoteReference"/>
        </w:rPr>
        <w:footnoteRef/>
      </w:r>
      <w:r>
        <w:rPr>
          <w:rFonts w:ascii="Arial" w:eastAsia="Arial" w:hAnsi="Arial" w:cs="Arial"/>
          <w:sz w:val="20"/>
          <w:szCs w:val="20"/>
        </w:rPr>
        <w:t xml:space="preserve"> </w:t>
      </w:r>
      <w:r>
        <w:rPr>
          <w:rFonts w:ascii="Arial" w:eastAsia="Arial" w:hAnsi="Arial" w:cs="Arial"/>
          <w:sz w:val="20"/>
          <w:szCs w:val="20"/>
        </w:rPr>
        <w:t xml:space="preserve">Véase: </w:t>
      </w:r>
      <w:hyperlink r:id="rId6">
        <w:r>
          <w:rPr>
            <w:rFonts w:ascii="Arial" w:eastAsia="Arial" w:hAnsi="Arial" w:cs="Arial"/>
            <w:color w:val="1155CC"/>
            <w:sz w:val="20"/>
            <w:szCs w:val="20"/>
            <w:u w:val="single"/>
          </w:rPr>
          <w:t>https://saludconlupa.com/salud-mental/7-de-cada-10-centros-de-salud-mental-se-han-quedado-sin-medicinas-por-que-el-estado-no-esta-comprandolas-a-tiempo/</w:t>
        </w:r>
      </w:hyperlink>
    </w:p>
  </w:footnote>
  <w:footnote w:id="9">
    <w:p w:rsidR="00FA771B" w:rsidRDefault="00000000">
      <w:pPr>
        <w:spacing w:after="0" w:line="240" w:lineRule="auto"/>
        <w:rPr>
          <w:rFonts w:ascii="Arial" w:eastAsia="Arial" w:hAnsi="Arial" w:cs="Arial"/>
          <w:sz w:val="20"/>
          <w:szCs w:val="20"/>
        </w:rPr>
      </w:pPr>
      <w:r>
        <w:rPr>
          <w:rStyle w:val="FootnoteReference"/>
        </w:rPr>
        <w:footnoteRef/>
      </w:r>
      <w:r>
        <w:rPr>
          <w:sz w:val="20"/>
          <w:szCs w:val="20"/>
        </w:rPr>
        <w:t xml:space="preserve"> </w:t>
      </w:r>
      <w:r>
        <w:rPr>
          <w:rFonts w:ascii="Arial" w:eastAsia="Arial" w:hAnsi="Arial" w:cs="Arial"/>
          <w:sz w:val="20"/>
          <w:szCs w:val="20"/>
        </w:rPr>
        <w:t xml:space="preserve">Véase: </w:t>
      </w:r>
      <w:hyperlink r:id="rId7">
        <w:r>
          <w:rPr>
            <w:rFonts w:ascii="Arial" w:eastAsia="Arial" w:hAnsi="Arial" w:cs="Arial"/>
            <w:color w:val="1155CC"/>
            <w:sz w:val="20"/>
            <w:szCs w:val="20"/>
            <w:u w:val="single"/>
          </w:rPr>
          <w:t>https://saludconlupa.com/salud-mental/violencia-psiquiatrica-cuando-te-lastima-quien-tiene-el-trabajo-de-cuidarte/</w:t>
        </w:r>
      </w:hyperlink>
    </w:p>
    <w:p w:rsidR="00FA771B" w:rsidRDefault="00FA771B">
      <w:pPr>
        <w:spacing w:after="0" w:line="240" w:lineRule="auto"/>
        <w:rPr>
          <w:sz w:val="20"/>
          <w:szCs w:val="20"/>
        </w:rPr>
      </w:pPr>
    </w:p>
  </w:footnote>
  <w:footnote w:id="10">
    <w:p w:rsidR="00FA771B" w:rsidRDefault="00000000">
      <w:pPr>
        <w:spacing w:after="0" w:line="240" w:lineRule="auto"/>
        <w:rPr>
          <w:rFonts w:ascii="Arial" w:eastAsia="Arial" w:hAnsi="Arial" w:cs="Arial"/>
          <w:sz w:val="20"/>
          <w:szCs w:val="20"/>
        </w:rPr>
      </w:pPr>
      <w:r>
        <w:rPr>
          <w:rStyle w:val="FootnoteReference"/>
        </w:rPr>
        <w:footnoteRef/>
      </w:r>
      <w:r>
        <w:rPr>
          <w:sz w:val="20"/>
          <w:szCs w:val="20"/>
        </w:rPr>
        <w:t xml:space="preserve"> </w:t>
      </w:r>
      <w:r>
        <w:rPr>
          <w:rFonts w:ascii="Arial" w:eastAsia="Arial" w:hAnsi="Arial" w:cs="Arial"/>
          <w:sz w:val="20"/>
          <w:szCs w:val="20"/>
        </w:rPr>
        <w:t xml:space="preserve">Véase: </w:t>
      </w:r>
      <w:hyperlink r:id="rId8">
        <w:r>
          <w:rPr>
            <w:rFonts w:ascii="Arial" w:eastAsia="Arial" w:hAnsi="Arial" w:cs="Arial"/>
            <w:color w:val="1155CC"/>
            <w:sz w:val="20"/>
            <w:szCs w:val="20"/>
            <w:u w:val="single"/>
          </w:rPr>
          <w:t>https://www.gob.pe/institucion/conadis/noticias/1054497-comas-conadis-rechaza-y-condena-actos-de-violencia-contra-ninas-y-ninos-autistas-en-centro-terapeutico</w:t>
        </w:r>
      </w:hyperlink>
    </w:p>
    <w:p w:rsidR="00FA771B" w:rsidRDefault="00FA771B">
      <w:pPr>
        <w:spacing w:after="0" w:line="240" w:lineRule="auto"/>
        <w:rPr>
          <w:sz w:val="20"/>
          <w:szCs w:val="20"/>
        </w:rPr>
      </w:pPr>
    </w:p>
  </w:footnote>
  <w:footnote w:id="11">
    <w:p w:rsidR="00FA771B" w:rsidRDefault="00000000">
      <w:pPr>
        <w:spacing w:after="0" w:line="240" w:lineRule="auto"/>
        <w:rPr>
          <w:rFonts w:ascii="Arial" w:eastAsia="Arial" w:hAnsi="Arial" w:cs="Arial"/>
          <w:sz w:val="20"/>
          <w:szCs w:val="20"/>
        </w:rPr>
      </w:pPr>
      <w:r>
        <w:rPr>
          <w:rStyle w:val="FootnoteReference"/>
        </w:rPr>
        <w:footnoteRef/>
      </w:r>
      <w:r>
        <w:rPr>
          <w:sz w:val="20"/>
          <w:szCs w:val="20"/>
        </w:rPr>
        <w:t xml:space="preserve"> </w:t>
      </w:r>
      <w:r>
        <w:rPr>
          <w:rFonts w:ascii="Arial" w:eastAsia="Arial" w:hAnsi="Arial" w:cs="Arial"/>
          <w:sz w:val="20"/>
          <w:szCs w:val="20"/>
        </w:rPr>
        <w:t xml:space="preserve">Véase: </w:t>
      </w:r>
      <w:hyperlink r:id="rId9">
        <w:r>
          <w:rPr>
            <w:rFonts w:ascii="Arial" w:eastAsia="Arial" w:hAnsi="Arial" w:cs="Arial"/>
            <w:color w:val="1155CC"/>
            <w:sz w:val="20"/>
            <w:szCs w:val="20"/>
            <w:u w:val="single"/>
          </w:rPr>
          <w:t>https://www.sodisperu.org/recurso/the-role-of-social-protection-in-the-mitigation-of-the-covid-19-pandemic-impact-and-future-social-shocks-for-persons-with-disabilities-in-peru</w:t>
        </w:r>
      </w:hyperlink>
    </w:p>
    <w:p w:rsidR="00FA771B" w:rsidRDefault="00FA771B">
      <w:pPr>
        <w:spacing w:after="0" w:line="240" w:lineRule="auto"/>
        <w:rPr>
          <w:rFonts w:ascii="Arial" w:eastAsia="Arial" w:hAnsi="Arial" w:cs="Arial"/>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C1670"/>
    <w:multiLevelType w:val="multilevel"/>
    <w:tmpl w:val="0C00B0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5E38FE"/>
    <w:multiLevelType w:val="multilevel"/>
    <w:tmpl w:val="37F872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D4773E"/>
    <w:multiLevelType w:val="multilevel"/>
    <w:tmpl w:val="95BE02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5567368"/>
    <w:multiLevelType w:val="multilevel"/>
    <w:tmpl w:val="5CACB7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665500"/>
    <w:multiLevelType w:val="multilevel"/>
    <w:tmpl w:val="64604C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3949674F"/>
    <w:multiLevelType w:val="multilevel"/>
    <w:tmpl w:val="21C4AAFC"/>
    <w:lvl w:ilvl="0">
      <w:start w:val="1"/>
      <w:numFmt w:val="decimal"/>
      <w:lvlText w:val="%1."/>
      <w:lvlJc w:val="left"/>
      <w:pPr>
        <w:ind w:left="1440" w:hanging="360"/>
      </w:pPr>
      <w:rPr>
        <w:rFonts w:ascii="Arial" w:eastAsia="Arial" w:hAnsi="Arial" w:cs="Arial"/>
        <w:b w:val="0"/>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 w15:restartNumberingAfterBreak="0">
    <w:nsid w:val="3EFA34CA"/>
    <w:multiLevelType w:val="multilevel"/>
    <w:tmpl w:val="D76ABD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76D65BB"/>
    <w:multiLevelType w:val="multilevel"/>
    <w:tmpl w:val="04C2DC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D8F04AC"/>
    <w:multiLevelType w:val="multilevel"/>
    <w:tmpl w:val="D12046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9912851"/>
    <w:multiLevelType w:val="multilevel"/>
    <w:tmpl w:val="BA2007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03895735">
    <w:abstractNumId w:val="4"/>
  </w:num>
  <w:num w:numId="2" w16cid:durableId="622034769">
    <w:abstractNumId w:val="6"/>
  </w:num>
  <w:num w:numId="3" w16cid:durableId="1287662616">
    <w:abstractNumId w:val="7"/>
  </w:num>
  <w:num w:numId="4" w16cid:durableId="970401613">
    <w:abstractNumId w:val="9"/>
  </w:num>
  <w:num w:numId="5" w16cid:durableId="2039891615">
    <w:abstractNumId w:val="2"/>
  </w:num>
  <w:num w:numId="6" w16cid:durableId="374083858">
    <w:abstractNumId w:val="1"/>
  </w:num>
  <w:num w:numId="7" w16cid:durableId="993340313">
    <w:abstractNumId w:val="3"/>
  </w:num>
  <w:num w:numId="8" w16cid:durableId="63992470">
    <w:abstractNumId w:val="0"/>
  </w:num>
  <w:num w:numId="9" w16cid:durableId="167603181">
    <w:abstractNumId w:val="5"/>
  </w:num>
  <w:num w:numId="10" w16cid:durableId="19982333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771B"/>
    <w:rsid w:val="008B4B25"/>
    <w:rsid w:val="00CA0F4F"/>
    <w:rsid w:val="00FA771B"/>
  </w:rsids>
  <m:mathPr>
    <m:mathFont m:val="Cambria Math"/>
    <m:brkBin m:val="before"/>
    <m:brkBinSub m:val="--"/>
    <m:smallFrac m:val="0"/>
    <m:dispDef/>
    <m:lMargin m:val="0"/>
    <m:rMargin m:val="0"/>
    <m:defJc m:val="centerGroup"/>
    <m:wrapIndent m:val="1440"/>
    <m:intLim m:val="subSup"/>
    <m:naryLim m:val="undOvr"/>
  </m:mathPr>
  <w:themeFontLang w:val="en-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481A1"/>
  <w15:docId w15:val="{C50BA723-291A-4242-A627-4967DA4C0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5FF0"/>
    <w:pPr>
      <w:keepNext/>
      <w:keepLines/>
      <w:spacing w:before="480" w:after="120"/>
      <w:outlineLvl w:val="0"/>
    </w:pPr>
    <w:rPr>
      <w:b/>
      <w:sz w:val="48"/>
      <w:szCs w:val="48"/>
      <w:lang w:eastAsia="es-PE"/>
    </w:rPr>
  </w:style>
  <w:style w:type="paragraph" w:styleId="Heading2">
    <w:name w:val="heading 2"/>
    <w:basedOn w:val="Normal"/>
    <w:next w:val="Normal"/>
    <w:link w:val="Heading2Char"/>
    <w:uiPriority w:val="9"/>
    <w:semiHidden/>
    <w:unhideWhenUsed/>
    <w:qFormat/>
    <w:rsid w:val="00395FF0"/>
    <w:pPr>
      <w:keepNext/>
      <w:keepLines/>
      <w:spacing w:before="360" w:after="80" w:line="276" w:lineRule="auto"/>
      <w:jc w:val="both"/>
      <w:outlineLvl w:val="1"/>
    </w:pPr>
    <w:rPr>
      <w:rFonts w:ascii="Arial" w:eastAsia="Arial" w:hAnsi="Arial" w:cs="Arial"/>
      <w:b/>
      <w:sz w:val="36"/>
      <w:szCs w:val="36"/>
      <w:lang w:val="es-ES" w:eastAsia="es-PE"/>
    </w:rPr>
  </w:style>
  <w:style w:type="paragraph" w:styleId="Heading3">
    <w:name w:val="heading 3"/>
    <w:basedOn w:val="Normal"/>
    <w:next w:val="Normal"/>
    <w:link w:val="Heading3Char"/>
    <w:uiPriority w:val="9"/>
    <w:semiHidden/>
    <w:unhideWhenUsed/>
    <w:qFormat/>
    <w:rsid w:val="00395FF0"/>
    <w:pPr>
      <w:keepNext/>
      <w:keepLines/>
      <w:spacing w:before="40" w:after="0"/>
      <w:outlineLvl w:val="2"/>
    </w:pPr>
    <w:rPr>
      <w:rFonts w:ascii="Calibri Light" w:eastAsia="Times New Roman"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395FF0"/>
    <w:pPr>
      <w:keepNext/>
      <w:keepLines/>
      <w:spacing w:before="240" w:after="40"/>
      <w:outlineLvl w:val="3"/>
    </w:pPr>
    <w:rPr>
      <w:b/>
      <w:sz w:val="24"/>
      <w:szCs w:val="24"/>
      <w:lang w:eastAsia="es-PE"/>
    </w:rPr>
  </w:style>
  <w:style w:type="paragraph" w:styleId="Heading5">
    <w:name w:val="heading 5"/>
    <w:basedOn w:val="Normal"/>
    <w:next w:val="Normal"/>
    <w:link w:val="Heading5Char"/>
    <w:uiPriority w:val="9"/>
    <w:semiHidden/>
    <w:unhideWhenUsed/>
    <w:qFormat/>
    <w:rsid w:val="00395FF0"/>
    <w:pPr>
      <w:keepNext/>
      <w:keepLines/>
      <w:spacing w:before="220" w:after="40"/>
      <w:outlineLvl w:val="4"/>
    </w:pPr>
    <w:rPr>
      <w:b/>
      <w:lang w:eastAsia="es-PE"/>
    </w:rPr>
  </w:style>
  <w:style w:type="paragraph" w:styleId="Heading6">
    <w:name w:val="heading 6"/>
    <w:basedOn w:val="Normal"/>
    <w:next w:val="Normal"/>
    <w:link w:val="Heading6Char"/>
    <w:uiPriority w:val="9"/>
    <w:semiHidden/>
    <w:unhideWhenUsed/>
    <w:qFormat/>
    <w:rsid w:val="00395FF0"/>
    <w:pPr>
      <w:keepNext/>
      <w:keepLines/>
      <w:spacing w:before="200" w:after="40"/>
      <w:outlineLvl w:val="5"/>
    </w:pPr>
    <w:rPr>
      <w:b/>
      <w:sz w:val="20"/>
      <w:szCs w:val="20"/>
      <w:lang w:eastAsia="es-P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95FF0"/>
    <w:pPr>
      <w:keepNext/>
      <w:keepLines/>
      <w:spacing w:before="480" w:after="120"/>
    </w:pPr>
    <w:rPr>
      <w:b/>
      <w:sz w:val="72"/>
      <w:szCs w:val="72"/>
      <w:lang w:eastAsia="es-PE"/>
    </w:rPr>
  </w:style>
  <w:style w:type="character" w:customStyle="1" w:styleId="Heading1Char">
    <w:name w:val="Heading 1 Char"/>
    <w:basedOn w:val="DefaultParagraphFont"/>
    <w:link w:val="Heading1"/>
    <w:uiPriority w:val="9"/>
    <w:rsid w:val="00395FF0"/>
    <w:rPr>
      <w:rFonts w:ascii="Calibri" w:eastAsia="Calibri" w:hAnsi="Calibri" w:cs="Calibri"/>
      <w:b/>
      <w:kern w:val="0"/>
      <w:sz w:val="48"/>
      <w:szCs w:val="48"/>
      <w:lang w:eastAsia="es-PE"/>
    </w:rPr>
  </w:style>
  <w:style w:type="character" w:customStyle="1" w:styleId="Heading2Char">
    <w:name w:val="Heading 2 Char"/>
    <w:basedOn w:val="DefaultParagraphFont"/>
    <w:link w:val="Heading2"/>
    <w:uiPriority w:val="9"/>
    <w:rsid w:val="00395FF0"/>
    <w:rPr>
      <w:rFonts w:ascii="Arial" w:eastAsia="Arial" w:hAnsi="Arial" w:cs="Arial"/>
      <w:b/>
      <w:kern w:val="0"/>
      <w:sz w:val="36"/>
      <w:szCs w:val="36"/>
      <w:lang w:val="es-ES" w:eastAsia="es-PE"/>
    </w:rPr>
  </w:style>
  <w:style w:type="paragraph" w:customStyle="1" w:styleId="Ttulo31">
    <w:name w:val="Título 31"/>
    <w:basedOn w:val="Normal"/>
    <w:next w:val="Normal"/>
    <w:uiPriority w:val="9"/>
    <w:semiHidden/>
    <w:unhideWhenUsed/>
    <w:qFormat/>
    <w:rsid w:val="00395FF0"/>
    <w:pPr>
      <w:keepNext/>
      <w:keepLines/>
      <w:spacing w:before="40" w:after="0"/>
      <w:outlineLvl w:val="2"/>
    </w:pPr>
    <w:rPr>
      <w:rFonts w:ascii="Calibri Light" w:eastAsia="Times New Roman" w:hAnsi="Calibri Light" w:cs="Times New Roman"/>
      <w:color w:val="1F3763"/>
      <w:sz w:val="24"/>
      <w:szCs w:val="24"/>
      <w:lang w:eastAsia="es-PE"/>
    </w:rPr>
  </w:style>
  <w:style w:type="character" w:customStyle="1" w:styleId="Heading4Char">
    <w:name w:val="Heading 4 Char"/>
    <w:basedOn w:val="DefaultParagraphFont"/>
    <w:link w:val="Heading4"/>
    <w:uiPriority w:val="9"/>
    <w:semiHidden/>
    <w:rsid w:val="00395FF0"/>
    <w:rPr>
      <w:rFonts w:ascii="Calibri" w:eastAsia="Calibri" w:hAnsi="Calibri" w:cs="Calibri"/>
      <w:b/>
      <w:kern w:val="0"/>
      <w:sz w:val="24"/>
      <w:szCs w:val="24"/>
      <w:lang w:eastAsia="es-PE"/>
    </w:rPr>
  </w:style>
  <w:style w:type="character" w:customStyle="1" w:styleId="Heading5Char">
    <w:name w:val="Heading 5 Char"/>
    <w:basedOn w:val="DefaultParagraphFont"/>
    <w:link w:val="Heading5"/>
    <w:uiPriority w:val="9"/>
    <w:semiHidden/>
    <w:rsid w:val="00395FF0"/>
    <w:rPr>
      <w:rFonts w:ascii="Calibri" w:eastAsia="Calibri" w:hAnsi="Calibri" w:cs="Calibri"/>
      <w:b/>
      <w:kern w:val="0"/>
      <w:lang w:eastAsia="es-PE"/>
    </w:rPr>
  </w:style>
  <w:style w:type="character" w:customStyle="1" w:styleId="Heading6Char">
    <w:name w:val="Heading 6 Char"/>
    <w:basedOn w:val="DefaultParagraphFont"/>
    <w:link w:val="Heading6"/>
    <w:uiPriority w:val="9"/>
    <w:semiHidden/>
    <w:rsid w:val="00395FF0"/>
    <w:rPr>
      <w:rFonts w:ascii="Calibri" w:eastAsia="Calibri" w:hAnsi="Calibri" w:cs="Calibri"/>
      <w:b/>
      <w:kern w:val="0"/>
      <w:sz w:val="20"/>
      <w:szCs w:val="20"/>
      <w:lang w:eastAsia="es-PE"/>
    </w:rPr>
  </w:style>
  <w:style w:type="numbering" w:customStyle="1" w:styleId="Sinlista1">
    <w:name w:val="Sin lista1"/>
    <w:next w:val="NoList"/>
    <w:uiPriority w:val="99"/>
    <w:semiHidden/>
    <w:unhideWhenUsed/>
    <w:rsid w:val="00395FF0"/>
  </w:style>
  <w:style w:type="table" w:customStyle="1" w:styleId="TableNormal1">
    <w:name w:val="Table Normal1"/>
    <w:rsid w:val="00395FF0"/>
    <w:rPr>
      <w:lang w:eastAsia="es-PE"/>
    </w:rPr>
    <w:tblPr>
      <w:tblCellMar>
        <w:top w:w="0" w:type="dxa"/>
        <w:left w:w="0" w:type="dxa"/>
        <w:bottom w:w="0" w:type="dxa"/>
        <w:right w:w="0" w:type="dxa"/>
      </w:tblCellMar>
    </w:tblPr>
  </w:style>
  <w:style w:type="character" w:customStyle="1" w:styleId="TitleChar">
    <w:name w:val="Title Char"/>
    <w:basedOn w:val="DefaultParagraphFont"/>
    <w:link w:val="Title"/>
    <w:uiPriority w:val="10"/>
    <w:rsid w:val="00395FF0"/>
    <w:rPr>
      <w:rFonts w:ascii="Calibri" w:eastAsia="Calibri" w:hAnsi="Calibri" w:cs="Calibri"/>
      <w:b/>
      <w:kern w:val="0"/>
      <w:sz w:val="72"/>
      <w:szCs w:val="72"/>
      <w:lang w:eastAsia="es-PE"/>
    </w:r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FA Fu?notentext,FA Fu?notente,Ca,C"/>
    <w:basedOn w:val="Normal"/>
    <w:link w:val="FootnoteTextChar"/>
    <w:uiPriority w:val="99"/>
    <w:unhideWhenUsed/>
    <w:qFormat/>
    <w:rsid w:val="00395FF0"/>
    <w:pPr>
      <w:spacing w:after="200" w:line="240" w:lineRule="auto"/>
      <w:jc w:val="both"/>
    </w:pPr>
    <w:rPr>
      <w:sz w:val="24"/>
      <w:szCs w:val="24"/>
      <w:lang w:eastAsia="es-PE"/>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C Char"/>
    <w:basedOn w:val="DefaultParagraphFont"/>
    <w:link w:val="FootnoteText"/>
    <w:uiPriority w:val="99"/>
    <w:rsid w:val="00395FF0"/>
    <w:rPr>
      <w:rFonts w:ascii="Calibri" w:eastAsia="Calibri" w:hAnsi="Calibri" w:cs="Calibri"/>
      <w:kern w:val="0"/>
      <w:sz w:val="24"/>
      <w:szCs w:val="24"/>
      <w:lang w:eastAsia="es-PE"/>
    </w:rPr>
  </w:style>
  <w:style w:type="character" w:styleId="FootnoteReference">
    <w:name w:val="footnote reference"/>
    <w:aliases w:val="Texto de nota al pie,Appel note de bas de page,Footnotes refss,Footnote number,referencia nota al pie,BVI fnr,f,Ref. de nota al pie.,4_G,16 Point,Superscript 6 Point,Texto nota al pie,Footnote Reference Char3,Ref,de nota al pie"/>
    <w:basedOn w:val="DefaultParagraphFont"/>
    <w:link w:val="BVIfnrCar1CarCarCarCar"/>
    <w:uiPriority w:val="99"/>
    <w:unhideWhenUsed/>
    <w:qFormat/>
    <w:rsid w:val="00395FF0"/>
    <w:rPr>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395FF0"/>
    <w:pPr>
      <w:spacing w:before="200" w:line="240" w:lineRule="exact"/>
    </w:pPr>
    <w:rPr>
      <w:vertAlign w:val="superscript"/>
    </w:rPr>
  </w:style>
  <w:style w:type="paragraph" w:styleId="ListParagraph">
    <w:name w:val="List Paragraph"/>
    <w:basedOn w:val="Normal"/>
    <w:uiPriority w:val="34"/>
    <w:qFormat/>
    <w:rsid w:val="00395FF0"/>
    <w:pPr>
      <w:ind w:left="720"/>
      <w:contextualSpacing/>
    </w:pPr>
    <w:rPr>
      <w:lang w:eastAsia="es-PE"/>
    </w:rPr>
  </w:style>
  <w:style w:type="character" w:styleId="Hyperlink">
    <w:name w:val="Hyperlink"/>
    <w:basedOn w:val="DefaultParagraphFont"/>
    <w:uiPriority w:val="99"/>
    <w:unhideWhenUsed/>
    <w:rsid w:val="00395FF0"/>
    <w:rPr>
      <w:color w:val="0000FF"/>
      <w:u w:val="single"/>
    </w:rPr>
  </w:style>
  <w:style w:type="character" w:customStyle="1" w:styleId="UnresolvedMention1">
    <w:name w:val="Unresolved Mention1"/>
    <w:basedOn w:val="DefaultParagraphFont"/>
    <w:uiPriority w:val="99"/>
    <w:semiHidden/>
    <w:unhideWhenUsed/>
    <w:rsid w:val="00395FF0"/>
    <w:rPr>
      <w:color w:val="605E5C"/>
      <w:shd w:val="clear" w:color="auto" w:fill="E1DFDD"/>
    </w:rPr>
  </w:style>
  <w:style w:type="character" w:customStyle="1" w:styleId="Heading3Char">
    <w:name w:val="Heading 3 Char"/>
    <w:basedOn w:val="DefaultParagraphFont"/>
    <w:link w:val="Heading3"/>
    <w:uiPriority w:val="9"/>
    <w:semiHidden/>
    <w:rsid w:val="00395FF0"/>
    <w:rPr>
      <w:rFonts w:ascii="Calibri Light" w:eastAsia="Times New Roman" w:hAnsi="Calibri Light" w:cs="Times New Roman"/>
      <w:color w:val="1F3763"/>
      <w:sz w:val="24"/>
      <w:szCs w:val="24"/>
    </w:rPr>
  </w:style>
  <w:style w:type="paragraph" w:customStyle="1" w:styleId="SingleTxtG">
    <w:name w:val="_ Single Txt_G"/>
    <w:basedOn w:val="Normal"/>
    <w:qFormat/>
    <w:rsid w:val="00395FF0"/>
    <w:pPr>
      <w:spacing w:after="120" w:line="240" w:lineRule="auto"/>
      <w:ind w:left="1134" w:right="1134"/>
      <w:jc w:val="both"/>
    </w:pPr>
    <w:rPr>
      <w:rFonts w:ascii="Times New Roman" w:eastAsia="Times New Roman" w:hAnsi="Times New Roman" w:cs="Times New Roman"/>
      <w:sz w:val="20"/>
      <w:szCs w:val="20"/>
      <w:lang w:val="es-ES" w:eastAsia="es-ES"/>
    </w:rPr>
  </w:style>
  <w:style w:type="paragraph" w:styleId="Subtitle">
    <w:name w:val="Subtitle"/>
    <w:basedOn w:val="Normal"/>
    <w:next w:val="Normal"/>
    <w:link w:val="SubtitleChar"/>
    <w:uiPriority w:val="11"/>
    <w:qFormat/>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395FF0"/>
    <w:rPr>
      <w:rFonts w:ascii="Georgia" w:eastAsia="Georgia" w:hAnsi="Georgia" w:cs="Georgia"/>
      <w:i/>
      <w:color w:val="666666"/>
      <w:kern w:val="0"/>
      <w:sz w:val="48"/>
      <w:szCs w:val="48"/>
      <w:lang w:eastAsia="es-PE"/>
    </w:rPr>
  </w:style>
  <w:style w:type="paragraph" w:customStyle="1" w:styleId="Sinespaciado1">
    <w:name w:val="Sin espaciado1"/>
    <w:next w:val="NoSpacing"/>
    <w:link w:val="SinespaciadoCar"/>
    <w:uiPriority w:val="1"/>
    <w:qFormat/>
    <w:rsid w:val="00395FF0"/>
    <w:pPr>
      <w:spacing w:after="0" w:line="240" w:lineRule="auto"/>
    </w:pPr>
    <w:rPr>
      <w:rFonts w:eastAsia="Times New Roman"/>
      <w:lang w:val="en-US" w:eastAsia="es-PE"/>
    </w:rPr>
  </w:style>
  <w:style w:type="character" w:customStyle="1" w:styleId="SinespaciadoCar">
    <w:name w:val="Sin espaciado Car"/>
    <w:basedOn w:val="DefaultParagraphFont"/>
    <w:link w:val="Sinespaciado1"/>
    <w:uiPriority w:val="1"/>
    <w:rsid w:val="00395FF0"/>
    <w:rPr>
      <w:rFonts w:ascii="Calibri" w:eastAsia="Times New Roman" w:hAnsi="Calibri" w:cs="Times New Roman"/>
      <w:lang w:val="en-US"/>
    </w:rPr>
  </w:style>
  <w:style w:type="paragraph" w:styleId="NormalWeb">
    <w:name w:val="Normal (Web)"/>
    <w:basedOn w:val="Normal"/>
    <w:uiPriority w:val="99"/>
    <w:semiHidden/>
    <w:unhideWhenUsed/>
    <w:rsid w:val="00395FF0"/>
    <w:pPr>
      <w:spacing w:before="100" w:beforeAutospacing="1" w:after="100" w:afterAutospacing="1" w:line="240" w:lineRule="auto"/>
    </w:pPr>
    <w:rPr>
      <w:rFonts w:ascii="Times New Roman" w:eastAsia="Times New Roman" w:hAnsi="Times New Roman" w:cs="Times New Roman"/>
      <w:sz w:val="24"/>
      <w:szCs w:val="24"/>
      <w:lang w:val="en-US" w:eastAsia="es-PE"/>
    </w:rPr>
  </w:style>
  <w:style w:type="character" w:styleId="UnresolvedMention">
    <w:name w:val="Unresolved Mention"/>
    <w:basedOn w:val="DefaultParagraphFont"/>
    <w:uiPriority w:val="99"/>
    <w:semiHidden/>
    <w:unhideWhenUsed/>
    <w:rsid w:val="00395FF0"/>
    <w:rPr>
      <w:color w:val="605E5C"/>
      <w:shd w:val="clear" w:color="auto" w:fill="E1DFDD"/>
    </w:rPr>
  </w:style>
  <w:style w:type="paragraph" w:styleId="Header">
    <w:name w:val="header"/>
    <w:basedOn w:val="Normal"/>
    <w:link w:val="HeaderChar"/>
    <w:uiPriority w:val="99"/>
    <w:unhideWhenUsed/>
    <w:rsid w:val="00395FF0"/>
    <w:pPr>
      <w:tabs>
        <w:tab w:val="center" w:pos="4680"/>
        <w:tab w:val="right" w:pos="9360"/>
      </w:tabs>
      <w:spacing w:after="0" w:line="240" w:lineRule="auto"/>
    </w:pPr>
    <w:rPr>
      <w:lang w:eastAsia="es-PE"/>
    </w:rPr>
  </w:style>
  <w:style w:type="character" w:customStyle="1" w:styleId="HeaderChar">
    <w:name w:val="Header Char"/>
    <w:basedOn w:val="DefaultParagraphFont"/>
    <w:link w:val="Header"/>
    <w:uiPriority w:val="99"/>
    <w:rsid w:val="00395FF0"/>
    <w:rPr>
      <w:rFonts w:ascii="Calibri" w:eastAsia="Calibri" w:hAnsi="Calibri" w:cs="Calibri"/>
      <w:kern w:val="0"/>
      <w:lang w:eastAsia="es-PE"/>
    </w:rPr>
  </w:style>
  <w:style w:type="paragraph" w:styleId="Footer">
    <w:name w:val="footer"/>
    <w:basedOn w:val="Normal"/>
    <w:link w:val="FooterChar"/>
    <w:uiPriority w:val="99"/>
    <w:unhideWhenUsed/>
    <w:rsid w:val="00395FF0"/>
    <w:pPr>
      <w:tabs>
        <w:tab w:val="center" w:pos="4680"/>
        <w:tab w:val="right" w:pos="9360"/>
      </w:tabs>
      <w:spacing w:after="0" w:line="240" w:lineRule="auto"/>
    </w:pPr>
    <w:rPr>
      <w:lang w:eastAsia="es-PE"/>
    </w:rPr>
  </w:style>
  <w:style w:type="character" w:customStyle="1" w:styleId="FooterChar">
    <w:name w:val="Footer Char"/>
    <w:basedOn w:val="DefaultParagraphFont"/>
    <w:link w:val="Footer"/>
    <w:uiPriority w:val="99"/>
    <w:rsid w:val="00395FF0"/>
    <w:rPr>
      <w:rFonts w:ascii="Calibri" w:eastAsia="Calibri" w:hAnsi="Calibri" w:cs="Calibri"/>
      <w:kern w:val="0"/>
      <w:lang w:eastAsia="es-PE"/>
    </w:rPr>
  </w:style>
  <w:style w:type="paragraph" w:customStyle="1" w:styleId="ndice11">
    <w:name w:val="Índice 11"/>
    <w:basedOn w:val="Normal"/>
    <w:next w:val="Normal"/>
    <w:autoRedefine/>
    <w:uiPriority w:val="99"/>
    <w:unhideWhenUsed/>
    <w:rsid w:val="00395FF0"/>
    <w:pPr>
      <w:spacing w:after="0"/>
      <w:ind w:left="220" w:hanging="220"/>
    </w:pPr>
    <w:rPr>
      <w:sz w:val="18"/>
      <w:szCs w:val="18"/>
      <w:lang w:eastAsia="es-PE"/>
    </w:rPr>
  </w:style>
  <w:style w:type="paragraph" w:customStyle="1" w:styleId="ndice21">
    <w:name w:val="Índice 21"/>
    <w:basedOn w:val="Normal"/>
    <w:next w:val="Normal"/>
    <w:autoRedefine/>
    <w:uiPriority w:val="99"/>
    <w:unhideWhenUsed/>
    <w:rsid w:val="00395FF0"/>
    <w:pPr>
      <w:spacing w:after="0"/>
      <w:ind w:left="440" w:hanging="220"/>
    </w:pPr>
    <w:rPr>
      <w:sz w:val="18"/>
      <w:szCs w:val="18"/>
      <w:lang w:eastAsia="es-PE"/>
    </w:rPr>
  </w:style>
  <w:style w:type="paragraph" w:customStyle="1" w:styleId="ndice31">
    <w:name w:val="Índice 31"/>
    <w:basedOn w:val="Normal"/>
    <w:next w:val="Normal"/>
    <w:autoRedefine/>
    <w:uiPriority w:val="99"/>
    <w:unhideWhenUsed/>
    <w:rsid w:val="00395FF0"/>
    <w:pPr>
      <w:spacing w:after="0"/>
      <w:ind w:left="660" w:hanging="220"/>
    </w:pPr>
    <w:rPr>
      <w:sz w:val="18"/>
      <w:szCs w:val="18"/>
      <w:lang w:eastAsia="es-PE"/>
    </w:rPr>
  </w:style>
  <w:style w:type="paragraph" w:customStyle="1" w:styleId="ndice41">
    <w:name w:val="Índice 41"/>
    <w:basedOn w:val="Normal"/>
    <w:next w:val="Normal"/>
    <w:autoRedefine/>
    <w:uiPriority w:val="99"/>
    <w:unhideWhenUsed/>
    <w:rsid w:val="00395FF0"/>
    <w:pPr>
      <w:spacing w:after="0"/>
      <w:ind w:left="880" w:hanging="220"/>
    </w:pPr>
    <w:rPr>
      <w:sz w:val="18"/>
      <w:szCs w:val="18"/>
      <w:lang w:eastAsia="es-PE"/>
    </w:rPr>
  </w:style>
  <w:style w:type="paragraph" w:customStyle="1" w:styleId="ndice51">
    <w:name w:val="Índice 51"/>
    <w:basedOn w:val="Normal"/>
    <w:next w:val="Normal"/>
    <w:autoRedefine/>
    <w:uiPriority w:val="99"/>
    <w:unhideWhenUsed/>
    <w:rsid w:val="00395FF0"/>
    <w:pPr>
      <w:spacing w:after="0"/>
      <w:ind w:left="1100" w:hanging="220"/>
    </w:pPr>
    <w:rPr>
      <w:sz w:val="18"/>
      <w:szCs w:val="18"/>
      <w:lang w:eastAsia="es-PE"/>
    </w:rPr>
  </w:style>
  <w:style w:type="paragraph" w:customStyle="1" w:styleId="ndice61">
    <w:name w:val="Índice 61"/>
    <w:basedOn w:val="Normal"/>
    <w:next w:val="Normal"/>
    <w:autoRedefine/>
    <w:uiPriority w:val="99"/>
    <w:unhideWhenUsed/>
    <w:rsid w:val="00395FF0"/>
    <w:pPr>
      <w:spacing w:after="0"/>
      <w:ind w:left="1320" w:hanging="220"/>
    </w:pPr>
    <w:rPr>
      <w:sz w:val="18"/>
      <w:szCs w:val="18"/>
      <w:lang w:eastAsia="es-PE"/>
    </w:rPr>
  </w:style>
  <w:style w:type="paragraph" w:customStyle="1" w:styleId="ndice71">
    <w:name w:val="Índice 71"/>
    <w:basedOn w:val="Normal"/>
    <w:next w:val="Normal"/>
    <w:autoRedefine/>
    <w:uiPriority w:val="99"/>
    <w:unhideWhenUsed/>
    <w:rsid w:val="00395FF0"/>
    <w:pPr>
      <w:spacing w:after="0"/>
      <w:ind w:left="1540" w:hanging="220"/>
    </w:pPr>
    <w:rPr>
      <w:sz w:val="18"/>
      <w:szCs w:val="18"/>
      <w:lang w:eastAsia="es-PE"/>
    </w:rPr>
  </w:style>
  <w:style w:type="paragraph" w:customStyle="1" w:styleId="ndice81">
    <w:name w:val="Índice 81"/>
    <w:basedOn w:val="Normal"/>
    <w:next w:val="Normal"/>
    <w:autoRedefine/>
    <w:uiPriority w:val="99"/>
    <w:unhideWhenUsed/>
    <w:rsid w:val="00395FF0"/>
    <w:pPr>
      <w:spacing w:after="0"/>
      <w:ind w:left="1760" w:hanging="220"/>
    </w:pPr>
    <w:rPr>
      <w:sz w:val="18"/>
      <w:szCs w:val="18"/>
      <w:lang w:eastAsia="es-PE"/>
    </w:rPr>
  </w:style>
  <w:style w:type="paragraph" w:customStyle="1" w:styleId="ndice91">
    <w:name w:val="Índice 91"/>
    <w:basedOn w:val="Normal"/>
    <w:next w:val="Normal"/>
    <w:autoRedefine/>
    <w:uiPriority w:val="99"/>
    <w:unhideWhenUsed/>
    <w:rsid w:val="00395FF0"/>
    <w:pPr>
      <w:spacing w:after="0"/>
      <w:ind w:left="1980" w:hanging="220"/>
    </w:pPr>
    <w:rPr>
      <w:sz w:val="18"/>
      <w:szCs w:val="18"/>
      <w:lang w:eastAsia="es-PE"/>
    </w:rPr>
  </w:style>
  <w:style w:type="paragraph" w:customStyle="1" w:styleId="Ttulodendice1">
    <w:name w:val="Título de índice1"/>
    <w:basedOn w:val="Normal"/>
    <w:next w:val="Index1"/>
    <w:uiPriority w:val="99"/>
    <w:unhideWhenUsed/>
    <w:rsid w:val="00395FF0"/>
    <w:pPr>
      <w:spacing w:before="240" w:after="120"/>
      <w:jc w:val="center"/>
    </w:pPr>
    <w:rPr>
      <w:b/>
      <w:bCs/>
      <w:sz w:val="26"/>
      <w:szCs w:val="26"/>
      <w:lang w:eastAsia="es-PE"/>
    </w:rPr>
  </w:style>
  <w:style w:type="paragraph" w:customStyle="1" w:styleId="TtuloTDC1">
    <w:name w:val="Título TDC1"/>
    <w:basedOn w:val="Heading1"/>
    <w:next w:val="Normal"/>
    <w:uiPriority w:val="39"/>
    <w:unhideWhenUsed/>
    <w:qFormat/>
    <w:rsid w:val="00395FF0"/>
    <w:pPr>
      <w:spacing w:before="240" w:after="0"/>
      <w:outlineLvl w:val="9"/>
    </w:pPr>
    <w:rPr>
      <w:rFonts w:ascii="Calibri Light" w:eastAsia="Times New Roman" w:hAnsi="Calibri Light" w:cs="Times New Roman"/>
      <w:b w:val="0"/>
      <w:color w:val="2F5496"/>
      <w:sz w:val="32"/>
      <w:szCs w:val="32"/>
    </w:rPr>
  </w:style>
  <w:style w:type="paragraph" w:styleId="TOC1">
    <w:name w:val="toc 1"/>
    <w:basedOn w:val="Normal"/>
    <w:next w:val="Normal"/>
    <w:autoRedefine/>
    <w:uiPriority w:val="39"/>
    <w:unhideWhenUsed/>
    <w:rsid w:val="00395FF0"/>
    <w:pPr>
      <w:spacing w:after="100"/>
    </w:pPr>
    <w:rPr>
      <w:lang w:eastAsia="es-PE"/>
    </w:rPr>
  </w:style>
  <w:style w:type="paragraph" w:styleId="TOC2">
    <w:name w:val="toc 2"/>
    <w:basedOn w:val="Normal"/>
    <w:next w:val="Normal"/>
    <w:autoRedefine/>
    <w:uiPriority w:val="39"/>
    <w:unhideWhenUsed/>
    <w:rsid w:val="00395FF0"/>
    <w:pPr>
      <w:spacing w:after="100"/>
      <w:ind w:left="220"/>
    </w:pPr>
    <w:rPr>
      <w:lang w:eastAsia="es-PE"/>
    </w:rPr>
  </w:style>
  <w:style w:type="paragraph" w:styleId="TOC3">
    <w:name w:val="toc 3"/>
    <w:basedOn w:val="Normal"/>
    <w:next w:val="Normal"/>
    <w:autoRedefine/>
    <w:uiPriority w:val="39"/>
    <w:unhideWhenUsed/>
    <w:rsid w:val="00395FF0"/>
    <w:pPr>
      <w:spacing w:after="100"/>
      <w:ind w:left="440"/>
    </w:pPr>
    <w:rPr>
      <w:lang w:eastAsia="es-PE"/>
    </w:rPr>
  </w:style>
  <w:style w:type="character" w:customStyle="1" w:styleId="Ttulo3Car1">
    <w:name w:val="Título 3 Car1"/>
    <w:basedOn w:val="DefaultParagraphFont"/>
    <w:uiPriority w:val="9"/>
    <w:semiHidden/>
    <w:rsid w:val="00395FF0"/>
    <w:rPr>
      <w:rFonts w:asciiTheme="majorHAnsi" w:eastAsiaTheme="majorEastAsia" w:hAnsiTheme="majorHAnsi" w:cstheme="majorBidi"/>
      <w:color w:val="1F3763" w:themeColor="accent1" w:themeShade="7F"/>
      <w:sz w:val="24"/>
      <w:szCs w:val="24"/>
    </w:rPr>
  </w:style>
  <w:style w:type="paragraph" w:styleId="NoSpacing">
    <w:name w:val="No Spacing"/>
    <w:uiPriority w:val="1"/>
    <w:qFormat/>
    <w:rsid w:val="00395FF0"/>
    <w:pPr>
      <w:spacing w:after="0" w:line="240" w:lineRule="auto"/>
    </w:pPr>
  </w:style>
  <w:style w:type="paragraph" w:styleId="Index1">
    <w:name w:val="index 1"/>
    <w:basedOn w:val="Normal"/>
    <w:next w:val="Normal"/>
    <w:autoRedefine/>
    <w:uiPriority w:val="99"/>
    <w:semiHidden/>
    <w:unhideWhenUsed/>
    <w:rsid w:val="00395FF0"/>
    <w:pPr>
      <w:spacing w:after="0" w:line="240" w:lineRule="auto"/>
      <w:ind w:left="220" w:hanging="220"/>
    </w:pPr>
  </w:style>
  <w:style w:type="paragraph" w:styleId="Revision">
    <w:name w:val="Revision"/>
    <w:hidden/>
    <w:uiPriority w:val="99"/>
    <w:semiHidden/>
    <w:rsid w:val="00181A9B"/>
    <w:pPr>
      <w:spacing w:after="0" w:line="240" w:lineRule="auto"/>
    </w:pPr>
  </w:style>
  <w:style w:type="character" w:styleId="CommentReference">
    <w:name w:val="annotation reference"/>
    <w:basedOn w:val="DefaultParagraphFont"/>
    <w:uiPriority w:val="99"/>
    <w:semiHidden/>
    <w:unhideWhenUsed/>
    <w:rsid w:val="008F2C9C"/>
    <w:rPr>
      <w:sz w:val="16"/>
      <w:szCs w:val="16"/>
    </w:rPr>
  </w:style>
  <w:style w:type="paragraph" w:styleId="CommentText">
    <w:name w:val="annotation text"/>
    <w:basedOn w:val="Normal"/>
    <w:link w:val="CommentTextChar"/>
    <w:uiPriority w:val="99"/>
    <w:semiHidden/>
    <w:unhideWhenUsed/>
    <w:rsid w:val="008F2C9C"/>
    <w:pPr>
      <w:spacing w:line="240" w:lineRule="auto"/>
    </w:pPr>
    <w:rPr>
      <w:sz w:val="20"/>
      <w:szCs w:val="20"/>
    </w:rPr>
  </w:style>
  <w:style w:type="character" w:customStyle="1" w:styleId="CommentTextChar">
    <w:name w:val="Comment Text Char"/>
    <w:basedOn w:val="DefaultParagraphFont"/>
    <w:link w:val="CommentText"/>
    <w:uiPriority w:val="99"/>
    <w:semiHidden/>
    <w:rsid w:val="008F2C9C"/>
    <w:rPr>
      <w:sz w:val="20"/>
      <w:szCs w:val="20"/>
    </w:rPr>
  </w:style>
  <w:style w:type="paragraph" w:styleId="CommentSubject">
    <w:name w:val="annotation subject"/>
    <w:basedOn w:val="CommentText"/>
    <w:next w:val="CommentText"/>
    <w:link w:val="CommentSubjectChar"/>
    <w:uiPriority w:val="99"/>
    <w:semiHidden/>
    <w:unhideWhenUsed/>
    <w:rsid w:val="008F2C9C"/>
    <w:rPr>
      <w:b/>
      <w:bCs/>
    </w:rPr>
  </w:style>
  <w:style w:type="character" w:customStyle="1" w:styleId="CommentSubjectChar">
    <w:name w:val="Comment Subject Char"/>
    <w:basedOn w:val="CommentTextChar"/>
    <w:link w:val="CommentSubject"/>
    <w:uiPriority w:val="99"/>
    <w:semiHidden/>
    <w:rsid w:val="008F2C9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SessionDetails1.aspx?SessionID=2761&amp;Lang=en" TargetMode="External"/><Relationship Id="rId13" Type="http://schemas.openxmlformats.org/officeDocument/2006/relationships/hyperlink" Target="https://cdn.www.gob.pe/uploads/document/file/6051578/5357753-peru-caracterizacion-de-las-condiciones-de-vida-de-la-poblacion-con-discapacidad-2022.pdf?v=1710445949" TargetMode="External"/><Relationship Id="rId18" Type="http://schemas.openxmlformats.org/officeDocument/2006/relationships/hyperlink" Target="https://www.un.org/es/desa/inclusion-saves-live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cdn.www.gob.pe/uploads/document/file/6051578/5357753-peru-caracterizacion-de-las-condiciones-de-vida-de-la-poblacion-con-discapacidad-2022.pdf?v=1710445949" TargetMode="External"/><Relationship Id="rId17" Type="http://schemas.openxmlformats.org/officeDocument/2006/relationships/hyperlink" Target="https://cdn.www.gob.pe/uploads/document/file/4405165/Investigaci%C3%B3n%20%7C%20Situaci%C3%B3n%20de%20la%20pobreza%20multidimensional%20en%20las%20personas%20con%20discapacidad%20del%20pa%C3%ADs:%20An%C3%A1lisis%20desde%20un%20enfoque%20interseccional.pdf?v=1680710250" TargetMode="External"/><Relationship Id="rId2" Type="http://schemas.openxmlformats.org/officeDocument/2006/relationships/numbering" Target="numbering.xml"/><Relationship Id="rId16" Type="http://schemas.openxmlformats.org/officeDocument/2006/relationships/hyperlink" Target="https://cdn.www.gob.pe/uploads/document/file/4405165/Investigaci%C3%B3n%20%7C%20Situaci%C3%B3n%20de%20la%20pobreza%20multidimensional%20en%20las%20personas%20con%20discapacidad%20del%20pa%C3%ADs:%20An%C3%A1lisis%20desde%20un%20enfoque%20interseccional.pdf?v=1680710250" TargetMode="External"/><Relationship Id="rId20" Type="http://schemas.openxmlformats.org/officeDocument/2006/relationships/hyperlink" Target="https://www.gob.pe/institucion/minsa/normas-legales/256661-2684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dn.www.gob.pe/uploads/document/file/6051578/5357753-peru-caracterizacion-de-las-condiciones-de-vida-de-la-poblacion-con-discapacidad-2022.pdf?v=1710445949"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iscapacidad.trabajo.gob.pe/cuota-de-empleo/informes-de-la-sunafil/" TargetMode="External"/><Relationship Id="rId23" Type="http://schemas.openxmlformats.org/officeDocument/2006/relationships/fontTable" Target="fontTable.xml"/><Relationship Id="rId10" Type="http://schemas.openxmlformats.org/officeDocument/2006/relationships/hyperlink" Target="https://cdn.www.gob.pe/uploads/document/file/6051578/5357753-peru-caracterizacion-de-las-condiciones-de-vida-de-la-poblacion-con-discapacidad-2022.pdf?v=1710445949" TargetMode="External"/><Relationship Id="rId19" Type="http://schemas.openxmlformats.org/officeDocument/2006/relationships/hyperlink" Target="https://www.leyes.congreso.gob.pe/documentos/leyes/29973.pd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gob.pe/institucion/conadis/noticias/957843-conadis-multo-a-cinco-gobiernos-regionales-con-mas-de-s-300-000-por-incumplir-cuota-laboral-de-personas-con-discapacidad" TargetMode="External"/><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www.gob.pe/institucion/conadis/noticias/1054497-comas-conadis-rechaza-y-condena-actos-de-violencia-contra-ninas-y-ninos-autistas-en-centro-terapeutico" TargetMode="External"/><Relationship Id="rId3" Type="http://schemas.openxmlformats.org/officeDocument/2006/relationships/hyperlink" Target="https://www.minedu.gob.pe/transparencia/2022/pdf/Pol%C3%ADtica_Nacional_Multisectorial_en_Discapacidad_para_el_Desarrollo_al_2030.pdf" TargetMode="External"/><Relationship Id="rId7" Type="http://schemas.openxmlformats.org/officeDocument/2006/relationships/hyperlink" Target="https://saludconlupa.com/salud-mental/violencia-psiquiatrica-cuando-te-lastima-quien-tiene-el-trabajo-de-cuidarte/" TargetMode="External"/><Relationship Id="rId2" Type="http://schemas.openxmlformats.org/officeDocument/2006/relationships/hyperlink" Target="https://drive.google.com/file/d/1LKg41eQbXG67-MTjdCM_qJbYH48q5r4L/view" TargetMode="External"/><Relationship Id="rId1" Type="http://schemas.openxmlformats.org/officeDocument/2006/relationships/hyperlink" Target="https://drive.google.com/file/d/1NNsmR3OqU5pjKh4AAuorTENKgbNaWvuE/view" TargetMode="External"/><Relationship Id="rId6" Type="http://schemas.openxmlformats.org/officeDocument/2006/relationships/hyperlink" Target="https://saludconlupa.com/salud-mental/7-de-cada-10-centros-de-salud-mental-se-han-quedado-sin-medicinas-por-que-el-estado-no-esta-comprandolas-a-tiempo/" TargetMode="External"/><Relationship Id="rId5" Type="http://schemas.openxmlformats.org/officeDocument/2006/relationships/hyperlink" Target="https://www.defensoria.gob.pe/wp-content/uploads/2022/09/Informe-salud-mental-final.pdf" TargetMode="External"/><Relationship Id="rId4" Type="http://schemas.openxmlformats.org/officeDocument/2006/relationships/hyperlink" Target="https://www.defensoria.gob.pe/wp-content/uploads/2021/05/Informe-Derechos-Sexuales-y-Reproductivos.pdf?utm_source=chatgpt.com" TargetMode="External"/><Relationship Id="rId9" Type="http://schemas.openxmlformats.org/officeDocument/2006/relationships/hyperlink" Target="https://www.sodisperu.org/recurso/the-role-of-social-protection-in-the-mitigation-of-the-covid-19-pandemic-impact-and-future-social-shocks-for-persons-with-disabilities-in-per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9c35qWDH2WNsRsFKNvAArS+z/OQ==">CgMxLjAyCGguZ2pkZ3hzMg5oLm9iYjF1Z2diOWJlMDIJaC4zNW5rdW4yOABqUgo2c3VnZ2VzdElkSW1wb3J0NGQwZTYwMDMtZjUwOS00MWNkLWJhYjYtYmJhMzFiNjFkMmY5XzkzEhhKdWFuIElnbmFjaW8gUGVyZXogQmVsbG9qUgo2c3VnZ2VzdElkSW1wb3J0NGQwZTYwMDMtZjUwOS00MWNkLWJhYjYtYmJhMzFiNjFkMmY5Xzc4EhhKdWFuIElnbmFjaW8gUGVyZXogQmVsbG9qUQo1c3VnZ2VzdElkSW1wb3J0NGQwZTYwMDMtZjUwOS00MWNkLWJhYjYtYmJhMzFiNjFkMmY5XzUSGEp1YW4gSWduYWNpbyBQZXJleiBCZWxsb2pSCjZzdWdnZXN0SWRJbXBvcnQ0ZDBlNjAwMy1mNTA5LTQxY2QtYmFiNi1iYmEzMWI2MWQyZjlfODgSGEp1YW4gSWduYWNpbyBQZXJleiBCZWxsb2pSCjZzdWdnZXN0SWRJbXBvcnQ0ZDBlNjAwMy1mNTA5LTQxY2QtYmFiNi1iYmEzMWI2MWQyZjlfNjESGEp1YW4gSWduYWNpbyBQZXJleiBCZWxsb2pSCjZzdWdnZXN0SWRJbXBvcnQ0ZDBlNjAwMy1mNTA5LTQxY2QtYmFiNi1iYmEzMWI2MWQyZjlfODUSGEp1YW4gSWduYWNpbyBQZXJleiBCZWxsb2pSCjZzdWdnZXN0SWRJbXBvcnQ0ZDBlNjAwMy1mNTA5LTQxY2QtYmFiNi1iYmEzMWI2MWQyZjlfMzkSGEp1YW4gSWduYWNpbyBQZXJleiBCZWxsb2pSCjZzdWdnZXN0SWRJbXBvcnQ0ZDBlNjAwMy1mNTA5LTQxY2QtYmFiNi1iYmEzMWI2MWQyZjlfNTgSGEp1YW4gSWduYWNpbyBQZXJleiBCZWxsb2pSCjZzdWdnZXN0SWRJbXBvcnQ0ZDBlNjAwMy1mNTA5LTQxY2QtYmFiNi1iYmEzMWI2MWQyZjlfOTUSGEp1YW4gSWduYWNpbyBQZXJleiBCZWxsb2pSCjZzdWdnZXN0SWRJbXBvcnQ0ZDBlNjAwMy1mNTA5LTQxY2QtYmFiNi1iYmEzMWI2MWQyZjlfMTASGEp1YW4gSWduYWNpbyBQZXJleiBCZWxsb2pSCjZzdWdnZXN0SWRJbXBvcnQ0ZDBlNjAwMy1mNTA5LTQxY2QtYmFiNi1iYmEzMWI2MWQyZjlfMTgSGEp1YW4gSWduYWNpbyBQZXJleiBCZWxsb2pSCjZzdWdnZXN0SWRJbXBvcnQ0ZDBlNjAwMy1mNTA5LTQxY2QtYmFiNi1iYmEzMWI2MWQyZjlfNzASGEp1YW4gSWduYWNpbyBQZXJleiBCZWxsb2pSCjZzdWdnZXN0SWRJbXBvcnQ0ZDBlNjAwMy1mNTA5LTQxY2QtYmFiNi1iYmEzMWI2MWQyZjlfNTESGEp1YW4gSWduYWNpbyBQZXJleiBCZWxsb2pSCjZzdWdnZXN0SWRJbXBvcnQ0ZDBlNjAwMy1mNTA5LTQxY2QtYmFiNi1iYmEzMWI2MWQyZjlfNjUSGEp1YW4gSWduYWNpbyBQZXJleiBCZWxsb2pSCjZzdWdnZXN0SWRJbXBvcnQ0ZDBlNjAwMy1mNTA5LTQxY2QtYmFiNi1iYmEzMWI2MWQyZjlfOTASGEp1YW4gSWduYWNpbyBQZXJleiBCZWxsb2pSCjZzdWdnZXN0SWRJbXBvcnQ0ZDBlNjAwMy1mNTA5LTQxY2QtYmFiNi1iYmEzMWI2MWQyZjlfNjASGEp1YW4gSWduYWNpbyBQZXJleiBCZWxsb2pRCjVzdWdnZXN0SWRJbXBvcnQ0ZDBlNjAwMy1mNTA5LTQxY2QtYmFiNi1iYmEzMWI2MWQyZjlfNhIYSnVhbiBJZ25hY2lvIFBlcmV6IEJlbGxvalIKNnN1Z2dlc3RJZEltcG9ydDRkMGU2MDAzLWY1MDktNDFjZC1iYWI2LWJiYTMxYjYxZDJmOV80NxIYSnVhbiBJZ25hY2lvIFBlcmV6IEJlbGxvalIKNnN1Z2dlc3RJZEltcG9ydDRkMGU2MDAzLWY1MDktNDFjZC1iYWI2LWJiYTMxYjYxZDJmOV8zNBIYSnVhbiBJZ25hY2lvIFBlcmV6IEJlbGxvalIKNnN1Z2dlc3RJZEltcG9ydDRkMGU2MDAzLWY1MDktNDFjZC1iYWI2LWJiYTMxYjYxZDJmOV83MRIYSnVhbiBJZ25hY2lvIFBlcmV6IEJlbGxvalIKNnN1Z2dlc3RJZEltcG9ydDRkMGU2MDAzLWY1MDktNDFjZC1iYWI2LWJiYTMxYjYxZDJmOV8yNBIYSnVhbiBJZ25hY2lvIFBlcmV6IEJlbGxvalIKNnN1Z2dlc3RJZEltcG9ydDRkMGU2MDAzLWY1MDktNDFjZC1iYWI2LWJiYTMxYjYxZDJmOV83NhIYSnVhbiBJZ25hY2lvIFBlcmV6IEJlbGxvalIKNnN1Z2dlc3RJZEltcG9ydDRkMGU2MDAzLWY1MDktNDFjZC1iYWI2LWJiYTMxYjYxZDJmOV81NRIYSnVhbiBJZ25hY2lvIFBlcmV6IEJlbGxvalIKNnN1Z2dlc3RJZEltcG9ydDRkMGU2MDAzLWY1MDktNDFjZC1iYWI2LWJiYTMxYjYxZDJmOV85MRIYSnVhbiBJZ25hY2lvIFBlcmV6IEJlbGxvalIKNnN1Z2dlc3RJZEltcG9ydDRkMGU2MDAzLWY1MDktNDFjZC1iYWI2LWJiYTMxYjYxZDJmOV80MhIYSnVhbiBJZ25hY2lvIFBlcmV6IEJlbGxvalIKNnN1Z2dlc3RJZEltcG9ydDRkMGU2MDAzLWY1MDktNDFjZC1iYWI2LWJiYTMxYjYxZDJmOV80MBIYSnVhbiBJZ25hY2lvIFBlcmV6IEJlbGxvalIKNnN1Z2dlc3RJZEltcG9ydDRkMGU2MDAzLWY1MDktNDFjZC1iYWI2LWJiYTMxYjYxZDJmOV84NhIYSnVhbiBJZ25hY2lvIFBlcmV6IEJlbGxvalIKNnN1Z2dlc3RJZEltcG9ydDRkMGU2MDAzLWY1MDktNDFjZC1iYWI2LWJiYTMxYjYxZDJmOV8yMhIYSnVhbiBJZ25hY2lvIFBlcmV6IEJlbGxvalIKNnN1Z2dlc3RJZEltcG9ydDRkMGU2MDAzLWY1MDktNDFjZC1iYWI2LWJiYTMxYjYxZDJmOV83NxIYSnVhbiBJZ25hY2lvIFBlcmV6IEJlbGxvalIKNnN1Z2dlc3RJZEltcG9ydDRkMGU2MDAzLWY1MDktNDFjZC1iYWI2LWJiYTMxYjYxZDJmOV83MhIYSnVhbiBJZ25hY2lvIFBlcmV6IEJlbGxvalIKNnN1Z2dlc3RJZEltcG9ydDRkMGU2MDAzLWY1MDktNDFjZC1iYWI2LWJiYTMxYjYxZDJmOV80ORIYSnVhbiBJZ25hY2lvIFBlcmV6IEJlbGxvalIKNnN1Z2dlc3RJZEltcG9ydDRkMGU2MDAzLWY1MDktNDFjZC1iYWI2LWJiYTMxYjYxZDJmOV82MxIYSnVhbiBJZ25hY2lvIFBlcmV6IEJlbGxvalIKNnN1Z2dlc3RJZEltcG9ydDRkMGU2MDAzLWY1MDktNDFjZC1iYWI2LWJiYTMxYjYxZDJmOV8zMBIYSnVhbiBJZ25hY2lvIFBlcmV6IEJlbGxvalIKNnN1Z2dlc3RJZEltcG9ydDRkMGU2MDAzLWY1MDktNDFjZC1iYWI2LWJiYTMxYjYxZDJmOV8zNxIYSnVhbiBJZ25hY2lvIFBlcmV6IEJlbGxvalIKNnN1Z2dlc3RJZEltcG9ydDRkMGU2MDAzLWY1MDktNDFjZC1iYWI2LWJiYTMxYjYxZDJmOV82MhIYSnVhbiBJZ25hY2lvIFBlcmV6IEJlbGxvalIKNnN1Z2dlc3RJZEltcG9ydDRkMGU2MDAzLWY1MDktNDFjZC1iYWI2LWJiYTMxYjYxZDJmOV84NxIYSnVhbiBJZ25hY2lvIFBlcmV6IEJlbGxvalIKNnN1Z2dlc3RJZEltcG9ydDRkMGU2MDAzLWY1MDktNDFjZC1iYWI2LWJiYTMxYjYxZDJmOV83NBIYSnVhbiBJZ25hY2lvIFBlcmV6IEJlbGxvalIKNnN1Z2dlc3RJZEltcG9ydDRkMGU2MDAzLWY1MDktNDFjZC1iYWI2LWJiYTMxYjYxZDJmOV82NxIYSnVhbiBJZ25hY2lvIFBlcmV6IEJlbGxvalEKNXN1Z2dlc3RJZEltcG9ydDRkMGU2MDAzLWY1MDktNDFjZC1iYWI2LWJiYTMxYjYxZDJmOV84EhhKdWFuIElnbmFjaW8gUGVyZXogQmVsbG9qUgo2c3VnZ2VzdElkSW1wb3J0NGQwZTYwMDMtZjUwOS00MWNkLWJhYjYtYmJhMzFiNjFkMmY5XzU3EhhKdWFuIElnbmFjaW8gUGVyZXogQmVsbG9qUgo2c3VnZ2VzdElkSW1wb3J0NGQwZTYwMDMtZjUwOS00MWNkLWJhYjYtYmJhMzFiNjFkMmY5Xzk3EhhKdWFuIElnbmFjaW8gUGVyZXogQmVsbG9qUgo2c3VnZ2VzdElkSW1wb3J0NGQwZTYwMDMtZjUwOS00MWNkLWJhYjYtYmJhMzFiNjFkMmY5XzY5EhhKdWFuIElnbmFjaW8gUGVyZXogQmVsbG9qUQo1c3VnZ2VzdElkSW1wb3J0NGQwZTYwMDMtZjUwOS00MWNkLWJhYjYtYmJhMzFiNjFkMmY5XzMSGEp1YW4gSWduYWNpbyBQZXJleiBCZWxsb2pSCjZzdWdnZXN0SWRJbXBvcnQ0ZDBlNjAwMy1mNTA5LTQxY2QtYmFiNi1iYmEzMWI2MWQyZjlfOTgSGEp1YW4gSWduYWNpbyBQZXJleiBCZWxsb2pSCjZzdWdnZXN0SWRJbXBvcnQ0ZDBlNjAwMy1mNTA5LTQxY2QtYmFiNi1iYmEzMWI2MWQyZjlfMTYSGEp1YW4gSWduYWNpbyBQZXJleiBCZWxsb2pSCjZzdWdnZXN0SWRJbXBvcnQ0ZDBlNjAwMy1mNTA5LTQxY2QtYmFiNi1iYmEzMWI2MWQyZjlfNTQSGEp1YW4gSWduYWNpbyBQZXJleiBCZWxsb2pSCjZzdWdnZXN0SWRJbXBvcnQ0ZDBlNjAwMy1mNTA5LTQxY2QtYmFiNi1iYmEzMWI2MWQyZjlfNDUSGEp1YW4gSWduYWNpbyBQZXJleiBCZWxsb2pSCjZzdWdnZXN0SWRJbXBvcnQ0ZDBlNjAwMy1mNTA5LTQxY2QtYmFiNi1iYmEzMWI2MWQyZjlfNDMSGEp1YW4gSWduYWNpbyBQZXJleiBCZWxsb2pSCjZzdWdnZXN0SWRJbXBvcnQ0ZDBlNjAwMy1mNTA5LTQxY2QtYmFiNi1iYmEzMWI2MWQyZjlfNTASGEp1YW4gSWduYWNpbyBQZXJleiBCZWxsb2pSCjZzdWdnZXN0SWRJbXBvcnQ0ZDBlNjAwMy1mNTA5LTQxY2QtYmFiNi1iYmEzMWI2MWQyZjlfMzYSGEp1YW4gSWduYWNpbyBQZXJleiBCZWxsb2pSCjZzdWdnZXN0SWRJbXBvcnQ0ZDBlNjAwMy1mNTA5LTQxY2QtYmFiNi1iYmEzMWI2MWQyZjlfNTMSGEp1YW4gSWduYWNpbyBQZXJleiBCZWxsb2pSCjZzdWdnZXN0SWRJbXBvcnQ0ZDBlNjAwMy1mNTA5LTQxY2QtYmFiNi1iYmEzMWI2MWQyZjlfNTkSGEp1YW4gSWduYWNpbyBQZXJleiBCZWxsb2pSCjZzdWdnZXN0SWRJbXBvcnQ0ZDBlNjAwMy1mNTA5LTQxY2QtYmFiNi1iYmEzMWI2MWQyZjlfODMSGEp1YW4gSWduYWNpbyBQZXJleiBCZWxsb2pSCjZzdWdnZXN0SWRJbXBvcnQ0ZDBlNjAwMy1mNTA5LTQxY2QtYmFiNi1iYmEzMWI2MWQyZjlfMjUSGEp1YW4gSWduYWNpbyBQZXJleiBCZWxsb2pSCjZzdWdnZXN0SWRJbXBvcnQ0ZDBlNjAwMy1mNTA5LTQxY2QtYmFiNi1iYmEzMWI2MWQyZjlfMjgSGEp1YW4gSWduYWNpbyBQZXJleiBCZWxsb2pRCjVzdWdnZXN0SWRJbXBvcnQ0ZDBlNjAwMy1mNTA5LTQxY2QtYmFiNi1iYmEzMWI2MWQyZjlfMRIYSnVhbiBJZ25hY2lvIFBlcmV6IEJlbGxvalIKNnN1Z2dlc3RJZEltcG9ydDRkMGU2MDAzLWY1MDktNDFjZC1iYWI2LWJiYTMxYjYxZDJmOV8zOBIYSnVhbiBJZ25hY2lvIFBlcmV6IEJlbGxvalIKNnN1Z2dlc3RJZEltcG9ydDRkMGU2MDAzLWY1MDktNDFjZC1iYWI2LWJiYTMxYjYxZDJmOV84MRIYSnVhbiBJZ25hY2lvIFBlcmV6IEJlbGxvalIKNnN1Z2dlc3RJZEltcG9ydDRkMGU2MDAzLWY1MDktNDFjZC1iYWI2LWJiYTMxYjYxZDJmOV81MhIYSnVhbiBJZ25hY2lvIFBlcmV6IEJlbGxvalIKNnN1Z2dlc3RJZEltcG9ydDRkMGU2MDAzLWY1MDktNDFjZC1iYWI2LWJiYTMxYjYxZDJmOV8zMRIYSnVhbiBJZ25hY2lvIFBlcmV6IEJlbGxvalIKNnN1Z2dlc3RJZEltcG9ydDRkMGU2MDAzLWY1MDktNDFjZC1iYWI2LWJiYTMxYjYxZDJmOV8xMhIYSnVhbiBJZ25hY2lvIFBlcmV6IEJlbGxvalIKNnN1Z2dlc3RJZEltcG9ydDRkMGU2MDAzLWY1MDktNDFjZC1iYWI2LWJiYTMxYjYxZDJmOV81NhIYSnVhbiBJZ25hY2lvIFBlcmV6IEJlbGxvalEKNXN1Z2dlc3RJZEltcG9ydDRkMGU2MDAzLWY1MDktNDFjZC1iYWI2LWJiYTMxYjYxZDJmOV85EhhKdWFuIElnbmFjaW8gUGVyZXogQmVsbG9qUgo2c3VnZ2VzdElkSW1wb3J0NGQwZTYwMDMtZjUwOS00MWNkLWJhYjYtYmJhMzFiNjFkMmY5XzgwEhhKdWFuIElnbmFjaW8gUGVyZXogQmVsbG9qUgo2c3VnZ2VzdElkSW1wb3J0NGQwZTYwMDMtZjUwOS00MWNkLWJhYjYtYmJhMzFiNjFkMmY5Xzk0EhhKdWFuIElnbmFjaW8gUGVyZXogQmVsbG9yITFGX3VLd1NsbkZrVDJ6S3V0VnFOaTFENW5KaXdrd1EtM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6928</Words>
  <Characters>39490</Characters>
  <Application>Microsoft Office Word</Application>
  <DocSecurity>0</DocSecurity>
  <Lines>329</Lines>
  <Paragraphs>92</Paragraphs>
  <ScaleCrop>false</ScaleCrop>
  <Company/>
  <LinksUpToDate>false</LinksUpToDate>
  <CharactersWithSpaces>46326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Marivero Del Mastro</dc:creator>
  <cp:lastModifiedBy>diazpimentelc@gmail.com</cp:lastModifiedBy>
  <cp:revision>2</cp:revision>
  <dcterms:created xsi:type="dcterms:W3CDTF">2024-12-02T19:08:00Z</dcterms:created>
  <dcterms:modified xsi:type="dcterms:W3CDTF">2025-01-22T01:36:00Z</dcterms:modified>
</cp:coreProperties>
</file>