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60"/>
        <w:rPr>
          <w:sz w:val="20"/>
        </w:rPr>
      </w:pPr>
      <w:r>
        <w:rPr>
          <w:sz w:val="20"/>
        </w:rPr>
        <w:drawing>
          <wp:inline distT="0" distB="0" distL="0" distR="0">
            <wp:extent cx="1674645" cy="485775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464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2"/>
        <w:rPr>
          <w:sz w:val="20"/>
        </w:rPr>
      </w:pPr>
    </w:p>
    <w:p>
      <w:pPr>
        <w:spacing w:after="0"/>
        <w:rPr>
          <w:sz w:val="20"/>
        </w:rPr>
        <w:sectPr>
          <w:footerReference w:type="default" r:id="rId5"/>
          <w:type w:val="continuous"/>
          <w:pgSz w:w="11910" w:h="16840"/>
          <w:pgMar w:header="0" w:footer="530" w:top="60" w:bottom="720" w:left="0" w:right="460"/>
          <w:pgNumType w:start="1"/>
        </w:sectPr>
      </w:pPr>
    </w:p>
    <w:p>
      <w:pPr>
        <w:pStyle w:val="BodyText"/>
        <w:rPr>
          <w:sz w:val="6"/>
        </w:rPr>
      </w:pPr>
    </w:p>
    <w:p>
      <w:pPr>
        <w:pStyle w:val="BodyText"/>
        <w:ind w:left="1751"/>
        <w:rPr>
          <w:sz w:val="20"/>
        </w:rPr>
      </w:pPr>
      <w:r>
        <w:rPr>
          <w:sz w:val="20"/>
        </w:rPr>
        <w:drawing>
          <wp:inline distT="0" distB="0" distL="0" distR="0">
            <wp:extent cx="710442" cy="1325879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0442" cy="1325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</w:pPr>
    </w:p>
    <w:p>
      <w:pPr>
        <w:pStyle w:val="BodyText"/>
        <w:spacing w:before="204"/>
      </w:pPr>
    </w:p>
    <w:p>
      <w:pPr>
        <w:spacing w:before="0"/>
        <w:ind w:left="1697" w:right="0" w:firstLine="0"/>
        <w:jc w:val="left"/>
        <w:rPr>
          <w:b/>
          <w:sz w:val="24"/>
        </w:rPr>
      </w:pPr>
      <w:r>
        <w:rPr>
          <w:b/>
          <w:sz w:val="24"/>
        </w:rPr>
        <w:t>CEDAW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Secretariat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UNOG-OHCHR,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CH-1211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Geneva</w:t>
      </w:r>
      <w:r>
        <w:rPr>
          <w:b/>
          <w:spacing w:val="-10"/>
          <w:sz w:val="24"/>
        </w:rPr>
        <w:t> </w:t>
      </w:r>
      <w:r>
        <w:rPr>
          <w:b/>
          <w:spacing w:val="-5"/>
          <w:sz w:val="24"/>
        </w:rPr>
        <w:t>10</w:t>
      </w:r>
    </w:p>
    <w:p>
      <w:pPr>
        <w:spacing w:before="0"/>
        <w:ind w:left="1697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Switzerland</w:t>
      </w:r>
    </w:p>
    <w:p>
      <w:pPr>
        <w:pStyle w:val="BodyText"/>
        <w:ind w:left="1757"/>
      </w:pPr>
      <w:r>
        <w:rPr/>
        <w:t>Email:</w:t>
      </w:r>
      <w:r>
        <w:rPr>
          <w:spacing w:val="-1"/>
        </w:rPr>
        <w:t> </w:t>
      </w:r>
      <w:hyperlink r:id="rId8">
        <w:r>
          <w:rPr>
            <w:color w:val="0462C1"/>
            <w:spacing w:val="-2"/>
            <w:u w:val="single" w:color="0462C1"/>
          </w:rPr>
          <w:t>cedaw@ohchr.org</w:t>
        </w:r>
      </w:hyperlink>
    </w:p>
    <w:p>
      <w:pPr>
        <w:spacing w:before="64"/>
        <w:ind w:left="0" w:right="124" w:firstLine="0"/>
        <w:jc w:val="right"/>
        <w:rPr>
          <w:rFonts w:ascii="Carlito"/>
          <w:b/>
          <w:sz w:val="18"/>
        </w:rPr>
      </w:pPr>
      <w:r>
        <w:rPr/>
        <w:br w:type="column"/>
      </w:r>
      <w:r>
        <w:rPr>
          <w:rFonts w:ascii="Carlito"/>
          <w:b/>
          <w:spacing w:val="16"/>
          <w:sz w:val="18"/>
        </w:rPr>
        <w:t>ASSOCIATION</w:t>
      </w:r>
      <w:r>
        <w:rPr>
          <w:rFonts w:ascii="Carlito"/>
          <w:b/>
          <w:spacing w:val="41"/>
          <w:sz w:val="18"/>
        </w:rPr>
        <w:t> </w:t>
      </w:r>
      <w:r>
        <w:rPr>
          <w:rFonts w:ascii="Carlito"/>
          <w:b/>
          <w:spacing w:val="6"/>
          <w:sz w:val="18"/>
        </w:rPr>
        <w:t>LGL</w:t>
      </w:r>
    </w:p>
    <w:p>
      <w:pPr>
        <w:spacing w:before="54"/>
        <w:ind w:left="0" w:right="126" w:firstLine="0"/>
        <w:jc w:val="right"/>
        <w:rPr>
          <w:rFonts w:ascii="Carlito"/>
          <w:sz w:val="18"/>
        </w:rPr>
      </w:pPr>
      <w:r>
        <w:rPr>
          <w:rFonts w:ascii="Carlito"/>
          <w:spacing w:val="16"/>
          <w:sz w:val="18"/>
        </w:rPr>
        <w:t>REGISTRATION</w:t>
      </w:r>
      <w:r>
        <w:rPr>
          <w:rFonts w:ascii="Carlito"/>
          <w:spacing w:val="41"/>
          <w:sz w:val="18"/>
        </w:rPr>
        <w:t> </w:t>
      </w:r>
      <w:r>
        <w:rPr>
          <w:rFonts w:ascii="Carlito"/>
          <w:spacing w:val="15"/>
          <w:sz w:val="18"/>
        </w:rPr>
        <w:t>NUMBER</w:t>
      </w:r>
      <w:r>
        <w:rPr>
          <w:rFonts w:ascii="Carlito"/>
          <w:spacing w:val="-13"/>
          <w:sz w:val="18"/>
        </w:rPr>
        <w:t> </w:t>
      </w:r>
      <w:r>
        <w:rPr>
          <w:rFonts w:ascii="Carlito"/>
          <w:sz w:val="18"/>
        </w:rPr>
        <w:t>:</w:t>
      </w:r>
      <w:r>
        <w:rPr>
          <w:rFonts w:ascii="Carlito"/>
          <w:spacing w:val="41"/>
          <w:sz w:val="18"/>
        </w:rPr>
        <w:t> </w:t>
      </w:r>
      <w:r>
        <w:rPr>
          <w:rFonts w:ascii="Carlito"/>
          <w:spacing w:val="15"/>
          <w:sz w:val="18"/>
        </w:rPr>
        <w:t>291902980</w:t>
      </w:r>
    </w:p>
    <w:p>
      <w:pPr>
        <w:spacing w:line="300" w:lineRule="auto" w:before="56"/>
        <w:ind w:left="60" w:right="123" w:firstLine="1740"/>
        <w:jc w:val="right"/>
        <w:rPr>
          <w:rFonts w:ascii="Carlito" w:hAnsi="Carlito"/>
          <w:sz w:val="18"/>
        </w:rPr>
      </w:pPr>
      <w:r>
        <w:rPr>
          <w:rFonts w:ascii="Carlito" w:hAnsi="Carlito"/>
          <w:spacing w:val="13"/>
          <w:sz w:val="18"/>
        </w:rPr>
        <w:t>POSTAL </w:t>
      </w:r>
      <w:r>
        <w:rPr>
          <w:rFonts w:ascii="Carlito" w:hAnsi="Carlito"/>
          <w:spacing w:val="15"/>
          <w:sz w:val="18"/>
        </w:rPr>
        <w:t>ADDRESS: </w:t>
      </w:r>
      <w:r>
        <w:rPr>
          <w:rFonts w:ascii="Carlito" w:hAnsi="Carlito"/>
          <w:spacing w:val="16"/>
          <w:sz w:val="18"/>
        </w:rPr>
        <w:t>ODMINIŲ</w:t>
      </w:r>
      <w:r>
        <w:rPr>
          <w:rFonts w:ascii="Carlito" w:hAnsi="Carlito"/>
          <w:spacing w:val="50"/>
          <w:sz w:val="18"/>
        </w:rPr>
        <w:t> </w:t>
      </w:r>
      <w:r>
        <w:rPr>
          <w:rFonts w:ascii="Carlito" w:hAnsi="Carlito"/>
          <w:sz w:val="18"/>
        </w:rPr>
        <w:t>ST.</w:t>
      </w:r>
      <w:r>
        <w:rPr>
          <w:rFonts w:ascii="Carlito" w:hAnsi="Carlito"/>
          <w:spacing w:val="53"/>
          <w:sz w:val="18"/>
        </w:rPr>
        <w:t> </w:t>
      </w:r>
      <w:r>
        <w:rPr>
          <w:rFonts w:ascii="Carlito" w:hAnsi="Carlito"/>
          <w:sz w:val="18"/>
        </w:rPr>
        <w:t>11</w:t>
      </w:r>
      <w:r>
        <w:rPr>
          <w:rFonts w:ascii="Carlito" w:hAnsi="Carlito"/>
          <w:spacing w:val="-18"/>
          <w:sz w:val="18"/>
        </w:rPr>
        <w:t> </w:t>
      </w:r>
      <w:r>
        <w:rPr>
          <w:rFonts w:ascii="Carlito" w:hAnsi="Carlito"/>
          <w:sz w:val="18"/>
        </w:rPr>
        <w:t>-</w:t>
      </w:r>
      <w:r>
        <w:rPr>
          <w:rFonts w:ascii="Carlito" w:hAnsi="Carlito"/>
          <w:spacing w:val="-16"/>
          <w:sz w:val="18"/>
        </w:rPr>
        <w:t> </w:t>
      </w:r>
      <w:r>
        <w:rPr>
          <w:rFonts w:ascii="Carlito" w:hAnsi="Carlito"/>
          <w:sz w:val="18"/>
        </w:rPr>
        <w:t>4</w:t>
      </w:r>
      <w:r>
        <w:rPr>
          <w:rFonts w:ascii="Carlito" w:hAnsi="Carlito"/>
          <w:spacing w:val="-19"/>
          <w:sz w:val="18"/>
        </w:rPr>
        <w:t> </w:t>
      </w:r>
      <w:r>
        <w:rPr>
          <w:rFonts w:ascii="Carlito" w:hAnsi="Carlito"/>
          <w:sz w:val="18"/>
        </w:rPr>
        <w:t>,</w:t>
      </w:r>
      <w:r>
        <w:rPr>
          <w:rFonts w:ascii="Carlito" w:hAnsi="Carlito"/>
          <w:spacing w:val="50"/>
          <w:sz w:val="18"/>
        </w:rPr>
        <w:t> </w:t>
      </w:r>
      <w:r>
        <w:rPr>
          <w:rFonts w:ascii="Carlito" w:hAnsi="Carlito"/>
          <w:sz w:val="18"/>
        </w:rPr>
        <w:t>LT-</w:t>
      </w:r>
      <w:r>
        <w:rPr>
          <w:rFonts w:ascii="Carlito" w:hAnsi="Carlito"/>
          <w:spacing w:val="-19"/>
          <w:sz w:val="18"/>
        </w:rPr>
        <w:t> </w:t>
      </w:r>
      <w:r>
        <w:rPr>
          <w:rFonts w:ascii="Carlito" w:hAnsi="Carlito"/>
          <w:spacing w:val="15"/>
          <w:sz w:val="18"/>
        </w:rPr>
        <w:t>01122</w:t>
      </w:r>
      <w:r>
        <w:rPr>
          <w:rFonts w:ascii="Carlito" w:hAnsi="Carlito"/>
          <w:spacing w:val="48"/>
          <w:sz w:val="18"/>
        </w:rPr>
        <w:t> </w:t>
      </w:r>
      <w:r>
        <w:rPr>
          <w:rFonts w:ascii="Carlito" w:hAnsi="Carlito"/>
          <w:spacing w:val="15"/>
          <w:sz w:val="18"/>
        </w:rPr>
        <w:t>VILNIUS</w:t>
      </w:r>
    </w:p>
    <w:p>
      <w:pPr>
        <w:spacing w:line="300" w:lineRule="auto" w:before="0"/>
        <w:ind w:left="405" w:right="0" w:firstLine="732"/>
        <w:jc w:val="left"/>
        <w:rPr>
          <w:rFonts w:ascii="Carlito"/>
          <w:sz w:val="18"/>
        </w:rPr>
      </w:pPr>
      <w:r>
        <w:rPr>
          <w:rFonts w:ascii="Carlito"/>
          <w:spacing w:val="16"/>
          <w:sz w:val="18"/>
        </w:rPr>
        <w:t>office@</w:t>
      </w:r>
      <w:r>
        <w:rPr>
          <w:rFonts w:ascii="Carlito"/>
          <w:spacing w:val="-22"/>
          <w:sz w:val="18"/>
        </w:rPr>
        <w:t> </w:t>
      </w:r>
      <w:r>
        <w:rPr>
          <w:rFonts w:ascii="Carlito"/>
          <w:spacing w:val="10"/>
          <w:sz w:val="18"/>
        </w:rPr>
        <w:t>gay.</w:t>
      </w:r>
      <w:r>
        <w:rPr>
          <w:rFonts w:ascii="Carlito"/>
          <w:spacing w:val="-20"/>
          <w:sz w:val="18"/>
        </w:rPr>
        <w:t> </w:t>
      </w:r>
      <w:r>
        <w:rPr>
          <w:rFonts w:ascii="Carlito"/>
          <w:sz w:val="18"/>
        </w:rPr>
        <w:t>l</w:t>
      </w:r>
      <w:r>
        <w:rPr>
          <w:rFonts w:ascii="Carlito"/>
          <w:spacing w:val="-23"/>
          <w:sz w:val="18"/>
        </w:rPr>
        <w:t> </w:t>
      </w:r>
      <w:r>
        <w:rPr>
          <w:rFonts w:ascii="Carlito"/>
          <w:sz w:val="18"/>
        </w:rPr>
        <w:t>t</w:t>
      </w:r>
      <w:r>
        <w:rPr>
          <w:rFonts w:ascii="Carlito"/>
          <w:spacing w:val="-22"/>
          <w:sz w:val="18"/>
        </w:rPr>
        <w:t> </w:t>
      </w:r>
      <w:r>
        <w:rPr>
          <w:rFonts w:ascii="Carlito"/>
          <w:sz w:val="18"/>
        </w:rPr>
        <w:t>,</w:t>
      </w:r>
      <w:r>
        <w:rPr>
          <w:rFonts w:ascii="Carlito"/>
          <w:spacing w:val="40"/>
          <w:sz w:val="18"/>
        </w:rPr>
        <w:t> </w:t>
      </w:r>
      <w:r>
        <w:rPr>
          <w:rFonts w:ascii="Carlito"/>
          <w:spacing w:val="11"/>
          <w:sz w:val="18"/>
        </w:rPr>
        <w:t>www.</w:t>
      </w:r>
      <w:r>
        <w:rPr>
          <w:rFonts w:ascii="Carlito"/>
          <w:spacing w:val="-20"/>
          <w:sz w:val="18"/>
        </w:rPr>
        <w:t> </w:t>
      </w:r>
      <w:r>
        <w:rPr>
          <w:rFonts w:ascii="Carlito"/>
          <w:sz w:val="18"/>
        </w:rPr>
        <w:t>lg</w:t>
      </w:r>
      <w:r>
        <w:rPr>
          <w:rFonts w:ascii="Carlito"/>
          <w:spacing w:val="-20"/>
          <w:sz w:val="18"/>
        </w:rPr>
        <w:t> </w:t>
      </w:r>
      <w:r>
        <w:rPr>
          <w:rFonts w:ascii="Carlito"/>
          <w:sz w:val="18"/>
        </w:rPr>
        <w:t>l</w:t>
      </w:r>
      <w:r>
        <w:rPr>
          <w:rFonts w:ascii="Carlito"/>
          <w:spacing w:val="-23"/>
          <w:sz w:val="18"/>
        </w:rPr>
        <w:t> </w:t>
      </w:r>
      <w:r>
        <w:rPr>
          <w:rFonts w:ascii="Carlito"/>
          <w:sz w:val="18"/>
        </w:rPr>
        <w:t>.</w:t>
      </w:r>
      <w:r>
        <w:rPr>
          <w:rFonts w:ascii="Carlito"/>
          <w:spacing w:val="-20"/>
          <w:sz w:val="18"/>
        </w:rPr>
        <w:t> </w:t>
      </w:r>
      <w:r>
        <w:rPr>
          <w:rFonts w:ascii="Carlito"/>
          <w:sz w:val="18"/>
        </w:rPr>
        <w:t>l</w:t>
      </w:r>
      <w:r>
        <w:rPr>
          <w:rFonts w:ascii="Carlito"/>
          <w:spacing w:val="-23"/>
          <w:sz w:val="18"/>
        </w:rPr>
        <w:t> </w:t>
      </w:r>
      <w:r>
        <w:rPr>
          <w:rFonts w:ascii="Carlito"/>
          <w:sz w:val="18"/>
        </w:rPr>
        <w:t>t </w:t>
      </w:r>
      <w:r>
        <w:rPr>
          <w:rFonts w:ascii="Carlito"/>
          <w:spacing w:val="15"/>
          <w:sz w:val="18"/>
        </w:rPr>
        <w:t>IBAN:</w:t>
      </w:r>
      <w:r>
        <w:rPr>
          <w:rFonts w:ascii="Carlito"/>
          <w:spacing w:val="39"/>
          <w:sz w:val="18"/>
        </w:rPr>
        <w:t> </w:t>
      </w:r>
      <w:r>
        <w:rPr>
          <w:rFonts w:ascii="Carlito"/>
          <w:sz w:val="18"/>
        </w:rPr>
        <w:t>LT</w:t>
      </w:r>
      <w:r>
        <w:rPr>
          <w:rFonts w:ascii="Carlito"/>
          <w:spacing w:val="-21"/>
          <w:sz w:val="18"/>
        </w:rPr>
        <w:t> </w:t>
      </w:r>
      <w:r>
        <w:rPr>
          <w:rFonts w:ascii="Carlito"/>
          <w:spacing w:val="10"/>
          <w:sz w:val="18"/>
        </w:rPr>
        <w:t>29</w:t>
      </w:r>
      <w:r>
        <w:rPr>
          <w:rFonts w:ascii="Carlito"/>
          <w:spacing w:val="39"/>
          <w:sz w:val="18"/>
        </w:rPr>
        <w:t> </w:t>
      </w:r>
      <w:r>
        <w:rPr>
          <w:rFonts w:ascii="Carlito"/>
          <w:spacing w:val="14"/>
          <w:sz w:val="18"/>
        </w:rPr>
        <w:t>7044</w:t>
      </w:r>
      <w:r>
        <w:rPr>
          <w:rFonts w:ascii="Carlito"/>
          <w:spacing w:val="41"/>
          <w:sz w:val="18"/>
        </w:rPr>
        <w:t> </w:t>
      </w:r>
      <w:r>
        <w:rPr>
          <w:rFonts w:ascii="Carlito"/>
          <w:spacing w:val="14"/>
          <w:sz w:val="18"/>
        </w:rPr>
        <w:t>0600</w:t>
      </w:r>
      <w:r>
        <w:rPr>
          <w:rFonts w:ascii="Carlito"/>
          <w:spacing w:val="41"/>
          <w:sz w:val="18"/>
        </w:rPr>
        <w:t> </w:t>
      </w:r>
      <w:r>
        <w:rPr>
          <w:rFonts w:ascii="Carlito"/>
          <w:spacing w:val="14"/>
          <w:sz w:val="18"/>
        </w:rPr>
        <w:t>0119</w:t>
      </w:r>
      <w:r>
        <w:rPr>
          <w:rFonts w:ascii="Carlito"/>
          <w:spacing w:val="40"/>
          <w:sz w:val="18"/>
        </w:rPr>
        <w:t> </w:t>
      </w:r>
      <w:r>
        <w:rPr>
          <w:rFonts w:ascii="Carlito"/>
          <w:spacing w:val="10"/>
          <w:sz w:val="18"/>
        </w:rPr>
        <w:t>0251</w:t>
      </w:r>
    </w:p>
    <w:p>
      <w:pPr>
        <w:spacing w:line="218" w:lineRule="exact" w:before="0"/>
        <w:ind w:left="1390" w:right="0" w:firstLine="0"/>
        <w:jc w:val="left"/>
        <w:rPr>
          <w:rFonts w:ascii="Carlito"/>
          <w:sz w:val="18"/>
        </w:rPr>
      </w:pPr>
      <w:r>
        <w:rPr>
          <w:rFonts w:ascii="Carlito"/>
          <w:spacing w:val="14"/>
          <w:sz w:val="18"/>
        </w:rPr>
        <w:t>SWIFT/</w:t>
      </w:r>
      <w:r>
        <w:rPr>
          <w:rFonts w:ascii="Carlito"/>
          <w:spacing w:val="-22"/>
          <w:sz w:val="18"/>
        </w:rPr>
        <w:t> </w:t>
      </w:r>
      <w:r>
        <w:rPr>
          <w:rFonts w:ascii="Carlito"/>
          <w:spacing w:val="12"/>
          <w:sz w:val="18"/>
        </w:rPr>
        <w:t>BIC</w:t>
      </w:r>
      <w:r>
        <w:rPr>
          <w:rFonts w:ascii="Carlito"/>
          <w:spacing w:val="-17"/>
          <w:sz w:val="18"/>
        </w:rPr>
        <w:t> </w:t>
      </w:r>
      <w:r>
        <w:rPr>
          <w:rFonts w:ascii="Carlito"/>
          <w:sz w:val="18"/>
        </w:rPr>
        <w:t>:</w:t>
      </w:r>
      <w:r>
        <w:rPr>
          <w:rFonts w:ascii="Carlito"/>
          <w:spacing w:val="39"/>
          <w:sz w:val="18"/>
        </w:rPr>
        <w:t> </w:t>
      </w:r>
      <w:r>
        <w:rPr>
          <w:rFonts w:ascii="Carlito"/>
          <w:spacing w:val="14"/>
          <w:sz w:val="18"/>
        </w:rPr>
        <w:t>CBVI</w:t>
      </w:r>
      <w:r>
        <w:rPr>
          <w:rFonts w:ascii="Carlito"/>
          <w:spacing w:val="39"/>
          <w:sz w:val="18"/>
        </w:rPr>
        <w:t> </w:t>
      </w:r>
      <w:r>
        <w:rPr>
          <w:rFonts w:ascii="Carlito"/>
          <w:sz w:val="18"/>
        </w:rPr>
        <w:t>LT</w:t>
      </w:r>
      <w:r>
        <w:rPr>
          <w:rFonts w:ascii="Carlito"/>
          <w:spacing w:val="44"/>
          <w:sz w:val="18"/>
        </w:rPr>
        <w:t> </w:t>
      </w:r>
      <w:r>
        <w:rPr>
          <w:rFonts w:ascii="Carlito"/>
          <w:sz w:val="18"/>
        </w:rPr>
        <w:t>2</w:t>
      </w:r>
      <w:r>
        <w:rPr>
          <w:rFonts w:ascii="Carlito"/>
          <w:spacing w:val="-22"/>
          <w:sz w:val="18"/>
        </w:rPr>
        <w:t> </w:t>
      </w:r>
      <w:r>
        <w:rPr>
          <w:rFonts w:ascii="Carlito"/>
          <w:spacing w:val="-10"/>
          <w:sz w:val="18"/>
        </w:rPr>
        <w:t>X</w:t>
      </w:r>
    </w:p>
    <w:p>
      <w:pPr>
        <w:pStyle w:val="BodyText"/>
        <w:rPr>
          <w:rFonts w:ascii="Carlito"/>
          <w:sz w:val="18"/>
        </w:rPr>
      </w:pPr>
    </w:p>
    <w:p>
      <w:pPr>
        <w:pStyle w:val="BodyText"/>
        <w:rPr>
          <w:rFonts w:ascii="Carlito"/>
          <w:sz w:val="18"/>
        </w:rPr>
      </w:pPr>
    </w:p>
    <w:p>
      <w:pPr>
        <w:pStyle w:val="BodyText"/>
        <w:spacing w:before="62"/>
        <w:rPr>
          <w:rFonts w:ascii="Carlito"/>
          <w:sz w:val="18"/>
        </w:rPr>
      </w:pPr>
    </w:p>
    <w:p>
      <w:pPr>
        <w:pStyle w:val="BodyText"/>
        <w:ind w:right="113"/>
        <w:jc w:val="right"/>
      </w:pPr>
      <w:r>
        <w:rPr/>
        <w:t>The</w:t>
      </w:r>
      <w:r>
        <w:rPr>
          <w:spacing w:val="-6"/>
        </w:rPr>
        <w:t> </w:t>
      </w:r>
      <w:r>
        <w:rPr/>
        <w:t>3</w:t>
      </w:r>
      <w:r>
        <w:rPr>
          <w:vertAlign w:val="superscript"/>
        </w:rPr>
        <w:t>rd</w:t>
      </w:r>
      <w:r>
        <w:rPr>
          <w:spacing w:val="-2"/>
          <w:vertAlign w:val="baseline"/>
        </w:rPr>
        <w:t> </w:t>
      </w:r>
      <w:r>
        <w:rPr>
          <w:vertAlign w:val="baseline"/>
        </w:rPr>
        <w:t>of</w:t>
      </w:r>
      <w:r>
        <w:rPr>
          <w:spacing w:val="-5"/>
          <w:vertAlign w:val="baseline"/>
        </w:rPr>
        <w:t> </w:t>
      </w:r>
      <w:r>
        <w:rPr>
          <w:vertAlign w:val="baseline"/>
        </w:rPr>
        <w:t>January,</w:t>
      </w:r>
      <w:r>
        <w:rPr>
          <w:spacing w:val="-4"/>
          <w:vertAlign w:val="baseline"/>
        </w:rPr>
        <w:t> </w:t>
      </w:r>
      <w:r>
        <w:rPr>
          <w:vertAlign w:val="baseline"/>
        </w:rPr>
        <w:t>2025,</w:t>
      </w:r>
      <w:r>
        <w:rPr>
          <w:spacing w:val="-1"/>
          <w:vertAlign w:val="baseline"/>
        </w:rPr>
        <w:t> </w:t>
      </w:r>
      <w:r>
        <w:rPr>
          <w:spacing w:val="-5"/>
          <w:vertAlign w:val="baseline"/>
        </w:rPr>
        <w:t>No.</w:t>
      </w:r>
    </w:p>
    <w:p>
      <w:pPr>
        <w:pStyle w:val="BodyText"/>
        <w:spacing w:before="70"/>
        <w:ind w:right="114"/>
        <w:jc w:val="right"/>
      </w:pPr>
      <w:r>
        <w:rPr>
          <w:spacing w:val="-2"/>
        </w:rPr>
        <w:t>LGL20250103/1</w:t>
      </w:r>
    </w:p>
    <w:p>
      <w:pPr>
        <w:spacing w:after="0"/>
        <w:jc w:val="right"/>
        <w:sectPr>
          <w:type w:val="continuous"/>
          <w:pgSz w:w="11910" w:h="16840"/>
          <w:pgMar w:header="0" w:footer="530" w:top="60" w:bottom="720" w:left="0" w:right="460"/>
          <w:cols w:num="2" w:equalWidth="0">
            <w:col w:w="7707" w:space="224"/>
            <w:col w:w="3519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9"/>
      </w:pPr>
    </w:p>
    <w:p>
      <w:pPr>
        <w:spacing w:before="1"/>
        <w:ind w:left="3590" w:right="260" w:hanging="984"/>
        <w:jc w:val="left"/>
        <w:rPr>
          <w:b/>
          <w:sz w:val="24"/>
        </w:rPr>
      </w:pPr>
      <w:r>
        <w:rPr>
          <w:b/>
          <w:sz w:val="24"/>
        </w:rPr>
        <w:t>LITHUANIAN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GAY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LEAGUE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(LGL)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National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LGBTI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Rights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Organization Shadow Report in Response to CEDAW List of Issues (Lithuania)</w:t>
      </w:r>
    </w:p>
    <w:p>
      <w:pPr>
        <w:pStyle w:val="BodyText"/>
        <w:rPr>
          <w:b/>
        </w:rPr>
      </w:pPr>
    </w:p>
    <w:p>
      <w:pPr>
        <w:pStyle w:val="Heading1"/>
        <w:numPr>
          <w:ilvl w:val="0"/>
          <w:numId w:val="1"/>
        </w:numPr>
        <w:tabs>
          <w:tab w:pos="2767" w:val="left" w:leader="none"/>
        </w:tabs>
        <w:spacing w:line="240" w:lineRule="auto" w:before="0" w:after="0"/>
        <w:ind w:left="2767" w:right="0" w:hanging="213"/>
        <w:jc w:val="left"/>
      </w:pPr>
      <w:r>
        <w:rPr/>
        <w:t>EXECUTIVE</w:t>
      </w:r>
      <w:r>
        <w:rPr>
          <w:spacing w:val="-4"/>
        </w:rPr>
        <w:t> </w:t>
      </w:r>
      <w:r>
        <w:rPr>
          <w:spacing w:val="-2"/>
        </w:rPr>
        <w:t>SUMMARY</w:t>
      </w:r>
    </w:p>
    <w:p>
      <w:pPr>
        <w:pStyle w:val="BodyText"/>
        <w:ind w:left="1702" w:right="102" w:firstLine="851"/>
        <w:jc w:val="both"/>
      </w:pPr>
      <w:r>
        <w:rPr/>
        <w:t>This shadow report addresses the Committee's specific concerns regarding equality legislation, access to justice, and legal complaint mechanisms in Lithuania, with particular focus on their</w:t>
      </w:r>
      <w:r>
        <w:rPr>
          <w:spacing w:val="-13"/>
        </w:rPr>
        <w:t> </w:t>
      </w:r>
      <w:r>
        <w:rPr/>
        <w:t>impact</w:t>
      </w:r>
      <w:r>
        <w:rPr>
          <w:spacing w:val="-12"/>
        </w:rPr>
        <w:t> </w:t>
      </w:r>
      <w:r>
        <w:rPr/>
        <w:t>on</w:t>
      </w:r>
      <w:r>
        <w:rPr>
          <w:spacing w:val="-12"/>
        </w:rPr>
        <w:t> </w:t>
      </w:r>
      <w:r>
        <w:rPr/>
        <w:t>LBTIQ</w:t>
      </w:r>
      <w:r>
        <w:rPr>
          <w:spacing w:val="-12"/>
        </w:rPr>
        <w:t> </w:t>
      </w:r>
      <w:r>
        <w:rPr/>
        <w:t>women.</w:t>
      </w:r>
      <w:r>
        <w:rPr>
          <w:spacing w:val="-13"/>
        </w:rPr>
        <w:t> </w:t>
      </w:r>
      <w:r>
        <w:rPr/>
        <w:t>Despite</w:t>
      </w:r>
      <w:r>
        <w:rPr>
          <w:spacing w:val="-11"/>
        </w:rPr>
        <w:t> </w:t>
      </w:r>
      <w:r>
        <w:rPr/>
        <w:t>certain</w:t>
      </w:r>
      <w:r>
        <w:rPr>
          <w:spacing w:val="-12"/>
        </w:rPr>
        <w:t> </w:t>
      </w:r>
      <w:r>
        <w:rPr/>
        <w:t>legislative</w:t>
      </w:r>
      <w:r>
        <w:rPr>
          <w:spacing w:val="-13"/>
        </w:rPr>
        <w:t> </w:t>
      </w:r>
      <w:r>
        <w:rPr/>
        <w:t>and</w:t>
      </w:r>
      <w:r>
        <w:rPr>
          <w:spacing w:val="-12"/>
        </w:rPr>
        <w:t> </w:t>
      </w:r>
      <w:r>
        <w:rPr/>
        <w:t>institutional</w:t>
      </w:r>
      <w:r>
        <w:rPr>
          <w:spacing w:val="-12"/>
        </w:rPr>
        <w:t> </w:t>
      </w:r>
      <w:r>
        <w:rPr/>
        <w:t>developments,</w:t>
      </w:r>
      <w:r>
        <w:rPr>
          <w:spacing w:val="-11"/>
        </w:rPr>
        <w:t> </w:t>
      </w:r>
      <w:r>
        <w:rPr/>
        <w:t>significant systemic barriers persist. Most notably, in December 2023, the Constitutional Court of Lithuania declared</w:t>
      </w:r>
      <w:hyperlink w:history="true" w:anchor="_bookmark0">
        <w:r>
          <w:rPr>
            <w:vertAlign w:val="superscript"/>
          </w:rPr>
          <w:t>1</w:t>
        </w:r>
      </w:hyperlink>
      <w:r>
        <w:rPr>
          <w:spacing w:val="-13"/>
          <w:vertAlign w:val="baseline"/>
        </w:rPr>
        <w:t> </w:t>
      </w:r>
      <w:r>
        <w:rPr>
          <w:vertAlign w:val="baseline"/>
        </w:rPr>
        <w:t>Article</w:t>
      </w:r>
      <w:r>
        <w:rPr>
          <w:spacing w:val="-1"/>
          <w:vertAlign w:val="baseline"/>
        </w:rPr>
        <w:t> </w:t>
      </w:r>
      <w:r>
        <w:rPr>
          <w:vertAlign w:val="baseline"/>
        </w:rPr>
        <w:t>4(2)(16) of</w:t>
      </w:r>
      <w:r>
        <w:rPr>
          <w:spacing w:val="-1"/>
          <w:vertAlign w:val="baseline"/>
        </w:rPr>
        <w:t> </w:t>
      </w:r>
      <w:r>
        <w:rPr>
          <w:vertAlign w:val="baseline"/>
        </w:rPr>
        <w:t>the</w:t>
      </w:r>
      <w:r>
        <w:rPr>
          <w:spacing w:val="-1"/>
          <w:vertAlign w:val="baseline"/>
        </w:rPr>
        <w:t> </w:t>
      </w:r>
      <w:r>
        <w:rPr>
          <w:vertAlign w:val="baseline"/>
        </w:rPr>
        <w:t>Law</w:t>
      </w:r>
      <w:r>
        <w:rPr>
          <w:spacing w:val="-1"/>
          <w:vertAlign w:val="baseline"/>
        </w:rPr>
        <w:t> </w:t>
      </w:r>
      <w:r>
        <w:rPr>
          <w:vertAlign w:val="baseline"/>
        </w:rPr>
        <w:t>on Protection of</w:t>
      </w:r>
      <w:r>
        <w:rPr>
          <w:spacing w:val="-1"/>
          <w:vertAlign w:val="baseline"/>
        </w:rPr>
        <w:t> </w:t>
      </w:r>
      <w:r>
        <w:rPr>
          <w:vertAlign w:val="baseline"/>
        </w:rPr>
        <w:t>Minors</w:t>
      </w:r>
      <w:r>
        <w:rPr>
          <w:spacing w:val="-13"/>
          <w:vertAlign w:val="baseline"/>
        </w:rPr>
        <w:t> </w:t>
      </w:r>
      <w:r>
        <w:rPr>
          <w:vertAlign w:val="baseline"/>
        </w:rPr>
        <w:t>Against Detrimental Effects of</w:t>
      </w:r>
      <w:r>
        <w:rPr>
          <w:spacing w:val="-1"/>
          <w:vertAlign w:val="baseline"/>
        </w:rPr>
        <w:t> </w:t>
      </w:r>
      <w:r>
        <w:rPr>
          <w:vertAlign w:val="baseline"/>
        </w:rPr>
        <w:t>Public Information</w:t>
      </w:r>
      <w:r>
        <w:rPr>
          <w:spacing w:val="-14"/>
          <w:vertAlign w:val="baseline"/>
        </w:rPr>
        <w:t> </w:t>
      </w:r>
      <w:r>
        <w:rPr>
          <w:vertAlign w:val="baseline"/>
        </w:rPr>
        <w:t>unconstitutional,</w:t>
      </w:r>
      <w:r>
        <w:rPr>
          <w:spacing w:val="-14"/>
          <w:vertAlign w:val="baseline"/>
        </w:rPr>
        <w:t> </w:t>
      </w:r>
      <w:r>
        <w:rPr>
          <w:vertAlign w:val="baseline"/>
        </w:rPr>
        <w:t>marking</w:t>
      </w:r>
      <w:r>
        <w:rPr>
          <w:spacing w:val="-14"/>
          <w:vertAlign w:val="baseline"/>
        </w:rPr>
        <w:t> </w:t>
      </w:r>
      <w:r>
        <w:rPr>
          <w:vertAlign w:val="baseline"/>
        </w:rPr>
        <w:t>a</w:t>
      </w:r>
      <w:r>
        <w:rPr>
          <w:spacing w:val="-15"/>
          <w:vertAlign w:val="baseline"/>
        </w:rPr>
        <w:t> </w:t>
      </w:r>
      <w:r>
        <w:rPr>
          <w:vertAlign w:val="baseline"/>
        </w:rPr>
        <w:t>potential</w:t>
      </w:r>
      <w:r>
        <w:rPr>
          <w:spacing w:val="-14"/>
          <w:vertAlign w:val="baseline"/>
        </w:rPr>
        <w:t> </w:t>
      </w:r>
      <w:r>
        <w:rPr>
          <w:vertAlign w:val="baseline"/>
        </w:rPr>
        <w:t>turning</w:t>
      </w:r>
      <w:r>
        <w:rPr>
          <w:spacing w:val="-14"/>
          <w:vertAlign w:val="baseline"/>
        </w:rPr>
        <w:t> </w:t>
      </w:r>
      <w:r>
        <w:rPr>
          <w:vertAlign w:val="baseline"/>
        </w:rPr>
        <w:t>point</w:t>
      </w:r>
      <w:r>
        <w:rPr>
          <w:spacing w:val="-13"/>
          <w:vertAlign w:val="baseline"/>
        </w:rPr>
        <w:t> </w:t>
      </w:r>
      <w:r>
        <w:rPr>
          <w:vertAlign w:val="baseline"/>
        </w:rPr>
        <w:t>in</w:t>
      </w:r>
      <w:r>
        <w:rPr>
          <w:spacing w:val="-14"/>
          <w:vertAlign w:val="baseline"/>
        </w:rPr>
        <w:t> </w:t>
      </w:r>
      <w:r>
        <w:rPr>
          <w:vertAlign w:val="baseline"/>
        </w:rPr>
        <w:t>LGBTI</w:t>
      </w:r>
      <w:r>
        <w:rPr>
          <w:spacing w:val="-15"/>
          <w:vertAlign w:val="baseline"/>
        </w:rPr>
        <w:t> </w:t>
      </w:r>
      <w:r>
        <w:rPr>
          <w:vertAlign w:val="baseline"/>
        </w:rPr>
        <w:t>rights</w:t>
      </w:r>
      <w:r>
        <w:rPr>
          <w:spacing w:val="-13"/>
          <w:vertAlign w:val="baseline"/>
        </w:rPr>
        <w:t> </w:t>
      </w:r>
      <w:r>
        <w:rPr>
          <w:vertAlign w:val="baseline"/>
        </w:rPr>
        <w:t>protection.</w:t>
      </w:r>
      <w:r>
        <w:rPr>
          <w:spacing w:val="-14"/>
          <w:vertAlign w:val="baseline"/>
        </w:rPr>
        <w:t> </w:t>
      </w:r>
      <w:r>
        <w:rPr>
          <w:vertAlign w:val="baseline"/>
        </w:rPr>
        <w:t>However, substantial gaps remain in legal protections, particularly regarding family rights, intersectional discrimination, and access to justice.</w:t>
      </w:r>
    </w:p>
    <w:p>
      <w:pPr>
        <w:pStyle w:val="Heading1"/>
        <w:numPr>
          <w:ilvl w:val="0"/>
          <w:numId w:val="1"/>
        </w:numPr>
        <w:tabs>
          <w:tab w:pos="2860" w:val="left" w:leader="none"/>
        </w:tabs>
        <w:spacing w:line="240" w:lineRule="auto" w:before="0" w:after="0"/>
        <w:ind w:left="2860" w:right="0" w:hanging="306"/>
        <w:jc w:val="left"/>
      </w:pPr>
      <w:r>
        <w:rPr/>
        <w:t>RESPONSE</w:t>
      </w:r>
      <w:r>
        <w:rPr>
          <w:spacing w:val="-7"/>
        </w:rPr>
        <w:t> </w:t>
      </w:r>
      <w:r>
        <w:rPr/>
        <w:t>TO</w:t>
      </w:r>
      <w:r>
        <w:rPr>
          <w:spacing w:val="-4"/>
        </w:rPr>
        <w:t> </w:t>
      </w:r>
      <w:r>
        <w:rPr/>
        <w:t>LIST</w:t>
      </w:r>
      <w:r>
        <w:rPr>
          <w:spacing w:val="-7"/>
        </w:rPr>
        <w:t> </w:t>
      </w:r>
      <w:r>
        <w:rPr/>
        <w:t>OF</w:t>
      </w:r>
      <w:r>
        <w:rPr>
          <w:spacing w:val="-11"/>
        </w:rPr>
        <w:t> </w:t>
      </w:r>
      <w:r>
        <w:rPr>
          <w:spacing w:val="-2"/>
        </w:rPr>
        <w:t>ISSUES</w:t>
      </w:r>
    </w:p>
    <w:p>
      <w:pPr>
        <w:spacing w:before="0"/>
        <w:ind w:left="2554" w:right="0" w:firstLine="0"/>
        <w:jc w:val="left"/>
        <w:rPr>
          <w:b/>
          <w:sz w:val="24"/>
        </w:rPr>
      </w:pPr>
      <w:r>
        <w:rPr>
          <w:b/>
          <w:sz w:val="24"/>
        </w:rPr>
        <w:t>A.</w:t>
      </w:r>
      <w:r>
        <w:rPr>
          <w:b/>
          <w:spacing w:val="-6"/>
          <w:sz w:val="24"/>
        </w:rPr>
        <w:t> </w:t>
      </w:r>
      <w:r>
        <w:rPr>
          <w:b/>
          <w:sz w:val="24"/>
        </w:rPr>
        <w:t>Definition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of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Equality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and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Non-discrimination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(Issues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10a-</w:t>
      </w:r>
      <w:r>
        <w:rPr>
          <w:b/>
          <w:spacing w:val="-5"/>
          <w:sz w:val="24"/>
        </w:rPr>
        <w:t>c)</w:t>
      </w:r>
    </w:p>
    <w:p>
      <w:pPr>
        <w:pStyle w:val="ListParagraph"/>
        <w:numPr>
          <w:ilvl w:val="0"/>
          <w:numId w:val="2"/>
        </w:numPr>
        <w:tabs>
          <w:tab w:pos="2422" w:val="left" w:leader="none"/>
        </w:tabs>
        <w:spacing w:line="240" w:lineRule="auto" w:before="0" w:after="0"/>
        <w:ind w:left="2422" w:right="0" w:hanging="360"/>
        <w:jc w:val="left"/>
        <w:rPr>
          <w:sz w:val="24"/>
        </w:rPr>
      </w:pPr>
      <w:r>
        <w:rPr>
          <w:sz w:val="24"/>
        </w:rPr>
        <w:t>Limited</w:t>
      </w:r>
      <w:r>
        <w:rPr>
          <w:spacing w:val="-1"/>
          <w:sz w:val="24"/>
        </w:rPr>
        <w:t> </w:t>
      </w:r>
      <w:r>
        <w:rPr>
          <w:sz w:val="24"/>
        </w:rPr>
        <w:t>Scope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16"/>
          <w:sz w:val="24"/>
        </w:rPr>
        <w:t> </w:t>
      </w:r>
      <w:r>
        <w:rPr>
          <w:sz w:val="24"/>
        </w:rPr>
        <w:t>Anti-discrimination</w:t>
      </w:r>
      <w:r>
        <w:rPr>
          <w:spacing w:val="-1"/>
          <w:sz w:val="24"/>
        </w:rPr>
        <w:t> </w:t>
      </w:r>
      <w:r>
        <w:rPr>
          <w:sz w:val="24"/>
        </w:rPr>
        <w:t>Laws</w:t>
      </w:r>
      <w:r>
        <w:rPr>
          <w:spacing w:val="-1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Family and</w:t>
      </w:r>
      <w:r>
        <w:rPr>
          <w:spacing w:val="-1"/>
          <w:sz w:val="24"/>
        </w:rPr>
        <w:t> </w:t>
      </w:r>
      <w:r>
        <w:rPr>
          <w:sz w:val="24"/>
        </w:rPr>
        <w:t>Private Life</w:t>
      </w:r>
      <w:r>
        <w:rPr>
          <w:spacing w:val="-3"/>
          <w:sz w:val="24"/>
        </w:rPr>
        <w:t> </w:t>
      </w:r>
      <w:r>
        <w:rPr>
          <w:sz w:val="24"/>
        </w:rPr>
        <w:t>(Issue</w:t>
      </w:r>
      <w:r>
        <w:rPr>
          <w:spacing w:val="-1"/>
          <w:sz w:val="24"/>
        </w:rPr>
        <w:t> </w:t>
      </w:r>
      <w:r>
        <w:rPr>
          <w:spacing w:val="-4"/>
          <w:sz w:val="24"/>
        </w:rPr>
        <w:t>10a)</w:t>
      </w:r>
    </w:p>
    <w:p>
      <w:pPr>
        <w:pStyle w:val="BodyText"/>
        <w:ind w:left="1702"/>
      </w:pPr>
      <w:r>
        <w:rPr/>
        <w:t>Current legislative framework does not sufficiently include family and private life matters in anti- discrimination</w:t>
      </w:r>
      <w:r>
        <w:rPr>
          <w:spacing w:val="-3"/>
        </w:rPr>
        <w:t> </w:t>
      </w:r>
      <w:r>
        <w:rPr/>
        <w:t>protections,</w:t>
      </w:r>
      <w:r>
        <w:rPr>
          <w:spacing w:val="-3"/>
        </w:rPr>
        <w:t> </w:t>
      </w:r>
      <w:r>
        <w:rPr/>
        <w:t>creating</w:t>
      </w:r>
      <w:r>
        <w:rPr>
          <w:spacing w:val="-3"/>
        </w:rPr>
        <w:t> </w:t>
      </w:r>
      <w:r>
        <w:rPr/>
        <w:t>particular</w:t>
      </w:r>
      <w:r>
        <w:rPr>
          <w:spacing w:val="-5"/>
        </w:rPr>
        <w:t> </w:t>
      </w:r>
      <w:r>
        <w:rPr/>
        <w:t>vulnerabilities</w:t>
      </w:r>
      <w:r>
        <w:rPr>
          <w:spacing w:val="-4"/>
        </w:rPr>
        <w:t> </w:t>
      </w:r>
      <w:r>
        <w:rPr/>
        <w:t>for</w:t>
      </w:r>
      <w:r>
        <w:rPr>
          <w:spacing w:val="-3"/>
        </w:rPr>
        <w:t> </w:t>
      </w:r>
      <w:r>
        <w:rPr/>
        <w:t>LBTI</w:t>
      </w:r>
      <w:r>
        <w:rPr>
          <w:spacing w:val="-4"/>
        </w:rPr>
        <w:t> </w:t>
      </w:r>
      <w:r>
        <w:rPr/>
        <w:t>women.</w:t>
      </w:r>
      <w:r>
        <w:rPr>
          <w:spacing w:val="-8"/>
        </w:rPr>
        <w:t> </w:t>
      </w:r>
      <w:r>
        <w:rPr/>
        <w:t>This</w:t>
      </w:r>
      <w:r>
        <w:rPr>
          <w:spacing w:val="-4"/>
        </w:rPr>
        <w:t> </w:t>
      </w:r>
      <w:r>
        <w:rPr/>
        <w:t>is</w:t>
      </w:r>
      <w:r>
        <w:rPr>
          <w:spacing w:val="-4"/>
        </w:rPr>
        <w:t> </w:t>
      </w:r>
      <w:r>
        <w:rPr/>
        <w:t>evidenced</w:t>
      </w:r>
      <w:r>
        <w:rPr>
          <w:spacing w:val="-3"/>
        </w:rPr>
        <w:t> </w:t>
      </w:r>
      <w:r>
        <w:rPr/>
        <w:t>by several key developments in 2023-2024:</w:t>
      </w:r>
    </w:p>
    <w:p>
      <w:pPr>
        <w:pStyle w:val="ListParagraph"/>
        <w:numPr>
          <w:ilvl w:val="1"/>
          <w:numId w:val="2"/>
        </w:numPr>
        <w:tabs>
          <w:tab w:pos="2799" w:val="left" w:leader="none"/>
        </w:tabs>
        <w:spacing w:line="240" w:lineRule="auto" w:before="1" w:after="0"/>
        <w:ind w:left="2799" w:right="0" w:hanging="245"/>
        <w:jc w:val="left"/>
        <w:rPr>
          <w:sz w:val="24"/>
        </w:rPr>
      </w:pPr>
      <w:r>
        <w:rPr>
          <w:sz w:val="24"/>
        </w:rPr>
        <w:t>Legal</w:t>
      </w:r>
      <w:r>
        <w:rPr>
          <w:spacing w:val="-3"/>
          <w:sz w:val="24"/>
        </w:rPr>
        <w:t> </w:t>
      </w:r>
      <w:r>
        <w:rPr>
          <w:sz w:val="24"/>
        </w:rPr>
        <w:t>Recognition</w:t>
      </w:r>
      <w:r>
        <w:rPr>
          <w:spacing w:val="-1"/>
          <w:sz w:val="24"/>
        </w:rPr>
        <w:t> </w:t>
      </w:r>
      <w:r>
        <w:rPr>
          <w:sz w:val="24"/>
        </w:rPr>
        <w:t>of </w:t>
      </w:r>
      <w:r>
        <w:rPr>
          <w:spacing w:val="-2"/>
          <w:sz w:val="24"/>
        </w:rPr>
        <w:t>Relationships</w:t>
      </w:r>
    </w:p>
    <w:p>
      <w:pPr>
        <w:pStyle w:val="BodyText"/>
        <w:ind w:left="1702"/>
      </w:pPr>
      <w:r>
        <w:rPr/>
        <w:t>The</w:t>
      </w:r>
      <w:r>
        <w:rPr>
          <w:spacing w:val="-6"/>
        </w:rPr>
        <w:t> </w:t>
      </w:r>
      <w:r>
        <w:rPr/>
        <w:t>year</w:t>
      </w:r>
      <w:r>
        <w:rPr>
          <w:spacing w:val="-1"/>
        </w:rPr>
        <w:t> </w:t>
      </w:r>
      <w:r>
        <w:rPr/>
        <w:t>2023</w:t>
      </w:r>
      <w:r>
        <w:rPr>
          <w:spacing w:val="-2"/>
        </w:rPr>
        <w:t> </w:t>
      </w:r>
      <w:r>
        <w:rPr/>
        <w:t>marked</w:t>
      </w:r>
      <w:r>
        <w:rPr>
          <w:spacing w:val="-1"/>
        </w:rPr>
        <w:t> </w:t>
      </w:r>
      <w:r>
        <w:rPr/>
        <w:t>several</w:t>
      </w:r>
      <w:r>
        <w:rPr>
          <w:spacing w:val="-2"/>
        </w:rPr>
        <w:t> </w:t>
      </w:r>
      <w:r>
        <w:rPr/>
        <w:t>significant</w:t>
      </w:r>
      <w:r>
        <w:rPr>
          <w:spacing w:val="-1"/>
        </w:rPr>
        <w:t> </w:t>
      </w:r>
      <w:r>
        <w:rPr/>
        <w:t>developments</w:t>
      </w:r>
      <w:r>
        <w:rPr>
          <w:spacing w:val="-3"/>
        </w:rPr>
        <w:t> </w:t>
      </w:r>
      <w:r>
        <w:rPr/>
        <w:t>in</w:t>
      </w:r>
      <w:r>
        <w:rPr>
          <w:spacing w:val="-1"/>
        </w:rPr>
        <w:t> </w:t>
      </w:r>
      <w:r>
        <w:rPr/>
        <w:t>Lithuania's</w:t>
      </w:r>
      <w:r>
        <w:rPr>
          <w:spacing w:val="-3"/>
        </w:rPr>
        <w:t> </w:t>
      </w:r>
      <w:r>
        <w:rPr/>
        <w:t>jurisprudence </w:t>
      </w:r>
      <w:r>
        <w:rPr>
          <w:spacing w:val="-2"/>
        </w:rPr>
        <w:t>regarding</w:t>
      </w:r>
    </w:p>
    <w:p>
      <w:pPr>
        <w:pStyle w:val="BodyText"/>
        <w:ind w:left="1702"/>
      </w:pPr>
      <w:r>
        <w:rPr/>
        <w:t>same-sex</w:t>
      </w:r>
      <w:r>
        <w:rPr>
          <w:spacing w:val="-4"/>
        </w:rPr>
        <w:t> </w:t>
      </w:r>
      <w:r>
        <w:rPr/>
        <w:t>family</w:t>
      </w:r>
      <w:r>
        <w:rPr>
          <w:spacing w:val="-2"/>
        </w:rPr>
        <w:t> </w:t>
      </w:r>
      <w:r>
        <w:rPr/>
        <w:t>rights</w:t>
      </w:r>
      <w:r>
        <w:rPr>
          <w:spacing w:val="-2"/>
        </w:rPr>
        <w:t> </w:t>
      </w:r>
      <w:r>
        <w:rPr/>
        <w:t>recognition,</w:t>
      </w:r>
      <w:r>
        <w:rPr>
          <w:spacing w:val="-1"/>
        </w:rPr>
        <w:t> </w:t>
      </w:r>
      <w:r>
        <w:rPr/>
        <w:t>illustrating</w:t>
      </w:r>
      <w:r>
        <w:rPr>
          <w:spacing w:val="-2"/>
        </w:rPr>
        <w:t> </w:t>
      </w:r>
      <w:r>
        <w:rPr/>
        <w:t>both</w:t>
      </w:r>
      <w:r>
        <w:rPr>
          <w:spacing w:val="-1"/>
        </w:rPr>
        <w:t> </w:t>
      </w:r>
      <w:r>
        <w:rPr/>
        <w:t>persistent</w:t>
      </w:r>
      <w:r>
        <w:rPr>
          <w:spacing w:val="-2"/>
        </w:rPr>
        <w:t> </w:t>
      </w:r>
      <w:r>
        <w:rPr/>
        <w:t>institutional</w:t>
      </w:r>
      <w:r>
        <w:rPr>
          <w:spacing w:val="-4"/>
        </w:rPr>
        <w:t> </w:t>
      </w:r>
      <w:r>
        <w:rPr/>
        <w:t>barriers and</w:t>
      </w:r>
      <w:r>
        <w:rPr>
          <w:spacing w:val="-1"/>
        </w:rPr>
        <w:t> </w:t>
      </w:r>
      <w:r>
        <w:rPr>
          <w:spacing w:val="-2"/>
        </w:rPr>
        <w:t>emerging</w:t>
      </w:r>
    </w:p>
    <w:p>
      <w:pPr>
        <w:pStyle w:val="BodyText"/>
        <w:ind w:left="1702" w:right="264"/>
        <w:jc w:val="both"/>
      </w:pPr>
      <w:r>
        <w:rPr/>
        <w:t>judicial</w:t>
      </w:r>
      <w:r>
        <w:rPr>
          <w:spacing w:val="-3"/>
        </w:rPr>
        <w:t> </w:t>
      </w:r>
      <w:r>
        <w:rPr/>
        <w:t>progress.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March</w:t>
      </w:r>
      <w:r>
        <w:rPr>
          <w:spacing w:val="-3"/>
        </w:rPr>
        <w:t> </w:t>
      </w:r>
      <w:r>
        <w:rPr/>
        <w:t>2023,</w:t>
      </w:r>
      <w:r>
        <w:rPr>
          <w:spacing w:val="-3"/>
        </w:rPr>
        <w:t> </w:t>
      </w:r>
      <w:r>
        <w:rPr/>
        <w:t>four</w:t>
      </w:r>
      <w:r>
        <w:rPr>
          <w:spacing w:val="-3"/>
        </w:rPr>
        <w:t> </w:t>
      </w:r>
      <w:r>
        <w:rPr/>
        <w:t>same-sex</w:t>
      </w:r>
      <w:r>
        <w:rPr>
          <w:spacing w:val="-1"/>
        </w:rPr>
        <w:t> </w:t>
      </w:r>
      <w:r>
        <w:rPr/>
        <w:t>couples</w:t>
      </w:r>
      <w:r>
        <w:rPr>
          <w:spacing w:val="-4"/>
        </w:rPr>
        <w:t> </w:t>
      </w:r>
      <w:r>
        <w:rPr/>
        <w:t>initiated</w:t>
      </w:r>
      <w:r>
        <w:rPr>
          <w:spacing w:val="-3"/>
        </w:rPr>
        <w:t> </w:t>
      </w:r>
      <w:r>
        <w:rPr/>
        <w:t>proceedings</w:t>
      </w:r>
      <w:r>
        <w:rPr>
          <w:spacing w:val="-4"/>
        </w:rPr>
        <w:t> </w:t>
      </w:r>
      <w:r>
        <w:rPr/>
        <w:t>before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/>
        <w:t>European Court of Human Rights, challenging Lithuania's systematic failure</w:t>
      </w:r>
      <w:r>
        <w:rPr>
          <w:spacing w:val="-1"/>
        </w:rPr>
        <w:t> </w:t>
      </w:r>
      <w:r>
        <w:rPr/>
        <w:t>to provide legal recognition for same-sex relationships through various mechanisms, including civil partnership registration and</w:t>
      </w:r>
    </w:p>
    <w:p>
      <w:pPr>
        <w:pStyle w:val="BodyText"/>
        <w:ind w:left="1702" w:right="260"/>
      </w:pPr>
      <w:r>
        <w:rPr/>
        <w:t>recognition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foreign</w:t>
      </w:r>
      <w:r>
        <w:rPr>
          <w:spacing w:val="-4"/>
        </w:rPr>
        <w:t> </w:t>
      </w:r>
      <w:r>
        <w:rPr/>
        <w:t>marriages.</w:t>
      </w:r>
      <w:r>
        <w:rPr>
          <w:spacing w:val="-9"/>
        </w:rPr>
        <w:t> </w:t>
      </w:r>
      <w:r>
        <w:rPr/>
        <w:t>This</w:t>
      </w:r>
      <w:r>
        <w:rPr>
          <w:spacing w:val="-5"/>
        </w:rPr>
        <w:t> </w:t>
      </w:r>
      <w:r>
        <w:rPr/>
        <w:t>legal</w:t>
      </w:r>
      <w:r>
        <w:rPr>
          <w:spacing w:val="-4"/>
        </w:rPr>
        <w:t> </w:t>
      </w:r>
      <w:r>
        <w:rPr/>
        <w:t>challenge</w:t>
      </w:r>
      <w:r>
        <w:rPr>
          <w:spacing w:val="-5"/>
        </w:rPr>
        <w:t> </w:t>
      </w:r>
      <w:r>
        <w:rPr/>
        <w:t>was</w:t>
      </w:r>
      <w:r>
        <w:rPr>
          <w:spacing w:val="-2"/>
        </w:rPr>
        <w:t> </w:t>
      </w:r>
      <w:r>
        <w:rPr/>
        <w:t>followed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Government's unprecedented request in May 2023 to the Constitutional Court for an evaluation of the</w:t>
      </w:r>
    </w:p>
    <w:p>
      <w:pPr>
        <w:pStyle w:val="BodyText"/>
        <w:ind w:left="1702" w:right="78"/>
      </w:pPr>
      <w:r>
        <w:rPr/>
        <w:t>constitutionality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current</w:t>
      </w:r>
      <w:r>
        <w:rPr>
          <w:spacing w:val="-5"/>
        </w:rPr>
        <w:t> </w:t>
      </w:r>
      <w:r>
        <w:rPr/>
        <w:t>partnership</w:t>
      </w:r>
      <w:r>
        <w:rPr>
          <w:spacing w:val="-5"/>
        </w:rPr>
        <w:t> </w:t>
      </w:r>
      <w:r>
        <w:rPr/>
        <w:t>regulations,</w:t>
      </w:r>
      <w:r>
        <w:rPr>
          <w:spacing w:val="-5"/>
        </w:rPr>
        <w:t> </w:t>
      </w:r>
      <w:r>
        <w:rPr/>
        <w:t>signaling</w:t>
      </w:r>
      <w:r>
        <w:rPr>
          <w:spacing w:val="-5"/>
        </w:rPr>
        <w:t> </w:t>
      </w:r>
      <w:r>
        <w:rPr/>
        <w:t>potential</w:t>
      </w:r>
      <w:r>
        <w:rPr>
          <w:spacing w:val="-5"/>
        </w:rPr>
        <w:t> </w:t>
      </w:r>
      <w:r>
        <w:rPr/>
        <w:t>institutional</w:t>
      </w:r>
      <w:r>
        <w:rPr>
          <w:spacing w:val="-5"/>
        </w:rPr>
        <w:t> </w:t>
      </w:r>
      <w:r>
        <w:rPr/>
        <w:t>acknowledgment of the need for legal reform. However, the systemic nature of discrimination was further evidenced in November 2023 when the Civil Registry Department denied registration of a same-sex marriage</w:t>
      </w:r>
    </w:p>
    <w:p>
      <w:pPr>
        <w:pStyle w:val="BodyText"/>
        <w:ind w:left="1702" w:right="260"/>
      </w:pPr>
      <w:r>
        <w:rPr/>
        <w:t>legally performed in Belgium, citing domestic legal prohibitions and demonstrating the ongoing tension</w:t>
      </w:r>
      <w:r>
        <w:rPr>
          <w:spacing w:val="-5"/>
        </w:rPr>
        <w:t> </w:t>
      </w:r>
      <w:r>
        <w:rPr/>
        <w:t>between</w:t>
      </w:r>
      <w:r>
        <w:rPr>
          <w:spacing w:val="-5"/>
        </w:rPr>
        <w:t> </w:t>
      </w:r>
      <w:r>
        <w:rPr/>
        <w:t>international</w:t>
      </w:r>
      <w:r>
        <w:rPr>
          <w:spacing w:val="-5"/>
        </w:rPr>
        <w:t> </w:t>
      </w:r>
      <w:r>
        <w:rPr/>
        <w:t>legal</w:t>
      </w:r>
      <w:r>
        <w:rPr>
          <w:spacing w:val="-4"/>
        </w:rPr>
        <w:t> </w:t>
      </w:r>
      <w:r>
        <w:rPr/>
        <w:t>developments</w:t>
      </w:r>
      <w:r>
        <w:rPr>
          <w:spacing w:val="-2"/>
        </w:rPr>
        <w:t> </w:t>
      </w:r>
      <w:r>
        <w:rPr/>
        <w:t>and</w:t>
      </w:r>
      <w:r>
        <w:rPr>
          <w:spacing w:val="-5"/>
        </w:rPr>
        <w:t> </w:t>
      </w:r>
      <w:r>
        <w:rPr/>
        <w:t>insufficient</w:t>
      </w:r>
      <w:r>
        <w:rPr>
          <w:spacing w:val="-6"/>
        </w:rPr>
        <w:t> </w:t>
      </w:r>
      <w:r>
        <w:rPr/>
        <w:t>national</w:t>
      </w:r>
      <w:r>
        <w:rPr>
          <w:spacing w:val="-5"/>
        </w:rPr>
        <w:t> </w:t>
      </w:r>
      <w:r>
        <w:rPr/>
        <w:t>legislative</w:t>
      </w:r>
      <w:r>
        <w:rPr>
          <w:spacing w:val="-6"/>
        </w:rPr>
        <w:t> </w:t>
      </w:r>
      <w:r>
        <w:rPr/>
        <w:t>frameworks.</w:t>
      </w:r>
    </w:p>
    <w:p>
      <w:pPr>
        <w:pStyle w:val="BodyText"/>
        <w:spacing w:before="6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1080820</wp:posOffset>
                </wp:positionH>
                <wp:positionV relativeFrom="paragraph">
                  <wp:posOffset>165542</wp:posOffset>
                </wp:positionV>
                <wp:extent cx="1829435" cy="9525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5.103996pt;margin-top:13.034879pt;width:144.020pt;height:.72003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102"/>
        <w:ind w:left="1702" w:right="0" w:firstLine="0"/>
        <w:jc w:val="left"/>
        <w:rPr>
          <w:rFonts w:ascii="Carlito"/>
          <w:sz w:val="20"/>
        </w:rPr>
      </w:pPr>
      <w:bookmarkStart w:name="_bookmark0" w:id="1"/>
      <w:bookmarkEnd w:id="1"/>
      <w:r>
        <w:rPr/>
      </w:r>
      <w:r>
        <w:rPr>
          <w:rFonts w:ascii="Carlito"/>
          <w:spacing w:val="-2"/>
          <w:sz w:val="20"/>
          <w:vertAlign w:val="superscript"/>
        </w:rPr>
        <w:t>1</w:t>
      </w:r>
      <w:r>
        <w:rPr>
          <w:rFonts w:ascii="Carlito"/>
          <w:spacing w:val="17"/>
          <w:sz w:val="20"/>
          <w:vertAlign w:val="baseline"/>
        </w:rPr>
        <w:t> </w:t>
      </w:r>
      <w:hyperlink r:id="rId9">
        <w:r>
          <w:rPr>
            <w:rFonts w:ascii="Carlito"/>
            <w:color w:val="0462C1"/>
            <w:spacing w:val="-2"/>
            <w:sz w:val="20"/>
            <w:u w:val="single" w:color="0462C1"/>
            <w:vertAlign w:val="baseline"/>
          </w:rPr>
          <w:t>https://lrkt.lt/lt/teismo-aktai/paieska/135/ta3089/content</w:t>
        </w:r>
      </w:hyperlink>
    </w:p>
    <w:p>
      <w:pPr>
        <w:spacing w:after="0"/>
        <w:jc w:val="left"/>
        <w:rPr>
          <w:rFonts w:ascii="Carlito"/>
          <w:sz w:val="20"/>
        </w:rPr>
        <w:sectPr>
          <w:type w:val="continuous"/>
          <w:pgSz w:w="11910" w:h="16840"/>
          <w:pgMar w:header="0" w:footer="530" w:top="60" w:bottom="720" w:left="0" w:right="460"/>
        </w:sectPr>
      </w:pPr>
    </w:p>
    <w:p>
      <w:pPr>
        <w:pStyle w:val="BodyText"/>
        <w:spacing w:before="62"/>
        <w:ind w:left="1702"/>
        <w:jc w:val="both"/>
      </w:pPr>
      <w:r>
        <w:rPr/>
        <w:t>While</w:t>
      </w:r>
      <w:r>
        <w:rPr>
          <w:spacing w:val="-5"/>
        </w:rPr>
        <w:t> </w:t>
      </w:r>
      <w:r>
        <w:rPr/>
        <w:t>December</w:t>
      </w:r>
      <w:r>
        <w:rPr>
          <w:spacing w:val="-4"/>
        </w:rPr>
        <w:t> </w:t>
      </w:r>
      <w:r>
        <w:rPr/>
        <w:t>2023</w:t>
      </w:r>
      <w:r>
        <w:rPr>
          <w:spacing w:val="-2"/>
        </w:rPr>
        <w:t> </w:t>
      </w:r>
      <w:r>
        <w:rPr/>
        <w:t>saw</w:t>
      </w:r>
      <w:r>
        <w:rPr>
          <w:spacing w:val="-2"/>
        </w:rPr>
        <w:t> </w:t>
      </w:r>
      <w:r>
        <w:rPr/>
        <w:t>the</w:t>
      </w:r>
      <w:r>
        <w:rPr>
          <w:spacing w:val="-8"/>
        </w:rPr>
        <w:t> </w:t>
      </w:r>
      <w:r>
        <w:rPr/>
        <w:t>Vilnius</w:t>
      </w:r>
      <w:r>
        <w:rPr>
          <w:spacing w:val="-3"/>
        </w:rPr>
        <w:t> </w:t>
      </w:r>
      <w:r>
        <w:rPr/>
        <w:t>District</w:t>
      </w:r>
      <w:r>
        <w:rPr>
          <w:spacing w:val="-2"/>
        </w:rPr>
        <w:t> </w:t>
      </w:r>
      <w:r>
        <w:rPr/>
        <w:t>Court</w:t>
      </w:r>
      <w:r>
        <w:rPr>
          <w:spacing w:val="-1"/>
        </w:rPr>
        <w:t> </w:t>
      </w:r>
      <w:r>
        <w:rPr/>
        <w:t>recognize</w:t>
      </w:r>
      <w:r>
        <w:rPr>
          <w:spacing w:val="-3"/>
        </w:rPr>
        <w:t> </w:t>
      </w:r>
      <w:r>
        <w:rPr/>
        <w:t>two</w:t>
      </w:r>
      <w:r>
        <w:rPr>
          <w:spacing w:val="-2"/>
        </w:rPr>
        <w:t> </w:t>
      </w:r>
      <w:r>
        <w:rPr/>
        <w:t>mothers</w:t>
      </w:r>
      <w:r>
        <w:rPr>
          <w:spacing w:val="-2"/>
        </w:rPr>
        <w:t> </w:t>
      </w:r>
      <w:r>
        <w:rPr/>
        <w:t>as</w:t>
      </w:r>
      <w:r>
        <w:rPr>
          <w:spacing w:val="-3"/>
        </w:rPr>
        <w:t> </w:t>
      </w:r>
      <w:r>
        <w:rPr/>
        <w:t>legal</w:t>
      </w:r>
      <w:r>
        <w:rPr>
          <w:spacing w:val="-2"/>
        </w:rPr>
        <w:t> </w:t>
      </w:r>
      <w:r>
        <w:rPr/>
        <w:t>parents</w:t>
      </w:r>
      <w:r>
        <w:rPr>
          <w:spacing w:val="-3"/>
        </w:rPr>
        <w:t> </w:t>
      </w:r>
      <w:r>
        <w:rPr/>
        <w:t>of</w:t>
      </w:r>
      <w:r>
        <w:rPr>
          <w:spacing w:val="-1"/>
        </w:rPr>
        <w:t> </w:t>
      </w:r>
      <w:r>
        <w:rPr>
          <w:spacing w:val="-10"/>
        </w:rPr>
        <w:t>a</w:t>
      </w:r>
    </w:p>
    <w:p>
      <w:pPr>
        <w:pStyle w:val="BodyText"/>
        <w:ind w:left="1702" w:right="132"/>
        <w:jc w:val="both"/>
      </w:pPr>
      <w:r>
        <w:rPr/>
        <w:t>child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an</w:t>
      </w:r>
      <w:r>
        <w:rPr>
          <w:spacing w:val="-3"/>
        </w:rPr>
        <w:t> </w:t>
      </w:r>
      <w:r>
        <w:rPr/>
        <w:t>individual</w:t>
      </w:r>
      <w:r>
        <w:rPr>
          <w:spacing w:val="-3"/>
        </w:rPr>
        <w:t> </w:t>
      </w:r>
      <w:r>
        <w:rPr/>
        <w:t>case,</w:t>
      </w:r>
      <w:r>
        <w:rPr>
          <w:spacing w:val="-3"/>
        </w:rPr>
        <w:t> </w:t>
      </w:r>
      <w:r>
        <w:rPr/>
        <w:t>it</w:t>
      </w:r>
      <w:r>
        <w:rPr>
          <w:spacing w:val="-3"/>
        </w:rPr>
        <w:t> </w:t>
      </w:r>
      <w:r>
        <w:rPr/>
        <w:t>is</w:t>
      </w:r>
      <w:r>
        <w:rPr>
          <w:spacing w:val="-4"/>
        </w:rPr>
        <w:t> </w:t>
      </w:r>
      <w:r>
        <w:rPr/>
        <w:t>important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note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this</w:t>
      </w:r>
      <w:r>
        <w:rPr>
          <w:spacing w:val="-4"/>
        </w:rPr>
        <w:t> </w:t>
      </w:r>
      <w:r>
        <w:rPr/>
        <w:t>decision,</w:t>
      </w:r>
      <w:r>
        <w:rPr>
          <w:spacing w:val="-3"/>
        </w:rPr>
        <w:t> </w:t>
      </w:r>
      <w:r>
        <w:rPr/>
        <w:t>though</w:t>
      </w:r>
      <w:r>
        <w:rPr>
          <w:spacing w:val="-3"/>
        </w:rPr>
        <w:t> </w:t>
      </w:r>
      <w:r>
        <w:rPr/>
        <w:t>symbolically</w:t>
      </w:r>
      <w:r>
        <w:rPr>
          <w:spacing w:val="-3"/>
        </w:rPr>
        <w:t> </w:t>
      </w:r>
      <w:r>
        <w:rPr/>
        <w:t>significant, does not establish binding legal precedent within Lithuania's legal system and therefore does not</w:t>
      </w:r>
    </w:p>
    <w:p>
      <w:pPr>
        <w:pStyle w:val="BodyText"/>
        <w:spacing w:before="1"/>
        <w:ind w:left="1702" w:right="684"/>
        <w:jc w:val="both"/>
      </w:pPr>
      <w:r>
        <w:rPr/>
        <w:t>provide a generalizable solution for other same-sex parents.</w:t>
      </w:r>
      <w:r>
        <w:rPr>
          <w:spacing w:val="-3"/>
        </w:rPr>
        <w:t> </w:t>
      </w:r>
      <w:r>
        <w:rPr/>
        <w:t>This series of legal developments demonstrates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complex</w:t>
      </w:r>
      <w:r>
        <w:rPr>
          <w:spacing w:val="-4"/>
        </w:rPr>
        <w:t> </w:t>
      </w:r>
      <w:r>
        <w:rPr/>
        <w:t>interplay</w:t>
      </w:r>
      <w:r>
        <w:rPr>
          <w:spacing w:val="-4"/>
        </w:rPr>
        <w:t> </w:t>
      </w:r>
      <w:r>
        <w:rPr/>
        <w:t>between</w:t>
      </w:r>
      <w:r>
        <w:rPr>
          <w:spacing w:val="-4"/>
        </w:rPr>
        <w:t> </w:t>
      </w:r>
      <w:r>
        <w:rPr/>
        <w:t>persistent</w:t>
      </w:r>
      <w:r>
        <w:rPr>
          <w:spacing w:val="-4"/>
        </w:rPr>
        <w:t> </w:t>
      </w:r>
      <w:r>
        <w:rPr/>
        <w:t>institutional</w:t>
      </w:r>
      <w:r>
        <w:rPr>
          <w:spacing w:val="-4"/>
        </w:rPr>
        <w:t> </w:t>
      </w:r>
      <w:r>
        <w:rPr/>
        <w:t>discrimination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limited individual recognition of same-sex family rights, highlighting the continued need for</w:t>
      </w:r>
    </w:p>
    <w:p>
      <w:pPr>
        <w:pStyle w:val="BodyText"/>
        <w:ind w:left="1702"/>
        <w:jc w:val="both"/>
      </w:pPr>
      <w:r>
        <w:rPr/>
        <w:t>comprehensive</w:t>
      </w:r>
      <w:r>
        <w:rPr>
          <w:spacing w:val="-3"/>
        </w:rPr>
        <w:t> </w:t>
      </w:r>
      <w:r>
        <w:rPr/>
        <w:t>legislative</w:t>
      </w:r>
      <w:r>
        <w:rPr>
          <w:spacing w:val="-2"/>
        </w:rPr>
        <w:t> </w:t>
      </w:r>
      <w:r>
        <w:rPr/>
        <w:t>reform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ensure</w:t>
      </w:r>
      <w:r>
        <w:rPr>
          <w:spacing w:val="-3"/>
        </w:rPr>
        <w:t> </w:t>
      </w:r>
      <w:r>
        <w:rPr/>
        <w:t>systematic</w:t>
      </w:r>
      <w:r>
        <w:rPr>
          <w:spacing w:val="-1"/>
        </w:rPr>
        <w:t> </w:t>
      </w:r>
      <w:r>
        <w:rPr/>
        <w:t>protection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same-sex</w:t>
      </w:r>
      <w:r>
        <w:rPr>
          <w:spacing w:val="-1"/>
        </w:rPr>
        <w:t> </w:t>
      </w:r>
      <w:r>
        <w:rPr/>
        <w:t>families</w:t>
      </w:r>
      <w:r>
        <w:rPr>
          <w:spacing w:val="-2"/>
        </w:rPr>
        <w:t> </w:t>
      </w:r>
      <w:r>
        <w:rPr/>
        <w:t>in </w:t>
      </w:r>
      <w:r>
        <w:rPr>
          <w:spacing w:val="-2"/>
        </w:rPr>
        <w:t>Lithuania.</w:t>
      </w:r>
    </w:p>
    <w:p>
      <w:pPr>
        <w:pStyle w:val="ListParagraph"/>
        <w:numPr>
          <w:ilvl w:val="0"/>
          <w:numId w:val="2"/>
        </w:numPr>
        <w:tabs>
          <w:tab w:pos="2422" w:val="left" w:leader="none"/>
        </w:tabs>
        <w:spacing w:line="240" w:lineRule="auto" w:before="0" w:after="0"/>
        <w:ind w:left="2422" w:right="0" w:hanging="360"/>
        <w:jc w:val="both"/>
        <w:rPr>
          <w:sz w:val="24"/>
        </w:rPr>
      </w:pPr>
      <w:r>
        <w:rPr>
          <w:sz w:val="24"/>
        </w:rPr>
        <w:t>Intersectional</w:t>
      </w:r>
      <w:r>
        <w:rPr>
          <w:spacing w:val="-3"/>
          <w:sz w:val="24"/>
        </w:rPr>
        <w:t> </w:t>
      </w:r>
      <w:r>
        <w:rPr>
          <w:sz w:val="24"/>
        </w:rPr>
        <w:t>Discrimination</w:t>
      </w:r>
      <w:r>
        <w:rPr>
          <w:spacing w:val="-3"/>
          <w:sz w:val="24"/>
        </w:rPr>
        <w:t> </w:t>
      </w:r>
      <w:r>
        <w:rPr>
          <w:sz w:val="24"/>
        </w:rPr>
        <w:t>(Issue</w:t>
      </w:r>
      <w:r>
        <w:rPr>
          <w:spacing w:val="-2"/>
          <w:sz w:val="24"/>
        </w:rPr>
        <w:t> </w:t>
      </w:r>
      <w:r>
        <w:rPr>
          <w:spacing w:val="-4"/>
          <w:sz w:val="24"/>
        </w:rPr>
        <w:t>10b)</w:t>
      </w:r>
    </w:p>
    <w:p>
      <w:pPr>
        <w:pStyle w:val="BodyText"/>
        <w:ind w:left="1702" w:right="260"/>
      </w:pPr>
      <w:r>
        <w:rPr/>
        <w:t>The absence of comprehensive legal protection against intersectional discrimination in Lithuania creates</w:t>
      </w:r>
      <w:r>
        <w:rPr>
          <w:spacing w:val="-4"/>
        </w:rPr>
        <w:t> </w:t>
      </w:r>
      <w:r>
        <w:rPr/>
        <w:t>particularly</w:t>
      </w:r>
      <w:r>
        <w:rPr>
          <w:spacing w:val="-4"/>
        </w:rPr>
        <w:t> </w:t>
      </w:r>
      <w:r>
        <w:rPr/>
        <w:t>acute</w:t>
      </w:r>
      <w:r>
        <w:rPr>
          <w:spacing w:val="-3"/>
        </w:rPr>
        <w:t> </w:t>
      </w:r>
      <w:r>
        <w:rPr/>
        <w:t>vulnerabilities</w:t>
      </w:r>
      <w:r>
        <w:rPr>
          <w:spacing w:val="-4"/>
        </w:rPr>
        <w:t> </w:t>
      </w:r>
      <w:r>
        <w:rPr/>
        <w:t>for</w:t>
      </w:r>
      <w:r>
        <w:rPr>
          <w:spacing w:val="-4"/>
        </w:rPr>
        <w:t> </w:t>
      </w:r>
      <w:r>
        <w:rPr/>
        <w:t>LBTIQ</w:t>
      </w:r>
      <w:r>
        <w:rPr>
          <w:spacing w:val="-4"/>
        </w:rPr>
        <w:t> </w:t>
      </w:r>
      <w:r>
        <w:rPr/>
        <w:t>women</w:t>
      </w:r>
      <w:r>
        <w:rPr>
          <w:spacing w:val="-4"/>
        </w:rPr>
        <w:t> </w:t>
      </w:r>
      <w:r>
        <w:rPr/>
        <w:t>who</w:t>
      </w:r>
      <w:r>
        <w:rPr>
          <w:spacing w:val="-4"/>
        </w:rPr>
        <w:t> </w:t>
      </w:r>
      <w:r>
        <w:rPr/>
        <w:t>experience</w:t>
      </w:r>
      <w:r>
        <w:rPr>
          <w:spacing w:val="-4"/>
        </w:rPr>
        <w:t> </w:t>
      </w:r>
      <w:r>
        <w:rPr/>
        <w:t>overlapping</w:t>
      </w:r>
      <w:r>
        <w:rPr>
          <w:spacing w:val="-4"/>
        </w:rPr>
        <w:t> </w:t>
      </w:r>
      <w:r>
        <w:rPr/>
        <w:t>forms</w:t>
      </w:r>
      <w:r>
        <w:rPr>
          <w:spacing w:val="-4"/>
        </w:rPr>
        <w:t> </w:t>
      </w:r>
      <w:r>
        <w:rPr/>
        <w:t>of marginalization, as evidenced by multiple empirical studies conducted throughout 2023. The Eurobarometer survey data reveals persistent societal prejudices, with one-third of respondents (33%) explicitly expressing discomfort with LBTIQ colleagues in professional settings, while an</w:t>
      </w:r>
    </w:p>
    <w:p>
      <w:pPr>
        <w:pStyle w:val="BodyText"/>
        <w:ind w:left="1702"/>
      </w:pPr>
      <w:r>
        <w:rPr/>
        <w:t>even more concerning 57% of respondents indicated opposition to their children forming romantic relationships with LGBTIQ individuals.</w:t>
      </w:r>
      <w:r>
        <w:rPr>
          <w:spacing w:val="-3"/>
        </w:rPr>
        <w:t> </w:t>
      </w:r>
      <w:r>
        <w:rPr/>
        <w:t>These discriminatory attitudes are further compounded for LBTIQ</w:t>
      </w:r>
      <w:r>
        <w:rPr>
          <w:spacing w:val="-4"/>
        </w:rPr>
        <w:t> </w:t>
      </w:r>
      <w:r>
        <w:rPr/>
        <w:t>women</w:t>
      </w:r>
      <w:r>
        <w:rPr>
          <w:spacing w:val="-3"/>
        </w:rPr>
        <w:t> </w:t>
      </w:r>
      <w:r>
        <w:rPr/>
        <w:t>facing</w:t>
      </w:r>
      <w:r>
        <w:rPr>
          <w:spacing w:val="-3"/>
        </w:rPr>
        <w:t> </w:t>
      </w:r>
      <w:r>
        <w:rPr/>
        <w:t>multiple</w:t>
      </w:r>
      <w:r>
        <w:rPr>
          <w:spacing w:val="-4"/>
        </w:rPr>
        <w:t> </w:t>
      </w:r>
      <w:r>
        <w:rPr/>
        <w:t>grounds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/>
        <w:t>discrimination,</w:t>
      </w:r>
      <w:r>
        <w:rPr>
          <w:spacing w:val="-3"/>
        </w:rPr>
        <w:t> </w:t>
      </w:r>
      <w:r>
        <w:rPr/>
        <w:t>as</w:t>
      </w:r>
      <w:r>
        <w:rPr>
          <w:spacing w:val="-4"/>
        </w:rPr>
        <w:t> </w:t>
      </w:r>
      <w:r>
        <w:rPr/>
        <w:t>demonstrated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documented</w:t>
      </w:r>
      <w:r>
        <w:rPr>
          <w:spacing w:val="-3"/>
        </w:rPr>
        <w:t> </w:t>
      </w:r>
      <w:r>
        <w:rPr/>
        <w:t>cases</w:t>
      </w:r>
      <w:r>
        <w:rPr>
          <w:spacing w:val="-4"/>
        </w:rPr>
        <w:t> </w:t>
      </w:r>
      <w:r>
        <w:rPr/>
        <w:t>of LBTIQ women asylum seekers experiencing gender-specific challenges in reception facilities, including lack of separate accommodation that exposes them to potential harassment and</w:t>
      </w:r>
    </w:p>
    <w:p>
      <w:pPr>
        <w:pStyle w:val="BodyText"/>
        <w:ind w:left="1702" w:right="166"/>
        <w:jc w:val="both"/>
      </w:pPr>
      <w:r>
        <w:rPr/>
        <w:t>discrimination,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well</w:t>
      </w:r>
      <w:r>
        <w:rPr>
          <w:spacing w:val="-1"/>
        </w:rPr>
        <w:t> </w:t>
      </w:r>
      <w:r>
        <w:rPr/>
        <w:t>as inadequate access</w:t>
      </w:r>
      <w:r>
        <w:rPr>
          <w:spacing w:val="-2"/>
        </w:rPr>
        <w:t> </w:t>
      </w:r>
      <w:r>
        <w:rPr/>
        <w:t>to hygiene</w:t>
      </w:r>
      <w:r>
        <w:rPr>
          <w:spacing w:val="-3"/>
        </w:rPr>
        <w:t> </w:t>
      </w:r>
      <w:r>
        <w:rPr/>
        <w:t>products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other</w:t>
      </w:r>
      <w:r>
        <w:rPr>
          <w:spacing w:val="-1"/>
        </w:rPr>
        <w:t> </w:t>
      </w:r>
      <w:r>
        <w:rPr/>
        <w:t>essential</w:t>
      </w:r>
      <w:r>
        <w:rPr>
          <w:spacing w:val="-1"/>
        </w:rPr>
        <w:t> </w:t>
      </w:r>
      <w:r>
        <w:rPr/>
        <w:t>gender-specific needs.</w:t>
      </w:r>
      <w:r>
        <w:rPr>
          <w:spacing w:val="-8"/>
        </w:rPr>
        <w:t> </w:t>
      </w:r>
      <w:r>
        <w:rPr/>
        <w:t>This</w:t>
      </w:r>
      <w:r>
        <w:rPr>
          <w:spacing w:val="-5"/>
        </w:rPr>
        <w:t> </w:t>
      </w:r>
      <w:r>
        <w:rPr/>
        <w:t>vulnerability</w:t>
      </w:r>
      <w:r>
        <w:rPr>
          <w:spacing w:val="-4"/>
        </w:rPr>
        <w:t> </w:t>
      </w:r>
      <w:r>
        <w:rPr/>
        <w:t>is</w:t>
      </w:r>
      <w:r>
        <w:rPr>
          <w:spacing w:val="-5"/>
        </w:rPr>
        <w:t> </w:t>
      </w:r>
      <w:r>
        <w:rPr/>
        <w:t>further</w:t>
      </w:r>
      <w:r>
        <w:rPr>
          <w:spacing w:val="-5"/>
        </w:rPr>
        <w:t> </w:t>
      </w:r>
      <w:r>
        <w:rPr/>
        <w:t>exacerbated</w:t>
      </w:r>
      <w:r>
        <w:rPr>
          <w:spacing w:val="-3"/>
        </w:rPr>
        <w:t> </w:t>
      </w:r>
      <w:r>
        <w:rPr/>
        <w:t>for</w:t>
      </w:r>
      <w:r>
        <w:rPr>
          <w:spacing w:val="-4"/>
        </w:rPr>
        <w:t> </w:t>
      </w:r>
      <w:r>
        <w:rPr/>
        <w:t>LBTIQ</w:t>
      </w:r>
      <w:r>
        <w:rPr>
          <w:spacing w:val="-5"/>
        </w:rPr>
        <w:t> </w:t>
      </w:r>
      <w:r>
        <w:rPr/>
        <w:t>migrant</w:t>
      </w:r>
      <w:r>
        <w:rPr>
          <w:spacing w:val="-4"/>
        </w:rPr>
        <w:t> </w:t>
      </w:r>
      <w:r>
        <w:rPr/>
        <w:t>women</w:t>
      </w:r>
      <w:r>
        <w:rPr>
          <w:spacing w:val="-3"/>
        </w:rPr>
        <w:t> </w:t>
      </w:r>
      <w:r>
        <w:rPr/>
        <w:t>encountering</w:t>
      </w:r>
      <w:r>
        <w:rPr>
          <w:spacing w:val="-4"/>
        </w:rPr>
        <w:t> </w:t>
      </w:r>
      <w:r>
        <w:rPr/>
        <w:t>systematic barriers in accessing both housing and essential social services. The comprehensive survey</w:t>
      </w:r>
    </w:p>
    <w:p>
      <w:pPr>
        <w:pStyle w:val="BodyText"/>
        <w:spacing w:before="1"/>
        <w:ind w:left="1702"/>
        <w:jc w:val="both"/>
      </w:pPr>
      <w:r>
        <w:rPr/>
        <w:t>conducted</w:t>
      </w:r>
      <w:r>
        <w:rPr>
          <w:spacing w:val="-3"/>
        </w:rPr>
        <w:t> </w:t>
      </w:r>
      <w:r>
        <w:rPr/>
        <w:t>by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Lithuanian</w:t>
      </w:r>
      <w:r>
        <w:rPr>
          <w:spacing w:val="-1"/>
        </w:rPr>
        <w:t> </w:t>
      </w:r>
      <w:r>
        <w:rPr/>
        <w:t>Centre</w:t>
      </w:r>
      <w:r>
        <w:rPr>
          <w:spacing w:val="-1"/>
        </w:rPr>
        <w:t> </w:t>
      </w:r>
      <w:r>
        <w:rPr/>
        <w:t>for</w:t>
      </w:r>
      <w:r>
        <w:rPr>
          <w:spacing w:val="-3"/>
        </w:rPr>
        <w:t> </w:t>
      </w:r>
      <w:r>
        <w:rPr/>
        <w:t>Social</w:t>
      </w:r>
      <w:r>
        <w:rPr>
          <w:spacing w:val="-1"/>
        </w:rPr>
        <w:t> </w:t>
      </w:r>
      <w:r>
        <w:rPr/>
        <w:t>Sciences</w:t>
      </w:r>
      <w:r>
        <w:rPr>
          <w:spacing w:val="-1"/>
        </w:rPr>
        <w:t> </w:t>
      </w:r>
      <w:r>
        <w:rPr/>
        <w:t>provides</w:t>
      </w:r>
      <w:r>
        <w:rPr>
          <w:spacing w:val="-2"/>
        </w:rPr>
        <w:t> </w:t>
      </w:r>
      <w:r>
        <w:rPr/>
        <w:t>additional evidence</w:t>
      </w:r>
      <w:r>
        <w:rPr>
          <w:spacing w:val="-2"/>
        </w:rPr>
        <w:t> </w:t>
      </w:r>
      <w:r>
        <w:rPr/>
        <w:t>of </w:t>
      </w:r>
      <w:r>
        <w:rPr>
          <w:spacing w:val="-2"/>
        </w:rPr>
        <w:t>deeply</w:t>
      </w:r>
    </w:p>
    <w:p>
      <w:pPr>
        <w:pStyle w:val="BodyText"/>
        <w:ind w:left="1702" w:right="248"/>
        <w:jc w:val="both"/>
      </w:pPr>
      <w:r>
        <w:rPr/>
        <w:t>entrenched</w:t>
      </w:r>
      <w:r>
        <w:rPr>
          <w:spacing w:val="-4"/>
        </w:rPr>
        <w:t> </w:t>
      </w:r>
      <w:r>
        <w:rPr/>
        <w:t>discriminatory</w:t>
      </w:r>
      <w:r>
        <w:rPr>
          <w:spacing w:val="-4"/>
        </w:rPr>
        <w:t> </w:t>
      </w:r>
      <w:r>
        <w:rPr/>
        <w:t>attitudes,</w:t>
      </w:r>
      <w:r>
        <w:rPr>
          <w:spacing w:val="-4"/>
        </w:rPr>
        <w:t> </w:t>
      </w:r>
      <w:r>
        <w:rPr/>
        <w:t>revealing</w:t>
      </w:r>
      <w:r>
        <w:rPr>
          <w:spacing w:val="-4"/>
        </w:rPr>
        <w:t> </w:t>
      </w:r>
      <w:r>
        <w:rPr/>
        <w:t>that</w:t>
      </w:r>
      <w:r>
        <w:rPr>
          <w:spacing w:val="-2"/>
        </w:rPr>
        <w:t> </w:t>
      </w:r>
      <w:r>
        <w:rPr/>
        <w:t>approximately</w:t>
      </w:r>
      <w:r>
        <w:rPr>
          <w:spacing w:val="-4"/>
        </w:rPr>
        <w:t> </w:t>
      </w:r>
      <w:r>
        <w:rPr/>
        <w:t>half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Lithuanian</w:t>
      </w:r>
      <w:r>
        <w:rPr>
          <w:spacing w:val="-4"/>
        </w:rPr>
        <w:t> </w:t>
      </w:r>
      <w:r>
        <w:rPr/>
        <w:t>population actively prefers to avoid LGBTIQ neighbors, indicating widespread residential discrimination.</w:t>
      </w:r>
    </w:p>
    <w:p>
      <w:pPr>
        <w:pStyle w:val="BodyText"/>
        <w:ind w:left="1702" w:right="260"/>
      </w:pPr>
      <w:r>
        <w:rPr/>
        <w:t>These</w:t>
      </w:r>
      <w:r>
        <w:rPr>
          <w:spacing w:val="-4"/>
        </w:rPr>
        <w:t> </w:t>
      </w:r>
      <w:r>
        <w:rPr/>
        <w:t>findings</w:t>
      </w:r>
      <w:r>
        <w:rPr>
          <w:spacing w:val="-4"/>
        </w:rPr>
        <w:t> </w:t>
      </w:r>
      <w:r>
        <w:rPr/>
        <w:t>collectively</w:t>
      </w:r>
      <w:r>
        <w:rPr>
          <w:spacing w:val="-3"/>
        </w:rPr>
        <w:t> </w:t>
      </w:r>
      <w:r>
        <w:rPr/>
        <w:t>demonstrate</w:t>
      </w:r>
      <w:r>
        <w:rPr>
          <w:spacing w:val="-3"/>
        </w:rPr>
        <w:t> </w:t>
      </w:r>
      <w:r>
        <w:rPr/>
        <w:t>not</w:t>
      </w:r>
      <w:r>
        <w:rPr>
          <w:spacing w:val="-3"/>
        </w:rPr>
        <w:t> </w:t>
      </w:r>
      <w:r>
        <w:rPr/>
        <w:t>only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prevalence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/>
        <w:t>discrimination</w:t>
      </w:r>
      <w:r>
        <w:rPr>
          <w:spacing w:val="-3"/>
        </w:rPr>
        <w:t> </w:t>
      </w:r>
      <w:r>
        <w:rPr/>
        <w:t>based</w:t>
      </w:r>
      <w:r>
        <w:rPr>
          <w:spacing w:val="-3"/>
        </w:rPr>
        <w:t> </w:t>
      </w:r>
      <w:r>
        <w:rPr/>
        <w:t>on</w:t>
      </w:r>
      <w:r>
        <w:rPr>
          <w:spacing w:val="-3"/>
        </w:rPr>
        <w:t> </w:t>
      </w:r>
      <w:r>
        <w:rPr/>
        <w:t>sexual orientation and gender identity but also highlight how such discrimination intersects with gender, migration status, and other protected characteristics, creating complex barriers that current Lithuanian anti-discrimination legislation fails to adequately address or remedy.</w:t>
      </w:r>
    </w:p>
    <w:p>
      <w:pPr>
        <w:pStyle w:val="ListParagraph"/>
        <w:numPr>
          <w:ilvl w:val="0"/>
          <w:numId w:val="2"/>
        </w:numPr>
        <w:tabs>
          <w:tab w:pos="2481" w:val="left" w:leader="none"/>
        </w:tabs>
        <w:spacing w:line="240" w:lineRule="auto" w:before="0" w:after="0"/>
        <w:ind w:left="1702" w:right="4231" w:firstLine="359"/>
        <w:jc w:val="left"/>
        <w:rPr>
          <w:sz w:val="24"/>
        </w:rPr>
      </w:pPr>
      <w:r>
        <w:rPr>
          <w:sz w:val="24"/>
        </w:rPr>
        <w:t>Gender</w:t>
      </w:r>
      <w:r>
        <w:rPr>
          <w:spacing w:val="-9"/>
          <w:sz w:val="24"/>
        </w:rPr>
        <w:t> </w:t>
      </w:r>
      <w:r>
        <w:rPr>
          <w:sz w:val="24"/>
        </w:rPr>
        <w:t>Reassignment</w:t>
      </w:r>
      <w:r>
        <w:rPr>
          <w:spacing w:val="-9"/>
          <w:sz w:val="24"/>
        </w:rPr>
        <w:t> </w:t>
      </w:r>
      <w:r>
        <w:rPr>
          <w:sz w:val="24"/>
        </w:rPr>
        <w:t>Discrimination</w:t>
      </w:r>
      <w:r>
        <w:rPr>
          <w:spacing w:val="-9"/>
          <w:sz w:val="24"/>
        </w:rPr>
        <w:t> </w:t>
      </w:r>
      <w:r>
        <w:rPr>
          <w:sz w:val="24"/>
        </w:rPr>
        <w:t>(Issue</w:t>
      </w:r>
      <w:r>
        <w:rPr>
          <w:spacing w:val="-9"/>
          <w:sz w:val="24"/>
        </w:rPr>
        <w:t> </w:t>
      </w:r>
      <w:r>
        <w:rPr>
          <w:sz w:val="24"/>
        </w:rPr>
        <w:t>10c) Current challenges include:</w:t>
      </w:r>
    </w:p>
    <w:p>
      <w:pPr>
        <w:pStyle w:val="ListParagraph"/>
        <w:numPr>
          <w:ilvl w:val="0"/>
          <w:numId w:val="3"/>
        </w:numPr>
        <w:tabs>
          <w:tab w:pos="2422" w:val="left" w:leader="none"/>
        </w:tabs>
        <w:spacing w:line="240" w:lineRule="auto" w:before="0" w:after="0"/>
        <w:ind w:left="2422" w:right="511" w:hanging="360"/>
        <w:jc w:val="left"/>
        <w:rPr>
          <w:sz w:val="24"/>
        </w:rPr>
      </w:pPr>
      <w:r>
        <w:rPr>
          <w:sz w:val="24"/>
        </w:rPr>
        <w:t>Lack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administrative</w:t>
      </w:r>
      <w:r>
        <w:rPr>
          <w:spacing w:val="-5"/>
          <w:sz w:val="24"/>
        </w:rPr>
        <w:t> </w:t>
      </w:r>
      <w:r>
        <w:rPr>
          <w:sz w:val="24"/>
        </w:rPr>
        <w:t>procedures</w:t>
      </w:r>
      <w:r>
        <w:rPr>
          <w:spacing w:val="-2"/>
          <w:sz w:val="24"/>
        </w:rPr>
        <w:t> </w:t>
      </w:r>
      <w:r>
        <w:rPr>
          <w:sz w:val="24"/>
        </w:rPr>
        <w:t>for</w:t>
      </w:r>
      <w:r>
        <w:rPr>
          <w:spacing w:val="-6"/>
          <w:sz w:val="24"/>
        </w:rPr>
        <w:t> </w:t>
      </w:r>
      <w:r>
        <w:rPr>
          <w:sz w:val="24"/>
        </w:rPr>
        <w:t>gender</w:t>
      </w:r>
      <w:r>
        <w:rPr>
          <w:spacing w:val="-4"/>
          <w:sz w:val="24"/>
        </w:rPr>
        <w:t> </w:t>
      </w:r>
      <w:r>
        <w:rPr>
          <w:sz w:val="24"/>
        </w:rPr>
        <w:t>recognition</w:t>
      </w:r>
      <w:r>
        <w:rPr>
          <w:spacing w:val="-1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existing</w:t>
      </w:r>
      <w:r>
        <w:rPr>
          <w:spacing w:val="-3"/>
          <w:sz w:val="24"/>
        </w:rPr>
        <w:t> </w:t>
      </w:r>
      <w:r>
        <w:rPr>
          <w:sz w:val="24"/>
        </w:rPr>
        <w:t>court</w:t>
      </w:r>
      <w:r>
        <w:rPr>
          <w:spacing w:val="-4"/>
          <w:sz w:val="24"/>
        </w:rPr>
        <w:t> </w:t>
      </w:r>
      <w:r>
        <w:rPr>
          <w:sz w:val="24"/>
        </w:rPr>
        <w:t>procedure</w:t>
      </w:r>
      <w:r>
        <w:rPr>
          <w:spacing w:val="-5"/>
          <w:sz w:val="24"/>
        </w:rPr>
        <w:t> </w:t>
      </w:r>
      <w:r>
        <w:rPr>
          <w:sz w:val="24"/>
        </w:rPr>
        <w:t>is based on discriminatory criteria, such as psychiatric diagnosis and mandatory divorce</w:t>
      </w:r>
    </w:p>
    <w:p>
      <w:pPr>
        <w:pStyle w:val="BodyText"/>
        <w:ind w:left="2422"/>
      </w:pPr>
      <w:r>
        <w:rPr/>
        <w:t>requirement</w:t>
      </w:r>
      <w:r>
        <w:rPr>
          <w:spacing w:val="-4"/>
        </w:rPr>
        <w:t> </w:t>
      </w:r>
      <w:r>
        <w:rPr/>
        <w:t>for</w:t>
      </w:r>
      <w:r>
        <w:rPr>
          <w:spacing w:val="-3"/>
        </w:rPr>
        <w:t> </w:t>
      </w:r>
      <w:r>
        <w:rPr/>
        <w:t>all</w:t>
      </w:r>
      <w:r>
        <w:rPr>
          <w:spacing w:val="-1"/>
        </w:rPr>
        <w:t> </w:t>
      </w:r>
      <w:r>
        <w:rPr/>
        <w:t>married</w:t>
      </w:r>
      <w:r>
        <w:rPr>
          <w:spacing w:val="-2"/>
        </w:rPr>
        <w:t> </w:t>
      </w:r>
      <w:r>
        <w:rPr/>
        <w:t>transgender</w:t>
      </w:r>
      <w:r>
        <w:rPr>
          <w:spacing w:val="-2"/>
        </w:rPr>
        <w:t> persons.</w:t>
      </w:r>
    </w:p>
    <w:p>
      <w:pPr>
        <w:pStyle w:val="ListParagraph"/>
        <w:numPr>
          <w:ilvl w:val="0"/>
          <w:numId w:val="3"/>
        </w:numPr>
        <w:tabs>
          <w:tab w:pos="2421" w:val="left" w:leader="none"/>
        </w:tabs>
        <w:spacing w:line="240" w:lineRule="auto" w:before="0" w:after="0"/>
        <w:ind w:left="2421" w:right="0" w:hanging="359"/>
        <w:jc w:val="left"/>
        <w:rPr>
          <w:sz w:val="24"/>
        </w:rPr>
      </w:pPr>
      <w:r>
        <w:rPr>
          <w:sz w:val="24"/>
        </w:rPr>
        <w:t>Requirement</w:t>
      </w:r>
      <w:r>
        <w:rPr>
          <w:spacing w:val="-4"/>
          <w:sz w:val="24"/>
        </w:rPr>
        <w:t> </w:t>
      </w:r>
      <w:r>
        <w:rPr>
          <w:sz w:val="24"/>
        </w:rPr>
        <w:t>for court</w:t>
      </w:r>
      <w:r>
        <w:rPr>
          <w:spacing w:val="-1"/>
          <w:sz w:val="24"/>
        </w:rPr>
        <w:t> </w:t>
      </w:r>
      <w:r>
        <w:rPr>
          <w:sz w:val="24"/>
        </w:rPr>
        <w:t>procedure</w:t>
      </w:r>
      <w:r>
        <w:rPr>
          <w:spacing w:val="-1"/>
          <w:sz w:val="24"/>
        </w:rPr>
        <w:t> </w:t>
      </w:r>
      <w:r>
        <w:rPr>
          <w:sz w:val="24"/>
        </w:rPr>
        <w:t>rather</w:t>
      </w:r>
      <w:r>
        <w:rPr>
          <w:spacing w:val="-1"/>
          <w:sz w:val="24"/>
        </w:rPr>
        <w:t> </w:t>
      </w:r>
      <w:r>
        <w:rPr>
          <w:sz w:val="24"/>
        </w:rPr>
        <w:t>than</w:t>
      </w:r>
      <w:r>
        <w:rPr>
          <w:spacing w:val="-1"/>
          <w:sz w:val="24"/>
        </w:rPr>
        <w:t> </w:t>
      </w:r>
      <w:r>
        <w:rPr>
          <w:sz w:val="24"/>
        </w:rPr>
        <w:t>administrative</w:t>
      </w:r>
      <w:r>
        <w:rPr>
          <w:spacing w:val="-2"/>
          <w:sz w:val="24"/>
        </w:rPr>
        <w:t> processes</w:t>
      </w:r>
    </w:p>
    <w:p>
      <w:pPr>
        <w:pStyle w:val="ListParagraph"/>
        <w:numPr>
          <w:ilvl w:val="0"/>
          <w:numId w:val="3"/>
        </w:numPr>
        <w:tabs>
          <w:tab w:pos="2421" w:val="left" w:leader="none"/>
        </w:tabs>
        <w:spacing w:line="240" w:lineRule="auto" w:before="0" w:after="0"/>
        <w:ind w:left="2421" w:right="0" w:hanging="359"/>
        <w:jc w:val="left"/>
        <w:rPr>
          <w:sz w:val="24"/>
        </w:rPr>
      </w:pPr>
      <w:r>
        <w:rPr>
          <w:sz w:val="24"/>
        </w:rPr>
        <w:t>Limited</w:t>
      </w:r>
      <w:r>
        <w:rPr>
          <w:spacing w:val="-2"/>
          <w:sz w:val="24"/>
        </w:rPr>
        <w:t> </w:t>
      </w:r>
      <w:r>
        <w:rPr>
          <w:sz w:val="24"/>
        </w:rPr>
        <w:t>access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healthcare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services.</w:t>
      </w:r>
    </w:p>
    <w:p>
      <w:pPr>
        <w:pStyle w:val="Heading1"/>
        <w:numPr>
          <w:ilvl w:val="0"/>
          <w:numId w:val="1"/>
        </w:numPr>
        <w:tabs>
          <w:tab w:pos="2940" w:val="left" w:leader="none"/>
        </w:tabs>
        <w:spacing w:line="240" w:lineRule="auto" w:before="0" w:after="0"/>
        <w:ind w:left="2940" w:right="0" w:hanging="386"/>
        <w:jc w:val="left"/>
      </w:pPr>
      <w:r>
        <w:rPr/>
        <w:t>ADDITIONAL</w:t>
      </w:r>
      <w:r>
        <w:rPr>
          <w:spacing w:val="-27"/>
        </w:rPr>
        <w:t> </w:t>
      </w:r>
      <w:r>
        <w:rPr/>
        <w:t>AREAS</w:t>
      </w:r>
      <w:r>
        <w:rPr>
          <w:spacing w:val="-5"/>
        </w:rPr>
        <w:t> </w:t>
      </w:r>
      <w:r>
        <w:rPr/>
        <w:t>OF</w:t>
      </w:r>
      <w:r>
        <w:rPr>
          <w:spacing w:val="-12"/>
        </w:rPr>
        <w:t> </w:t>
      </w:r>
      <w:r>
        <w:rPr>
          <w:spacing w:val="-2"/>
        </w:rPr>
        <w:t>CONCERN</w:t>
      </w:r>
    </w:p>
    <w:p>
      <w:pPr>
        <w:pStyle w:val="ListParagraph"/>
        <w:numPr>
          <w:ilvl w:val="0"/>
          <w:numId w:val="4"/>
        </w:numPr>
        <w:tabs>
          <w:tab w:pos="2422" w:val="left" w:leader="none"/>
        </w:tabs>
        <w:spacing w:line="240" w:lineRule="auto" w:before="0" w:after="0"/>
        <w:ind w:left="2422" w:right="0" w:hanging="360"/>
        <w:jc w:val="left"/>
        <w:rPr>
          <w:sz w:val="24"/>
        </w:rPr>
      </w:pPr>
      <w:r>
        <w:rPr>
          <w:spacing w:val="-2"/>
          <w:sz w:val="24"/>
        </w:rPr>
        <w:t>Healthcare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Access</w:t>
      </w:r>
    </w:p>
    <w:p>
      <w:pPr>
        <w:pStyle w:val="ListParagraph"/>
        <w:numPr>
          <w:ilvl w:val="1"/>
          <w:numId w:val="4"/>
        </w:numPr>
        <w:tabs>
          <w:tab w:pos="2421" w:val="left" w:leader="none"/>
        </w:tabs>
        <w:spacing w:line="240" w:lineRule="auto" w:before="0" w:after="0"/>
        <w:ind w:left="2421" w:right="0" w:hanging="359"/>
        <w:jc w:val="left"/>
        <w:rPr>
          <w:sz w:val="24"/>
        </w:rPr>
      </w:pPr>
      <w:r>
        <w:rPr>
          <w:sz w:val="24"/>
        </w:rPr>
        <w:t>Lack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“conversions</w:t>
      </w:r>
      <w:r>
        <w:rPr>
          <w:spacing w:val="-4"/>
          <w:sz w:val="24"/>
        </w:rPr>
        <w:t> </w:t>
      </w:r>
      <w:r>
        <w:rPr>
          <w:sz w:val="24"/>
        </w:rPr>
        <w:t>therapy”</w:t>
      </w:r>
      <w:r>
        <w:rPr>
          <w:spacing w:val="-3"/>
          <w:sz w:val="24"/>
        </w:rPr>
        <w:t> </w:t>
      </w:r>
      <w:r>
        <w:rPr>
          <w:spacing w:val="-4"/>
          <w:sz w:val="24"/>
        </w:rPr>
        <w:t>ban.</w:t>
      </w:r>
    </w:p>
    <w:p>
      <w:pPr>
        <w:pStyle w:val="ListParagraph"/>
        <w:numPr>
          <w:ilvl w:val="1"/>
          <w:numId w:val="4"/>
        </w:numPr>
        <w:tabs>
          <w:tab w:pos="2422" w:val="left" w:leader="none"/>
        </w:tabs>
        <w:spacing w:line="240" w:lineRule="auto" w:before="0" w:after="0"/>
        <w:ind w:left="2422" w:right="548" w:hanging="360"/>
        <w:jc w:val="left"/>
        <w:rPr>
          <w:sz w:val="24"/>
        </w:rPr>
      </w:pPr>
      <w:r>
        <w:rPr>
          <w:sz w:val="24"/>
        </w:rPr>
        <w:t>Continued</w:t>
      </w:r>
      <w:r>
        <w:rPr>
          <w:spacing w:val="-3"/>
          <w:sz w:val="24"/>
        </w:rPr>
        <w:t> </w:t>
      </w:r>
      <w:r>
        <w:rPr>
          <w:sz w:val="24"/>
        </w:rPr>
        <w:t>barriers</w:t>
      </w:r>
      <w:r>
        <w:rPr>
          <w:spacing w:val="-4"/>
          <w:sz w:val="24"/>
        </w:rPr>
        <w:t> </w:t>
      </w: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accessing</w:t>
      </w:r>
      <w:r>
        <w:rPr>
          <w:spacing w:val="-3"/>
          <w:sz w:val="24"/>
        </w:rPr>
        <w:t> </w:t>
      </w:r>
      <w:r>
        <w:rPr>
          <w:sz w:val="24"/>
        </w:rPr>
        <w:t>specialized</w:t>
      </w:r>
      <w:r>
        <w:rPr>
          <w:spacing w:val="-2"/>
          <w:sz w:val="24"/>
        </w:rPr>
        <w:t> </w:t>
      </w:r>
      <w:r>
        <w:rPr>
          <w:sz w:val="24"/>
        </w:rPr>
        <w:t>care</w:t>
      </w:r>
      <w:r>
        <w:rPr>
          <w:spacing w:val="-3"/>
          <w:sz w:val="24"/>
        </w:rPr>
        <w:t> </w:t>
      </w:r>
      <w:r>
        <w:rPr>
          <w:sz w:val="24"/>
        </w:rPr>
        <w:t>(e.g.</w:t>
      </w:r>
      <w:r>
        <w:rPr>
          <w:spacing w:val="-3"/>
          <w:sz w:val="24"/>
        </w:rPr>
        <w:t> </w:t>
      </w:r>
      <w:r>
        <w:rPr>
          <w:sz w:val="24"/>
        </w:rPr>
        <w:t>there</w:t>
      </w:r>
      <w:r>
        <w:rPr>
          <w:spacing w:val="-4"/>
          <w:sz w:val="24"/>
        </w:rPr>
        <w:t> </w:t>
      </w:r>
      <w:r>
        <w:rPr>
          <w:sz w:val="24"/>
        </w:rPr>
        <w:t>are</w:t>
      </w:r>
      <w:r>
        <w:rPr>
          <w:spacing w:val="-5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specialized</w:t>
      </w:r>
      <w:r>
        <w:rPr>
          <w:spacing w:val="-3"/>
          <w:sz w:val="24"/>
        </w:rPr>
        <w:t> </w:t>
      </w:r>
      <w:r>
        <w:rPr>
          <w:sz w:val="24"/>
        </w:rPr>
        <w:t>hate</w:t>
      </w:r>
      <w:r>
        <w:rPr>
          <w:spacing w:val="-3"/>
          <w:sz w:val="24"/>
        </w:rPr>
        <w:t> </w:t>
      </w:r>
      <w:r>
        <w:rPr>
          <w:sz w:val="24"/>
        </w:rPr>
        <w:t>crime victim support units that provide specialized support to LGBTIQ persons)</w:t>
      </w:r>
    </w:p>
    <w:p>
      <w:pPr>
        <w:pStyle w:val="ListParagraph"/>
        <w:numPr>
          <w:ilvl w:val="0"/>
          <w:numId w:val="4"/>
        </w:numPr>
        <w:tabs>
          <w:tab w:pos="2422" w:val="left" w:leader="none"/>
        </w:tabs>
        <w:spacing w:line="240" w:lineRule="auto" w:before="0" w:after="0"/>
        <w:ind w:left="2422" w:right="0" w:hanging="360"/>
        <w:jc w:val="left"/>
        <w:rPr>
          <w:sz w:val="24"/>
        </w:rPr>
      </w:pPr>
      <w:r>
        <w:rPr>
          <w:sz w:val="24"/>
        </w:rPr>
        <w:t>Education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1"/>
          <w:sz w:val="24"/>
        </w:rPr>
        <w:t> </w:t>
      </w:r>
      <w:r>
        <w:rPr>
          <w:sz w:val="24"/>
        </w:rPr>
        <w:t>Public</w:t>
      </w:r>
      <w:r>
        <w:rPr>
          <w:spacing w:val="-16"/>
          <w:sz w:val="24"/>
        </w:rPr>
        <w:t> </w:t>
      </w:r>
      <w:r>
        <w:rPr>
          <w:spacing w:val="-2"/>
          <w:sz w:val="24"/>
        </w:rPr>
        <w:t>Awareness</w:t>
      </w:r>
    </w:p>
    <w:p>
      <w:pPr>
        <w:pStyle w:val="ListParagraph"/>
        <w:numPr>
          <w:ilvl w:val="1"/>
          <w:numId w:val="4"/>
        </w:numPr>
        <w:tabs>
          <w:tab w:pos="2421" w:val="left" w:leader="none"/>
        </w:tabs>
        <w:spacing w:line="240" w:lineRule="auto" w:before="0" w:after="0"/>
        <w:ind w:left="2421" w:right="0" w:hanging="359"/>
        <w:jc w:val="left"/>
        <w:rPr>
          <w:sz w:val="24"/>
        </w:rPr>
      </w:pPr>
      <w:r>
        <w:rPr>
          <w:sz w:val="24"/>
        </w:rPr>
        <w:t>Need</w:t>
      </w:r>
      <w:r>
        <w:rPr>
          <w:spacing w:val="-2"/>
          <w:sz w:val="24"/>
        </w:rPr>
        <w:t> </w:t>
      </w:r>
      <w:r>
        <w:rPr>
          <w:sz w:val="24"/>
        </w:rPr>
        <w:t>for</w:t>
      </w:r>
      <w:r>
        <w:rPr>
          <w:spacing w:val="-2"/>
          <w:sz w:val="24"/>
        </w:rPr>
        <w:t> </w:t>
      </w:r>
      <w:r>
        <w:rPr>
          <w:sz w:val="24"/>
        </w:rPr>
        <w:t>comprehensive</w:t>
      </w:r>
      <w:r>
        <w:rPr>
          <w:spacing w:val="-1"/>
          <w:sz w:val="24"/>
        </w:rPr>
        <w:t> </w:t>
      </w:r>
      <w:r>
        <w:rPr>
          <w:sz w:val="24"/>
        </w:rPr>
        <w:t>anti-discrimination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education</w:t>
      </w:r>
    </w:p>
    <w:p>
      <w:pPr>
        <w:pStyle w:val="ListParagraph"/>
        <w:numPr>
          <w:ilvl w:val="1"/>
          <w:numId w:val="4"/>
        </w:numPr>
        <w:tabs>
          <w:tab w:pos="2421" w:val="left" w:leader="none"/>
        </w:tabs>
        <w:spacing w:line="240" w:lineRule="auto" w:before="0" w:after="0"/>
        <w:ind w:left="2421" w:right="0" w:hanging="359"/>
        <w:jc w:val="left"/>
        <w:rPr>
          <w:sz w:val="24"/>
        </w:rPr>
      </w:pPr>
      <w:r>
        <w:rPr>
          <w:sz w:val="24"/>
        </w:rPr>
        <w:t>Limited</w:t>
      </w:r>
      <w:r>
        <w:rPr>
          <w:spacing w:val="-1"/>
          <w:sz w:val="24"/>
        </w:rPr>
        <w:t> </w:t>
      </w:r>
      <w:r>
        <w:rPr>
          <w:sz w:val="24"/>
        </w:rPr>
        <w:t>implementation</w:t>
      </w:r>
      <w:r>
        <w:rPr>
          <w:spacing w:val="-4"/>
          <w:sz w:val="24"/>
        </w:rPr>
        <w:t> </w:t>
      </w:r>
      <w:r>
        <w:rPr>
          <w:sz w:val="24"/>
        </w:rPr>
        <w:t>of inclusive</w:t>
      </w:r>
      <w:r>
        <w:rPr>
          <w:spacing w:val="-2"/>
          <w:sz w:val="24"/>
        </w:rPr>
        <w:t> </w:t>
      </w:r>
      <w:r>
        <w:rPr>
          <w:sz w:val="24"/>
        </w:rPr>
        <w:t>education </w:t>
      </w:r>
      <w:r>
        <w:rPr>
          <w:spacing w:val="-2"/>
          <w:sz w:val="24"/>
        </w:rPr>
        <w:t>policies</w:t>
      </w:r>
    </w:p>
    <w:p>
      <w:pPr>
        <w:pStyle w:val="ListParagraph"/>
        <w:numPr>
          <w:ilvl w:val="0"/>
          <w:numId w:val="4"/>
        </w:numPr>
        <w:tabs>
          <w:tab w:pos="2422" w:val="left" w:leader="none"/>
        </w:tabs>
        <w:spacing w:line="240" w:lineRule="auto" w:before="0" w:after="0"/>
        <w:ind w:left="2422" w:right="0" w:hanging="360"/>
        <w:jc w:val="left"/>
        <w:rPr>
          <w:sz w:val="24"/>
        </w:rPr>
      </w:pPr>
      <w:r>
        <w:rPr>
          <w:sz w:val="24"/>
        </w:rPr>
        <w:t>Asylum</w:t>
      </w:r>
      <w:r>
        <w:rPr>
          <w:spacing w:val="-3"/>
          <w:sz w:val="24"/>
        </w:rPr>
        <w:t> </w:t>
      </w:r>
      <w:r>
        <w:rPr>
          <w:sz w:val="24"/>
        </w:rPr>
        <w:t>and </w:t>
      </w:r>
      <w:r>
        <w:rPr>
          <w:spacing w:val="-2"/>
          <w:sz w:val="24"/>
        </w:rPr>
        <w:t>Migration</w:t>
      </w:r>
    </w:p>
    <w:p>
      <w:pPr>
        <w:pStyle w:val="ListParagraph"/>
        <w:numPr>
          <w:ilvl w:val="1"/>
          <w:numId w:val="4"/>
        </w:numPr>
        <w:tabs>
          <w:tab w:pos="2421" w:val="left" w:leader="none"/>
        </w:tabs>
        <w:spacing w:line="240" w:lineRule="auto" w:before="0" w:after="0"/>
        <w:ind w:left="2421" w:right="0" w:hanging="359"/>
        <w:jc w:val="left"/>
        <w:rPr>
          <w:sz w:val="24"/>
        </w:rPr>
      </w:pPr>
      <w:r>
        <w:rPr>
          <w:sz w:val="24"/>
        </w:rPr>
        <w:t>Extended</w:t>
      </w:r>
      <w:r>
        <w:rPr>
          <w:spacing w:val="-2"/>
          <w:sz w:val="24"/>
        </w:rPr>
        <w:t> </w:t>
      </w:r>
      <w:r>
        <w:rPr>
          <w:sz w:val="24"/>
        </w:rPr>
        <w:t>waiting</w:t>
      </w:r>
      <w:r>
        <w:rPr>
          <w:spacing w:val="-2"/>
          <w:sz w:val="24"/>
        </w:rPr>
        <w:t> </w:t>
      </w:r>
      <w:r>
        <w:rPr>
          <w:sz w:val="24"/>
        </w:rPr>
        <w:t>periods</w:t>
      </w:r>
      <w:r>
        <w:rPr>
          <w:spacing w:val="-1"/>
          <w:sz w:val="24"/>
        </w:rPr>
        <w:t> </w:t>
      </w:r>
      <w:r>
        <w:rPr>
          <w:sz w:val="24"/>
        </w:rPr>
        <w:t>for</w:t>
      </w:r>
      <w:r>
        <w:rPr>
          <w:spacing w:val="-3"/>
          <w:sz w:val="24"/>
        </w:rPr>
        <w:t> </w:t>
      </w:r>
      <w:r>
        <w:rPr>
          <w:sz w:val="24"/>
        </w:rPr>
        <w:t>LGBTI</w:t>
      </w:r>
      <w:r>
        <w:rPr>
          <w:spacing w:val="-3"/>
          <w:sz w:val="24"/>
        </w:rPr>
        <w:t> </w:t>
      </w:r>
      <w:r>
        <w:rPr>
          <w:sz w:val="24"/>
        </w:rPr>
        <w:t>asylum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seekers</w:t>
      </w:r>
    </w:p>
    <w:p>
      <w:pPr>
        <w:pStyle w:val="ListParagraph"/>
        <w:numPr>
          <w:ilvl w:val="1"/>
          <w:numId w:val="4"/>
        </w:numPr>
        <w:tabs>
          <w:tab w:pos="2421" w:val="left" w:leader="none"/>
        </w:tabs>
        <w:spacing w:line="240" w:lineRule="auto" w:before="0" w:after="0"/>
        <w:ind w:left="2421" w:right="0" w:hanging="359"/>
        <w:jc w:val="left"/>
        <w:rPr>
          <w:sz w:val="24"/>
        </w:rPr>
      </w:pPr>
      <w:r>
        <w:rPr>
          <w:sz w:val="24"/>
        </w:rPr>
        <w:t>Reports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exploitation</w:t>
      </w:r>
      <w:r>
        <w:rPr>
          <w:spacing w:val="-1"/>
          <w:sz w:val="24"/>
        </w:rPr>
        <w:t> </w:t>
      </w:r>
      <w:r>
        <w:rPr>
          <w:sz w:val="24"/>
        </w:rPr>
        <w:t>and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discrimination</w:t>
      </w:r>
    </w:p>
    <w:p>
      <w:pPr>
        <w:pStyle w:val="ListParagraph"/>
        <w:numPr>
          <w:ilvl w:val="1"/>
          <w:numId w:val="4"/>
        </w:numPr>
        <w:tabs>
          <w:tab w:pos="2421" w:val="left" w:leader="none"/>
        </w:tabs>
        <w:spacing w:line="240" w:lineRule="auto" w:before="0" w:after="0"/>
        <w:ind w:left="2421" w:right="0" w:hanging="359"/>
        <w:jc w:val="left"/>
        <w:rPr>
          <w:sz w:val="24"/>
        </w:rPr>
      </w:pPr>
      <w:r>
        <w:rPr>
          <w:sz w:val="24"/>
        </w:rPr>
        <w:t>Need</w:t>
      </w:r>
      <w:r>
        <w:rPr>
          <w:spacing w:val="-1"/>
          <w:sz w:val="24"/>
        </w:rPr>
        <w:t> </w:t>
      </w:r>
      <w:r>
        <w:rPr>
          <w:sz w:val="24"/>
        </w:rPr>
        <w:t>for</w:t>
      </w:r>
      <w:r>
        <w:rPr>
          <w:spacing w:val="-1"/>
          <w:sz w:val="24"/>
        </w:rPr>
        <w:t> </w:t>
      </w:r>
      <w:r>
        <w:rPr>
          <w:sz w:val="24"/>
        </w:rPr>
        <w:t>specialized</w:t>
      </w:r>
      <w:r>
        <w:rPr>
          <w:spacing w:val="-1"/>
          <w:sz w:val="24"/>
        </w:rPr>
        <w:t> </w:t>
      </w:r>
      <w:r>
        <w:rPr>
          <w:sz w:val="24"/>
        </w:rPr>
        <w:t>support </w:t>
      </w:r>
      <w:r>
        <w:rPr>
          <w:spacing w:val="-2"/>
          <w:sz w:val="24"/>
        </w:rPr>
        <w:t>services</w:t>
      </w:r>
    </w:p>
    <w:p>
      <w:pPr>
        <w:pStyle w:val="Heading1"/>
        <w:numPr>
          <w:ilvl w:val="0"/>
          <w:numId w:val="1"/>
        </w:numPr>
        <w:tabs>
          <w:tab w:pos="2907" w:val="left" w:leader="none"/>
        </w:tabs>
        <w:spacing w:line="240" w:lineRule="auto" w:before="0" w:after="0"/>
        <w:ind w:left="2907" w:right="0" w:hanging="353"/>
        <w:jc w:val="left"/>
      </w:pPr>
      <w:r>
        <w:rPr>
          <w:spacing w:val="-2"/>
        </w:rPr>
        <w:t>RECOMMENDATIONS</w:t>
      </w:r>
    </w:p>
    <w:p>
      <w:pPr>
        <w:pStyle w:val="BodyText"/>
        <w:ind w:left="2554"/>
      </w:pPr>
      <w:r>
        <w:rPr/>
        <w:t>We</w:t>
      </w:r>
      <w:r>
        <w:rPr>
          <w:spacing w:val="-6"/>
        </w:rPr>
        <w:t> </w:t>
      </w:r>
      <w:r>
        <w:rPr/>
        <w:t>urge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Committee</w:t>
      </w:r>
      <w:r>
        <w:rPr>
          <w:spacing w:val="-6"/>
        </w:rPr>
        <w:t> </w:t>
      </w:r>
      <w:r>
        <w:rPr/>
        <w:t>to</w:t>
      </w:r>
      <w:r>
        <w:rPr>
          <w:spacing w:val="-4"/>
        </w:rPr>
        <w:t> </w:t>
      </w:r>
      <w:r>
        <w:rPr/>
        <w:t>recommend</w:t>
      </w:r>
      <w:r>
        <w:rPr>
          <w:spacing w:val="-4"/>
        </w:rPr>
        <w:t> </w:t>
      </w:r>
      <w:r>
        <w:rPr/>
        <w:t>that</w:t>
      </w:r>
      <w:r>
        <w:rPr>
          <w:spacing w:val="-4"/>
        </w:rPr>
        <w:t> </w:t>
      </w:r>
      <w:r>
        <w:rPr>
          <w:spacing w:val="-2"/>
        </w:rPr>
        <w:t>Lithuania:</w:t>
      </w:r>
    </w:p>
    <w:p>
      <w:pPr>
        <w:pStyle w:val="ListParagraph"/>
        <w:numPr>
          <w:ilvl w:val="0"/>
          <w:numId w:val="5"/>
        </w:numPr>
        <w:tabs>
          <w:tab w:pos="2422" w:val="left" w:leader="none"/>
        </w:tabs>
        <w:spacing w:line="240" w:lineRule="auto" w:before="0" w:after="0"/>
        <w:ind w:left="2422" w:right="0" w:hanging="360"/>
        <w:jc w:val="left"/>
        <w:rPr>
          <w:sz w:val="24"/>
        </w:rPr>
      </w:pPr>
      <w:r>
        <w:rPr>
          <w:sz w:val="24"/>
        </w:rPr>
        <w:t>Legislative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Framework</w:t>
      </w:r>
    </w:p>
    <w:p>
      <w:pPr>
        <w:spacing w:after="0" w:line="240" w:lineRule="auto"/>
        <w:jc w:val="left"/>
        <w:rPr>
          <w:sz w:val="24"/>
        </w:rPr>
        <w:sectPr>
          <w:pgSz w:w="11910" w:h="16840"/>
          <w:pgMar w:header="0" w:footer="530" w:top="1620" w:bottom="720" w:left="0" w:right="460"/>
        </w:sectPr>
      </w:pPr>
    </w:p>
    <w:p>
      <w:pPr>
        <w:pStyle w:val="ListParagraph"/>
        <w:numPr>
          <w:ilvl w:val="1"/>
          <w:numId w:val="5"/>
        </w:numPr>
        <w:tabs>
          <w:tab w:pos="2421" w:val="left" w:leader="none"/>
        </w:tabs>
        <w:spacing w:line="240" w:lineRule="auto" w:before="62" w:after="0"/>
        <w:ind w:left="2421" w:right="0" w:hanging="359"/>
        <w:jc w:val="left"/>
        <w:rPr>
          <w:sz w:val="24"/>
        </w:rPr>
      </w:pPr>
      <w:r>
        <w:rPr>
          <w:sz w:val="24"/>
        </w:rPr>
        <w:t>Implement</w:t>
      </w:r>
      <w:r>
        <w:rPr>
          <w:spacing w:val="-3"/>
          <w:sz w:val="24"/>
        </w:rPr>
        <w:t> </w:t>
      </w:r>
      <w:r>
        <w:rPr>
          <w:sz w:val="24"/>
        </w:rPr>
        <w:t>comprehensive</w:t>
      </w:r>
      <w:r>
        <w:rPr>
          <w:spacing w:val="-1"/>
          <w:sz w:val="24"/>
        </w:rPr>
        <w:t> </w:t>
      </w:r>
      <w:r>
        <w:rPr>
          <w:sz w:val="24"/>
        </w:rPr>
        <w:t>family</w:t>
      </w:r>
      <w:r>
        <w:rPr>
          <w:spacing w:val="-1"/>
          <w:sz w:val="24"/>
        </w:rPr>
        <w:t> </w:t>
      </w:r>
      <w:r>
        <w:rPr>
          <w:sz w:val="24"/>
        </w:rPr>
        <w:t>rights</w:t>
      </w:r>
      <w:r>
        <w:rPr>
          <w:spacing w:val="-2"/>
          <w:sz w:val="24"/>
        </w:rPr>
        <w:t> </w:t>
      </w:r>
      <w:r>
        <w:rPr>
          <w:sz w:val="24"/>
        </w:rPr>
        <w:t>legislation</w:t>
      </w:r>
      <w:r>
        <w:rPr>
          <w:spacing w:val="-1"/>
          <w:sz w:val="24"/>
        </w:rPr>
        <w:t> </w:t>
      </w:r>
      <w:r>
        <w:rPr>
          <w:sz w:val="24"/>
        </w:rPr>
        <w:t>inclusive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LGBTI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families</w:t>
      </w:r>
    </w:p>
    <w:p>
      <w:pPr>
        <w:pStyle w:val="ListParagraph"/>
        <w:numPr>
          <w:ilvl w:val="1"/>
          <w:numId w:val="5"/>
        </w:numPr>
        <w:tabs>
          <w:tab w:pos="2421" w:val="left" w:leader="none"/>
        </w:tabs>
        <w:spacing w:line="240" w:lineRule="auto" w:before="0" w:after="0"/>
        <w:ind w:left="2421" w:right="0" w:hanging="359"/>
        <w:jc w:val="left"/>
        <w:rPr>
          <w:sz w:val="24"/>
        </w:rPr>
      </w:pPr>
      <w:r>
        <w:rPr>
          <w:sz w:val="24"/>
        </w:rPr>
        <w:t>Establish</w:t>
      </w:r>
      <w:r>
        <w:rPr>
          <w:spacing w:val="-4"/>
          <w:sz w:val="24"/>
        </w:rPr>
        <w:t> </w:t>
      </w:r>
      <w:r>
        <w:rPr>
          <w:sz w:val="24"/>
        </w:rPr>
        <w:t>clear</w:t>
      </w:r>
      <w:r>
        <w:rPr>
          <w:spacing w:val="-2"/>
          <w:sz w:val="24"/>
        </w:rPr>
        <w:t> </w:t>
      </w:r>
      <w:r>
        <w:rPr>
          <w:sz w:val="24"/>
        </w:rPr>
        <w:t>legal</w:t>
      </w:r>
      <w:r>
        <w:rPr>
          <w:spacing w:val="-2"/>
          <w:sz w:val="24"/>
        </w:rPr>
        <w:t> </w:t>
      </w:r>
      <w:r>
        <w:rPr>
          <w:sz w:val="24"/>
        </w:rPr>
        <w:t>protections</w:t>
      </w:r>
      <w:r>
        <w:rPr>
          <w:spacing w:val="-3"/>
          <w:sz w:val="24"/>
        </w:rPr>
        <w:t> </w:t>
      </w:r>
      <w:r>
        <w:rPr>
          <w:sz w:val="24"/>
        </w:rPr>
        <w:t>against</w:t>
      </w:r>
      <w:r>
        <w:rPr>
          <w:spacing w:val="-1"/>
          <w:sz w:val="24"/>
        </w:rPr>
        <w:t> </w:t>
      </w:r>
      <w:r>
        <w:rPr>
          <w:sz w:val="24"/>
        </w:rPr>
        <w:t>intersectional</w:t>
      </w:r>
      <w:r>
        <w:rPr>
          <w:spacing w:val="-2"/>
          <w:sz w:val="24"/>
        </w:rPr>
        <w:t> discrimination</w:t>
      </w:r>
    </w:p>
    <w:p>
      <w:pPr>
        <w:pStyle w:val="ListParagraph"/>
        <w:numPr>
          <w:ilvl w:val="1"/>
          <w:numId w:val="5"/>
        </w:numPr>
        <w:tabs>
          <w:tab w:pos="2421" w:val="left" w:leader="none"/>
        </w:tabs>
        <w:spacing w:line="240" w:lineRule="auto" w:before="0" w:after="0"/>
        <w:ind w:left="2421" w:right="0" w:hanging="359"/>
        <w:jc w:val="left"/>
        <w:rPr>
          <w:sz w:val="24"/>
        </w:rPr>
      </w:pPr>
      <w:r>
        <w:rPr>
          <w:sz w:val="24"/>
        </w:rPr>
        <w:t>Develop</w:t>
      </w:r>
      <w:r>
        <w:rPr>
          <w:spacing w:val="-3"/>
          <w:sz w:val="24"/>
        </w:rPr>
        <w:t> </w:t>
      </w:r>
      <w:r>
        <w:rPr>
          <w:sz w:val="24"/>
        </w:rPr>
        <w:t>administrative</w:t>
      </w:r>
      <w:r>
        <w:rPr>
          <w:spacing w:val="-2"/>
          <w:sz w:val="24"/>
        </w:rPr>
        <w:t> </w:t>
      </w:r>
      <w:r>
        <w:rPr>
          <w:sz w:val="24"/>
        </w:rPr>
        <w:t>procedures</w:t>
      </w:r>
      <w:r>
        <w:rPr>
          <w:spacing w:val="-2"/>
          <w:sz w:val="24"/>
        </w:rPr>
        <w:t> </w:t>
      </w:r>
      <w:r>
        <w:rPr>
          <w:sz w:val="24"/>
        </w:rPr>
        <w:t>for</w:t>
      </w:r>
      <w:r>
        <w:rPr>
          <w:spacing w:val="-3"/>
          <w:sz w:val="24"/>
        </w:rPr>
        <w:t> </w:t>
      </w:r>
      <w:r>
        <w:rPr>
          <w:sz w:val="24"/>
        </w:rPr>
        <w:t>legal</w:t>
      </w:r>
      <w:r>
        <w:rPr>
          <w:spacing w:val="-1"/>
          <w:sz w:val="24"/>
        </w:rPr>
        <w:t> </w:t>
      </w:r>
      <w:r>
        <w:rPr>
          <w:sz w:val="24"/>
        </w:rPr>
        <w:t>gender </w:t>
      </w:r>
      <w:r>
        <w:rPr>
          <w:spacing w:val="-2"/>
          <w:sz w:val="24"/>
        </w:rPr>
        <w:t>recognition</w:t>
      </w:r>
    </w:p>
    <w:p>
      <w:pPr>
        <w:pStyle w:val="ListParagraph"/>
        <w:numPr>
          <w:ilvl w:val="0"/>
          <w:numId w:val="6"/>
        </w:numPr>
        <w:tabs>
          <w:tab w:pos="2422" w:val="left" w:leader="none"/>
        </w:tabs>
        <w:spacing w:line="240" w:lineRule="auto" w:before="1" w:after="0"/>
        <w:ind w:left="2422" w:right="0" w:hanging="360"/>
        <w:jc w:val="left"/>
        <w:rPr>
          <w:sz w:val="24"/>
        </w:rPr>
      </w:pPr>
      <w:r>
        <w:rPr>
          <w:sz w:val="24"/>
        </w:rPr>
        <w:t>Institutional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Support</w:t>
      </w:r>
    </w:p>
    <w:p>
      <w:pPr>
        <w:pStyle w:val="ListParagraph"/>
        <w:numPr>
          <w:ilvl w:val="1"/>
          <w:numId w:val="6"/>
        </w:numPr>
        <w:tabs>
          <w:tab w:pos="2421" w:val="left" w:leader="none"/>
        </w:tabs>
        <w:spacing w:line="240" w:lineRule="auto" w:before="0" w:after="0"/>
        <w:ind w:left="2421" w:right="0" w:hanging="359"/>
        <w:jc w:val="left"/>
        <w:rPr>
          <w:sz w:val="24"/>
        </w:rPr>
      </w:pPr>
      <w:r>
        <w:rPr>
          <w:sz w:val="24"/>
        </w:rPr>
        <w:t>Expand</w:t>
      </w:r>
      <w:r>
        <w:rPr>
          <w:spacing w:val="-2"/>
          <w:sz w:val="24"/>
        </w:rPr>
        <w:t> </w:t>
      </w:r>
      <w:r>
        <w:rPr>
          <w:sz w:val="24"/>
        </w:rPr>
        <w:t>regional</w:t>
      </w:r>
      <w:r>
        <w:rPr>
          <w:spacing w:val="1"/>
          <w:sz w:val="24"/>
        </w:rPr>
        <w:t> </w:t>
      </w:r>
      <w:r>
        <w:rPr>
          <w:sz w:val="24"/>
        </w:rPr>
        <w:t>access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2"/>
          <w:sz w:val="24"/>
        </w:rPr>
        <w:t> </w:t>
      </w:r>
      <w:r>
        <w:rPr>
          <w:sz w:val="24"/>
        </w:rPr>
        <w:t>legal</w:t>
      </w:r>
      <w:r>
        <w:rPr>
          <w:spacing w:val="-1"/>
          <w:sz w:val="24"/>
        </w:rPr>
        <w:t> </w:t>
      </w:r>
      <w:r>
        <w:rPr>
          <w:sz w:val="24"/>
        </w:rPr>
        <w:t>aid</w:t>
      </w:r>
      <w:r>
        <w:rPr>
          <w:spacing w:val="-1"/>
          <w:sz w:val="24"/>
        </w:rPr>
        <w:t> </w:t>
      </w:r>
      <w:r>
        <w:rPr>
          <w:sz w:val="24"/>
        </w:rPr>
        <w:t>and</w:t>
      </w:r>
      <w:r>
        <w:rPr>
          <w:spacing w:val="-1"/>
          <w:sz w:val="24"/>
        </w:rPr>
        <w:t> </w:t>
      </w:r>
      <w:r>
        <w:rPr>
          <w:sz w:val="24"/>
        </w:rPr>
        <w:t>support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services</w:t>
      </w:r>
    </w:p>
    <w:p>
      <w:pPr>
        <w:pStyle w:val="ListParagraph"/>
        <w:numPr>
          <w:ilvl w:val="1"/>
          <w:numId w:val="6"/>
        </w:numPr>
        <w:tabs>
          <w:tab w:pos="2421" w:val="left" w:leader="none"/>
        </w:tabs>
        <w:spacing w:line="240" w:lineRule="auto" w:before="0" w:after="0"/>
        <w:ind w:left="2421" w:right="0" w:hanging="359"/>
        <w:jc w:val="left"/>
        <w:rPr>
          <w:sz w:val="24"/>
        </w:rPr>
      </w:pPr>
      <w:r>
        <w:rPr>
          <w:sz w:val="24"/>
        </w:rPr>
        <w:t>Develop</w:t>
      </w:r>
      <w:r>
        <w:rPr>
          <w:spacing w:val="-3"/>
          <w:sz w:val="24"/>
        </w:rPr>
        <w:t> </w:t>
      </w:r>
      <w:r>
        <w:rPr>
          <w:sz w:val="24"/>
        </w:rPr>
        <w:t>targeted</w:t>
      </w:r>
      <w:r>
        <w:rPr>
          <w:spacing w:val="-2"/>
          <w:sz w:val="24"/>
        </w:rPr>
        <w:t> </w:t>
      </w:r>
      <w:r>
        <w:rPr>
          <w:sz w:val="24"/>
        </w:rPr>
        <w:t>support for</w:t>
      </w:r>
      <w:r>
        <w:rPr>
          <w:spacing w:val="-3"/>
          <w:sz w:val="24"/>
        </w:rPr>
        <w:t> </w:t>
      </w:r>
      <w:r>
        <w:rPr>
          <w:sz w:val="24"/>
        </w:rPr>
        <w:t>LGBTIQ</w:t>
      </w:r>
      <w:r>
        <w:rPr>
          <w:spacing w:val="-2"/>
          <w:sz w:val="24"/>
        </w:rPr>
        <w:t> </w:t>
      </w:r>
      <w:r>
        <w:rPr>
          <w:sz w:val="24"/>
        </w:rPr>
        <w:t>asylum</w:t>
      </w:r>
      <w:r>
        <w:rPr>
          <w:spacing w:val="-1"/>
          <w:sz w:val="24"/>
        </w:rPr>
        <w:t> </w:t>
      </w:r>
      <w:r>
        <w:rPr>
          <w:sz w:val="24"/>
        </w:rPr>
        <w:t>seekers,</w:t>
      </w:r>
      <w:r>
        <w:rPr>
          <w:spacing w:val="-2"/>
          <w:sz w:val="24"/>
        </w:rPr>
        <w:t> </w:t>
      </w:r>
      <w:r>
        <w:rPr>
          <w:sz w:val="24"/>
        </w:rPr>
        <w:t>particularly</w:t>
      </w:r>
      <w:r>
        <w:rPr>
          <w:spacing w:val="-2"/>
          <w:sz w:val="24"/>
        </w:rPr>
        <w:t> women.</w:t>
      </w:r>
    </w:p>
    <w:p>
      <w:pPr>
        <w:pStyle w:val="ListParagraph"/>
        <w:numPr>
          <w:ilvl w:val="1"/>
          <w:numId w:val="6"/>
        </w:numPr>
        <w:tabs>
          <w:tab w:pos="2421" w:val="left" w:leader="none"/>
        </w:tabs>
        <w:spacing w:line="240" w:lineRule="auto" w:before="0" w:after="0"/>
        <w:ind w:left="2421" w:right="0" w:hanging="359"/>
        <w:jc w:val="left"/>
        <w:rPr>
          <w:sz w:val="24"/>
        </w:rPr>
      </w:pPr>
      <w:r>
        <w:rPr>
          <w:sz w:val="24"/>
        </w:rPr>
        <w:t>Ensure</w:t>
      </w:r>
      <w:r>
        <w:rPr>
          <w:spacing w:val="-3"/>
          <w:sz w:val="24"/>
        </w:rPr>
        <w:t> </w:t>
      </w:r>
      <w:r>
        <w:rPr>
          <w:sz w:val="24"/>
        </w:rPr>
        <w:t>adequate</w:t>
      </w:r>
      <w:r>
        <w:rPr>
          <w:spacing w:val="-1"/>
          <w:sz w:val="24"/>
        </w:rPr>
        <w:t> </w:t>
      </w:r>
      <w:r>
        <w:rPr>
          <w:sz w:val="24"/>
        </w:rPr>
        <w:t>funding</w:t>
      </w:r>
      <w:r>
        <w:rPr>
          <w:spacing w:val="1"/>
          <w:sz w:val="24"/>
        </w:rPr>
        <w:t> </w:t>
      </w:r>
      <w:r>
        <w:rPr>
          <w:sz w:val="24"/>
        </w:rPr>
        <w:t>for</w:t>
      </w:r>
      <w:r>
        <w:rPr>
          <w:spacing w:val="-2"/>
          <w:sz w:val="24"/>
        </w:rPr>
        <w:t> </w:t>
      </w:r>
      <w:r>
        <w:rPr>
          <w:sz w:val="24"/>
        </w:rPr>
        <w:t>LGBTIQ</w:t>
      </w:r>
      <w:r>
        <w:rPr>
          <w:spacing w:val="-2"/>
          <w:sz w:val="24"/>
        </w:rPr>
        <w:t> </w:t>
      </w:r>
      <w:r>
        <w:rPr>
          <w:sz w:val="24"/>
        </w:rPr>
        <w:t>support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programs</w:t>
      </w:r>
    </w:p>
    <w:p>
      <w:pPr>
        <w:pStyle w:val="ListParagraph"/>
        <w:numPr>
          <w:ilvl w:val="0"/>
          <w:numId w:val="6"/>
        </w:numPr>
        <w:tabs>
          <w:tab w:pos="2422" w:val="left" w:leader="none"/>
        </w:tabs>
        <w:spacing w:line="240" w:lineRule="auto" w:before="0" w:after="0"/>
        <w:ind w:left="2422" w:right="0" w:hanging="360"/>
        <w:jc w:val="left"/>
        <w:rPr>
          <w:sz w:val="24"/>
        </w:rPr>
      </w:pPr>
      <w:r>
        <w:rPr>
          <w:sz w:val="24"/>
        </w:rPr>
        <w:t>Public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Policy</w:t>
      </w:r>
    </w:p>
    <w:p>
      <w:pPr>
        <w:pStyle w:val="ListParagraph"/>
        <w:numPr>
          <w:ilvl w:val="1"/>
          <w:numId w:val="6"/>
        </w:numPr>
        <w:tabs>
          <w:tab w:pos="2421" w:val="left" w:leader="none"/>
        </w:tabs>
        <w:spacing w:line="240" w:lineRule="auto" w:before="0" w:after="0"/>
        <w:ind w:left="2421" w:right="0" w:hanging="359"/>
        <w:jc w:val="left"/>
        <w:rPr>
          <w:sz w:val="24"/>
        </w:rPr>
      </w:pPr>
      <w:r>
        <w:rPr>
          <w:sz w:val="24"/>
        </w:rPr>
        <w:t>Implement</w:t>
      </w:r>
      <w:r>
        <w:rPr>
          <w:spacing w:val="-4"/>
          <w:sz w:val="24"/>
        </w:rPr>
        <w:t> </w:t>
      </w:r>
      <w:r>
        <w:rPr>
          <w:sz w:val="24"/>
        </w:rPr>
        <w:t>comprehensive</w:t>
      </w:r>
      <w:r>
        <w:rPr>
          <w:spacing w:val="-2"/>
          <w:sz w:val="24"/>
        </w:rPr>
        <w:t> </w:t>
      </w:r>
      <w:r>
        <w:rPr>
          <w:sz w:val="24"/>
        </w:rPr>
        <w:t>anti-discrimination</w:t>
      </w:r>
      <w:r>
        <w:rPr>
          <w:spacing w:val="-2"/>
          <w:sz w:val="24"/>
        </w:rPr>
        <w:t> </w:t>
      </w:r>
      <w:r>
        <w:rPr>
          <w:sz w:val="24"/>
        </w:rPr>
        <w:t>education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programs</w:t>
      </w:r>
    </w:p>
    <w:p>
      <w:pPr>
        <w:pStyle w:val="ListParagraph"/>
        <w:numPr>
          <w:ilvl w:val="1"/>
          <w:numId w:val="6"/>
        </w:numPr>
        <w:tabs>
          <w:tab w:pos="2421" w:val="left" w:leader="none"/>
        </w:tabs>
        <w:spacing w:line="240" w:lineRule="auto" w:before="0" w:after="0"/>
        <w:ind w:left="2421" w:right="0" w:hanging="359"/>
        <w:jc w:val="left"/>
        <w:rPr>
          <w:sz w:val="24"/>
        </w:rPr>
      </w:pPr>
      <w:r>
        <w:rPr>
          <w:sz w:val="24"/>
        </w:rPr>
        <w:t>Ensure</w:t>
      </w:r>
      <w:r>
        <w:rPr>
          <w:spacing w:val="-4"/>
          <w:sz w:val="24"/>
        </w:rPr>
        <w:t> </w:t>
      </w:r>
      <w:r>
        <w:rPr>
          <w:sz w:val="24"/>
        </w:rPr>
        <w:t>inclusion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LGBTI</w:t>
      </w:r>
      <w:r>
        <w:rPr>
          <w:spacing w:val="-2"/>
          <w:sz w:val="24"/>
        </w:rPr>
        <w:t> </w:t>
      </w:r>
      <w:r>
        <w:rPr>
          <w:sz w:val="24"/>
        </w:rPr>
        <w:t>perspectives</w:t>
      </w:r>
      <w:r>
        <w:rPr>
          <w:spacing w:val="-1"/>
          <w:sz w:val="24"/>
        </w:rPr>
        <w:t> </w:t>
      </w:r>
      <w:r>
        <w:rPr>
          <w:sz w:val="24"/>
        </w:rPr>
        <w:t>in</w:t>
      </w:r>
      <w:r>
        <w:rPr>
          <w:spacing w:val="1"/>
          <w:sz w:val="24"/>
        </w:rPr>
        <w:t> </w:t>
      </w:r>
      <w:r>
        <w:rPr>
          <w:sz w:val="24"/>
        </w:rPr>
        <w:t>gender equality policy </w:t>
      </w:r>
      <w:r>
        <w:rPr>
          <w:spacing w:val="-2"/>
          <w:sz w:val="24"/>
        </w:rPr>
        <w:t>development</w:t>
      </w:r>
    </w:p>
    <w:p>
      <w:pPr>
        <w:pStyle w:val="ListParagraph"/>
        <w:numPr>
          <w:ilvl w:val="1"/>
          <w:numId w:val="6"/>
        </w:numPr>
        <w:tabs>
          <w:tab w:pos="2421" w:val="left" w:leader="none"/>
        </w:tabs>
        <w:spacing w:line="240" w:lineRule="auto" w:before="0" w:after="0"/>
        <w:ind w:left="2421" w:right="0" w:hanging="359"/>
        <w:jc w:val="left"/>
        <w:rPr>
          <w:sz w:val="24"/>
        </w:rPr>
      </w:pPr>
      <w:r>
        <w:rPr>
          <w:sz w:val="24"/>
        </w:rPr>
        <w:t>Establish</w:t>
      </w:r>
      <w:r>
        <w:rPr>
          <w:spacing w:val="-3"/>
          <w:sz w:val="24"/>
        </w:rPr>
        <w:t> </w:t>
      </w:r>
      <w:r>
        <w:rPr>
          <w:sz w:val="24"/>
        </w:rPr>
        <w:t>monitoring</w:t>
      </w:r>
      <w:r>
        <w:rPr>
          <w:spacing w:val="-1"/>
          <w:sz w:val="24"/>
        </w:rPr>
        <w:t> </w:t>
      </w:r>
      <w:r>
        <w:rPr>
          <w:sz w:val="24"/>
        </w:rPr>
        <w:t>mechanisms</w:t>
      </w:r>
      <w:r>
        <w:rPr>
          <w:spacing w:val="-1"/>
          <w:sz w:val="24"/>
        </w:rPr>
        <w:t> </w:t>
      </w:r>
      <w:r>
        <w:rPr>
          <w:sz w:val="24"/>
        </w:rPr>
        <w:t>for</w:t>
      </w:r>
      <w:r>
        <w:rPr>
          <w:spacing w:val="-3"/>
          <w:sz w:val="24"/>
        </w:rPr>
        <w:t> </w:t>
      </w:r>
      <w:r>
        <w:rPr>
          <w:sz w:val="24"/>
        </w:rPr>
        <w:t>implementation of</w:t>
      </w:r>
      <w:r>
        <w:rPr>
          <w:spacing w:val="-2"/>
          <w:sz w:val="24"/>
        </w:rPr>
        <w:t> </w:t>
      </w:r>
      <w:r>
        <w:rPr>
          <w:sz w:val="24"/>
        </w:rPr>
        <w:t>anti-discrimination </w:t>
      </w:r>
      <w:r>
        <w:rPr>
          <w:spacing w:val="-2"/>
          <w:sz w:val="24"/>
        </w:rPr>
        <w:t>measures</w:t>
      </w:r>
    </w:p>
    <w:p>
      <w:pPr>
        <w:pStyle w:val="ListParagraph"/>
        <w:numPr>
          <w:ilvl w:val="1"/>
          <w:numId w:val="6"/>
        </w:numPr>
        <w:tabs>
          <w:tab w:pos="2421" w:val="left" w:leader="none"/>
        </w:tabs>
        <w:spacing w:line="240" w:lineRule="auto" w:before="0" w:after="0"/>
        <w:ind w:left="2421" w:right="0" w:hanging="359"/>
        <w:jc w:val="left"/>
        <w:rPr>
          <w:sz w:val="24"/>
        </w:rPr>
      </w:pPr>
      <w:r>
        <w:rPr>
          <w:sz w:val="24"/>
        </w:rPr>
        <w:t>Develop</w:t>
      </w:r>
      <w:r>
        <w:rPr>
          <w:spacing w:val="-5"/>
          <w:sz w:val="24"/>
        </w:rPr>
        <w:t> </w:t>
      </w:r>
      <w:r>
        <w:rPr>
          <w:sz w:val="24"/>
        </w:rPr>
        <w:t>specific</w:t>
      </w:r>
      <w:r>
        <w:rPr>
          <w:spacing w:val="-4"/>
          <w:sz w:val="24"/>
        </w:rPr>
        <w:t> </w:t>
      </w:r>
      <w:r>
        <w:rPr>
          <w:sz w:val="24"/>
        </w:rPr>
        <w:t>indicators</w:t>
      </w:r>
      <w:r>
        <w:rPr>
          <w:spacing w:val="-3"/>
          <w:sz w:val="24"/>
        </w:rPr>
        <w:t> </w:t>
      </w:r>
      <w:r>
        <w:rPr>
          <w:sz w:val="24"/>
        </w:rPr>
        <w:t>for</w:t>
      </w:r>
      <w:r>
        <w:rPr>
          <w:spacing w:val="-2"/>
          <w:sz w:val="24"/>
        </w:rPr>
        <w:t> </w:t>
      </w:r>
      <w:r>
        <w:rPr>
          <w:sz w:val="24"/>
        </w:rPr>
        <w:t>measuring</w:t>
      </w:r>
      <w:r>
        <w:rPr>
          <w:spacing w:val="-2"/>
          <w:sz w:val="24"/>
        </w:rPr>
        <w:t> </w:t>
      </w:r>
      <w:r>
        <w:rPr>
          <w:sz w:val="24"/>
        </w:rPr>
        <w:t>progress in LGBTIQ</w:t>
      </w:r>
      <w:r>
        <w:rPr>
          <w:spacing w:val="-3"/>
          <w:sz w:val="24"/>
        </w:rPr>
        <w:t> </w:t>
      </w:r>
      <w:r>
        <w:rPr>
          <w:sz w:val="24"/>
        </w:rPr>
        <w:t>rights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protection</w:t>
      </w:r>
    </w:p>
    <w:p>
      <w:pPr>
        <w:pStyle w:val="BodyText"/>
      </w:pPr>
    </w:p>
    <w:p>
      <w:pPr>
        <w:pStyle w:val="BodyText"/>
        <w:ind w:left="1702" w:right="260" w:firstLine="851"/>
      </w:pPr>
      <w:r>
        <w:rPr/>
        <w:t>This</w:t>
      </w:r>
      <w:r>
        <w:rPr>
          <w:spacing w:val="-4"/>
        </w:rPr>
        <w:t> </w:t>
      </w:r>
      <w:r>
        <w:rPr/>
        <w:t>shadow</w:t>
      </w:r>
      <w:r>
        <w:rPr>
          <w:spacing w:val="-4"/>
        </w:rPr>
        <w:t> </w:t>
      </w:r>
      <w:r>
        <w:rPr/>
        <w:t>report</w:t>
      </w:r>
      <w:r>
        <w:rPr>
          <w:spacing w:val="-3"/>
        </w:rPr>
        <w:t> </w:t>
      </w:r>
      <w:r>
        <w:rPr/>
        <w:t>is</w:t>
      </w:r>
      <w:r>
        <w:rPr>
          <w:spacing w:val="-4"/>
        </w:rPr>
        <w:t> </w:t>
      </w:r>
      <w:r>
        <w:rPr/>
        <w:t>based</w:t>
      </w:r>
      <w:r>
        <w:rPr>
          <w:spacing w:val="-3"/>
        </w:rPr>
        <w:t> </w:t>
      </w:r>
      <w:r>
        <w:rPr/>
        <w:t>on</w:t>
      </w:r>
      <w:r>
        <w:rPr>
          <w:spacing w:val="-2"/>
        </w:rPr>
        <w:t> </w:t>
      </w:r>
      <w:r>
        <w:rPr/>
        <w:t>documented</w:t>
      </w:r>
      <w:r>
        <w:rPr>
          <w:spacing w:val="-1"/>
        </w:rPr>
        <w:t> </w:t>
      </w:r>
      <w:r>
        <w:rPr/>
        <w:t>evidence</w:t>
      </w:r>
      <w:r>
        <w:rPr>
          <w:spacing w:val="-4"/>
        </w:rPr>
        <w:t> </w:t>
      </w:r>
      <w:r>
        <w:rPr/>
        <w:t>collected</w:t>
      </w:r>
      <w:r>
        <w:rPr>
          <w:spacing w:val="-3"/>
        </w:rPr>
        <w:t> </w:t>
      </w:r>
      <w:r>
        <w:rPr/>
        <w:t>by</w:t>
      </w:r>
      <w:r>
        <w:rPr>
          <w:spacing w:val="-3"/>
        </w:rPr>
        <w:t> </w:t>
      </w:r>
      <w:r>
        <w:rPr/>
        <w:t>LGL</w:t>
      </w:r>
      <w:r>
        <w:rPr>
          <w:spacing w:val="-12"/>
        </w:rPr>
        <w:t> </w:t>
      </w:r>
      <w:r>
        <w:rPr/>
        <w:t>through</w:t>
      </w:r>
      <w:r>
        <w:rPr>
          <w:spacing w:val="-3"/>
        </w:rPr>
        <w:t> </w:t>
      </w:r>
      <w:r>
        <w:rPr/>
        <w:t>2022- 2023, demonstrating urgent needs for comprehensive reform to ensure effective protection of LBTIQ women's rights in Lithuania.</w:t>
      </w:r>
    </w:p>
    <w:p>
      <w:pPr>
        <w:pStyle w:val="BodyText"/>
      </w:pPr>
    </w:p>
    <w:p>
      <w:pPr>
        <w:pStyle w:val="BodyText"/>
      </w:pPr>
    </w:p>
    <w:p>
      <w:pPr>
        <w:pStyle w:val="BodyText"/>
        <w:ind w:left="2554"/>
      </w:pPr>
      <w:r>
        <w:rPr/>
        <w:t>Vladimir</w:t>
      </w:r>
      <w:r>
        <w:rPr>
          <w:spacing w:val="-4"/>
        </w:rPr>
        <w:t> </w:t>
      </w:r>
      <w:r>
        <w:rPr/>
        <w:t>Simonko,</w:t>
      </w:r>
      <w:r>
        <w:rPr>
          <w:spacing w:val="-4"/>
        </w:rPr>
        <w:t> </w:t>
      </w:r>
      <w:r>
        <w:rPr/>
        <w:t>Executive</w:t>
      </w:r>
      <w:r>
        <w:rPr>
          <w:spacing w:val="-5"/>
        </w:rPr>
        <w:t> </w:t>
      </w:r>
      <w:r>
        <w:rPr/>
        <w:t>Director,</w:t>
      </w:r>
      <w:r>
        <w:rPr>
          <w:spacing w:val="-3"/>
        </w:rPr>
        <w:t> </w:t>
      </w:r>
      <w:hyperlink r:id="rId10">
        <w:r>
          <w:rPr>
            <w:spacing w:val="-2"/>
          </w:rPr>
          <w:t>vladimir@gay.lt</w:t>
        </w:r>
      </w:hyperlink>
    </w:p>
    <w:sectPr>
      <w:pgSz w:w="11910" w:h="16840"/>
      <w:pgMar w:header="0" w:footer="530" w:top="1620" w:bottom="720" w:left="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rlito">
    <w:altName w:val="Carlito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10016">
              <wp:simplePos x="0" y="0"/>
              <wp:positionH relativeFrom="page">
                <wp:posOffset>1068120</wp:posOffset>
              </wp:positionH>
              <wp:positionV relativeFrom="page">
                <wp:posOffset>10216006</wp:posOffset>
              </wp:positionV>
              <wp:extent cx="6078220" cy="1276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6078220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184" w:lineRule="exact" w:before="0"/>
                            <w:ind w:left="20" w:right="0" w:firstLine="0"/>
                            <w:jc w:val="left"/>
                            <w:rPr>
                              <w:rFonts w:ascii="Carlito"/>
                              <w:sz w:val="16"/>
                            </w:rPr>
                          </w:pPr>
                          <w:r>
                            <w:rPr>
                              <w:rFonts w:ascii="Carlito"/>
                              <w:spacing w:val="11"/>
                              <w:sz w:val="16"/>
                            </w:rPr>
                            <w:t>FOR</w:t>
                          </w:r>
                          <w:r>
                            <w:rPr>
                              <w:rFonts w:ascii="Carlito"/>
                              <w:spacing w:val="4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pacing w:val="11"/>
                              <w:sz w:val="16"/>
                            </w:rPr>
                            <w:t>LES</w:t>
                          </w:r>
                          <w:r>
                            <w:rPr>
                              <w:rFonts w:ascii="Carlito"/>
                              <w:spacing w:val="-14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pacing w:val="14"/>
                              <w:sz w:val="16"/>
                            </w:rPr>
                            <w:t>BIAN,</w:t>
                          </w:r>
                          <w:r>
                            <w:rPr>
                              <w:rFonts w:ascii="Carlito"/>
                              <w:spacing w:val="44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z w:val="16"/>
                            </w:rPr>
                            <w:t>GAY,</w:t>
                          </w:r>
                          <w:r>
                            <w:rPr>
                              <w:rFonts w:ascii="Carlito"/>
                              <w:spacing w:val="43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pacing w:val="16"/>
                              <w:sz w:val="16"/>
                            </w:rPr>
                            <w:t>BISEXUAL</w:t>
                          </w:r>
                          <w:r>
                            <w:rPr>
                              <w:rFonts w:ascii="Carlito"/>
                              <w:spacing w:val="43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pacing w:val="12"/>
                              <w:sz w:val="16"/>
                            </w:rPr>
                            <w:t>AND</w:t>
                          </w:r>
                          <w:r>
                            <w:rPr>
                              <w:rFonts w:ascii="Carlito"/>
                              <w:spacing w:val="4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pacing w:val="12"/>
                              <w:sz w:val="16"/>
                            </w:rPr>
                            <w:t>TRA</w:t>
                          </w:r>
                          <w:r>
                            <w:rPr>
                              <w:rFonts w:ascii="Carlito"/>
                              <w:spacing w:val="-14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pacing w:val="14"/>
                              <w:sz w:val="16"/>
                            </w:rPr>
                            <w:t>NSGEN</w:t>
                          </w:r>
                          <w:r>
                            <w:rPr>
                              <w:rFonts w:ascii="Carlito"/>
                              <w:spacing w:val="-1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pacing w:val="12"/>
                              <w:sz w:val="16"/>
                            </w:rPr>
                            <w:t>DER</w:t>
                          </w:r>
                          <w:r>
                            <w:rPr>
                              <w:rFonts w:ascii="Carlito"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pacing w:val="16"/>
                              <w:sz w:val="16"/>
                            </w:rPr>
                            <w:t>EQUALITY</w:t>
                          </w:r>
                          <w:r>
                            <w:rPr>
                              <w:rFonts w:ascii="Carlito"/>
                              <w:spacing w:val="4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pacing w:val="12"/>
                              <w:sz w:val="16"/>
                            </w:rPr>
                            <w:t>AND</w:t>
                          </w:r>
                          <w:r>
                            <w:rPr>
                              <w:rFonts w:ascii="Carlito"/>
                              <w:spacing w:val="4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pacing w:val="13"/>
                              <w:sz w:val="16"/>
                            </w:rPr>
                            <w:t>AGAI</w:t>
                          </w:r>
                          <w:r>
                            <w:rPr>
                              <w:rFonts w:ascii="Carlito"/>
                              <w:spacing w:val="-14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pacing w:val="11"/>
                              <w:sz w:val="16"/>
                            </w:rPr>
                            <w:t>NST</w:t>
                          </w:r>
                          <w:r>
                            <w:rPr>
                              <w:rFonts w:ascii="Carlito"/>
                              <w:spacing w:val="4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z w:val="16"/>
                            </w:rPr>
                            <w:t>H</w:t>
                          </w:r>
                          <w:r>
                            <w:rPr>
                              <w:rFonts w:ascii="Carlito"/>
                              <w:spacing w:val="-14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pacing w:val="14"/>
                              <w:sz w:val="16"/>
                            </w:rPr>
                            <w:t>OMOPH</w:t>
                          </w:r>
                          <w:r>
                            <w:rPr>
                              <w:rFonts w:ascii="Carlito"/>
                              <w:spacing w:val="-14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pacing w:val="12"/>
                              <w:sz w:val="16"/>
                            </w:rPr>
                            <w:t>OBI</w:t>
                          </w:r>
                          <w:r>
                            <w:rPr>
                              <w:rFonts w:ascii="Carlito"/>
                              <w:spacing w:val="-14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Carlito"/>
                              <w:spacing w:val="4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pacing w:val="9"/>
                              <w:sz w:val="16"/>
                            </w:rPr>
                            <w:t>IN</w:t>
                          </w:r>
                          <w:r>
                            <w:rPr>
                              <w:rFonts w:ascii="Carlito"/>
                              <w:spacing w:val="43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z w:val="16"/>
                            </w:rPr>
                            <w:t>L</w:t>
                          </w:r>
                          <w:r>
                            <w:rPr>
                              <w:rFonts w:ascii="Carlito"/>
                              <w:spacing w:val="-17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Carlito"/>
                              <w:spacing w:val="-1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pacing w:val="15"/>
                              <w:sz w:val="16"/>
                            </w:rPr>
                            <w:t>THUANIA</w:t>
                          </w:r>
                          <w:r>
                            <w:rPr>
                              <w:rFonts w:ascii="Carlito"/>
                              <w:spacing w:val="59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z w:val="16"/>
                            </w:rPr>
                            <w:t>S</w:t>
                          </w:r>
                          <w:r>
                            <w:rPr>
                              <w:rFonts w:ascii="Carlito"/>
                              <w:spacing w:val="-1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pacing w:val="14"/>
                              <w:sz w:val="16"/>
                            </w:rPr>
                            <w:t>INCE</w:t>
                          </w:r>
                          <w:r>
                            <w:rPr>
                              <w:rFonts w:ascii="Carlito"/>
                              <w:spacing w:val="44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pacing w:val="14"/>
                              <w:sz w:val="16"/>
                            </w:rPr>
                            <w:t>1993</w:t>
                          </w:r>
                          <w:r>
                            <w:rPr>
                              <w:rFonts w:ascii="Carlito"/>
                              <w:spacing w:val="-1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Carlito"/>
                              <w:spacing w:val="-10"/>
                              <w:sz w:val="16"/>
                            </w:rPr>
                            <w:t>!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4.103996pt;margin-top:804.409973pt;width:478.6pt;height:10.050pt;mso-position-horizontal-relative:page;mso-position-vertical-relative:page;z-index:-15806464" type="#_x0000_t202" id="docshape1" filled="false" stroked="false">
              <v:textbox inset="0,0,0,0">
                <w:txbxContent>
                  <w:p>
                    <w:pPr>
                      <w:spacing w:line="184" w:lineRule="exact" w:before="0"/>
                      <w:ind w:left="20" w:right="0" w:firstLine="0"/>
                      <w:jc w:val="left"/>
                      <w:rPr>
                        <w:rFonts w:ascii="Carlito"/>
                        <w:sz w:val="16"/>
                      </w:rPr>
                    </w:pPr>
                    <w:r>
                      <w:rPr>
                        <w:rFonts w:ascii="Carlito"/>
                        <w:spacing w:val="11"/>
                        <w:sz w:val="16"/>
                      </w:rPr>
                      <w:t>FOR</w:t>
                    </w:r>
                    <w:r>
                      <w:rPr>
                        <w:rFonts w:ascii="Carlito"/>
                        <w:spacing w:val="42"/>
                        <w:sz w:val="16"/>
                      </w:rPr>
                      <w:t> </w:t>
                    </w:r>
                    <w:r>
                      <w:rPr>
                        <w:rFonts w:ascii="Carlito"/>
                        <w:spacing w:val="11"/>
                        <w:sz w:val="16"/>
                      </w:rPr>
                      <w:t>LES</w:t>
                    </w:r>
                    <w:r>
                      <w:rPr>
                        <w:rFonts w:ascii="Carlito"/>
                        <w:spacing w:val="-14"/>
                        <w:sz w:val="16"/>
                      </w:rPr>
                      <w:t> </w:t>
                    </w:r>
                    <w:r>
                      <w:rPr>
                        <w:rFonts w:ascii="Carlito"/>
                        <w:spacing w:val="14"/>
                        <w:sz w:val="16"/>
                      </w:rPr>
                      <w:t>BIAN,</w:t>
                    </w:r>
                    <w:r>
                      <w:rPr>
                        <w:rFonts w:ascii="Carlito"/>
                        <w:spacing w:val="44"/>
                        <w:sz w:val="16"/>
                      </w:rPr>
                      <w:t> </w:t>
                    </w:r>
                    <w:r>
                      <w:rPr>
                        <w:rFonts w:ascii="Carlito"/>
                        <w:sz w:val="16"/>
                      </w:rPr>
                      <w:t>GAY,</w:t>
                    </w:r>
                    <w:r>
                      <w:rPr>
                        <w:rFonts w:ascii="Carlito"/>
                        <w:spacing w:val="43"/>
                        <w:sz w:val="16"/>
                      </w:rPr>
                      <w:t> </w:t>
                    </w:r>
                    <w:r>
                      <w:rPr>
                        <w:rFonts w:ascii="Carlito"/>
                        <w:spacing w:val="16"/>
                        <w:sz w:val="16"/>
                      </w:rPr>
                      <w:t>BISEXUAL</w:t>
                    </w:r>
                    <w:r>
                      <w:rPr>
                        <w:rFonts w:ascii="Carlito"/>
                        <w:spacing w:val="43"/>
                        <w:sz w:val="16"/>
                      </w:rPr>
                      <w:t> </w:t>
                    </w:r>
                    <w:r>
                      <w:rPr>
                        <w:rFonts w:ascii="Carlito"/>
                        <w:spacing w:val="12"/>
                        <w:sz w:val="16"/>
                      </w:rPr>
                      <w:t>AND</w:t>
                    </w:r>
                    <w:r>
                      <w:rPr>
                        <w:rFonts w:ascii="Carlito"/>
                        <w:spacing w:val="41"/>
                        <w:sz w:val="16"/>
                      </w:rPr>
                      <w:t> </w:t>
                    </w:r>
                    <w:r>
                      <w:rPr>
                        <w:rFonts w:ascii="Carlito"/>
                        <w:spacing w:val="12"/>
                        <w:sz w:val="16"/>
                      </w:rPr>
                      <w:t>TRA</w:t>
                    </w:r>
                    <w:r>
                      <w:rPr>
                        <w:rFonts w:ascii="Carlito"/>
                        <w:spacing w:val="-14"/>
                        <w:sz w:val="16"/>
                      </w:rPr>
                      <w:t> </w:t>
                    </w:r>
                    <w:r>
                      <w:rPr>
                        <w:rFonts w:ascii="Carlito"/>
                        <w:spacing w:val="14"/>
                        <w:sz w:val="16"/>
                      </w:rPr>
                      <w:t>NSGEN</w:t>
                    </w:r>
                    <w:r>
                      <w:rPr>
                        <w:rFonts w:ascii="Carlito"/>
                        <w:spacing w:val="-16"/>
                        <w:sz w:val="16"/>
                      </w:rPr>
                      <w:t> </w:t>
                    </w:r>
                    <w:r>
                      <w:rPr>
                        <w:rFonts w:ascii="Carlito"/>
                        <w:spacing w:val="12"/>
                        <w:sz w:val="16"/>
                      </w:rPr>
                      <w:t>DER</w:t>
                    </w:r>
                    <w:r>
                      <w:rPr>
                        <w:rFonts w:ascii="Carlito"/>
                        <w:spacing w:val="40"/>
                        <w:sz w:val="16"/>
                      </w:rPr>
                      <w:t> </w:t>
                    </w:r>
                    <w:r>
                      <w:rPr>
                        <w:rFonts w:ascii="Carlito"/>
                        <w:spacing w:val="16"/>
                        <w:sz w:val="16"/>
                      </w:rPr>
                      <w:t>EQUALITY</w:t>
                    </w:r>
                    <w:r>
                      <w:rPr>
                        <w:rFonts w:ascii="Carlito"/>
                        <w:spacing w:val="42"/>
                        <w:sz w:val="16"/>
                      </w:rPr>
                      <w:t> </w:t>
                    </w:r>
                    <w:r>
                      <w:rPr>
                        <w:rFonts w:ascii="Carlito"/>
                        <w:spacing w:val="12"/>
                        <w:sz w:val="16"/>
                      </w:rPr>
                      <w:t>AND</w:t>
                    </w:r>
                    <w:r>
                      <w:rPr>
                        <w:rFonts w:ascii="Carlito"/>
                        <w:spacing w:val="42"/>
                        <w:sz w:val="16"/>
                      </w:rPr>
                      <w:t> </w:t>
                    </w:r>
                    <w:r>
                      <w:rPr>
                        <w:rFonts w:ascii="Carlito"/>
                        <w:spacing w:val="13"/>
                        <w:sz w:val="16"/>
                      </w:rPr>
                      <w:t>AGAI</w:t>
                    </w:r>
                    <w:r>
                      <w:rPr>
                        <w:rFonts w:ascii="Carlito"/>
                        <w:spacing w:val="-14"/>
                        <w:sz w:val="16"/>
                      </w:rPr>
                      <w:t> </w:t>
                    </w:r>
                    <w:r>
                      <w:rPr>
                        <w:rFonts w:ascii="Carlito"/>
                        <w:spacing w:val="11"/>
                        <w:sz w:val="16"/>
                      </w:rPr>
                      <w:t>NST</w:t>
                    </w:r>
                    <w:r>
                      <w:rPr>
                        <w:rFonts w:ascii="Carlito"/>
                        <w:spacing w:val="42"/>
                        <w:sz w:val="16"/>
                      </w:rPr>
                      <w:t> </w:t>
                    </w:r>
                    <w:r>
                      <w:rPr>
                        <w:rFonts w:ascii="Carlito"/>
                        <w:sz w:val="16"/>
                      </w:rPr>
                      <w:t>H</w:t>
                    </w:r>
                    <w:r>
                      <w:rPr>
                        <w:rFonts w:ascii="Carlito"/>
                        <w:spacing w:val="-14"/>
                        <w:sz w:val="16"/>
                      </w:rPr>
                      <w:t> </w:t>
                    </w:r>
                    <w:r>
                      <w:rPr>
                        <w:rFonts w:ascii="Carlito"/>
                        <w:spacing w:val="14"/>
                        <w:sz w:val="16"/>
                      </w:rPr>
                      <w:t>OMOPH</w:t>
                    </w:r>
                    <w:r>
                      <w:rPr>
                        <w:rFonts w:ascii="Carlito"/>
                        <w:spacing w:val="-14"/>
                        <w:sz w:val="16"/>
                      </w:rPr>
                      <w:t> </w:t>
                    </w:r>
                    <w:r>
                      <w:rPr>
                        <w:rFonts w:ascii="Carlito"/>
                        <w:spacing w:val="12"/>
                        <w:sz w:val="16"/>
                      </w:rPr>
                      <w:t>OBI</w:t>
                    </w:r>
                    <w:r>
                      <w:rPr>
                        <w:rFonts w:ascii="Carlito"/>
                        <w:spacing w:val="-14"/>
                        <w:sz w:val="16"/>
                      </w:rPr>
                      <w:t> </w:t>
                    </w:r>
                    <w:r>
                      <w:rPr>
                        <w:rFonts w:ascii="Carlito"/>
                        <w:sz w:val="16"/>
                      </w:rPr>
                      <w:t>A</w:t>
                    </w:r>
                    <w:r>
                      <w:rPr>
                        <w:rFonts w:ascii="Carlito"/>
                        <w:spacing w:val="41"/>
                        <w:sz w:val="16"/>
                      </w:rPr>
                      <w:t> </w:t>
                    </w:r>
                    <w:r>
                      <w:rPr>
                        <w:rFonts w:ascii="Carlito"/>
                        <w:spacing w:val="9"/>
                        <w:sz w:val="16"/>
                      </w:rPr>
                      <w:t>IN</w:t>
                    </w:r>
                    <w:r>
                      <w:rPr>
                        <w:rFonts w:ascii="Carlito"/>
                        <w:spacing w:val="43"/>
                        <w:sz w:val="16"/>
                      </w:rPr>
                      <w:t> </w:t>
                    </w:r>
                    <w:r>
                      <w:rPr>
                        <w:rFonts w:ascii="Carlito"/>
                        <w:sz w:val="16"/>
                      </w:rPr>
                      <w:t>L</w:t>
                    </w:r>
                    <w:r>
                      <w:rPr>
                        <w:rFonts w:ascii="Carlito"/>
                        <w:spacing w:val="-17"/>
                        <w:sz w:val="16"/>
                      </w:rPr>
                      <w:t> </w:t>
                    </w:r>
                    <w:r>
                      <w:rPr>
                        <w:rFonts w:ascii="Carlito"/>
                        <w:sz w:val="16"/>
                      </w:rPr>
                      <w:t>I</w:t>
                    </w:r>
                    <w:r>
                      <w:rPr>
                        <w:rFonts w:ascii="Carlito"/>
                        <w:spacing w:val="-16"/>
                        <w:sz w:val="16"/>
                      </w:rPr>
                      <w:t> </w:t>
                    </w:r>
                    <w:r>
                      <w:rPr>
                        <w:rFonts w:ascii="Carlito"/>
                        <w:spacing w:val="15"/>
                        <w:sz w:val="16"/>
                      </w:rPr>
                      <w:t>THUANIA</w:t>
                    </w:r>
                    <w:r>
                      <w:rPr>
                        <w:rFonts w:ascii="Carlito"/>
                        <w:spacing w:val="59"/>
                        <w:sz w:val="16"/>
                      </w:rPr>
                      <w:t> </w:t>
                    </w:r>
                    <w:r>
                      <w:rPr>
                        <w:rFonts w:ascii="Carlito"/>
                        <w:sz w:val="16"/>
                      </w:rPr>
                      <w:t>S</w:t>
                    </w:r>
                    <w:r>
                      <w:rPr>
                        <w:rFonts w:ascii="Carlito"/>
                        <w:spacing w:val="-16"/>
                        <w:sz w:val="16"/>
                      </w:rPr>
                      <w:t> </w:t>
                    </w:r>
                    <w:r>
                      <w:rPr>
                        <w:rFonts w:ascii="Carlito"/>
                        <w:spacing w:val="14"/>
                        <w:sz w:val="16"/>
                      </w:rPr>
                      <w:t>INCE</w:t>
                    </w:r>
                    <w:r>
                      <w:rPr>
                        <w:rFonts w:ascii="Carlito"/>
                        <w:spacing w:val="44"/>
                        <w:sz w:val="16"/>
                      </w:rPr>
                      <w:t> </w:t>
                    </w:r>
                    <w:r>
                      <w:rPr>
                        <w:rFonts w:ascii="Carlito"/>
                        <w:spacing w:val="14"/>
                        <w:sz w:val="16"/>
                      </w:rPr>
                      <w:t>1993</w:t>
                    </w:r>
                    <w:r>
                      <w:rPr>
                        <w:rFonts w:ascii="Carlito"/>
                        <w:spacing w:val="-15"/>
                        <w:sz w:val="16"/>
                      </w:rPr>
                      <w:t> </w:t>
                    </w:r>
                    <w:r>
                      <w:rPr>
                        <w:rFonts w:ascii="Carlito"/>
                        <w:spacing w:val="-10"/>
                        <w:sz w:val="16"/>
                      </w:rPr>
                      <w:t>!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3"/>
      <w:numFmt w:val="decimal"/>
      <w:lvlText w:val="%1."/>
      <w:lvlJc w:val="left"/>
      <w:pPr>
        <w:ind w:left="2422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"/>
      <w:lvlJc w:val="left"/>
      <w:pPr>
        <w:ind w:left="2422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22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12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03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93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83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73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641" w:hanging="360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2422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"/>
      <w:lvlJc w:val="left"/>
      <w:pPr>
        <w:ind w:left="2422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22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12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03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93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83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73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641" w:hanging="360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2422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"/>
      <w:lvlJc w:val="left"/>
      <w:pPr>
        <w:ind w:left="2422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22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12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03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93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83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73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641" w:hanging="360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2422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32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22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12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03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93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83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73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641" w:hanging="36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2422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1"/>
      <w:numFmt w:val="lowerLetter"/>
      <w:lvlText w:val="%2)"/>
      <w:lvlJc w:val="left"/>
      <w:pPr>
        <w:ind w:left="2799" w:hanging="24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760" w:hanging="24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721" w:hanging="24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682" w:hanging="24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642" w:hanging="24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603" w:hanging="24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564" w:hanging="24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524" w:hanging="246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2767" w:hanging="214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628" w:hanging="21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97" w:hanging="21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365" w:hanging="21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234" w:hanging="21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103" w:hanging="21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971" w:hanging="21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840" w:hanging="21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709" w:hanging="214"/>
      </w:pPr>
      <w:rPr>
        <w:rFonts w:hint="default"/>
        <w:lang w:val="en-US" w:eastAsia="en-US" w:bidi="ar-SA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2767" w:hanging="386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2421" w:hanging="359"/>
    </w:pPr>
    <w:rPr>
      <w:rFonts w:ascii="Times New Roman" w:hAnsi="Times New Roman" w:eastAsia="Times New Roman" w:cs="Times New Roman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hyperlink" Target="mailto:cedaw@ohchr.org" TargetMode="External"/><Relationship Id="rId9" Type="http://schemas.openxmlformats.org/officeDocument/2006/relationships/hyperlink" Target="https://lrkt.lt/lt/teismo-aktai/paieska/135/ta3089/content" TargetMode="External"/><Relationship Id="rId10" Type="http://schemas.openxmlformats.org/officeDocument/2006/relationships/hyperlink" Target="mailto:vladimir@gay.lt" TargetMode="External"/><Relationship Id="rId1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dcterms:created xsi:type="dcterms:W3CDTF">2025-01-06T18:59:05Z</dcterms:created>
  <dcterms:modified xsi:type="dcterms:W3CDTF">2025-01-06T18:59:05Z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2025-01-05T00:00:00Z</vt:filetime>
  </property>
  <property fmtid="{D5CDD505-2E9C-101B-9397-08002B2CF9AE}" pid="3" name="Creator">
    <vt:lpwstr>Microsoft® Word skirta „Microsoft 365“</vt:lpwstr>
  </property>
  <property fmtid="{D5CDD505-2E9C-101B-9397-08002B2CF9AE}" pid="4" name="LastSaved">
    <vt:filetime>2025-01-06T00:00:00Z</vt:filetime>
  </property>
  <property fmtid="{D5CDD505-2E9C-101B-9397-08002B2CF9AE}" pid="5" name="Producer">
    <vt:lpwstr>Microsoft® Word skirta „Microsoft 365“</vt:lpwstr>
  </property>
</Properties>
</file>