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4ACB8" w14:textId="77777777" w:rsidR="00472E09" w:rsidRDefault="00472E09">
      <w:pPr>
        <w:pStyle w:val="Heading1"/>
        <w:spacing w:before="240" w:after="240" w:line="276" w:lineRule="auto"/>
        <w:jc w:val="left"/>
        <w:rPr>
          <w:color w:val="000000"/>
          <w:sz w:val="32"/>
          <w:szCs w:val="32"/>
        </w:rPr>
      </w:pPr>
      <w:bookmarkStart w:id="0" w:name="_4pfkt79fth9f" w:colFirst="0" w:colLast="0"/>
      <w:bookmarkEnd w:id="0"/>
    </w:p>
    <w:p w14:paraId="14D2D727" w14:textId="77777777" w:rsidR="00472E09" w:rsidRPr="00013C6E" w:rsidRDefault="002D3E48">
      <w:pPr>
        <w:pStyle w:val="Heading1"/>
        <w:spacing w:before="240" w:after="240" w:line="276" w:lineRule="auto"/>
        <w:jc w:val="center"/>
        <w:rPr>
          <w:i/>
          <w:iCs/>
          <w:sz w:val="48"/>
          <w:szCs w:val="48"/>
          <w:lang w:val="es-ES"/>
        </w:rPr>
      </w:pPr>
      <w:bookmarkStart w:id="1" w:name="_7fg1wochjfm5" w:colFirst="0" w:colLast="0"/>
      <w:bookmarkEnd w:id="1"/>
      <w:r w:rsidRPr="00013C6E">
        <w:rPr>
          <w:i/>
          <w:iCs/>
          <w:sz w:val="48"/>
          <w:szCs w:val="48"/>
          <w:lang w:val="es-ES"/>
        </w:rPr>
        <w:t>Contribución al Comité contra la Desaparición Forzada</w:t>
      </w:r>
    </w:p>
    <w:p w14:paraId="7794B181" w14:textId="77777777" w:rsidR="00472E09" w:rsidRPr="00013C6E" w:rsidRDefault="002D3E48">
      <w:pPr>
        <w:pStyle w:val="Heading1"/>
        <w:keepNext w:val="0"/>
        <w:keepLines w:val="0"/>
        <w:spacing w:before="360" w:after="80" w:line="259" w:lineRule="auto"/>
        <w:jc w:val="center"/>
        <w:rPr>
          <w:sz w:val="38"/>
          <w:szCs w:val="38"/>
          <w:lang w:val="es-ES"/>
        </w:rPr>
      </w:pPr>
      <w:bookmarkStart w:id="2" w:name="_20f4aoy78guk" w:colFirst="0" w:colLast="0"/>
      <w:bookmarkEnd w:id="2"/>
      <w:r w:rsidRPr="00013C6E">
        <w:rPr>
          <w:sz w:val="38"/>
          <w:szCs w:val="38"/>
          <w:lang w:val="es-ES"/>
        </w:rPr>
        <w:t>Inspección independiente de lugares de privación de libertad</w:t>
      </w:r>
    </w:p>
    <w:p w14:paraId="1E6AA6DD" w14:textId="77777777" w:rsidR="00472E09" w:rsidRPr="00013C6E" w:rsidRDefault="002D3E48">
      <w:pPr>
        <w:spacing w:before="240" w:after="240"/>
        <w:jc w:val="center"/>
        <w:rPr>
          <w:rFonts w:ascii="Times New Roman" w:eastAsia="Times New Roman" w:hAnsi="Times New Roman" w:cs="Times New Roman"/>
          <w:b/>
          <w:bCs/>
          <w:sz w:val="50"/>
          <w:szCs w:val="50"/>
          <w:lang w:val="es-ES"/>
        </w:rPr>
      </w:pPr>
      <w:r w:rsidRPr="00013C6E">
        <w:rPr>
          <w:rFonts w:ascii="Times New Roman" w:eastAsia="Times New Roman" w:hAnsi="Times New Roman" w:cs="Times New Roman"/>
          <w:b/>
          <w:bCs/>
          <w:sz w:val="50"/>
          <w:szCs w:val="50"/>
          <w:lang w:val="es-ES"/>
        </w:rPr>
        <w:t>Lista de Temas Prioritarios sobre Cuba</w:t>
      </w:r>
      <w:r w:rsidRPr="00013C6E">
        <w:rPr>
          <w:rFonts w:ascii="Times New Roman" w:eastAsia="Times New Roman" w:hAnsi="Times New Roman" w:cs="Times New Roman"/>
          <w:b/>
          <w:bCs/>
          <w:sz w:val="50"/>
          <w:szCs w:val="50"/>
          <w:lang w:val="es-ES"/>
        </w:rPr>
        <w:br/>
        <w:t>31.º período de sesiones del CED</w:t>
      </w:r>
    </w:p>
    <w:p w14:paraId="7C902FA4" w14:textId="77777777" w:rsidR="00472E09" w:rsidRPr="00013C6E" w:rsidRDefault="002D3E48">
      <w:pPr>
        <w:spacing w:before="240" w:after="240"/>
        <w:jc w:val="both"/>
        <w:rPr>
          <w:rFonts w:ascii="Times New Roman" w:eastAsia="Times New Roman" w:hAnsi="Times New Roman" w:cs="Times New Roman"/>
          <w:i/>
          <w:iCs/>
          <w:sz w:val="28"/>
          <w:szCs w:val="28"/>
          <w:lang w:val="es-ES"/>
        </w:rPr>
      </w:pPr>
      <w:r w:rsidRPr="00013C6E">
        <w:rPr>
          <w:rFonts w:ascii="Times New Roman" w:eastAsia="Times New Roman" w:hAnsi="Times New Roman" w:cs="Times New Roman"/>
          <w:i/>
          <w:iCs/>
          <w:sz w:val="28"/>
          <w:szCs w:val="28"/>
          <w:lang w:val="es-ES"/>
        </w:rPr>
        <w:t>Presentada en relación con la información complementaria de Cuba bajo el artículo 29(4) de la Convención Internacional para la Protección de Todas las Personas contra las Desapariciones Forzadas</w:t>
      </w:r>
    </w:p>
    <w:p w14:paraId="4280B218" w14:textId="77777777" w:rsidR="00472E09" w:rsidRDefault="002D3E48">
      <w:pPr>
        <w:spacing w:before="240" w:after="240"/>
        <w:jc w:val="center"/>
        <w:rPr>
          <w:rFonts w:ascii="Times New Roman" w:eastAsia="Times New Roman" w:hAnsi="Times New Roman" w:cs="Times New Roman"/>
        </w:rPr>
      </w:pPr>
      <w:r w:rsidRPr="00013C6E">
        <w:rPr>
          <w:rFonts w:ascii="Times New Roman" w:eastAsia="Times New Roman" w:hAnsi="Times New Roman" w:cs="Times New Roman"/>
          <w:b/>
          <w:bCs/>
          <w:sz w:val="54"/>
          <w:szCs w:val="54"/>
          <w:lang w:val="en-US"/>
        </w:rPr>
        <w:br/>
      </w:r>
      <w:r>
        <w:rPr>
          <w:rFonts w:ascii="Times New Roman" w:eastAsia="Times New Roman" w:hAnsi="Times New Roman" w:cs="Times New Roman"/>
          <w:b/>
          <w:bCs/>
          <w:i/>
          <w:iCs/>
          <w:sz w:val="48"/>
          <w:szCs w:val="48"/>
        </w:rPr>
        <w:t>Junio de 2026</w:t>
      </w:r>
    </w:p>
    <w:p w14:paraId="5E3D24F3" w14:textId="77777777" w:rsidR="00472E09" w:rsidRDefault="002D3E48">
      <w:pPr>
        <w:spacing w:after="0"/>
        <w:jc w:val="center"/>
        <w:rPr>
          <w:rFonts w:ascii="Times New Roman" w:eastAsia="Times New Roman" w:hAnsi="Times New Roman" w:cs="Times New Roman"/>
        </w:rPr>
      </w:pPr>
      <w:r>
        <w:rPr>
          <w:rFonts w:ascii="Times New Roman" w:eastAsia="Times New Roman" w:hAnsi="Times New Roman" w:cs="Times New Roman"/>
        </w:rPr>
        <w:t xml:space="preserve">1120 Connecticut Ave Nw. Washington, </w:t>
      </w:r>
    </w:p>
    <w:p w14:paraId="6ABF5D22" w14:textId="77777777" w:rsidR="00472E09" w:rsidRDefault="002D3E48">
      <w:pPr>
        <w:spacing w:after="0"/>
        <w:jc w:val="center"/>
        <w:rPr>
          <w:rFonts w:ascii="Times New Roman" w:eastAsia="Times New Roman" w:hAnsi="Times New Roman" w:cs="Times New Roman"/>
        </w:rPr>
      </w:pPr>
      <w:r>
        <w:rPr>
          <w:rFonts w:ascii="Times New Roman" w:eastAsia="Times New Roman" w:hAnsi="Times New Roman" w:cs="Times New Roman"/>
        </w:rPr>
        <w:t>D.C., 20036, United States.</w:t>
      </w:r>
    </w:p>
    <w:p w14:paraId="4A64DFE8" w14:textId="77777777" w:rsidR="00472E09" w:rsidRDefault="002D3E48">
      <w:pPr>
        <w:spacing w:after="0"/>
        <w:jc w:val="center"/>
        <w:rPr>
          <w:rFonts w:ascii="Times New Roman" w:eastAsia="Times New Roman" w:hAnsi="Times New Roman" w:cs="Times New Roman"/>
        </w:rPr>
      </w:pPr>
      <w:r>
        <w:rPr>
          <w:rFonts w:ascii="Times New Roman" w:eastAsia="Times New Roman" w:hAnsi="Times New Roman" w:cs="Times New Roman"/>
        </w:rPr>
        <w:t>+19012674974.</w:t>
      </w:r>
    </w:p>
    <w:p w14:paraId="1AEE991B" w14:textId="77777777" w:rsidR="00472E09" w:rsidRDefault="002D3E48">
      <w:pPr>
        <w:pBdr>
          <w:top w:val="nil"/>
          <w:left w:val="nil"/>
          <w:bottom w:val="nil"/>
          <w:right w:val="nil"/>
          <w:between w:val="nil"/>
        </w:pBdr>
        <w:spacing w:after="180"/>
        <w:jc w:val="both"/>
        <w:rPr>
          <w:rFonts w:ascii="Times New Roman" w:eastAsia="Times New Roman" w:hAnsi="Times New Roman" w:cs="Times New Roman"/>
        </w:rPr>
      </w:pPr>
      <w:r>
        <w:rPr>
          <w:rFonts w:ascii="Times New Roman" w:eastAsia="Times New Roman" w:hAnsi="Times New Roman" w:cs="Times New Roman"/>
        </w:rPr>
        <w:t xml:space="preserve">                                                              </w:t>
      </w:r>
      <w:hyperlink r:id="rId7">
        <w:r>
          <w:rPr>
            <w:rFonts w:ascii="Times New Roman" w:eastAsia="Times New Roman" w:hAnsi="Times New Roman" w:cs="Times New Roman"/>
          </w:rPr>
          <w:t>legal@cubalex.or</w:t>
        </w:r>
      </w:hyperlink>
      <w:r>
        <w:rPr>
          <w:rFonts w:ascii="Times New Roman" w:eastAsia="Times New Roman" w:hAnsi="Times New Roman" w:cs="Times New Roman"/>
        </w:rPr>
        <w:t xml:space="preserve">g. </w:t>
      </w:r>
      <w:r>
        <w:br w:type="page"/>
      </w:r>
    </w:p>
    <w:p w14:paraId="4E7461C5" w14:textId="77777777" w:rsidR="00472E09" w:rsidRDefault="00472E09">
      <w:pPr>
        <w:pBdr>
          <w:top w:val="nil"/>
          <w:left w:val="nil"/>
          <w:bottom w:val="nil"/>
          <w:right w:val="nil"/>
          <w:between w:val="nil"/>
        </w:pBdr>
        <w:spacing w:before="180" w:after="180"/>
        <w:jc w:val="both"/>
        <w:rPr>
          <w:rFonts w:ascii="Times New Roman" w:eastAsia="Times New Roman" w:hAnsi="Times New Roman" w:cs="Times New Roman"/>
        </w:rPr>
      </w:pPr>
    </w:p>
    <w:sdt>
      <w:sdtPr>
        <w:id w:val="269558914"/>
        <w:docPartObj>
          <w:docPartGallery w:val="Table of Contents"/>
          <w:docPartUnique/>
        </w:docPartObj>
      </w:sdtPr>
      <w:sdtEndPr/>
      <w:sdtContent>
        <w:p w14:paraId="61D7AEE9" w14:textId="77777777" w:rsidR="00472E09" w:rsidRDefault="002D3E48">
          <w:pPr>
            <w:widowControl w:val="0"/>
            <w:tabs>
              <w:tab w:val="right" w:pos="12000"/>
            </w:tabs>
            <w:spacing w:before="60" w:after="0"/>
            <w:rPr>
              <w:rFonts w:ascii="Arial" w:eastAsia="Arial" w:hAnsi="Arial" w:cs="Arial"/>
              <w:b/>
              <w:bCs/>
              <w:color w:val="000000"/>
              <w:sz w:val="22"/>
              <w:szCs w:val="22"/>
            </w:rPr>
          </w:pPr>
          <w:r>
            <w:fldChar w:fldCharType="begin"/>
          </w:r>
          <w:r>
            <w:instrText xml:space="preserve"> TOC \h \u \z \t "Heading 1,1,Heading 2,2,Heading 3,3,Heading 4,4,Heading 5,5,Heading 6,6,"</w:instrText>
          </w:r>
          <w:r>
            <w:fldChar w:fldCharType="separate"/>
          </w:r>
          <w:hyperlink w:anchor="_4pfkt79fth9f">
            <w:r>
              <w:rPr>
                <w:rFonts w:ascii="Times New Roman" w:eastAsia="Times New Roman" w:hAnsi="Times New Roman" w:cs="Times New Roman"/>
                <w:b/>
                <w:bCs/>
                <w:color w:val="000000"/>
              </w:rPr>
              <w:t>Contribución al Comité contra la Desaparición Forzada</w:t>
            </w:r>
            <w:r>
              <w:rPr>
                <w:rFonts w:ascii="Times New Roman" w:eastAsia="Times New Roman" w:hAnsi="Times New Roman" w:cs="Times New Roman"/>
                <w:b/>
                <w:bCs/>
                <w:color w:val="000000"/>
              </w:rPr>
              <w:tab/>
              <w:t>1</w:t>
            </w:r>
          </w:hyperlink>
        </w:p>
        <w:p w14:paraId="2A5E1383" w14:textId="77777777" w:rsidR="00472E09" w:rsidRDefault="002D3E48">
          <w:pPr>
            <w:widowControl w:val="0"/>
            <w:tabs>
              <w:tab w:val="right" w:pos="12000"/>
            </w:tabs>
            <w:spacing w:before="60" w:after="0"/>
            <w:rPr>
              <w:rFonts w:ascii="Arial" w:eastAsia="Arial" w:hAnsi="Arial" w:cs="Arial"/>
              <w:b/>
              <w:bCs/>
              <w:color w:val="000000"/>
              <w:sz w:val="22"/>
              <w:szCs w:val="22"/>
            </w:rPr>
          </w:pPr>
          <w:hyperlink w:anchor="_bkeu2svk1mwg">
            <w:r>
              <w:rPr>
                <w:rFonts w:ascii="Times New Roman" w:eastAsia="Times New Roman" w:hAnsi="Times New Roman" w:cs="Times New Roman"/>
                <w:b/>
                <w:bCs/>
                <w:color w:val="000000"/>
              </w:rPr>
              <w:t>I. Presentación de Cubalex</w:t>
            </w:r>
            <w:r>
              <w:rPr>
                <w:rFonts w:ascii="Times New Roman" w:eastAsia="Times New Roman" w:hAnsi="Times New Roman" w:cs="Times New Roman"/>
                <w:b/>
                <w:bCs/>
                <w:color w:val="000000"/>
              </w:rPr>
              <w:tab/>
              <w:t>3</w:t>
            </w:r>
          </w:hyperlink>
        </w:p>
        <w:p w14:paraId="761F4D85" w14:textId="77777777" w:rsidR="00472E09" w:rsidRDefault="002D3E48">
          <w:pPr>
            <w:widowControl w:val="0"/>
            <w:tabs>
              <w:tab w:val="right" w:pos="12000"/>
            </w:tabs>
            <w:spacing w:before="60" w:after="0"/>
            <w:rPr>
              <w:rFonts w:ascii="Arial" w:eastAsia="Arial" w:hAnsi="Arial" w:cs="Arial"/>
              <w:b/>
              <w:bCs/>
              <w:color w:val="000000"/>
              <w:sz w:val="22"/>
              <w:szCs w:val="22"/>
            </w:rPr>
          </w:pPr>
          <w:hyperlink w:anchor="_dpvjdn1lo0go">
            <w:r>
              <w:rPr>
                <w:rFonts w:ascii="Times New Roman" w:eastAsia="Times New Roman" w:hAnsi="Times New Roman" w:cs="Times New Roman"/>
                <w:b/>
                <w:bCs/>
                <w:color w:val="000000"/>
              </w:rPr>
              <w:t>II. Introducción</w:t>
            </w:r>
            <w:r>
              <w:rPr>
                <w:rFonts w:ascii="Times New Roman" w:eastAsia="Times New Roman" w:hAnsi="Times New Roman" w:cs="Times New Roman"/>
                <w:b/>
                <w:bCs/>
                <w:color w:val="000000"/>
              </w:rPr>
              <w:tab/>
              <w:t>3</w:t>
            </w:r>
          </w:hyperlink>
        </w:p>
        <w:p w14:paraId="29EDEBB7" w14:textId="77777777" w:rsidR="00472E09" w:rsidRDefault="002D3E48">
          <w:pPr>
            <w:widowControl w:val="0"/>
            <w:tabs>
              <w:tab w:val="right" w:pos="12000"/>
            </w:tabs>
            <w:spacing w:before="60" w:after="0"/>
            <w:rPr>
              <w:rFonts w:ascii="Arial" w:eastAsia="Arial" w:hAnsi="Arial" w:cs="Arial"/>
              <w:b/>
              <w:bCs/>
              <w:color w:val="000000"/>
              <w:sz w:val="22"/>
              <w:szCs w:val="22"/>
            </w:rPr>
          </w:pPr>
          <w:hyperlink w:anchor="_sfl3lilsb15e">
            <w:r>
              <w:rPr>
                <w:rFonts w:ascii="Times New Roman" w:eastAsia="Times New Roman" w:hAnsi="Times New Roman" w:cs="Times New Roman"/>
                <w:b/>
                <w:bCs/>
                <w:color w:val="000000"/>
              </w:rPr>
              <w:t>III. Temas prioritarios sugeridos</w:t>
            </w:r>
            <w:r>
              <w:rPr>
                <w:rFonts w:ascii="Times New Roman" w:eastAsia="Times New Roman" w:hAnsi="Times New Roman" w:cs="Times New Roman"/>
                <w:b/>
                <w:bCs/>
                <w:color w:val="000000"/>
              </w:rPr>
              <w:tab/>
              <w:t>6</w:t>
            </w:r>
          </w:hyperlink>
        </w:p>
        <w:p w14:paraId="2778A3D3" w14:textId="77777777" w:rsidR="00472E09" w:rsidRDefault="002D3E48">
          <w:pPr>
            <w:widowControl w:val="0"/>
            <w:tabs>
              <w:tab w:val="right" w:pos="12000"/>
            </w:tabs>
            <w:spacing w:before="60" w:after="0"/>
            <w:rPr>
              <w:rFonts w:ascii="Arial" w:eastAsia="Arial" w:hAnsi="Arial" w:cs="Arial"/>
              <w:b/>
              <w:bCs/>
              <w:color w:val="000000"/>
              <w:sz w:val="22"/>
              <w:szCs w:val="22"/>
            </w:rPr>
          </w:pPr>
          <w:hyperlink w:anchor="_tk8q6vsydhmy">
            <w:r>
              <w:rPr>
                <w:rFonts w:ascii="Times New Roman" w:eastAsia="Times New Roman" w:hAnsi="Times New Roman" w:cs="Times New Roman"/>
                <w:b/>
                <w:bCs/>
                <w:color w:val="000000"/>
              </w:rPr>
              <w:t>IV. Preguntas sugeridas al Estado parte</w:t>
            </w:r>
            <w:r>
              <w:rPr>
                <w:rFonts w:ascii="Times New Roman" w:eastAsia="Times New Roman" w:hAnsi="Times New Roman" w:cs="Times New Roman"/>
                <w:b/>
                <w:bCs/>
                <w:color w:val="000000"/>
              </w:rPr>
              <w:tab/>
              <w:t>6</w:t>
            </w:r>
          </w:hyperlink>
        </w:p>
        <w:p w14:paraId="5A318F0C" w14:textId="77777777" w:rsidR="00472E09" w:rsidRDefault="002D3E48">
          <w:pPr>
            <w:widowControl w:val="0"/>
            <w:tabs>
              <w:tab w:val="right" w:pos="12000"/>
            </w:tabs>
            <w:spacing w:before="60" w:after="0"/>
            <w:ind w:left="720"/>
            <w:rPr>
              <w:rFonts w:ascii="Times New Roman" w:eastAsia="Times New Roman" w:hAnsi="Times New Roman" w:cs="Times New Roman"/>
              <w:color w:val="000000"/>
            </w:rPr>
          </w:pPr>
          <w:hyperlink w:anchor="_96caw4kqglgh">
            <w:r>
              <w:rPr>
                <w:rFonts w:ascii="Times New Roman" w:eastAsia="Times New Roman" w:hAnsi="Times New Roman" w:cs="Times New Roman"/>
                <w:color w:val="000000"/>
              </w:rPr>
              <w:t>1. Sobre la existencia de un mecanismo específico e independiente de inspección</w:t>
            </w:r>
            <w:r>
              <w:rPr>
                <w:rFonts w:ascii="Times New Roman" w:eastAsia="Times New Roman" w:hAnsi="Times New Roman" w:cs="Times New Roman"/>
                <w:color w:val="000000"/>
              </w:rPr>
              <w:tab/>
              <w:t>6</w:t>
            </w:r>
          </w:hyperlink>
        </w:p>
        <w:p w14:paraId="3A499E72" w14:textId="77777777" w:rsidR="00472E09" w:rsidRDefault="002D3E48">
          <w:pPr>
            <w:widowControl w:val="0"/>
            <w:tabs>
              <w:tab w:val="right" w:pos="12000"/>
            </w:tabs>
            <w:spacing w:before="60" w:after="0"/>
            <w:ind w:left="720"/>
            <w:rPr>
              <w:rFonts w:ascii="Times New Roman" w:eastAsia="Times New Roman" w:hAnsi="Times New Roman" w:cs="Times New Roman"/>
              <w:color w:val="000000"/>
            </w:rPr>
          </w:pPr>
          <w:hyperlink w:anchor="_6yxllui47sru">
            <w:r>
              <w:rPr>
                <w:rFonts w:ascii="Times New Roman" w:eastAsia="Times New Roman" w:hAnsi="Times New Roman" w:cs="Times New Roman"/>
                <w:color w:val="000000"/>
              </w:rPr>
              <w:t>2. Sobre el universo completo de lugares sujetos a inspección</w:t>
            </w:r>
            <w:r>
              <w:rPr>
                <w:rFonts w:ascii="Times New Roman" w:eastAsia="Times New Roman" w:hAnsi="Times New Roman" w:cs="Times New Roman"/>
                <w:color w:val="000000"/>
              </w:rPr>
              <w:tab/>
              <w:t>7</w:t>
            </w:r>
          </w:hyperlink>
        </w:p>
        <w:p w14:paraId="35504226" w14:textId="77777777" w:rsidR="00472E09" w:rsidRDefault="002D3E48">
          <w:pPr>
            <w:widowControl w:val="0"/>
            <w:tabs>
              <w:tab w:val="right" w:pos="12000"/>
            </w:tabs>
            <w:spacing w:before="60" w:after="0"/>
            <w:ind w:left="720"/>
            <w:rPr>
              <w:rFonts w:ascii="Times New Roman" w:eastAsia="Times New Roman" w:hAnsi="Times New Roman" w:cs="Times New Roman"/>
              <w:color w:val="000000"/>
            </w:rPr>
          </w:pPr>
          <w:hyperlink w:anchor="_rr9mlxa4l9wq">
            <w:r>
              <w:rPr>
                <w:rFonts w:ascii="Times New Roman" w:eastAsia="Times New Roman" w:hAnsi="Times New Roman" w:cs="Times New Roman"/>
                <w:color w:val="000000"/>
              </w:rPr>
              <w:t>3. Sobre el alcance y las facultades de las inspecciones en lugares de privación de libertad</w:t>
            </w:r>
            <w:r>
              <w:rPr>
                <w:rFonts w:ascii="Times New Roman" w:eastAsia="Times New Roman" w:hAnsi="Times New Roman" w:cs="Times New Roman"/>
                <w:color w:val="000000"/>
              </w:rPr>
              <w:tab/>
              <w:t>7</w:t>
            </w:r>
          </w:hyperlink>
        </w:p>
        <w:p w14:paraId="63067143" w14:textId="77777777" w:rsidR="00472E09" w:rsidRDefault="002D3E48">
          <w:pPr>
            <w:widowControl w:val="0"/>
            <w:tabs>
              <w:tab w:val="right" w:pos="12000"/>
            </w:tabs>
            <w:spacing w:before="60" w:after="0"/>
            <w:ind w:left="720"/>
            <w:rPr>
              <w:rFonts w:ascii="Times New Roman" w:eastAsia="Times New Roman" w:hAnsi="Times New Roman" w:cs="Times New Roman"/>
              <w:color w:val="000000"/>
            </w:rPr>
          </w:pPr>
          <w:hyperlink w:anchor="_rcxcbffpqvrq">
            <w:r>
              <w:rPr>
                <w:rFonts w:ascii="Times New Roman" w:eastAsia="Times New Roman" w:hAnsi="Times New Roman" w:cs="Times New Roman"/>
                <w:color w:val="000000"/>
              </w:rPr>
              <w:t>4. Sobre la capacidad de las inspecciones para prevenir desapariciones forzadas</w:t>
            </w:r>
            <w:r>
              <w:rPr>
                <w:rFonts w:ascii="Times New Roman" w:eastAsia="Times New Roman" w:hAnsi="Times New Roman" w:cs="Times New Roman"/>
                <w:color w:val="000000"/>
              </w:rPr>
              <w:tab/>
              <w:t>7</w:t>
            </w:r>
          </w:hyperlink>
        </w:p>
        <w:p w14:paraId="0933FFCB" w14:textId="77777777" w:rsidR="00472E09" w:rsidRDefault="002D3E48">
          <w:pPr>
            <w:widowControl w:val="0"/>
            <w:tabs>
              <w:tab w:val="right" w:pos="12000"/>
            </w:tabs>
            <w:spacing w:before="60" w:after="0"/>
            <w:ind w:left="720"/>
            <w:rPr>
              <w:rFonts w:ascii="Times New Roman" w:eastAsia="Times New Roman" w:hAnsi="Times New Roman" w:cs="Times New Roman"/>
              <w:color w:val="000000"/>
            </w:rPr>
          </w:pPr>
          <w:hyperlink w:anchor="_2c46bjlvlbg1">
            <w:r>
              <w:rPr>
                <w:rFonts w:ascii="Times New Roman" w:eastAsia="Times New Roman" w:hAnsi="Times New Roman" w:cs="Times New Roman"/>
                <w:color w:val="000000"/>
              </w:rPr>
              <w:t>5. Sobre entrevistas confidenciales durante las inspecciones</w:t>
            </w:r>
            <w:r>
              <w:rPr>
                <w:rFonts w:ascii="Times New Roman" w:eastAsia="Times New Roman" w:hAnsi="Times New Roman" w:cs="Times New Roman"/>
                <w:color w:val="000000"/>
              </w:rPr>
              <w:tab/>
              <w:t>7</w:t>
            </w:r>
          </w:hyperlink>
        </w:p>
        <w:p w14:paraId="2AE8CA2A" w14:textId="77777777" w:rsidR="00472E09" w:rsidRDefault="002D3E48">
          <w:pPr>
            <w:widowControl w:val="0"/>
            <w:tabs>
              <w:tab w:val="right" w:pos="12000"/>
            </w:tabs>
            <w:spacing w:before="60" w:after="0"/>
            <w:ind w:left="720"/>
            <w:rPr>
              <w:rFonts w:ascii="Times New Roman" w:eastAsia="Times New Roman" w:hAnsi="Times New Roman" w:cs="Times New Roman"/>
              <w:color w:val="000000"/>
            </w:rPr>
          </w:pPr>
          <w:hyperlink w:anchor="_amum5btqj0iz">
            <w:r>
              <w:rPr>
                <w:rFonts w:ascii="Times New Roman" w:eastAsia="Times New Roman" w:hAnsi="Times New Roman" w:cs="Times New Roman"/>
                <w:color w:val="000000"/>
              </w:rPr>
              <w:t>6. Sobre sanciones disciplinarias contra personas que presentan quejas o denuncias</w:t>
            </w:r>
            <w:r>
              <w:rPr>
                <w:rFonts w:ascii="Times New Roman" w:eastAsia="Times New Roman" w:hAnsi="Times New Roman" w:cs="Times New Roman"/>
                <w:color w:val="000000"/>
              </w:rPr>
              <w:tab/>
              <w:t>8</w:t>
            </w:r>
          </w:hyperlink>
        </w:p>
        <w:p w14:paraId="3FA088AC" w14:textId="77777777" w:rsidR="00472E09" w:rsidRDefault="002D3E48">
          <w:pPr>
            <w:widowControl w:val="0"/>
            <w:tabs>
              <w:tab w:val="right" w:pos="12000"/>
            </w:tabs>
            <w:spacing w:before="60" w:after="0"/>
            <w:ind w:left="720"/>
            <w:rPr>
              <w:rFonts w:ascii="Times New Roman" w:eastAsia="Times New Roman" w:hAnsi="Times New Roman" w:cs="Times New Roman"/>
              <w:color w:val="000000"/>
            </w:rPr>
          </w:pPr>
          <w:hyperlink w:anchor="_iuy87emcsde">
            <w:r>
              <w:rPr>
                <w:rFonts w:ascii="Times New Roman" w:eastAsia="Times New Roman" w:hAnsi="Times New Roman" w:cs="Times New Roman"/>
                <w:color w:val="000000"/>
              </w:rPr>
              <w:t>7. Sobre publicidad de actas, informes y recomendaciones de inspección</w:t>
            </w:r>
            <w:r>
              <w:rPr>
                <w:rFonts w:ascii="Times New Roman" w:eastAsia="Times New Roman" w:hAnsi="Times New Roman" w:cs="Times New Roman"/>
                <w:color w:val="000000"/>
              </w:rPr>
              <w:tab/>
              <w:t>8</w:t>
            </w:r>
          </w:hyperlink>
        </w:p>
        <w:p w14:paraId="0CA7F90B" w14:textId="77777777" w:rsidR="00472E09" w:rsidRDefault="002D3E48">
          <w:pPr>
            <w:widowControl w:val="0"/>
            <w:tabs>
              <w:tab w:val="right" w:pos="12000"/>
            </w:tabs>
            <w:spacing w:before="60" w:after="0"/>
            <w:ind w:left="720"/>
            <w:rPr>
              <w:rFonts w:ascii="Times New Roman" w:eastAsia="Times New Roman" w:hAnsi="Times New Roman" w:cs="Times New Roman"/>
              <w:color w:val="000000"/>
            </w:rPr>
          </w:pPr>
          <w:hyperlink w:anchor="_bwkrddp3uov4">
            <w:r>
              <w:rPr>
                <w:rFonts w:ascii="Times New Roman" w:eastAsia="Times New Roman" w:hAnsi="Times New Roman" w:cs="Times New Roman"/>
                <w:color w:val="000000"/>
              </w:rPr>
              <w:t>8. Sobre acceso de organizaciones independientes, familiares, abogados y expertos externos</w:t>
            </w:r>
            <w:r>
              <w:rPr>
                <w:rFonts w:ascii="Times New Roman" w:eastAsia="Times New Roman" w:hAnsi="Times New Roman" w:cs="Times New Roman"/>
                <w:color w:val="000000"/>
              </w:rPr>
              <w:tab/>
              <w:t>8</w:t>
            </w:r>
          </w:hyperlink>
        </w:p>
        <w:p w14:paraId="2309C435" w14:textId="77777777" w:rsidR="00472E09" w:rsidRDefault="002D3E48">
          <w:pPr>
            <w:widowControl w:val="0"/>
            <w:tabs>
              <w:tab w:val="right" w:pos="12000"/>
            </w:tabs>
            <w:spacing w:before="60" w:after="0"/>
            <w:ind w:left="720"/>
            <w:rPr>
              <w:rFonts w:ascii="Times New Roman" w:eastAsia="Times New Roman" w:hAnsi="Times New Roman" w:cs="Times New Roman"/>
              <w:color w:val="000000"/>
            </w:rPr>
          </w:pPr>
          <w:hyperlink w:anchor="_5fv1shzi0xf5">
            <w:r>
              <w:rPr>
                <w:rFonts w:ascii="Times New Roman" w:eastAsia="Times New Roman" w:hAnsi="Times New Roman" w:cs="Times New Roman"/>
                <w:color w:val="000000"/>
              </w:rPr>
              <w:t>9. Sobre aceptación de mecanismos internacionales de supervisión</w:t>
            </w:r>
            <w:r>
              <w:rPr>
                <w:rFonts w:ascii="Times New Roman" w:eastAsia="Times New Roman" w:hAnsi="Times New Roman" w:cs="Times New Roman"/>
                <w:color w:val="000000"/>
              </w:rPr>
              <w:tab/>
              <w:t>8</w:t>
            </w:r>
          </w:hyperlink>
        </w:p>
        <w:p w14:paraId="48B8FB59" w14:textId="77777777" w:rsidR="00472E09" w:rsidRDefault="002D3E48">
          <w:pPr>
            <w:widowControl w:val="0"/>
            <w:tabs>
              <w:tab w:val="right" w:pos="12000"/>
            </w:tabs>
            <w:spacing w:before="60" w:after="0"/>
            <w:ind w:left="720"/>
            <w:rPr>
              <w:rFonts w:ascii="Arial" w:eastAsia="Arial" w:hAnsi="Arial" w:cs="Arial"/>
              <w:color w:val="000000"/>
              <w:sz w:val="22"/>
              <w:szCs w:val="22"/>
            </w:rPr>
          </w:pPr>
          <w:hyperlink w:anchor="_maa3f5c5mo1n">
            <w:r>
              <w:rPr>
                <w:rFonts w:ascii="Times New Roman" w:eastAsia="Times New Roman" w:hAnsi="Times New Roman" w:cs="Times New Roman"/>
                <w:color w:val="000000"/>
              </w:rPr>
              <w:t>10. Sobre sanciones derivadas de hallazgos en las inspecciones</w:t>
            </w:r>
          </w:hyperlink>
          <w:hyperlink w:anchor="_maa3f5c5mo1n">
            <w:r>
              <w:rPr>
                <w:rFonts w:ascii="Arial" w:eastAsia="Arial" w:hAnsi="Arial" w:cs="Arial"/>
                <w:color w:val="000000"/>
                <w:sz w:val="22"/>
                <w:szCs w:val="22"/>
              </w:rPr>
              <w:tab/>
              <w:t>9</w:t>
            </w:r>
          </w:hyperlink>
        </w:p>
        <w:p w14:paraId="7B8F53DB" w14:textId="77777777" w:rsidR="00472E09" w:rsidRDefault="002D3E48">
          <w:pPr>
            <w:widowControl w:val="0"/>
            <w:tabs>
              <w:tab w:val="right" w:pos="12000"/>
            </w:tabs>
            <w:spacing w:before="60" w:after="0"/>
            <w:rPr>
              <w:rFonts w:ascii="Arial" w:eastAsia="Arial" w:hAnsi="Arial" w:cs="Arial"/>
              <w:b/>
              <w:bCs/>
              <w:color w:val="000000"/>
              <w:sz w:val="22"/>
              <w:szCs w:val="22"/>
            </w:rPr>
          </w:pPr>
          <w:hyperlink w:anchor="_w9zcp6p4yukb">
            <w:r>
              <w:rPr>
                <w:rFonts w:ascii="Times New Roman" w:eastAsia="Times New Roman" w:hAnsi="Times New Roman" w:cs="Times New Roman"/>
                <w:b/>
                <w:bCs/>
                <w:color w:val="000000"/>
              </w:rPr>
              <w:t>V. Razones para la inclusión de estos temas en la Lista de Temas Prioritarios</w:t>
            </w:r>
            <w:r>
              <w:rPr>
                <w:rFonts w:ascii="Times New Roman" w:eastAsia="Times New Roman" w:hAnsi="Times New Roman" w:cs="Times New Roman"/>
                <w:b/>
                <w:bCs/>
                <w:color w:val="000000"/>
              </w:rPr>
              <w:tab/>
              <w:t>9</w:t>
            </w:r>
          </w:hyperlink>
        </w:p>
        <w:p w14:paraId="4490E02F" w14:textId="77777777" w:rsidR="00472E09" w:rsidRDefault="002D3E48">
          <w:pPr>
            <w:widowControl w:val="0"/>
            <w:tabs>
              <w:tab w:val="right" w:pos="12000"/>
            </w:tabs>
            <w:spacing w:before="60" w:after="0"/>
            <w:rPr>
              <w:rFonts w:ascii="Arial" w:eastAsia="Arial" w:hAnsi="Arial" w:cs="Arial"/>
              <w:b/>
              <w:bCs/>
              <w:color w:val="000000"/>
              <w:sz w:val="22"/>
              <w:szCs w:val="22"/>
            </w:rPr>
          </w:pPr>
          <w:hyperlink w:anchor="_dd6zd7hwqe0p">
            <w:r>
              <w:rPr>
                <w:rFonts w:ascii="Times New Roman" w:eastAsia="Times New Roman" w:hAnsi="Times New Roman" w:cs="Times New Roman"/>
                <w:b/>
                <w:bCs/>
                <w:color w:val="000000"/>
              </w:rPr>
              <w:t>VI. Referencias</w:t>
            </w:r>
            <w:r>
              <w:rPr>
                <w:rFonts w:ascii="Times New Roman" w:eastAsia="Times New Roman" w:hAnsi="Times New Roman" w:cs="Times New Roman"/>
                <w:b/>
                <w:bCs/>
                <w:color w:val="000000"/>
              </w:rPr>
              <w:tab/>
              <w:t>10</w:t>
            </w:r>
          </w:hyperlink>
          <w:r>
            <w:fldChar w:fldCharType="end"/>
          </w:r>
        </w:p>
      </w:sdtContent>
    </w:sdt>
    <w:p w14:paraId="04F54D02" w14:textId="77777777" w:rsidR="00472E09" w:rsidRDefault="002D3E48">
      <w:pPr>
        <w:pBdr>
          <w:top w:val="nil"/>
          <w:left w:val="nil"/>
          <w:bottom w:val="nil"/>
          <w:right w:val="nil"/>
          <w:between w:val="nil"/>
        </w:pBdr>
        <w:spacing w:before="180" w:after="180"/>
        <w:jc w:val="both"/>
        <w:rPr>
          <w:rFonts w:ascii="Times New Roman" w:eastAsia="Times New Roman" w:hAnsi="Times New Roman" w:cs="Times New Roman"/>
        </w:rPr>
      </w:pPr>
      <w:r>
        <w:br w:type="page"/>
      </w:r>
    </w:p>
    <w:p w14:paraId="519808B6" w14:textId="77777777" w:rsidR="00472E09" w:rsidRDefault="00472E09">
      <w:pPr>
        <w:pStyle w:val="Title"/>
      </w:pPr>
      <w:bookmarkStart w:id="3" w:name="_p822iq6qd0kr" w:colFirst="0" w:colLast="0"/>
      <w:bookmarkEnd w:id="3"/>
    </w:p>
    <w:p w14:paraId="509316CB" w14:textId="77777777" w:rsidR="00472E09" w:rsidRDefault="00472E09">
      <w:pPr>
        <w:pStyle w:val="Title"/>
      </w:pPr>
      <w:bookmarkStart w:id="4" w:name="_batr0wckbwj8" w:colFirst="0" w:colLast="0"/>
      <w:bookmarkEnd w:id="4"/>
    </w:p>
    <w:p w14:paraId="35DE3A12" w14:textId="77777777" w:rsidR="00472E09" w:rsidRPr="00013C6E" w:rsidRDefault="002D3E48">
      <w:pPr>
        <w:pStyle w:val="Title"/>
        <w:rPr>
          <w:lang w:val="es-ES"/>
        </w:rPr>
      </w:pPr>
      <w:bookmarkStart w:id="5" w:name="_9tyxouyuhptk" w:colFirst="0" w:colLast="0"/>
      <w:bookmarkEnd w:id="5"/>
      <w:r w:rsidRPr="00013C6E">
        <w:rPr>
          <w:lang w:val="es-ES"/>
        </w:rPr>
        <w:t xml:space="preserve">Contribución </w:t>
      </w:r>
      <w:r w:rsidRPr="00013C6E">
        <w:rPr>
          <w:lang w:val="es-ES"/>
        </w:rPr>
        <w:t>al Comité contra la Desaparición Forzada para la elaboración de la Lista de Temas Prioritarios sobre Cuba</w:t>
      </w:r>
    </w:p>
    <w:p w14:paraId="29669397" w14:textId="77777777" w:rsidR="00472E09" w:rsidRPr="00013C6E" w:rsidRDefault="002D3E48">
      <w:pPr>
        <w:pStyle w:val="Heading1"/>
        <w:rPr>
          <w:lang w:val="es-ES"/>
        </w:rPr>
      </w:pPr>
      <w:bookmarkStart w:id="6" w:name="_bkeu2svk1mwg" w:colFirst="0" w:colLast="0"/>
      <w:bookmarkEnd w:id="6"/>
      <w:r w:rsidRPr="00013C6E">
        <w:rPr>
          <w:lang w:val="es-ES"/>
        </w:rPr>
        <w:t xml:space="preserve">I. Presentación de </w:t>
      </w:r>
      <w:r w:rsidRPr="00013C6E">
        <w:rPr>
          <w:lang w:val="es-ES"/>
        </w:rPr>
        <w:t>las organizaciones firmantes</w:t>
      </w:r>
    </w:p>
    <w:p w14:paraId="5F38D388" w14:textId="77777777" w:rsidR="00472E09" w:rsidRPr="00013C6E" w:rsidRDefault="002D3E48">
      <w:pPr>
        <w:spacing w:before="180" w:after="18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Cubalex es una organización apartidista de derechos humanos fundada en La Habana en 2010 como centro independiente de asesoría jurídica. Tras el allanamiento de su sede en 2016, la confiscación de equipos y expedientes, y el exilio forzado de su equipo en 2017, continuó su labor desde el exterior como entidad sin fines de lucro registrada en Estados Unidos. Con más de quince años de experiencia, brinda asesoría legal gratuita, documenta violaciones de derechos humanos y representa casos ante mecanismos inte</w:t>
      </w:r>
      <w:r w:rsidRPr="00013C6E">
        <w:rPr>
          <w:rFonts w:ascii="Times New Roman" w:eastAsia="Times New Roman" w:hAnsi="Times New Roman" w:cs="Times New Roman"/>
          <w:lang w:val="es-ES"/>
        </w:rPr>
        <w:t>rnacionales y regionales, incluyendo la CIDH, órganos de tratados y procedimientos especiales de la ONU. Su trabajo se desarrolla especialmente en contextos de represión política, cierre del espacio cívico y discriminación estructural en Cuba, y ha participado en procesos ante CEDAW, CAT, CRC, CERD y en los EPU de Cuba de 2013, 2018, 2023 y 2024.</w:t>
      </w:r>
    </w:p>
    <w:p w14:paraId="2217F3C8" w14:textId="77777777" w:rsidR="00472E09" w:rsidRPr="00013C6E" w:rsidRDefault="002D3E48">
      <w:pPr>
        <w:spacing w:after="160" w:line="276" w:lineRule="auto"/>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 xml:space="preserve">La Mesa de Diálogo de la Juventud Cubana (MDJC) es una plataforma de articulación juvenil que promueve la participación cívica, el debate plural y la construcción de propuestas para una sociedad más inclusiva. Impulsa espacios de diálogo intergeneracional y acciones de incidencia sobre derechos civiles, políticos y sociales que incluye a jóvenes líderes, activistas y artistas urbanos. La MDJC fue creada en el 2014 y ha sido registrada en el 2023 como asociación ante la imposibilidad de hacerlo dentro de la </w:t>
      </w:r>
      <w:r w:rsidRPr="00013C6E">
        <w:rPr>
          <w:rFonts w:ascii="Times New Roman" w:eastAsia="Times New Roman" w:hAnsi="Times New Roman" w:cs="Times New Roman"/>
          <w:lang w:val="es-ES"/>
        </w:rPr>
        <w:t>isla. Sus informes sobre la juventud han ayudado a medir la situación y el sentir de las juventudes cubanas. Ha participado en procesos ante la CIDH, el EPU, CEDAW, CERD, entre los años 2016 y 2026.</w:t>
      </w:r>
    </w:p>
    <w:p w14:paraId="0BEFFE4D" w14:textId="77777777" w:rsidR="00472E09" w:rsidRPr="00013C6E" w:rsidRDefault="002D3E48">
      <w:pPr>
        <w:spacing w:after="160" w:line="276" w:lineRule="auto"/>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El Museo Virtual de la Memoria contra la Violencia Basada en Género (Museo V) es una iniciativa de la sociedad civil cubana que visibiliza las distintas formas de violencia basada en género que afectan a las mujeres en toda su diversidad. Creada en 2022 para dar espacio a artistas que, por su discurso político, quedaron excluidos del discurso oficial. Es una asociación registrada en España y se ha combinado desde su creación la denuncia, la creación artística y la reivindicación de voces negras y de persona</w:t>
      </w:r>
      <w:r w:rsidRPr="00013C6E">
        <w:rPr>
          <w:rFonts w:ascii="Times New Roman" w:eastAsia="Times New Roman" w:hAnsi="Times New Roman" w:cs="Times New Roman"/>
          <w:lang w:val="es-ES"/>
        </w:rPr>
        <w:t>s sexodisidentes. Como Museo V ha participado en procesos ante el EPU, la CIDH, la CEDAW  y el CERD, entre el 2023 y el 2026.</w:t>
      </w:r>
    </w:p>
    <w:p w14:paraId="10FB7DC2" w14:textId="77777777" w:rsidR="00472E09" w:rsidRPr="00013C6E" w:rsidRDefault="002D3E48">
      <w:pPr>
        <w:spacing w:after="160" w:line="276" w:lineRule="auto"/>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 xml:space="preserve">El Museo de la Disidencia en Cuba es un proyecto de investigación y memoria que documenta las diversas expresiones históricas y contemporáneas de disidencia en el país. Fundada en 2016 por el artista Luis Manuel Otero Alcántara y la curadora Yanelys Nuñez Leyva, se ha mantenido en la </w:t>
      </w:r>
      <w:r w:rsidRPr="00013C6E">
        <w:rPr>
          <w:rFonts w:ascii="Times New Roman" w:eastAsia="Times New Roman" w:hAnsi="Times New Roman" w:cs="Times New Roman"/>
          <w:lang w:val="es-ES"/>
        </w:rPr>
        <w:lastRenderedPageBreak/>
        <w:t xml:space="preserve">observancia y denuncia constante de la situación de los artistas y activistas políticos dentro de Cuba. </w:t>
      </w:r>
    </w:p>
    <w:p w14:paraId="1B142E48" w14:textId="77777777" w:rsidR="00472E09" w:rsidRPr="00013C6E" w:rsidRDefault="002D3E48">
      <w:pPr>
        <w:spacing w:after="160" w:line="276" w:lineRule="auto"/>
        <w:jc w:val="both"/>
        <w:rPr>
          <w:rFonts w:ascii="Times New Roman" w:eastAsia="Times New Roman" w:hAnsi="Times New Roman" w:cs="Times New Roman"/>
          <w:color w:val="000000"/>
          <w:lang w:val="es-ES"/>
        </w:rPr>
      </w:pPr>
      <w:r w:rsidRPr="00013C6E">
        <w:rPr>
          <w:rFonts w:ascii="Times New Roman" w:eastAsia="Times New Roman" w:hAnsi="Times New Roman" w:cs="Times New Roman"/>
          <w:lang w:val="es-ES"/>
        </w:rPr>
        <w:t>Las organizaciones firmantes</w:t>
      </w:r>
      <w:r w:rsidRPr="00013C6E">
        <w:rPr>
          <w:rFonts w:ascii="Times New Roman" w:eastAsia="Times New Roman" w:hAnsi="Times New Roman" w:cs="Times New Roman"/>
          <w:color w:val="000000"/>
          <w:lang w:val="es-ES"/>
        </w:rPr>
        <w:t xml:space="preserve"> </w:t>
      </w:r>
      <w:r w:rsidRPr="00013C6E">
        <w:rPr>
          <w:rFonts w:ascii="Times New Roman" w:eastAsia="Times New Roman" w:hAnsi="Times New Roman" w:cs="Times New Roman"/>
          <w:lang w:val="es-ES"/>
        </w:rPr>
        <w:t>autorizan</w:t>
      </w:r>
      <w:r w:rsidRPr="00013C6E">
        <w:rPr>
          <w:rFonts w:ascii="Times New Roman" w:eastAsia="Times New Roman" w:hAnsi="Times New Roman" w:cs="Times New Roman"/>
          <w:color w:val="000000"/>
          <w:lang w:val="es-ES"/>
        </w:rPr>
        <w:t xml:space="preserve"> al Comité contra la Desaparición Forzada a publicar este informe en su página web y a utilizarlo como insumo en el proceso de elaboración de la Lista de Temas Prioritarios relativa a Cuba.</w:t>
      </w:r>
    </w:p>
    <w:p w14:paraId="70403979" w14:textId="77777777" w:rsidR="00472E09" w:rsidRDefault="002D3E48">
      <w:pPr>
        <w:pStyle w:val="Heading1"/>
        <w:numPr>
          <w:ilvl w:val="0"/>
          <w:numId w:val="2"/>
        </w:numPr>
        <w:spacing w:before="36" w:after="36"/>
      </w:pPr>
      <w:bookmarkStart w:id="7" w:name="_dpvjdn1lo0go" w:colFirst="0" w:colLast="0"/>
      <w:bookmarkEnd w:id="7"/>
      <w:r>
        <w:t>Introducción</w:t>
      </w:r>
    </w:p>
    <w:p w14:paraId="6AE9D56F" w14:textId="77777777" w:rsidR="00472E09" w:rsidRPr="00013C6E" w:rsidRDefault="002D3E48">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013C6E">
        <w:rPr>
          <w:rFonts w:ascii="Times New Roman" w:eastAsia="Times New Roman" w:hAnsi="Times New Roman" w:cs="Times New Roman"/>
          <w:color w:val="000000"/>
          <w:lang w:val="es-ES"/>
        </w:rPr>
        <w:t>La presente contribución se presenta al Comité contra la Desaparición Forzada en el marco del proceso de elaboración de la Lista de Temas Prioritarios relativa a Cuba, conforme al artículo 29, párrafo 4, de la Convención Internacional para la Protección de Todas las Personas contra las Desapariciones Forzadas.</w:t>
      </w:r>
      <w:r>
        <w:rPr>
          <w:rFonts w:ascii="Times New Roman" w:eastAsia="Times New Roman" w:hAnsi="Times New Roman" w:cs="Times New Roman"/>
          <w:color w:val="000000"/>
          <w:vertAlign w:val="superscript"/>
        </w:rPr>
        <w:footnoteReference w:id="1"/>
      </w:r>
      <w:r w:rsidRPr="00013C6E">
        <w:rPr>
          <w:rFonts w:ascii="Times New Roman" w:eastAsia="Times New Roman" w:hAnsi="Times New Roman" w:cs="Times New Roman"/>
          <w:color w:val="000000"/>
          <w:lang w:val="es-ES"/>
        </w:rPr>
        <w:t xml:space="preserve"> Su objetivo es aportar información relevante, específica y verificable para que el Comité identifique cuestiones que deberían ser abordadas de manera prioritaria en el próximo diálogo constructivo con el Estado cubano.</w:t>
      </w:r>
    </w:p>
    <w:p w14:paraId="27ADF48B" w14:textId="77777777" w:rsidR="00472E09" w:rsidRPr="00013C6E" w:rsidRDefault="002D3E48">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013C6E">
        <w:rPr>
          <w:rFonts w:ascii="Times New Roman" w:eastAsia="Times New Roman" w:hAnsi="Times New Roman" w:cs="Times New Roman"/>
          <w:lang w:val="es-ES"/>
        </w:rPr>
        <w:t xml:space="preserve">Esta contribución se centra en la información complementaria presentada por Cuba respecto de la inspección de los lugares de privación de libertad, en particular en relación con el párrafo 30 de las observaciones finales CED/C/CUB/CO/1. El Comité tomó nota de la información estatal sobre visitas de la Fiscalía General y otros actores a centros penitenciarios, pero observó que Cuba no había establecido un mecanismo específico e independiente que realizara visitas periódicas a todos los lugares donde pudiera </w:t>
      </w:r>
      <w:r w:rsidRPr="00013C6E">
        <w:rPr>
          <w:rFonts w:ascii="Times New Roman" w:eastAsia="Times New Roman" w:hAnsi="Times New Roman" w:cs="Times New Roman"/>
          <w:lang w:val="es-ES"/>
        </w:rPr>
        <w:t>haber personas privadas de libertad. Por ello, recomendó al Estado establecer un mecanismo específico e independiente que pudiera efectuar, sin obstáculos, visitas periódicas no anunciadas a cualquier lugar de privación de libertad, e invitó a Cuba a reconsiderar la ratificación del Protocolo Facultativo de la Convención contra la Tortura.</w:t>
      </w:r>
      <w:r>
        <w:rPr>
          <w:rFonts w:ascii="Times New Roman" w:eastAsia="Times New Roman" w:hAnsi="Times New Roman" w:cs="Times New Roman"/>
          <w:color w:val="000000"/>
          <w:vertAlign w:val="superscript"/>
        </w:rPr>
        <w:footnoteReference w:id="2"/>
      </w:r>
    </w:p>
    <w:p w14:paraId="578B3DA7" w14:textId="77777777" w:rsidR="00472E09" w:rsidRPr="00013C6E" w:rsidRDefault="002D3E48">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013C6E">
        <w:rPr>
          <w:rFonts w:ascii="Times New Roman" w:eastAsia="Times New Roman" w:hAnsi="Times New Roman" w:cs="Times New Roman"/>
          <w:lang w:val="es-ES"/>
        </w:rPr>
        <w:t>En su información de seguimiento de 2018, el Estado cubano sostuvo que todos los establecimientos y centros penitenciarios estaban sujetos a un sistema de inspección independiente de la autoridad responsable de administrarlos. Según la información proporcionada, jueces y fiscales tienen acceso a establecimientos penitenciarios y demás lugares de internamiento; la Fiscalía General realiza inspecciones periódicas, en su mayoría sin previo aviso; los fiscales pueden entrevistar a personas detenidas, acusadas o</w:t>
      </w:r>
      <w:r w:rsidRPr="00013C6E">
        <w:rPr>
          <w:rFonts w:ascii="Times New Roman" w:eastAsia="Times New Roman" w:hAnsi="Times New Roman" w:cs="Times New Roman"/>
          <w:lang w:val="es-ES"/>
        </w:rPr>
        <w:t xml:space="preserve"> sancionadas; se levantan actas; se emiten recomendaciones y resoluciones de obligatorio cumplimiento; y entre 2012 y 2015 la Fiscalía realizó 40.430 inspecciones, de ellas 5.871 en establecimientos y centros penitenciarios y 34.551 en locales destinados a la detención. El Estado también señaló que las instalaciones penitenciarias son visitadas por familiares, organizaciones políticas y sociales, estudiantes de Derecho, artistas, trabajadores sociales, organizaciones no gubernamentales e instituciones relig</w:t>
      </w:r>
      <w:r w:rsidRPr="00013C6E">
        <w:rPr>
          <w:rFonts w:ascii="Times New Roman" w:eastAsia="Times New Roman" w:hAnsi="Times New Roman" w:cs="Times New Roman"/>
          <w:lang w:val="es-ES"/>
        </w:rPr>
        <w:t xml:space="preserve">iosas, previa </w:t>
      </w:r>
      <w:r w:rsidRPr="00013C6E">
        <w:rPr>
          <w:rFonts w:ascii="Times New Roman" w:eastAsia="Times New Roman" w:hAnsi="Times New Roman" w:cs="Times New Roman"/>
          <w:lang w:val="es-ES"/>
        </w:rPr>
        <w:lastRenderedPageBreak/>
        <w:t xml:space="preserve">coordinación, y afirmó que no consideraba necesario asumir obligaciones vinculadas a mecanismos internacionales de supervisión. </w:t>
      </w:r>
      <w:r>
        <w:rPr>
          <w:rFonts w:ascii="Times New Roman" w:eastAsia="Times New Roman" w:hAnsi="Times New Roman" w:cs="Times New Roman"/>
          <w:color w:val="000000"/>
          <w:vertAlign w:val="superscript"/>
        </w:rPr>
        <w:footnoteReference w:id="3"/>
      </w:r>
    </w:p>
    <w:p w14:paraId="13C9229C" w14:textId="77777777" w:rsidR="00472E09" w:rsidRPr="00013C6E" w:rsidRDefault="002D3E48">
      <w:pPr>
        <w:pBdr>
          <w:top w:val="nil"/>
          <w:left w:val="nil"/>
          <w:bottom w:val="nil"/>
          <w:right w:val="nil"/>
          <w:between w:val="nil"/>
        </w:pBdr>
        <w:spacing w:before="180" w:after="18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En su información complementaria de 2024, el Estado cubano reiteró que el Ministerio del Interior, los Tribunales Populares y Militares, la Fiscalía General de la República y los Grupos de Prevención y Atención Social participan en la protección y aseguramiento de la legalidad en el sistema penitenciario. También destacó nuevamente el papel de la Fiscalía, a través de su Dirección de Control de la Legalidad en los Establecimientos Penitenciarios, y citó el artículo 198 de la Ley de Ejecución Penal como base</w:t>
      </w:r>
      <w:r w:rsidRPr="00013C6E">
        <w:rPr>
          <w:rFonts w:ascii="Times New Roman" w:eastAsia="Times New Roman" w:hAnsi="Times New Roman" w:cs="Times New Roman"/>
          <w:lang w:val="es-ES"/>
        </w:rPr>
        <w:t xml:space="preserve"> para que tribunales y fiscales puedan personarse en lugares de internamiento o detención, tramitar quejas, examinar documentos, entrevistar a personas privadas de libertad y solicitar informes. Además, invocó la Ley de la Fiscalía Militar para indicar que esta puede controlar la legalidad del internamiento y entrevistar personas en lugares de detención, arresto, retención disciplinaria, medidas de seguridad posdelictivas terapéuticas, establecimientos penitenciarios y centros especializados del Sistema Nac</w:t>
      </w:r>
      <w:r w:rsidRPr="00013C6E">
        <w:rPr>
          <w:rFonts w:ascii="Times New Roman" w:eastAsia="Times New Roman" w:hAnsi="Times New Roman" w:cs="Times New Roman"/>
          <w:lang w:val="es-ES"/>
        </w:rPr>
        <w:t>ional de Salud.</w:t>
      </w:r>
      <w:r>
        <w:rPr>
          <w:rFonts w:ascii="Times New Roman" w:eastAsia="Times New Roman" w:hAnsi="Times New Roman" w:cs="Times New Roman"/>
          <w:vertAlign w:val="superscript"/>
        </w:rPr>
        <w:footnoteReference w:id="4"/>
      </w:r>
    </w:p>
    <w:p w14:paraId="26418693" w14:textId="77777777" w:rsidR="00472E09" w:rsidRPr="00013C6E" w:rsidRDefault="002D3E48">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013C6E">
        <w:rPr>
          <w:rFonts w:ascii="Times New Roman" w:eastAsia="Times New Roman" w:hAnsi="Times New Roman" w:cs="Times New Roman"/>
          <w:lang w:val="es-ES"/>
        </w:rPr>
        <w:t>El punto central no es que existan visitas o controles formales en centros penitenciarios y otros lugares de detención, sino determinar si esos controles reúnen las condiciones mínimas de independencia, autonomía y eficacia exigidas por los estándares internacionales. La información presentada por el Estado no permite concluir que Cuba cuente con un mecanismo de inspección verdaderamente independiente, externo a la administración penitenciaria y a las estructuras estatales encargadas de la custodia, investi</w:t>
      </w:r>
      <w:r w:rsidRPr="00013C6E">
        <w:rPr>
          <w:rFonts w:ascii="Times New Roman" w:eastAsia="Times New Roman" w:hAnsi="Times New Roman" w:cs="Times New Roman"/>
          <w:lang w:val="es-ES"/>
        </w:rPr>
        <w:t xml:space="preserve">gación penal, persecución penal o control político de las personas privadas de libertad. La existencia de visitas institucionales o coordinadas no equivale, por sí sola, a un mecanismo preventivo independiente con mandato legal propio, autonomía funcional, acceso irrestricto, capacidad de realizar visitas sorpresivas, entrevistas confidenciales, publicación de informes, seguimiento de recomendaciones y protección efectiva contra represalias. </w:t>
      </w:r>
    </w:p>
    <w:p w14:paraId="3AD48F51" w14:textId="77777777" w:rsidR="00472E09" w:rsidRPr="00013C6E" w:rsidRDefault="002D3E48">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013C6E">
        <w:rPr>
          <w:rFonts w:ascii="Times New Roman" w:eastAsia="Times New Roman" w:hAnsi="Times New Roman" w:cs="Times New Roman"/>
          <w:lang w:val="es-ES"/>
        </w:rPr>
        <w:t>La preocupación central de esta contribución es que el Estado presenta un sistema de control institucional —integrado principalmente por la Fiscalía, tribunales, Fiscalía Militar, autoridades penitenciarias, órganos del MININT y actores sociales autorizados— como si fuera equivalente a una inspección independiente conforme a los estándares internacionales. Sin embargo, la información estatal no aclara qué órgano externo e independiente puede inspeccionar sin aviso previo todos los lugares bajo control del M</w:t>
      </w:r>
      <w:r w:rsidRPr="00013C6E">
        <w:rPr>
          <w:rFonts w:ascii="Times New Roman" w:eastAsia="Times New Roman" w:hAnsi="Times New Roman" w:cs="Times New Roman"/>
          <w:lang w:val="es-ES"/>
        </w:rPr>
        <w:t>ININT, la Seguridad del Estado, la Policía Nacional Revolucionaria, las Fuerzas Armadas Revolucionarias o la Fiscalía Militar; si dicho órgano puede acceder a todas las áreas de los centros; si puede revisar registros de detención, traslados, aislamiento, atención médica y comunicaciones; si puede entrevistar de forma confidencial a personas detenidas; ni si sus informes y recomendaciones son públicos y objeto de seguimiento verificable.</w:t>
      </w:r>
      <w:r>
        <w:rPr>
          <w:rFonts w:ascii="Times New Roman" w:eastAsia="Times New Roman" w:hAnsi="Times New Roman" w:cs="Times New Roman"/>
          <w:vertAlign w:val="superscript"/>
        </w:rPr>
        <w:footnoteReference w:id="5"/>
      </w:r>
      <w:r w:rsidRPr="00013C6E">
        <w:rPr>
          <w:rFonts w:ascii="Times New Roman" w:eastAsia="Times New Roman" w:hAnsi="Times New Roman" w:cs="Times New Roman"/>
          <w:lang w:val="es-ES"/>
        </w:rPr>
        <w:t xml:space="preserve"> </w:t>
      </w:r>
    </w:p>
    <w:p w14:paraId="078AEF12" w14:textId="77777777" w:rsidR="00472E09" w:rsidRPr="00013C6E" w:rsidRDefault="002D3E48">
      <w:pPr>
        <w:pBdr>
          <w:top w:val="nil"/>
          <w:left w:val="nil"/>
          <w:bottom w:val="nil"/>
          <w:right w:val="nil"/>
          <w:between w:val="nil"/>
        </w:pBdr>
        <w:spacing w:before="180" w:after="180"/>
        <w:jc w:val="both"/>
        <w:rPr>
          <w:rFonts w:ascii="Times New Roman" w:eastAsia="Times New Roman" w:hAnsi="Times New Roman" w:cs="Times New Roman"/>
          <w:color w:val="000000"/>
          <w:lang w:val="es-ES"/>
        </w:rPr>
      </w:pPr>
      <w:r w:rsidRPr="00013C6E">
        <w:rPr>
          <w:rFonts w:ascii="Times New Roman" w:eastAsia="Times New Roman" w:hAnsi="Times New Roman" w:cs="Times New Roman"/>
          <w:lang w:val="es-ES"/>
        </w:rPr>
        <w:lastRenderedPageBreak/>
        <w:t xml:space="preserve">La existencia de un mecanismo de inspección independiente constituye una de las principales salvaguardas para prevenir las desapariciones forzadas en contextos de privación de libertad. En este contexto, el riesgo comprende situaciones en las que los familiares o representantes desconocen temporalmente su lugar de detención, no reciben información inmediata sobre traslados, no pueden verificar su paradero, encuentran obstáculos para acceder a los registros oficiales o sufren intimidaciones por denunciar la </w:t>
      </w:r>
      <w:r w:rsidRPr="00013C6E">
        <w:rPr>
          <w:rFonts w:ascii="Times New Roman" w:eastAsia="Times New Roman" w:hAnsi="Times New Roman" w:cs="Times New Roman"/>
          <w:lang w:val="es-ES"/>
        </w:rPr>
        <w:t>falta de información.</w:t>
      </w:r>
      <w:r>
        <w:rPr>
          <w:rFonts w:ascii="Times New Roman" w:eastAsia="Times New Roman" w:hAnsi="Times New Roman" w:cs="Times New Roman"/>
          <w:vertAlign w:val="superscript"/>
        </w:rPr>
        <w:footnoteReference w:id="6"/>
      </w:r>
      <w:r w:rsidRPr="00013C6E">
        <w:rPr>
          <w:rFonts w:ascii="Times New Roman" w:eastAsia="Times New Roman" w:hAnsi="Times New Roman" w:cs="Times New Roman"/>
          <w:lang w:val="es-ES"/>
        </w:rPr>
        <w:t xml:space="preserve"> La ausencia de un órgano independiente con facultades para acceder a todos los lugares de detención, verificar registros, entrevistar confidencialmente a las personas privadas de libertad y recibir denuncias sin riesgo de represalias reduce significativamente la capacidad del Estado para prevenir desapariciones forzadas y detectar de manera temprana otras violaciones graves de derechos humanos.</w:t>
      </w:r>
      <w:r>
        <w:rPr>
          <w:rFonts w:ascii="Times New Roman" w:eastAsia="Times New Roman" w:hAnsi="Times New Roman" w:cs="Times New Roman"/>
          <w:vertAlign w:val="superscript"/>
        </w:rPr>
        <w:footnoteReference w:id="7"/>
      </w:r>
    </w:p>
    <w:p w14:paraId="78023471"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También se considera relevante analizar si las visitas de familiares, organizaciones políticas y sociales, estudiantes de Derecho, instituciones religiosas u otros actores mencionados por el Estado cumplen estándares mínimos de independencia. El acceso de familiares o visitantes autorizados puede tener importancia humanitaria, pero no sustituye una inspección técnica e independiente si está sujeto a autorización previa, vigilancia, restricciones de acceso, imposibilidad de entrevistar confidencialmente a pe</w:t>
      </w:r>
      <w:r w:rsidRPr="00013C6E">
        <w:rPr>
          <w:rFonts w:ascii="Times New Roman" w:eastAsia="Times New Roman" w:hAnsi="Times New Roman" w:cs="Times New Roman"/>
          <w:lang w:val="es-ES"/>
        </w:rPr>
        <w:t>rsonas detenidas, ausencia de revisión documental, falta de informes públicos o riesgo de represalias. De igual modo, la participación de organizaciones sociales reconocidas por el Estado no equivale necesariamente a la participación de organizaciones independientes de derechos humanos ni a la supervisión por mecanismos internacionales.</w:t>
      </w:r>
    </w:p>
    <w:p w14:paraId="07A2C805"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Por estas razones, se solicita respetuosamente al Comité que incluya en la Lista de Temas Prioritarios preguntas dirigidas a verificar si las visitas e inspecciones invocadas por el Estado cumplen realmente con los estándares de independencia, acceso irrestricto, confidencialidad, prevención de represalias y seguimiento efectivo. En particular, se recomienda solicitar información sobre las inspecciones realizadas desde 2017 en estaciones policiales, centros de instrucción penal, prisiones, celdas de castigo</w:t>
      </w:r>
      <w:r w:rsidRPr="00013C6E">
        <w:rPr>
          <w:rFonts w:ascii="Times New Roman" w:eastAsia="Times New Roman" w:hAnsi="Times New Roman" w:cs="Times New Roman"/>
          <w:lang w:val="es-ES"/>
        </w:rPr>
        <w:t xml:space="preserve">, hospitales penitenciarios, centros militares y otros lugares de privación de libertad; sus hallazgos, medidas correctivas, sanciones e informes publicados; así como sobre la forma en que esas inspecciones han identificado o respondido a denuncias de incomunicación, malos tratos, huelgas de hambre, represalias contra personas privadas de libertad o familiares denunciantes, y sanciones disciplinarias impuestas por el ejercicio de quejas, peticiones o denuncias. </w:t>
      </w:r>
    </w:p>
    <w:p w14:paraId="0AE009C3" w14:textId="77777777" w:rsidR="00472E09" w:rsidRDefault="002D3E48">
      <w:pPr>
        <w:pStyle w:val="Heading1"/>
        <w:numPr>
          <w:ilvl w:val="0"/>
          <w:numId w:val="3"/>
        </w:numPr>
        <w:spacing w:before="36" w:after="36"/>
      </w:pPr>
      <w:bookmarkStart w:id="8" w:name="_sfl3lilsb15e" w:colFirst="0" w:colLast="0"/>
      <w:bookmarkEnd w:id="8"/>
      <w:r>
        <w:lastRenderedPageBreak/>
        <w:t>Temas prioritarios sugeridos</w:t>
      </w:r>
    </w:p>
    <w:p w14:paraId="4FE33C2E"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Se recomienda que el Comité incluya en la Lista de Temas Prioritarios cuestiones dirigidas a verificar si el sistema de inspección de los lugares de privación de libertad descrito por el Estado cumple efectivamente con los estándares establecidos por la Convención y con la recomendación formulada en el párrafo 30 de sus observaciones finales.</w:t>
      </w:r>
    </w:p>
    <w:p w14:paraId="5B888F58"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En particular, el Comité debería solicitar información que permita determinar si existe un mecanismo de inspección verdaderamente independiente de las autoridades responsables de la detención, custodia, investigación y ejecución de las medidas privativas de libertad; si dicho mecanismo puede acceder, sin restricciones ni aviso previo, a todos los lugares donde puedan permanecer personas privadas de libertad; y si cuenta con facultades suficientes para identificar situaciones de incomunicación, detenciones n</w:t>
      </w:r>
      <w:r w:rsidRPr="00013C6E">
        <w:rPr>
          <w:rFonts w:ascii="Times New Roman" w:eastAsia="Times New Roman" w:hAnsi="Times New Roman" w:cs="Times New Roman"/>
          <w:lang w:val="es-ES"/>
        </w:rPr>
        <w:t>o registradas, ocultamiento del paradero, traslados no informados y otras circunstancias que puedan facilitar una desaparición forzada.</w:t>
      </w:r>
    </w:p>
    <w:p w14:paraId="20F00C9F"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Asimismo, resulta prioritario conocer si las inspecciones han permitido prevenir, detectar e investigar situaciones de riesgo de desaparición forzada y otras violaciones conexas, así como si sus hallazgos han dado lugar a investigaciones efectivas, la imposición de sanciones a los funcionarios responsables y la adopción de medidas correctivas que permitan prevenir la repetición de esas situaciones. El Comité también debería requerir información sobre las garantías existentes para que las personas privadas d</w:t>
      </w:r>
      <w:r w:rsidRPr="00013C6E">
        <w:rPr>
          <w:rFonts w:ascii="Times New Roman" w:eastAsia="Times New Roman" w:hAnsi="Times New Roman" w:cs="Times New Roman"/>
          <w:lang w:val="es-ES"/>
        </w:rPr>
        <w:t>e libertad puedan presentar denuncias durante o después de una inspección sin sufrir represalias, así como sobre los mecanismos de seguimiento de las recomendaciones formuladas por las autoridades inspectoras y el grado de cumplimiento de estas por las instituciones supervisadas.</w:t>
      </w:r>
    </w:p>
    <w:p w14:paraId="3420E796" w14:textId="77777777" w:rsidR="00472E09" w:rsidRDefault="002D3E48">
      <w:pPr>
        <w:pStyle w:val="Heading1"/>
        <w:numPr>
          <w:ilvl w:val="0"/>
          <w:numId w:val="4"/>
        </w:numPr>
        <w:spacing w:before="36" w:after="36"/>
      </w:pPr>
      <w:bookmarkStart w:id="9" w:name="_tk8q6vsydhmy" w:colFirst="0" w:colLast="0"/>
      <w:bookmarkEnd w:id="9"/>
      <w:r>
        <w:t>Preguntas sugeridas al Estado parte</w:t>
      </w:r>
    </w:p>
    <w:p w14:paraId="6D612554" w14:textId="77777777" w:rsidR="00472E09" w:rsidRPr="00013C6E" w:rsidRDefault="002D3E48">
      <w:pPr>
        <w:pStyle w:val="Heading3"/>
        <w:keepNext w:val="0"/>
        <w:keepLines w:val="0"/>
        <w:numPr>
          <w:ilvl w:val="0"/>
          <w:numId w:val="1"/>
        </w:numPr>
        <w:spacing w:before="36"/>
        <w:jc w:val="both"/>
        <w:rPr>
          <w:rFonts w:ascii="Times New Roman" w:eastAsia="Times New Roman" w:hAnsi="Times New Roman" w:cs="Times New Roman"/>
          <w:b/>
          <w:bCs/>
          <w:color w:val="000000"/>
          <w:sz w:val="26"/>
          <w:szCs w:val="26"/>
          <w:lang w:val="es-ES"/>
        </w:rPr>
      </w:pPr>
      <w:bookmarkStart w:id="10" w:name="_96caw4kqglgh" w:colFirst="0" w:colLast="0"/>
      <w:bookmarkEnd w:id="10"/>
      <w:r w:rsidRPr="00013C6E">
        <w:rPr>
          <w:rFonts w:ascii="Times New Roman" w:eastAsia="Times New Roman" w:hAnsi="Times New Roman" w:cs="Times New Roman"/>
          <w:b/>
          <w:bCs/>
          <w:color w:val="000000"/>
          <w:sz w:val="26"/>
          <w:szCs w:val="26"/>
          <w:lang w:val="es-ES"/>
        </w:rPr>
        <w:t xml:space="preserve">Sobre la existencia de un mecanismo específico e independiente de inspección </w:t>
      </w:r>
    </w:p>
    <w:p w14:paraId="42E1FE6D"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 xml:space="preserve">Sírvase identificar la entidad encargada de supervisar los lugares de privación de libertad e indicar cuál es su posición institucional dentro de la estructura del Estado. En particular, precise si dicha entidad goza de independencia funcional, orgánica, jerárquica, presupuestaria y decisoria respecto de los órganos del Estado encargados de las funciones legislativa, ejecutiva y judicial, así como del Ministerio del Interior, la administración penitenciaria, la Fiscalía General de la República, la Fiscalía </w:t>
      </w:r>
      <w:r w:rsidRPr="00013C6E">
        <w:rPr>
          <w:rFonts w:ascii="Times New Roman" w:eastAsia="Times New Roman" w:hAnsi="Times New Roman" w:cs="Times New Roman"/>
          <w:lang w:val="es-ES"/>
        </w:rPr>
        <w:t xml:space="preserve">Militar y cualquier otra autoridad responsable de la detención, custodia, investigación o juzgamiento de personas privadas de libertad. Indique, además, si cuenta con facultades para recibir denuncias, investigar represalias, adoptar o promover medidas de protección para personas privadas de libertad y sus familiares, publicar sus informes sin autorización previa y verificar el cumplimiento de sus recomendaciones. </w:t>
      </w:r>
    </w:p>
    <w:p w14:paraId="72EA7FA0" w14:textId="77777777" w:rsidR="00472E09" w:rsidRPr="00013C6E" w:rsidRDefault="002D3E48">
      <w:pPr>
        <w:pStyle w:val="Heading3"/>
        <w:keepNext w:val="0"/>
        <w:keepLines w:val="0"/>
        <w:numPr>
          <w:ilvl w:val="0"/>
          <w:numId w:val="1"/>
        </w:numPr>
        <w:spacing w:before="280"/>
        <w:jc w:val="both"/>
        <w:rPr>
          <w:rFonts w:ascii="Times New Roman" w:eastAsia="Times New Roman" w:hAnsi="Times New Roman" w:cs="Times New Roman"/>
          <w:b/>
          <w:bCs/>
          <w:sz w:val="26"/>
          <w:szCs w:val="26"/>
          <w:lang w:val="es-ES"/>
        </w:rPr>
      </w:pPr>
      <w:bookmarkStart w:id="11" w:name="_6yxllui47sru" w:colFirst="0" w:colLast="0"/>
      <w:bookmarkEnd w:id="11"/>
      <w:r w:rsidRPr="00013C6E">
        <w:rPr>
          <w:rFonts w:ascii="Times New Roman" w:eastAsia="Times New Roman" w:hAnsi="Times New Roman" w:cs="Times New Roman"/>
          <w:b/>
          <w:bCs/>
          <w:color w:val="000000"/>
          <w:sz w:val="26"/>
          <w:szCs w:val="26"/>
          <w:lang w:val="es-ES"/>
        </w:rPr>
        <w:t xml:space="preserve">Sobre el universo completo de lugares sujetos a inspección  </w:t>
      </w:r>
    </w:p>
    <w:p w14:paraId="292F09C6"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 xml:space="preserve">Sírvase proporcionar un listado actualizado de todos los lugares donde, entre 2017 y 2026, pudieron permanecer personas privadas de libertad bajo custodia del Estado, desagregado por </w:t>
      </w:r>
      <w:r w:rsidRPr="00013C6E">
        <w:rPr>
          <w:rFonts w:ascii="Times New Roman" w:eastAsia="Times New Roman" w:hAnsi="Times New Roman" w:cs="Times New Roman"/>
          <w:lang w:val="es-ES"/>
        </w:rPr>
        <w:lastRenderedPageBreak/>
        <w:t>provincia, autoridad responsable, base jurídica y tipo de instalación. Indique si todos esos lugares están sujetos al mismo régimen de inspección y supervisión. Considere incluir, además de los establecimientos penitenciarios, estaciones policiales, centros de instrucción penal, dependencias del Departamento Técnico de Investigaciones, centros de la Seguridad del Estado, centros especializados del Sistema Nacional de Salud donde permanezcan personas bajo custodia, unidades militares o disciplinarias, centro</w:t>
      </w:r>
      <w:r w:rsidRPr="00013C6E">
        <w:rPr>
          <w:rFonts w:ascii="Times New Roman" w:eastAsia="Times New Roman" w:hAnsi="Times New Roman" w:cs="Times New Roman"/>
          <w:lang w:val="es-ES"/>
        </w:rPr>
        <w:t>s de internamiento y cualquier otro espacio, permanente o temporal, en el que una persona pueda permanecer privada de libertad.</w:t>
      </w:r>
      <w:r>
        <w:rPr>
          <w:rFonts w:ascii="Times New Roman" w:eastAsia="Times New Roman" w:hAnsi="Times New Roman" w:cs="Times New Roman"/>
          <w:vertAlign w:val="superscript"/>
        </w:rPr>
        <w:footnoteReference w:id="8"/>
      </w:r>
    </w:p>
    <w:p w14:paraId="0C96B318" w14:textId="77777777" w:rsidR="00472E09" w:rsidRPr="00013C6E" w:rsidRDefault="002D3E48">
      <w:pPr>
        <w:pStyle w:val="Heading3"/>
        <w:numPr>
          <w:ilvl w:val="0"/>
          <w:numId w:val="1"/>
        </w:numPr>
        <w:spacing w:before="240" w:after="240"/>
        <w:jc w:val="both"/>
        <w:rPr>
          <w:rFonts w:ascii="Times New Roman" w:eastAsia="Times New Roman" w:hAnsi="Times New Roman" w:cs="Times New Roman"/>
          <w:b/>
          <w:bCs/>
          <w:color w:val="000000"/>
          <w:lang w:val="es-ES"/>
        </w:rPr>
      </w:pPr>
      <w:bookmarkStart w:id="12" w:name="_rr9mlxa4l9wq" w:colFirst="0" w:colLast="0"/>
      <w:bookmarkEnd w:id="12"/>
      <w:r w:rsidRPr="00013C6E">
        <w:rPr>
          <w:rFonts w:ascii="Times New Roman" w:eastAsia="Times New Roman" w:hAnsi="Times New Roman" w:cs="Times New Roman"/>
          <w:b/>
          <w:bCs/>
          <w:color w:val="000000"/>
          <w:sz w:val="26"/>
          <w:szCs w:val="26"/>
          <w:lang w:val="es-ES"/>
        </w:rPr>
        <w:t xml:space="preserve">Sobre el alcance y las facultades de las inspecciones en lugares de privación de libertad </w:t>
      </w:r>
    </w:p>
    <w:p w14:paraId="0C61621C"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Sírvase informar cuántas inspecciones fueron realizadas entre 2017 y 2026 desagregando la información por instalación, fecha, autoridad inspectora, carácter anunciado o no anunciado de la visita y hallazgos documentados. Asimismo, indique si las autoridades inspectoras pueden acceder, sin autorización previa de la autoridad administradora, a todas las áreas y registros de esos centros, incluidos los registros electrónicos, salas de interrogatorio, celdas de aislamiento, registros de ingreso y traslado, expe</w:t>
      </w:r>
      <w:r w:rsidRPr="00013C6E">
        <w:rPr>
          <w:rFonts w:ascii="Times New Roman" w:eastAsia="Times New Roman" w:hAnsi="Times New Roman" w:cs="Times New Roman"/>
          <w:lang w:val="es-ES"/>
        </w:rPr>
        <w:t xml:space="preserve">dientes disciplinarios, historias clínicas y demás documentación relacionada con la privación de libertad. En caso afirmativo, identifique la base jurídica que reconoce esas facultades. </w:t>
      </w:r>
    </w:p>
    <w:p w14:paraId="0EFD7D1A" w14:textId="77777777" w:rsidR="00472E09" w:rsidRPr="00013C6E" w:rsidRDefault="002D3E48">
      <w:pPr>
        <w:pStyle w:val="Heading3"/>
        <w:numPr>
          <w:ilvl w:val="0"/>
          <w:numId w:val="1"/>
        </w:numPr>
        <w:spacing w:before="240" w:after="240"/>
        <w:jc w:val="both"/>
        <w:rPr>
          <w:rFonts w:ascii="Times New Roman" w:eastAsia="Times New Roman" w:hAnsi="Times New Roman" w:cs="Times New Roman"/>
          <w:b/>
          <w:bCs/>
          <w:color w:val="000000"/>
          <w:sz w:val="26"/>
          <w:szCs w:val="26"/>
          <w:lang w:val="es-ES"/>
        </w:rPr>
      </w:pPr>
      <w:bookmarkStart w:id="13" w:name="_rcxcbffpqvrq" w:colFirst="0" w:colLast="0"/>
      <w:bookmarkEnd w:id="13"/>
      <w:r w:rsidRPr="00013C6E">
        <w:rPr>
          <w:rFonts w:ascii="Times New Roman" w:eastAsia="Times New Roman" w:hAnsi="Times New Roman" w:cs="Times New Roman"/>
          <w:b/>
          <w:bCs/>
          <w:color w:val="000000"/>
          <w:sz w:val="26"/>
          <w:szCs w:val="26"/>
          <w:lang w:val="es-ES"/>
        </w:rPr>
        <w:t xml:space="preserve">Sobre la capacidad de las inspecciones para prevenir desapariciones forzadas </w:t>
      </w:r>
    </w:p>
    <w:p w14:paraId="2DB51960"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 xml:space="preserve">Sírvase explicar qué procedimientos aplican las autoridades inspectoras para verificar que ninguna persona permanezca privada de libertad fuera de los registros oficiales o en situación de incomunicación, así como para detectar cualquier circunstancia que pueda facilitar una desaparición forzada. Indique, además, cuántos casos de esta naturaleza fueron detectados durante las inspecciones realizadas entre 2017 y 2026 y cuáles fueron las medidas adoptadas en cada caso. </w:t>
      </w:r>
    </w:p>
    <w:p w14:paraId="179B43EE" w14:textId="77777777" w:rsidR="00472E09" w:rsidRPr="00013C6E" w:rsidRDefault="002D3E48">
      <w:pPr>
        <w:pStyle w:val="Heading3"/>
        <w:numPr>
          <w:ilvl w:val="0"/>
          <w:numId w:val="1"/>
        </w:numPr>
        <w:spacing w:before="240" w:after="240"/>
        <w:jc w:val="both"/>
        <w:rPr>
          <w:rFonts w:ascii="Times New Roman" w:eastAsia="Times New Roman" w:hAnsi="Times New Roman" w:cs="Times New Roman"/>
          <w:b/>
          <w:bCs/>
          <w:color w:val="000000"/>
          <w:sz w:val="26"/>
          <w:szCs w:val="26"/>
          <w:lang w:val="es-ES"/>
        </w:rPr>
      </w:pPr>
      <w:bookmarkStart w:id="14" w:name="_2c46bjlvlbg1" w:colFirst="0" w:colLast="0"/>
      <w:bookmarkEnd w:id="14"/>
      <w:r w:rsidRPr="00013C6E">
        <w:rPr>
          <w:rFonts w:ascii="Times New Roman" w:eastAsia="Times New Roman" w:hAnsi="Times New Roman" w:cs="Times New Roman"/>
          <w:b/>
          <w:bCs/>
          <w:color w:val="000000"/>
          <w:sz w:val="26"/>
          <w:szCs w:val="26"/>
          <w:lang w:val="es-ES"/>
        </w:rPr>
        <w:t xml:space="preserve">Sobre entrevistas confidenciales durante las inspecciones </w:t>
      </w:r>
    </w:p>
    <w:p w14:paraId="3A89C2F3"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Sírvase indicar si las personas privadas de libertad pueden ser entrevistadas durante las inspecciones de forma privada y confidencial, sin presencia de funcionarios penitenciarios, policiales, militares, fiscales o de seguridad. En particular, precise cuántas entrevistas confidenciales se realizaron entre 2017 y 2026; en qué centros; qué denuncias fueron recibidas; qué medidas de protección se adoptaron; y qué seguimiento se dio para impedir represalias posteriores.</w:t>
      </w:r>
      <w:r>
        <w:rPr>
          <w:rFonts w:ascii="Times New Roman" w:eastAsia="Times New Roman" w:hAnsi="Times New Roman" w:cs="Times New Roman"/>
          <w:vertAlign w:val="superscript"/>
        </w:rPr>
        <w:footnoteReference w:id="9"/>
      </w:r>
    </w:p>
    <w:p w14:paraId="5208B4AD" w14:textId="77777777" w:rsidR="00472E09" w:rsidRPr="00013C6E" w:rsidRDefault="002D3E48">
      <w:pPr>
        <w:pStyle w:val="Heading3"/>
        <w:numPr>
          <w:ilvl w:val="0"/>
          <w:numId w:val="1"/>
        </w:numPr>
        <w:spacing w:before="240" w:after="240"/>
        <w:jc w:val="both"/>
        <w:rPr>
          <w:rFonts w:ascii="Times New Roman" w:eastAsia="Times New Roman" w:hAnsi="Times New Roman" w:cs="Times New Roman"/>
          <w:b/>
          <w:bCs/>
          <w:color w:val="000000"/>
          <w:sz w:val="26"/>
          <w:szCs w:val="26"/>
          <w:lang w:val="es-ES"/>
        </w:rPr>
      </w:pPr>
      <w:bookmarkStart w:id="15" w:name="_amum5btqj0iz" w:colFirst="0" w:colLast="0"/>
      <w:bookmarkEnd w:id="15"/>
      <w:r w:rsidRPr="00013C6E">
        <w:rPr>
          <w:rFonts w:ascii="Times New Roman" w:eastAsia="Times New Roman" w:hAnsi="Times New Roman" w:cs="Times New Roman"/>
          <w:b/>
          <w:bCs/>
          <w:color w:val="000000"/>
          <w:sz w:val="26"/>
          <w:szCs w:val="26"/>
          <w:lang w:val="es-ES"/>
        </w:rPr>
        <w:lastRenderedPageBreak/>
        <w:t xml:space="preserve">Sobre sanciones disciplinarias contra personas que presentan quejas o denuncias </w:t>
      </w:r>
    </w:p>
    <w:p w14:paraId="330826DE"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Sírvase indicar qué medidas jurídicas, administrativas y de protección garantizan que las personas privadas de libertad puedan presentar quejas, peticiones o denuncias durante o después de una inspección sin ser objeto de medidas disciplinarias, traslados, aislamiento, restricciones de comunicación o cualquier otra forma de represalia. Indique cuántas medidas disciplinarias se impusieron entre 2017 y 2026 y cuántas de estas afectaron a personas que habían denunciado abusos o quejas.</w:t>
      </w:r>
      <w:r>
        <w:rPr>
          <w:rFonts w:ascii="Times New Roman" w:eastAsia="Times New Roman" w:hAnsi="Times New Roman" w:cs="Times New Roman"/>
          <w:vertAlign w:val="superscript"/>
        </w:rPr>
        <w:footnoteReference w:id="10"/>
      </w:r>
    </w:p>
    <w:p w14:paraId="5AC7DA34" w14:textId="77777777" w:rsidR="00472E09" w:rsidRPr="00013C6E" w:rsidRDefault="002D3E48">
      <w:pPr>
        <w:pStyle w:val="Heading3"/>
        <w:numPr>
          <w:ilvl w:val="0"/>
          <w:numId w:val="1"/>
        </w:numPr>
        <w:spacing w:before="240" w:after="240"/>
        <w:jc w:val="both"/>
        <w:rPr>
          <w:rFonts w:ascii="Times New Roman" w:eastAsia="Times New Roman" w:hAnsi="Times New Roman" w:cs="Times New Roman"/>
          <w:b/>
          <w:bCs/>
          <w:color w:val="000000"/>
          <w:sz w:val="26"/>
          <w:szCs w:val="26"/>
          <w:lang w:val="es-ES"/>
        </w:rPr>
      </w:pPr>
      <w:bookmarkStart w:id="16" w:name="_iuy87emcsde" w:colFirst="0" w:colLast="0"/>
      <w:bookmarkEnd w:id="16"/>
      <w:r w:rsidRPr="00013C6E">
        <w:rPr>
          <w:rFonts w:ascii="Times New Roman" w:eastAsia="Times New Roman" w:hAnsi="Times New Roman" w:cs="Times New Roman"/>
          <w:b/>
          <w:bCs/>
          <w:color w:val="000000"/>
          <w:sz w:val="26"/>
          <w:szCs w:val="26"/>
          <w:lang w:val="es-ES"/>
        </w:rPr>
        <w:t xml:space="preserve">Sobre publicidad de actas, informes y recomendaciones de inspección  </w:t>
      </w:r>
    </w:p>
    <w:p w14:paraId="400AE8A3"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Sírvase informar si los informes, actas, recomendaciones y resoluciones resultantes de las inspecciones son públicos. En caso afirmativo, proporcione los enlaces o medios oficiales de acceso a los informes publicados e indique cuántos informes fueron efectivamente publicados entre 2017 y 2026. En caso negativo, explique la base legal de su reserva e indique qué información mínima se pone a disposición de personas privadas de libertad, familiares, abogados, organizaciones de la sociedad civil y organismos in</w:t>
      </w:r>
      <w:r w:rsidRPr="00013C6E">
        <w:rPr>
          <w:rFonts w:ascii="Times New Roman" w:eastAsia="Times New Roman" w:hAnsi="Times New Roman" w:cs="Times New Roman"/>
          <w:lang w:val="es-ES"/>
        </w:rPr>
        <w:t>ternacionales.</w:t>
      </w:r>
    </w:p>
    <w:p w14:paraId="7D8B96B1" w14:textId="77777777" w:rsidR="00472E09" w:rsidRPr="00013C6E" w:rsidRDefault="002D3E48">
      <w:pPr>
        <w:pStyle w:val="Heading3"/>
        <w:numPr>
          <w:ilvl w:val="0"/>
          <w:numId w:val="1"/>
        </w:numPr>
        <w:spacing w:before="240" w:after="240"/>
        <w:jc w:val="both"/>
        <w:rPr>
          <w:rFonts w:ascii="Times New Roman" w:eastAsia="Times New Roman" w:hAnsi="Times New Roman" w:cs="Times New Roman"/>
          <w:b/>
          <w:bCs/>
          <w:color w:val="000000"/>
          <w:sz w:val="26"/>
          <w:szCs w:val="26"/>
          <w:lang w:val="es-ES"/>
        </w:rPr>
      </w:pPr>
      <w:bookmarkStart w:id="17" w:name="_bwkrddp3uov4" w:colFirst="0" w:colLast="0"/>
      <w:bookmarkEnd w:id="17"/>
      <w:r w:rsidRPr="00013C6E">
        <w:rPr>
          <w:rFonts w:ascii="Times New Roman" w:eastAsia="Times New Roman" w:hAnsi="Times New Roman" w:cs="Times New Roman"/>
          <w:b/>
          <w:bCs/>
          <w:color w:val="000000"/>
          <w:sz w:val="26"/>
          <w:szCs w:val="26"/>
          <w:lang w:val="es-ES"/>
        </w:rPr>
        <w:t xml:space="preserve">Sobre acceso de organizaciones independientes, familiares, abogados y expertos externos   </w:t>
      </w:r>
    </w:p>
    <w:p w14:paraId="6F211090"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Sírvase precisar qué organizaciones independientes de derechos humanos, mecanismos internacionales o representantes de la sociedad civil no vinculados al Estado han podido realizar visitas independientes y sin acompañamiento de autoridades estatales  a lugares de privación de libertad desde 2017. Indique fecha, centro visitado, condiciones de acceso, posibilidad de entrevistas confidenciales, publicación de informes y denegaciones registradas.</w:t>
      </w:r>
    </w:p>
    <w:p w14:paraId="628565B6" w14:textId="77777777" w:rsidR="00472E09" w:rsidRPr="00013C6E" w:rsidRDefault="002D3E48">
      <w:pPr>
        <w:pStyle w:val="Heading3"/>
        <w:numPr>
          <w:ilvl w:val="0"/>
          <w:numId w:val="1"/>
        </w:numPr>
        <w:spacing w:before="240" w:after="240"/>
        <w:jc w:val="both"/>
        <w:rPr>
          <w:rFonts w:ascii="Times New Roman" w:eastAsia="Times New Roman" w:hAnsi="Times New Roman" w:cs="Times New Roman"/>
          <w:b/>
          <w:bCs/>
          <w:color w:val="000000"/>
          <w:sz w:val="26"/>
          <w:szCs w:val="26"/>
          <w:lang w:val="es-ES"/>
        </w:rPr>
      </w:pPr>
      <w:bookmarkStart w:id="18" w:name="_5fv1shzi0xf5" w:colFirst="0" w:colLast="0"/>
      <w:bookmarkEnd w:id="18"/>
      <w:r w:rsidRPr="00013C6E">
        <w:rPr>
          <w:rFonts w:ascii="Times New Roman" w:eastAsia="Times New Roman" w:hAnsi="Times New Roman" w:cs="Times New Roman"/>
          <w:b/>
          <w:bCs/>
          <w:color w:val="000000"/>
          <w:sz w:val="26"/>
          <w:szCs w:val="26"/>
          <w:lang w:val="es-ES"/>
        </w:rPr>
        <w:t xml:space="preserve">Sobre aceptación de mecanismos internacionales de supervisión </w:t>
      </w:r>
    </w:p>
    <w:p w14:paraId="329BEBA2"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 xml:space="preserve">Sírvase indicar si el Estado mantiene su posición de no aceptar mecanismos internacionales de inspección de lugares de privación de libertad. En caso afirmativo, sírvase explicar en qué criterios objetivos se basa para concluir que los mecanismos nacionales de supervisión brindan un nivel de garantías equivalente al que ofrecen los mecanismos internacionales de prevención, particularmente en cuanto a independencia funcional, acceso irrestricto a todos los lugares de </w:t>
      </w:r>
      <w:r w:rsidRPr="00013C6E">
        <w:rPr>
          <w:rFonts w:ascii="Times New Roman" w:eastAsia="Times New Roman" w:hAnsi="Times New Roman" w:cs="Times New Roman"/>
          <w:lang w:val="es-ES"/>
        </w:rPr>
        <w:lastRenderedPageBreak/>
        <w:t>privación de libertad, realización de visitas sin previo aviso, entrevistas confidenciales, publicación de informes y seguimiento efectivo de sus recomendaciones.</w:t>
      </w:r>
      <w:r>
        <w:rPr>
          <w:rFonts w:ascii="Times New Roman" w:eastAsia="Times New Roman" w:hAnsi="Times New Roman" w:cs="Times New Roman"/>
          <w:vertAlign w:val="superscript"/>
        </w:rPr>
        <w:footnoteReference w:id="11"/>
      </w:r>
    </w:p>
    <w:p w14:paraId="22AB6AA3" w14:textId="77777777" w:rsidR="00472E09" w:rsidRPr="00013C6E" w:rsidRDefault="002D3E48">
      <w:pPr>
        <w:pStyle w:val="Heading3"/>
        <w:numPr>
          <w:ilvl w:val="0"/>
          <w:numId w:val="1"/>
        </w:numPr>
        <w:spacing w:before="240" w:after="240"/>
        <w:jc w:val="both"/>
        <w:rPr>
          <w:rFonts w:ascii="Times New Roman" w:eastAsia="Times New Roman" w:hAnsi="Times New Roman" w:cs="Times New Roman"/>
          <w:b/>
          <w:bCs/>
          <w:color w:val="000000"/>
          <w:sz w:val="26"/>
          <w:szCs w:val="26"/>
          <w:lang w:val="es-ES"/>
        </w:rPr>
      </w:pPr>
      <w:bookmarkStart w:id="19" w:name="_maa3f5c5mo1n" w:colFirst="0" w:colLast="0"/>
      <w:bookmarkEnd w:id="19"/>
      <w:r w:rsidRPr="00013C6E">
        <w:rPr>
          <w:rFonts w:ascii="Times New Roman" w:eastAsia="Times New Roman" w:hAnsi="Times New Roman" w:cs="Times New Roman"/>
          <w:b/>
          <w:bCs/>
          <w:color w:val="000000"/>
          <w:sz w:val="26"/>
          <w:szCs w:val="26"/>
          <w:lang w:val="es-ES"/>
        </w:rPr>
        <w:t>Sobre sanciones derivadas de hallazgos en las inspecciones</w:t>
      </w:r>
    </w:p>
    <w:p w14:paraId="2526BF51"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Sírvase informar cuántos funcionarios del Ministerio del Interior, de la administración penitenciaria o de cualquier otra autoridad responsable de la custodia de personas privadas de libertad fueron objeto de investigaciones, sanciones disciplinarias o condenas penales como resultado directo de hallazgos realizados durante inspecciones entre 2017 y 2026. Desagregue la información por año, autoridad involucrada, naturaleza de la violación detectada, tipo de sanción impuesta y estado actual del procedimiento.</w:t>
      </w:r>
    </w:p>
    <w:p w14:paraId="5A864092" w14:textId="77777777" w:rsidR="00472E09" w:rsidRPr="00013C6E" w:rsidRDefault="002D3E48">
      <w:pPr>
        <w:pStyle w:val="Heading1"/>
        <w:rPr>
          <w:lang w:val="es-ES"/>
        </w:rPr>
      </w:pPr>
      <w:bookmarkStart w:id="20" w:name="_w9zcp6p4yukb" w:colFirst="0" w:colLast="0"/>
      <w:bookmarkEnd w:id="20"/>
      <w:r w:rsidRPr="00013C6E">
        <w:rPr>
          <w:lang w:val="es-ES"/>
        </w:rPr>
        <w:t>V. Razones para la inclusión de estos temas en la Lista de Temas Prioritarios</w:t>
      </w:r>
    </w:p>
    <w:p w14:paraId="6B67F914"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Se considera que estas preguntas deben incorporarse a la Lista de Temas Prioritarios porque la información complementaria presentada por el Estado cubano no permite determinar si el sistema de inspección descrito constituye un mecanismo verdaderamente independiente y eficaz para prevenir desapariciones forzadas. La respuesta estatal se limita a describir las facultades de la Fiscalía, los tribunales y otras autoridades estatales, así como las visitas realizadas por determinados actores sociales, pero no dem</w:t>
      </w:r>
      <w:r w:rsidRPr="00013C6E">
        <w:rPr>
          <w:rFonts w:ascii="Times New Roman" w:eastAsia="Times New Roman" w:hAnsi="Times New Roman" w:cs="Times New Roman"/>
          <w:lang w:val="es-ES"/>
        </w:rPr>
        <w:t>uestra que exista un órgano con independencia funcional respecto de las autoridades encargadas de la detención, custodia, investigación y ejecución de las medidas privativas de libertad.</w:t>
      </w:r>
    </w:p>
    <w:p w14:paraId="0ECB5E84"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Las respuestas del Estado tampoco permiten verificar si las inspecciones abarcan todos los lugares donde una persona puede permanecer privada de libertad, si pueden realizarse sin previo aviso, si existe acceso irrestricto a todas las instalaciones y registros, si las personas privadas de libertad pueden ser entrevistadas confidencialmente y sin riesgo de represalias, ni si las recomendaciones formuladas durante las inspecciones generan investigaciones, sanciones o medidas correctivas verificables.</w:t>
      </w:r>
    </w:p>
    <w:p w14:paraId="2AF5B74F"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t>Asimismo, la información disponible resulta insuficiente para evaluar la eficacia preventiva de las inspecciones frente a situaciones que constituyen factores de riesgo de desaparición forzada, como la incomunicación, la falta de registro oportuno de la detención, el ocultamiento temporal del paradero, los traslados no notificados, las restricciones al contacto con familiares o abogados, las denuncias de tortura o malos tratos y las muertes bajo custodia. La ausencia de datos desagregados sobre inspecciones</w:t>
      </w:r>
      <w:r w:rsidRPr="00013C6E">
        <w:rPr>
          <w:rFonts w:ascii="Times New Roman" w:eastAsia="Times New Roman" w:hAnsi="Times New Roman" w:cs="Times New Roman"/>
          <w:lang w:val="es-ES"/>
        </w:rPr>
        <w:t>, hallazgos, investigaciones, sanciones y seguimiento impide valorar si el sistema invocado por el Estado cumple realmente la función preventiva exigida por la Convención.</w:t>
      </w:r>
    </w:p>
    <w:p w14:paraId="2F8624DF" w14:textId="77777777" w:rsidR="00472E09" w:rsidRPr="00013C6E" w:rsidRDefault="002D3E48">
      <w:pPr>
        <w:spacing w:before="240" w:after="240"/>
        <w:jc w:val="both"/>
        <w:rPr>
          <w:rFonts w:ascii="Times New Roman" w:eastAsia="Times New Roman" w:hAnsi="Times New Roman" w:cs="Times New Roman"/>
          <w:lang w:val="es-ES"/>
        </w:rPr>
      </w:pPr>
      <w:r w:rsidRPr="00013C6E">
        <w:rPr>
          <w:rFonts w:ascii="Times New Roman" w:eastAsia="Times New Roman" w:hAnsi="Times New Roman" w:cs="Times New Roman"/>
          <w:lang w:val="es-ES"/>
        </w:rPr>
        <w:lastRenderedPageBreak/>
        <w:t>Por ello, se considera necesario que el Comité solicite información específica y verificable que permita determinar si el sistema descrito por el Estado constituye un mecanismo de inspección independiente conforme al artículo 17 de la Convención. En particular, resulta esencial esclarecer si las autoridades inspectoras cuentan con autonomía suficiente para supervisar todos los lugares de privación de libertad, incluidos aquellos bajo control del Ministerio del Interior y de la Seguridad del Estado; si sus i</w:t>
      </w:r>
      <w:r w:rsidRPr="00013C6E">
        <w:rPr>
          <w:rFonts w:ascii="Times New Roman" w:eastAsia="Times New Roman" w:hAnsi="Times New Roman" w:cs="Times New Roman"/>
          <w:lang w:val="es-ES"/>
        </w:rPr>
        <w:t>nspecciones permiten detectar y corregir situaciones de riesgo para la desaparición forzada; y si existen mecanismos efectivos para investigar las irregularidades detectadas, proteger a las personas denunciantes y garantizar la implementación de las recomendaciones formuladas. En ausencia de esa información, el Comité no dispone de elementos suficientes para evaluar si el sistema descrito por el Estado constituye una garantía efectiva para prevenir desapariciones forzadas conforme al artículo 17 de la Conve</w:t>
      </w:r>
      <w:r w:rsidRPr="00013C6E">
        <w:rPr>
          <w:rFonts w:ascii="Times New Roman" w:eastAsia="Times New Roman" w:hAnsi="Times New Roman" w:cs="Times New Roman"/>
          <w:lang w:val="es-ES"/>
        </w:rPr>
        <w:t xml:space="preserve">nción. </w:t>
      </w:r>
    </w:p>
    <w:p w14:paraId="48414A51" w14:textId="77777777" w:rsidR="00472E09" w:rsidRPr="00013C6E" w:rsidRDefault="00472E09">
      <w:pPr>
        <w:spacing w:before="240" w:after="240"/>
        <w:jc w:val="both"/>
        <w:rPr>
          <w:rFonts w:ascii="Times New Roman" w:eastAsia="Times New Roman" w:hAnsi="Times New Roman" w:cs="Times New Roman"/>
          <w:color w:val="000000"/>
          <w:lang w:val="es-ES"/>
        </w:rPr>
      </w:pPr>
    </w:p>
    <w:sectPr w:rsidR="00472E09" w:rsidRPr="00013C6E">
      <w:headerReference w:type="default" r:id="rId8"/>
      <w:footerReference w:type="default" r:id="rId9"/>
      <w:pgSz w:w="12240" w:h="15840"/>
      <w:pgMar w:top="1440" w:right="1440" w:bottom="1440" w:left="144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39235" w14:textId="77777777" w:rsidR="002D3E48" w:rsidRDefault="002D3E48">
      <w:pPr>
        <w:spacing w:after="0"/>
      </w:pPr>
      <w:r>
        <w:separator/>
      </w:r>
    </w:p>
  </w:endnote>
  <w:endnote w:type="continuationSeparator" w:id="0">
    <w:p w14:paraId="226413DF" w14:textId="77777777" w:rsidR="002D3E48" w:rsidRDefault="002D3E4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EBD757BC-CE4C-4250-85B1-E5CD3FA38AA3}"/>
    <w:embedItalic r:id="rId2" w:fontKey="{CD6C4879-C380-4330-A638-473DFCB68946}"/>
  </w:font>
  <w:font w:name="Play">
    <w:charset w:val="00"/>
    <w:family w:val="auto"/>
    <w:pitch w:val="default"/>
    <w:embedRegular r:id="rId3" w:fontKey="{CE75293D-2709-4124-B205-2AD396D9BD73}"/>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4" w:fontKey="{71995E9C-CEFB-4655-805D-69053C6FB23F}"/>
  </w:font>
  <w:font w:name="Cambria">
    <w:panose1 w:val="02040503050406030204"/>
    <w:charset w:val="00"/>
    <w:family w:val="roman"/>
    <w:pitch w:val="variable"/>
    <w:sig w:usb0="E00006FF" w:usb1="420024FF" w:usb2="02000000" w:usb3="00000000" w:csb0="0000019F" w:csb1="00000000"/>
    <w:embedRegular r:id="rId5" w:fontKey="{0665615F-C593-4B4D-B5A1-9C96DE8A911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072A1" w14:textId="77777777" w:rsidR="00472E09" w:rsidRDefault="002D3E48">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013C6E">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A94CC" w14:textId="77777777" w:rsidR="002D3E48" w:rsidRDefault="002D3E48">
      <w:pPr>
        <w:spacing w:after="0"/>
      </w:pPr>
      <w:r>
        <w:separator/>
      </w:r>
    </w:p>
  </w:footnote>
  <w:footnote w:type="continuationSeparator" w:id="0">
    <w:p w14:paraId="6EE49233" w14:textId="77777777" w:rsidR="002D3E48" w:rsidRDefault="002D3E48">
      <w:pPr>
        <w:spacing w:after="0"/>
      </w:pPr>
      <w:r>
        <w:continuationSeparator/>
      </w:r>
    </w:p>
  </w:footnote>
  <w:footnote w:id="1">
    <w:p w14:paraId="5801B1EC" w14:textId="77777777" w:rsidR="00472E09" w:rsidRPr="00013C6E" w:rsidRDefault="002D3E48">
      <w:pPr>
        <w:spacing w:after="0"/>
        <w:rPr>
          <w:sz w:val="20"/>
          <w:szCs w:val="20"/>
          <w:lang w:val="es-ES"/>
        </w:rPr>
      </w:pPr>
      <w:r>
        <w:rPr>
          <w:vertAlign w:val="superscript"/>
        </w:rPr>
        <w:footnoteRef/>
      </w:r>
      <w:r w:rsidRPr="00013C6E">
        <w:rPr>
          <w:sz w:val="20"/>
          <w:szCs w:val="20"/>
          <w:lang w:val="es-ES"/>
        </w:rPr>
        <w:t xml:space="preserve"> </w:t>
      </w:r>
      <w:r w:rsidRPr="00013C6E">
        <w:rPr>
          <w:rFonts w:ascii="Times New Roman" w:eastAsia="Times New Roman" w:hAnsi="Times New Roman" w:cs="Times New Roman"/>
          <w:sz w:val="18"/>
          <w:szCs w:val="18"/>
          <w:lang w:val="es-ES"/>
        </w:rPr>
        <w:t xml:space="preserve">Naciones Unidas. (2006). </w:t>
      </w:r>
      <w:hyperlink r:id="rId1">
        <w:r w:rsidRPr="00013C6E">
          <w:rPr>
            <w:rFonts w:ascii="Times New Roman" w:eastAsia="Times New Roman" w:hAnsi="Times New Roman" w:cs="Times New Roman"/>
            <w:i/>
            <w:iCs/>
            <w:color w:val="1155CC"/>
            <w:sz w:val="18"/>
            <w:szCs w:val="18"/>
            <w:u w:val="single"/>
            <w:lang w:val="es-ES"/>
          </w:rPr>
          <w:t>Convención Internacional para la Protección de Todas las Personas contra las Desapariciones Forzadas</w:t>
        </w:r>
      </w:hyperlink>
      <w:r w:rsidRPr="00013C6E">
        <w:rPr>
          <w:rFonts w:ascii="Times New Roman" w:eastAsia="Times New Roman" w:hAnsi="Times New Roman" w:cs="Times New Roman"/>
          <w:sz w:val="18"/>
          <w:szCs w:val="18"/>
          <w:lang w:val="es-ES"/>
        </w:rPr>
        <w:t>.</w:t>
      </w:r>
    </w:p>
  </w:footnote>
  <w:footnote w:id="2">
    <w:p w14:paraId="541384A6" w14:textId="77777777" w:rsidR="00472E09" w:rsidRPr="00013C6E" w:rsidRDefault="002D3E48">
      <w:pPr>
        <w:spacing w:after="0"/>
        <w:rPr>
          <w:sz w:val="20"/>
          <w:szCs w:val="20"/>
          <w:lang w:val="es-ES"/>
        </w:rPr>
      </w:pPr>
      <w:r>
        <w:rPr>
          <w:vertAlign w:val="superscript"/>
        </w:rPr>
        <w:footnoteRef/>
      </w:r>
      <w:r w:rsidRPr="00013C6E">
        <w:rPr>
          <w:sz w:val="20"/>
          <w:szCs w:val="20"/>
          <w:lang w:val="es-ES"/>
        </w:rPr>
        <w:t xml:space="preserve"> </w:t>
      </w:r>
      <w:r w:rsidRPr="00013C6E">
        <w:rPr>
          <w:rFonts w:ascii="Times New Roman" w:eastAsia="Times New Roman" w:hAnsi="Times New Roman" w:cs="Times New Roman"/>
          <w:sz w:val="18"/>
          <w:szCs w:val="18"/>
          <w:lang w:val="es-ES"/>
        </w:rPr>
        <w:t xml:space="preserve">Comité contra la Desaparición Forzada. (2017). </w:t>
      </w:r>
      <w:r w:rsidRPr="00013C6E">
        <w:rPr>
          <w:rFonts w:ascii="Times New Roman" w:eastAsia="Times New Roman" w:hAnsi="Times New Roman" w:cs="Times New Roman"/>
          <w:i/>
          <w:iCs/>
          <w:sz w:val="18"/>
          <w:szCs w:val="18"/>
          <w:lang w:val="es-ES"/>
        </w:rPr>
        <w:t>Observaciones finales sobre el informe presentado por Cuba en virtud del artículo 29, párrafo 1, de la Convención</w:t>
      </w:r>
      <w:r w:rsidRPr="00013C6E">
        <w:rPr>
          <w:rFonts w:ascii="Times New Roman" w:eastAsia="Times New Roman" w:hAnsi="Times New Roman" w:cs="Times New Roman"/>
          <w:sz w:val="18"/>
          <w:szCs w:val="18"/>
          <w:lang w:val="es-ES"/>
        </w:rPr>
        <w:t xml:space="preserve"> (CED/C/CUB/CO/1). Naciones Unidas.</w:t>
      </w:r>
    </w:p>
  </w:footnote>
  <w:footnote w:id="3">
    <w:p w14:paraId="0BD4ACF3" w14:textId="77777777" w:rsidR="00472E09" w:rsidRPr="00013C6E" w:rsidRDefault="002D3E48">
      <w:pPr>
        <w:spacing w:after="0"/>
        <w:rPr>
          <w:rFonts w:ascii="Times New Roman" w:eastAsia="Times New Roman" w:hAnsi="Times New Roman" w:cs="Times New Roman"/>
          <w:sz w:val="18"/>
          <w:szCs w:val="18"/>
          <w:lang w:val="es-ES"/>
        </w:rPr>
      </w:pPr>
      <w:r>
        <w:rPr>
          <w:vertAlign w:val="superscript"/>
        </w:rPr>
        <w:footnoteRef/>
      </w:r>
      <w:r w:rsidRPr="00013C6E">
        <w:rPr>
          <w:sz w:val="20"/>
          <w:szCs w:val="20"/>
          <w:lang w:val="es-ES"/>
        </w:rPr>
        <w:t xml:space="preserve"> </w:t>
      </w:r>
      <w:r w:rsidRPr="00013C6E">
        <w:rPr>
          <w:rFonts w:ascii="Times New Roman" w:eastAsia="Times New Roman" w:hAnsi="Times New Roman" w:cs="Times New Roman"/>
          <w:sz w:val="18"/>
          <w:szCs w:val="18"/>
          <w:lang w:val="es-ES"/>
        </w:rPr>
        <w:t xml:space="preserve">Comité contra la Desaparición Forzada. (2018). </w:t>
      </w:r>
      <w:r w:rsidRPr="00013C6E">
        <w:rPr>
          <w:rFonts w:ascii="Times New Roman" w:eastAsia="Times New Roman" w:hAnsi="Times New Roman" w:cs="Times New Roman"/>
          <w:i/>
          <w:iCs/>
          <w:sz w:val="18"/>
          <w:szCs w:val="18"/>
          <w:lang w:val="es-ES"/>
        </w:rPr>
        <w:t>Información recibida de Cuba sobre el seguimiento de las observaciones finales (CED/C/CUB/CO/1/Add.1).</w:t>
      </w:r>
      <w:r w:rsidRPr="00013C6E">
        <w:rPr>
          <w:rFonts w:ascii="Times New Roman" w:eastAsia="Times New Roman" w:hAnsi="Times New Roman" w:cs="Times New Roman"/>
          <w:sz w:val="18"/>
          <w:szCs w:val="18"/>
          <w:lang w:val="es-ES"/>
        </w:rPr>
        <w:t xml:space="preserve"> Naciones Unidas. </w:t>
      </w:r>
    </w:p>
  </w:footnote>
  <w:footnote w:id="4">
    <w:p w14:paraId="78FB952E" w14:textId="77777777" w:rsidR="00472E09" w:rsidRPr="00013C6E" w:rsidRDefault="002D3E48">
      <w:pPr>
        <w:spacing w:after="0"/>
        <w:rPr>
          <w:sz w:val="20"/>
          <w:szCs w:val="20"/>
          <w:lang w:val="es-ES"/>
        </w:rPr>
      </w:pPr>
      <w:r>
        <w:rPr>
          <w:vertAlign w:val="superscript"/>
        </w:rPr>
        <w:footnoteRef/>
      </w:r>
      <w:r w:rsidRPr="00013C6E">
        <w:rPr>
          <w:sz w:val="20"/>
          <w:szCs w:val="20"/>
          <w:lang w:val="es-ES"/>
        </w:rPr>
        <w:t xml:space="preserve"> </w:t>
      </w:r>
      <w:r w:rsidRPr="00013C6E">
        <w:rPr>
          <w:rFonts w:ascii="Times New Roman" w:eastAsia="Times New Roman" w:hAnsi="Times New Roman" w:cs="Times New Roman"/>
          <w:sz w:val="18"/>
          <w:szCs w:val="18"/>
          <w:lang w:val="es-ES"/>
        </w:rPr>
        <w:t xml:space="preserve">Comité contra la Desaparición Forzada. (2024). </w:t>
      </w:r>
      <w:r w:rsidRPr="00013C6E">
        <w:rPr>
          <w:rFonts w:ascii="Times New Roman" w:eastAsia="Times New Roman" w:hAnsi="Times New Roman" w:cs="Times New Roman"/>
          <w:i/>
          <w:iCs/>
          <w:sz w:val="18"/>
          <w:szCs w:val="18"/>
          <w:lang w:val="es-ES"/>
        </w:rPr>
        <w:t>Información complementaria presentada por Cuba con arreglo al artículo 29, párrafo 4, de la Convención</w:t>
      </w:r>
      <w:r w:rsidRPr="00013C6E">
        <w:rPr>
          <w:rFonts w:ascii="Times New Roman" w:eastAsia="Times New Roman" w:hAnsi="Times New Roman" w:cs="Times New Roman"/>
          <w:sz w:val="18"/>
          <w:szCs w:val="18"/>
          <w:lang w:val="es-ES"/>
        </w:rPr>
        <w:t xml:space="preserve"> (CED/C/CUB/AI/1). Naciones Unidas.</w:t>
      </w:r>
    </w:p>
  </w:footnote>
  <w:footnote w:id="5">
    <w:p w14:paraId="6696FAAC" w14:textId="77777777" w:rsidR="00472E09" w:rsidRPr="00013C6E" w:rsidRDefault="002D3E48">
      <w:pPr>
        <w:spacing w:after="0"/>
        <w:rPr>
          <w:sz w:val="18"/>
          <w:szCs w:val="18"/>
          <w:highlight w:val="white"/>
          <w:lang w:val="es-ES"/>
        </w:rPr>
      </w:pPr>
      <w:r>
        <w:rPr>
          <w:vertAlign w:val="superscript"/>
        </w:rPr>
        <w:footnoteRef/>
      </w:r>
      <w:r w:rsidRPr="00013C6E">
        <w:rPr>
          <w:sz w:val="18"/>
          <w:szCs w:val="18"/>
          <w:lang w:val="es-ES"/>
        </w:rPr>
        <w:t xml:space="preserve"> </w:t>
      </w:r>
      <w:r w:rsidRPr="00013C6E">
        <w:rPr>
          <w:rFonts w:ascii="Times New Roman" w:eastAsia="Times New Roman" w:hAnsi="Times New Roman" w:cs="Times New Roman"/>
          <w:sz w:val="18"/>
          <w:szCs w:val="18"/>
          <w:highlight w:val="white"/>
          <w:lang w:val="es-ES"/>
        </w:rPr>
        <w:t xml:space="preserve">El caso de Michael Hernández permite conectar la inspección independiente con la obligación de verificar registros de traslado y notificación a familiares. Cubalex reportó que, tras acudir a una citación en una unidad policial de Pinar del Río, fue trasladado a una dependencia de investigación sin que su madre recibiera información inmediata sobre su paradero. Cubalex. (2025, 4 de octubre). </w:t>
      </w:r>
      <w:hyperlink r:id="rId2">
        <w:r w:rsidRPr="00013C6E">
          <w:rPr>
            <w:rFonts w:ascii="Times New Roman" w:eastAsia="Times New Roman" w:hAnsi="Times New Roman" w:cs="Times New Roman"/>
            <w:i/>
            <w:iCs/>
            <w:color w:val="1155CC"/>
            <w:sz w:val="18"/>
            <w:szCs w:val="18"/>
            <w:highlight w:val="white"/>
            <w:u w:val="single"/>
            <w:lang w:val="es-ES"/>
          </w:rPr>
          <w:t>Ex prisionero político Michael Hernández denuncia detención arbitraria y tortura</w:t>
        </w:r>
      </w:hyperlink>
      <w:hyperlink r:id="rId3">
        <w:r w:rsidRPr="00013C6E">
          <w:rPr>
            <w:rFonts w:ascii="Times New Roman" w:eastAsia="Times New Roman" w:hAnsi="Times New Roman" w:cs="Times New Roman"/>
            <w:color w:val="1155CC"/>
            <w:sz w:val="18"/>
            <w:szCs w:val="18"/>
            <w:highlight w:val="white"/>
            <w:u w:val="single"/>
            <w:lang w:val="es-ES"/>
          </w:rPr>
          <w:t xml:space="preserve">. </w:t>
        </w:r>
      </w:hyperlink>
      <w:r w:rsidRPr="00013C6E">
        <w:rPr>
          <w:rFonts w:ascii="Times New Roman" w:eastAsia="Times New Roman" w:hAnsi="Times New Roman" w:cs="Times New Roman"/>
          <w:sz w:val="18"/>
          <w:szCs w:val="18"/>
          <w:lang w:val="es-ES"/>
        </w:rPr>
        <w:t xml:space="preserve"> </w:t>
      </w:r>
    </w:p>
  </w:footnote>
  <w:footnote w:id="6">
    <w:p w14:paraId="491B8727" w14:textId="77777777" w:rsidR="00472E09" w:rsidRPr="00013C6E" w:rsidRDefault="002D3E48">
      <w:pPr>
        <w:spacing w:after="0"/>
        <w:rPr>
          <w:sz w:val="20"/>
          <w:szCs w:val="20"/>
          <w:lang w:val="es-ES"/>
        </w:rPr>
      </w:pPr>
      <w:r>
        <w:rPr>
          <w:vertAlign w:val="superscript"/>
        </w:rPr>
        <w:footnoteRef/>
      </w:r>
      <w:r w:rsidRPr="00013C6E">
        <w:rPr>
          <w:sz w:val="20"/>
          <w:szCs w:val="20"/>
          <w:lang w:val="es-ES"/>
        </w:rPr>
        <w:t xml:space="preserve"> </w:t>
      </w:r>
      <w:r w:rsidRPr="00013C6E">
        <w:rPr>
          <w:rFonts w:ascii="Times New Roman" w:eastAsia="Times New Roman" w:hAnsi="Times New Roman" w:cs="Times New Roman"/>
          <w:sz w:val="18"/>
          <w:szCs w:val="18"/>
          <w:lang w:val="es-ES"/>
        </w:rPr>
        <w:t xml:space="preserve">Cubalex ha documentado casos en los que el riesgo de ocultamiento del paradero se produce en el tránsito entre estaciones policiales, centros de instrucción penal, dependencias del DTI y centros de la Seguridad del Estado. Por ejemplo, en el caso de Ankeilys Guerra Fis, Cubalex reportó su arresto violento, traslado inicial a la unidad de la PNR de Aguilera y posterior reclusión en Villa Marista, con bloqueo de información a su familiar directa. Cubalex. (2026, 28 de enero). </w:t>
      </w:r>
      <w:hyperlink r:id="rId4">
        <w:r w:rsidRPr="00013C6E">
          <w:rPr>
            <w:rFonts w:ascii="Times New Roman" w:eastAsia="Times New Roman" w:hAnsi="Times New Roman" w:cs="Times New Roman"/>
            <w:i/>
            <w:iCs/>
            <w:color w:val="1155CC"/>
            <w:sz w:val="18"/>
            <w:szCs w:val="18"/>
            <w:u w:val="single"/>
            <w:lang w:val="es-ES"/>
          </w:rPr>
          <w:t>Ankeilys Guerra permanece incomunicado tras detención arbitraria en Cuba</w:t>
        </w:r>
      </w:hyperlink>
      <w:r w:rsidRPr="00013C6E">
        <w:rPr>
          <w:rFonts w:ascii="Times New Roman" w:eastAsia="Times New Roman" w:hAnsi="Times New Roman" w:cs="Times New Roman"/>
          <w:sz w:val="18"/>
          <w:szCs w:val="18"/>
          <w:lang w:val="es-ES"/>
        </w:rPr>
        <w:t xml:space="preserve">. </w:t>
      </w:r>
    </w:p>
  </w:footnote>
  <w:footnote w:id="7">
    <w:p w14:paraId="401CC7DF" w14:textId="77777777" w:rsidR="00472E09" w:rsidRPr="00013C6E" w:rsidRDefault="002D3E48">
      <w:pPr>
        <w:spacing w:after="0"/>
        <w:rPr>
          <w:sz w:val="20"/>
          <w:szCs w:val="20"/>
          <w:lang w:val="es-ES"/>
        </w:rPr>
      </w:pPr>
      <w:r>
        <w:rPr>
          <w:vertAlign w:val="superscript"/>
        </w:rPr>
        <w:footnoteRef/>
      </w:r>
      <w:r w:rsidRPr="00013C6E">
        <w:rPr>
          <w:sz w:val="20"/>
          <w:szCs w:val="20"/>
          <w:lang w:val="es-ES"/>
        </w:rPr>
        <w:t xml:space="preserve"> </w:t>
      </w:r>
      <w:r w:rsidRPr="00013C6E">
        <w:rPr>
          <w:rFonts w:ascii="Times New Roman" w:eastAsia="Times New Roman" w:hAnsi="Times New Roman" w:cs="Times New Roman"/>
          <w:sz w:val="18"/>
          <w:szCs w:val="18"/>
          <w:lang w:val="es-ES"/>
        </w:rPr>
        <w:t xml:space="preserve">Del mismo modo, las acciones urgentes activadas por el CED en favor de José Daniel Ferrer García y Félix Navarro Rodríguez refuerzan la necesidad de garantizar inspecciones independientes que permitan verificar el paradero real, la integridad física y el acceso familiar en centros penitenciarios. Cubalex. (2025, 2 de mayo). </w:t>
      </w:r>
      <w:hyperlink r:id="rId5">
        <w:r w:rsidRPr="00013C6E">
          <w:rPr>
            <w:rFonts w:ascii="Times New Roman" w:eastAsia="Times New Roman" w:hAnsi="Times New Roman" w:cs="Times New Roman"/>
            <w:i/>
            <w:iCs/>
            <w:color w:val="1155CC"/>
            <w:sz w:val="18"/>
            <w:szCs w:val="18"/>
            <w:u w:val="single"/>
            <w:lang w:val="es-ES"/>
          </w:rPr>
          <w:t>El Comité contra la Desaparición Forzada activa dos acciones urgentes por desapariciones en Cuba</w:t>
        </w:r>
      </w:hyperlink>
      <w:r w:rsidRPr="00013C6E">
        <w:rPr>
          <w:rFonts w:ascii="Times New Roman" w:eastAsia="Times New Roman" w:hAnsi="Times New Roman" w:cs="Times New Roman"/>
          <w:sz w:val="18"/>
          <w:szCs w:val="18"/>
          <w:lang w:val="es-ES"/>
        </w:rPr>
        <w:t>.</w:t>
      </w:r>
      <w:hyperlink r:id="rId6">
        <w:r w:rsidRPr="00013C6E">
          <w:rPr>
            <w:rFonts w:ascii="Times New Roman" w:eastAsia="Times New Roman" w:hAnsi="Times New Roman" w:cs="Times New Roman"/>
            <w:sz w:val="18"/>
            <w:szCs w:val="18"/>
            <w:lang w:val="es-ES"/>
          </w:rPr>
          <w:t xml:space="preserve"> </w:t>
        </w:r>
      </w:hyperlink>
    </w:p>
  </w:footnote>
  <w:footnote w:id="8">
    <w:p w14:paraId="2B2C94A6" w14:textId="77777777" w:rsidR="00472E09" w:rsidRPr="00013C6E" w:rsidRDefault="002D3E48">
      <w:pPr>
        <w:spacing w:after="0"/>
        <w:rPr>
          <w:sz w:val="18"/>
          <w:szCs w:val="18"/>
          <w:lang w:val="es-ES"/>
        </w:rPr>
      </w:pPr>
      <w:r>
        <w:rPr>
          <w:vertAlign w:val="superscript"/>
        </w:rPr>
        <w:footnoteRef/>
      </w:r>
      <w:r w:rsidRPr="00013C6E">
        <w:rPr>
          <w:sz w:val="20"/>
          <w:szCs w:val="20"/>
          <w:lang w:val="es-ES"/>
        </w:rPr>
        <w:t xml:space="preserve"> </w:t>
      </w:r>
      <w:r w:rsidRPr="00013C6E">
        <w:rPr>
          <w:rFonts w:ascii="Times New Roman" w:eastAsia="Times New Roman" w:hAnsi="Times New Roman" w:cs="Times New Roman"/>
          <w:sz w:val="18"/>
          <w:szCs w:val="18"/>
          <w:lang w:val="es-ES"/>
        </w:rPr>
        <w:t xml:space="preserve">Cubalex ha reportado muertes bajo custodia y fallas graves en atención médica penitenciaria, lo que refuerza la necesidad de que las inspecciones incluyan hospitales penitenciarios, enfermerías, historias clínicas y respuestas ante emergencias médicas. En septiembre de 2024, Cubalex señaló que entre enero de 2022 y enero de 2024 registró 56 muertes bajo custodia en Cuba. Cubalex. (2024, 17 de septiembre). </w:t>
      </w:r>
      <w:hyperlink r:id="rId7">
        <w:r w:rsidRPr="00013C6E">
          <w:rPr>
            <w:rFonts w:ascii="Times New Roman" w:eastAsia="Times New Roman" w:hAnsi="Times New Roman" w:cs="Times New Roman"/>
            <w:i/>
            <w:iCs/>
            <w:color w:val="1155CC"/>
            <w:sz w:val="18"/>
            <w:szCs w:val="18"/>
            <w:u w:val="single"/>
            <w:lang w:val="es-ES"/>
          </w:rPr>
          <w:t>Graves violaciones de derechos humanos en las prisiones cubanas</w:t>
        </w:r>
      </w:hyperlink>
      <w:r w:rsidRPr="00013C6E">
        <w:rPr>
          <w:rFonts w:ascii="Times New Roman" w:eastAsia="Times New Roman" w:hAnsi="Times New Roman" w:cs="Times New Roman"/>
          <w:sz w:val="18"/>
          <w:szCs w:val="18"/>
          <w:lang w:val="es-ES"/>
        </w:rPr>
        <w:t>.</w:t>
      </w:r>
      <w:hyperlink r:id="rId8">
        <w:r w:rsidRPr="00013C6E">
          <w:rPr>
            <w:rFonts w:ascii="Times New Roman" w:eastAsia="Times New Roman" w:hAnsi="Times New Roman" w:cs="Times New Roman"/>
            <w:sz w:val="18"/>
            <w:szCs w:val="18"/>
            <w:lang w:val="es-ES"/>
          </w:rPr>
          <w:t xml:space="preserve"> </w:t>
        </w:r>
      </w:hyperlink>
    </w:p>
  </w:footnote>
  <w:footnote w:id="9">
    <w:p w14:paraId="684F6797" w14:textId="77777777" w:rsidR="00472E09" w:rsidRPr="00013C6E" w:rsidRDefault="002D3E48">
      <w:pPr>
        <w:spacing w:after="0"/>
        <w:rPr>
          <w:sz w:val="18"/>
          <w:szCs w:val="18"/>
          <w:lang w:val="es-ES"/>
        </w:rPr>
      </w:pPr>
      <w:r>
        <w:rPr>
          <w:vertAlign w:val="superscript"/>
        </w:rPr>
        <w:footnoteRef/>
      </w:r>
      <w:r w:rsidRPr="00013C6E">
        <w:rPr>
          <w:sz w:val="20"/>
          <w:szCs w:val="20"/>
          <w:lang w:val="es-ES"/>
        </w:rPr>
        <w:t xml:space="preserve"> </w:t>
      </w:r>
      <w:r w:rsidRPr="00013C6E">
        <w:rPr>
          <w:rFonts w:ascii="Times New Roman" w:eastAsia="Times New Roman" w:hAnsi="Times New Roman" w:cs="Times New Roman"/>
          <w:sz w:val="18"/>
          <w:szCs w:val="18"/>
          <w:lang w:val="es-ES"/>
        </w:rPr>
        <w:t xml:space="preserve">La documentación de Cubalex sobre represión por asociación muestra que familiares de personas privadas de libertad que intentan denunciar abusos pueden ser objeto de amenazas o presiones, lo que hace indispensable que las entrevistas durante inspecciones sean confidenciales y cuenten con seguimiento posterior. Cubalex. (2026, 2 de junio). </w:t>
      </w:r>
      <w:hyperlink r:id="rId9">
        <w:r w:rsidRPr="00013C6E">
          <w:rPr>
            <w:rFonts w:ascii="Times New Roman" w:eastAsia="Times New Roman" w:hAnsi="Times New Roman" w:cs="Times New Roman"/>
            <w:i/>
            <w:iCs/>
            <w:color w:val="1155CC"/>
            <w:sz w:val="18"/>
            <w:szCs w:val="18"/>
            <w:u w:val="single"/>
            <w:lang w:val="es-ES"/>
          </w:rPr>
          <w:t>Represión por asociación en Cuba: cuando el castigo alcanza a la familia y las redes de apoyo</w:t>
        </w:r>
      </w:hyperlink>
      <w:hyperlink r:id="rId10">
        <w:r w:rsidRPr="00013C6E">
          <w:rPr>
            <w:rFonts w:ascii="Times New Roman" w:eastAsia="Times New Roman" w:hAnsi="Times New Roman" w:cs="Times New Roman"/>
            <w:color w:val="1155CC"/>
            <w:sz w:val="18"/>
            <w:szCs w:val="18"/>
            <w:u w:val="single"/>
            <w:lang w:val="es-ES"/>
          </w:rPr>
          <w:t>.</w:t>
        </w:r>
      </w:hyperlink>
      <w:hyperlink r:id="rId11">
        <w:r w:rsidRPr="00013C6E">
          <w:rPr>
            <w:rFonts w:ascii="Times New Roman" w:eastAsia="Times New Roman" w:hAnsi="Times New Roman" w:cs="Times New Roman"/>
            <w:sz w:val="18"/>
            <w:szCs w:val="18"/>
            <w:lang w:val="es-ES"/>
          </w:rPr>
          <w:t xml:space="preserve"> </w:t>
        </w:r>
      </w:hyperlink>
    </w:p>
  </w:footnote>
  <w:footnote w:id="10">
    <w:p w14:paraId="4945EA0A" w14:textId="77777777" w:rsidR="00472E09" w:rsidRPr="00013C6E" w:rsidRDefault="002D3E48">
      <w:pPr>
        <w:spacing w:after="0"/>
        <w:rPr>
          <w:sz w:val="20"/>
          <w:szCs w:val="20"/>
          <w:lang w:val="es-ES"/>
        </w:rPr>
      </w:pPr>
      <w:r>
        <w:rPr>
          <w:vertAlign w:val="superscript"/>
        </w:rPr>
        <w:footnoteRef/>
      </w:r>
      <w:r w:rsidRPr="00013C6E">
        <w:rPr>
          <w:sz w:val="20"/>
          <w:szCs w:val="20"/>
          <w:lang w:val="es-ES"/>
        </w:rPr>
        <w:t xml:space="preserve"> </w:t>
      </w:r>
      <w:r w:rsidRPr="00013C6E">
        <w:rPr>
          <w:rFonts w:ascii="Times New Roman" w:eastAsia="Times New Roman" w:hAnsi="Times New Roman" w:cs="Times New Roman"/>
          <w:sz w:val="18"/>
          <w:szCs w:val="18"/>
          <w:lang w:val="es-ES"/>
        </w:rPr>
        <w:t xml:space="preserve">Cubalex ha denunciado prácticas de interferencia contra personas privadas de libertad que presentan denuncias, incluida la incitación de otros reclusos a agredir a quienes reclaman derechos, lo que conecta directamente con la necesidad de preguntar por mecanismos independientes de protección contra represalias posteriores a quejas o entrevistas de inspección. Cubalex. (2024, 10 de septiembre). </w:t>
      </w:r>
      <w:hyperlink r:id="rId12">
        <w:r w:rsidRPr="00013C6E">
          <w:rPr>
            <w:rFonts w:ascii="Times New Roman" w:eastAsia="Times New Roman" w:hAnsi="Times New Roman" w:cs="Times New Roman"/>
            <w:i/>
            <w:iCs/>
            <w:color w:val="1155CC"/>
            <w:sz w:val="18"/>
            <w:szCs w:val="18"/>
            <w:u w:val="single"/>
            <w:lang w:val="es-ES"/>
          </w:rPr>
          <w:t>Falta de acceso a la justicia en las prisiones cubanas</w:t>
        </w:r>
      </w:hyperlink>
      <w:r w:rsidRPr="00013C6E">
        <w:rPr>
          <w:rFonts w:ascii="Times New Roman" w:eastAsia="Times New Roman" w:hAnsi="Times New Roman" w:cs="Times New Roman"/>
          <w:sz w:val="18"/>
          <w:szCs w:val="18"/>
          <w:lang w:val="es-ES"/>
        </w:rPr>
        <w:t>.</w:t>
      </w:r>
      <w:hyperlink r:id="rId13">
        <w:r w:rsidRPr="00013C6E">
          <w:rPr>
            <w:rFonts w:ascii="Times New Roman" w:eastAsia="Times New Roman" w:hAnsi="Times New Roman" w:cs="Times New Roman"/>
            <w:sz w:val="18"/>
            <w:szCs w:val="18"/>
            <w:lang w:val="es-ES"/>
          </w:rPr>
          <w:t xml:space="preserve"> </w:t>
        </w:r>
      </w:hyperlink>
    </w:p>
  </w:footnote>
  <w:footnote w:id="11">
    <w:p w14:paraId="1A3067D6" w14:textId="77777777" w:rsidR="00472E09" w:rsidRPr="00013C6E" w:rsidRDefault="002D3E48">
      <w:pPr>
        <w:spacing w:after="0"/>
        <w:rPr>
          <w:sz w:val="18"/>
          <w:szCs w:val="18"/>
          <w:lang w:val="es-ES"/>
        </w:rPr>
      </w:pPr>
      <w:r>
        <w:rPr>
          <w:vertAlign w:val="superscript"/>
        </w:rPr>
        <w:footnoteRef/>
      </w:r>
      <w:r w:rsidRPr="00013C6E">
        <w:rPr>
          <w:sz w:val="18"/>
          <w:szCs w:val="18"/>
          <w:lang w:val="es-ES"/>
        </w:rPr>
        <w:t xml:space="preserve"> </w:t>
      </w:r>
      <w:r w:rsidRPr="00013C6E">
        <w:rPr>
          <w:rFonts w:ascii="Times New Roman" w:eastAsia="Times New Roman" w:hAnsi="Times New Roman" w:cs="Times New Roman"/>
          <w:sz w:val="18"/>
          <w:szCs w:val="18"/>
          <w:lang w:val="es-ES"/>
        </w:rPr>
        <w:t xml:space="preserve">El caso de Javier Ernesto Martín Gutiérrez ilustra la necesidad de que cualquier mecanismo de inspección pueda ingresar a centros de la Seguridad del Estado, incluidas Villa Marista y dependencias no penitenciarias donde personas detenidas pueden permanecer incomunicadas o bajo categorías administrativas ambiguas. Cubalex documentó que fue detenido violentamente por personas vestidas de civil en Marianao y mantenido en paradero desconocido. Cubalex. (2026, 24 de abril). </w:t>
      </w:r>
      <w:hyperlink r:id="rId14">
        <w:r w:rsidRPr="00013C6E">
          <w:rPr>
            <w:rFonts w:ascii="Times New Roman" w:eastAsia="Times New Roman" w:hAnsi="Times New Roman" w:cs="Times New Roman"/>
            <w:i/>
            <w:iCs/>
            <w:color w:val="1155CC"/>
            <w:sz w:val="18"/>
            <w:szCs w:val="18"/>
            <w:u w:val="single"/>
            <w:lang w:val="es-ES"/>
          </w:rPr>
          <w:t>Javier Ernesto Martín Gutiérrez en paradero desconocido tras violenta detención en La Habana</w:t>
        </w:r>
      </w:hyperlink>
      <w:r w:rsidRPr="00013C6E">
        <w:rPr>
          <w:rFonts w:ascii="Times New Roman" w:eastAsia="Times New Roman" w:hAnsi="Times New Roman" w:cs="Times New Roman"/>
          <w:sz w:val="18"/>
          <w:szCs w:val="18"/>
          <w:lang w:val="es-ES"/>
        </w:rPr>
        <w:t>.</w:t>
      </w:r>
      <w:hyperlink r:id="rId15">
        <w:r w:rsidRPr="00013C6E">
          <w:rPr>
            <w:rFonts w:ascii="Times New Roman" w:eastAsia="Times New Roman" w:hAnsi="Times New Roman" w:cs="Times New Roman"/>
            <w:sz w:val="18"/>
            <w:szCs w:val="18"/>
            <w:lang w:val="es-ES"/>
          </w:rPr>
          <w:t xml:space="preserve"> </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B0AD7" w14:textId="77777777" w:rsidR="00472E09" w:rsidRDefault="002D3E48">
    <w:pPr>
      <w:jc w:val="center"/>
    </w:pPr>
    <w:r>
      <w:rPr>
        <w:noProof/>
      </w:rPr>
      <w:drawing>
        <wp:inline distT="114300" distB="114300" distL="114300" distR="114300" wp14:anchorId="195FC6B9" wp14:editId="0A5773CA">
          <wp:extent cx="3328988" cy="122402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328988" cy="122402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F2501"/>
    <w:multiLevelType w:val="multilevel"/>
    <w:tmpl w:val="BF00F5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4801A34"/>
    <w:multiLevelType w:val="multilevel"/>
    <w:tmpl w:val="CA941D34"/>
    <w:lvl w:ilvl="0">
      <w:start w:val="4"/>
      <w:numFmt w:val="upperRoman"/>
      <w:lvlText w:val="%1."/>
      <w:lvlJc w:val="left"/>
      <w:pPr>
        <w:ind w:left="720" w:hanging="360"/>
      </w:pPr>
    </w:lvl>
    <w:lvl w:ilvl="1">
      <w:start w:val="4"/>
      <w:numFmt w:val="upperRoman"/>
      <w:lvlText w:val="%2."/>
      <w:lvlJc w:val="left"/>
      <w:pPr>
        <w:ind w:left="1440" w:hanging="360"/>
      </w:pPr>
    </w:lvl>
    <w:lvl w:ilvl="2">
      <w:start w:val="4"/>
      <w:numFmt w:val="upperRoman"/>
      <w:lvlText w:val="%3."/>
      <w:lvlJc w:val="left"/>
      <w:pPr>
        <w:ind w:left="2160" w:hanging="360"/>
      </w:pPr>
    </w:lvl>
    <w:lvl w:ilvl="3">
      <w:start w:val="4"/>
      <w:numFmt w:val="upperRoman"/>
      <w:lvlText w:val="%4."/>
      <w:lvlJc w:val="left"/>
      <w:pPr>
        <w:ind w:left="2880" w:hanging="360"/>
      </w:pPr>
    </w:lvl>
    <w:lvl w:ilvl="4">
      <w:start w:val="4"/>
      <w:numFmt w:val="upperRoman"/>
      <w:lvlText w:val="%5."/>
      <w:lvlJc w:val="left"/>
      <w:pPr>
        <w:ind w:left="3600" w:hanging="360"/>
      </w:pPr>
    </w:lvl>
    <w:lvl w:ilvl="5">
      <w:start w:val="4"/>
      <w:numFmt w:val="upperRoman"/>
      <w:lvlText w:val="%6."/>
      <w:lvlJc w:val="left"/>
      <w:pPr>
        <w:ind w:left="4320" w:hanging="360"/>
      </w:pPr>
    </w:lvl>
    <w:lvl w:ilvl="6">
      <w:start w:val="4"/>
      <w:numFmt w:val="upperRoman"/>
      <w:lvlText w:val="%7."/>
      <w:lvlJc w:val="left"/>
      <w:pPr>
        <w:ind w:left="5040" w:hanging="360"/>
      </w:pPr>
    </w:lvl>
    <w:lvl w:ilvl="7">
      <w:start w:val="4"/>
      <w:numFmt w:val="upperRoman"/>
      <w:lvlText w:val="%8."/>
      <w:lvlJc w:val="left"/>
      <w:pPr>
        <w:ind w:left="5760" w:hanging="360"/>
      </w:pPr>
    </w:lvl>
    <w:lvl w:ilvl="8">
      <w:start w:val="4"/>
      <w:numFmt w:val="upperRoman"/>
      <w:lvlText w:val="%9."/>
      <w:lvlJc w:val="left"/>
      <w:pPr>
        <w:ind w:left="6480" w:hanging="360"/>
      </w:pPr>
    </w:lvl>
  </w:abstractNum>
  <w:abstractNum w:abstractNumId="2" w15:restartNumberingAfterBreak="0">
    <w:nsid w:val="26793452"/>
    <w:multiLevelType w:val="multilevel"/>
    <w:tmpl w:val="D590AE8A"/>
    <w:lvl w:ilvl="0">
      <w:start w:val="2"/>
      <w:numFmt w:val="upperRoman"/>
      <w:lvlText w:val="%1."/>
      <w:lvlJc w:val="left"/>
      <w:pPr>
        <w:ind w:left="720" w:hanging="360"/>
      </w:pPr>
    </w:lvl>
    <w:lvl w:ilvl="1">
      <w:start w:val="2"/>
      <w:numFmt w:val="upperRoman"/>
      <w:lvlText w:val="%2."/>
      <w:lvlJc w:val="left"/>
      <w:pPr>
        <w:ind w:left="1440" w:hanging="360"/>
      </w:pPr>
    </w:lvl>
    <w:lvl w:ilvl="2">
      <w:start w:val="2"/>
      <w:numFmt w:val="upperRoman"/>
      <w:lvlText w:val="%3."/>
      <w:lvlJc w:val="left"/>
      <w:pPr>
        <w:ind w:left="2160" w:hanging="360"/>
      </w:pPr>
    </w:lvl>
    <w:lvl w:ilvl="3">
      <w:start w:val="2"/>
      <w:numFmt w:val="upperRoman"/>
      <w:lvlText w:val="%4."/>
      <w:lvlJc w:val="left"/>
      <w:pPr>
        <w:ind w:left="2880" w:hanging="360"/>
      </w:pPr>
    </w:lvl>
    <w:lvl w:ilvl="4">
      <w:start w:val="2"/>
      <w:numFmt w:val="upperRoman"/>
      <w:lvlText w:val="%5."/>
      <w:lvlJc w:val="left"/>
      <w:pPr>
        <w:ind w:left="3600" w:hanging="360"/>
      </w:pPr>
    </w:lvl>
    <w:lvl w:ilvl="5">
      <w:start w:val="2"/>
      <w:numFmt w:val="upperRoman"/>
      <w:lvlText w:val="%6."/>
      <w:lvlJc w:val="left"/>
      <w:pPr>
        <w:ind w:left="4320" w:hanging="360"/>
      </w:pPr>
    </w:lvl>
    <w:lvl w:ilvl="6">
      <w:start w:val="2"/>
      <w:numFmt w:val="upperRoman"/>
      <w:lvlText w:val="%7."/>
      <w:lvlJc w:val="left"/>
      <w:pPr>
        <w:ind w:left="5040" w:hanging="360"/>
      </w:pPr>
    </w:lvl>
    <w:lvl w:ilvl="7">
      <w:start w:val="2"/>
      <w:numFmt w:val="upperRoman"/>
      <w:lvlText w:val="%8."/>
      <w:lvlJc w:val="left"/>
      <w:pPr>
        <w:ind w:left="5760" w:hanging="360"/>
      </w:pPr>
    </w:lvl>
    <w:lvl w:ilvl="8">
      <w:start w:val="2"/>
      <w:numFmt w:val="upperRoman"/>
      <w:lvlText w:val="%9."/>
      <w:lvlJc w:val="left"/>
      <w:pPr>
        <w:ind w:left="6480" w:hanging="360"/>
      </w:pPr>
    </w:lvl>
  </w:abstractNum>
  <w:abstractNum w:abstractNumId="3" w15:restartNumberingAfterBreak="0">
    <w:nsid w:val="32FE70C5"/>
    <w:multiLevelType w:val="multilevel"/>
    <w:tmpl w:val="048CE13A"/>
    <w:lvl w:ilvl="0">
      <w:start w:val="3"/>
      <w:numFmt w:val="upperRoman"/>
      <w:lvlText w:val="%1."/>
      <w:lvlJc w:val="left"/>
      <w:pPr>
        <w:ind w:left="720" w:hanging="360"/>
      </w:pPr>
    </w:lvl>
    <w:lvl w:ilvl="1">
      <w:start w:val="3"/>
      <w:numFmt w:val="upperRoman"/>
      <w:lvlText w:val="%2."/>
      <w:lvlJc w:val="left"/>
      <w:pPr>
        <w:ind w:left="1440" w:hanging="360"/>
      </w:pPr>
    </w:lvl>
    <w:lvl w:ilvl="2">
      <w:start w:val="3"/>
      <w:numFmt w:val="upperRoman"/>
      <w:lvlText w:val="%3."/>
      <w:lvlJc w:val="left"/>
      <w:pPr>
        <w:ind w:left="2160" w:hanging="360"/>
      </w:pPr>
    </w:lvl>
    <w:lvl w:ilvl="3">
      <w:start w:val="3"/>
      <w:numFmt w:val="upperRoman"/>
      <w:lvlText w:val="%4."/>
      <w:lvlJc w:val="left"/>
      <w:pPr>
        <w:ind w:left="2880" w:hanging="360"/>
      </w:pPr>
    </w:lvl>
    <w:lvl w:ilvl="4">
      <w:start w:val="3"/>
      <w:numFmt w:val="upperRoman"/>
      <w:lvlText w:val="%5."/>
      <w:lvlJc w:val="left"/>
      <w:pPr>
        <w:ind w:left="3600" w:hanging="360"/>
      </w:pPr>
    </w:lvl>
    <w:lvl w:ilvl="5">
      <w:start w:val="3"/>
      <w:numFmt w:val="upperRoman"/>
      <w:lvlText w:val="%6."/>
      <w:lvlJc w:val="left"/>
      <w:pPr>
        <w:ind w:left="4320" w:hanging="360"/>
      </w:pPr>
    </w:lvl>
    <w:lvl w:ilvl="6">
      <w:start w:val="3"/>
      <w:numFmt w:val="upperRoman"/>
      <w:lvlText w:val="%7."/>
      <w:lvlJc w:val="left"/>
      <w:pPr>
        <w:ind w:left="5040" w:hanging="360"/>
      </w:pPr>
    </w:lvl>
    <w:lvl w:ilvl="7">
      <w:start w:val="3"/>
      <w:numFmt w:val="upperRoman"/>
      <w:lvlText w:val="%8."/>
      <w:lvlJc w:val="left"/>
      <w:pPr>
        <w:ind w:left="5760" w:hanging="360"/>
      </w:pPr>
    </w:lvl>
    <w:lvl w:ilvl="8">
      <w:start w:val="3"/>
      <w:numFmt w:val="upperRoman"/>
      <w:lvlText w:val="%9."/>
      <w:lvlJc w:val="left"/>
      <w:pPr>
        <w:ind w:left="6480" w:hanging="360"/>
      </w:pPr>
    </w:lvl>
  </w:abstractNum>
  <w:num w:numId="1" w16cid:durableId="1213348369">
    <w:abstractNumId w:val="0"/>
  </w:num>
  <w:num w:numId="2" w16cid:durableId="420370980">
    <w:abstractNumId w:val="2"/>
  </w:num>
  <w:num w:numId="3" w16cid:durableId="808941795">
    <w:abstractNumId w:val="3"/>
  </w:num>
  <w:num w:numId="4" w16cid:durableId="1809667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E09"/>
    <w:rsid w:val="00013C6E"/>
    <w:rsid w:val="002D3E48"/>
    <w:rsid w:val="00472E09"/>
    <w:rsid w:val="009D37D3"/>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03E6B"/>
  <w15:docId w15:val="{2C7434B6-B67B-407B-B7AC-57B5E86BC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zh-CN"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80" w:after="180"/>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before="36" w:after="36"/>
      <w:ind w:left="720" w:hanging="360"/>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before="180" w:after="180"/>
      <w:jc w:val="center"/>
    </w:pPr>
    <w:rPr>
      <w:rFonts w:ascii="Times New Roman" w:eastAsia="Times New Roman" w:hAnsi="Times New Roman" w:cs="Times New Roman"/>
      <w:b/>
      <w:bCs/>
      <w:sz w:val="30"/>
      <w:szCs w:val="30"/>
    </w:rPr>
  </w:style>
  <w:style w:type="paragraph" w:styleId="Subtitle">
    <w:name w:val="Subtitle"/>
    <w:basedOn w:val="Normal"/>
    <w:next w:val="Normal"/>
    <w:uiPriority w:val="11"/>
    <w:qFormat/>
    <w:pPr>
      <w:spacing w:after="80"/>
      <w:jc w:val="center"/>
    </w:pPr>
    <w:rPr>
      <w:rFonts w:ascii="Play" w:eastAsia="Play" w:hAnsi="Play" w:cs="Play"/>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mailto:legal@cubalex.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cubalex.org/2024/09/17/graves-violaciones-de-derechos-humanos-en-las-prisiones-cubanas/?utm_source=chatgpt.com" TargetMode="External"/><Relationship Id="rId13" Type="http://schemas.openxmlformats.org/officeDocument/2006/relationships/hyperlink" Target="https://cubalex.org/2024/09/10/falta-de-acceso-a-la-justicia-en-las-prisiones-cubanas/?utm_source=chatgpt.com" TargetMode="External"/><Relationship Id="rId3" Type="http://schemas.openxmlformats.org/officeDocument/2006/relationships/hyperlink" Target="https://cubalex.org/2025/10/04/ex-prisionero-politico-michael-hernandez-denuncia-detencion-arbitraria-y-tortura/" TargetMode="External"/><Relationship Id="rId7" Type="http://schemas.openxmlformats.org/officeDocument/2006/relationships/hyperlink" Target="https://cubalex.org/2024/09/17/graves-violaciones-de-derechos-humanos-en-las-prisiones-cubanas/" TargetMode="External"/><Relationship Id="rId12" Type="http://schemas.openxmlformats.org/officeDocument/2006/relationships/hyperlink" Target="https://cubalex.org/2024/09/10/falta-de-acceso-a-la-justicia-en-las-prisiones-cubanas/" TargetMode="External"/><Relationship Id="rId2" Type="http://schemas.openxmlformats.org/officeDocument/2006/relationships/hyperlink" Target="https://cubalex.org/2025/10/04/ex-prisionero-politico-michael-hernandez-denuncia-detencion-arbitraria-y-tortura/" TargetMode="External"/><Relationship Id="rId1" Type="http://schemas.openxmlformats.org/officeDocument/2006/relationships/hyperlink" Target="https://www.ohchr.org/sites/default/files/disappearance-convention.pdf" TargetMode="External"/><Relationship Id="rId6" Type="http://schemas.openxmlformats.org/officeDocument/2006/relationships/hyperlink" Target="https://cubalex.org/2025/05/02/el-comite-contra-la-desaparicion-forzada-activa-dos-acciones-urgentes-por-desapariciones-en-cuba/?utm_source=chatgpt.com" TargetMode="External"/><Relationship Id="rId11" Type="http://schemas.openxmlformats.org/officeDocument/2006/relationships/hyperlink" Target="https://cubalex.org/2026/06/02/represion-por-asociacion-en-cuba-cuando-el-castigo-alcanza-a-la-familia-y-las-redes-de-apoyo/?utm_source=chatgpt.com" TargetMode="External"/><Relationship Id="rId5" Type="http://schemas.openxmlformats.org/officeDocument/2006/relationships/hyperlink" Target="https://cubalex.org/2025/05/02/el-comite-contra-la-desaparicion-forzada-activa-dos-acciones-urgentes-por-desapariciones-en-cuba/" TargetMode="External"/><Relationship Id="rId15" Type="http://schemas.openxmlformats.org/officeDocument/2006/relationships/hyperlink" Target="https://cubalex.org/2026/04/24/javier-ernesto-martin-gutierrez-en-paradero-desconocido-tras-violenta-detencion-en-la-habana/?utm_source=chatgpt.com" TargetMode="External"/><Relationship Id="rId10" Type="http://schemas.openxmlformats.org/officeDocument/2006/relationships/hyperlink" Target="https://cubalex.org/2026/06/02/represion-por-asociacion-en-cuba-cuando-el-castigo-alcanza-a-la-familia-y-las-redes-de-apoyo/" TargetMode="External"/><Relationship Id="rId4" Type="http://schemas.openxmlformats.org/officeDocument/2006/relationships/hyperlink" Target="https://cubalex.org/2026/01/28/ankeilys-guerra-permanece-incomunicado-tras-detencion-arbitraria-en-cuba/" TargetMode="External"/><Relationship Id="rId9" Type="http://schemas.openxmlformats.org/officeDocument/2006/relationships/hyperlink" Target="https://cubalex.org/2026/06/02/represion-por-asociacion-en-cuba-cuando-el-castigo-alcanza-a-la-familia-y-las-redes-de-apoyo/" TargetMode="External"/><Relationship Id="rId14" Type="http://schemas.openxmlformats.org/officeDocument/2006/relationships/hyperlink" Target="https://cubalex.org/2026/04/24/javier-ernesto-martin-gutierrez-en-paradero-desconocido-tras-violenta-detencion-en-la-haban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2026-07-01T10:01:22+00:00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C6B9DC8-6943-4B71-98E1-8FD06EE451CC}"/>
</file>

<file path=customXml/itemProps2.xml><?xml version="1.0" encoding="utf-8"?>
<ds:datastoreItem xmlns:ds="http://schemas.openxmlformats.org/officeDocument/2006/customXml" ds:itemID="{479529B4-B01F-4460-BAA0-D9D5097505D0}"/>
</file>

<file path=customXml/itemProps3.xml><?xml version="1.0" encoding="utf-8"?>
<ds:datastoreItem xmlns:ds="http://schemas.openxmlformats.org/officeDocument/2006/customXml" ds:itemID="{6C1A36FD-2122-4F6F-8696-CBB2E5D20D5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3770</Words>
  <Characters>21489</Characters>
  <Application>Microsoft Office Word</Application>
  <DocSecurity>0</DocSecurity>
  <Lines>179</Lines>
  <Paragraphs>50</Paragraphs>
  <ScaleCrop>false</ScaleCrop>
  <Company/>
  <LinksUpToDate>false</LinksUpToDate>
  <CharactersWithSpaces>25209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Perrine Deja</dc:creator>
  <cp:lastModifiedBy>Perrine Deja</cp:lastModifiedBy>
  <cp:revision>2</cp:revision>
  <dcterms:created xsi:type="dcterms:W3CDTF">2026-07-01T10:01:00Z</dcterms:created>
  <dcterms:modified xsi:type="dcterms:W3CDTF">2026-07-01T10:01:00Z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