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74C52" w14:textId="77777777" w:rsidR="00E87476" w:rsidRDefault="00E87476" w:rsidP="00E87476">
      <w:pPr>
        <w:rPr>
          <w:b/>
          <w:sz w:val="32"/>
          <w:szCs w:val="32"/>
        </w:rPr>
      </w:pPr>
    </w:p>
    <w:p w14:paraId="35779F7C" w14:textId="77777777" w:rsidR="00E87476" w:rsidRDefault="00E87476" w:rsidP="00E87476">
      <w:pPr>
        <w:jc w:val="center"/>
        <w:rPr>
          <w:b/>
          <w:sz w:val="32"/>
          <w:szCs w:val="32"/>
        </w:rPr>
      </w:pPr>
    </w:p>
    <w:p w14:paraId="492E2CA4" w14:textId="77777777" w:rsidR="00E87476" w:rsidRPr="005F2651" w:rsidRDefault="00E87476" w:rsidP="00E87476">
      <w:pPr>
        <w:jc w:val="center"/>
        <w:rPr>
          <w:rFonts w:ascii="Trebuchet MS" w:hAnsi="Trebuchet MS"/>
          <w:b/>
          <w:sz w:val="32"/>
          <w:szCs w:val="32"/>
        </w:rPr>
      </w:pPr>
      <w:r w:rsidRPr="005F2651">
        <w:rPr>
          <w:rFonts w:ascii="Trebuchet MS" w:hAnsi="Trebuchet MS"/>
          <w:b/>
          <w:sz w:val="32"/>
          <w:szCs w:val="32"/>
        </w:rPr>
        <w:t xml:space="preserve">THEMATIC REPORT ON FAMILY LAW AND </w:t>
      </w:r>
    </w:p>
    <w:p w14:paraId="0B736C31" w14:textId="77777777" w:rsidR="00E87476" w:rsidRPr="005F2651" w:rsidRDefault="00E87476" w:rsidP="00E87476">
      <w:pPr>
        <w:jc w:val="center"/>
        <w:rPr>
          <w:rFonts w:ascii="Trebuchet MS" w:hAnsi="Trebuchet MS"/>
          <w:b/>
          <w:sz w:val="32"/>
          <w:szCs w:val="32"/>
        </w:rPr>
      </w:pPr>
      <w:r w:rsidRPr="005F2651">
        <w:rPr>
          <w:rFonts w:ascii="Trebuchet MS" w:hAnsi="Trebuchet MS"/>
          <w:b/>
          <w:sz w:val="32"/>
          <w:szCs w:val="32"/>
        </w:rPr>
        <w:t xml:space="preserve">MUSLIM WOMEN’S RIGHTS IN </w:t>
      </w:r>
    </w:p>
    <w:p w14:paraId="660A5AC2" w14:textId="77777777" w:rsidR="00E87476" w:rsidRPr="005F2651" w:rsidRDefault="00E87476" w:rsidP="00E87476">
      <w:pPr>
        <w:jc w:val="center"/>
        <w:rPr>
          <w:rFonts w:ascii="Trebuchet MS" w:hAnsi="Trebuchet MS"/>
          <w:b/>
          <w:sz w:val="32"/>
          <w:szCs w:val="32"/>
        </w:rPr>
      </w:pPr>
    </w:p>
    <w:p w14:paraId="36489ED7" w14:textId="2B004370" w:rsidR="00E87476" w:rsidRPr="005F2651" w:rsidRDefault="00513047" w:rsidP="00E87476">
      <w:pPr>
        <w:jc w:val="center"/>
        <w:rPr>
          <w:rFonts w:ascii="Trebuchet MS" w:hAnsi="Trebuchet MS"/>
          <w:b/>
          <w:sz w:val="40"/>
          <w:szCs w:val="40"/>
        </w:rPr>
      </w:pPr>
      <w:r>
        <w:rPr>
          <w:rFonts w:ascii="Trebuchet MS" w:hAnsi="Trebuchet MS"/>
          <w:b/>
          <w:sz w:val="40"/>
          <w:szCs w:val="40"/>
        </w:rPr>
        <w:t>MAURITANIA</w:t>
      </w:r>
    </w:p>
    <w:p w14:paraId="1B027A32" w14:textId="77777777" w:rsidR="00E87476" w:rsidRPr="005F2651" w:rsidRDefault="00E87476" w:rsidP="00E87476">
      <w:pPr>
        <w:jc w:val="center"/>
        <w:rPr>
          <w:rFonts w:ascii="Trebuchet MS" w:hAnsi="Trebuchet MS"/>
          <w:b/>
          <w:sz w:val="32"/>
          <w:szCs w:val="32"/>
        </w:rPr>
      </w:pPr>
    </w:p>
    <w:p w14:paraId="49168CB5" w14:textId="77777777" w:rsidR="00E87476" w:rsidRPr="005F2651" w:rsidRDefault="00E87476" w:rsidP="00E87476">
      <w:pPr>
        <w:jc w:val="center"/>
        <w:rPr>
          <w:rFonts w:ascii="Trebuchet MS" w:hAnsi="Trebuchet MS"/>
          <w:b/>
          <w:sz w:val="32"/>
          <w:szCs w:val="32"/>
        </w:rPr>
      </w:pPr>
    </w:p>
    <w:p w14:paraId="0120CC9B" w14:textId="69E326C6" w:rsidR="00E87476" w:rsidRPr="005F2651" w:rsidRDefault="00E87476" w:rsidP="00E87476">
      <w:pPr>
        <w:jc w:val="center"/>
        <w:rPr>
          <w:rFonts w:ascii="Trebuchet MS" w:hAnsi="Trebuchet MS"/>
          <w:b/>
          <w:sz w:val="32"/>
          <w:szCs w:val="32"/>
        </w:rPr>
      </w:pPr>
      <w:r w:rsidRPr="005F2651">
        <w:rPr>
          <w:rFonts w:ascii="Trebuchet MS" w:hAnsi="Trebuchet MS"/>
          <w:b/>
          <w:sz w:val="32"/>
          <w:szCs w:val="32"/>
        </w:rPr>
        <w:t>8</w:t>
      </w:r>
      <w:r w:rsidR="00513047">
        <w:rPr>
          <w:rFonts w:ascii="Trebuchet MS" w:hAnsi="Trebuchet MS"/>
          <w:b/>
          <w:sz w:val="32"/>
          <w:szCs w:val="32"/>
        </w:rPr>
        <w:t>4</w:t>
      </w:r>
      <w:r w:rsidR="00513047">
        <w:rPr>
          <w:rFonts w:ascii="Trebuchet MS" w:hAnsi="Trebuchet MS"/>
          <w:b/>
          <w:sz w:val="32"/>
          <w:szCs w:val="32"/>
          <w:vertAlign w:val="superscript"/>
        </w:rPr>
        <w:t>th</w:t>
      </w:r>
      <w:r w:rsidRPr="005F2651">
        <w:rPr>
          <w:rFonts w:ascii="Trebuchet MS" w:hAnsi="Trebuchet MS"/>
          <w:b/>
          <w:sz w:val="32"/>
          <w:szCs w:val="32"/>
          <w:vertAlign w:val="superscript"/>
        </w:rPr>
        <w:t xml:space="preserve"> </w:t>
      </w:r>
      <w:r w:rsidRPr="005F2651">
        <w:rPr>
          <w:rFonts w:ascii="Trebuchet MS" w:hAnsi="Trebuchet MS"/>
          <w:b/>
          <w:sz w:val="32"/>
          <w:szCs w:val="32"/>
        </w:rPr>
        <w:t>CEDAW Session</w:t>
      </w:r>
    </w:p>
    <w:p w14:paraId="1DCD9F61" w14:textId="77777777" w:rsidR="00E87476" w:rsidRPr="005F2651" w:rsidRDefault="00E87476" w:rsidP="00E87476">
      <w:pPr>
        <w:jc w:val="center"/>
        <w:rPr>
          <w:rFonts w:ascii="Trebuchet MS" w:hAnsi="Trebuchet MS"/>
          <w:b/>
          <w:sz w:val="32"/>
          <w:szCs w:val="32"/>
        </w:rPr>
      </w:pPr>
    </w:p>
    <w:p w14:paraId="62560968" w14:textId="3DC942BE" w:rsidR="00E87476" w:rsidRPr="005F2651" w:rsidRDefault="00513047" w:rsidP="00E87476">
      <w:pPr>
        <w:jc w:val="center"/>
        <w:rPr>
          <w:rFonts w:ascii="Trebuchet MS" w:hAnsi="Trebuchet MS"/>
          <w:sz w:val="32"/>
          <w:szCs w:val="32"/>
        </w:rPr>
      </w:pPr>
      <w:r>
        <w:rPr>
          <w:rFonts w:ascii="Trebuchet MS" w:hAnsi="Trebuchet MS"/>
          <w:sz w:val="32"/>
          <w:szCs w:val="32"/>
        </w:rPr>
        <w:t>February 2023</w:t>
      </w:r>
    </w:p>
    <w:p w14:paraId="19B3D658" w14:textId="77777777" w:rsidR="00E87476" w:rsidRPr="005F2651" w:rsidRDefault="00E87476" w:rsidP="00E87476">
      <w:pPr>
        <w:rPr>
          <w:rFonts w:ascii="Trebuchet MS" w:hAnsi="Trebuchet MS"/>
          <w:sz w:val="32"/>
          <w:szCs w:val="32"/>
        </w:rPr>
      </w:pPr>
    </w:p>
    <w:p w14:paraId="23329AB4" w14:textId="77777777" w:rsidR="00E87476" w:rsidRPr="005F2651" w:rsidRDefault="00E87476" w:rsidP="00E87476">
      <w:pPr>
        <w:rPr>
          <w:rFonts w:ascii="Trebuchet MS" w:hAnsi="Trebuchet MS"/>
          <w:sz w:val="32"/>
          <w:szCs w:val="32"/>
        </w:rPr>
      </w:pPr>
    </w:p>
    <w:p w14:paraId="6765AFB9" w14:textId="4A7C440A" w:rsidR="00E87476" w:rsidRDefault="00E87476" w:rsidP="00E87476">
      <w:pPr>
        <w:rPr>
          <w:rFonts w:ascii="Trebuchet MS" w:hAnsi="Trebuchet MS"/>
          <w:sz w:val="32"/>
          <w:szCs w:val="32"/>
        </w:rPr>
      </w:pPr>
    </w:p>
    <w:p w14:paraId="1C4B1B7C" w14:textId="086A3473" w:rsidR="00513047" w:rsidRDefault="00513047" w:rsidP="00E87476">
      <w:pPr>
        <w:rPr>
          <w:rFonts w:ascii="Trebuchet MS" w:hAnsi="Trebuchet MS"/>
          <w:sz w:val="32"/>
          <w:szCs w:val="32"/>
        </w:rPr>
      </w:pPr>
    </w:p>
    <w:p w14:paraId="6D6ACF6E" w14:textId="35A49CE2" w:rsidR="00513047" w:rsidRDefault="00513047" w:rsidP="00E87476">
      <w:pPr>
        <w:rPr>
          <w:rFonts w:ascii="Trebuchet MS" w:hAnsi="Trebuchet MS"/>
          <w:sz w:val="32"/>
          <w:szCs w:val="32"/>
        </w:rPr>
      </w:pPr>
    </w:p>
    <w:p w14:paraId="07234F90" w14:textId="77777777" w:rsidR="00513047" w:rsidRPr="005F2651" w:rsidRDefault="00513047" w:rsidP="00E87476">
      <w:pPr>
        <w:rPr>
          <w:rFonts w:ascii="Trebuchet MS" w:hAnsi="Trebuchet MS"/>
          <w:sz w:val="32"/>
          <w:szCs w:val="32"/>
        </w:rPr>
      </w:pPr>
    </w:p>
    <w:p w14:paraId="43133F39" w14:textId="03B661AE" w:rsidR="00E87476" w:rsidRPr="00513047" w:rsidRDefault="001543C3" w:rsidP="00E87476">
      <w:pPr>
        <w:jc w:val="center"/>
        <w:rPr>
          <w:rFonts w:ascii="Trebuchet MS" w:hAnsi="Trebuchet MS"/>
          <w:b/>
          <w:iCs/>
          <w:sz w:val="36"/>
          <w:szCs w:val="36"/>
        </w:rPr>
      </w:pPr>
      <w:r w:rsidRPr="00513047">
        <w:rPr>
          <w:rFonts w:ascii="Trebuchet MS" w:hAnsi="Trebuchet MS"/>
          <w:b/>
          <w:iCs/>
        </w:rPr>
        <w:t>SUBMITTED BY:</w:t>
      </w:r>
    </w:p>
    <w:tbl>
      <w:tblPr>
        <w:tblW w:w="9360" w:type="dxa"/>
        <w:tblLayout w:type="fixed"/>
        <w:tblLook w:val="0600" w:firstRow="0" w:lastRow="0" w:firstColumn="0" w:lastColumn="0" w:noHBand="1" w:noVBand="1"/>
      </w:tblPr>
      <w:tblGrid>
        <w:gridCol w:w="4680"/>
        <w:gridCol w:w="4680"/>
      </w:tblGrid>
      <w:tr w:rsidR="00E87476" w14:paraId="4A8278F1" w14:textId="77777777" w:rsidTr="001D59BC">
        <w:tc>
          <w:tcPr>
            <w:tcW w:w="4680" w:type="dxa"/>
            <w:shd w:val="clear" w:color="auto" w:fill="auto"/>
            <w:tcMar>
              <w:top w:w="100" w:type="dxa"/>
              <w:left w:w="100" w:type="dxa"/>
              <w:bottom w:w="100" w:type="dxa"/>
              <w:right w:w="100" w:type="dxa"/>
            </w:tcMar>
          </w:tcPr>
          <w:p w14:paraId="3A6C50EE" w14:textId="77777777" w:rsidR="00513047" w:rsidRDefault="00513047" w:rsidP="001D59BC">
            <w:pPr>
              <w:jc w:val="center"/>
              <w:rPr>
                <w:b/>
                <w:sz w:val="20"/>
                <w:szCs w:val="20"/>
              </w:rPr>
            </w:pPr>
          </w:p>
          <w:p w14:paraId="546D4094" w14:textId="3BC61DA7" w:rsidR="00E87476" w:rsidRDefault="00513047" w:rsidP="001D59BC">
            <w:pPr>
              <w:jc w:val="center"/>
              <w:rPr>
                <w:b/>
                <w:sz w:val="20"/>
                <w:szCs w:val="20"/>
              </w:rPr>
            </w:pPr>
            <w:r>
              <w:rPr>
                <w:b/>
                <w:noProof/>
                <w:sz w:val="20"/>
                <w:szCs w:val="20"/>
              </w:rPr>
              <w:drawing>
                <wp:inline distT="0" distB="0" distL="0" distR="0" wp14:anchorId="344CCEB9" wp14:editId="00EC6098">
                  <wp:extent cx="1118235" cy="100194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b="10399"/>
                          <a:stretch/>
                        </pic:blipFill>
                        <pic:spPr bwMode="auto">
                          <a:xfrm>
                            <a:off x="0" y="0"/>
                            <a:ext cx="1161139" cy="1040391"/>
                          </a:xfrm>
                          <a:prstGeom prst="rect">
                            <a:avLst/>
                          </a:prstGeom>
                          <a:ln>
                            <a:noFill/>
                          </a:ln>
                          <a:extLst>
                            <a:ext uri="{53640926-AAD7-44D8-BBD7-CCE9431645EC}">
                              <a14:shadowObscured xmlns:a14="http://schemas.microsoft.com/office/drawing/2010/main"/>
                            </a:ext>
                          </a:extLst>
                        </pic:spPr>
                      </pic:pic>
                    </a:graphicData>
                  </a:graphic>
                </wp:inline>
              </w:drawing>
            </w:r>
          </w:p>
          <w:p w14:paraId="19365DFA" w14:textId="77777777" w:rsidR="00513047" w:rsidRDefault="00513047" w:rsidP="00513047">
            <w:pPr>
              <w:shd w:val="clear" w:color="auto" w:fill="FFFFFF"/>
              <w:rPr>
                <w:rFonts w:ascii="Georgia" w:hAnsi="Georgia" w:cs="Arial"/>
                <w:b/>
                <w:bCs/>
                <w:color w:val="000000"/>
                <w:sz w:val="18"/>
                <w:szCs w:val="18"/>
                <w:lang w:val="en-CA"/>
              </w:rPr>
            </w:pPr>
          </w:p>
          <w:p w14:paraId="415553EB" w14:textId="67B77823" w:rsidR="00E87476" w:rsidRDefault="00513047" w:rsidP="00E87476">
            <w:pPr>
              <w:shd w:val="clear" w:color="auto" w:fill="FFFFFF"/>
              <w:jc w:val="center"/>
              <w:rPr>
                <w:rFonts w:asciiTheme="majorBidi" w:hAnsiTheme="majorBidi" w:cstheme="majorBidi"/>
                <w:b/>
                <w:bCs/>
                <w:color w:val="000000"/>
                <w:sz w:val="20"/>
                <w:szCs w:val="20"/>
                <w:lang w:val="en-CA"/>
              </w:rPr>
            </w:pPr>
            <w:r>
              <w:rPr>
                <w:rFonts w:asciiTheme="majorBidi" w:hAnsiTheme="majorBidi" w:cstheme="majorBidi"/>
                <w:b/>
                <w:bCs/>
                <w:color w:val="000000"/>
                <w:sz w:val="20"/>
                <w:szCs w:val="20"/>
                <w:lang w:val="en-CA"/>
              </w:rPr>
              <w:t>Voix des Femmes</w:t>
            </w:r>
          </w:p>
          <w:p w14:paraId="14BAE382" w14:textId="0488B6B4" w:rsidR="00E87476" w:rsidRDefault="00E87476" w:rsidP="00513047">
            <w:pPr>
              <w:shd w:val="clear" w:color="auto" w:fill="FFFFFF"/>
              <w:rPr>
                <w:rFonts w:asciiTheme="majorBidi" w:hAnsiTheme="majorBidi" w:cstheme="majorBidi"/>
                <w:color w:val="000000"/>
                <w:sz w:val="20"/>
                <w:szCs w:val="20"/>
                <w:lang w:val="en-CA"/>
              </w:rPr>
            </w:pPr>
          </w:p>
          <w:p w14:paraId="5C0A2900" w14:textId="1CA03E21" w:rsidR="00B84EEB" w:rsidRDefault="00513047" w:rsidP="00B84EEB">
            <w:pPr>
              <w:shd w:val="clear" w:color="auto" w:fill="FFFFFF"/>
              <w:jc w:val="center"/>
              <w:rPr>
                <w:rFonts w:asciiTheme="majorBidi" w:hAnsiTheme="majorBidi" w:cstheme="majorBidi"/>
                <w:color w:val="000000"/>
                <w:sz w:val="20"/>
                <w:szCs w:val="20"/>
                <w:lang w:val="en-CA"/>
              </w:rPr>
            </w:pPr>
            <w:r>
              <w:rPr>
                <w:rFonts w:asciiTheme="majorBidi" w:hAnsiTheme="majorBidi" w:cstheme="majorBidi"/>
                <w:color w:val="000000"/>
                <w:sz w:val="20"/>
                <w:szCs w:val="20"/>
                <w:lang w:val="en-CA"/>
              </w:rPr>
              <w:t xml:space="preserve">Email: </w:t>
            </w:r>
            <w:hyperlink r:id="rId9" w:history="1">
              <w:r w:rsidRPr="00513047">
                <w:rPr>
                  <w:rStyle w:val="Hyperlink"/>
                  <w:rFonts w:asciiTheme="majorBidi" w:hAnsiTheme="majorBidi" w:cstheme="majorBidi"/>
                  <w:b/>
                  <w:bCs/>
                  <w:sz w:val="20"/>
                  <w:szCs w:val="20"/>
                  <w:lang w:val="en-CA"/>
                </w:rPr>
                <w:t>desfemmesvoix@gmail.com</w:t>
              </w:r>
            </w:hyperlink>
          </w:p>
          <w:p w14:paraId="0A195986" w14:textId="77777777" w:rsidR="00513047" w:rsidRPr="001D59BC" w:rsidRDefault="00513047" w:rsidP="00B84EEB">
            <w:pPr>
              <w:shd w:val="clear" w:color="auto" w:fill="FFFFFF"/>
              <w:jc w:val="center"/>
              <w:rPr>
                <w:rFonts w:asciiTheme="majorBidi" w:hAnsiTheme="majorBidi" w:cstheme="majorBidi"/>
                <w:color w:val="222222"/>
                <w:sz w:val="28"/>
                <w:szCs w:val="28"/>
              </w:rPr>
            </w:pPr>
          </w:p>
          <w:p w14:paraId="7C1E8FA3" w14:textId="77777777" w:rsidR="00B84EEB" w:rsidRPr="00006434" w:rsidRDefault="00B84EEB" w:rsidP="004A56E1">
            <w:pPr>
              <w:shd w:val="clear" w:color="auto" w:fill="FFFFFF"/>
              <w:jc w:val="center"/>
              <w:rPr>
                <w:rFonts w:asciiTheme="majorBidi" w:hAnsiTheme="majorBidi" w:cstheme="majorBidi"/>
                <w:color w:val="222222"/>
                <w:sz w:val="28"/>
                <w:szCs w:val="28"/>
              </w:rPr>
            </w:pPr>
          </w:p>
          <w:p w14:paraId="6D4C4DE9" w14:textId="689E1C91" w:rsidR="004A56E1" w:rsidRPr="00006434" w:rsidRDefault="004A56E1" w:rsidP="00006434">
            <w:pPr>
              <w:shd w:val="clear" w:color="auto" w:fill="FFFFFF"/>
              <w:jc w:val="center"/>
              <w:rPr>
                <w:rFonts w:ascii="Arial" w:hAnsi="Arial" w:cs="Arial"/>
                <w:color w:val="222222"/>
              </w:rPr>
            </w:pPr>
          </w:p>
        </w:tc>
        <w:tc>
          <w:tcPr>
            <w:tcW w:w="4680" w:type="dxa"/>
            <w:shd w:val="clear" w:color="auto" w:fill="auto"/>
            <w:tcMar>
              <w:top w:w="100" w:type="dxa"/>
              <w:left w:w="100" w:type="dxa"/>
              <w:bottom w:w="100" w:type="dxa"/>
              <w:right w:w="100" w:type="dxa"/>
            </w:tcMar>
          </w:tcPr>
          <w:p w14:paraId="2355D22A" w14:textId="5F873DD1" w:rsidR="00E87476" w:rsidRDefault="00E87476" w:rsidP="001D59BC">
            <w:pPr>
              <w:jc w:val="center"/>
              <w:rPr>
                <w:noProof/>
                <w:sz w:val="20"/>
                <w:szCs w:val="20"/>
              </w:rPr>
            </w:pPr>
            <w:r>
              <w:rPr>
                <w:sz w:val="20"/>
                <w:szCs w:val="20"/>
              </w:rPr>
              <w:t>​​</w:t>
            </w:r>
          </w:p>
          <w:p w14:paraId="20F60EBA" w14:textId="28EED851" w:rsidR="00513047" w:rsidRDefault="00513047" w:rsidP="00513047">
            <w:pPr>
              <w:rPr>
                <w:sz w:val="20"/>
                <w:szCs w:val="20"/>
              </w:rPr>
            </w:pPr>
          </w:p>
          <w:p w14:paraId="6DED76E9" w14:textId="76AB6F3E" w:rsidR="00513047" w:rsidRDefault="00513047" w:rsidP="00513047">
            <w:pPr>
              <w:jc w:val="center"/>
              <w:rPr>
                <w:sz w:val="20"/>
                <w:szCs w:val="20"/>
              </w:rPr>
            </w:pPr>
            <w:r>
              <w:rPr>
                <w:noProof/>
                <w:sz w:val="20"/>
                <w:szCs w:val="20"/>
              </w:rPr>
              <w:drawing>
                <wp:inline distT="114300" distB="114300" distL="114300" distR="114300" wp14:anchorId="29D78C92" wp14:editId="4D387802">
                  <wp:extent cx="2130425" cy="833120"/>
                  <wp:effectExtent l="0" t="0" r="3175" b="508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10"/>
                          <a:srcRect b="13385"/>
                          <a:stretch/>
                        </pic:blipFill>
                        <pic:spPr bwMode="auto">
                          <a:xfrm>
                            <a:off x="0" y="0"/>
                            <a:ext cx="2130425" cy="833120"/>
                          </a:xfrm>
                          <a:prstGeom prst="rect">
                            <a:avLst/>
                          </a:prstGeom>
                          <a:ln>
                            <a:noFill/>
                          </a:ln>
                          <a:extLst>
                            <a:ext uri="{53640926-AAD7-44D8-BBD7-CCE9431645EC}">
                              <a14:shadowObscured xmlns:a14="http://schemas.microsoft.com/office/drawing/2010/main"/>
                            </a:ext>
                          </a:extLst>
                        </pic:spPr>
                      </pic:pic>
                    </a:graphicData>
                  </a:graphic>
                </wp:inline>
              </w:drawing>
            </w:r>
          </w:p>
          <w:p w14:paraId="2E6C6C1A" w14:textId="77777777" w:rsidR="00E87476" w:rsidRDefault="00E87476" w:rsidP="001D59BC">
            <w:pPr>
              <w:jc w:val="center"/>
              <w:rPr>
                <w:sz w:val="20"/>
                <w:szCs w:val="20"/>
              </w:rPr>
            </w:pPr>
          </w:p>
          <w:p w14:paraId="03F2A3BF" w14:textId="77777777" w:rsidR="00513047" w:rsidRDefault="00513047" w:rsidP="00513047">
            <w:pPr>
              <w:jc w:val="center"/>
              <w:rPr>
                <w:b/>
                <w:sz w:val="20"/>
                <w:szCs w:val="20"/>
              </w:rPr>
            </w:pPr>
            <w:r>
              <w:rPr>
                <w:b/>
                <w:sz w:val="20"/>
                <w:szCs w:val="20"/>
              </w:rPr>
              <w:t>Musawah</w:t>
            </w:r>
          </w:p>
          <w:p w14:paraId="0E808957" w14:textId="77777777" w:rsidR="00513047" w:rsidRDefault="00513047" w:rsidP="00513047">
            <w:pPr>
              <w:jc w:val="center"/>
              <w:rPr>
                <w:sz w:val="20"/>
                <w:szCs w:val="20"/>
              </w:rPr>
            </w:pPr>
          </w:p>
          <w:p w14:paraId="742195DC" w14:textId="77777777" w:rsidR="00513047" w:rsidRDefault="00513047" w:rsidP="00513047">
            <w:pPr>
              <w:jc w:val="center"/>
              <w:rPr>
                <w:sz w:val="20"/>
                <w:szCs w:val="20"/>
              </w:rPr>
            </w:pPr>
            <w:r>
              <w:rPr>
                <w:sz w:val="20"/>
                <w:szCs w:val="20"/>
              </w:rPr>
              <w:t xml:space="preserve">15, Jalan Limau Purut, Bangsar Park, 59000 Kuala Lumpur, Malaysia </w:t>
            </w:r>
          </w:p>
          <w:p w14:paraId="477F0F29" w14:textId="77777777" w:rsidR="00513047" w:rsidRDefault="00513047" w:rsidP="00513047">
            <w:pPr>
              <w:jc w:val="center"/>
              <w:rPr>
                <w:sz w:val="20"/>
                <w:szCs w:val="20"/>
              </w:rPr>
            </w:pPr>
            <w:r>
              <w:rPr>
                <w:sz w:val="20"/>
                <w:szCs w:val="20"/>
              </w:rPr>
              <w:t xml:space="preserve">Tel: +603 2083 0202 Fax: +603 2202 0303 </w:t>
            </w:r>
          </w:p>
          <w:p w14:paraId="707563A5" w14:textId="77777777" w:rsidR="00513047" w:rsidRDefault="00513047" w:rsidP="00513047">
            <w:pPr>
              <w:jc w:val="center"/>
              <w:rPr>
                <w:sz w:val="20"/>
                <w:szCs w:val="20"/>
              </w:rPr>
            </w:pPr>
            <w:r>
              <w:rPr>
                <w:sz w:val="20"/>
                <w:szCs w:val="20"/>
              </w:rPr>
              <w:t xml:space="preserve">Email: </w:t>
            </w:r>
            <w:hyperlink r:id="rId11">
              <w:r w:rsidRPr="00513047">
                <w:rPr>
                  <w:b/>
                  <w:bCs/>
                  <w:color w:val="1155CC"/>
                  <w:sz w:val="20"/>
                  <w:szCs w:val="20"/>
                  <w:u w:val="single"/>
                </w:rPr>
                <w:t>musawah@musawah.org</w:t>
              </w:r>
            </w:hyperlink>
          </w:p>
          <w:p w14:paraId="7626D33B" w14:textId="779A3DF3" w:rsidR="00E87476" w:rsidRPr="00513047" w:rsidRDefault="00513047" w:rsidP="00513047">
            <w:pPr>
              <w:shd w:val="clear" w:color="auto" w:fill="FFFFFF"/>
              <w:jc w:val="center"/>
              <w:rPr>
                <w:rFonts w:asciiTheme="majorBidi" w:hAnsiTheme="majorBidi" w:cstheme="majorBidi"/>
                <w:color w:val="444444"/>
                <w:sz w:val="20"/>
                <w:szCs w:val="20"/>
              </w:rPr>
            </w:pPr>
            <w:r>
              <w:rPr>
                <w:sz w:val="20"/>
                <w:szCs w:val="20"/>
              </w:rPr>
              <w:t xml:space="preserve">Web: </w:t>
            </w:r>
            <w:hyperlink r:id="rId12">
              <w:r>
                <w:rPr>
                  <w:b/>
                  <w:color w:val="1155CC"/>
                  <w:sz w:val="20"/>
                  <w:szCs w:val="20"/>
                  <w:u w:val="single"/>
                </w:rPr>
                <w:t>www.musawah.org</w:t>
              </w:r>
            </w:hyperlink>
          </w:p>
        </w:tc>
      </w:tr>
    </w:tbl>
    <w:p w14:paraId="434F61A8" w14:textId="7CEA21D4" w:rsidR="00E26F24" w:rsidRPr="007D41ED" w:rsidRDefault="00E87476" w:rsidP="00125749">
      <w:pPr>
        <w:rPr>
          <w:rFonts w:asciiTheme="minorBidi" w:eastAsia="Arial" w:hAnsiTheme="minorBidi" w:cstheme="minorBidi"/>
        </w:rPr>
        <w:sectPr w:rsidR="00E26F24" w:rsidRPr="007D41ED" w:rsidSect="00F97BAE">
          <w:footerReference w:type="even" r:id="rId13"/>
          <w:footerReference w:type="default" r:id="rId14"/>
          <w:type w:val="continuous"/>
          <w:pgSz w:w="11900" w:h="16820"/>
          <w:pgMar w:top="1267" w:right="1454" w:bottom="990" w:left="1526" w:header="360" w:footer="360" w:gutter="0"/>
          <w:cols w:space="720"/>
          <w:titlePg/>
        </w:sectPr>
      </w:pPr>
      <w:r>
        <w:rPr>
          <w:rFonts w:asciiTheme="minorBidi" w:eastAsia="Arial" w:hAnsiTheme="minorBidi" w:cstheme="minorBidi"/>
          <w:b/>
        </w:rPr>
        <w:br w:type="page"/>
      </w:r>
    </w:p>
    <w:p w14:paraId="102FEA83" w14:textId="77777777" w:rsidR="00892FA5" w:rsidRPr="00F0236D" w:rsidRDefault="00892FA5" w:rsidP="00892FA5">
      <w:pPr>
        <w:pStyle w:val="Normal1"/>
        <w:shd w:val="clear" w:color="auto" w:fill="BD0014"/>
        <w:tabs>
          <w:tab w:val="left" w:pos="270"/>
          <w:tab w:val="left" w:pos="630"/>
        </w:tabs>
        <w:spacing w:before="40" w:after="40" w:line="240" w:lineRule="auto"/>
        <w:ind w:left="547" w:hanging="547"/>
        <w:rPr>
          <w:rFonts w:ascii="Arial" w:eastAsia="Arial" w:hAnsi="Arial" w:cs="Arial"/>
          <w:b/>
          <w:smallCaps/>
          <w:noProof/>
          <w:color w:val="FFFFFF"/>
          <w:sz w:val="30"/>
          <w:szCs w:val="30"/>
          <w:lang w:val="en-GB"/>
        </w:rPr>
      </w:pPr>
      <w:bookmarkStart w:id="0" w:name="_30j0zll" w:colFirst="0" w:colLast="0"/>
      <w:bookmarkStart w:id="1" w:name="_Toc526513931"/>
      <w:bookmarkStart w:id="2" w:name="_Toc103472502"/>
      <w:bookmarkEnd w:id="0"/>
      <w:r w:rsidRPr="00F0236D">
        <w:rPr>
          <w:rFonts w:ascii="Arial" w:eastAsia="Arial" w:hAnsi="Arial" w:cs="Arial"/>
          <w:b/>
          <w:smallCaps/>
          <w:noProof/>
          <w:color w:val="FFFFFF"/>
          <w:sz w:val="30"/>
          <w:szCs w:val="30"/>
          <w:lang w:val="en-GB"/>
        </w:rPr>
        <w:lastRenderedPageBreak/>
        <w:t>Table of Contents</w:t>
      </w:r>
    </w:p>
    <w:p w14:paraId="3AD66821" w14:textId="194460BC" w:rsidR="00892FA5" w:rsidRDefault="00892FA5">
      <w:pPr>
        <w:rPr>
          <w:rFonts w:asciiTheme="minorBidi" w:eastAsia="Arial" w:hAnsiTheme="minorBidi" w:cstheme="minorBidi"/>
          <w:color w:val="FFFFFF"/>
          <w:sz w:val="28"/>
          <w:szCs w:val="28"/>
        </w:rPr>
      </w:pPr>
    </w:p>
    <w:sdt>
      <w:sdtPr>
        <w:rPr>
          <w:rFonts w:ascii="Times New Roman" w:hAnsi="Times New Roman" w:cs="Times New Roman"/>
          <w:b w:val="0"/>
          <w:bCs w:val="0"/>
          <w:i w:val="0"/>
          <w:iCs w:val="0"/>
          <w:szCs w:val="24"/>
        </w:rPr>
        <w:id w:val="713158483"/>
        <w:docPartObj>
          <w:docPartGallery w:val="Table of Contents"/>
          <w:docPartUnique/>
        </w:docPartObj>
      </w:sdtPr>
      <w:sdtEndPr>
        <w:rPr>
          <w:noProof/>
        </w:rPr>
      </w:sdtEndPr>
      <w:sdtContent>
        <w:p w14:paraId="3B91580C" w14:textId="3B06A8AA" w:rsidR="007C60B8" w:rsidRDefault="00892FA5">
          <w:pPr>
            <w:pStyle w:val="TOC1"/>
            <w:tabs>
              <w:tab w:val="right" w:leader="dot" w:pos="8910"/>
            </w:tabs>
            <w:rPr>
              <w:rFonts w:eastAsiaTheme="minorEastAsia" w:cstheme="minorBidi"/>
              <w:b w:val="0"/>
              <w:bCs w:val="0"/>
              <w:i w:val="0"/>
              <w:iCs w:val="0"/>
              <w:noProof/>
              <w:szCs w:val="24"/>
              <w:lang w:val="en-PK" w:eastAsia="en-GB"/>
            </w:rPr>
          </w:pPr>
          <w:r>
            <w:fldChar w:fldCharType="begin"/>
          </w:r>
          <w:r>
            <w:instrText xml:space="preserve"> TOC \o "1-3" \h \z \u </w:instrText>
          </w:r>
          <w:r>
            <w:fldChar w:fldCharType="separate"/>
          </w:r>
          <w:hyperlink w:anchor="_Toc124084913" w:history="1">
            <w:r w:rsidR="007C60B8" w:rsidRPr="00912B68">
              <w:rPr>
                <w:rStyle w:val="Hyperlink"/>
                <w:noProof/>
              </w:rPr>
              <w:t>A. INTRODUCTION</w:t>
            </w:r>
            <w:r w:rsidR="007C60B8">
              <w:rPr>
                <w:noProof/>
                <w:webHidden/>
              </w:rPr>
              <w:tab/>
            </w:r>
            <w:r w:rsidR="007C60B8">
              <w:rPr>
                <w:noProof/>
                <w:webHidden/>
              </w:rPr>
              <w:fldChar w:fldCharType="begin"/>
            </w:r>
            <w:r w:rsidR="007C60B8">
              <w:rPr>
                <w:noProof/>
                <w:webHidden/>
              </w:rPr>
              <w:instrText xml:space="preserve"> PAGEREF _Toc124084913 \h </w:instrText>
            </w:r>
            <w:r w:rsidR="007C60B8">
              <w:rPr>
                <w:noProof/>
                <w:webHidden/>
              </w:rPr>
            </w:r>
            <w:r w:rsidR="007C60B8">
              <w:rPr>
                <w:noProof/>
                <w:webHidden/>
              </w:rPr>
              <w:fldChar w:fldCharType="separate"/>
            </w:r>
            <w:r w:rsidR="00C02417">
              <w:rPr>
                <w:noProof/>
                <w:webHidden/>
              </w:rPr>
              <w:t>3</w:t>
            </w:r>
            <w:r w:rsidR="007C60B8">
              <w:rPr>
                <w:noProof/>
                <w:webHidden/>
              </w:rPr>
              <w:fldChar w:fldCharType="end"/>
            </w:r>
          </w:hyperlink>
        </w:p>
        <w:p w14:paraId="51EB95CE" w14:textId="440DFDF5" w:rsidR="007C60B8" w:rsidRDefault="00000000">
          <w:pPr>
            <w:pStyle w:val="TOC1"/>
            <w:tabs>
              <w:tab w:val="right" w:leader="dot" w:pos="8910"/>
            </w:tabs>
            <w:rPr>
              <w:rFonts w:eastAsiaTheme="minorEastAsia" w:cstheme="minorBidi"/>
              <w:b w:val="0"/>
              <w:bCs w:val="0"/>
              <w:i w:val="0"/>
              <w:iCs w:val="0"/>
              <w:noProof/>
              <w:szCs w:val="24"/>
              <w:lang w:val="en-PK" w:eastAsia="en-GB"/>
            </w:rPr>
          </w:pPr>
          <w:hyperlink w:anchor="_Toc124084914" w:history="1">
            <w:r w:rsidR="007C60B8" w:rsidRPr="00912B68">
              <w:rPr>
                <w:rStyle w:val="Hyperlink"/>
                <w:noProof/>
              </w:rPr>
              <w:t>B. BACKGROUND, LEGAL FRAMEWORK AND CONTEXT</w:t>
            </w:r>
            <w:r w:rsidR="007C60B8">
              <w:rPr>
                <w:noProof/>
                <w:webHidden/>
              </w:rPr>
              <w:tab/>
            </w:r>
            <w:r w:rsidR="007C60B8">
              <w:rPr>
                <w:noProof/>
                <w:webHidden/>
              </w:rPr>
              <w:fldChar w:fldCharType="begin"/>
            </w:r>
            <w:r w:rsidR="007C60B8">
              <w:rPr>
                <w:noProof/>
                <w:webHidden/>
              </w:rPr>
              <w:instrText xml:space="preserve"> PAGEREF _Toc124084914 \h </w:instrText>
            </w:r>
            <w:r w:rsidR="007C60B8">
              <w:rPr>
                <w:noProof/>
                <w:webHidden/>
              </w:rPr>
            </w:r>
            <w:r w:rsidR="007C60B8">
              <w:rPr>
                <w:noProof/>
                <w:webHidden/>
              </w:rPr>
              <w:fldChar w:fldCharType="separate"/>
            </w:r>
            <w:r w:rsidR="00C02417">
              <w:rPr>
                <w:noProof/>
                <w:webHidden/>
              </w:rPr>
              <w:t>3</w:t>
            </w:r>
            <w:r w:rsidR="007C60B8">
              <w:rPr>
                <w:noProof/>
                <w:webHidden/>
              </w:rPr>
              <w:fldChar w:fldCharType="end"/>
            </w:r>
          </w:hyperlink>
        </w:p>
        <w:p w14:paraId="55DEEAAF" w14:textId="5FEE0723" w:rsidR="007C60B8" w:rsidRDefault="00000000">
          <w:pPr>
            <w:pStyle w:val="TOC1"/>
            <w:tabs>
              <w:tab w:val="right" w:leader="dot" w:pos="8910"/>
            </w:tabs>
            <w:rPr>
              <w:rFonts w:eastAsiaTheme="minorEastAsia" w:cstheme="minorBidi"/>
              <w:b w:val="0"/>
              <w:bCs w:val="0"/>
              <w:i w:val="0"/>
              <w:iCs w:val="0"/>
              <w:noProof/>
              <w:szCs w:val="24"/>
              <w:lang w:val="en-PK" w:eastAsia="en-GB"/>
            </w:rPr>
          </w:pPr>
          <w:hyperlink w:anchor="_Toc124084915" w:history="1">
            <w:r w:rsidR="007C60B8" w:rsidRPr="00912B68">
              <w:rPr>
                <w:rStyle w:val="Hyperlink"/>
                <w:noProof/>
              </w:rPr>
              <w:t>C. KEY ISSUES AND RECOMMENDATIONS</w:t>
            </w:r>
            <w:r w:rsidR="007C60B8">
              <w:rPr>
                <w:noProof/>
                <w:webHidden/>
              </w:rPr>
              <w:tab/>
            </w:r>
            <w:r w:rsidR="007C60B8">
              <w:rPr>
                <w:noProof/>
                <w:webHidden/>
              </w:rPr>
              <w:fldChar w:fldCharType="begin"/>
            </w:r>
            <w:r w:rsidR="007C60B8">
              <w:rPr>
                <w:noProof/>
                <w:webHidden/>
              </w:rPr>
              <w:instrText xml:space="preserve"> PAGEREF _Toc124084915 \h </w:instrText>
            </w:r>
            <w:r w:rsidR="007C60B8">
              <w:rPr>
                <w:noProof/>
                <w:webHidden/>
              </w:rPr>
            </w:r>
            <w:r w:rsidR="007C60B8">
              <w:rPr>
                <w:noProof/>
                <w:webHidden/>
              </w:rPr>
              <w:fldChar w:fldCharType="separate"/>
            </w:r>
            <w:r w:rsidR="00C02417">
              <w:rPr>
                <w:noProof/>
                <w:webHidden/>
              </w:rPr>
              <w:t>4</w:t>
            </w:r>
            <w:r w:rsidR="007C60B8">
              <w:rPr>
                <w:noProof/>
                <w:webHidden/>
              </w:rPr>
              <w:fldChar w:fldCharType="end"/>
            </w:r>
          </w:hyperlink>
        </w:p>
        <w:p w14:paraId="63DE1629" w14:textId="66B50BDC" w:rsidR="007C60B8"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084916" w:history="1">
            <w:r w:rsidR="007C60B8" w:rsidRPr="00912B68">
              <w:rPr>
                <w:rStyle w:val="Hyperlink"/>
                <w:noProof/>
              </w:rPr>
              <w:t>1.</w:t>
            </w:r>
            <w:r w:rsidR="007C60B8">
              <w:rPr>
                <w:rFonts w:eastAsiaTheme="minorEastAsia" w:cstheme="minorBidi"/>
                <w:b w:val="0"/>
                <w:bCs w:val="0"/>
                <w:noProof/>
                <w:sz w:val="24"/>
                <w:szCs w:val="24"/>
                <w:lang w:val="en-PK" w:eastAsia="en-GB"/>
              </w:rPr>
              <w:tab/>
            </w:r>
            <w:r w:rsidR="007C60B8" w:rsidRPr="00912B68">
              <w:rPr>
                <w:rStyle w:val="Hyperlink"/>
                <w:noProof/>
              </w:rPr>
              <w:t>Spousal Inequality and Consent to Marriage</w:t>
            </w:r>
            <w:r w:rsidR="007C60B8">
              <w:rPr>
                <w:noProof/>
                <w:webHidden/>
              </w:rPr>
              <w:tab/>
            </w:r>
            <w:r w:rsidR="007C60B8">
              <w:rPr>
                <w:noProof/>
                <w:webHidden/>
              </w:rPr>
              <w:fldChar w:fldCharType="begin"/>
            </w:r>
            <w:r w:rsidR="007C60B8">
              <w:rPr>
                <w:noProof/>
                <w:webHidden/>
              </w:rPr>
              <w:instrText xml:space="preserve"> PAGEREF _Toc124084916 \h </w:instrText>
            </w:r>
            <w:r w:rsidR="007C60B8">
              <w:rPr>
                <w:noProof/>
                <w:webHidden/>
              </w:rPr>
            </w:r>
            <w:r w:rsidR="007C60B8">
              <w:rPr>
                <w:noProof/>
                <w:webHidden/>
              </w:rPr>
              <w:fldChar w:fldCharType="separate"/>
            </w:r>
            <w:r w:rsidR="00C02417">
              <w:rPr>
                <w:noProof/>
                <w:webHidden/>
              </w:rPr>
              <w:t>4</w:t>
            </w:r>
            <w:r w:rsidR="007C60B8">
              <w:rPr>
                <w:noProof/>
                <w:webHidden/>
              </w:rPr>
              <w:fldChar w:fldCharType="end"/>
            </w:r>
          </w:hyperlink>
        </w:p>
        <w:p w14:paraId="5A0513E3" w14:textId="4C080444" w:rsidR="007C60B8"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084917" w:history="1">
            <w:r w:rsidR="007C60B8" w:rsidRPr="00912B68">
              <w:rPr>
                <w:rStyle w:val="Hyperlink"/>
                <w:noProof/>
              </w:rPr>
              <w:t>2.</w:t>
            </w:r>
            <w:r w:rsidR="007C60B8">
              <w:rPr>
                <w:rFonts w:eastAsiaTheme="minorEastAsia" w:cstheme="minorBidi"/>
                <w:b w:val="0"/>
                <w:bCs w:val="0"/>
                <w:noProof/>
                <w:sz w:val="24"/>
                <w:szCs w:val="24"/>
                <w:lang w:val="en-PK" w:eastAsia="en-GB"/>
              </w:rPr>
              <w:tab/>
            </w:r>
            <w:r w:rsidR="007C60B8" w:rsidRPr="00912B68">
              <w:rPr>
                <w:rStyle w:val="Hyperlink"/>
                <w:noProof/>
              </w:rPr>
              <w:t>Child Marriage</w:t>
            </w:r>
            <w:r w:rsidR="007C60B8">
              <w:rPr>
                <w:noProof/>
                <w:webHidden/>
              </w:rPr>
              <w:tab/>
            </w:r>
            <w:r w:rsidR="007C60B8">
              <w:rPr>
                <w:noProof/>
                <w:webHidden/>
              </w:rPr>
              <w:fldChar w:fldCharType="begin"/>
            </w:r>
            <w:r w:rsidR="007C60B8">
              <w:rPr>
                <w:noProof/>
                <w:webHidden/>
              </w:rPr>
              <w:instrText xml:space="preserve"> PAGEREF _Toc124084917 \h </w:instrText>
            </w:r>
            <w:r w:rsidR="007C60B8">
              <w:rPr>
                <w:noProof/>
                <w:webHidden/>
              </w:rPr>
            </w:r>
            <w:r w:rsidR="007C60B8">
              <w:rPr>
                <w:noProof/>
                <w:webHidden/>
              </w:rPr>
              <w:fldChar w:fldCharType="separate"/>
            </w:r>
            <w:r w:rsidR="00C02417">
              <w:rPr>
                <w:noProof/>
                <w:webHidden/>
              </w:rPr>
              <w:t>6</w:t>
            </w:r>
            <w:r w:rsidR="007C60B8">
              <w:rPr>
                <w:noProof/>
                <w:webHidden/>
              </w:rPr>
              <w:fldChar w:fldCharType="end"/>
            </w:r>
          </w:hyperlink>
        </w:p>
        <w:p w14:paraId="0FD8C203" w14:textId="7A2C8A48" w:rsidR="007C60B8"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084918" w:history="1">
            <w:r w:rsidR="007C60B8" w:rsidRPr="00912B68">
              <w:rPr>
                <w:rStyle w:val="Hyperlink"/>
                <w:noProof/>
              </w:rPr>
              <w:t>3.</w:t>
            </w:r>
            <w:r w:rsidR="007C60B8">
              <w:rPr>
                <w:rFonts w:eastAsiaTheme="minorEastAsia" w:cstheme="minorBidi"/>
                <w:b w:val="0"/>
                <w:bCs w:val="0"/>
                <w:noProof/>
                <w:sz w:val="24"/>
                <w:szCs w:val="24"/>
                <w:lang w:val="en-PK" w:eastAsia="en-GB"/>
              </w:rPr>
              <w:tab/>
            </w:r>
            <w:r w:rsidR="007C60B8" w:rsidRPr="00912B68">
              <w:rPr>
                <w:rStyle w:val="Hyperlink"/>
                <w:noProof/>
              </w:rPr>
              <w:t>Divorce and Matrimonial Property</w:t>
            </w:r>
            <w:r w:rsidR="007C60B8">
              <w:rPr>
                <w:noProof/>
                <w:webHidden/>
              </w:rPr>
              <w:tab/>
            </w:r>
            <w:r w:rsidR="007C60B8">
              <w:rPr>
                <w:noProof/>
                <w:webHidden/>
              </w:rPr>
              <w:fldChar w:fldCharType="begin"/>
            </w:r>
            <w:r w:rsidR="007C60B8">
              <w:rPr>
                <w:noProof/>
                <w:webHidden/>
              </w:rPr>
              <w:instrText xml:space="preserve"> PAGEREF _Toc124084918 \h </w:instrText>
            </w:r>
            <w:r w:rsidR="007C60B8">
              <w:rPr>
                <w:noProof/>
                <w:webHidden/>
              </w:rPr>
            </w:r>
            <w:r w:rsidR="007C60B8">
              <w:rPr>
                <w:noProof/>
                <w:webHidden/>
              </w:rPr>
              <w:fldChar w:fldCharType="separate"/>
            </w:r>
            <w:r w:rsidR="00C02417">
              <w:rPr>
                <w:noProof/>
                <w:webHidden/>
              </w:rPr>
              <w:t>7</w:t>
            </w:r>
            <w:r w:rsidR="007C60B8">
              <w:rPr>
                <w:noProof/>
                <w:webHidden/>
              </w:rPr>
              <w:fldChar w:fldCharType="end"/>
            </w:r>
          </w:hyperlink>
        </w:p>
        <w:p w14:paraId="099798B4" w14:textId="3EAF6184" w:rsidR="007C60B8"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084919" w:history="1">
            <w:r w:rsidR="007C60B8" w:rsidRPr="00912B68">
              <w:rPr>
                <w:rStyle w:val="Hyperlink"/>
                <w:noProof/>
              </w:rPr>
              <w:t>4.</w:t>
            </w:r>
            <w:r w:rsidR="007C60B8">
              <w:rPr>
                <w:rFonts w:eastAsiaTheme="minorEastAsia" w:cstheme="minorBidi"/>
                <w:b w:val="0"/>
                <w:bCs w:val="0"/>
                <w:noProof/>
                <w:sz w:val="24"/>
                <w:szCs w:val="24"/>
                <w:lang w:val="en-PK" w:eastAsia="en-GB"/>
              </w:rPr>
              <w:tab/>
            </w:r>
            <w:r w:rsidR="007C60B8" w:rsidRPr="00912B68">
              <w:rPr>
                <w:rStyle w:val="Hyperlink"/>
                <w:noProof/>
              </w:rPr>
              <w:t>Polygamy</w:t>
            </w:r>
            <w:r w:rsidR="007C60B8">
              <w:rPr>
                <w:noProof/>
                <w:webHidden/>
              </w:rPr>
              <w:tab/>
            </w:r>
            <w:r w:rsidR="007C60B8">
              <w:rPr>
                <w:noProof/>
                <w:webHidden/>
              </w:rPr>
              <w:fldChar w:fldCharType="begin"/>
            </w:r>
            <w:r w:rsidR="007C60B8">
              <w:rPr>
                <w:noProof/>
                <w:webHidden/>
              </w:rPr>
              <w:instrText xml:space="preserve"> PAGEREF _Toc124084919 \h </w:instrText>
            </w:r>
            <w:r w:rsidR="007C60B8">
              <w:rPr>
                <w:noProof/>
                <w:webHidden/>
              </w:rPr>
            </w:r>
            <w:r w:rsidR="007C60B8">
              <w:rPr>
                <w:noProof/>
                <w:webHidden/>
              </w:rPr>
              <w:fldChar w:fldCharType="separate"/>
            </w:r>
            <w:r w:rsidR="00C02417">
              <w:rPr>
                <w:noProof/>
                <w:webHidden/>
              </w:rPr>
              <w:t>9</w:t>
            </w:r>
            <w:r w:rsidR="007C60B8">
              <w:rPr>
                <w:noProof/>
                <w:webHidden/>
              </w:rPr>
              <w:fldChar w:fldCharType="end"/>
            </w:r>
          </w:hyperlink>
        </w:p>
        <w:p w14:paraId="17C9D9EE" w14:textId="5DE01311" w:rsidR="007C60B8"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084920" w:history="1">
            <w:r w:rsidR="007C60B8" w:rsidRPr="00912B68">
              <w:rPr>
                <w:rStyle w:val="Hyperlink"/>
                <w:noProof/>
              </w:rPr>
              <w:t>5.</w:t>
            </w:r>
            <w:r w:rsidR="007C60B8">
              <w:rPr>
                <w:rFonts w:eastAsiaTheme="minorEastAsia" w:cstheme="minorBidi"/>
                <w:b w:val="0"/>
                <w:bCs w:val="0"/>
                <w:noProof/>
                <w:sz w:val="24"/>
                <w:szCs w:val="24"/>
                <w:lang w:val="en-PK" w:eastAsia="en-GB"/>
              </w:rPr>
              <w:tab/>
            </w:r>
            <w:r w:rsidR="007C60B8" w:rsidRPr="00912B68">
              <w:rPr>
                <w:rStyle w:val="Hyperlink"/>
                <w:noProof/>
              </w:rPr>
              <w:t>Custody, Guardianship and Nationality</w:t>
            </w:r>
            <w:r w:rsidR="007C60B8">
              <w:rPr>
                <w:noProof/>
                <w:webHidden/>
              </w:rPr>
              <w:tab/>
            </w:r>
            <w:r w:rsidR="007C60B8">
              <w:rPr>
                <w:noProof/>
                <w:webHidden/>
              </w:rPr>
              <w:fldChar w:fldCharType="begin"/>
            </w:r>
            <w:r w:rsidR="007C60B8">
              <w:rPr>
                <w:noProof/>
                <w:webHidden/>
              </w:rPr>
              <w:instrText xml:space="preserve"> PAGEREF _Toc124084920 \h </w:instrText>
            </w:r>
            <w:r w:rsidR="007C60B8">
              <w:rPr>
                <w:noProof/>
                <w:webHidden/>
              </w:rPr>
            </w:r>
            <w:r w:rsidR="007C60B8">
              <w:rPr>
                <w:noProof/>
                <w:webHidden/>
              </w:rPr>
              <w:fldChar w:fldCharType="separate"/>
            </w:r>
            <w:r w:rsidR="00C02417">
              <w:rPr>
                <w:noProof/>
                <w:webHidden/>
              </w:rPr>
              <w:t>10</w:t>
            </w:r>
            <w:r w:rsidR="007C60B8">
              <w:rPr>
                <w:noProof/>
                <w:webHidden/>
              </w:rPr>
              <w:fldChar w:fldCharType="end"/>
            </w:r>
          </w:hyperlink>
        </w:p>
        <w:p w14:paraId="478F1365" w14:textId="35BA3D34" w:rsidR="00892FA5" w:rsidRDefault="00892FA5">
          <w:r>
            <w:rPr>
              <w:b/>
              <w:bCs/>
              <w:noProof/>
            </w:rPr>
            <w:fldChar w:fldCharType="end"/>
          </w:r>
        </w:p>
      </w:sdtContent>
    </w:sdt>
    <w:p w14:paraId="6F3FC829" w14:textId="19D980FF" w:rsidR="00892FA5" w:rsidRDefault="00892FA5">
      <w:pPr>
        <w:rPr>
          <w:rFonts w:asciiTheme="minorBidi" w:eastAsia="Arial" w:hAnsiTheme="minorBidi" w:cstheme="minorBidi"/>
          <w:color w:val="FFFFFF"/>
          <w:sz w:val="28"/>
          <w:szCs w:val="28"/>
        </w:rPr>
      </w:pPr>
    </w:p>
    <w:p w14:paraId="48367667" w14:textId="6C6916FF" w:rsidR="00892FA5" w:rsidRDefault="00892FA5">
      <w:pPr>
        <w:rPr>
          <w:rFonts w:asciiTheme="minorBidi" w:eastAsia="Arial" w:hAnsiTheme="minorBidi" w:cstheme="minorBidi"/>
          <w:color w:val="FFFFFF"/>
          <w:sz w:val="28"/>
          <w:szCs w:val="28"/>
        </w:rPr>
      </w:pPr>
    </w:p>
    <w:p w14:paraId="16A41CB7" w14:textId="30EE577F" w:rsidR="00892FA5" w:rsidRDefault="00892FA5">
      <w:pPr>
        <w:rPr>
          <w:rFonts w:asciiTheme="minorBidi" w:eastAsia="Arial" w:hAnsiTheme="minorBidi" w:cstheme="minorBidi"/>
          <w:color w:val="FFFFFF"/>
          <w:sz w:val="28"/>
          <w:szCs w:val="28"/>
        </w:rPr>
      </w:pPr>
    </w:p>
    <w:p w14:paraId="429F73C2" w14:textId="7A28C465" w:rsidR="00892FA5" w:rsidRDefault="00892FA5">
      <w:pPr>
        <w:rPr>
          <w:rFonts w:asciiTheme="minorBidi" w:eastAsia="Arial" w:hAnsiTheme="minorBidi" w:cstheme="minorBidi"/>
          <w:color w:val="FFFFFF"/>
          <w:sz w:val="28"/>
          <w:szCs w:val="28"/>
        </w:rPr>
      </w:pPr>
    </w:p>
    <w:p w14:paraId="09035E9D" w14:textId="615173B1" w:rsidR="00892FA5" w:rsidRPr="00F97BAE" w:rsidRDefault="00892FA5">
      <w:pPr>
        <w:rPr>
          <w:rFonts w:asciiTheme="minorHAnsi" w:eastAsia="Arial" w:hAnsiTheme="minorHAnsi" w:cstheme="minorHAnsi"/>
          <w:b/>
          <w:bCs/>
          <w:i/>
          <w:iCs/>
          <w:color w:val="0563C1" w:themeColor="hyperlink"/>
          <w:sz w:val="18"/>
          <w:szCs w:val="18"/>
          <w:u w:val="single"/>
        </w:rPr>
      </w:pPr>
    </w:p>
    <w:p w14:paraId="0CD03228" w14:textId="2A20EEBE" w:rsidR="00892FA5" w:rsidRDefault="00892FA5">
      <w:pPr>
        <w:rPr>
          <w:rFonts w:asciiTheme="minorBidi" w:eastAsia="Arial" w:hAnsiTheme="minorBidi" w:cstheme="minorBidi"/>
          <w:color w:val="FFFFFF"/>
          <w:sz w:val="28"/>
          <w:szCs w:val="28"/>
        </w:rPr>
      </w:pPr>
    </w:p>
    <w:p w14:paraId="4C73AA11" w14:textId="0C502D1D" w:rsidR="00892FA5" w:rsidRDefault="00892FA5">
      <w:pPr>
        <w:rPr>
          <w:rFonts w:asciiTheme="minorBidi" w:eastAsia="Arial" w:hAnsiTheme="minorBidi" w:cstheme="minorBidi"/>
          <w:color w:val="FFFFFF"/>
          <w:sz w:val="28"/>
          <w:szCs w:val="28"/>
        </w:rPr>
      </w:pPr>
    </w:p>
    <w:p w14:paraId="7ADF6A54" w14:textId="77777777" w:rsidR="00892FA5" w:rsidRDefault="00892FA5">
      <w:pPr>
        <w:rPr>
          <w:rFonts w:asciiTheme="minorBidi" w:eastAsia="Arial" w:hAnsiTheme="minorBidi" w:cstheme="minorBidi"/>
          <w:color w:val="FFFFFF"/>
          <w:sz w:val="28"/>
          <w:szCs w:val="28"/>
        </w:rPr>
      </w:pPr>
    </w:p>
    <w:p w14:paraId="283B90D4" w14:textId="77777777" w:rsidR="00892FA5" w:rsidRDefault="00892FA5">
      <w:pPr>
        <w:rPr>
          <w:rFonts w:asciiTheme="minorBidi" w:eastAsia="Arial" w:hAnsiTheme="minorBidi" w:cstheme="minorBidi"/>
          <w:color w:val="FFFFFF"/>
          <w:sz w:val="28"/>
          <w:szCs w:val="28"/>
        </w:rPr>
      </w:pPr>
    </w:p>
    <w:p w14:paraId="278EA620" w14:textId="3E73306B" w:rsidR="00892FA5" w:rsidRDefault="00892FA5">
      <w:pPr>
        <w:rPr>
          <w:rFonts w:asciiTheme="minorBidi" w:eastAsia="Arial" w:hAnsiTheme="minorBidi" w:cstheme="minorBidi"/>
          <w:b/>
          <w:smallCaps/>
          <w:color w:val="FFFFFF"/>
          <w:sz w:val="28"/>
          <w:szCs w:val="28"/>
          <w:lang w:eastAsia="en-US"/>
        </w:rPr>
      </w:pPr>
      <w:r>
        <w:rPr>
          <w:rFonts w:asciiTheme="minorBidi" w:eastAsia="Arial" w:hAnsiTheme="minorBidi" w:cstheme="minorBidi"/>
          <w:color w:val="FFFFFF"/>
          <w:sz w:val="28"/>
          <w:szCs w:val="28"/>
        </w:rPr>
        <w:br w:type="page"/>
      </w:r>
    </w:p>
    <w:p w14:paraId="57624285" w14:textId="4C8D5689" w:rsidR="00E26F24" w:rsidRPr="00892FA5" w:rsidRDefault="00E26F24" w:rsidP="00892FA5">
      <w:pPr>
        <w:pStyle w:val="Heading1"/>
      </w:pPr>
      <w:bookmarkStart w:id="3" w:name="_Toc124084913"/>
      <w:r w:rsidRPr="00892FA5">
        <w:lastRenderedPageBreak/>
        <w:t>A. INTRODUCTION</w:t>
      </w:r>
      <w:bookmarkEnd w:id="1"/>
      <w:bookmarkEnd w:id="2"/>
      <w:bookmarkEnd w:id="3"/>
      <w:r w:rsidRPr="00892FA5">
        <w:tab/>
      </w:r>
    </w:p>
    <w:p w14:paraId="3B8507EF" w14:textId="5A61846B" w:rsidR="00E26F24" w:rsidRPr="00AE2D53" w:rsidRDefault="00E26F24" w:rsidP="000C6DA6">
      <w:pPr>
        <w:pStyle w:val="Normal1"/>
        <w:spacing w:line="240" w:lineRule="auto"/>
        <w:jc w:val="both"/>
        <w:rPr>
          <w:rFonts w:ascii="Arial" w:eastAsia="Arial" w:hAnsi="Arial" w:cs="Arial"/>
          <w:sz w:val="20"/>
          <w:szCs w:val="20"/>
        </w:rPr>
      </w:pPr>
      <w:r w:rsidRPr="00AE2D53">
        <w:rPr>
          <w:rFonts w:ascii="Arial" w:eastAsia="Arial" w:hAnsi="Arial" w:cs="Arial"/>
          <w:b/>
          <w:bCs/>
          <w:sz w:val="20"/>
          <w:szCs w:val="20"/>
        </w:rPr>
        <w:t>Musawah</w:t>
      </w:r>
      <w:r w:rsidR="00C77BFC" w:rsidRPr="00C77BFC">
        <w:rPr>
          <w:rFonts w:ascii="Arial" w:eastAsia="Arial" w:hAnsi="Arial" w:cs="Arial"/>
          <w:b/>
          <w:bCs/>
          <w:sz w:val="20"/>
          <w:szCs w:val="20"/>
        </w:rPr>
        <w:t xml:space="preserve">, </w:t>
      </w:r>
      <w:r w:rsidR="00C77BFC">
        <w:rPr>
          <w:rFonts w:ascii="Arial" w:eastAsia="Arial" w:hAnsi="Arial" w:cs="Arial"/>
          <w:sz w:val="20"/>
          <w:szCs w:val="20"/>
        </w:rPr>
        <w:t xml:space="preserve">the global movement for equality and justice in the Muslim family, </w:t>
      </w:r>
      <w:r w:rsidR="00513047">
        <w:rPr>
          <w:rFonts w:ascii="Arial" w:eastAsia="Arial" w:hAnsi="Arial" w:cs="Arial"/>
          <w:b/>
          <w:bCs/>
          <w:sz w:val="20"/>
          <w:szCs w:val="20"/>
        </w:rPr>
        <w:t xml:space="preserve">and Voix des Femmes (Women’s Voices), </w:t>
      </w:r>
      <w:r w:rsidR="00C77BFC">
        <w:rPr>
          <w:rFonts w:ascii="Arial" w:eastAsia="Arial" w:hAnsi="Arial" w:cs="Arial"/>
          <w:sz w:val="20"/>
          <w:szCs w:val="20"/>
        </w:rPr>
        <w:t xml:space="preserve">jointly </w:t>
      </w:r>
      <w:r w:rsidRPr="00AE2D53">
        <w:rPr>
          <w:rFonts w:ascii="Arial" w:eastAsia="Arial" w:hAnsi="Arial" w:cs="Arial"/>
          <w:sz w:val="20"/>
          <w:szCs w:val="20"/>
        </w:rPr>
        <w:t xml:space="preserve">submit this Thematic Report on concerns related to Muslim women’s legal equality in personal status matters, </w:t>
      </w:r>
      <w:r w:rsidR="00513047">
        <w:rPr>
          <w:rFonts w:ascii="Arial" w:eastAsia="Arial" w:hAnsi="Arial" w:cs="Arial"/>
          <w:sz w:val="20"/>
          <w:szCs w:val="20"/>
        </w:rPr>
        <w:t>child marriage and nationality rights</w:t>
      </w:r>
      <w:r w:rsidRPr="00AE2D53">
        <w:rPr>
          <w:rFonts w:ascii="Arial" w:eastAsia="Arial" w:hAnsi="Arial" w:cs="Arial"/>
          <w:sz w:val="20"/>
          <w:szCs w:val="20"/>
        </w:rPr>
        <w:t xml:space="preserve"> for consideration by the CEDAW Committee in its review of the Government of </w:t>
      </w:r>
      <w:r w:rsidR="00513047">
        <w:rPr>
          <w:rFonts w:ascii="Arial" w:eastAsia="Arial" w:hAnsi="Arial" w:cs="Arial"/>
          <w:sz w:val="20"/>
          <w:szCs w:val="20"/>
        </w:rPr>
        <w:t>Mauritania</w:t>
      </w:r>
      <w:r w:rsidR="004B10C3" w:rsidRPr="00AE2D53">
        <w:rPr>
          <w:rFonts w:ascii="Arial" w:eastAsia="Arial" w:hAnsi="Arial" w:cs="Arial"/>
          <w:sz w:val="20"/>
          <w:szCs w:val="20"/>
        </w:rPr>
        <w:t xml:space="preserve">, </w:t>
      </w:r>
      <w:r w:rsidRPr="00AE2D53">
        <w:rPr>
          <w:rFonts w:ascii="Arial" w:eastAsia="Arial" w:hAnsi="Arial" w:cs="Arial"/>
          <w:sz w:val="20"/>
          <w:szCs w:val="20"/>
        </w:rPr>
        <w:t>reporting before the 8</w:t>
      </w:r>
      <w:r w:rsidR="00513047">
        <w:rPr>
          <w:rFonts w:ascii="Arial" w:eastAsia="Arial" w:hAnsi="Arial" w:cs="Arial"/>
          <w:sz w:val="20"/>
          <w:szCs w:val="20"/>
        </w:rPr>
        <w:t>4</w:t>
      </w:r>
      <w:r w:rsidR="00513047" w:rsidRPr="00513047">
        <w:rPr>
          <w:rFonts w:ascii="Arial" w:eastAsia="Arial" w:hAnsi="Arial" w:cs="Arial"/>
          <w:sz w:val="20"/>
          <w:szCs w:val="20"/>
          <w:vertAlign w:val="superscript"/>
        </w:rPr>
        <w:t>th</w:t>
      </w:r>
      <w:r w:rsidR="00513047">
        <w:rPr>
          <w:rFonts w:ascii="Arial" w:eastAsia="Arial" w:hAnsi="Arial" w:cs="Arial"/>
          <w:sz w:val="20"/>
          <w:szCs w:val="20"/>
        </w:rPr>
        <w:t xml:space="preserve"> </w:t>
      </w:r>
      <w:r w:rsidRPr="00AE2D53">
        <w:rPr>
          <w:rFonts w:ascii="Arial" w:eastAsia="Arial" w:hAnsi="Arial" w:cs="Arial"/>
          <w:sz w:val="20"/>
          <w:szCs w:val="20"/>
        </w:rPr>
        <w:t xml:space="preserve">Session of the CEDAW Committee in </w:t>
      </w:r>
      <w:r w:rsidR="00513047">
        <w:rPr>
          <w:rFonts w:ascii="Arial" w:eastAsia="Arial" w:hAnsi="Arial" w:cs="Arial"/>
          <w:sz w:val="20"/>
          <w:szCs w:val="20"/>
        </w:rPr>
        <w:t>February 2023</w:t>
      </w:r>
      <w:r w:rsidRPr="00AE2D53">
        <w:rPr>
          <w:rFonts w:ascii="Arial" w:eastAsia="Arial" w:hAnsi="Arial" w:cs="Arial"/>
          <w:sz w:val="20"/>
          <w:szCs w:val="20"/>
        </w:rPr>
        <w:t xml:space="preserve">. </w:t>
      </w:r>
      <w:r w:rsidRPr="00AE2D53">
        <w:rPr>
          <w:rFonts w:ascii="Arial" w:hAnsi="Arial" w:cs="Arial"/>
          <w:sz w:val="20"/>
          <w:szCs w:val="20"/>
        </w:rPr>
        <w:t xml:space="preserve">This is the CEDAW Committee’s </w:t>
      </w:r>
      <w:r w:rsidR="00A14DC4">
        <w:rPr>
          <w:rFonts w:ascii="Arial" w:hAnsi="Arial" w:cs="Arial"/>
          <w:sz w:val="20"/>
          <w:szCs w:val="20"/>
        </w:rPr>
        <w:t>fourth</w:t>
      </w:r>
      <w:r w:rsidRPr="00AE2D53">
        <w:rPr>
          <w:rFonts w:ascii="Arial" w:hAnsi="Arial" w:cs="Arial"/>
          <w:sz w:val="20"/>
          <w:szCs w:val="20"/>
        </w:rPr>
        <w:t xml:space="preserve"> periodic engagement with </w:t>
      </w:r>
      <w:r w:rsidR="00A14DC4">
        <w:rPr>
          <w:rFonts w:ascii="Arial" w:hAnsi="Arial" w:cs="Arial"/>
          <w:sz w:val="20"/>
          <w:szCs w:val="20"/>
        </w:rPr>
        <w:t>Mauritania</w:t>
      </w:r>
      <w:r w:rsidR="00E00C6F" w:rsidRPr="00AE2D53">
        <w:rPr>
          <w:rFonts w:ascii="Arial" w:hAnsi="Arial" w:cs="Arial"/>
          <w:sz w:val="20"/>
          <w:szCs w:val="20"/>
        </w:rPr>
        <w:t>. Its last full review was in 201</w:t>
      </w:r>
      <w:r w:rsidR="00A14DC4">
        <w:rPr>
          <w:rFonts w:ascii="Arial" w:hAnsi="Arial" w:cs="Arial"/>
          <w:sz w:val="20"/>
          <w:szCs w:val="20"/>
        </w:rPr>
        <w:t>4</w:t>
      </w:r>
      <w:r w:rsidR="00E00C6F" w:rsidRPr="00AE2D53">
        <w:rPr>
          <w:rFonts w:ascii="Arial" w:hAnsi="Arial" w:cs="Arial"/>
          <w:sz w:val="20"/>
          <w:szCs w:val="20"/>
        </w:rPr>
        <w:t xml:space="preserve">. </w:t>
      </w:r>
      <w:r w:rsidR="00A14DC4">
        <w:rPr>
          <w:rFonts w:ascii="Arial" w:hAnsi="Arial" w:cs="Arial"/>
          <w:sz w:val="20"/>
          <w:szCs w:val="20"/>
        </w:rPr>
        <w:t>Mauritania</w:t>
      </w:r>
      <w:r w:rsidR="00E00C6F" w:rsidRPr="00AE2D53">
        <w:rPr>
          <w:rFonts w:ascii="Arial" w:hAnsi="Arial" w:cs="Arial"/>
          <w:sz w:val="20"/>
          <w:szCs w:val="20"/>
        </w:rPr>
        <w:t xml:space="preserve"> </w:t>
      </w:r>
      <w:r w:rsidRPr="00AE2D53">
        <w:rPr>
          <w:rFonts w:ascii="Arial" w:hAnsi="Arial" w:cs="Arial"/>
          <w:sz w:val="20"/>
          <w:szCs w:val="20"/>
        </w:rPr>
        <w:t>acceded to CEDAW</w:t>
      </w:r>
      <w:r w:rsidR="00AE2D53" w:rsidRPr="00AE2D53">
        <w:rPr>
          <w:rFonts w:ascii="Arial" w:hAnsi="Arial" w:cs="Arial"/>
          <w:sz w:val="20"/>
          <w:szCs w:val="20"/>
        </w:rPr>
        <w:t xml:space="preserve"> in </w:t>
      </w:r>
      <w:r w:rsidR="00A14DC4">
        <w:rPr>
          <w:rFonts w:ascii="Arial" w:hAnsi="Arial" w:cs="Arial"/>
          <w:sz w:val="20"/>
          <w:szCs w:val="20"/>
        </w:rPr>
        <w:t xml:space="preserve">May 2001 </w:t>
      </w:r>
      <w:r w:rsidR="00AE2D53" w:rsidRPr="00AE2D53">
        <w:rPr>
          <w:rFonts w:ascii="Arial" w:hAnsi="Arial" w:cs="Arial"/>
          <w:sz w:val="20"/>
          <w:szCs w:val="20"/>
        </w:rPr>
        <w:t>with reservations</w:t>
      </w:r>
      <w:r w:rsidR="00A14DC4">
        <w:rPr>
          <w:rFonts w:ascii="Arial" w:hAnsi="Arial" w:cs="Arial"/>
          <w:sz w:val="20"/>
          <w:szCs w:val="20"/>
        </w:rPr>
        <w:t xml:space="preserve"> on Articles 13(a) and 16 of the Convention.</w:t>
      </w:r>
    </w:p>
    <w:p w14:paraId="257ABD4D" w14:textId="04C37B65" w:rsidR="00A14DC4" w:rsidRPr="00603348" w:rsidRDefault="00E26F24" w:rsidP="00B727D8">
      <w:pPr>
        <w:pStyle w:val="paragraph"/>
        <w:jc w:val="both"/>
        <w:textAlignment w:val="baseline"/>
        <w:rPr>
          <w:rFonts w:asciiTheme="minorBidi" w:hAnsiTheme="minorBidi" w:cstheme="minorBidi"/>
          <w:b/>
          <w:bCs/>
          <w:sz w:val="20"/>
          <w:szCs w:val="20"/>
        </w:rPr>
      </w:pPr>
      <w:r w:rsidRPr="00AE2D53">
        <w:rPr>
          <w:rFonts w:asciiTheme="minorBidi" w:hAnsiTheme="minorBidi" w:cstheme="minorBidi"/>
          <w:sz w:val="20"/>
          <w:szCs w:val="20"/>
        </w:rPr>
        <w:t xml:space="preserve">This report highlights key legal inequalities that Muslim women face in </w:t>
      </w:r>
      <w:r w:rsidR="00A14DC4">
        <w:rPr>
          <w:rFonts w:asciiTheme="minorBidi" w:hAnsiTheme="minorBidi" w:cstheme="minorBidi"/>
          <w:sz w:val="20"/>
          <w:szCs w:val="20"/>
        </w:rPr>
        <w:t>Mauritania</w:t>
      </w:r>
      <w:r w:rsidRPr="00AE2D53">
        <w:rPr>
          <w:rFonts w:asciiTheme="minorBidi" w:hAnsiTheme="minorBidi" w:cstheme="minorBidi"/>
          <w:sz w:val="20"/>
          <w:szCs w:val="20"/>
        </w:rPr>
        <w:t xml:space="preserve"> in the personal status sphere and their resulting negative impact on women and girls</w:t>
      </w:r>
      <w:r w:rsidR="009C36BC" w:rsidRPr="00AE2D53">
        <w:rPr>
          <w:rFonts w:asciiTheme="minorBidi" w:hAnsiTheme="minorBidi" w:cstheme="minorBidi"/>
          <w:sz w:val="20"/>
          <w:szCs w:val="20"/>
        </w:rPr>
        <w:t>, along with recommendations to address gaps</w:t>
      </w:r>
      <w:r w:rsidRPr="00AE2D53">
        <w:rPr>
          <w:rFonts w:asciiTheme="minorBidi" w:hAnsiTheme="minorBidi" w:cstheme="minorBidi"/>
          <w:sz w:val="20"/>
          <w:szCs w:val="20"/>
        </w:rPr>
        <w:t xml:space="preserve">. We encourage the </w:t>
      </w:r>
      <w:r w:rsidR="00A14DC4">
        <w:rPr>
          <w:rFonts w:asciiTheme="minorBidi" w:hAnsiTheme="minorBidi" w:cstheme="minorBidi"/>
          <w:sz w:val="20"/>
          <w:szCs w:val="20"/>
        </w:rPr>
        <w:t>Mauritanian</w:t>
      </w:r>
      <w:r w:rsidRPr="00AE2D53">
        <w:rPr>
          <w:rFonts w:asciiTheme="minorBidi" w:hAnsiTheme="minorBidi" w:cstheme="minorBidi"/>
          <w:sz w:val="20"/>
          <w:szCs w:val="20"/>
        </w:rPr>
        <w:t xml:space="preserve"> government to </w:t>
      </w:r>
      <w:r w:rsidR="00AE2D53">
        <w:rPr>
          <w:rFonts w:asciiTheme="minorBidi" w:hAnsiTheme="minorBidi" w:cstheme="minorBidi"/>
          <w:sz w:val="20"/>
          <w:szCs w:val="20"/>
        </w:rPr>
        <w:t xml:space="preserve">continue its efforts in eliminating discrimination against women, particularly in the </w:t>
      </w:r>
      <w:r w:rsidR="00B727D8">
        <w:rPr>
          <w:rFonts w:asciiTheme="minorBidi" w:hAnsiTheme="minorBidi" w:cstheme="minorBidi"/>
          <w:sz w:val="20"/>
          <w:szCs w:val="20"/>
        </w:rPr>
        <w:t>areas discussed subsequently.</w:t>
      </w:r>
    </w:p>
    <w:p w14:paraId="04D4442F" w14:textId="401FF619" w:rsidR="00E26F24" w:rsidRPr="007C60B8" w:rsidRDefault="00E26F24" w:rsidP="007C60B8">
      <w:pPr>
        <w:pStyle w:val="paragraph"/>
        <w:jc w:val="both"/>
        <w:textAlignment w:val="baseline"/>
        <w:rPr>
          <w:rFonts w:asciiTheme="minorBidi" w:hAnsiTheme="minorBidi" w:cstheme="minorBidi"/>
          <w:sz w:val="20"/>
          <w:szCs w:val="20"/>
        </w:rPr>
      </w:pPr>
      <w:r w:rsidRPr="000C6DA6">
        <w:rPr>
          <w:rFonts w:ascii="Arial" w:eastAsia="Arial" w:hAnsi="Arial" w:cs="Arial"/>
          <w:sz w:val="20"/>
          <w:szCs w:val="20"/>
        </w:rPr>
        <w:t>We hope that the CEDAW Committee will utilize this report as a key resource during its constructive engagement with the State Party</w:t>
      </w:r>
      <w:r w:rsidR="00C57A20" w:rsidRPr="000C6DA6">
        <w:rPr>
          <w:rFonts w:ascii="Arial" w:eastAsia="Arial" w:hAnsi="Arial" w:cs="Arial"/>
          <w:sz w:val="20"/>
          <w:szCs w:val="20"/>
        </w:rPr>
        <w:t xml:space="preserve"> and</w:t>
      </w:r>
      <w:r w:rsidRPr="000C6DA6">
        <w:rPr>
          <w:rFonts w:ascii="Arial" w:eastAsia="Arial" w:hAnsi="Arial" w:cs="Arial"/>
          <w:sz w:val="20"/>
          <w:szCs w:val="20"/>
        </w:rPr>
        <w:t xml:space="preserve"> use the recommendations to identify follow-up issues in its Concluding Observations. </w:t>
      </w:r>
    </w:p>
    <w:p w14:paraId="5E48662F" w14:textId="6018D08D" w:rsidR="00E26F24" w:rsidRPr="00742EE1" w:rsidRDefault="00E26F24" w:rsidP="00892FA5">
      <w:pPr>
        <w:pStyle w:val="Heading1"/>
        <w:rPr>
          <w:rStyle w:val="normaltextrun"/>
          <w:sz w:val="26"/>
          <w:szCs w:val="26"/>
        </w:rPr>
      </w:pPr>
      <w:bookmarkStart w:id="4" w:name="_Toc526513932"/>
      <w:bookmarkStart w:id="5" w:name="_Toc103472503"/>
      <w:bookmarkStart w:id="6" w:name="_Toc124084914"/>
      <w:r w:rsidRPr="00742EE1">
        <w:t>B. BACKGROUND</w:t>
      </w:r>
      <w:bookmarkEnd w:id="4"/>
      <w:r w:rsidR="007237F8">
        <w:t xml:space="preserve">, </w:t>
      </w:r>
      <w:r>
        <w:t>LEGAL FRAMEWOR</w:t>
      </w:r>
      <w:bookmarkEnd w:id="5"/>
      <w:r w:rsidR="007237F8">
        <w:t>K AND CONTEXT</w:t>
      </w:r>
      <w:bookmarkEnd w:id="6"/>
    </w:p>
    <w:p w14:paraId="31E30B1E" w14:textId="1EDBA391" w:rsidR="00E26F24" w:rsidRDefault="00E26F24" w:rsidP="00E26F24">
      <w:pPr>
        <w:rPr>
          <w:rFonts w:ascii="Arial" w:eastAsia="Arial" w:hAnsi="Arial" w:cs="Arial"/>
          <w:sz w:val="20"/>
          <w:szCs w:val="20"/>
        </w:rPr>
      </w:pPr>
    </w:p>
    <w:p w14:paraId="10290B9B" w14:textId="77777777" w:rsidR="00BA6281" w:rsidRPr="00BA6281" w:rsidRDefault="00BA6281" w:rsidP="00BA6281">
      <w:pPr>
        <w:jc w:val="both"/>
        <w:rPr>
          <w:rFonts w:ascii="Arial" w:eastAsia="Arial" w:hAnsi="Arial" w:cs="Arial"/>
          <w:sz w:val="20"/>
          <w:szCs w:val="20"/>
        </w:rPr>
      </w:pPr>
      <w:r w:rsidRPr="00BA6281">
        <w:rPr>
          <w:rFonts w:ascii="Arial" w:eastAsia="Arial" w:hAnsi="Arial" w:cs="Arial"/>
          <w:sz w:val="20"/>
          <w:szCs w:val="20"/>
        </w:rPr>
        <w:t>The Islamic Republic of Mauritania is situated in northwest Africa on the Atlantic coast. Its population is 4.775 million (2.4 million males and 2.48 females), and average life expectancy is 63.24 years according to 2016 statistics. Mauritania is a republic, and the president is elected by popular vote for a term of five years. The official religion is Islam, as stated in the Constitution, and the Islamic Sharia is the foundation of legislations.</w:t>
      </w:r>
    </w:p>
    <w:p w14:paraId="11AF0297" w14:textId="77777777" w:rsidR="00BA6281" w:rsidRPr="00BA6281" w:rsidRDefault="00BA6281" w:rsidP="00BA6281">
      <w:pPr>
        <w:jc w:val="both"/>
        <w:rPr>
          <w:rFonts w:ascii="Arial" w:eastAsia="Arial" w:hAnsi="Arial" w:cs="Arial"/>
          <w:sz w:val="20"/>
          <w:szCs w:val="20"/>
        </w:rPr>
      </w:pPr>
    </w:p>
    <w:p w14:paraId="02032710" w14:textId="77777777" w:rsidR="00BA6281" w:rsidRPr="00BA6281" w:rsidRDefault="00BA6281" w:rsidP="00BA6281">
      <w:pPr>
        <w:jc w:val="both"/>
        <w:rPr>
          <w:rFonts w:ascii="Arial" w:eastAsia="Arial" w:hAnsi="Arial" w:cs="Arial"/>
          <w:sz w:val="20"/>
          <w:szCs w:val="20"/>
        </w:rPr>
      </w:pPr>
      <w:r w:rsidRPr="00BA6281">
        <w:rPr>
          <w:rFonts w:ascii="Arial" w:eastAsia="Arial" w:hAnsi="Arial" w:cs="Arial"/>
          <w:sz w:val="20"/>
          <w:szCs w:val="20"/>
        </w:rPr>
        <w:t>The Mauritanian Personal Status Code (PSC) is the main codified law that governs matters relating to marriage and family relations of the predominantly Muslim population in Mauritania.</w:t>
      </w:r>
      <w:r w:rsidRPr="00BA6281">
        <w:rPr>
          <w:rFonts w:ascii="Arial" w:eastAsia="Arial" w:hAnsi="Arial" w:cs="Arial"/>
          <w:sz w:val="20"/>
          <w:szCs w:val="20"/>
          <w:vertAlign w:val="superscript"/>
        </w:rPr>
        <w:footnoteReference w:id="1"/>
      </w:r>
      <w:r w:rsidRPr="00BA6281">
        <w:rPr>
          <w:rFonts w:ascii="Arial" w:eastAsia="Arial" w:hAnsi="Arial" w:cs="Arial"/>
          <w:sz w:val="20"/>
          <w:szCs w:val="20"/>
        </w:rPr>
        <w:t xml:space="preserve"> In the absence of codified laws that sufficiently address a particular matter of personal status of Muslims, generally, the rules of Maliki jurisprudence (fiqh) apply.</w:t>
      </w:r>
      <w:r w:rsidRPr="00BA6281">
        <w:rPr>
          <w:rFonts w:ascii="Arial" w:eastAsia="Arial" w:hAnsi="Arial" w:cs="Arial"/>
          <w:sz w:val="20"/>
          <w:szCs w:val="20"/>
          <w:vertAlign w:val="superscript"/>
        </w:rPr>
        <w:footnoteReference w:id="2"/>
      </w:r>
    </w:p>
    <w:p w14:paraId="4DFE39DF" w14:textId="77777777" w:rsidR="00BA6281" w:rsidRPr="00BA6281" w:rsidRDefault="00BA6281" w:rsidP="00BA6281">
      <w:pPr>
        <w:jc w:val="both"/>
        <w:rPr>
          <w:rFonts w:ascii="Arial" w:eastAsia="Arial" w:hAnsi="Arial" w:cs="Arial"/>
          <w:sz w:val="20"/>
          <w:szCs w:val="20"/>
        </w:rPr>
      </w:pPr>
    </w:p>
    <w:p w14:paraId="08619841" w14:textId="3305A91C" w:rsidR="006A5535" w:rsidRDefault="00BA6281" w:rsidP="007237F8">
      <w:pPr>
        <w:jc w:val="both"/>
        <w:rPr>
          <w:rFonts w:ascii="Arial" w:eastAsia="Arial" w:hAnsi="Arial" w:cs="Arial"/>
          <w:sz w:val="20"/>
          <w:szCs w:val="20"/>
          <w:lang w:val="en"/>
        </w:rPr>
      </w:pPr>
      <w:r w:rsidRPr="00BA6281">
        <w:rPr>
          <w:rFonts w:ascii="Arial" w:eastAsia="Arial" w:hAnsi="Arial" w:cs="Arial"/>
          <w:sz w:val="20"/>
          <w:szCs w:val="20"/>
          <w:lang w:val="en"/>
        </w:rPr>
        <w:t>Mauritania has made a reservation on Article 16 of CEDAW relating to marriage and family relations as well as Article 13(1) regarding the right to family benefits, by stating that Mauritania “approves it in each and every one of its parts which are not contrary to Islamic Sharia and are in accordance with our Constitution.”</w:t>
      </w:r>
      <w:r w:rsidRPr="00BA6281">
        <w:rPr>
          <w:rFonts w:ascii="Arial" w:eastAsia="Arial" w:hAnsi="Arial" w:cs="Arial"/>
          <w:sz w:val="20"/>
          <w:szCs w:val="20"/>
          <w:vertAlign w:val="superscript"/>
          <w:lang w:val="en"/>
        </w:rPr>
        <w:footnoteReference w:id="3"/>
      </w:r>
    </w:p>
    <w:p w14:paraId="7B35629F" w14:textId="4EC56178" w:rsidR="007237F8" w:rsidRDefault="007237F8" w:rsidP="007237F8">
      <w:pPr>
        <w:jc w:val="both"/>
        <w:rPr>
          <w:rFonts w:ascii="Arial" w:eastAsia="Arial" w:hAnsi="Arial" w:cs="Arial"/>
          <w:sz w:val="20"/>
          <w:szCs w:val="20"/>
          <w:lang w:val="en"/>
        </w:rPr>
      </w:pPr>
    </w:p>
    <w:p w14:paraId="598C6662" w14:textId="7F6E61B7" w:rsidR="007237F8" w:rsidRPr="000B3F10" w:rsidRDefault="007237F8" w:rsidP="007237F8">
      <w:pPr>
        <w:jc w:val="both"/>
        <w:rPr>
          <w:rFonts w:asciiTheme="minorBidi" w:hAnsiTheme="minorBidi" w:cstheme="minorBidi"/>
          <w:sz w:val="20"/>
          <w:szCs w:val="20"/>
        </w:rPr>
      </w:pPr>
      <w:r w:rsidRPr="000B3F10">
        <w:rPr>
          <w:rFonts w:asciiTheme="minorBidi" w:hAnsiTheme="minorBidi" w:cstheme="minorBidi"/>
          <w:sz w:val="20"/>
          <w:szCs w:val="20"/>
        </w:rPr>
        <w:t>Women in Mauritania struggle against the traditional social system (patriarchy) and the Islamic system. Islamist movements started since the nineties, and succeeded in creating a parallel social system to the existing traditional one.</w:t>
      </w:r>
      <w:r>
        <w:rPr>
          <w:rFonts w:asciiTheme="minorBidi" w:hAnsiTheme="minorBidi" w:cstheme="minorBidi"/>
          <w:sz w:val="20"/>
          <w:szCs w:val="20"/>
        </w:rPr>
        <w:t xml:space="preserve"> </w:t>
      </w:r>
      <w:r w:rsidRPr="000B3F10">
        <w:rPr>
          <w:rFonts w:asciiTheme="minorBidi" w:hAnsiTheme="minorBidi" w:cstheme="minorBidi"/>
          <w:sz w:val="20"/>
          <w:szCs w:val="20"/>
          <w:lang w:bidi="ar-EG"/>
        </w:rPr>
        <w:t xml:space="preserve">The Mauritanian community is multiethnic and culturally diverse, where the social hierarchy enables privileged persons with power and authority to escape legal penalties for crimes like rape, assault, robbery. These persons </w:t>
      </w:r>
      <w:r>
        <w:rPr>
          <w:rFonts w:asciiTheme="minorBidi" w:hAnsiTheme="minorBidi" w:cstheme="minorBidi"/>
          <w:sz w:val="20"/>
          <w:szCs w:val="20"/>
          <w:lang w:bidi="ar-EG"/>
        </w:rPr>
        <w:t>are able to secure</w:t>
      </w:r>
      <w:r w:rsidRPr="000B3F10">
        <w:rPr>
          <w:rFonts w:asciiTheme="minorBidi" w:hAnsiTheme="minorBidi" w:cstheme="minorBidi"/>
          <w:sz w:val="20"/>
          <w:szCs w:val="20"/>
          <w:lang w:bidi="ar-EG"/>
        </w:rPr>
        <w:t xml:space="preserve"> high profile jobs and better </w:t>
      </w:r>
      <w:r>
        <w:rPr>
          <w:rFonts w:asciiTheme="minorBidi" w:hAnsiTheme="minorBidi" w:cstheme="minorBidi"/>
          <w:sz w:val="20"/>
          <w:szCs w:val="20"/>
          <w:lang w:bidi="ar-EG"/>
        </w:rPr>
        <w:t>opportunities</w:t>
      </w:r>
      <w:r w:rsidRPr="000B3F10">
        <w:rPr>
          <w:rFonts w:asciiTheme="minorBidi" w:hAnsiTheme="minorBidi" w:cstheme="minorBidi"/>
          <w:sz w:val="20"/>
          <w:szCs w:val="20"/>
          <w:lang w:bidi="ar-EG"/>
        </w:rPr>
        <w:t xml:space="preserve">. </w:t>
      </w:r>
      <w:r>
        <w:rPr>
          <w:rFonts w:asciiTheme="minorBidi" w:hAnsiTheme="minorBidi" w:cstheme="minorBidi"/>
          <w:sz w:val="20"/>
          <w:szCs w:val="20"/>
          <w:lang w:bidi="ar-EG"/>
        </w:rPr>
        <w:t>Marginalized</w:t>
      </w:r>
      <w:r w:rsidRPr="000B3F10">
        <w:rPr>
          <w:rFonts w:asciiTheme="minorBidi" w:hAnsiTheme="minorBidi" w:cstheme="minorBidi"/>
          <w:sz w:val="20"/>
          <w:szCs w:val="20"/>
          <w:lang w:bidi="ar-EG"/>
        </w:rPr>
        <w:t xml:space="preserve"> segments </w:t>
      </w:r>
      <w:r>
        <w:rPr>
          <w:rFonts w:asciiTheme="minorBidi" w:hAnsiTheme="minorBidi" w:cstheme="minorBidi"/>
          <w:sz w:val="20"/>
          <w:szCs w:val="20"/>
          <w:lang w:bidi="ar-EG"/>
        </w:rPr>
        <w:t xml:space="preserve">of society, however, including </w:t>
      </w:r>
      <w:r w:rsidRPr="000B3F10">
        <w:rPr>
          <w:rFonts w:asciiTheme="minorBidi" w:hAnsiTheme="minorBidi" w:cstheme="minorBidi"/>
          <w:sz w:val="20"/>
          <w:szCs w:val="20"/>
          <w:lang w:bidi="ar-EG"/>
        </w:rPr>
        <w:t xml:space="preserve">black people and </w:t>
      </w:r>
      <w:r>
        <w:rPr>
          <w:rFonts w:asciiTheme="minorBidi" w:hAnsiTheme="minorBidi" w:cstheme="minorBidi"/>
          <w:sz w:val="20"/>
          <w:szCs w:val="20"/>
          <w:lang w:bidi="ar-EG"/>
        </w:rPr>
        <w:t xml:space="preserve">other </w:t>
      </w:r>
      <w:r w:rsidRPr="000B3F10">
        <w:rPr>
          <w:rFonts w:asciiTheme="minorBidi" w:hAnsiTheme="minorBidi" w:cstheme="minorBidi"/>
          <w:sz w:val="20"/>
          <w:szCs w:val="20"/>
          <w:lang w:bidi="ar-EG"/>
        </w:rPr>
        <w:t xml:space="preserve">marginalized </w:t>
      </w:r>
      <w:r>
        <w:rPr>
          <w:rFonts w:asciiTheme="minorBidi" w:hAnsiTheme="minorBidi" w:cstheme="minorBidi"/>
          <w:sz w:val="20"/>
          <w:szCs w:val="20"/>
          <w:lang w:bidi="ar-EG"/>
        </w:rPr>
        <w:t>communities, are left</w:t>
      </w:r>
      <w:r w:rsidRPr="000B3F10">
        <w:rPr>
          <w:rFonts w:asciiTheme="minorBidi" w:hAnsiTheme="minorBidi" w:cstheme="minorBidi"/>
          <w:sz w:val="20"/>
          <w:szCs w:val="20"/>
          <w:lang w:bidi="ar-EG"/>
        </w:rPr>
        <w:t xml:space="preserve"> vulnerable due to absence of protection and strong social networks.</w:t>
      </w:r>
    </w:p>
    <w:p w14:paraId="7A409377" w14:textId="77777777" w:rsidR="007237F8" w:rsidRPr="000B3F10" w:rsidRDefault="007237F8" w:rsidP="007237F8">
      <w:pPr>
        <w:jc w:val="both"/>
        <w:rPr>
          <w:rFonts w:asciiTheme="minorBidi" w:hAnsiTheme="minorBidi" w:cstheme="minorBidi"/>
          <w:sz w:val="20"/>
          <w:szCs w:val="20"/>
          <w:lang w:bidi="ar-EG"/>
        </w:rPr>
      </w:pPr>
    </w:p>
    <w:p w14:paraId="1A664294" w14:textId="2C409B69" w:rsidR="007237F8" w:rsidRPr="000B3F10" w:rsidRDefault="007237F8" w:rsidP="007237F8">
      <w:pPr>
        <w:jc w:val="both"/>
        <w:rPr>
          <w:rFonts w:asciiTheme="minorBidi" w:hAnsiTheme="minorBidi" w:cstheme="minorBidi"/>
          <w:sz w:val="20"/>
          <w:szCs w:val="20"/>
        </w:rPr>
      </w:pPr>
      <w:r w:rsidRPr="000B3F10">
        <w:rPr>
          <w:rFonts w:asciiTheme="minorBidi" w:hAnsiTheme="minorBidi" w:cstheme="minorBidi"/>
          <w:sz w:val="20"/>
          <w:szCs w:val="20"/>
        </w:rPr>
        <w:t xml:space="preserve">Women in Mauritania acquire their value from their position in the social order in which they have grown up. Mauritanians are either Arab Berbers, or Maures, (Moors) who are further divided into Beydan (Bithan), or White Maure, and their former slaves, Haratine, who are black, and non-Arabs who are Wolof, Bambara and Fulas. It is noteworthy that Haratine are facing a complex situation being former slaves, and intersecting with other women in other forms of oppression. Therefore, Mauritania has women of varied and diverse backgrounds, each with her own story, due to which we cannot be all generalized as a part of a singular narrative, one law, one type of pain or suffering, one kind of violence, one expression, or one symbol. Nevertheless, women still intersect in their roles and the ruling system, and the </w:t>
      </w:r>
      <w:r w:rsidR="007C60B8">
        <w:rPr>
          <w:rFonts w:asciiTheme="minorBidi" w:hAnsiTheme="minorBidi" w:cstheme="minorBidi"/>
          <w:sz w:val="20"/>
          <w:szCs w:val="20"/>
        </w:rPr>
        <w:t xml:space="preserve">patriarchal </w:t>
      </w:r>
      <w:r w:rsidRPr="000B3F10">
        <w:rPr>
          <w:rFonts w:asciiTheme="minorBidi" w:hAnsiTheme="minorBidi" w:cstheme="minorBidi"/>
          <w:sz w:val="20"/>
          <w:szCs w:val="20"/>
        </w:rPr>
        <w:t>authority practiced on all.</w:t>
      </w:r>
    </w:p>
    <w:p w14:paraId="39983C49" w14:textId="77777777" w:rsidR="007237F8" w:rsidRPr="000B3F10" w:rsidRDefault="007237F8" w:rsidP="007237F8">
      <w:pPr>
        <w:jc w:val="both"/>
        <w:rPr>
          <w:rFonts w:asciiTheme="minorBidi" w:hAnsiTheme="minorBidi" w:cstheme="minorBidi"/>
          <w:sz w:val="20"/>
          <w:szCs w:val="20"/>
        </w:rPr>
      </w:pPr>
    </w:p>
    <w:p w14:paraId="204D9AC8" w14:textId="7F2B7C01" w:rsidR="007237F8" w:rsidRPr="000B3F10" w:rsidRDefault="007237F8" w:rsidP="007237F8">
      <w:pPr>
        <w:jc w:val="both"/>
        <w:rPr>
          <w:rFonts w:asciiTheme="minorBidi" w:hAnsiTheme="minorBidi" w:cstheme="minorBidi"/>
          <w:sz w:val="20"/>
          <w:szCs w:val="20"/>
        </w:rPr>
      </w:pPr>
      <w:r w:rsidRPr="000B3F10">
        <w:rPr>
          <w:rFonts w:asciiTheme="minorBidi" w:hAnsiTheme="minorBidi" w:cstheme="minorBidi"/>
          <w:sz w:val="20"/>
          <w:szCs w:val="20"/>
        </w:rPr>
        <w:t xml:space="preserve">Most anti-women practices are culturally and socially rooted, because the social system manipulates the religious and political systems to its advantage, and sometimes, seeks protection and justification </w:t>
      </w:r>
      <w:r w:rsidRPr="000B3F10">
        <w:rPr>
          <w:rFonts w:asciiTheme="minorBidi" w:hAnsiTheme="minorBidi" w:cstheme="minorBidi"/>
          <w:sz w:val="20"/>
          <w:szCs w:val="20"/>
        </w:rPr>
        <w:lastRenderedPageBreak/>
        <w:t>of religion to legalize more restrictions on women. For example, in one of the ethnicities</w:t>
      </w:r>
      <w:r>
        <w:rPr>
          <w:rFonts w:asciiTheme="minorBidi" w:hAnsiTheme="minorBidi" w:cstheme="minorBidi"/>
          <w:sz w:val="20"/>
          <w:szCs w:val="20"/>
        </w:rPr>
        <w:t>:</w:t>
      </w:r>
      <w:r w:rsidRPr="000B3F10">
        <w:rPr>
          <w:rFonts w:asciiTheme="minorBidi" w:hAnsiTheme="minorBidi" w:cstheme="minorBidi"/>
          <w:sz w:val="20"/>
          <w:szCs w:val="20"/>
        </w:rPr>
        <w:t xml:space="preserve"> women do not usually attend family gatherings; men are prioritized in education, and Female Genital Mutilation/Cutting (FGM) is a must-do tradition.</w:t>
      </w:r>
    </w:p>
    <w:p w14:paraId="5C37B176" w14:textId="77777777" w:rsidR="007237F8" w:rsidRPr="000B3F10" w:rsidRDefault="007237F8" w:rsidP="007237F8">
      <w:pPr>
        <w:jc w:val="both"/>
        <w:rPr>
          <w:rFonts w:asciiTheme="minorBidi" w:hAnsiTheme="minorBidi" w:cstheme="minorBidi"/>
          <w:sz w:val="20"/>
          <w:szCs w:val="20"/>
        </w:rPr>
      </w:pPr>
    </w:p>
    <w:p w14:paraId="5F9FEEA8" w14:textId="5D1E4C60" w:rsidR="007237F8" w:rsidRPr="000B3F10" w:rsidRDefault="007237F8" w:rsidP="007237F8">
      <w:pPr>
        <w:jc w:val="both"/>
        <w:rPr>
          <w:rFonts w:asciiTheme="minorBidi" w:hAnsiTheme="minorBidi" w:cstheme="minorBidi"/>
          <w:sz w:val="20"/>
          <w:szCs w:val="20"/>
        </w:rPr>
      </w:pPr>
      <w:r w:rsidRPr="000B3F10">
        <w:rPr>
          <w:rFonts w:asciiTheme="minorBidi" w:hAnsiTheme="minorBidi" w:cstheme="minorBidi"/>
          <w:sz w:val="20"/>
          <w:szCs w:val="20"/>
        </w:rPr>
        <w:t xml:space="preserve">Another example </w:t>
      </w:r>
      <w:r>
        <w:rPr>
          <w:rFonts w:asciiTheme="minorBidi" w:hAnsiTheme="minorBidi" w:cstheme="minorBidi"/>
          <w:sz w:val="20"/>
          <w:szCs w:val="20"/>
        </w:rPr>
        <w:t>of such manipulation of religion occurred</w:t>
      </w:r>
      <w:r w:rsidRPr="000B3F10">
        <w:rPr>
          <w:rFonts w:asciiTheme="minorBidi" w:hAnsiTheme="minorBidi" w:cstheme="minorBidi"/>
          <w:sz w:val="20"/>
          <w:szCs w:val="20"/>
        </w:rPr>
        <w:t xml:space="preserve"> during</w:t>
      </w:r>
      <w:r>
        <w:rPr>
          <w:rFonts w:asciiTheme="minorBidi" w:hAnsiTheme="minorBidi" w:cstheme="minorBidi"/>
          <w:sz w:val="20"/>
          <w:szCs w:val="20"/>
        </w:rPr>
        <w:t xml:space="preserve"> the</w:t>
      </w:r>
      <w:r w:rsidRPr="000B3F10">
        <w:rPr>
          <w:rFonts w:asciiTheme="minorBidi" w:hAnsiTheme="minorBidi" w:cstheme="minorBidi"/>
          <w:sz w:val="20"/>
          <w:szCs w:val="20"/>
        </w:rPr>
        <w:t xml:space="preserve"> drafting </w:t>
      </w:r>
      <w:r>
        <w:rPr>
          <w:rFonts w:asciiTheme="minorBidi" w:hAnsiTheme="minorBidi" w:cstheme="minorBidi"/>
          <w:sz w:val="20"/>
          <w:szCs w:val="20"/>
        </w:rPr>
        <w:t>of a</w:t>
      </w:r>
      <w:r w:rsidRPr="000B3F10">
        <w:rPr>
          <w:rFonts w:asciiTheme="minorBidi" w:hAnsiTheme="minorBidi" w:cstheme="minorBidi"/>
          <w:sz w:val="20"/>
          <w:szCs w:val="20"/>
        </w:rPr>
        <w:t xml:space="preserve"> law on Gender Based Violence (GBV), presented by the government to the parliament in 2016. The parliament rejected the law on the grounds that it is against </w:t>
      </w:r>
      <w:r w:rsidRPr="007237F8">
        <w:rPr>
          <w:rFonts w:asciiTheme="minorBidi" w:hAnsiTheme="minorBidi" w:cstheme="minorBidi"/>
          <w:i/>
          <w:iCs/>
          <w:sz w:val="20"/>
          <w:szCs w:val="20"/>
        </w:rPr>
        <w:t>Sharia</w:t>
      </w:r>
      <w:r w:rsidRPr="000B3F10">
        <w:rPr>
          <w:rFonts w:asciiTheme="minorBidi" w:hAnsiTheme="minorBidi" w:cstheme="minorBidi"/>
          <w:sz w:val="20"/>
          <w:szCs w:val="20"/>
        </w:rPr>
        <w:t xml:space="preserve"> (Islamic law). In this regard, </w:t>
      </w:r>
      <w:r>
        <w:rPr>
          <w:rFonts w:asciiTheme="minorBidi" w:hAnsiTheme="minorBidi" w:cstheme="minorBidi"/>
          <w:sz w:val="20"/>
          <w:szCs w:val="20"/>
        </w:rPr>
        <w:t>Voix des Femmes (</w:t>
      </w:r>
      <w:r w:rsidRPr="000B3F10">
        <w:rPr>
          <w:rFonts w:asciiTheme="minorBidi" w:hAnsiTheme="minorBidi" w:cstheme="minorBidi"/>
          <w:sz w:val="20"/>
          <w:szCs w:val="20"/>
        </w:rPr>
        <w:t>Women’s Voices</w:t>
      </w:r>
      <w:r>
        <w:rPr>
          <w:rFonts w:asciiTheme="minorBidi" w:hAnsiTheme="minorBidi" w:cstheme="minorBidi"/>
          <w:sz w:val="20"/>
          <w:szCs w:val="20"/>
        </w:rPr>
        <w:t>)</w:t>
      </w:r>
      <w:r w:rsidRPr="000B3F10">
        <w:rPr>
          <w:rFonts w:asciiTheme="minorBidi" w:hAnsiTheme="minorBidi" w:cstheme="minorBidi"/>
          <w:sz w:val="20"/>
          <w:szCs w:val="20"/>
        </w:rPr>
        <w:t xml:space="preserve"> conducted several interviews with parliament members on the issue, where most of them stated they </w:t>
      </w:r>
      <w:r>
        <w:rPr>
          <w:rFonts w:asciiTheme="minorBidi" w:hAnsiTheme="minorBidi" w:cstheme="minorBidi"/>
          <w:sz w:val="20"/>
          <w:szCs w:val="20"/>
        </w:rPr>
        <w:t>had not</w:t>
      </w:r>
      <w:r w:rsidRPr="000B3F10">
        <w:rPr>
          <w:rFonts w:asciiTheme="minorBidi" w:hAnsiTheme="minorBidi" w:cstheme="minorBidi"/>
          <w:sz w:val="20"/>
          <w:szCs w:val="20"/>
        </w:rPr>
        <w:t xml:space="preserve"> read the draft</w:t>
      </w:r>
      <w:r>
        <w:rPr>
          <w:rFonts w:asciiTheme="minorBidi" w:hAnsiTheme="minorBidi" w:cstheme="minorBidi"/>
          <w:sz w:val="20"/>
          <w:szCs w:val="20"/>
        </w:rPr>
        <w:t xml:space="preserve"> and only </w:t>
      </w:r>
      <w:r w:rsidRPr="000B3F10">
        <w:rPr>
          <w:rFonts w:asciiTheme="minorBidi" w:hAnsiTheme="minorBidi" w:cstheme="minorBidi"/>
          <w:sz w:val="20"/>
          <w:szCs w:val="20"/>
        </w:rPr>
        <w:t xml:space="preserve">voted against it because of the word “gender”, or after they listened to others’ comments. The same draft has been presented again to the Islamic </w:t>
      </w:r>
      <w:r>
        <w:rPr>
          <w:rFonts w:asciiTheme="minorBidi" w:hAnsiTheme="minorBidi" w:cstheme="minorBidi"/>
          <w:sz w:val="20"/>
          <w:szCs w:val="20"/>
        </w:rPr>
        <w:t>A</w:t>
      </w:r>
      <w:r w:rsidRPr="000B3F10">
        <w:rPr>
          <w:rFonts w:asciiTheme="minorBidi" w:hAnsiTheme="minorBidi" w:cstheme="minorBidi"/>
          <w:sz w:val="20"/>
          <w:szCs w:val="20"/>
        </w:rPr>
        <w:t xml:space="preserve">ffairs </w:t>
      </w:r>
      <w:r>
        <w:rPr>
          <w:rFonts w:asciiTheme="minorBidi" w:hAnsiTheme="minorBidi" w:cstheme="minorBidi"/>
          <w:sz w:val="20"/>
          <w:szCs w:val="20"/>
        </w:rPr>
        <w:t>C</w:t>
      </w:r>
      <w:r w:rsidRPr="000B3F10">
        <w:rPr>
          <w:rFonts w:asciiTheme="minorBidi" w:hAnsiTheme="minorBidi" w:cstheme="minorBidi"/>
          <w:sz w:val="20"/>
          <w:szCs w:val="20"/>
        </w:rPr>
        <w:t xml:space="preserve">ommittee, affiliated </w:t>
      </w:r>
      <w:r>
        <w:rPr>
          <w:rFonts w:asciiTheme="minorBidi" w:hAnsiTheme="minorBidi" w:cstheme="minorBidi"/>
          <w:sz w:val="20"/>
          <w:szCs w:val="20"/>
        </w:rPr>
        <w:t>with</w:t>
      </w:r>
      <w:r w:rsidRPr="000B3F10">
        <w:rPr>
          <w:rFonts w:asciiTheme="minorBidi" w:hAnsiTheme="minorBidi" w:cstheme="minorBidi"/>
          <w:sz w:val="20"/>
          <w:szCs w:val="20"/>
        </w:rPr>
        <w:t xml:space="preserve"> the parliament </w:t>
      </w:r>
      <w:r>
        <w:rPr>
          <w:rFonts w:asciiTheme="minorBidi" w:hAnsiTheme="minorBidi" w:cstheme="minorBidi"/>
          <w:sz w:val="20"/>
          <w:szCs w:val="20"/>
        </w:rPr>
        <w:t>since</w:t>
      </w:r>
      <w:r w:rsidRPr="000B3F10">
        <w:rPr>
          <w:rFonts w:asciiTheme="minorBidi" w:hAnsiTheme="minorBidi" w:cstheme="minorBidi"/>
          <w:sz w:val="20"/>
          <w:szCs w:val="20"/>
        </w:rPr>
        <w:t xml:space="preserve"> 2017, that advised to modify the draft, put reservations on articles of marriage and divorce as being against Sharia (Islamic law), and recommended</w:t>
      </w:r>
      <w:r>
        <w:rPr>
          <w:rFonts w:asciiTheme="minorBidi" w:hAnsiTheme="minorBidi" w:cstheme="minorBidi"/>
          <w:sz w:val="20"/>
          <w:szCs w:val="20"/>
        </w:rPr>
        <w:t xml:space="preserve"> it</w:t>
      </w:r>
      <w:r w:rsidRPr="000B3F10">
        <w:rPr>
          <w:rFonts w:asciiTheme="minorBidi" w:hAnsiTheme="minorBidi" w:cstheme="minorBidi"/>
          <w:sz w:val="20"/>
          <w:szCs w:val="20"/>
        </w:rPr>
        <w:t xml:space="preserve"> to be presented again to the National Assembly for voting</w:t>
      </w:r>
      <w:r>
        <w:rPr>
          <w:rFonts w:asciiTheme="minorBidi" w:hAnsiTheme="minorBidi" w:cstheme="minorBidi"/>
          <w:sz w:val="20"/>
          <w:szCs w:val="20"/>
        </w:rPr>
        <w:t>. However,</w:t>
      </w:r>
      <w:r w:rsidRPr="000B3F10">
        <w:rPr>
          <w:rFonts w:asciiTheme="minorBidi" w:hAnsiTheme="minorBidi" w:cstheme="minorBidi"/>
          <w:sz w:val="20"/>
          <w:szCs w:val="20"/>
        </w:rPr>
        <w:t xml:space="preserve"> it </w:t>
      </w:r>
      <w:r>
        <w:rPr>
          <w:rFonts w:asciiTheme="minorBidi" w:hAnsiTheme="minorBidi" w:cstheme="minorBidi"/>
          <w:sz w:val="20"/>
          <w:szCs w:val="20"/>
        </w:rPr>
        <w:t>has not yet been passed.</w:t>
      </w:r>
    </w:p>
    <w:p w14:paraId="1593875D" w14:textId="77777777" w:rsidR="007237F8" w:rsidRPr="000B3F10" w:rsidRDefault="007237F8" w:rsidP="007237F8">
      <w:pPr>
        <w:jc w:val="both"/>
        <w:rPr>
          <w:rFonts w:asciiTheme="minorBidi" w:hAnsiTheme="minorBidi" w:cstheme="minorBidi"/>
          <w:sz w:val="20"/>
          <w:szCs w:val="20"/>
        </w:rPr>
      </w:pPr>
    </w:p>
    <w:p w14:paraId="05391416" w14:textId="34FD206A" w:rsidR="007237F8" w:rsidRPr="007237F8" w:rsidRDefault="007237F8" w:rsidP="007237F8">
      <w:pPr>
        <w:jc w:val="both"/>
        <w:rPr>
          <w:rFonts w:asciiTheme="minorBidi" w:hAnsiTheme="minorBidi" w:cstheme="minorBidi"/>
          <w:sz w:val="20"/>
          <w:szCs w:val="20"/>
        </w:rPr>
      </w:pPr>
      <w:r w:rsidRPr="000B3F10">
        <w:rPr>
          <w:rFonts w:asciiTheme="minorBidi" w:hAnsiTheme="minorBidi" w:cstheme="minorBidi"/>
          <w:sz w:val="20"/>
          <w:szCs w:val="20"/>
        </w:rPr>
        <w:t xml:space="preserve">Although the government mobilized to pass the draft to meet its </w:t>
      </w:r>
      <w:r>
        <w:rPr>
          <w:rFonts w:asciiTheme="minorBidi" w:hAnsiTheme="minorBidi" w:cstheme="minorBidi"/>
          <w:sz w:val="20"/>
          <w:szCs w:val="20"/>
        </w:rPr>
        <w:t xml:space="preserve">international </w:t>
      </w:r>
      <w:r w:rsidRPr="000B3F10">
        <w:rPr>
          <w:rFonts w:asciiTheme="minorBidi" w:hAnsiTheme="minorBidi" w:cstheme="minorBidi"/>
          <w:sz w:val="20"/>
          <w:szCs w:val="20"/>
        </w:rPr>
        <w:t xml:space="preserve">commitments and recurrent recommendations on violence, and </w:t>
      </w:r>
      <w:r>
        <w:rPr>
          <w:rFonts w:asciiTheme="minorBidi" w:hAnsiTheme="minorBidi" w:cstheme="minorBidi"/>
          <w:sz w:val="20"/>
          <w:szCs w:val="20"/>
        </w:rPr>
        <w:t>made use of</w:t>
      </w:r>
      <w:r w:rsidRPr="000B3F10">
        <w:rPr>
          <w:rFonts w:asciiTheme="minorBidi" w:hAnsiTheme="minorBidi" w:cstheme="minorBidi"/>
          <w:sz w:val="20"/>
          <w:szCs w:val="20"/>
        </w:rPr>
        <w:t xml:space="preserve"> the official media to </w:t>
      </w:r>
      <w:r>
        <w:rPr>
          <w:rFonts w:asciiTheme="minorBidi" w:hAnsiTheme="minorBidi" w:cstheme="minorBidi"/>
          <w:sz w:val="20"/>
          <w:szCs w:val="20"/>
        </w:rPr>
        <w:t>support</w:t>
      </w:r>
      <w:r w:rsidRPr="000B3F10">
        <w:rPr>
          <w:rFonts w:asciiTheme="minorBidi" w:hAnsiTheme="minorBidi" w:cstheme="minorBidi"/>
          <w:sz w:val="20"/>
          <w:szCs w:val="20"/>
        </w:rPr>
        <w:t xml:space="preserve"> it, the social system </w:t>
      </w:r>
      <w:r>
        <w:rPr>
          <w:rFonts w:asciiTheme="minorBidi" w:hAnsiTheme="minorBidi" w:cstheme="minorBidi"/>
          <w:sz w:val="20"/>
          <w:szCs w:val="20"/>
        </w:rPr>
        <w:t>resulted in its failure</w:t>
      </w:r>
      <w:r w:rsidRPr="000B3F10">
        <w:rPr>
          <w:rFonts w:asciiTheme="minorBidi" w:hAnsiTheme="minorBidi" w:cstheme="minorBidi"/>
          <w:sz w:val="20"/>
          <w:szCs w:val="20"/>
        </w:rPr>
        <w:t>,</w:t>
      </w:r>
      <w:r w:rsidR="00D164DD">
        <w:rPr>
          <w:rFonts w:asciiTheme="minorBidi" w:hAnsiTheme="minorBidi" w:cstheme="minorBidi"/>
          <w:sz w:val="20"/>
          <w:szCs w:val="20"/>
        </w:rPr>
        <w:t xml:space="preserve"> where </w:t>
      </w:r>
      <w:r w:rsidRPr="000B3F10">
        <w:rPr>
          <w:rFonts w:asciiTheme="minorBidi" w:hAnsiTheme="minorBidi" w:cstheme="minorBidi"/>
          <w:sz w:val="20"/>
          <w:szCs w:val="20"/>
        </w:rPr>
        <w:t xml:space="preserve">the </w:t>
      </w:r>
      <w:r>
        <w:rPr>
          <w:rFonts w:asciiTheme="minorBidi" w:hAnsiTheme="minorBidi" w:cstheme="minorBidi"/>
          <w:sz w:val="20"/>
          <w:szCs w:val="20"/>
        </w:rPr>
        <w:t>‘</w:t>
      </w:r>
      <w:r w:rsidRPr="000B3F10">
        <w:rPr>
          <w:rFonts w:asciiTheme="minorBidi" w:hAnsiTheme="minorBidi" w:cstheme="minorBidi"/>
          <w:sz w:val="20"/>
          <w:szCs w:val="20"/>
        </w:rPr>
        <w:t>Islamic</w:t>
      </w:r>
      <w:r>
        <w:rPr>
          <w:rFonts w:asciiTheme="minorBidi" w:hAnsiTheme="minorBidi" w:cstheme="minorBidi"/>
          <w:sz w:val="20"/>
          <w:szCs w:val="20"/>
        </w:rPr>
        <w:t>’</w:t>
      </w:r>
      <w:r w:rsidRPr="000B3F10">
        <w:rPr>
          <w:rFonts w:asciiTheme="minorBidi" w:hAnsiTheme="minorBidi" w:cstheme="minorBidi"/>
          <w:sz w:val="20"/>
          <w:szCs w:val="20"/>
        </w:rPr>
        <w:t xml:space="preserve"> and traditional systems bec</w:t>
      </w:r>
      <w:r>
        <w:rPr>
          <w:rFonts w:asciiTheme="minorBidi" w:hAnsiTheme="minorBidi" w:cstheme="minorBidi"/>
          <w:sz w:val="20"/>
          <w:szCs w:val="20"/>
        </w:rPr>
        <w:t>a</w:t>
      </w:r>
      <w:r w:rsidRPr="000B3F10">
        <w:rPr>
          <w:rFonts w:asciiTheme="minorBidi" w:hAnsiTheme="minorBidi" w:cstheme="minorBidi"/>
          <w:sz w:val="20"/>
          <w:szCs w:val="20"/>
        </w:rPr>
        <w:t>me allies in countering the draft law.</w:t>
      </w:r>
    </w:p>
    <w:p w14:paraId="33403382" w14:textId="77777777" w:rsidR="00233AE3" w:rsidRPr="002F7D20" w:rsidRDefault="00233AE3" w:rsidP="00E26F24">
      <w:pPr>
        <w:rPr>
          <w:rFonts w:ascii="Arial" w:eastAsia="Arial" w:hAnsi="Arial" w:cs="Arial"/>
          <w:sz w:val="20"/>
          <w:szCs w:val="20"/>
        </w:rPr>
      </w:pPr>
    </w:p>
    <w:p w14:paraId="6E2E447A" w14:textId="77777777" w:rsidR="00E26F24" w:rsidRPr="00742EE1" w:rsidRDefault="00E26F24" w:rsidP="00892FA5">
      <w:pPr>
        <w:pStyle w:val="Heading1"/>
      </w:pPr>
      <w:bookmarkStart w:id="7" w:name="_Toc526513933"/>
      <w:bookmarkStart w:id="8" w:name="_Toc103472504"/>
      <w:bookmarkStart w:id="9" w:name="_Toc124084915"/>
      <w:r w:rsidRPr="00742EE1">
        <w:t xml:space="preserve">C. </w:t>
      </w:r>
      <w:bookmarkEnd w:id="7"/>
      <w:r>
        <w:t>KEY ISSUES AND RECOMMENDATIONS</w:t>
      </w:r>
      <w:bookmarkEnd w:id="8"/>
      <w:bookmarkEnd w:id="9"/>
      <w:r w:rsidRPr="00742EE1">
        <w:t xml:space="preserve"> </w:t>
      </w:r>
    </w:p>
    <w:p w14:paraId="00060093" w14:textId="77777777" w:rsidR="00E26F24" w:rsidRPr="00C70995" w:rsidRDefault="00E26F24" w:rsidP="00E26F24">
      <w:bookmarkStart w:id="10" w:name="_2et92p0" w:colFirst="0" w:colLast="0"/>
      <w:bookmarkStart w:id="11" w:name="_Toc526513939"/>
      <w:bookmarkEnd w:id="10"/>
    </w:p>
    <w:p w14:paraId="0ECDF60E" w14:textId="0A528576" w:rsidR="00E26F24" w:rsidRPr="00191FBF" w:rsidRDefault="007C55CD" w:rsidP="00B44210">
      <w:pPr>
        <w:pStyle w:val="Heading2"/>
        <w:rPr>
          <w:i/>
          <w:iCs/>
        </w:rPr>
      </w:pPr>
      <w:bookmarkStart w:id="12" w:name="_Toc103472505"/>
      <w:bookmarkStart w:id="13" w:name="_Toc124084916"/>
      <w:r>
        <w:t>Spousal Inequality and Consent to Marriage</w:t>
      </w:r>
      <w:r>
        <w:tab/>
      </w:r>
      <w:r w:rsidR="00F266AC" w:rsidRPr="00191FBF">
        <w:tab/>
      </w:r>
      <w:r w:rsidR="00F266AC" w:rsidRPr="00191FBF">
        <w:tab/>
        <w:t xml:space="preserve">   Article</w:t>
      </w:r>
      <w:r w:rsidR="00191FBF">
        <w:t>s 2,</w:t>
      </w:r>
      <w:r w:rsidR="00F266AC" w:rsidRPr="00191FBF">
        <w:t xml:space="preserve"> 16</w:t>
      </w:r>
      <w:bookmarkEnd w:id="12"/>
      <w:bookmarkEnd w:id="13"/>
    </w:p>
    <w:p w14:paraId="15DCE2BD" w14:textId="77777777" w:rsidR="00191FBF" w:rsidRDefault="00191FBF" w:rsidP="0012209F">
      <w:pPr>
        <w:autoSpaceDE w:val="0"/>
        <w:autoSpaceDN w:val="0"/>
        <w:adjustRightInd w:val="0"/>
        <w:jc w:val="both"/>
        <w:rPr>
          <w:rFonts w:asciiTheme="minorBidi" w:hAnsiTheme="minorBidi" w:cstheme="minorBidi"/>
          <w:sz w:val="20"/>
          <w:szCs w:val="20"/>
        </w:rPr>
      </w:pPr>
    </w:p>
    <w:p w14:paraId="692FF38F" w14:textId="77777777" w:rsidR="0033252E" w:rsidRPr="000B3F10" w:rsidRDefault="0033252E" w:rsidP="0033252E">
      <w:pPr>
        <w:autoSpaceDE w:val="0"/>
        <w:autoSpaceDN w:val="0"/>
        <w:adjustRightInd w:val="0"/>
        <w:jc w:val="both"/>
        <w:rPr>
          <w:rFonts w:asciiTheme="minorBidi" w:hAnsiTheme="minorBidi" w:cstheme="minorBidi"/>
          <w:sz w:val="20"/>
          <w:szCs w:val="20"/>
        </w:rPr>
      </w:pPr>
      <w:r w:rsidRPr="000B3F10">
        <w:rPr>
          <w:rFonts w:asciiTheme="minorBidi" w:hAnsiTheme="minorBidi" w:cstheme="minorBidi"/>
          <w:sz w:val="20"/>
          <w:szCs w:val="20"/>
        </w:rPr>
        <w:t>Article 1 of the Constitution states that all citizens are equal before the law and prohibits discrimination on the several basis including sex.</w:t>
      </w:r>
      <w:r w:rsidRPr="000B3F10">
        <w:rPr>
          <w:rStyle w:val="FootnoteReference"/>
          <w:rFonts w:asciiTheme="minorBidi" w:eastAsia="Corbel" w:hAnsiTheme="minorBidi" w:cstheme="minorBidi"/>
          <w:sz w:val="20"/>
          <w:szCs w:val="20"/>
        </w:rPr>
        <w:footnoteReference w:id="4"/>
      </w:r>
      <w:r w:rsidRPr="000B3F10">
        <w:rPr>
          <w:rFonts w:asciiTheme="minorBidi" w:hAnsiTheme="minorBidi" w:cstheme="minorBidi"/>
          <w:sz w:val="20"/>
          <w:szCs w:val="20"/>
        </w:rPr>
        <w:t xml:space="preserve"> The Preamble to the Constitution declares the family as a basic unit of Islamic society. Article 16 of the Constitution obligates the State to protect the family.</w:t>
      </w:r>
      <w:r w:rsidRPr="000B3F10">
        <w:rPr>
          <w:rStyle w:val="FootnoteReference"/>
          <w:rFonts w:asciiTheme="minorBidi" w:eastAsia="Corbel" w:hAnsiTheme="minorBidi" w:cstheme="minorBidi"/>
          <w:sz w:val="20"/>
          <w:szCs w:val="20"/>
        </w:rPr>
        <w:footnoteReference w:id="5"/>
      </w:r>
    </w:p>
    <w:p w14:paraId="6F9FB347" w14:textId="77777777" w:rsidR="0033252E" w:rsidRPr="000B3F10" w:rsidRDefault="0033252E" w:rsidP="0033252E">
      <w:pPr>
        <w:autoSpaceDE w:val="0"/>
        <w:autoSpaceDN w:val="0"/>
        <w:adjustRightInd w:val="0"/>
        <w:jc w:val="both"/>
        <w:rPr>
          <w:rFonts w:asciiTheme="minorBidi" w:hAnsiTheme="minorBidi" w:cstheme="minorBidi"/>
          <w:sz w:val="20"/>
          <w:szCs w:val="20"/>
        </w:rPr>
      </w:pPr>
    </w:p>
    <w:p w14:paraId="5CAD8E12" w14:textId="77777777" w:rsidR="0033252E" w:rsidRPr="000B3F10" w:rsidRDefault="0033252E" w:rsidP="0033252E">
      <w:pPr>
        <w:autoSpaceDE w:val="0"/>
        <w:autoSpaceDN w:val="0"/>
        <w:adjustRightInd w:val="0"/>
        <w:jc w:val="both"/>
        <w:rPr>
          <w:rFonts w:asciiTheme="minorBidi" w:hAnsiTheme="minorBidi" w:cstheme="minorBidi"/>
          <w:sz w:val="20"/>
          <w:szCs w:val="20"/>
        </w:rPr>
      </w:pPr>
      <w:r w:rsidRPr="000B3F10">
        <w:rPr>
          <w:rFonts w:asciiTheme="minorBidi" w:hAnsiTheme="minorBidi" w:cstheme="minorBidi"/>
          <w:sz w:val="20"/>
          <w:szCs w:val="20"/>
        </w:rPr>
        <w:t>However, despite the equality guarantee under Article 1 of the Constitution, the Personal Status Code provides for a marital framework based on ‘reciprocal’ or ‘complementary’ rights (as opposed to ‘equal’ rights) between the two spouses that in turn is based on the concept of male guardianship over women and children.</w:t>
      </w:r>
      <w:r w:rsidRPr="000B3F10">
        <w:rPr>
          <w:rStyle w:val="FootnoteReference"/>
          <w:rFonts w:asciiTheme="minorBidi" w:eastAsia="Corbel" w:hAnsiTheme="minorBidi" w:cstheme="minorBidi"/>
          <w:sz w:val="20"/>
          <w:szCs w:val="20"/>
        </w:rPr>
        <w:footnoteReference w:id="6"/>
      </w:r>
      <w:r w:rsidRPr="000B3F10">
        <w:rPr>
          <w:rFonts w:asciiTheme="minorBidi" w:hAnsiTheme="minorBidi" w:cstheme="minorBidi"/>
          <w:sz w:val="20"/>
          <w:szCs w:val="20"/>
        </w:rPr>
        <w:t xml:space="preserve"> </w:t>
      </w:r>
    </w:p>
    <w:p w14:paraId="09303C4F" w14:textId="77777777" w:rsidR="0033252E" w:rsidRPr="000B3F10" w:rsidRDefault="0033252E" w:rsidP="0033252E">
      <w:pPr>
        <w:autoSpaceDE w:val="0"/>
        <w:autoSpaceDN w:val="0"/>
        <w:adjustRightInd w:val="0"/>
        <w:jc w:val="both"/>
        <w:rPr>
          <w:rFonts w:asciiTheme="minorBidi" w:hAnsiTheme="minorBidi" w:cstheme="minorBidi"/>
          <w:sz w:val="20"/>
          <w:szCs w:val="20"/>
        </w:rPr>
      </w:pPr>
    </w:p>
    <w:p w14:paraId="732D93C7" w14:textId="323A0F11" w:rsidR="0033252E" w:rsidRDefault="0033252E" w:rsidP="0033252E">
      <w:pPr>
        <w:autoSpaceDE w:val="0"/>
        <w:autoSpaceDN w:val="0"/>
        <w:adjustRightInd w:val="0"/>
        <w:jc w:val="both"/>
        <w:rPr>
          <w:rFonts w:asciiTheme="minorBidi" w:hAnsiTheme="minorBidi" w:cstheme="minorBidi"/>
          <w:sz w:val="20"/>
          <w:szCs w:val="20"/>
        </w:rPr>
      </w:pPr>
      <w:r w:rsidRPr="000B3F10">
        <w:rPr>
          <w:rFonts w:asciiTheme="minorBidi" w:hAnsiTheme="minorBidi" w:cstheme="minorBidi"/>
          <w:sz w:val="20"/>
          <w:szCs w:val="20"/>
        </w:rPr>
        <w:t>Article 56 of PSC provides that the husband is the head of the family while the wife is to assist him in the management of the family.</w:t>
      </w:r>
      <w:r w:rsidRPr="000B3F10">
        <w:rPr>
          <w:rStyle w:val="FootnoteReference"/>
          <w:rFonts w:asciiTheme="minorBidi" w:eastAsia="Corbel" w:hAnsiTheme="minorBidi" w:cstheme="minorBidi"/>
          <w:sz w:val="20"/>
          <w:szCs w:val="20"/>
        </w:rPr>
        <w:footnoteReference w:id="7"/>
      </w:r>
      <w:r w:rsidRPr="000B3F10">
        <w:rPr>
          <w:rFonts w:asciiTheme="minorBidi" w:hAnsiTheme="minorBidi" w:cstheme="minorBidi"/>
          <w:sz w:val="20"/>
          <w:szCs w:val="20"/>
        </w:rPr>
        <w:t xml:space="preserve"> This typically includes house chores and care for the children. In reality, this relationship of guardianship, granting the husband absolute authority within the family, often results in penalization for the wife for going out without a reason or not obeying her husband who is her ’guardian’.</w:t>
      </w:r>
    </w:p>
    <w:p w14:paraId="7860D125" w14:textId="35446DB5" w:rsidR="00D164DD" w:rsidRDefault="00D164DD" w:rsidP="0033252E">
      <w:pPr>
        <w:autoSpaceDE w:val="0"/>
        <w:autoSpaceDN w:val="0"/>
        <w:adjustRightInd w:val="0"/>
        <w:jc w:val="both"/>
        <w:rPr>
          <w:rFonts w:asciiTheme="minorBidi" w:hAnsiTheme="minorBidi" w:cstheme="minorBidi"/>
          <w:sz w:val="20"/>
          <w:szCs w:val="20"/>
        </w:rPr>
      </w:pPr>
    </w:p>
    <w:p w14:paraId="41D28CB7" w14:textId="5D88D5E5" w:rsidR="00D164DD" w:rsidRPr="000B3F10" w:rsidRDefault="00D164DD" w:rsidP="00D164DD">
      <w:pPr>
        <w:jc w:val="both"/>
        <w:rPr>
          <w:rFonts w:asciiTheme="minorBidi" w:hAnsiTheme="minorBidi" w:cstheme="minorBidi"/>
          <w:sz w:val="20"/>
          <w:szCs w:val="20"/>
        </w:rPr>
      </w:pPr>
      <w:r w:rsidRPr="000B3F10">
        <w:rPr>
          <w:rFonts w:asciiTheme="minorBidi" w:hAnsiTheme="minorBidi" w:cstheme="minorBidi"/>
          <w:sz w:val="20"/>
          <w:szCs w:val="20"/>
        </w:rPr>
        <w:t xml:space="preserve">The </w:t>
      </w:r>
      <w:r>
        <w:rPr>
          <w:rFonts w:asciiTheme="minorBidi" w:hAnsiTheme="minorBidi" w:cstheme="minorBidi"/>
          <w:sz w:val="20"/>
          <w:szCs w:val="20"/>
        </w:rPr>
        <w:t>PSC</w:t>
      </w:r>
      <w:r w:rsidRPr="000B3F10">
        <w:rPr>
          <w:rFonts w:asciiTheme="minorBidi" w:hAnsiTheme="minorBidi" w:cstheme="minorBidi"/>
          <w:sz w:val="20"/>
          <w:szCs w:val="20"/>
        </w:rPr>
        <w:t xml:space="preserve"> </w:t>
      </w:r>
      <w:r>
        <w:rPr>
          <w:rFonts w:asciiTheme="minorBidi" w:hAnsiTheme="minorBidi" w:cstheme="minorBidi"/>
          <w:sz w:val="20"/>
          <w:szCs w:val="20"/>
        </w:rPr>
        <w:t xml:space="preserve">also </w:t>
      </w:r>
      <w:r w:rsidRPr="000B3F10">
        <w:rPr>
          <w:rFonts w:asciiTheme="minorBidi" w:hAnsiTheme="minorBidi" w:cstheme="minorBidi"/>
          <w:sz w:val="20"/>
          <w:szCs w:val="20"/>
        </w:rPr>
        <w:t>restrict</w:t>
      </w:r>
      <w:r>
        <w:rPr>
          <w:rFonts w:asciiTheme="minorBidi" w:hAnsiTheme="minorBidi" w:cstheme="minorBidi"/>
          <w:sz w:val="20"/>
          <w:szCs w:val="20"/>
        </w:rPr>
        <w:t>s</w:t>
      </w:r>
      <w:r w:rsidRPr="000B3F10">
        <w:rPr>
          <w:rFonts w:asciiTheme="minorBidi" w:hAnsiTheme="minorBidi" w:cstheme="minorBidi"/>
          <w:sz w:val="20"/>
          <w:szCs w:val="20"/>
        </w:rPr>
        <w:t xml:space="preserve"> the personal rights of married women in Mauritania as a result of the inherent concept of male guardianship over women and children that is built into the law. Article 57 of the Personal Status Law states that a married woman has the right to choose their own profession, “within the bounds permitted by Shari’ah” (without further explaining what these bounds are).</w:t>
      </w:r>
      <w:r w:rsidRPr="000B3F10">
        <w:rPr>
          <w:rStyle w:val="FootnoteReference"/>
          <w:rFonts w:asciiTheme="minorBidi" w:eastAsia="Corbel" w:hAnsiTheme="minorBidi" w:cstheme="minorBidi"/>
          <w:sz w:val="20"/>
          <w:szCs w:val="20"/>
        </w:rPr>
        <w:footnoteReference w:id="8"/>
      </w:r>
      <w:r w:rsidRPr="000B3F10">
        <w:rPr>
          <w:rFonts w:asciiTheme="minorBidi" w:hAnsiTheme="minorBidi" w:cstheme="minorBidi"/>
          <w:sz w:val="20"/>
          <w:szCs w:val="20"/>
        </w:rPr>
        <w:t xml:space="preserve"> This has opened the door for fatwas that discriminate against women, many fatwas have been issued to prohibit women from joining the army, judiciary or presidency.</w:t>
      </w:r>
      <w:r>
        <w:rPr>
          <w:rFonts w:asciiTheme="minorBidi" w:hAnsiTheme="minorBidi" w:cstheme="minorBidi"/>
          <w:sz w:val="20"/>
          <w:szCs w:val="20"/>
        </w:rPr>
        <w:t xml:space="preserve"> </w:t>
      </w:r>
      <w:r w:rsidRPr="000B3F10">
        <w:rPr>
          <w:rFonts w:asciiTheme="minorBidi" w:hAnsiTheme="minorBidi" w:cstheme="minorBidi"/>
          <w:sz w:val="20"/>
          <w:szCs w:val="20"/>
        </w:rPr>
        <w:t>Moreover, Article 58 of the PSC gives a married woman the right to manage her property, but her husband can intervene if she decides to give away more than 1/3 of her assets.</w:t>
      </w:r>
      <w:r w:rsidRPr="000B3F10">
        <w:rPr>
          <w:rStyle w:val="FootnoteReference"/>
          <w:rFonts w:asciiTheme="minorBidi" w:eastAsia="Corbel" w:hAnsiTheme="minorBidi" w:cstheme="minorBidi"/>
          <w:sz w:val="20"/>
          <w:szCs w:val="20"/>
        </w:rPr>
        <w:footnoteReference w:id="9"/>
      </w:r>
      <w:r>
        <w:rPr>
          <w:rFonts w:asciiTheme="minorBidi" w:hAnsiTheme="minorBidi" w:cstheme="minorBidi"/>
          <w:sz w:val="20"/>
          <w:szCs w:val="20"/>
        </w:rPr>
        <w:t xml:space="preserve"> </w:t>
      </w:r>
      <w:r w:rsidRPr="000B3F10">
        <w:rPr>
          <w:rFonts w:asciiTheme="minorBidi" w:hAnsiTheme="minorBidi" w:cstheme="minorBidi"/>
          <w:sz w:val="20"/>
          <w:szCs w:val="20"/>
        </w:rPr>
        <w:t>There are no corresponding restrictions on the personal rights of married husbands.</w:t>
      </w:r>
    </w:p>
    <w:p w14:paraId="368B238B" w14:textId="77777777" w:rsidR="0033252E" w:rsidRPr="000B3F10" w:rsidRDefault="0033252E" w:rsidP="0033252E">
      <w:pPr>
        <w:jc w:val="both"/>
        <w:rPr>
          <w:rFonts w:asciiTheme="minorBidi" w:hAnsiTheme="minorBidi" w:cstheme="minorBidi"/>
          <w:sz w:val="20"/>
          <w:szCs w:val="20"/>
        </w:rPr>
      </w:pPr>
    </w:p>
    <w:p w14:paraId="12DF54DB" w14:textId="77777777" w:rsidR="0033252E" w:rsidRPr="000B3F10" w:rsidRDefault="0033252E" w:rsidP="0033252E">
      <w:pPr>
        <w:jc w:val="both"/>
        <w:rPr>
          <w:rFonts w:asciiTheme="minorBidi" w:hAnsiTheme="minorBidi" w:cstheme="minorBidi"/>
          <w:sz w:val="20"/>
          <w:szCs w:val="20"/>
        </w:rPr>
      </w:pPr>
      <w:r w:rsidRPr="000B3F10">
        <w:rPr>
          <w:rFonts w:asciiTheme="minorBidi" w:hAnsiTheme="minorBidi" w:cstheme="minorBidi"/>
          <w:sz w:val="20"/>
          <w:szCs w:val="20"/>
        </w:rPr>
        <w:t>Regarding women’s consent to marriage, Article 5 of the PSC states that a woman cannot marry without the consent of her guardian (</w:t>
      </w:r>
      <w:r w:rsidRPr="000B3F10">
        <w:rPr>
          <w:rFonts w:asciiTheme="minorBidi" w:hAnsiTheme="minorBidi" w:cstheme="minorBidi"/>
          <w:i/>
          <w:iCs/>
          <w:sz w:val="20"/>
          <w:szCs w:val="20"/>
        </w:rPr>
        <w:t>wali)</w:t>
      </w:r>
      <w:r w:rsidRPr="000B3F10">
        <w:rPr>
          <w:rFonts w:asciiTheme="minorBidi" w:hAnsiTheme="minorBidi" w:cstheme="minorBidi"/>
          <w:sz w:val="20"/>
          <w:szCs w:val="20"/>
        </w:rPr>
        <w:t xml:space="preserve">. Article 9 provides that a woman who has reached the age of majority may not be married without her consent and the consent of her guardian, but instead of requiring explicit verbal consent from the woman, it states that “the silence of a young girl equates </w:t>
      </w:r>
      <w:r w:rsidRPr="000B3F10">
        <w:rPr>
          <w:rFonts w:asciiTheme="minorBidi" w:hAnsiTheme="minorBidi" w:cstheme="minorBidi"/>
          <w:sz w:val="20"/>
          <w:szCs w:val="20"/>
        </w:rPr>
        <w:lastRenderedPageBreak/>
        <w:t>consent.”</w:t>
      </w:r>
      <w:r w:rsidRPr="000B3F10">
        <w:rPr>
          <w:rStyle w:val="FootnoteReference"/>
          <w:rFonts w:asciiTheme="minorBidi" w:eastAsia="Corbel" w:hAnsiTheme="minorBidi" w:cstheme="minorBidi"/>
          <w:sz w:val="20"/>
          <w:szCs w:val="20"/>
        </w:rPr>
        <w:footnoteReference w:id="10"/>
      </w:r>
      <w:r w:rsidRPr="000B3F10">
        <w:rPr>
          <w:rFonts w:asciiTheme="minorBidi" w:hAnsiTheme="minorBidi" w:cstheme="minorBidi"/>
          <w:sz w:val="20"/>
          <w:szCs w:val="20"/>
        </w:rPr>
        <w:t xml:space="preserve"> If the guardian insists on withholding his consent without legitimate reason, the prospective bride may seek the authorisation of a judge to get married.</w:t>
      </w:r>
      <w:r w:rsidRPr="000B3F10">
        <w:rPr>
          <w:rStyle w:val="FootnoteReference"/>
          <w:rFonts w:asciiTheme="minorBidi" w:eastAsia="Corbel" w:hAnsiTheme="minorBidi" w:cstheme="minorBidi"/>
          <w:sz w:val="20"/>
          <w:szCs w:val="20"/>
        </w:rPr>
        <w:footnoteReference w:id="11"/>
      </w:r>
    </w:p>
    <w:p w14:paraId="1CC7025E" w14:textId="77777777" w:rsidR="0033252E" w:rsidRPr="000B3F10" w:rsidRDefault="0033252E" w:rsidP="0033252E">
      <w:pPr>
        <w:jc w:val="both"/>
        <w:rPr>
          <w:rFonts w:asciiTheme="minorBidi" w:hAnsiTheme="minorBidi" w:cstheme="minorBidi"/>
          <w:sz w:val="20"/>
          <w:szCs w:val="20"/>
        </w:rPr>
      </w:pPr>
    </w:p>
    <w:p w14:paraId="19B29B74" w14:textId="5AB324F2" w:rsidR="0033252E" w:rsidRDefault="0033252E" w:rsidP="0033252E">
      <w:pPr>
        <w:jc w:val="both"/>
        <w:rPr>
          <w:rFonts w:asciiTheme="minorBidi" w:hAnsiTheme="minorBidi" w:cstheme="minorBidi"/>
          <w:sz w:val="20"/>
          <w:szCs w:val="20"/>
        </w:rPr>
      </w:pPr>
      <w:r w:rsidRPr="000B3F10">
        <w:rPr>
          <w:rFonts w:asciiTheme="minorBidi" w:hAnsiTheme="minorBidi" w:cstheme="minorBidi"/>
          <w:sz w:val="20"/>
          <w:szCs w:val="20"/>
        </w:rPr>
        <w:t>Culturally, the space women are given to choose their husbands is still limited to within the family or the tribe circles, but may extend to other tribes too. Women usually are not able to express the desire to get married to someone from outside those circles since it could likely lead to oppression from their families. Usually, once the family agrees, the guardian of the woman (typically the father) pursues all proceedings of the marriage.</w:t>
      </w:r>
    </w:p>
    <w:p w14:paraId="259D2B63" w14:textId="199635C8" w:rsidR="0033252E" w:rsidRDefault="0033252E" w:rsidP="0033252E">
      <w:pPr>
        <w:jc w:val="both"/>
        <w:rPr>
          <w:rFonts w:asciiTheme="minorBidi" w:hAnsiTheme="minorBidi" w:cstheme="minorBidi"/>
          <w:sz w:val="20"/>
          <w:szCs w:val="20"/>
        </w:rPr>
      </w:pPr>
    </w:p>
    <w:p w14:paraId="662C5070" w14:textId="7D25AEF8" w:rsidR="007C55CD" w:rsidRDefault="0033252E" w:rsidP="00811416">
      <w:pPr>
        <w:jc w:val="center"/>
        <w:rPr>
          <w:rFonts w:asciiTheme="minorBidi" w:hAnsiTheme="minorBidi" w:cstheme="minorBidi"/>
          <w:sz w:val="20"/>
          <w:szCs w:val="20"/>
        </w:rPr>
      </w:pPr>
      <w:r>
        <w:rPr>
          <w:rFonts w:ascii="Arial" w:hAnsi="Arial" w:cs="Arial"/>
          <w:noProof/>
          <w:color w:val="000000" w:themeColor="text1"/>
          <w:sz w:val="20"/>
          <w:szCs w:val="20"/>
          <w:lang w:eastAsia="en-US"/>
        </w:rPr>
        <w:drawing>
          <wp:inline distT="0" distB="0" distL="0" distR="0" wp14:anchorId="11E711E7" wp14:editId="27C98034">
            <wp:extent cx="4348130" cy="379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92568" cy="3923441"/>
                    </a:xfrm>
                    <a:prstGeom prst="rect">
                      <a:avLst/>
                    </a:prstGeom>
                  </pic:spPr>
                </pic:pic>
              </a:graphicData>
            </a:graphic>
          </wp:inline>
        </w:drawing>
      </w:r>
    </w:p>
    <w:p w14:paraId="7C780371" w14:textId="23290595" w:rsidR="007C55CD" w:rsidRPr="000B3F10" w:rsidRDefault="007C55CD" w:rsidP="00D164DD">
      <w:pPr>
        <w:jc w:val="center"/>
        <w:rPr>
          <w:rFonts w:asciiTheme="minorBidi" w:hAnsiTheme="minorBidi" w:cstheme="minorBidi"/>
          <w:sz w:val="20"/>
          <w:szCs w:val="20"/>
        </w:rPr>
      </w:pPr>
      <w:r>
        <w:rPr>
          <w:rFonts w:ascii="Arial" w:hAnsi="Arial" w:cs="Arial"/>
          <w:noProof/>
          <w:sz w:val="20"/>
          <w:szCs w:val="20"/>
        </w:rPr>
        <w:drawing>
          <wp:inline distT="0" distB="0" distL="0" distR="0" wp14:anchorId="77C7DE99" wp14:editId="068B0CCD">
            <wp:extent cx="5497889" cy="288290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6" cstate="print">
                      <a:extLst>
                        <a:ext uri="{28A0092B-C50C-407E-A947-70E740481C1C}">
                          <a14:useLocalDpi xmlns:a14="http://schemas.microsoft.com/office/drawing/2010/main" val="0"/>
                        </a:ext>
                      </a:extLst>
                    </a:blip>
                    <a:srcRect b="6789"/>
                    <a:stretch/>
                  </pic:blipFill>
                  <pic:spPr bwMode="auto">
                    <a:xfrm>
                      <a:off x="0" y="0"/>
                      <a:ext cx="5536291" cy="2903037"/>
                    </a:xfrm>
                    <a:prstGeom prst="rect">
                      <a:avLst/>
                    </a:prstGeom>
                    <a:ln>
                      <a:noFill/>
                    </a:ln>
                    <a:extLst>
                      <a:ext uri="{53640926-AAD7-44D8-BBD7-CCE9431645EC}">
                        <a14:shadowObscured xmlns:a14="http://schemas.microsoft.com/office/drawing/2010/main"/>
                      </a:ext>
                    </a:extLst>
                  </pic:spPr>
                </pic:pic>
              </a:graphicData>
            </a:graphic>
          </wp:inline>
        </w:drawing>
      </w:r>
    </w:p>
    <w:p w14:paraId="1126DD32" w14:textId="77777777" w:rsidR="00811416" w:rsidRDefault="00811416" w:rsidP="0012209F">
      <w:pPr>
        <w:autoSpaceDE w:val="0"/>
        <w:autoSpaceDN w:val="0"/>
        <w:adjustRightInd w:val="0"/>
        <w:jc w:val="both"/>
        <w:rPr>
          <w:rFonts w:asciiTheme="minorBidi" w:hAnsiTheme="minorBidi" w:cstheme="minorBidi"/>
          <w:sz w:val="20"/>
          <w:szCs w:val="20"/>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33252E" w:rsidRPr="000B3F10" w14:paraId="4A211A2E" w14:textId="77777777" w:rsidTr="00EC6E8F">
        <w:trPr>
          <w:trHeight w:val="803"/>
        </w:trPr>
        <w:tc>
          <w:tcPr>
            <w:tcW w:w="8903" w:type="dxa"/>
            <w:shd w:val="clear" w:color="auto" w:fill="D9D9D9" w:themeFill="background1" w:themeFillShade="D9"/>
            <w:tcMar>
              <w:top w:w="100" w:type="dxa"/>
              <w:left w:w="100" w:type="dxa"/>
              <w:bottom w:w="100" w:type="dxa"/>
              <w:right w:w="100" w:type="dxa"/>
            </w:tcMar>
          </w:tcPr>
          <w:p w14:paraId="0DDC414F" w14:textId="77777777" w:rsidR="0033252E" w:rsidRPr="000B3F10" w:rsidRDefault="0033252E" w:rsidP="00EC6E8F">
            <w:pPr>
              <w:widowControl w:val="0"/>
              <w:spacing w:before="240" w:after="240"/>
              <w:jc w:val="both"/>
              <w:rPr>
                <w:rFonts w:asciiTheme="minorBidi" w:hAnsiTheme="minorBidi" w:cstheme="minorBidi"/>
                <w:b/>
                <w:sz w:val="20"/>
                <w:szCs w:val="20"/>
                <w:u w:val="single"/>
              </w:rPr>
            </w:pPr>
            <w:r w:rsidRPr="000B3F10">
              <w:rPr>
                <w:rFonts w:asciiTheme="minorBidi" w:hAnsiTheme="minorBidi" w:cstheme="minorBidi"/>
                <w:b/>
                <w:sz w:val="20"/>
                <w:szCs w:val="20"/>
                <w:u w:val="single"/>
              </w:rPr>
              <w:t>RECOMMENDATIONS</w:t>
            </w:r>
          </w:p>
          <w:p w14:paraId="55C236AF" w14:textId="77777777" w:rsidR="0033252E" w:rsidRPr="000B3F10" w:rsidRDefault="0033252E" w:rsidP="00EC6E8F">
            <w:pPr>
              <w:jc w:val="both"/>
              <w:rPr>
                <w:rFonts w:asciiTheme="minorBidi" w:hAnsiTheme="minorBidi" w:cstheme="minorBidi"/>
                <w:sz w:val="20"/>
                <w:szCs w:val="20"/>
              </w:rPr>
            </w:pPr>
            <w:r w:rsidRPr="000B3F10">
              <w:rPr>
                <w:rFonts w:asciiTheme="minorBidi" w:hAnsiTheme="minorBidi" w:cstheme="minorBidi"/>
                <w:b/>
                <w:bCs/>
                <w:sz w:val="20"/>
                <w:szCs w:val="20"/>
              </w:rPr>
              <w:t>We recommend the CEDAW Committee urge the State party to:</w:t>
            </w:r>
          </w:p>
          <w:p w14:paraId="16B8C040" w14:textId="77777777" w:rsidR="0033252E" w:rsidRPr="000B3F10" w:rsidRDefault="0033252E" w:rsidP="00EC6E8F">
            <w:pPr>
              <w:pStyle w:val="ListParagraph"/>
              <w:spacing w:after="160" w:line="259" w:lineRule="auto"/>
              <w:jc w:val="both"/>
              <w:rPr>
                <w:rFonts w:asciiTheme="minorBidi" w:eastAsiaTheme="minorEastAsia" w:hAnsiTheme="minorBidi" w:cstheme="minorBidi"/>
                <w:sz w:val="20"/>
                <w:szCs w:val="20"/>
              </w:rPr>
            </w:pPr>
          </w:p>
          <w:p w14:paraId="48B42793" w14:textId="79FF663E" w:rsidR="0033252E" w:rsidRPr="000B3F10" w:rsidRDefault="0033252E" w:rsidP="0033252E">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 xml:space="preserve">Amend </w:t>
            </w:r>
            <w:r w:rsidR="00D164DD">
              <w:rPr>
                <w:rFonts w:asciiTheme="minorBidi" w:eastAsiaTheme="minorEastAsia" w:hAnsiTheme="minorBidi" w:cstheme="minorBidi"/>
                <w:sz w:val="20"/>
                <w:szCs w:val="20"/>
              </w:rPr>
              <w:t xml:space="preserve">the </w:t>
            </w:r>
            <w:r w:rsidRPr="000B3F10">
              <w:rPr>
                <w:rFonts w:asciiTheme="minorBidi" w:eastAsiaTheme="minorEastAsia" w:hAnsiTheme="minorBidi" w:cstheme="minorBidi"/>
                <w:sz w:val="20"/>
                <w:szCs w:val="20"/>
              </w:rPr>
              <w:t>Personal Status Code</w:t>
            </w:r>
            <w:r w:rsidR="00D164DD">
              <w:rPr>
                <w:rFonts w:asciiTheme="minorBidi" w:eastAsiaTheme="minorEastAsia" w:hAnsiTheme="minorBidi" w:cstheme="minorBidi"/>
                <w:sz w:val="20"/>
                <w:szCs w:val="20"/>
              </w:rPr>
              <w:t xml:space="preserve"> and other relevant legislations, policies and development programs </w:t>
            </w:r>
            <w:r w:rsidRPr="000B3F10">
              <w:rPr>
                <w:rFonts w:asciiTheme="minorBidi" w:eastAsiaTheme="minorEastAsia" w:hAnsiTheme="minorBidi" w:cstheme="minorBidi"/>
                <w:sz w:val="20"/>
                <w:szCs w:val="20"/>
              </w:rPr>
              <w:t>to grant</w:t>
            </w:r>
            <w:r w:rsidR="00D164DD">
              <w:rPr>
                <w:rFonts w:asciiTheme="minorBidi" w:eastAsiaTheme="minorEastAsia" w:hAnsiTheme="minorBidi" w:cstheme="minorBidi"/>
                <w:sz w:val="20"/>
                <w:szCs w:val="20"/>
              </w:rPr>
              <w:t xml:space="preserve"> and ensure</w:t>
            </w:r>
            <w:r w:rsidRPr="000B3F10">
              <w:rPr>
                <w:rFonts w:asciiTheme="minorBidi" w:eastAsiaTheme="minorEastAsia" w:hAnsiTheme="minorBidi" w:cstheme="minorBidi"/>
                <w:sz w:val="20"/>
                <w:szCs w:val="20"/>
              </w:rPr>
              <w:t xml:space="preserve"> spousal equality between men and women</w:t>
            </w:r>
            <w:r w:rsidR="00D164DD">
              <w:rPr>
                <w:rFonts w:asciiTheme="minorBidi" w:eastAsiaTheme="minorEastAsia" w:hAnsiTheme="minorBidi" w:cstheme="minorBidi"/>
                <w:sz w:val="20"/>
                <w:szCs w:val="20"/>
              </w:rPr>
              <w:t xml:space="preserve"> in all their spousal and personal rights</w:t>
            </w:r>
            <w:r w:rsidRPr="000B3F10">
              <w:rPr>
                <w:rFonts w:asciiTheme="minorBidi" w:eastAsiaTheme="minorEastAsia" w:hAnsiTheme="minorBidi" w:cstheme="minorBidi"/>
                <w:sz w:val="20"/>
                <w:szCs w:val="20"/>
              </w:rPr>
              <w:t xml:space="preserve"> in accordance with Mauritania’s international human rights obligations.</w:t>
            </w:r>
          </w:p>
          <w:p w14:paraId="425F0174" w14:textId="77777777" w:rsidR="0033252E" w:rsidRPr="000B3F10" w:rsidRDefault="0033252E" w:rsidP="00EC6E8F">
            <w:pPr>
              <w:pStyle w:val="ListParagraph"/>
              <w:spacing w:after="160" w:line="259" w:lineRule="auto"/>
              <w:jc w:val="both"/>
              <w:rPr>
                <w:rFonts w:asciiTheme="minorBidi" w:eastAsiaTheme="minorEastAsia" w:hAnsiTheme="minorBidi" w:cstheme="minorBidi"/>
                <w:sz w:val="20"/>
                <w:szCs w:val="20"/>
              </w:rPr>
            </w:pPr>
          </w:p>
          <w:p w14:paraId="51C78AD1" w14:textId="77777777" w:rsidR="0033252E" w:rsidRPr="000B3F10" w:rsidRDefault="0033252E" w:rsidP="0033252E">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hAnsiTheme="minorBidi" w:cstheme="minorBidi"/>
                <w:sz w:val="20"/>
                <w:szCs w:val="20"/>
              </w:rPr>
              <w:t>Amend the Personal Status Code to give adult women equal rights to enter marriage on their own accord without requiring the permission of a male guardian or judge.</w:t>
            </w:r>
          </w:p>
          <w:p w14:paraId="6F255F4C" w14:textId="77777777" w:rsidR="0033252E" w:rsidRPr="000B3F10" w:rsidRDefault="0033252E" w:rsidP="00EC6E8F">
            <w:pPr>
              <w:pStyle w:val="ListParagraph"/>
              <w:spacing w:after="160" w:line="259" w:lineRule="auto"/>
              <w:jc w:val="both"/>
              <w:rPr>
                <w:rFonts w:asciiTheme="minorBidi" w:eastAsiaTheme="minorEastAsia" w:hAnsiTheme="minorBidi" w:cstheme="minorBidi"/>
                <w:sz w:val="20"/>
                <w:szCs w:val="20"/>
              </w:rPr>
            </w:pPr>
          </w:p>
          <w:p w14:paraId="07C5CB9E" w14:textId="6BB9FB91" w:rsidR="00D164DD" w:rsidRPr="00D164DD" w:rsidRDefault="0033252E" w:rsidP="00D164DD">
            <w:pPr>
              <w:pStyle w:val="ListParagraph"/>
              <w:widowControl w:val="0"/>
              <w:numPr>
                <w:ilvl w:val="0"/>
                <w:numId w:val="15"/>
              </w:numPr>
              <w:spacing w:before="240" w:after="240"/>
              <w:jc w:val="both"/>
              <w:rPr>
                <w:rFonts w:asciiTheme="minorBidi" w:hAnsiTheme="minorBidi" w:cstheme="minorBidi"/>
                <w:sz w:val="20"/>
                <w:szCs w:val="20"/>
              </w:rPr>
            </w:pPr>
            <w:r w:rsidRPr="000B3F10">
              <w:rPr>
                <w:rFonts w:asciiTheme="minorBidi" w:eastAsiaTheme="minorEastAsia" w:hAnsiTheme="minorBidi" w:cstheme="minorBidi"/>
                <w:sz w:val="20"/>
                <w:szCs w:val="20"/>
              </w:rPr>
              <w:t>Enforce penalties on those who conduct, enable, or fail to prevent forced marriages.</w:t>
            </w:r>
          </w:p>
        </w:tc>
      </w:tr>
    </w:tbl>
    <w:p w14:paraId="775AC152" w14:textId="77777777" w:rsidR="0033252E" w:rsidRDefault="0033252E" w:rsidP="0012209F">
      <w:pPr>
        <w:autoSpaceDE w:val="0"/>
        <w:autoSpaceDN w:val="0"/>
        <w:adjustRightInd w:val="0"/>
        <w:jc w:val="both"/>
        <w:rPr>
          <w:rFonts w:asciiTheme="minorBidi" w:hAnsiTheme="minorBidi" w:cstheme="minorBidi"/>
          <w:sz w:val="20"/>
          <w:szCs w:val="20"/>
        </w:rPr>
      </w:pPr>
    </w:p>
    <w:p w14:paraId="4AEC02FD" w14:textId="77777777" w:rsidR="008415EB" w:rsidRDefault="008415EB" w:rsidP="00E26F24"/>
    <w:p w14:paraId="36C9DD20" w14:textId="2BB742B6" w:rsidR="00E26F24" w:rsidRPr="00892FA5" w:rsidRDefault="00B3395C" w:rsidP="00892FA5">
      <w:pPr>
        <w:pStyle w:val="Heading2"/>
      </w:pPr>
      <w:bookmarkStart w:id="14" w:name="_Toc103472506"/>
      <w:bookmarkStart w:id="15" w:name="_Toc124084917"/>
      <w:r w:rsidRPr="00892FA5">
        <w:t>Child Marriage</w:t>
      </w:r>
      <w:r w:rsidRPr="00892FA5">
        <w:tab/>
      </w:r>
      <w:r w:rsidRPr="00892FA5">
        <w:tab/>
      </w:r>
      <w:r w:rsidR="00E26F24" w:rsidRPr="00892FA5">
        <w:tab/>
      </w:r>
      <w:r w:rsidR="00F266AC" w:rsidRPr="00892FA5">
        <w:tab/>
      </w:r>
      <w:r w:rsidR="00F266AC" w:rsidRPr="00892FA5">
        <w:tab/>
      </w:r>
      <w:r w:rsidR="00F266AC" w:rsidRPr="00892FA5">
        <w:tab/>
      </w:r>
      <w:r w:rsidR="00F266AC" w:rsidRPr="00892FA5">
        <w:tab/>
      </w:r>
      <w:r w:rsidR="00F266AC" w:rsidRPr="00892FA5">
        <w:tab/>
        <w:t xml:space="preserve">          Article 16</w:t>
      </w:r>
      <w:bookmarkEnd w:id="14"/>
      <w:bookmarkEnd w:id="15"/>
    </w:p>
    <w:p w14:paraId="1886521A" w14:textId="3264FB21" w:rsidR="00B3395C" w:rsidRDefault="00B3395C" w:rsidP="00B3395C">
      <w:pPr>
        <w:rPr>
          <w:b/>
        </w:rPr>
      </w:pPr>
    </w:p>
    <w:p w14:paraId="4DD5B46C"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 xml:space="preserve">According to Article 6 of the Personal Status Code, the minimum age of marriage is 18 for both men and women. However, Article 6 also permits a guardian to effect the marriage of a minor (or one who lacks capacity) under his guardianship, if he determines that it is in the minor’s interest. This is the legal gap that is used to continue the practice of child marriage in the country. Article 7 of the PSC provides that if a guardian authorised the marriage of the minor (or incapacitated person) purely in the interest of the guardian and not in the interest of the minor, the guardian would be subject to the penalties provided in the Penal Code. </w:t>
      </w:r>
    </w:p>
    <w:p w14:paraId="1A776D73" w14:textId="77777777" w:rsidR="007C55CD" w:rsidRPr="000B3F10" w:rsidRDefault="007C55CD" w:rsidP="007C55CD">
      <w:pPr>
        <w:jc w:val="both"/>
        <w:rPr>
          <w:rFonts w:asciiTheme="minorBidi" w:hAnsiTheme="minorBidi" w:cstheme="minorBidi"/>
          <w:sz w:val="20"/>
          <w:szCs w:val="20"/>
        </w:rPr>
      </w:pPr>
    </w:p>
    <w:p w14:paraId="72AEA2ED"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 xml:space="preserve">Mauritania does not explicitly criminalize the practice of child marriage, which is especially common in rural and isolated places as well as in conservative families. Families get their girls married as children often to ‘preserve their honor’, due to fear of any illicit relationships. Child marriages often result in girls dropping out from schools, premature motherhood, and the pressure of shouldering complex social responsibilities. </w:t>
      </w:r>
    </w:p>
    <w:p w14:paraId="30AD493F" w14:textId="77777777" w:rsidR="007C55CD" w:rsidRPr="000B3F10" w:rsidRDefault="007C55CD" w:rsidP="007C55CD">
      <w:pPr>
        <w:jc w:val="both"/>
        <w:rPr>
          <w:rFonts w:asciiTheme="minorBidi" w:hAnsiTheme="minorBidi" w:cstheme="minorBidi"/>
          <w:sz w:val="20"/>
          <w:szCs w:val="20"/>
        </w:rPr>
      </w:pPr>
    </w:p>
    <w:p w14:paraId="02DFC624"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 xml:space="preserve">Also, grown up women are sometimes forced to marry men they do not know to achieve specific social interests. This pressure can often be indirect, but many women end up acquiescing to the marriage only to escape the community’s negative outlook of women who do not get early wed. Women’s personality and presence in the public space is dependent on her marriage, so many women get married in order to have more freedom within the existing social system. </w:t>
      </w:r>
    </w:p>
    <w:p w14:paraId="5DC0F4CB" w14:textId="77777777" w:rsidR="007C55CD" w:rsidRPr="000B3F10" w:rsidRDefault="007C55CD" w:rsidP="007C55CD">
      <w:pPr>
        <w:jc w:val="both"/>
        <w:rPr>
          <w:rFonts w:asciiTheme="minorBidi" w:hAnsiTheme="minorBidi" w:cstheme="minorBidi"/>
          <w:sz w:val="20"/>
          <w:szCs w:val="20"/>
        </w:rPr>
      </w:pPr>
    </w:p>
    <w:p w14:paraId="33E1A6A0" w14:textId="29B664A5" w:rsidR="007C55CD" w:rsidRDefault="007C55CD" w:rsidP="00811416">
      <w:pPr>
        <w:jc w:val="both"/>
        <w:rPr>
          <w:rFonts w:asciiTheme="minorBidi" w:hAnsiTheme="minorBidi" w:cstheme="minorBidi"/>
          <w:sz w:val="20"/>
          <w:szCs w:val="20"/>
        </w:rPr>
      </w:pPr>
      <w:r w:rsidRPr="000B3F10">
        <w:rPr>
          <w:rFonts w:asciiTheme="minorBidi" w:hAnsiTheme="minorBidi" w:cstheme="minorBidi"/>
          <w:sz w:val="20"/>
          <w:szCs w:val="20"/>
        </w:rPr>
        <w:t>A woman cannot get married in case a man claimed he married her, even without any proof, till the marriage is over, according to Article 81 of the PSC.</w:t>
      </w:r>
    </w:p>
    <w:p w14:paraId="553FCDDB" w14:textId="77777777" w:rsidR="00811416" w:rsidRDefault="00811416" w:rsidP="00811416">
      <w:pPr>
        <w:jc w:val="both"/>
        <w:rPr>
          <w:rFonts w:asciiTheme="minorBidi" w:hAnsiTheme="minorBidi" w:cstheme="minorBidi"/>
          <w:sz w:val="20"/>
          <w:szCs w:val="20"/>
        </w:rPr>
      </w:pPr>
    </w:p>
    <w:p w14:paraId="1C24D25B" w14:textId="07693E9D" w:rsidR="007C55CD" w:rsidRDefault="007C55CD" w:rsidP="0028588C">
      <w:pPr>
        <w:rPr>
          <w:rFonts w:asciiTheme="minorBidi" w:hAnsiTheme="minorBidi" w:cstheme="minorBidi"/>
          <w:sz w:val="20"/>
          <w:szCs w:val="20"/>
        </w:rPr>
      </w:pPr>
      <w:r>
        <w:rPr>
          <w:rFonts w:ascii="Arial" w:hAnsi="Arial" w:cs="Arial"/>
          <w:noProof/>
          <w:color w:val="000000"/>
          <w:sz w:val="20"/>
          <w:szCs w:val="20"/>
        </w:rPr>
        <w:drawing>
          <wp:inline distT="0" distB="0" distL="0" distR="0" wp14:anchorId="75B6A0D9" wp14:editId="6A79E8F1">
            <wp:extent cx="5645160" cy="32004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5689583" cy="3225585"/>
                    </a:xfrm>
                    <a:prstGeom prst="rect">
                      <a:avLst/>
                    </a:prstGeom>
                  </pic:spPr>
                </pic:pic>
              </a:graphicData>
            </a:graphic>
          </wp:inline>
        </w:drawing>
      </w:r>
    </w:p>
    <w:p w14:paraId="6B93D411" w14:textId="77777777" w:rsidR="0028588C" w:rsidRDefault="0028588C" w:rsidP="0028588C">
      <w:pPr>
        <w:rPr>
          <w:rFonts w:asciiTheme="minorBidi" w:hAnsiTheme="minorBidi" w:cstheme="minorBidi"/>
          <w:sz w:val="20"/>
          <w:szCs w:val="20"/>
        </w:rPr>
      </w:pPr>
    </w:p>
    <w:p w14:paraId="12FC5B43" w14:textId="1723A456" w:rsidR="007C55CD" w:rsidRPr="007C55CD" w:rsidRDefault="0028588C" w:rsidP="0028588C">
      <w:pPr>
        <w:jc w:val="center"/>
        <w:rPr>
          <w:rFonts w:asciiTheme="minorBidi" w:hAnsiTheme="minorBidi" w:cstheme="minorBidi"/>
          <w:sz w:val="20"/>
          <w:szCs w:val="20"/>
        </w:rPr>
      </w:pPr>
      <w:r w:rsidRPr="003E6EAD">
        <w:rPr>
          <w:rFonts w:ascii="Arial" w:hAnsi="Arial" w:cs="Arial"/>
          <w:color w:val="000000"/>
          <w:sz w:val="22"/>
          <w:szCs w:val="22"/>
          <w:bdr w:val="none" w:sz="0" w:space="0" w:color="auto" w:frame="1"/>
          <w:lang w:eastAsia="en-GB"/>
        </w:rPr>
        <w:lastRenderedPageBreak/>
        <w:fldChar w:fldCharType="begin"/>
      </w:r>
      <w:r w:rsidRPr="003E6EAD">
        <w:rPr>
          <w:rFonts w:ascii="Arial" w:hAnsi="Arial" w:cs="Arial"/>
          <w:color w:val="000000"/>
          <w:sz w:val="22"/>
          <w:szCs w:val="22"/>
          <w:bdr w:val="none" w:sz="0" w:space="0" w:color="auto" w:frame="1"/>
          <w:lang w:eastAsia="en-GB"/>
        </w:rPr>
        <w:instrText xml:space="preserve"> INCLUDEPICTURE "https://lh5.googleusercontent.com/OU61bUHKjC49YCTmdOdh2FrzSmR9MU7mPV4kpbKghKd-XVsPwkkT9F7bNPDCVxO8w8eMBUbiWsytLxul8I-Ou4nlZmAMe2tQFcOIChIMNityXuT4c8z7mgqNQI2S3E1Nh8AcHhx8Iobjmbg-OA" \* MERGEFORMATINET </w:instrText>
      </w:r>
      <w:r w:rsidRPr="003E6EAD">
        <w:rPr>
          <w:rFonts w:ascii="Arial" w:hAnsi="Arial" w:cs="Arial"/>
          <w:color w:val="000000"/>
          <w:sz w:val="22"/>
          <w:szCs w:val="22"/>
          <w:bdr w:val="none" w:sz="0" w:space="0" w:color="auto" w:frame="1"/>
          <w:lang w:eastAsia="en-GB"/>
        </w:rPr>
        <w:fldChar w:fldCharType="separate"/>
      </w:r>
      <w:r w:rsidRPr="003E6EAD">
        <w:rPr>
          <w:rFonts w:ascii="Arial" w:hAnsi="Arial" w:cs="Arial"/>
          <w:noProof/>
          <w:color w:val="000000"/>
          <w:sz w:val="22"/>
          <w:szCs w:val="22"/>
          <w:bdr w:val="none" w:sz="0" w:space="0" w:color="auto" w:frame="1"/>
          <w:lang w:eastAsia="en-GB"/>
        </w:rPr>
        <w:drawing>
          <wp:inline distT="0" distB="0" distL="0" distR="0" wp14:anchorId="4D643655" wp14:editId="3A2DBAEF">
            <wp:extent cx="5666945" cy="3213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l="1314" t="50189" r="2008" b="1319"/>
                    <a:stretch/>
                  </pic:blipFill>
                  <pic:spPr bwMode="auto">
                    <a:xfrm>
                      <a:off x="0" y="0"/>
                      <a:ext cx="5693504" cy="3228159"/>
                    </a:xfrm>
                    <a:prstGeom prst="rect">
                      <a:avLst/>
                    </a:prstGeom>
                    <a:noFill/>
                    <a:ln>
                      <a:noFill/>
                    </a:ln>
                    <a:extLst>
                      <a:ext uri="{53640926-AAD7-44D8-BBD7-CCE9431645EC}">
                        <a14:shadowObscured xmlns:a14="http://schemas.microsoft.com/office/drawing/2010/main"/>
                      </a:ext>
                    </a:extLst>
                  </pic:spPr>
                </pic:pic>
              </a:graphicData>
            </a:graphic>
          </wp:inline>
        </w:drawing>
      </w:r>
      <w:r w:rsidRPr="003E6EAD">
        <w:rPr>
          <w:rFonts w:ascii="Arial" w:hAnsi="Arial" w:cs="Arial"/>
          <w:color w:val="000000"/>
          <w:sz w:val="22"/>
          <w:szCs w:val="22"/>
          <w:bdr w:val="none" w:sz="0" w:space="0" w:color="auto" w:frame="1"/>
          <w:lang w:eastAsia="en-GB"/>
        </w:rPr>
        <w:fldChar w:fldCharType="end"/>
      </w:r>
    </w:p>
    <w:p w14:paraId="3AB1747D" w14:textId="77777777" w:rsidR="007C55CD" w:rsidRDefault="007C55CD" w:rsidP="00B3395C">
      <w:pPr>
        <w:rPr>
          <w:b/>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7C55CD" w:rsidRPr="000B3F10" w14:paraId="7169C88A" w14:textId="77777777" w:rsidTr="00A657CA">
        <w:trPr>
          <w:trHeight w:val="721"/>
        </w:trPr>
        <w:tc>
          <w:tcPr>
            <w:tcW w:w="8903" w:type="dxa"/>
            <w:shd w:val="clear" w:color="auto" w:fill="D9D9D9" w:themeFill="background1" w:themeFillShade="D9"/>
            <w:tcMar>
              <w:top w:w="100" w:type="dxa"/>
              <w:left w:w="100" w:type="dxa"/>
              <w:bottom w:w="100" w:type="dxa"/>
              <w:right w:w="100" w:type="dxa"/>
            </w:tcMar>
          </w:tcPr>
          <w:p w14:paraId="6BC4A6E1" w14:textId="77777777" w:rsidR="007C55CD" w:rsidRPr="000B3F10" w:rsidRDefault="007C55CD" w:rsidP="00EC6E8F">
            <w:pPr>
              <w:widowControl w:val="0"/>
              <w:spacing w:before="240" w:after="240"/>
              <w:jc w:val="both"/>
              <w:rPr>
                <w:rFonts w:asciiTheme="minorBidi" w:hAnsiTheme="minorBidi" w:cstheme="minorBidi"/>
                <w:b/>
                <w:sz w:val="20"/>
                <w:szCs w:val="20"/>
                <w:u w:val="single"/>
              </w:rPr>
            </w:pPr>
            <w:r w:rsidRPr="000B3F10">
              <w:rPr>
                <w:rFonts w:asciiTheme="minorBidi" w:hAnsiTheme="minorBidi" w:cstheme="minorBidi"/>
                <w:b/>
                <w:sz w:val="20"/>
                <w:szCs w:val="20"/>
                <w:u w:val="single"/>
              </w:rPr>
              <w:t>RECOMMENDATIONS</w:t>
            </w:r>
          </w:p>
          <w:p w14:paraId="724303B1" w14:textId="77777777" w:rsidR="007C55CD" w:rsidRPr="000B3F10" w:rsidRDefault="007C55CD" w:rsidP="00EC6E8F">
            <w:pPr>
              <w:jc w:val="both"/>
              <w:rPr>
                <w:rFonts w:asciiTheme="minorBidi" w:hAnsiTheme="minorBidi" w:cstheme="minorBidi"/>
                <w:sz w:val="20"/>
                <w:szCs w:val="20"/>
              </w:rPr>
            </w:pPr>
            <w:r w:rsidRPr="000B3F10">
              <w:rPr>
                <w:rFonts w:asciiTheme="minorBidi" w:hAnsiTheme="minorBidi" w:cstheme="minorBidi"/>
                <w:b/>
                <w:bCs/>
                <w:sz w:val="20"/>
                <w:szCs w:val="20"/>
              </w:rPr>
              <w:t>We recommend the CEDAW Committee urge the State party to:</w:t>
            </w:r>
          </w:p>
          <w:p w14:paraId="78E2D235" w14:textId="77777777" w:rsidR="007C55CD" w:rsidRPr="007C55CD" w:rsidRDefault="007C55CD" w:rsidP="007C55CD">
            <w:pPr>
              <w:spacing w:after="160" w:line="259" w:lineRule="auto"/>
              <w:jc w:val="both"/>
              <w:rPr>
                <w:rFonts w:asciiTheme="minorBidi" w:eastAsiaTheme="minorEastAsia" w:hAnsiTheme="minorBidi" w:cstheme="minorBidi"/>
                <w:sz w:val="20"/>
                <w:szCs w:val="20"/>
              </w:rPr>
            </w:pPr>
          </w:p>
          <w:p w14:paraId="3F689B53" w14:textId="77777777" w:rsidR="007C55CD" w:rsidRPr="000B3F10" w:rsidRDefault="007C55CD" w:rsidP="007C55CD">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Repeal Article 5 of the PSC to prohibit child marriage of any person under the age of 18 without exception.</w:t>
            </w:r>
          </w:p>
          <w:p w14:paraId="2B1B84FD" w14:textId="77777777" w:rsidR="007C55CD" w:rsidRPr="000B3F10" w:rsidRDefault="007C55CD" w:rsidP="00EC6E8F">
            <w:pPr>
              <w:pStyle w:val="ListParagraph"/>
              <w:spacing w:after="160" w:line="259" w:lineRule="auto"/>
              <w:jc w:val="both"/>
              <w:rPr>
                <w:rFonts w:asciiTheme="minorBidi" w:eastAsiaTheme="minorEastAsia" w:hAnsiTheme="minorBidi" w:cstheme="minorBidi"/>
                <w:sz w:val="20"/>
                <w:szCs w:val="20"/>
              </w:rPr>
            </w:pPr>
          </w:p>
          <w:p w14:paraId="59C99C79" w14:textId="77777777" w:rsidR="007C55CD" w:rsidRPr="000B3F10" w:rsidRDefault="007C55CD" w:rsidP="007C55CD">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 xml:space="preserve">Criminalize child marriage through specific legal provisions and deterrent penalties, and </w:t>
            </w:r>
            <w:r w:rsidRPr="000B3F10">
              <w:rPr>
                <w:rFonts w:asciiTheme="minorBidi" w:hAnsiTheme="minorBidi" w:cstheme="minorBidi"/>
                <w:bCs/>
                <w:sz w:val="20"/>
                <w:szCs w:val="20"/>
              </w:rPr>
              <w:t>introduce penalties for guardians and marriage officiators who contract the marriage of a child.</w:t>
            </w:r>
          </w:p>
          <w:p w14:paraId="2684C180" w14:textId="77777777" w:rsidR="007C55CD" w:rsidRPr="000B3F10" w:rsidRDefault="007C55CD" w:rsidP="00EC6E8F">
            <w:pPr>
              <w:pStyle w:val="ListParagraph"/>
              <w:widowControl w:val="0"/>
              <w:spacing w:before="240" w:after="240"/>
              <w:jc w:val="both"/>
              <w:rPr>
                <w:rFonts w:asciiTheme="minorBidi" w:hAnsiTheme="minorBidi" w:cstheme="minorBidi"/>
                <w:b/>
                <w:sz w:val="20"/>
                <w:szCs w:val="20"/>
              </w:rPr>
            </w:pPr>
          </w:p>
          <w:p w14:paraId="4E00026C" w14:textId="77777777" w:rsidR="007C55CD" w:rsidRPr="000B3F10" w:rsidRDefault="007C55CD" w:rsidP="007C55CD">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hAnsiTheme="minorBidi" w:cstheme="minorBidi"/>
                <w:sz w:val="20"/>
                <w:szCs w:val="20"/>
              </w:rPr>
              <w:t>Provide targeted training programs to law enforcement officials, the judiciary, healthcare workers, and social workers to respond to reports of child marriage, and provide adequate support to victims.</w:t>
            </w:r>
          </w:p>
        </w:tc>
      </w:tr>
    </w:tbl>
    <w:p w14:paraId="2F749A9E" w14:textId="6C5D113F" w:rsidR="00A1102C" w:rsidRPr="00A657CA" w:rsidRDefault="00A1102C" w:rsidP="00A657CA">
      <w:pPr>
        <w:widowControl w:val="0"/>
        <w:rPr>
          <w:rFonts w:ascii="Arial" w:hAnsi="Arial" w:cs="Arial"/>
          <w:sz w:val="20"/>
          <w:szCs w:val="20"/>
        </w:rPr>
      </w:pPr>
    </w:p>
    <w:p w14:paraId="3016898C" w14:textId="4E540E4B" w:rsidR="00473D28" w:rsidRPr="00DD0113" w:rsidRDefault="007C55CD" w:rsidP="00892FA5">
      <w:pPr>
        <w:pStyle w:val="Heading2"/>
      </w:pPr>
      <w:bookmarkStart w:id="16" w:name="_Toc124084918"/>
      <w:r>
        <w:t>Divorce and Matrimonial Property</w:t>
      </w:r>
      <w:r w:rsidR="00473D28">
        <w:tab/>
      </w:r>
      <w:r w:rsidR="00473D28">
        <w:tab/>
      </w:r>
      <w:r w:rsidR="00F266AC">
        <w:t xml:space="preserve">        </w:t>
      </w:r>
      <w:r>
        <w:tab/>
      </w:r>
      <w:r>
        <w:tab/>
      </w:r>
      <w:r>
        <w:tab/>
        <w:t xml:space="preserve">          </w:t>
      </w:r>
      <w:r w:rsidR="00F266AC" w:rsidRPr="00892321">
        <w:t xml:space="preserve">Article </w:t>
      </w:r>
      <w:r>
        <w:t>16</w:t>
      </w:r>
      <w:bookmarkEnd w:id="16"/>
    </w:p>
    <w:p w14:paraId="6BA78923" w14:textId="14C7C279" w:rsidR="00473D28" w:rsidRDefault="00473D28" w:rsidP="00473D28">
      <w:pPr>
        <w:widowControl w:val="0"/>
        <w:rPr>
          <w:rFonts w:ascii="Arial" w:hAnsi="Arial" w:cs="Arial"/>
        </w:rPr>
      </w:pPr>
    </w:p>
    <w:p w14:paraId="7C08FFEA"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The PSC provides for three different mechanisms for divorce: (i) unilateral repudiation (</w:t>
      </w:r>
      <w:r w:rsidRPr="000B3F10">
        <w:rPr>
          <w:rFonts w:asciiTheme="minorBidi" w:hAnsiTheme="minorBidi" w:cstheme="minorBidi"/>
          <w:i/>
          <w:iCs/>
          <w:sz w:val="20"/>
          <w:szCs w:val="20"/>
        </w:rPr>
        <w:t>talāq</w:t>
      </w:r>
      <w:r w:rsidRPr="000B3F10">
        <w:rPr>
          <w:rFonts w:asciiTheme="minorBidi" w:hAnsiTheme="minorBidi" w:cstheme="minorBidi"/>
          <w:sz w:val="20"/>
          <w:szCs w:val="20"/>
        </w:rPr>
        <w:t>); (ii) judicial divorce; and (iii) redemptive divorce (</w:t>
      </w:r>
      <w:r w:rsidRPr="000B3F10">
        <w:rPr>
          <w:rFonts w:asciiTheme="minorBidi" w:hAnsiTheme="minorBidi" w:cstheme="minorBidi"/>
          <w:i/>
          <w:iCs/>
          <w:sz w:val="20"/>
          <w:szCs w:val="20"/>
        </w:rPr>
        <w:t>khul’</w:t>
      </w:r>
      <w:r w:rsidRPr="000B3F10">
        <w:rPr>
          <w:rFonts w:asciiTheme="minorBidi" w:hAnsiTheme="minorBidi" w:cstheme="minorBidi"/>
          <w:sz w:val="20"/>
          <w:szCs w:val="20"/>
        </w:rPr>
        <w:t>). The marriage may also be annulled. In the case of unilateral repudiation (</w:t>
      </w:r>
      <w:r w:rsidRPr="000B3F10">
        <w:rPr>
          <w:rFonts w:asciiTheme="minorBidi" w:hAnsiTheme="minorBidi" w:cstheme="minorBidi"/>
          <w:i/>
          <w:iCs/>
          <w:sz w:val="20"/>
          <w:szCs w:val="20"/>
        </w:rPr>
        <w:t xml:space="preserve">talaq), </w:t>
      </w:r>
      <w:r w:rsidRPr="000B3F10">
        <w:rPr>
          <w:rFonts w:asciiTheme="minorBidi" w:hAnsiTheme="minorBidi" w:cstheme="minorBidi"/>
          <w:sz w:val="20"/>
          <w:szCs w:val="20"/>
        </w:rPr>
        <w:t>the divorce remains valid even if the wife objects or is not consulted for it.</w:t>
      </w:r>
    </w:p>
    <w:p w14:paraId="004EB68A" w14:textId="77777777" w:rsidR="007C55CD" w:rsidRPr="000B3F10" w:rsidRDefault="007C55CD" w:rsidP="007C55CD">
      <w:pPr>
        <w:jc w:val="both"/>
        <w:rPr>
          <w:rFonts w:asciiTheme="minorBidi" w:hAnsiTheme="minorBidi" w:cstheme="minorBidi"/>
          <w:sz w:val="20"/>
          <w:szCs w:val="20"/>
        </w:rPr>
      </w:pPr>
    </w:p>
    <w:p w14:paraId="66BD696E"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The wife has the right to alimony during Iddat waiting period according to Article 84 of the PSC, but in reality, in many cases, husbands do not pay alimony. Women often decide to not resort to court proceedings for their alimony and their children’s maintenance due to prolonged legal proceedings. Moreover, women going to court are perceived as dissidents of the patriarchy. The amount for alimony is required to be identified according to the income of the husband and the status of the wife and children according to Article 144. However, the husbands often conceal their private properties and do not provide accurate details to escape paying family dues.</w:t>
      </w:r>
    </w:p>
    <w:p w14:paraId="0B827BA1" w14:textId="77777777" w:rsidR="007C55CD" w:rsidRPr="000B3F10" w:rsidRDefault="007C55CD" w:rsidP="007C55CD">
      <w:pPr>
        <w:jc w:val="both"/>
        <w:rPr>
          <w:rFonts w:asciiTheme="minorBidi" w:hAnsiTheme="minorBidi" w:cstheme="minorBidi"/>
          <w:sz w:val="20"/>
          <w:szCs w:val="20"/>
        </w:rPr>
      </w:pPr>
    </w:p>
    <w:p w14:paraId="27CD891C"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A woman may seek a redemptive divorce (khul’) by petitioning a court and pledging to pay compensation to the husband or forfeiting her financial rights. A judge can confirm khul’ but returns to a woman the amount she paid if he determines that she asked for khul’ due to harm or mistreatment by the husband. Following a divorce, the father is responsible for the financial maintenance of his children if the children do not have funds of their own.</w:t>
      </w:r>
    </w:p>
    <w:p w14:paraId="1311C4CD" w14:textId="77777777" w:rsidR="007C55CD" w:rsidRPr="000B3F10" w:rsidRDefault="007C55CD" w:rsidP="007C55CD">
      <w:pPr>
        <w:jc w:val="both"/>
        <w:rPr>
          <w:rFonts w:asciiTheme="minorBidi" w:hAnsiTheme="minorBidi" w:cstheme="minorBidi"/>
          <w:sz w:val="20"/>
          <w:szCs w:val="20"/>
        </w:rPr>
      </w:pPr>
    </w:p>
    <w:p w14:paraId="2BB7A6D8"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 xml:space="preserve">In practice, divorce, similar to marriage, is restricted by traditions and customs, and in the case of divorce, the wife typically leaves the house immediately after divorce if the husband owns/rents the property, even if they have children. Consequently, the wife’s family often ends up having to bear the children’s expenses (including accommodation, education, health etc.) following the woman’s divorce. </w:t>
      </w:r>
    </w:p>
    <w:p w14:paraId="3F88730D" w14:textId="77777777" w:rsidR="007C55CD" w:rsidRPr="000B3F10" w:rsidRDefault="007C55CD" w:rsidP="007C55CD">
      <w:pPr>
        <w:jc w:val="both"/>
        <w:rPr>
          <w:rFonts w:asciiTheme="minorBidi" w:hAnsiTheme="minorBidi" w:cstheme="minorBidi"/>
          <w:sz w:val="20"/>
          <w:szCs w:val="20"/>
        </w:rPr>
      </w:pPr>
    </w:p>
    <w:p w14:paraId="777CB5BC" w14:textId="5C52FF9E" w:rsidR="007C55CD"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There is no legal concept of matrimonial assets, but Article 73 provides that in the case of a dispute on assets and a lack of evidence regarding individual ownership, the wife’s claim shall be accepted with respect to assets ‘typically belonging to women’, without specifying what such goods include. Due to the lack of financial independence of most women in the country, they are left with very little financial stability upon divorce when they leave their husband’s house with their children, and become dependent on their own family for the financial support of themselves and their children.</w:t>
      </w:r>
    </w:p>
    <w:p w14:paraId="772527B0" w14:textId="339BB94D" w:rsidR="009D3E28" w:rsidRDefault="009D3E28" w:rsidP="007C55CD">
      <w:pPr>
        <w:jc w:val="both"/>
        <w:rPr>
          <w:rFonts w:asciiTheme="minorBidi" w:hAnsiTheme="minorBidi" w:cstheme="minorBidi"/>
          <w:sz w:val="20"/>
          <w:szCs w:val="20"/>
        </w:rPr>
      </w:pPr>
    </w:p>
    <w:p w14:paraId="782089D3" w14:textId="653DFD42" w:rsidR="00F423CA" w:rsidRDefault="00F423CA" w:rsidP="00F423CA">
      <w:pPr>
        <w:jc w:val="center"/>
        <w:rPr>
          <w:rFonts w:asciiTheme="minorBidi" w:hAnsiTheme="minorBidi" w:cstheme="minorBidi"/>
          <w:sz w:val="20"/>
          <w:szCs w:val="20"/>
        </w:rPr>
      </w:pPr>
      <w:r>
        <w:rPr>
          <w:rFonts w:ascii="Arial" w:hAnsi="Arial" w:cs="Arial"/>
          <w:noProof/>
          <w:color w:val="0D0D0D"/>
          <w:sz w:val="20"/>
          <w:szCs w:val="20"/>
          <w:lang w:val="en-GB"/>
        </w:rPr>
        <w:drawing>
          <wp:inline distT="0" distB="0" distL="0" distR="0" wp14:anchorId="1629CAC9" wp14:editId="4D849855">
            <wp:extent cx="4527395" cy="394813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27395" cy="3948134"/>
                    </a:xfrm>
                    <a:prstGeom prst="rect">
                      <a:avLst/>
                    </a:prstGeom>
                  </pic:spPr>
                </pic:pic>
              </a:graphicData>
            </a:graphic>
          </wp:inline>
        </w:drawing>
      </w:r>
    </w:p>
    <w:p w14:paraId="26249A3E" w14:textId="77777777" w:rsidR="00F423CA" w:rsidRDefault="00F423CA" w:rsidP="007C55CD">
      <w:pPr>
        <w:jc w:val="both"/>
        <w:rPr>
          <w:rFonts w:asciiTheme="minorBidi" w:hAnsiTheme="minorBidi" w:cstheme="minorBidi"/>
          <w:sz w:val="20"/>
          <w:szCs w:val="20"/>
        </w:rPr>
      </w:pPr>
    </w:p>
    <w:p w14:paraId="615AAF7C" w14:textId="77777777" w:rsidR="009D3E28" w:rsidRPr="000B3F10" w:rsidRDefault="009D3E28" w:rsidP="007C55CD">
      <w:pPr>
        <w:jc w:val="both"/>
        <w:rPr>
          <w:rFonts w:asciiTheme="minorBidi" w:hAnsiTheme="minorBidi" w:cstheme="minorBidi"/>
          <w:sz w:val="20"/>
          <w:szCs w:val="20"/>
        </w:rPr>
      </w:pPr>
    </w:p>
    <w:p w14:paraId="0E6F0601" w14:textId="77777777" w:rsidR="007C55CD" w:rsidRPr="000B3F10" w:rsidRDefault="007C55CD" w:rsidP="007C55CD">
      <w:pPr>
        <w:jc w:val="both"/>
        <w:rPr>
          <w:rFonts w:asciiTheme="minorBidi" w:hAnsiTheme="minorBidi" w:cstheme="minorBidi"/>
          <w:sz w:val="20"/>
          <w:szCs w:val="20"/>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7C55CD" w:rsidRPr="000B3F10" w14:paraId="6D94976E" w14:textId="77777777" w:rsidTr="007C55CD">
        <w:trPr>
          <w:trHeight w:val="26"/>
        </w:trPr>
        <w:tc>
          <w:tcPr>
            <w:tcW w:w="8903" w:type="dxa"/>
            <w:shd w:val="clear" w:color="auto" w:fill="D9D9D9" w:themeFill="background1" w:themeFillShade="D9"/>
            <w:tcMar>
              <w:top w:w="100" w:type="dxa"/>
              <w:left w:w="100" w:type="dxa"/>
              <w:bottom w:w="100" w:type="dxa"/>
              <w:right w:w="100" w:type="dxa"/>
            </w:tcMar>
          </w:tcPr>
          <w:p w14:paraId="54460F08" w14:textId="77777777" w:rsidR="007C55CD" w:rsidRPr="000B3F10" w:rsidRDefault="007C55CD" w:rsidP="00EC6E8F">
            <w:pPr>
              <w:widowControl w:val="0"/>
              <w:spacing w:before="240" w:after="240"/>
              <w:jc w:val="both"/>
              <w:rPr>
                <w:rFonts w:asciiTheme="minorBidi" w:hAnsiTheme="minorBidi" w:cstheme="minorBidi"/>
                <w:b/>
                <w:sz w:val="20"/>
                <w:szCs w:val="20"/>
                <w:u w:val="single"/>
              </w:rPr>
            </w:pPr>
            <w:r w:rsidRPr="000B3F10">
              <w:rPr>
                <w:rFonts w:asciiTheme="minorBidi" w:hAnsiTheme="minorBidi" w:cstheme="minorBidi"/>
                <w:b/>
                <w:sz w:val="20"/>
                <w:szCs w:val="20"/>
                <w:u w:val="single"/>
              </w:rPr>
              <w:t>RECOMMENDATIONS</w:t>
            </w:r>
          </w:p>
          <w:p w14:paraId="1EBB885D" w14:textId="77777777" w:rsidR="007C55CD" w:rsidRPr="000B3F10" w:rsidRDefault="007C55CD" w:rsidP="00EC6E8F">
            <w:pPr>
              <w:jc w:val="both"/>
              <w:rPr>
                <w:rFonts w:asciiTheme="minorBidi" w:hAnsiTheme="minorBidi" w:cstheme="minorBidi"/>
                <w:sz w:val="20"/>
                <w:szCs w:val="20"/>
              </w:rPr>
            </w:pPr>
            <w:r w:rsidRPr="000B3F10">
              <w:rPr>
                <w:rFonts w:asciiTheme="minorBidi" w:hAnsiTheme="minorBidi" w:cstheme="minorBidi"/>
                <w:b/>
                <w:bCs/>
                <w:sz w:val="20"/>
                <w:szCs w:val="20"/>
              </w:rPr>
              <w:t>We recommend the CEDAW Committee urge the State party to:</w:t>
            </w:r>
          </w:p>
          <w:p w14:paraId="1B6B2530" w14:textId="77777777" w:rsidR="007C55CD" w:rsidRPr="000B3F10" w:rsidRDefault="007C55CD" w:rsidP="00EC6E8F">
            <w:pPr>
              <w:pStyle w:val="ListParagraph"/>
              <w:spacing w:after="160" w:line="259" w:lineRule="auto"/>
              <w:jc w:val="both"/>
              <w:rPr>
                <w:rFonts w:asciiTheme="minorBidi" w:eastAsiaTheme="minorEastAsia" w:hAnsiTheme="minorBidi" w:cstheme="minorBidi"/>
                <w:sz w:val="20"/>
                <w:szCs w:val="20"/>
              </w:rPr>
            </w:pPr>
          </w:p>
          <w:p w14:paraId="787E6E43" w14:textId="77777777" w:rsidR="007C55CD" w:rsidRPr="000B3F10" w:rsidRDefault="007C55CD" w:rsidP="007C55CD">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Amend the Personal Status Code to allow men and women the same right to divorce.</w:t>
            </w:r>
          </w:p>
          <w:p w14:paraId="2558F9A7" w14:textId="77777777" w:rsidR="007C55CD" w:rsidRPr="000B3F10" w:rsidRDefault="007C55CD" w:rsidP="00EC6E8F">
            <w:pPr>
              <w:pStyle w:val="ListParagraph"/>
              <w:spacing w:after="160" w:line="259" w:lineRule="auto"/>
              <w:jc w:val="both"/>
              <w:rPr>
                <w:rFonts w:asciiTheme="minorBidi" w:eastAsiaTheme="minorEastAsia" w:hAnsiTheme="minorBidi" w:cstheme="minorBidi"/>
                <w:sz w:val="20"/>
                <w:szCs w:val="20"/>
              </w:rPr>
            </w:pPr>
          </w:p>
          <w:p w14:paraId="616E3224" w14:textId="77777777" w:rsidR="007C55CD" w:rsidRPr="000B3F10" w:rsidRDefault="007C55CD" w:rsidP="007C55CD">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 xml:space="preserve">Put in place deterrent penalties and legal provisions to ensure in practice the responsibility of financial maintenance of the husband’s children following divorce. </w:t>
            </w:r>
          </w:p>
          <w:p w14:paraId="5B866AF0" w14:textId="77777777" w:rsidR="007C55CD" w:rsidRPr="000B3F10" w:rsidRDefault="007C55CD" w:rsidP="00EC6E8F">
            <w:pPr>
              <w:pStyle w:val="ListParagraph"/>
              <w:rPr>
                <w:rFonts w:asciiTheme="minorBidi" w:eastAsiaTheme="minorEastAsia" w:hAnsiTheme="minorBidi" w:cstheme="minorBidi"/>
                <w:sz w:val="20"/>
                <w:szCs w:val="20"/>
              </w:rPr>
            </w:pPr>
          </w:p>
          <w:p w14:paraId="4EC16D8D" w14:textId="77777777" w:rsidR="007C55CD" w:rsidRPr="000B3F10" w:rsidRDefault="007C55CD" w:rsidP="007C55CD">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 xml:space="preserve">Ensure an expedited adjudication/settlement of family dispute cases. </w:t>
            </w:r>
          </w:p>
        </w:tc>
      </w:tr>
    </w:tbl>
    <w:p w14:paraId="7097C40B" w14:textId="0BC92214" w:rsidR="00811416" w:rsidRDefault="00811416" w:rsidP="00E26F24"/>
    <w:p w14:paraId="3E2D12BC" w14:textId="62349C59" w:rsidR="00811416" w:rsidRDefault="00811416" w:rsidP="00E26F24"/>
    <w:p w14:paraId="175EEB4F" w14:textId="0985316C" w:rsidR="00811416" w:rsidRDefault="00811416" w:rsidP="00E26F24"/>
    <w:p w14:paraId="55C5B328" w14:textId="6708437B" w:rsidR="00811416" w:rsidRDefault="00811416" w:rsidP="00E26F24"/>
    <w:p w14:paraId="4311AF42" w14:textId="6231D3CC" w:rsidR="00811416" w:rsidRDefault="00811416" w:rsidP="00E26F24"/>
    <w:p w14:paraId="2C972096" w14:textId="77777777" w:rsidR="00811416" w:rsidRDefault="00811416" w:rsidP="00E26F24"/>
    <w:p w14:paraId="4D04993F" w14:textId="540B5080" w:rsidR="003A1200" w:rsidRPr="00F266AC" w:rsidRDefault="003A1200" w:rsidP="00892FA5">
      <w:pPr>
        <w:pStyle w:val="Heading2"/>
        <w:rPr>
          <w:bCs/>
          <w:iCs/>
        </w:rPr>
      </w:pPr>
      <w:bookmarkStart w:id="17" w:name="_Toc103472509"/>
      <w:bookmarkStart w:id="18" w:name="_Toc124084919"/>
      <w:r w:rsidRPr="00F266AC">
        <w:lastRenderedPageBreak/>
        <w:t>Polygamy</w:t>
      </w:r>
      <w:r w:rsidRPr="00F266AC">
        <w:tab/>
      </w:r>
      <w:r w:rsidRPr="00F266AC">
        <w:tab/>
      </w:r>
      <w:r w:rsidRPr="00F266AC">
        <w:tab/>
      </w:r>
      <w:r w:rsidR="00F266AC" w:rsidRPr="00F266AC">
        <w:tab/>
      </w:r>
      <w:r w:rsidR="00F266AC" w:rsidRPr="00F266AC">
        <w:tab/>
      </w:r>
      <w:r w:rsidR="00F266AC" w:rsidRPr="00F266AC">
        <w:tab/>
      </w:r>
      <w:r w:rsidR="00F266AC" w:rsidRPr="00F266AC">
        <w:tab/>
      </w:r>
      <w:r w:rsidR="00F266AC" w:rsidRPr="00F266AC">
        <w:tab/>
      </w:r>
      <w:r w:rsidR="00F266AC" w:rsidRPr="00F266AC">
        <w:tab/>
      </w:r>
      <w:r w:rsidR="00F266AC">
        <w:t xml:space="preserve">          </w:t>
      </w:r>
      <w:r w:rsidR="00F266AC" w:rsidRPr="00F266AC">
        <w:t>Article 16</w:t>
      </w:r>
      <w:bookmarkEnd w:id="17"/>
      <w:bookmarkEnd w:id="18"/>
    </w:p>
    <w:p w14:paraId="3C8B628A" w14:textId="258CBB57" w:rsidR="00F266AC" w:rsidRDefault="00F266AC" w:rsidP="00FA12D7">
      <w:pPr>
        <w:autoSpaceDE w:val="0"/>
        <w:autoSpaceDN w:val="0"/>
        <w:adjustRightInd w:val="0"/>
        <w:jc w:val="both"/>
        <w:rPr>
          <w:rFonts w:ascii="Arial" w:hAnsi="Arial" w:cs="Arial"/>
          <w:color w:val="000000" w:themeColor="text1"/>
          <w:sz w:val="20"/>
          <w:szCs w:val="20"/>
        </w:rPr>
      </w:pPr>
    </w:p>
    <w:p w14:paraId="61AD56B3" w14:textId="77777777" w:rsidR="007C55CD" w:rsidRPr="000B3F10" w:rsidRDefault="007C55CD" w:rsidP="007C55CD">
      <w:pPr>
        <w:jc w:val="both"/>
        <w:rPr>
          <w:rFonts w:asciiTheme="minorBidi" w:hAnsiTheme="minorBidi" w:cstheme="minorBidi"/>
          <w:b/>
          <w:bCs/>
          <w:sz w:val="20"/>
          <w:szCs w:val="20"/>
        </w:rPr>
      </w:pPr>
    </w:p>
    <w:p w14:paraId="51E40205"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A Muslim man may marry up to four wives at one time. He is not required by law to seek the permission of the court or his existing wife or wives to enter into a polygamous marriage.</w:t>
      </w:r>
      <w:r w:rsidRPr="000B3F10">
        <w:rPr>
          <w:rStyle w:val="FootnoteReference"/>
          <w:rFonts w:asciiTheme="minorBidi" w:eastAsia="Corbel" w:hAnsiTheme="minorBidi" w:cstheme="minorBidi"/>
          <w:sz w:val="20"/>
          <w:szCs w:val="20"/>
        </w:rPr>
        <w:footnoteReference w:id="12"/>
      </w:r>
    </w:p>
    <w:p w14:paraId="332E505C" w14:textId="77777777" w:rsidR="007C55CD" w:rsidRPr="000B3F10" w:rsidRDefault="007C55CD" w:rsidP="007C55CD">
      <w:pPr>
        <w:jc w:val="both"/>
        <w:rPr>
          <w:rFonts w:asciiTheme="minorBidi" w:hAnsiTheme="minorBidi" w:cstheme="minorBidi"/>
          <w:sz w:val="20"/>
          <w:szCs w:val="20"/>
        </w:rPr>
      </w:pPr>
    </w:p>
    <w:p w14:paraId="12CDAB66"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Articles 28 and 29 of the PSC provides that a woman may stipulate in the marriage contract that her husband cannot take another wife. If the husband breaches this term of the marriage contract, the woman has the right to petition for divorce and is entitled to the amount of mut’ah (compensation) that the judge determines.</w:t>
      </w:r>
      <w:r w:rsidRPr="000B3F10">
        <w:rPr>
          <w:rStyle w:val="FootnoteReference"/>
          <w:rFonts w:asciiTheme="minorBidi" w:eastAsia="Corbel" w:hAnsiTheme="minorBidi" w:cstheme="minorBidi"/>
          <w:sz w:val="20"/>
          <w:szCs w:val="20"/>
        </w:rPr>
        <w:footnoteReference w:id="13"/>
      </w:r>
    </w:p>
    <w:p w14:paraId="77351096" w14:textId="77777777" w:rsidR="007C55CD" w:rsidRPr="000B3F10" w:rsidRDefault="007C55CD" w:rsidP="007C55CD">
      <w:pPr>
        <w:jc w:val="both"/>
        <w:rPr>
          <w:rFonts w:asciiTheme="minorBidi" w:hAnsiTheme="minorBidi" w:cstheme="minorBidi"/>
          <w:sz w:val="20"/>
          <w:szCs w:val="20"/>
        </w:rPr>
      </w:pPr>
    </w:p>
    <w:p w14:paraId="49CA54F6" w14:textId="77777777" w:rsidR="007C55CD" w:rsidRPr="000B3F10" w:rsidRDefault="007C55CD" w:rsidP="007C55CD">
      <w:pPr>
        <w:jc w:val="both"/>
        <w:rPr>
          <w:rFonts w:asciiTheme="minorBidi" w:hAnsiTheme="minorBidi" w:cstheme="minorBidi"/>
          <w:sz w:val="20"/>
          <w:szCs w:val="20"/>
        </w:rPr>
      </w:pPr>
      <w:r w:rsidRPr="000B3F10">
        <w:rPr>
          <w:rFonts w:asciiTheme="minorBidi" w:hAnsiTheme="minorBidi" w:cstheme="minorBidi"/>
          <w:sz w:val="20"/>
          <w:szCs w:val="20"/>
        </w:rPr>
        <w:t xml:space="preserve">However, polygamy in Mauritania is carried out mostly in secret, and the husbands do not document or register the marriage, leaving women in the marriage vulnerable and without any legal remedy available to them, since the previous wives are unable to prove the marriage, and the newer ones are unable to register their children with their husband. These women end up becoming single mothers with no legal recognition of their children, and are additionally at the risk of contracting sexually transmitted diseases from their husbands. </w:t>
      </w:r>
    </w:p>
    <w:p w14:paraId="722A2E9E" w14:textId="368095E4" w:rsidR="007C55CD" w:rsidRDefault="007C55CD" w:rsidP="007C55CD">
      <w:pPr>
        <w:jc w:val="both"/>
        <w:rPr>
          <w:rFonts w:asciiTheme="minorBidi" w:hAnsiTheme="minorBidi" w:cstheme="minorBidi"/>
          <w:sz w:val="20"/>
          <w:szCs w:val="20"/>
        </w:rPr>
      </w:pPr>
    </w:p>
    <w:p w14:paraId="67B3B1F9" w14:textId="3377CBFB" w:rsidR="007C55CD" w:rsidRDefault="007C55CD" w:rsidP="00811416">
      <w:pPr>
        <w:jc w:val="center"/>
        <w:rPr>
          <w:rFonts w:asciiTheme="minorBidi" w:hAnsiTheme="minorBidi" w:cstheme="minorBidi"/>
          <w:sz w:val="20"/>
          <w:szCs w:val="20"/>
        </w:rPr>
      </w:pPr>
      <w:r>
        <w:rPr>
          <w:noProof/>
          <w:lang w:eastAsia="en-US"/>
        </w:rPr>
        <w:drawing>
          <wp:inline distT="0" distB="0" distL="0" distR="0" wp14:anchorId="4D5A3177" wp14:editId="0CEF8877">
            <wp:extent cx="4431207" cy="41785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20" cstate="print">
                      <a:extLst>
                        <a:ext uri="{28A0092B-C50C-407E-A947-70E740481C1C}">
                          <a14:useLocalDpi xmlns:a14="http://schemas.microsoft.com/office/drawing/2010/main" val="0"/>
                        </a:ext>
                      </a:extLst>
                    </a:blip>
                    <a:srcRect l="1" t="1386" r="-965"/>
                    <a:stretch/>
                  </pic:blipFill>
                  <pic:spPr bwMode="auto">
                    <a:xfrm>
                      <a:off x="0" y="0"/>
                      <a:ext cx="4453822" cy="4199921"/>
                    </a:xfrm>
                    <a:prstGeom prst="rect">
                      <a:avLst/>
                    </a:prstGeom>
                    <a:ln>
                      <a:noFill/>
                    </a:ln>
                    <a:extLst>
                      <a:ext uri="{53640926-AAD7-44D8-BBD7-CCE9431645EC}">
                        <a14:shadowObscured xmlns:a14="http://schemas.microsoft.com/office/drawing/2010/main"/>
                      </a:ext>
                    </a:extLst>
                  </pic:spPr>
                </pic:pic>
              </a:graphicData>
            </a:graphic>
          </wp:inline>
        </w:drawing>
      </w:r>
    </w:p>
    <w:p w14:paraId="15D92072" w14:textId="16787741" w:rsidR="00811416" w:rsidRDefault="00811416" w:rsidP="00811416">
      <w:pPr>
        <w:jc w:val="center"/>
        <w:rPr>
          <w:rFonts w:asciiTheme="minorBidi" w:hAnsiTheme="minorBidi" w:cstheme="minorBidi"/>
          <w:sz w:val="20"/>
          <w:szCs w:val="20"/>
        </w:rPr>
      </w:pPr>
    </w:p>
    <w:p w14:paraId="2683A93E" w14:textId="62D2A858" w:rsidR="00811416" w:rsidRDefault="00811416" w:rsidP="00811416">
      <w:pPr>
        <w:jc w:val="center"/>
        <w:rPr>
          <w:rFonts w:asciiTheme="minorBidi" w:hAnsiTheme="minorBidi" w:cstheme="minorBidi"/>
          <w:sz w:val="20"/>
          <w:szCs w:val="20"/>
        </w:rPr>
      </w:pPr>
    </w:p>
    <w:p w14:paraId="46911674" w14:textId="47173BDA" w:rsidR="00811416" w:rsidRDefault="00811416" w:rsidP="00811416">
      <w:pPr>
        <w:jc w:val="center"/>
        <w:rPr>
          <w:rFonts w:asciiTheme="minorBidi" w:hAnsiTheme="minorBidi" w:cstheme="minorBidi"/>
          <w:sz w:val="20"/>
          <w:szCs w:val="20"/>
        </w:rPr>
      </w:pPr>
    </w:p>
    <w:p w14:paraId="6160009F" w14:textId="3B04B937" w:rsidR="00811416" w:rsidRDefault="00811416" w:rsidP="00811416">
      <w:pPr>
        <w:jc w:val="center"/>
        <w:rPr>
          <w:rFonts w:asciiTheme="minorBidi" w:hAnsiTheme="minorBidi" w:cstheme="minorBidi"/>
          <w:sz w:val="20"/>
          <w:szCs w:val="20"/>
        </w:rPr>
      </w:pPr>
    </w:p>
    <w:p w14:paraId="3F424A92" w14:textId="6D33A9D7" w:rsidR="00811416" w:rsidRDefault="00811416" w:rsidP="00811416">
      <w:pPr>
        <w:jc w:val="center"/>
        <w:rPr>
          <w:rFonts w:asciiTheme="minorBidi" w:hAnsiTheme="minorBidi" w:cstheme="minorBidi"/>
          <w:sz w:val="20"/>
          <w:szCs w:val="20"/>
        </w:rPr>
      </w:pPr>
    </w:p>
    <w:p w14:paraId="72077F09" w14:textId="24A165B2" w:rsidR="00811416" w:rsidRDefault="00811416" w:rsidP="00811416">
      <w:pPr>
        <w:jc w:val="center"/>
        <w:rPr>
          <w:rFonts w:asciiTheme="minorBidi" w:hAnsiTheme="minorBidi" w:cstheme="minorBidi"/>
          <w:sz w:val="20"/>
          <w:szCs w:val="20"/>
        </w:rPr>
      </w:pPr>
    </w:p>
    <w:p w14:paraId="5EC72704" w14:textId="1930BDFD" w:rsidR="00811416" w:rsidRDefault="00811416" w:rsidP="00811416">
      <w:pPr>
        <w:jc w:val="center"/>
        <w:rPr>
          <w:rFonts w:asciiTheme="minorBidi" w:hAnsiTheme="minorBidi" w:cstheme="minorBidi"/>
          <w:sz w:val="20"/>
          <w:szCs w:val="20"/>
        </w:rPr>
      </w:pPr>
    </w:p>
    <w:p w14:paraId="7DF55E36" w14:textId="492C2C83" w:rsidR="00811416" w:rsidRDefault="00811416" w:rsidP="00811416">
      <w:pPr>
        <w:jc w:val="center"/>
        <w:rPr>
          <w:rFonts w:asciiTheme="minorBidi" w:hAnsiTheme="minorBidi" w:cstheme="minorBidi"/>
          <w:sz w:val="20"/>
          <w:szCs w:val="20"/>
        </w:rPr>
      </w:pPr>
    </w:p>
    <w:p w14:paraId="3EB470D6" w14:textId="2B599404" w:rsidR="00811416" w:rsidRDefault="00811416" w:rsidP="00811416">
      <w:pPr>
        <w:jc w:val="center"/>
        <w:rPr>
          <w:rFonts w:asciiTheme="minorBidi" w:hAnsiTheme="minorBidi" w:cstheme="minorBidi"/>
          <w:sz w:val="20"/>
          <w:szCs w:val="20"/>
        </w:rPr>
      </w:pPr>
    </w:p>
    <w:p w14:paraId="269021DD" w14:textId="026FEEE9" w:rsidR="00811416" w:rsidRDefault="00811416" w:rsidP="00811416">
      <w:pPr>
        <w:jc w:val="center"/>
        <w:rPr>
          <w:rFonts w:asciiTheme="minorBidi" w:hAnsiTheme="minorBidi" w:cstheme="minorBidi"/>
          <w:sz w:val="20"/>
          <w:szCs w:val="20"/>
        </w:rPr>
      </w:pPr>
    </w:p>
    <w:p w14:paraId="1B2D0909" w14:textId="29C04E14" w:rsidR="00811416" w:rsidRDefault="00811416" w:rsidP="00811416">
      <w:pPr>
        <w:jc w:val="center"/>
        <w:rPr>
          <w:rFonts w:asciiTheme="minorBidi" w:hAnsiTheme="minorBidi" w:cstheme="minorBidi"/>
          <w:sz w:val="20"/>
          <w:szCs w:val="20"/>
        </w:rPr>
      </w:pPr>
    </w:p>
    <w:p w14:paraId="51801B66" w14:textId="77777777" w:rsidR="00811416" w:rsidRDefault="00811416" w:rsidP="00811416">
      <w:pPr>
        <w:jc w:val="center"/>
        <w:rPr>
          <w:rFonts w:asciiTheme="minorBidi" w:hAnsiTheme="minorBidi" w:cstheme="minorBidi"/>
          <w:sz w:val="20"/>
          <w:szCs w:val="20"/>
        </w:rPr>
      </w:pPr>
    </w:p>
    <w:p w14:paraId="33BD34EF" w14:textId="06DEE4B3" w:rsidR="007C55CD" w:rsidRDefault="007C55CD" w:rsidP="007C55CD">
      <w:pPr>
        <w:jc w:val="both"/>
        <w:rPr>
          <w:rFonts w:asciiTheme="minorBidi" w:hAnsiTheme="minorBidi" w:cstheme="minorBidi"/>
          <w:sz w:val="20"/>
          <w:szCs w:val="20"/>
        </w:rPr>
      </w:pPr>
      <w:r>
        <w:rPr>
          <w:rFonts w:ascii="Arial" w:hAnsi="Arial" w:cs="Arial"/>
          <w:noProof/>
          <w:color w:val="000000"/>
          <w:sz w:val="20"/>
          <w:szCs w:val="20"/>
          <w:lang w:eastAsia="en-US"/>
        </w:rPr>
        <w:lastRenderedPageBreak/>
        <w:drawing>
          <wp:inline distT="0" distB="0" distL="0" distR="0" wp14:anchorId="2FF865F8" wp14:editId="0E629A96">
            <wp:extent cx="5664200" cy="4254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1">
                      <a:extLst>
                        <a:ext uri="{28A0092B-C50C-407E-A947-70E740481C1C}">
                          <a14:useLocalDpi xmlns:a14="http://schemas.microsoft.com/office/drawing/2010/main" val="0"/>
                        </a:ext>
                      </a:extLst>
                    </a:blip>
                    <a:srcRect b="88937"/>
                    <a:stretch/>
                  </pic:blipFill>
                  <pic:spPr bwMode="auto">
                    <a:xfrm>
                      <a:off x="0" y="0"/>
                      <a:ext cx="5664200" cy="425450"/>
                    </a:xfrm>
                    <a:prstGeom prst="rect">
                      <a:avLst/>
                    </a:prstGeom>
                    <a:ln>
                      <a:noFill/>
                    </a:ln>
                    <a:extLst>
                      <a:ext uri="{53640926-AAD7-44D8-BBD7-CCE9431645EC}">
                        <a14:shadowObscured xmlns:a14="http://schemas.microsoft.com/office/drawing/2010/main"/>
                      </a:ext>
                    </a:extLst>
                  </pic:spPr>
                </pic:pic>
              </a:graphicData>
            </a:graphic>
          </wp:inline>
        </w:drawing>
      </w:r>
    </w:p>
    <w:p w14:paraId="0BCB072C" w14:textId="781C2AA8" w:rsidR="007C55CD" w:rsidRDefault="007C55CD" w:rsidP="007C55CD">
      <w:pPr>
        <w:jc w:val="both"/>
        <w:rPr>
          <w:rFonts w:asciiTheme="minorBidi" w:hAnsiTheme="minorBidi" w:cstheme="minorBidi"/>
          <w:sz w:val="20"/>
          <w:szCs w:val="20"/>
        </w:rPr>
      </w:pPr>
      <w:r>
        <w:rPr>
          <w:noProof/>
          <w:lang w:eastAsia="en-US"/>
        </w:rPr>
        <w:drawing>
          <wp:inline distT="0" distB="0" distL="0" distR="0" wp14:anchorId="6B9D6F88" wp14:editId="52A029FE">
            <wp:extent cx="5664200" cy="243332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1">
                      <a:extLst>
                        <a:ext uri="{28A0092B-C50C-407E-A947-70E740481C1C}">
                          <a14:useLocalDpi xmlns:a14="http://schemas.microsoft.com/office/drawing/2010/main" val="0"/>
                        </a:ext>
                      </a:extLst>
                    </a:blip>
                    <a:srcRect t="36721"/>
                    <a:stretch/>
                  </pic:blipFill>
                  <pic:spPr bwMode="auto">
                    <a:xfrm>
                      <a:off x="0" y="0"/>
                      <a:ext cx="5664200" cy="2433320"/>
                    </a:xfrm>
                    <a:prstGeom prst="rect">
                      <a:avLst/>
                    </a:prstGeom>
                    <a:ln>
                      <a:noFill/>
                    </a:ln>
                    <a:extLst>
                      <a:ext uri="{53640926-AAD7-44D8-BBD7-CCE9431645EC}">
                        <a14:shadowObscured xmlns:a14="http://schemas.microsoft.com/office/drawing/2010/main"/>
                      </a:ext>
                    </a:extLst>
                  </pic:spPr>
                </pic:pic>
              </a:graphicData>
            </a:graphic>
          </wp:inline>
        </w:drawing>
      </w:r>
    </w:p>
    <w:p w14:paraId="4D3ADFF4" w14:textId="77777777" w:rsidR="007C55CD" w:rsidRPr="000B3F10" w:rsidRDefault="007C55CD" w:rsidP="007C55CD">
      <w:pPr>
        <w:jc w:val="both"/>
        <w:rPr>
          <w:rFonts w:asciiTheme="minorBidi" w:hAnsiTheme="minorBidi" w:cstheme="minorBidi"/>
          <w:sz w:val="20"/>
          <w:szCs w:val="20"/>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7C55CD" w:rsidRPr="000B3F10" w14:paraId="5E996558" w14:textId="77777777" w:rsidTr="00EC6E8F">
        <w:trPr>
          <w:trHeight w:val="803"/>
        </w:trPr>
        <w:tc>
          <w:tcPr>
            <w:tcW w:w="8903" w:type="dxa"/>
            <w:shd w:val="clear" w:color="auto" w:fill="D9D9D9" w:themeFill="background1" w:themeFillShade="D9"/>
            <w:tcMar>
              <w:top w:w="100" w:type="dxa"/>
              <w:left w:w="100" w:type="dxa"/>
              <w:bottom w:w="100" w:type="dxa"/>
              <w:right w:w="100" w:type="dxa"/>
            </w:tcMar>
          </w:tcPr>
          <w:p w14:paraId="574B47A7" w14:textId="77777777" w:rsidR="007C55CD" w:rsidRPr="000B3F10" w:rsidRDefault="007C55CD" w:rsidP="00EC6E8F">
            <w:pPr>
              <w:widowControl w:val="0"/>
              <w:spacing w:before="240" w:after="240"/>
              <w:jc w:val="both"/>
              <w:rPr>
                <w:rFonts w:asciiTheme="minorBidi" w:hAnsiTheme="minorBidi" w:cstheme="minorBidi"/>
                <w:b/>
                <w:sz w:val="20"/>
                <w:szCs w:val="20"/>
                <w:u w:val="single"/>
              </w:rPr>
            </w:pPr>
            <w:r w:rsidRPr="000B3F10">
              <w:rPr>
                <w:rFonts w:asciiTheme="minorBidi" w:hAnsiTheme="minorBidi" w:cstheme="minorBidi"/>
                <w:b/>
                <w:sz w:val="20"/>
                <w:szCs w:val="20"/>
                <w:u w:val="single"/>
              </w:rPr>
              <w:t>RECOMMENDATIONS</w:t>
            </w:r>
          </w:p>
          <w:p w14:paraId="7E08AD01" w14:textId="77777777" w:rsidR="007C55CD" w:rsidRPr="000B3F10" w:rsidRDefault="007C55CD" w:rsidP="00EC6E8F">
            <w:pPr>
              <w:spacing w:line="276" w:lineRule="auto"/>
              <w:jc w:val="both"/>
              <w:rPr>
                <w:rFonts w:asciiTheme="minorBidi" w:eastAsia="Arial" w:hAnsiTheme="minorBidi" w:cstheme="minorBidi"/>
                <w:sz w:val="20"/>
                <w:szCs w:val="20"/>
              </w:rPr>
            </w:pPr>
            <w:r w:rsidRPr="000B3F10">
              <w:rPr>
                <w:rFonts w:asciiTheme="minorBidi" w:hAnsiTheme="minorBidi" w:cstheme="minorBidi"/>
                <w:b/>
                <w:bCs/>
                <w:sz w:val="20"/>
                <w:szCs w:val="20"/>
              </w:rPr>
              <w:t>We recommend the CEDAW Committee urge the State party to:</w:t>
            </w:r>
          </w:p>
          <w:p w14:paraId="2DE1E950" w14:textId="77777777" w:rsidR="007C55CD" w:rsidRPr="000B3F10" w:rsidRDefault="007C55CD" w:rsidP="00EC6E8F">
            <w:pPr>
              <w:pStyle w:val="Default"/>
              <w:jc w:val="both"/>
              <w:rPr>
                <w:rFonts w:asciiTheme="minorBidi" w:hAnsiTheme="minorBidi" w:cstheme="minorBidi"/>
                <w:sz w:val="20"/>
                <w:szCs w:val="20"/>
              </w:rPr>
            </w:pPr>
          </w:p>
          <w:p w14:paraId="4EC075E8" w14:textId="77777777" w:rsidR="007C55CD" w:rsidRPr="000B3F10" w:rsidRDefault="007C55CD" w:rsidP="007C55CD">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hAnsiTheme="minorBidi" w:cstheme="minorBidi"/>
                <w:sz w:val="20"/>
                <w:szCs w:val="20"/>
              </w:rPr>
              <w:t>Introduce conditions in the Personal Status Law to restrict the practice of polygamy to minimize harm and injustice done to the wives and children, and in particular:</w:t>
            </w:r>
          </w:p>
          <w:p w14:paraId="487828F0" w14:textId="77777777" w:rsidR="007C55CD" w:rsidRPr="000B3F10" w:rsidRDefault="007C55CD" w:rsidP="00EC6E8F">
            <w:pPr>
              <w:pStyle w:val="ListParagraph"/>
              <w:spacing w:after="160" w:line="259" w:lineRule="auto"/>
              <w:jc w:val="both"/>
              <w:rPr>
                <w:rFonts w:asciiTheme="minorBidi" w:eastAsiaTheme="minorEastAsia" w:hAnsiTheme="minorBidi" w:cstheme="minorBidi"/>
                <w:sz w:val="20"/>
                <w:szCs w:val="20"/>
              </w:rPr>
            </w:pPr>
          </w:p>
          <w:p w14:paraId="44C748FE" w14:textId="77777777" w:rsidR="007C55CD" w:rsidRPr="000B3F10" w:rsidRDefault="007C55CD" w:rsidP="007C55CD">
            <w:pPr>
              <w:pStyle w:val="ListParagraph"/>
              <w:numPr>
                <w:ilvl w:val="1"/>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 xml:space="preserve">Require marriage officiators to notify a man’s existing wife at the time of contracting as subsequent marriage and to seek her consent; and </w:t>
            </w:r>
          </w:p>
          <w:p w14:paraId="2C480EE4" w14:textId="77777777" w:rsidR="007C55CD" w:rsidRPr="000B3F10" w:rsidRDefault="007C55CD" w:rsidP="00EC6E8F">
            <w:pPr>
              <w:pStyle w:val="ListParagraph"/>
              <w:spacing w:after="160" w:line="259" w:lineRule="auto"/>
              <w:ind w:left="1440"/>
              <w:jc w:val="both"/>
              <w:rPr>
                <w:rFonts w:asciiTheme="minorBidi" w:eastAsiaTheme="minorEastAsia" w:hAnsiTheme="minorBidi" w:cstheme="minorBidi"/>
                <w:sz w:val="20"/>
                <w:szCs w:val="20"/>
              </w:rPr>
            </w:pPr>
          </w:p>
          <w:p w14:paraId="637019C4" w14:textId="77777777" w:rsidR="007C55CD" w:rsidRPr="000B3F10" w:rsidRDefault="007C55CD" w:rsidP="007C55CD">
            <w:pPr>
              <w:pStyle w:val="ListParagraph"/>
              <w:numPr>
                <w:ilvl w:val="1"/>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Include polygamy as a valid cause for judicial divorce.</w:t>
            </w:r>
          </w:p>
        </w:tc>
      </w:tr>
    </w:tbl>
    <w:p w14:paraId="7BFEFC99" w14:textId="77777777" w:rsidR="003A1200" w:rsidRDefault="003A1200" w:rsidP="003A1200">
      <w:pPr>
        <w:rPr>
          <w:rFonts w:asciiTheme="minorBidi" w:eastAsia="Trebuchet MS" w:hAnsiTheme="minorBidi" w:cstheme="minorBidi"/>
          <w:b/>
          <w:smallCaps/>
          <w:color w:val="FFFFFF" w:themeColor="background1"/>
          <w:sz w:val="20"/>
          <w:szCs w:val="20"/>
          <w:lang w:eastAsia="en-US"/>
        </w:rPr>
      </w:pPr>
    </w:p>
    <w:p w14:paraId="5E37AB6C" w14:textId="4A376EFE" w:rsidR="00337383" w:rsidRPr="00005B50" w:rsidRDefault="007C55CD" w:rsidP="00892FA5">
      <w:pPr>
        <w:pStyle w:val="Heading2"/>
        <w:rPr>
          <w:bCs/>
          <w:iCs/>
        </w:rPr>
      </w:pPr>
      <w:bookmarkStart w:id="19" w:name="_Toc124084920"/>
      <w:r>
        <w:t>Custody, Guardianship and Nationality</w:t>
      </w:r>
      <w:r w:rsidR="00005B50" w:rsidRPr="00005B50">
        <w:tab/>
      </w:r>
      <w:r w:rsidR="00005B50" w:rsidRPr="00005B50">
        <w:tab/>
      </w:r>
      <w:r w:rsidR="00005B50" w:rsidRPr="00005B50">
        <w:tab/>
      </w:r>
      <w:r w:rsidR="00005B50">
        <w:t xml:space="preserve">          </w:t>
      </w:r>
      <w:r w:rsidR="009D3E28">
        <w:tab/>
        <w:t xml:space="preserve">   </w:t>
      </w:r>
      <w:r w:rsidR="00005B50" w:rsidRPr="00005B50">
        <w:t>Article</w:t>
      </w:r>
      <w:r w:rsidR="009D3E28">
        <w:t xml:space="preserve">s 9, </w:t>
      </w:r>
      <w:r w:rsidR="00005B50" w:rsidRPr="00005B50">
        <w:t>1</w:t>
      </w:r>
      <w:r w:rsidR="00005B50">
        <w:t>6</w:t>
      </w:r>
      <w:bookmarkEnd w:id="19"/>
    </w:p>
    <w:p w14:paraId="4D8B4020" w14:textId="77777777" w:rsidR="00005B50" w:rsidRDefault="00005B50" w:rsidP="00C83691">
      <w:pPr>
        <w:autoSpaceDE w:val="0"/>
        <w:autoSpaceDN w:val="0"/>
        <w:adjustRightInd w:val="0"/>
        <w:jc w:val="both"/>
        <w:rPr>
          <w:rFonts w:asciiTheme="minorBidi" w:eastAsiaTheme="minorHAnsi" w:hAnsiTheme="minorBidi" w:cstheme="minorBidi"/>
          <w:color w:val="000000" w:themeColor="text1"/>
          <w:sz w:val="20"/>
          <w:szCs w:val="20"/>
          <w:lang w:val="en-GB" w:eastAsia="en-US"/>
        </w:rPr>
      </w:pPr>
    </w:p>
    <w:p w14:paraId="2C37BB95" w14:textId="77777777" w:rsidR="009D3E28" w:rsidRPr="000B3F10" w:rsidRDefault="009D3E28" w:rsidP="009D3E28">
      <w:pPr>
        <w:jc w:val="both"/>
        <w:rPr>
          <w:rFonts w:asciiTheme="minorBidi" w:hAnsiTheme="minorBidi" w:cstheme="minorBidi"/>
          <w:sz w:val="20"/>
          <w:szCs w:val="20"/>
          <w:highlight w:val="white"/>
        </w:rPr>
      </w:pPr>
      <w:r w:rsidRPr="000B3F10">
        <w:rPr>
          <w:rFonts w:asciiTheme="minorBidi" w:hAnsiTheme="minorBidi" w:cstheme="minorBidi"/>
          <w:sz w:val="20"/>
          <w:szCs w:val="20"/>
          <w:highlight w:val="white"/>
        </w:rPr>
        <w:t>In the event of a divorce, a mother has priority over the custody of her daughter until she is married and her son until he reaches the age of majority. A judge may, however, award the father custody of the son as early as when he reaches seven if it is in the son’s best interest to do so.</w:t>
      </w:r>
      <w:r w:rsidRPr="000B3F10">
        <w:rPr>
          <w:rStyle w:val="FootnoteReference"/>
          <w:rFonts w:asciiTheme="minorBidi" w:eastAsia="Corbel" w:hAnsiTheme="minorBidi" w:cstheme="minorBidi"/>
          <w:sz w:val="20"/>
          <w:szCs w:val="20"/>
          <w:highlight w:val="white"/>
        </w:rPr>
        <w:footnoteReference w:id="14"/>
      </w:r>
      <w:r w:rsidRPr="000B3F10">
        <w:rPr>
          <w:rFonts w:asciiTheme="minorBidi" w:hAnsiTheme="minorBidi" w:cstheme="minorBidi"/>
          <w:sz w:val="20"/>
          <w:szCs w:val="20"/>
          <w:highlight w:val="white"/>
        </w:rPr>
        <w:t xml:space="preserve"> However, a mother immediately loses custody of her child if she remarries another man and her new husband is not closely related to the child.</w:t>
      </w:r>
      <w:r w:rsidRPr="000B3F10">
        <w:rPr>
          <w:rStyle w:val="FootnoteReference"/>
          <w:rFonts w:asciiTheme="minorBidi" w:eastAsia="Corbel" w:hAnsiTheme="minorBidi" w:cstheme="minorBidi"/>
          <w:sz w:val="20"/>
          <w:szCs w:val="20"/>
          <w:highlight w:val="white"/>
        </w:rPr>
        <w:footnoteReference w:id="15"/>
      </w:r>
    </w:p>
    <w:p w14:paraId="71240104" w14:textId="77777777" w:rsidR="009D3E28" w:rsidRPr="000B3F10" w:rsidRDefault="009D3E28" w:rsidP="009D3E28">
      <w:pPr>
        <w:jc w:val="both"/>
        <w:rPr>
          <w:rFonts w:asciiTheme="minorBidi" w:hAnsiTheme="minorBidi" w:cstheme="minorBidi"/>
          <w:sz w:val="20"/>
          <w:szCs w:val="20"/>
          <w:highlight w:val="white"/>
        </w:rPr>
      </w:pPr>
    </w:p>
    <w:p w14:paraId="0D47F802" w14:textId="77777777" w:rsidR="009D3E28" w:rsidRPr="000B3F10" w:rsidRDefault="009D3E28" w:rsidP="009D3E28">
      <w:pPr>
        <w:jc w:val="both"/>
        <w:rPr>
          <w:rFonts w:asciiTheme="minorBidi" w:hAnsiTheme="minorBidi" w:cstheme="minorBidi"/>
          <w:sz w:val="20"/>
          <w:szCs w:val="20"/>
        </w:rPr>
      </w:pPr>
      <w:r w:rsidRPr="000B3F10">
        <w:rPr>
          <w:rFonts w:asciiTheme="minorBidi" w:hAnsiTheme="minorBidi" w:cstheme="minorBidi"/>
          <w:sz w:val="20"/>
          <w:szCs w:val="20"/>
        </w:rPr>
        <w:t>A father has priority right over the guardianship of his children. As guardian, he is responsible for the child’s education and discipline in addition to the child’s property.</w:t>
      </w:r>
      <w:r w:rsidRPr="000B3F10">
        <w:rPr>
          <w:rStyle w:val="FootnoteReference"/>
          <w:rFonts w:asciiTheme="minorBidi" w:eastAsia="Corbel" w:hAnsiTheme="minorBidi" w:cstheme="minorBidi"/>
          <w:sz w:val="20"/>
          <w:szCs w:val="20"/>
        </w:rPr>
        <w:footnoteReference w:id="16"/>
      </w:r>
      <w:r w:rsidRPr="000B3F10">
        <w:rPr>
          <w:rFonts w:asciiTheme="minorBidi" w:hAnsiTheme="minorBidi" w:cstheme="minorBidi"/>
          <w:sz w:val="20"/>
          <w:szCs w:val="20"/>
        </w:rPr>
        <w:t xml:space="preserve"> Consequently, the wife cannot travel with her children abroad without the permission of their father/guardian, while the father can do so without any restrictions.</w:t>
      </w:r>
    </w:p>
    <w:p w14:paraId="1D021A74" w14:textId="77777777" w:rsidR="009D3E28" w:rsidRPr="000B3F10" w:rsidRDefault="009D3E28" w:rsidP="009D3E28">
      <w:pPr>
        <w:jc w:val="both"/>
        <w:rPr>
          <w:rFonts w:asciiTheme="minorBidi" w:hAnsiTheme="minorBidi" w:cstheme="minorBidi"/>
          <w:sz w:val="20"/>
          <w:szCs w:val="20"/>
        </w:rPr>
      </w:pPr>
    </w:p>
    <w:p w14:paraId="74BD90AE" w14:textId="77777777" w:rsidR="009D3E28" w:rsidRPr="000B3F10" w:rsidRDefault="009D3E28" w:rsidP="009D3E28">
      <w:pPr>
        <w:jc w:val="both"/>
        <w:rPr>
          <w:rFonts w:asciiTheme="minorBidi" w:hAnsiTheme="minorBidi" w:cstheme="minorBidi"/>
          <w:sz w:val="20"/>
          <w:szCs w:val="20"/>
        </w:rPr>
      </w:pPr>
      <w:r w:rsidRPr="000B3F10">
        <w:rPr>
          <w:rFonts w:asciiTheme="minorBidi" w:hAnsiTheme="minorBidi" w:cstheme="minorBidi"/>
          <w:sz w:val="20"/>
          <w:szCs w:val="20"/>
        </w:rPr>
        <w:t>A Mauritanian man may pass his nationality to his non-Mauritanian wife upon marriage. However, the law does not specifically provide for a Mauritanian woman to confer her nationality to her foreign husband. Her foreign husband may obtain Mauritanian citizenship through naturalisation.</w:t>
      </w:r>
      <w:r w:rsidRPr="000B3F10">
        <w:rPr>
          <w:rStyle w:val="FootnoteReference"/>
          <w:rFonts w:asciiTheme="minorBidi" w:eastAsia="Corbel" w:hAnsiTheme="minorBidi" w:cstheme="minorBidi"/>
          <w:sz w:val="20"/>
          <w:szCs w:val="20"/>
        </w:rPr>
        <w:footnoteReference w:id="17"/>
      </w:r>
    </w:p>
    <w:p w14:paraId="27645A6C" w14:textId="77777777" w:rsidR="009D3E28" w:rsidRPr="000B3F10" w:rsidRDefault="009D3E28" w:rsidP="009D3E28">
      <w:pPr>
        <w:jc w:val="both"/>
        <w:rPr>
          <w:rFonts w:asciiTheme="minorBidi" w:hAnsiTheme="minorBidi" w:cstheme="minorBidi"/>
          <w:sz w:val="20"/>
          <w:szCs w:val="20"/>
          <w:highlight w:val="white"/>
        </w:rPr>
      </w:pPr>
    </w:p>
    <w:p w14:paraId="4FEDBAC6" w14:textId="77777777" w:rsidR="009D3E28" w:rsidRPr="000B3F10" w:rsidRDefault="009D3E28" w:rsidP="009D3E28">
      <w:pPr>
        <w:jc w:val="both"/>
        <w:rPr>
          <w:rFonts w:asciiTheme="minorBidi" w:hAnsiTheme="minorBidi" w:cstheme="minorBidi"/>
          <w:sz w:val="20"/>
          <w:szCs w:val="20"/>
        </w:rPr>
      </w:pPr>
      <w:r w:rsidRPr="000B3F10">
        <w:rPr>
          <w:rFonts w:asciiTheme="minorBidi" w:hAnsiTheme="minorBidi" w:cstheme="minorBidi"/>
          <w:sz w:val="20"/>
          <w:szCs w:val="20"/>
        </w:rPr>
        <w:t>A Mauritanian father passes his citizenship to his children wherever they are born. A Mauritanian mother may only confer her citizenship on her child if: (i) the child was born in Mauritania; or (ii) the father’s nationality is unknown.</w:t>
      </w:r>
      <w:r w:rsidRPr="000B3F10">
        <w:rPr>
          <w:rStyle w:val="FootnoteReference"/>
          <w:rFonts w:asciiTheme="minorBidi" w:eastAsia="Corbel" w:hAnsiTheme="minorBidi" w:cstheme="minorBidi"/>
          <w:sz w:val="20"/>
          <w:szCs w:val="20"/>
        </w:rPr>
        <w:footnoteReference w:id="18"/>
      </w:r>
    </w:p>
    <w:p w14:paraId="6E231A17" w14:textId="77777777" w:rsidR="009D3E28" w:rsidRPr="000B3F10" w:rsidRDefault="009D3E28" w:rsidP="009D3E28">
      <w:pPr>
        <w:jc w:val="both"/>
        <w:rPr>
          <w:rFonts w:asciiTheme="minorBidi" w:hAnsiTheme="minorBidi" w:cstheme="minorBidi"/>
          <w:sz w:val="20"/>
          <w:szCs w:val="20"/>
        </w:rPr>
      </w:pPr>
    </w:p>
    <w:p w14:paraId="53ACCE3A" w14:textId="04278114" w:rsidR="009D3E28" w:rsidRDefault="009D3E28" w:rsidP="009D3E28">
      <w:pPr>
        <w:jc w:val="both"/>
        <w:rPr>
          <w:rFonts w:asciiTheme="minorBidi" w:hAnsiTheme="minorBidi" w:cstheme="minorBidi"/>
          <w:sz w:val="20"/>
          <w:szCs w:val="20"/>
        </w:rPr>
      </w:pPr>
      <w:r w:rsidRPr="000B3F10">
        <w:rPr>
          <w:rFonts w:asciiTheme="minorBidi" w:hAnsiTheme="minorBidi" w:cstheme="minorBidi"/>
          <w:sz w:val="20"/>
          <w:szCs w:val="20"/>
        </w:rPr>
        <w:lastRenderedPageBreak/>
        <w:t>The Government of Mauritania in its 2013 report to the CEDAW Committee acknowledged the unequal nationality rights between women and men noting that with respect to children born abroad to a Mauritanian mother and a non-Mauritanian father, under Article 13 of the Nationality Code, Mauritanian nationality is not acquired by the child automatically, but on request. Moreover, Mauritania also acknowledged that non-Mauritanian husbands of Mauritanian women acquire Mauritanian nationality only after 10 years of marriage.</w:t>
      </w:r>
      <w:r w:rsidRPr="000B3F10">
        <w:rPr>
          <w:rStyle w:val="FootnoteReference"/>
          <w:rFonts w:asciiTheme="minorBidi" w:eastAsia="Corbel" w:hAnsiTheme="minorBidi" w:cstheme="minorBidi"/>
          <w:sz w:val="20"/>
          <w:szCs w:val="20"/>
        </w:rPr>
        <w:footnoteReference w:id="19"/>
      </w:r>
    </w:p>
    <w:p w14:paraId="7A8F907D" w14:textId="70A6FC66" w:rsidR="009D3E28" w:rsidRDefault="009D3E28" w:rsidP="009D3E28">
      <w:pPr>
        <w:jc w:val="both"/>
        <w:rPr>
          <w:rFonts w:asciiTheme="minorBidi" w:hAnsiTheme="minorBidi" w:cstheme="minorBidi"/>
          <w:sz w:val="20"/>
          <w:szCs w:val="20"/>
        </w:rPr>
      </w:pPr>
    </w:p>
    <w:p w14:paraId="512DD1F6" w14:textId="45B59E38" w:rsidR="009D3E28" w:rsidRDefault="009D3E28" w:rsidP="009D3E28">
      <w:pPr>
        <w:jc w:val="center"/>
        <w:rPr>
          <w:rFonts w:asciiTheme="minorBidi" w:hAnsiTheme="minorBidi" w:cstheme="minorBidi"/>
          <w:sz w:val="20"/>
          <w:szCs w:val="20"/>
        </w:rPr>
      </w:pPr>
      <w:r>
        <w:rPr>
          <w:rFonts w:ascii="Arial" w:hAnsi="Arial" w:cs="Arial"/>
          <w:noProof/>
          <w:sz w:val="20"/>
          <w:szCs w:val="20"/>
        </w:rPr>
        <w:drawing>
          <wp:inline distT="0" distB="0" distL="0" distR="0" wp14:anchorId="5B696460" wp14:editId="16F22ED3">
            <wp:extent cx="4688887" cy="276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10657" cy="2899546"/>
                    </a:xfrm>
                    <a:prstGeom prst="rect">
                      <a:avLst/>
                    </a:prstGeom>
                  </pic:spPr>
                </pic:pic>
              </a:graphicData>
            </a:graphic>
          </wp:inline>
        </w:drawing>
      </w:r>
    </w:p>
    <w:p w14:paraId="1A32D624" w14:textId="3DF9AA4B" w:rsidR="009D3E28" w:rsidRPr="000B3F10" w:rsidRDefault="009D3E28" w:rsidP="0028588C">
      <w:pPr>
        <w:rPr>
          <w:rFonts w:asciiTheme="minorBidi" w:hAnsiTheme="minorBidi" w:cstheme="minorBidi"/>
          <w:sz w:val="20"/>
          <w:szCs w:val="20"/>
        </w:rPr>
      </w:pPr>
    </w:p>
    <w:p w14:paraId="27707A3D" w14:textId="630BD7F3" w:rsidR="009D3E28" w:rsidRDefault="0028588C" w:rsidP="0028588C">
      <w:pPr>
        <w:jc w:val="center"/>
        <w:rPr>
          <w:rFonts w:asciiTheme="minorBidi" w:hAnsiTheme="minorBidi" w:cstheme="minorBidi"/>
          <w:sz w:val="20"/>
          <w:szCs w:val="20"/>
          <w:highlight w:val="white"/>
        </w:rPr>
      </w:pPr>
      <w:r>
        <w:rPr>
          <w:rFonts w:ascii="Arial" w:hAnsi="Arial" w:cs="Arial"/>
          <w:noProof/>
          <w:sz w:val="20"/>
          <w:szCs w:val="20"/>
        </w:rPr>
        <w:drawing>
          <wp:inline distT="0" distB="0" distL="0" distR="0" wp14:anchorId="02FE477E" wp14:editId="700961E5">
            <wp:extent cx="5124893" cy="288304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76292" cy="2911955"/>
                    </a:xfrm>
                    <a:prstGeom prst="rect">
                      <a:avLst/>
                    </a:prstGeom>
                  </pic:spPr>
                </pic:pic>
              </a:graphicData>
            </a:graphic>
          </wp:inline>
        </w:drawing>
      </w:r>
    </w:p>
    <w:p w14:paraId="5868827B" w14:textId="77777777" w:rsidR="0028588C" w:rsidRPr="000B3F10" w:rsidRDefault="0028588C" w:rsidP="0028588C">
      <w:pPr>
        <w:jc w:val="center"/>
        <w:rPr>
          <w:rFonts w:asciiTheme="minorBidi" w:hAnsiTheme="minorBidi" w:cstheme="minorBidi"/>
          <w:sz w:val="20"/>
          <w:szCs w:val="20"/>
          <w:highlight w:val="white"/>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9D3E28" w:rsidRPr="000B3F10" w14:paraId="3B7EF722" w14:textId="77777777" w:rsidTr="00C50F49">
        <w:trPr>
          <w:trHeight w:val="735"/>
        </w:trPr>
        <w:tc>
          <w:tcPr>
            <w:tcW w:w="8903" w:type="dxa"/>
            <w:shd w:val="clear" w:color="auto" w:fill="D9D9D9" w:themeFill="background1" w:themeFillShade="D9"/>
            <w:tcMar>
              <w:top w:w="100" w:type="dxa"/>
              <w:left w:w="100" w:type="dxa"/>
              <w:bottom w:w="100" w:type="dxa"/>
              <w:right w:w="100" w:type="dxa"/>
            </w:tcMar>
          </w:tcPr>
          <w:p w14:paraId="210E309B" w14:textId="77777777" w:rsidR="009D3E28" w:rsidRPr="000B3F10" w:rsidRDefault="009D3E28" w:rsidP="00EC6E8F">
            <w:pPr>
              <w:widowControl w:val="0"/>
              <w:spacing w:before="240" w:after="240"/>
              <w:jc w:val="both"/>
              <w:rPr>
                <w:rFonts w:asciiTheme="minorBidi" w:hAnsiTheme="minorBidi" w:cstheme="minorBidi"/>
                <w:b/>
                <w:sz w:val="20"/>
                <w:szCs w:val="20"/>
                <w:u w:val="single"/>
              </w:rPr>
            </w:pPr>
            <w:r w:rsidRPr="000B3F10">
              <w:rPr>
                <w:rFonts w:asciiTheme="minorBidi" w:hAnsiTheme="minorBidi" w:cstheme="minorBidi"/>
                <w:b/>
                <w:sz w:val="20"/>
                <w:szCs w:val="20"/>
                <w:u w:val="single"/>
              </w:rPr>
              <w:t>RECOMMENDATIONS</w:t>
            </w:r>
          </w:p>
          <w:p w14:paraId="386B77DC" w14:textId="77777777" w:rsidR="009D3E28" w:rsidRPr="000B3F10" w:rsidRDefault="009D3E28" w:rsidP="00EC6E8F">
            <w:pPr>
              <w:jc w:val="both"/>
              <w:rPr>
                <w:rFonts w:asciiTheme="minorBidi" w:hAnsiTheme="minorBidi" w:cstheme="minorBidi"/>
                <w:sz w:val="20"/>
                <w:szCs w:val="20"/>
              </w:rPr>
            </w:pPr>
            <w:r w:rsidRPr="000B3F10">
              <w:rPr>
                <w:rFonts w:asciiTheme="minorBidi" w:hAnsiTheme="minorBidi" w:cstheme="minorBidi"/>
                <w:b/>
                <w:bCs/>
                <w:sz w:val="20"/>
                <w:szCs w:val="20"/>
              </w:rPr>
              <w:t>We recommend the CEDAW Committee urge the State party to:</w:t>
            </w:r>
          </w:p>
          <w:p w14:paraId="0DE20CB0" w14:textId="77777777" w:rsidR="009D3E28" w:rsidRPr="000B3F10" w:rsidRDefault="009D3E28" w:rsidP="00EC6E8F">
            <w:pPr>
              <w:pStyle w:val="ListParagraph"/>
              <w:spacing w:after="160" w:line="259" w:lineRule="auto"/>
              <w:jc w:val="both"/>
              <w:rPr>
                <w:rFonts w:asciiTheme="minorBidi" w:eastAsiaTheme="minorEastAsia" w:hAnsiTheme="minorBidi" w:cstheme="minorBidi"/>
                <w:sz w:val="20"/>
                <w:szCs w:val="20"/>
              </w:rPr>
            </w:pPr>
          </w:p>
          <w:p w14:paraId="340D86A4" w14:textId="77777777" w:rsidR="009D3E28" w:rsidRPr="000B3F10" w:rsidRDefault="009D3E28" w:rsidP="009D3E28">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Amend the Personal Status Code to grant equal rights to both the mother and father for guardianship and custody of children, to be determined according to the best interests of the child.</w:t>
            </w:r>
          </w:p>
          <w:p w14:paraId="05F31F18" w14:textId="77777777" w:rsidR="009D3E28" w:rsidRPr="000B3F10" w:rsidRDefault="009D3E28" w:rsidP="00EC6E8F">
            <w:pPr>
              <w:pStyle w:val="ListParagraph"/>
              <w:spacing w:after="160" w:line="259" w:lineRule="auto"/>
              <w:jc w:val="both"/>
              <w:rPr>
                <w:rFonts w:asciiTheme="minorBidi" w:eastAsiaTheme="minorEastAsia" w:hAnsiTheme="minorBidi" w:cstheme="minorBidi"/>
                <w:sz w:val="20"/>
                <w:szCs w:val="20"/>
              </w:rPr>
            </w:pPr>
          </w:p>
          <w:p w14:paraId="5AFC8334" w14:textId="77777777" w:rsidR="009D3E28" w:rsidRPr="000B3F10" w:rsidRDefault="009D3E28" w:rsidP="009D3E28">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 xml:space="preserve">Amend the Personal Status Code to </w:t>
            </w:r>
            <w:r w:rsidRPr="000B3F10">
              <w:rPr>
                <w:rFonts w:asciiTheme="minorBidi" w:hAnsiTheme="minorBidi" w:cstheme="minorBidi"/>
                <w:sz w:val="20"/>
                <w:szCs w:val="20"/>
              </w:rPr>
              <w:t xml:space="preserve">not deprive the woman of the right of custody upon remarriage. </w:t>
            </w:r>
          </w:p>
          <w:p w14:paraId="24425788" w14:textId="77777777" w:rsidR="009D3E28" w:rsidRPr="000B3F10" w:rsidRDefault="009D3E28" w:rsidP="00EC6E8F">
            <w:pPr>
              <w:pStyle w:val="ListParagraph"/>
              <w:rPr>
                <w:rFonts w:asciiTheme="minorBidi" w:eastAsiaTheme="minorEastAsia" w:hAnsiTheme="minorBidi" w:cstheme="minorBidi"/>
                <w:sz w:val="20"/>
                <w:szCs w:val="20"/>
              </w:rPr>
            </w:pPr>
          </w:p>
          <w:p w14:paraId="2024B6A1" w14:textId="77777777" w:rsidR="009D3E28" w:rsidRPr="000B3F10" w:rsidRDefault="009D3E28" w:rsidP="009D3E28">
            <w:pPr>
              <w:pStyle w:val="ListParagraph"/>
              <w:numPr>
                <w:ilvl w:val="0"/>
                <w:numId w:val="15"/>
              </w:numPr>
              <w:spacing w:after="160" w:line="259" w:lineRule="auto"/>
              <w:jc w:val="both"/>
              <w:rPr>
                <w:rFonts w:asciiTheme="minorBidi" w:eastAsiaTheme="minorEastAsia" w:hAnsiTheme="minorBidi" w:cstheme="minorBidi"/>
                <w:sz w:val="20"/>
                <w:szCs w:val="20"/>
              </w:rPr>
            </w:pPr>
            <w:r w:rsidRPr="000B3F10">
              <w:rPr>
                <w:rFonts w:asciiTheme="minorBidi" w:eastAsiaTheme="minorEastAsia" w:hAnsiTheme="minorBidi" w:cstheme="minorBidi"/>
                <w:sz w:val="20"/>
                <w:szCs w:val="20"/>
              </w:rPr>
              <w:t>Grant equal nationality rights to both men and women with respect to passing citizenship to one’s spouse or children.</w:t>
            </w:r>
          </w:p>
        </w:tc>
      </w:tr>
      <w:bookmarkEnd w:id="11"/>
    </w:tbl>
    <w:p w14:paraId="5F66677C" w14:textId="375D9500" w:rsidR="00E26F24" w:rsidRDefault="00E26F24" w:rsidP="00E26F24"/>
    <w:sectPr w:rsidR="00E26F24" w:rsidSect="008077FA">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90A84" w14:textId="77777777" w:rsidR="00245883" w:rsidRDefault="00245883" w:rsidP="00E26F24">
      <w:r>
        <w:separator/>
      </w:r>
    </w:p>
  </w:endnote>
  <w:endnote w:type="continuationSeparator" w:id="0">
    <w:p w14:paraId="1508FE10" w14:textId="77777777" w:rsidR="00245883" w:rsidRDefault="00245883" w:rsidP="00E2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8903986"/>
      <w:docPartObj>
        <w:docPartGallery w:val="Page Numbers (Bottom of Page)"/>
        <w:docPartUnique/>
      </w:docPartObj>
    </w:sdtPr>
    <w:sdtContent>
      <w:p w14:paraId="1E8836B4" w14:textId="7F199850" w:rsidR="00F97BAE" w:rsidRDefault="00F97BAE" w:rsidP="00D756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1A4ACD2" w14:textId="56087BF5" w:rsidR="00E26F24" w:rsidRDefault="00E26F24" w:rsidP="00F97BAE">
    <w:pPr>
      <w:pStyle w:val="Normal1"/>
      <w:spacing w:before="0" w:after="0" w:line="240" w:lineRule="auto"/>
      <w:ind w:right="360"/>
      <w:jc w:val="right"/>
    </w:pPr>
  </w:p>
  <w:p w14:paraId="1586B15C" w14:textId="77777777" w:rsidR="00E26F24" w:rsidRDefault="00E26F24">
    <w:pPr>
      <w:pStyle w:val="Normal1"/>
      <w:spacing w:before="0" w:after="720" w:line="240" w:lineRule="auto"/>
      <w:ind w:right="360"/>
    </w:pPr>
  </w:p>
  <w:p w14:paraId="6B4ECB52" w14:textId="77777777" w:rsidR="00E26F24" w:rsidRDefault="00E26F24">
    <w:pPr>
      <w:pStyle w:val="Norm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5208691"/>
      <w:docPartObj>
        <w:docPartGallery w:val="Page Numbers (Bottom of Page)"/>
        <w:docPartUnique/>
      </w:docPartObj>
    </w:sdtPr>
    <w:sdtContent>
      <w:p w14:paraId="7E55317E" w14:textId="22BF908F" w:rsidR="00F97BAE" w:rsidRDefault="00F97BAE" w:rsidP="00D756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93BC76" w14:textId="77777777" w:rsidR="00E26F24" w:rsidRDefault="00E26F24" w:rsidP="00F97BAE">
    <w:pPr>
      <w:pStyle w:val="Normal1"/>
      <w:spacing w:before="0" w:after="0" w:line="240" w:lineRule="auto"/>
      <w:ind w:right="360"/>
    </w:pPr>
  </w:p>
  <w:p w14:paraId="6BB1B0D0" w14:textId="6C75CD63" w:rsidR="00E26F24" w:rsidRPr="00034A52" w:rsidRDefault="00E26F24" w:rsidP="0008058B">
    <w:pPr>
      <w:pStyle w:val="Normal1"/>
      <w:spacing w:before="0" w:after="0" w:line="240" w:lineRule="auto"/>
      <w:jc w:val="right"/>
      <w:rPr>
        <w:rFonts w:ascii="Arial" w:eastAsia="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22F1E" w14:textId="77777777" w:rsidR="00245883" w:rsidRDefault="00245883" w:rsidP="00E26F24">
      <w:r>
        <w:separator/>
      </w:r>
    </w:p>
  </w:footnote>
  <w:footnote w:type="continuationSeparator" w:id="0">
    <w:p w14:paraId="3135BCEC" w14:textId="77777777" w:rsidR="00245883" w:rsidRDefault="00245883" w:rsidP="00E26F24">
      <w:r>
        <w:continuationSeparator/>
      </w:r>
    </w:p>
  </w:footnote>
  <w:footnote w:id="1">
    <w:p w14:paraId="4FDD652D" w14:textId="436CCDF6" w:rsidR="00BA6281" w:rsidRPr="002F5D7B" w:rsidRDefault="00BA6281" w:rsidP="00BA6281">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Personal Status Code (2001)</w:t>
      </w:r>
      <w:r w:rsidR="00936741" w:rsidRPr="002F5D7B">
        <w:rPr>
          <w:rFonts w:asciiTheme="minorBidi" w:hAnsiTheme="minorBidi" w:cstheme="minorBidi"/>
          <w:sz w:val="18"/>
          <w:szCs w:val="18"/>
        </w:rPr>
        <w:t>.</w:t>
      </w:r>
    </w:p>
  </w:footnote>
  <w:footnote w:id="2">
    <w:p w14:paraId="4F50D682" w14:textId="28401226" w:rsidR="00936741" w:rsidRPr="002F5D7B" w:rsidRDefault="00BA6281" w:rsidP="00936741">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 311 of the Personal Status Code (2001)</w:t>
      </w:r>
      <w:r w:rsidR="00936741" w:rsidRPr="002F5D7B">
        <w:rPr>
          <w:rFonts w:asciiTheme="minorBidi" w:hAnsiTheme="minorBidi" w:cstheme="minorBidi"/>
          <w:sz w:val="18"/>
          <w:szCs w:val="18"/>
        </w:rPr>
        <w:t xml:space="preserve">. </w:t>
      </w:r>
    </w:p>
  </w:footnote>
  <w:footnote w:id="3">
    <w:p w14:paraId="5DBFE141" w14:textId="77777777" w:rsidR="00BA6281" w:rsidRPr="002F5D7B" w:rsidRDefault="00BA6281" w:rsidP="00BA6281">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Ratification Status, CEDAW, </w:t>
      </w:r>
      <w:r w:rsidRPr="002F5D7B">
        <w:rPr>
          <w:rFonts w:asciiTheme="minorBidi" w:hAnsiTheme="minorBidi" w:cstheme="minorBidi"/>
          <w:i/>
          <w:iCs/>
          <w:sz w:val="18"/>
          <w:szCs w:val="18"/>
        </w:rPr>
        <w:t>UN.org</w:t>
      </w:r>
      <w:r w:rsidRPr="002F5D7B">
        <w:rPr>
          <w:rFonts w:asciiTheme="minorBidi" w:hAnsiTheme="minorBidi" w:cstheme="minorBidi"/>
          <w:sz w:val="18"/>
          <w:szCs w:val="18"/>
        </w:rPr>
        <w:t xml:space="preserve">, </w:t>
      </w:r>
      <w:hyperlink r:id="rId1" w:history="1">
        <w:r w:rsidRPr="002F5D7B">
          <w:rPr>
            <w:rStyle w:val="Hyperlink"/>
            <w:rFonts w:asciiTheme="minorBidi" w:hAnsiTheme="minorBidi" w:cstheme="minorBidi"/>
            <w:sz w:val="18"/>
            <w:szCs w:val="18"/>
          </w:rPr>
          <w:t>https://treaties.un.org/pages/ViewDetails.aspx?src=IND&amp;mtdsg_no=IV-8&amp;chapter=4&amp;clang=_en</w:t>
        </w:r>
      </w:hyperlink>
    </w:p>
    <w:p w14:paraId="25315FD8" w14:textId="77777777" w:rsidR="00BA6281" w:rsidRPr="002F5D7B" w:rsidRDefault="00BA6281" w:rsidP="00BA6281">
      <w:pPr>
        <w:pStyle w:val="FootnoteText"/>
        <w:rPr>
          <w:rFonts w:asciiTheme="minorBidi" w:hAnsiTheme="minorBidi" w:cstheme="minorBidi"/>
          <w:sz w:val="18"/>
          <w:szCs w:val="18"/>
        </w:rPr>
      </w:pPr>
    </w:p>
  </w:footnote>
  <w:footnote w:id="4">
    <w:p w14:paraId="5EDA141A" w14:textId="6F421B7C" w:rsidR="00F97BAE" w:rsidRPr="002F5D7B" w:rsidRDefault="0033252E" w:rsidP="00F97BA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 1 of Mauritania’s Constitution (1991), </w:t>
      </w:r>
      <w:hyperlink r:id="rId2" w:history="1">
        <w:r w:rsidR="00F97BAE" w:rsidRPr="002F5D7B">
          <w:rPr>
            <w:rStyle w:val="Hyperlink"/>
            <w:rFonts w:asciiTheme="minorBidi" w:hAnsiTheme="minorBidi" w:cstheme="minorBidi"/>
            <w:sz w:val="18"/>
            <w:szCs w:val="18"/>
          </w:rPr>
          <w:t>https://www.constituteproject.org/constitution/Mauritania_2012.pdf</w:t>
        </w:r>
      </w:hyperlink>
    </w:p>
  </w:footnote>
  <w:footnote w:id="5">
    <w:p w14:paraId="5D1B74CA" w14:textId="504D946E" w:rsidR="00F97BAE" w:rsidRPr="002F5D7B" w:rsidRDefault="0033252E" w:rsidP="00F97BA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Preamble; Article 16 of Mauritania’s Constitution (1991)</w:t>
      </w:r>
      <w:r w:rsidR="00811416" w:rsidRPr="002F5D7B">
        <w:rPr>
          <w:rFonts w:asciiTheme="minorBidi" w:hAnsiTheme="minorBidi" w:cstheme="minorBidi"/>
          <w:sz w:val="18"/>
          <w:szCs w:val="18"/>
        </w:rPr>
        <w:t>.</w:t>
      </w:r>
    </w:p>
  </w:footnote>
  <w:footnote w:id="6">
    <w:p w14:paraId="761115A6" w14:textId="77777777" w:rsidR="0033252E" w:rsidRPr="002F5D7B" w:rsidRDefault="0033252E" w:rsidP="0033252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Articles 1, 55, 56 of the Personal Status Code (2001), </w:t>
      </w:r>
      <w:hyperlink r:id="rId3" w:history="1">
        <w:r w:rsidRPr="002F5D7B">
          <w:rPr>
            <w:rStyle w:val="Hyperlink"/>
            <w:rFonts w:asciiTheme="minorBidi" w:hAnsiTheme="minorBidi" w:cstheme="minorBidi"/>
            <w:sz w:val="18"/>
            <w:szCs w:val="18"/>
          </w:rPr>
          <w:t>http://www.justice.gov.mr//IMG/pdf/statutpersonnelarabe.pdf</w:t>
        </w:r>
      </w:hyperlink>
    </w:p>
  </w:footnote>
  <w:footnote w:id="7">
    <w:p w14:paraId="740279AB" w14:textId="77777777" w:rsidR="0033252E" w:rsidRPr="002F5D7B" w:rsidRDefault="0033252E" w:rsidP="0033252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Musawah Country Table: Mauritania (2017), </w:t>
      </w:r>
      <w:hyperlink r:id="rId4" w:history="1">
        <w:r w:rsidRPr="002F5D7B">
          <w:rPr>
            <w:rStyle w:val="Hyperlink"/>
            <w:rFonts w:asciiTheme="minorBidi" w:hAnsiTheme="minorBidi" w:cstheme="minorBidi"/>
            <w:sz w:val="18"/>
            <w:szCs w:val="18"/>
          </w:rPr>
          <w:t>https://www.musawah.org/resources/country-table-mauritania/</w:t>
        </w:r>
      </w:hyperlink>
    </w:p>
  </w:footnote>
  <w:footnote w:id="8">
    <w:p w14:paraId="6E8EB8AB" w14:textId="63A03AFF" w:rsidR="00F97BAE" w:rsidRPr="002F5D7B" w:rsidRDefault="00D164DD" w:rsidP="00F97BA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 57 of the Personal Status Code (2001)</w:t>
      </w:r>
      <w:r w:rsidR="00811416" w:rsidRPr="002F5D7B">
        <w:rPr>
          <w:rFonts w:asciiTheme="minorBidi" w:hAnsiTheme="minorBidi" w:cstheme="minorBidi"/>
          <w:sz w:val="18"/>
          <w:szCs w:val="18"/>
        </w:rPr>
        <w:t>.</w:t>
      </w:r>
    </w:p>
  </w:footnote>
  <w:footnote w:id="9">
    <w:p w14:paraId="7A381E21" w14:textId="1C9D8FBE" w:rsidR="00F97BAE" w:rsidRPr="002F5D7B" w:rsidRDefault="00D164DD" w:rsidP="00F97BA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 58 of the Personal Status Code (2001)</w:t>
      </w:r>
      <w:r w:rsidR="00811416" w:rsidRPr="002F5D7B">
        <w:rPr>
          <w:rFonts w:asciiTheme="minorBidi" w:hAnsiTheme="minorBidi" w:cstheme="minorBidi"/>
          <w:sz w:val="18"/>
          <w:szCs w:val="18"/>
        </w:rPr>
        <w:t>.</w:t>
      </w:r>
    </w:p>
  </w:footnote>
  <w:footnote w:id="10">
    <w:p w14:paraId="1E028EBB" w14:textId="4B4429AF" w:rsidR="0033252E" w:rsidRPr="002F5D7B" w:rsidRDefault="0033252E" w:rsidP="0033252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 9 of the Personal Status Code (2001)</w:t>
      </w:r>
      <w:r w:rsidR="00811416" w:rsidRPr="002F5D7B">
        <w:rPr>
          <w:rFonts w:asciiTheme="minorBidi" w:hAnsiTheme="minorBidi" w:cstheme="minorBidi"/>
          <w:sz w:val="18"/>
          <w:szCs w:val="18"/>
        </w:rPr>
        <w:t>.</w:t>
      </w:r>
    </w:p>
  </w:footnote>
  <w:footnote w:id="11">
    <w:p w14:paraId="632A6E47" w14:textId="110003BB" w:rsidR="0033252E" w:rsidRPr="002F5D7B" w:rsidRDefault="0033252E" w:rsidP="0033252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Articles 8, 13 of the Personal Status Code (2001)</w:t>
      </w:r>
      <w:r w:rsidR="00811416" w:rsidRPr="002F5D7B">
        <w:rPr>
          <w:rFonts w:asciiTheme="minorBidi" w:hAnsiTheme="minorBidi" w:cstheme="minorBidi"/>
          <w:sz w:val="18"/>
          <w:szCs w:val="18"/>
        </w:rPr>
        <w:t>.</w:t>
      </w:r>
    </w:p>
  </w:footnote>
  <w:footnote w:id="12">
    <w:p w14:paraId="33909682" w14:textId="6A4227E8" w:rsidR="007C55CD" w:rsidRPr="002F5D7B" w:rsidRDefault="007C55CD" w:rsidP="007C55CD">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 45 of the Personal Status Code (2001)</w:t>
      </w:r>
    </w:p>
  </w:footnote>
  <w:footnote w:id="13">
    <w:p w14:paraId="4CEAC8E0" w14:textId="2ECF9CA2" w:rsidR="007C55CD" w:rsidRPr="002F5D7B" w:rsidRDefault="007C55CD" w:rsidP="007C55CD">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Articles 28-29 of the Personal Status Code (2001)</w:t>
      </w:r>
    </w:p>
  </w:footnote>
  <w:footnote w:id="14">
    <w:p w14:paraId="58676D43" w14:textId="17A14690" w:rsidR="009D3E28" w:rsidRPr="002F5D7B" w:rsidRDefault="009D3E28" w:rsidP="009D3E28">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 123, 126 of the Personal Status Code (2001)</w:t>
      </w:r>
      <w:r w:rsidR="00F97BAE" w:rsidRPr="002F5D7B">
        <w:rPr>
          <w:rFonts w:asciiTheme="minorBidi" w:hAnsiTheme="minorBidi" w:cstheme="minorBidi"/>
          <w:sz w:val="18"/>
          <w:szCs w:val="18"/>
        </w:rPr>
        <w:t>.</w:t>
      </w:r>
    </w:p>
  </w:footnote>
  <w:footnote w:id="15">
    <w:p w14:paraId="12D78B6B" w14:textId="211CB198" w:rsidR="009D3E28" w:rsidRPr="002F5D7B" w:rsidRDefault="009D3E28" w:rsidP="009D3E28">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Articles 122, 129-130 of the Personal Status Code (2001)</w:t>
      </w:r>
      <w:r w:rsidR="00F97BAE" w:rsidRPr="002F5D7B">
        <w:rPr>
          <w:rFonts w:asciiTheme="minorBidi" w:hAnsiTheme="minorBidi" w:cstheme="minorBidi"/>
          <w:sz w:val="18"/>
          <w:szCs w:val="18"/>
        </w:rPr>
        <w:t>.</w:t>
      </w:r>
    </w:p>
  </w:footnote>
  <w:footnote w:id="16">
    <w:p w14:paraId="720C46CF" w14:textId="594DC592" w:rsidR="009D3E28" w:rsidRPr="002F5D7B" w:rsidRDefault="009D3E28" w:rsidP="009D3E28">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Articles 133, 178 of the Personal Status Code (2001)</w:t>
      </w:r>
      <w:r w:rsidR="00F97BAE" w:rsidRPr="002F5D7B">
        <w:rPr>
          <w:rFonts w:asciiTheme="minorBidi" w:hAnsiTheme="minorBidi" w:cstheme="minorBidi"/>
          <w:sz w:val="18"/>
          <w:szCs w:val="18"/>
        </w:rPr>
        <w:t>.</w:t>
      </w:r>
    </w:p>
  </w:footnote>
  <w:footnote w:id="17">
    <w:p w14:paraId="42D9196B" w14:textId="1DB10773" w:rsidR="00F97BAE" w:rsidRPr="002F5D7B" w:rsidRDefault="009D3E28" w:rsidP="00F97BA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 16 of the Nationality Code (1961), </w:t>
      </w:r>
      <w:hyperlink r:id="rId5" w:history="1">
        <w:r w:rsidR="00F97BAE" w:rsidRPr="002F5D7B">
          <w:rPr>
            <w:rStyle w:val="Hyperlink"/>
            <w:rFonts w:asciiTheme="minorBidi" w:hAnsiTheme="minorBidi" w:cstheme="minorBidi"/>
            <w:sz w:val="18"/>
            <w:szCs w:val="18"/>
          </w:rPr>
          <w:t>http://www.refworld.org/country,,,,MRT,,3ae6b5304,0.html</w:t>
        </w:r>
      </w:hyperlink>
    </w:p>
  </w:footnote>
  <w:footnote w:id="18">
    <w:p w14:paraId="3B5B453A" w14:textId="054E4EEF" w:rsidR="00F97BAE" w:rsidRPr="002F5D7B" w:rsidRDefault="009D3E28" w:rsidP="00F97BA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Articles 32, 72 of the Nationality Code (1961)</w:t>
      </w:r>
      <w:r w:rsidR="00F97BAE" w:rsidRPr="002F5D7B">
        <w:rPr>
          <w:rFonts w:asciiTheme="minorBidi" w:hAnsiTheme="minorBidi" w:cstheme="minorBidi"/>
          <w:sz w:val="18"/>
          <w:szCs w:val="18"/>
        </w:rPr>
        <w:t xml:space="preserve">. </w:t>
      </w:r>
    </w:p>
  </w:footnote>
  <w:footnote w:id="19">
    <w:p w14:paraId="299DB64B" w14:textId="22672CEC" w:rsidR="00F97BAE" w:rsidRPr="002F5D7B" w:rsidRDefault="009D3E28" w:rsidP="00F97BAE">
      <w:pPr>
        <w:pStyle w:val="FootnoteText"/>
        <w:rPr>
          <w:rFonts w:asciiTheme="minorBidi" w:hAnsiTheme="minorBidi" w:cstheme="minorBidi"/>
          <w:sz w:val="18"/>
          <w:szCs w:val="18"/>
        </w:rPr>
      </w:pPr>
      <w:r w:rsidRPr="002F5D7B">
        <w:rPr>
          <w:rStyle w:val="FootnoteReference"/>
          <w:rFonts w:asciiTheme="minorBidi" w:eastAsia="Corbel" w:hAnsiTheme="minorBidi" w:cstheme="minorBidi"/>
          <w:sz w:val="18"/>
          <w:szCs w:val="18"/>
        </w:rPr>
        <w:footnoteRef/>
      </w:r>
      <w:r w:rsidRPr="002F5D7B">
        <w:rPr>
          <w:rFonts w:asciiTheme="minorBidi" w:hAnsiTheme="minorBidi" w:cstheme="minorBidi"/>
          <w:sz w:val="18"/>
          <w:szCs w:val="18"/>
        </w:rPr>
        <w:t xml:space="preserve"> Mauritania State party report, U.N. Doc. CEDAW/C/MRT/2-3 (2013), paras. 77, 78, </w:t>
      </w:r>
      <w:hyperlink r:id="rId6" w:history="1">
        <w:r w:rsidR="00F97BAE" w:rsidRPr="002F5D7B">
          <w:rPr>
            <w:rStyle w:val="Hyperlink"/>
            <w:rFonts w:asciiTheme="minorBidi" w:hAnsiTheme="minorBidi" w:cstheme="minorBidi"/>
            <w:sz w:val="18"/>
            <w:szCs w:val="18"/>
          </w:rPr>
          <w:t>http://www.ohchr.org/en/hrbodies/cedaw/pages/cedawindex.aspx</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57A"/>
    <w:multiLevelType w:val="multilevel"/>
    <w:tmpl w:val="38B294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58E5903"/>
    <w:multiLevelType w:val="multilevel"/>
    <w:tmpl w:val="1842F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B94F5A"/>
    <w:multiLevelType w:val="hybridMultilevel"/>
    <w:tmpl w:val="FA60BA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90073"/>
    <w:multiLevelType w:val="multilevel"/>
    <w:tmpl w:val="F7922DC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16C5284E"/>
    <w:multiLevelType w:val="hybridMultilevel"/>
    <w:tmpl w:val="CD9E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2242D3"/>
    <w:multiLevelType w:val="hybridMultilevel"/>
    <w:tmpl w:val="BEDCB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D6D89"/>
    <w:multiLevelType w:val="hybridMultilevel"/>
    <w:tmpl w:val="C88E7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13390A"/>
    <w:multiLevelType w:val="multilevel"/>
    <w:tmpl w:val="E87225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DA8512A"/>
    <w:multiLevelType w:val="multilevel"/>
    <w:tmpl w:val="0F603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D26FC8"/>
    <w:multiLevelType w:val="hybridMultilevel"/>
    <w:tmpl w:val="5094ADD4"/>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C01596"/>
    <w:multiLevelType w:val="hybridMultilevel"/>
    <w:tmpl w:val="4F12E08C"/>
    <w:lvl w:ilvl="0" w:tplc="498CF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A72DCC"/>
    <w:multiLevelType w:val="multilevel"/>
    <w:tmpl w:val="3BC4576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193F8A"/>
    <w:multiLevelType w:val="hybridMultilevel"/>
    <w:tmpl w:val="26666A78"/>
    <w:lvl w:ilvl="0" w:tplc="57BC5B04">
      <w:start w:val="1"/>
      <w:numFmt w:val="bullet"/>
      <w:lvlText w:val=""/>
      <w:lvlJc w:val="left"/>
      <w:pPr>
        <w:ind w:left="720" w:hanging="360"/>
      </w:pPr>
      <w:rPr>
        <w:rFonts w:ascii="Symbol" w:hAnsi="Symbol" w:hint="default"/>
      </w:rPr>
    </w:lvl>
    <w:lvl w:ilvl="1" w:tplc="29923B50">
      <w:start w:val="1"/>
      <w:numFmt w:val="bullet"/>
      <w:lvlText w:val="o"/>
      <w:lvlJc w:val="left"/>
      <w:pPr>
        <w:ind w:left="1440" w:hanging="360"/>
      </w:pPr>
      <w:rPr>
        <w:rFonts w:ascii="Courier New" w:hAnsi="Courier New" w:hint="default"/>
      </w:rPr>
    </w:lvl>
    <w:lvl w:ilvl="2" w:tplc="B9EC1034">
      <w:start w:val="1"/>
      <w:numFmt w:val="bullet"/>
      <w:lvlText w:val=""/>
      <w:lvlJc w:val="left"/>
      <w:pPr>
        <w:ind w:left="2160" w:hanging="360"/>
      </w:pPr>
      <w:rPr>
        <w:rFonts w:ascii="Wingdings" w:hAnsi="Wingdings" w:hint="default"/>
      </w:rPr>
    </w:lvl>
    <w:lvl w:ilvl="3" w:tplc="DB027EC8">
      <w:start w:val="1"/>
      <w:numFmt w:val="bullet"/>
      <w:lvlText w:val=""/>
      <w:lvlJc w:val="left"/>
      <w:pPr>
        <w:ind w:left="2880" w:hanging="360"/>
      </w:pPr>
      <w:rPr>
        <w:rFonts w:ascii="Symbol" w:hAnsi="Symbol" w:hint="default"/>
      </w:rPr>
    </w:lvl>
    <w:lvl w:ilvl="4" w:tplc="462446AE">
      <w:start w:val="1"/>
      <w:numFmt w:val="bullet"/>
      <w:lvlText w:val="o"/>
      <w:lvlJc w:val="left"/>
      <w:pPr>
        <w:ind w:left="3600" w:hanging="360"/>
      </w:pPr>
      <w:rPr>
        <w:rFonts w:ascii="Courier New" w:hAnsi="Courier New" w:hint="default"/>
      </w:rPr>
    </w:lvl>
    <w:lvl w:ilvl="5" w:tplc="F39E7E96">
      <w:start w:val="1"/>
      <w:numFmt w:val="bullet"/>
      <w:lvlText w:val=""/>
      <w:lvlJc w:val="left"/>
      <w:pPr>
        <w:ind w:left="4320" w:hanging="360"/>
      </w:pPr>
      <w:rPr>
        <w:rFonts w:ascii="Wingdings" w:hAnsi="Wingdings" w:hint="default"/>
      </w:rPr>
    </w:lvl>
    <w:lvl w:ilvl="6" w:tplc="B128D0E8">
      <w:start w:val="1"/>
      <w:numFmt w:val="bullet"/>
      <w:lvlText w:val=""/>
      <w:lvlJc w:val="left"/>
      <w:pPr>
        <w:ind w:left="5040" w:hanging="360"/>
      </w:pPr>
      <w:rPr>
        <w:rFonts w:ascii="Symbol" w:hAnsi="Symbol" w:hint="default"/>
      </w:rPr>
    </w:lvl>
    <w:lvl w:ilvl="7" w:tplc="EBB2D18A">
      <w:start w:val="1"/>
      <w:numFmt w:val="bullet"/>
      <w:lvlText w:val="o"/>
      <w:lvlJc w:val="left"/>
      <w:pPr>
        <w:ind w:left="5760" w:hanging="360"/>
      </w:pPr>
      <w:rPr>
        <w:rFonts w:ascii="Courier New" w:hAnsi="Courier New" w:hint="default"/>
      </w:rPr>
    </w:lvl>
    <w:lvl w:ilvl="8" w:tplc="4E5816B8">
      <w:start w:val="1"/>
      <w:numFmt w:val="bullet"/>
      <w:lvlText w:val=""/>
      <w:lvlJc w:val="left"/>
      <w:pPr>
        <w:ind w:left="6480" w:hanging="360"/>
      </w:pPr>
      <w:rPr>
        <w:rFonts w:ascii="Wingdings" w:hAnsi="Wingdings" w:hint="default"/>
      </w:rPr>
    </w:lvl>
  </w:abstractNum>
  <w:abstractNum w:abstractNumId="13" w15:restartNumberingAfterBreak="0">
    <w:nsid w:val="483610A0"/>
    <w:multiLevelType w:val="hybridMultilevel"/>
    <w:tmpl w:val="5EBE2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FF62F1"/>
    <w:multiLevelType w:val="hybridMultilevel"/>
    <w:tmpl w:val="3C9C7E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B03D2D"/>
    <w:multiLevelType w:val="hybridMultilevel"/>
    <w:tmpl w:val="6632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F73068"/>
    <w:multiLevelType w:val="hybridMultilevel"/>
    <w:tmpl w:val="5DAE59B2"/>
    <w:lvl w:ilvl="0" w:tplc="DB943F86">
      <w:start w:val="1"/>
      <w:numFmt w:val="bullet"/>
      <w:pStyle w:val="NoSpac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A1249E"/>
    <w:multiLevelType w:val="hybridMultilevel"/>
    <w:tmpl w:val="D49270D0"/>
    <w:lvl w:ilvl="0" w:tplc="51BC01CA">
      <w:start w:val="1"/>
      <w:numFmt w:val="bullet"/>
      <w:lvlText w:val=""/>
      <w:lvlJc w:val="left"/>
      <w:pPr>
        <w:ind w:left="720" w:hanging="360"/>
      </w:pPr>
      <w:rPr>
        <w:rFonts w:ascii="Symbol" w:hAnsi="Symbol" w:hint="default"/>
      </w:rPr>
    </w:lvl>
    <w:lvl w:ilvl="1" w:tplc="22A45F1E">
      <w:start w:val="1"/>
      <w:numFmt w:val="bullet"/>
      <w:lvlText w:val="o"/>
      <w:lvlJc w:val="left"/>
      <w:pPr>
        <w:ind w:left="1440" w:hanging="360"/>
      </w:pPr>
      <w:rPr>
        <w:rFonts w:ascii="Courier New" w:hAnsi="Courier New" w:hint="default"/>
      </w:rPr>
    </w:lvl>
    <w:lvl w:ilvl="2" w:tplc="9822EFC4">
      <w:start w:val="1"/>
      <w:numFmt w:val="bullet"/>
      <w:lvlText w:val=""/>
      <w:lvlJc w:val="left"/>
      <w:pPr>
        <w:ind w:left="2160" w:hanging="360"/>
      </w:pPr>
      <w:rPr>
        <w:rFonts w:ascii="Wingdings" w:hAnsi="Wingdings" w:hint="default"/>
      </w:rPr>
    </w:lvl>
    <w:lvl w:ilvl="3" w:tplc="B9883A50">
      <w:start w:val="1"/>
      <w:numFmt w:val="bullet"/>
      <w:lvlText w:val=""/>
      <w:lvlJc w:val="left"/>
      <w:pPr>
        <w:ind w:left="2880" w:hanging="360"/>
      </w:pPr>
      <w:rPr>
        <w:rFonts w:ascii="Symbol" w:hAnsi="Symbol" w:hint="default"/>
      </w:rPr>
    </w:lvl>
    <w:lvl w:ilvl="4" w:tplc="85F0E15C">
      <w:start w:val="1"/>
      <w:numFmt w:val="bullet"/>
      <w:lvlText w:val="o"/>
      <w:lvlJc w:val="left"/>
      <w:pPr>
        <w:ind w:left="3600" w:hanging="360"/>
      </w:pPr>
      <w:rPr>
        <w:rFonts w:ascii="Courier New" w:hAnsi="Courier New" w:hint="default"/>
      </w:rPr>
    </w:lvl>
    <w:lvl w:ilvl="5" w:tplc="453A405C">
      <w:start w:val="1"/>
      <w:numFmt w:val="bullet"/>
      <w:lvlText w:val=""/>
      <w:lvlJc w:val="left"/>
      <w:pPr>
        <w:ind w:left="4320" w:hanging="360"/>
      </w:pPr>
      <w:rPr>
        <w:rFonts w:ascii="Wingdings" w:hAnsi="Wingdings" w:hint="default"/>
      </w:rPr>
    </w:lvl>
    <w:lvl w:ilvl="6" w:tplc="8466DC00">
      <w:start w:val="1"/>
      <w:numFmt w:val="bullet"/>
      <w:lvlText w:val=""/>
      <w:lvlJc w:val="left"/>
      <w:pPr>
        <w:ind w:left="5040" w:hanging="360"/>
      </w:pPr>
      <w:rPr>
        <w:rFonts w:ascii="Symbol" w:hAnsi="Symbol" w:hint="default"/>
      </w:rPr>
    </w:lvl>
    <w:lvl w:ilvl="7" w:tplc="6F2A35F2">
      <w:start w:val="1"/>
      <w:numFmt w:val="bullet"/>
      <w:lvlText w:val="o"/>
      <w:lvlJc w:val="left"/>
      <w:pPr>
        <w:ind w:left="5760" w:hanging="360"/>
      </w:pPr>
      <w:rPr>
        <w:rFonts w:ascii="Courier New" w:hAnsi="Courier New" w:hint="default"/>
      </w:rPr>
    </w:lvl>
    <w:lvl w:ilvl="8" w:tplc="0D780596">
      <w:start w:val="1"/>
      <w:numFmt w:val="bullet"/>
      <w:lvlText w:val=""/>
      <w:lvlJc w:val="left"/>
      <w:pPr>
        <w:ind w:left="6480" w:hanging="360"/>
      </w:pPr>
      <w:rPr>
        <w:rFonts w:ascii="Wingdings" w:hAnsi="Wingdings" w:hint="default"/>
      </w:rPr>
    </w:lvl>
  </w:abstractNum>
  <w:abstractNum w:abstractNumId="18" w15:restartNumberingAfterBreak="0">
    <w:nsid w:val="5E3B4A90"/>
    <w:multiLevelType w:val="hybridMultilevel"/>
    <w:tmpl w:val="765AE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25516CD"/>
    <w:multiLevelType w:val="hybridMultilevel"/>
    <w:tmpl w:val="9438C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8341A0"/>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98A1DA5"/>
    <w:multiLevelType w:val="multilevel"/>
    <w:tmpl w:val="0CD0E9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9954662"/>
    <w:multiLevelType w:val="multilevel"/>
    <w:tmpl w:val="ACCEF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871A37"/>
    <w:multiLevelType w:val="multilevel"/>
    <w:tmpl w:val="A6C694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6D80291D"/>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E2E36E0"/>
    <w:multiLevelType w:val="hybridMultilevel"/>
    <w:tmpl w:val="567AFA60"/>
    <w:lvl w:ilvl="0" w:tplc="DC5AEEEC">
      <w:start w:val="1"/>
      <w:numFmt w:val="decimal"/>
      <w:pStyle w:val="Heading2"/>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9D66D6"/>
    <w:multiLevelType w:val="multilevel"/>
    <w:tmpl w:val="F1862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6873098">
    <w:abstractNumId w:val="3"/>
  </w:num>
  <w:num w:numId="2" w16cid:durableId="1531912007">
    <w:abstractNumId w:val="22"/>
  </w:num>
  <w:num w:numId="3" w16cid:durableId="1036589105">
    <w:abstractNumId w:val="16"/>
  </w:num>
  <w:num w:numId="4" w16cid:durableId="1578516257">
    <w:abstractNumId w:val="15"/>
  </w:num>
  <w:num w:numId="5" w16cid:durableId="1990163538">
    <w:abstractNumId w:val="10"/>
  </w:num>
  <w:num w:numId="6" w16cid:durableId="2096782699">
    <w:abstractNumId w:val="11"/>
  </w:num>
  <w:num w:numId="7" w16cid:durableId="1009988494">
    <w:abstractNumId w:val="5"/>
  </w:num>
  <w:num w:numId="8" w16cid:durableId="1971402682">
    <w:abstractNumId w:val="13"/>
  </w:num>
  <w:num w:numId="9" w16cid:durableId="2023587601">
    <w:abstractNumId w:val="18"/>
  </w:num>
  <w:num w:numId="10" w16cid:durableId="1348285267">
    <w:abstractNumId w:val="17"/>
  </w:num>
  <w:num w:numId="11" w16cid:durableId="607084748">
    <w:abstractNumId w:val="1"/>
  </w:num>
  <w:num w:numId="12" w16cid:durableId="949094840">
    <w:abstractNumId w:val="8"/>
  </w:num>
  <w:num w:numId="13" w16cid:durableId="1133668238">
    <w:abstractNumId w:val="24"/>
  </w:num>
  <w:num w:numId="14" w16cid:durableId="2112579204">
    <w:abstractNumId w:val="20"/>
  </w:num>
  <w:num w:numId="15" w16cid:durableId="1909606980">
    <w:abstractNumId w:val="19"/>
  </w:num>
  <w:num w:numId="16" w16cid:durableId="1193768299">
    <w:abstractNumId w:val="26"/>
  </w:num>
  <w:num w:numId="17" w16cid:durableId="1533419184">
    <w:abstractNumId w:val="0"/>
  </w:num>
  <w:num w:numId="18" w16cid:durableId="112674867">
    <w:abstractNumId w:val="23"/>
  </w:num>
  <w:num w:numId="19" w16cid:durableId="235551738">
    <w:abstractNumId w:val="21"/>
  </w:num>
  <w:num w:numId="20" w16cid:durableId="170922590">
    <w:abstractNumId w:val="7"/>
  </w:num>
  <w:num w:numId="21" w16cid:durableId="1398432017">
    <w:abstractNumId w:val="25"/>
  </w:num>
  <w:num w:numId="22" w16cid:durableId="1720745236">
    <w:abstractNumId w:val="12"/>
  </w:num>
  <w:num w:numId="23" w16cid:durableId="1897814778">
    <w:abstractNumId w:val="2"/>
  </w:num>
  <w:num w:numId="24" w16cid:durableId="1418331210">
    <w:abstractNumId w:val="9"/>
  </w:num>
  <w:num w:numId="25" w16cid:durableId="1781219398">
    <w:abstractNumId w:val="14"/>
  </w:num>
  <w:num w:numId="26" w16cid:durableId="1713455765">
    <w:abstractNumId w:val="4"/>
  </w:num>
  <w:num w:numId="27" w16cid:durableId="4846665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F24"/>
    <w:rsid w:val="00005B50"/>
    <w:rsid w:val="00005E9E"/>
    <w:rsid w:val="00006434"/>
    <w:rsid w:val="000243BB"/>
    <w:rsid w:val="00043451"/>
    <w:rsid w:val="000437A2"/>
    <w:rsid w:val="00045DC0"/>
    <w:rsid w:val="00053017"/>
    <w:rsid w:val="00067E21"/>
    <w:rsid w:val="00081A06"/>
    <w:rsid w:val="000B22C1"/>
    <w:rsid w:val="000C295A"/>
    <w:rsid w:val="000C6DA6"/>
    <w:rsid w:val="000D5C07"/>
    <w:rsid w:val="000D723C"/>
    <w:rsid w:val="000E0833"/>
    <w:rsid w:val="000E7C84"/>
    <w:rsid w:val="001136EB"/>
    <w:rsid w:val="00121CB2"/>
    <w:rsid w:val="0012209F"/>
    <w:rsid w:val="00125749"/>
    <w:rsid w:val="001350D8"/>
    <w:rsid w:val="001367A5"/>
    <w:rsid w:val="00144BA4"/>
    <w:rsid w:val="001540D2"/>
    <w:rsid w:val="001543C3"/>
    <w:rsid w:val="00177C52"/>
    <w:rsid w:val="00177C89"/>
    <w:rsid w:val="001828C4"/>
    <w:rsid w:val="00186119"/>
    <w:rsid w:val="00191FBF"/>
    <w:rsid w:val="001A6111"/>
    <w:rsid w:val="001B454B"/>
    <w:rsid w:val="001C34B1"/>
    <w:rsid w:val="001C7290"/>
    <w:rsid w:val="001C7C97"/>
    <w:rsid w:val="001D3B78"/>
    <w:rsid w:val="001E4B69"/>
    <w:rsid w:val="002022FF"/>
    <w:rsid w:val="002134CD"/>
    <w:rsid w:val="00226610"/>
    <w:rsid w:val="0023316A"/>
    <w:rsid w:val="00233AE3"/>
    <w:rsid w:val="00245883"/>
    <w:rsid w:val="0024631A"/>
    <w:rsid w:val="00253B8F"/>
    <w:rsid w:val="00255633"/>
    <w:rsid w:val="00256E2F"/>
    <w:rsid w:val="00260B49"/>
    <w:rsid w:val="00265C04"/>
    <w:rsid w:val="0026611E"/>
    <w:rsid w:val="00271D57"/>
    <w:rsid w:val="00283DEA"/>
    <w:rsid w:val="0028588C"/>
    <w:rsid w:val="00292461"/>
    <w:rsid w:val="00294F43"/>
    <w:rsid w:val="0029689C"/>
    <w:rsid w:val="002A08FB"/>
    <w:rsid w:val="002C5AF5"/>
    <w:rsid w:val="002F0A52"/>
    <w:rsid w:val="002F2FB3"/>
    <w:rsid w:val="002F5D7B"/>
    <w:rsid w:val="0033252E"/>
    <w:rsid w:val="00337383"/>
    <w:rsid w:val="00337A25"/>
    <w:rsid w:val="003452C1"/>
    <w:rsid w:val="003620D4"/>
    <w:rsid w:val="00363DFE"/>
    <w:rsid w:val="0037506C"/>
    <w:rsid w:val="00381267"/>
    <w:rsid w:val="00397C34"/>
    <w:rsid w:val="003A0AC6"/>
    <w:rsid w:val="003A1200"/>
    <w:rsid w:val="003C59ED"/>
    <w:rsid w:val="003E6D76"/>
    <w:rsid w:val="003E6EAD"/>
    <w:rsid w:val="003E7F80"/>
    <w:rsid w:val="003E7FC6"/>
    <w:rsid w:val="003F019A"/>
    <w:rsid w:val="003F0D56"/>
    <w:rsid w:val="00423589"/>
    <w:rsid w:val="004368B9"/>
    <w:rsid w:val="00447676"/>
    <w:rsid w:val="0046167A"/>
    <w:rsid w:val="00471C44"/>
    <w:rsid w:val="00473D28"/>
    <w:rsid w:val="00484C23"/>
    <w:rsid w:val="004940AF"/>
    <w:rsid w:val="004A56E1"/>
    <w:rsid w:val="004B0CF1"/>
    <w:rsid w:val="004B10C3"/>
    <w:rsid w:val="004D74F2"/>
    <w:rsid w:val="004E2D1C"/>
    <w:rsid w:val="004F604B"/>
    <w:rsid w:val="00507C6E"/>
    <w:rsid w:val="00513047"/>
    <w:rsid w:val="005161B2"/>
    <w:rsid w:val="00537F93"/>
    <w:rsid w:val="00540BB6"/>
    <w:rsid w:val="0054418F"/>
    <w:rsid w:val="00546880"/>
    <w:rsid w:val="00552C87"/>
    <w:rsid w:val="00583953"/>
    <w:rsid w:val="00583C2F"/>
    <w:rsid w:val="00593C5C"/>
    <w:rsid w:val="005A4B73"/>
    <w:rsid w:val="005D7B9F"/>
    <w:rsid w:val="005F2651"/>
    <w:rsid w:val="00603348"/>
    <w:rsid w:val="00612FDF"/>
    <w:rsid w:val="0062020E"/>
    <w:rsid w:val="00630600"/>
    <w:rsid w:val="00636E60"/>
    <w:rsid w:val="00664FCA"/>
    <w:rsid w:val="006A5535"/>
    <w:rsid w:val="006B5CCF"/>
    <w:rsid w:val="006D2BCB"/>
    <w:rsid w:val="006F0A32"/>
    <w:rsid w:val="006F3136"/>
    <w:rsid w:val="0070527F"/>
    <w:rsid w:val="00715E11"/>
    <w:rsid w:val="007237F8"/>
    <w:rsid w:val="007239CE"/>
    <w:rsid w:val="0073020D"/>
    <w:rsid w:val="00741D99"/>
    <w:rsid w:val="0074711C"/>
    <w:rsid w:val="00764F65"/>
    <w:rsid w:val="00780BCE"/>
    <w:rsid w:val="00782803"/>
    <w:rsid w:val="00787593"/>
    <w:rsid w:val="007C55CD"/>
    <w:rsid w:val="007C5807"/>
    <w:rsid w:val="007C60B8"/>
    <w:rsid w:val="007D41ED"/>
    <w:rsid w:val="007D7D36"/>
    <w:rsid w:val="00811416"/>
    <w:rsid w:val="0082090E"/>
    <w:rsid w:val="0082124A"/>
    <w:rsid w:val="00827ECA"/>
    <w:rsid w:val="008415EB"/>
    <w:rsid w:val="00843BD1"/>
    <w:rsid w:val="00852829"/>
    <w:rsid w:val="008559EF"/>
    <w:rsid w:val="008813B4"/>
    <w:rsid w:val="00882D6D"/>
    <w:rsid w:val="00890480"/>
    <w:rsid w:val="00892321"/>
    <w:rsid w:val="00892FA5"/>
    <w:rsid w:val="008A4A52"/>
    <w:rsid w:val="008C7591"/>
    <w:rsid w:val="008D1C3B"/>
    <w:rsid w:val="008F638E"/>
    <w:rsid w:val="00905973"/>
    <w:rsid w:val="00911F2C"/>
    <w:rsid w:val="0091437E"/>
    <w:rsid w:val="00927038"/>
    <w:rsid w:val="0093160E"/>
    <w:rsid w:val="00936741"/>
    <w:rsid w:val="00943641"/>
    <w:rsid w:val="00965FC9"/>
    <w:rsid w:val="00994D36"/>
    <w:rsid w:val="009B03E0"/>
    <w:rsid w:val="009C36BC"/>
    <w:rsid w:val="009C514A"/>
    <w:rsid w:val="009D3E28"/>
    <w:rsid w:val="009E090E"/>
    <w:rsid w:val="009E23DA"/>
    <w:rsid w:val="009E240A"/>
    <w:rsid w:val="00A06C3A"/>
    <w:rsid w:val="00A1102C"/>
    <w:rsid w:val="00A14DC4"/>
    <w:rsid w:val="00A16DCD"/>
    <w:rsid w:val="00A2135B"/>
    <w:rsid w:val="00A265C8"/>
    <w:rsid w:val="00A26F80"/>
    <w:rsid w:val="00A368F7"/>
    <w:rsid w:val="00A436FC"/>
    <w:rsid w:val="00A5436C"/>
    <w:rsid w:val="00A657CA"/>
    <w:rsid w:val="00A72ABB"/>
    <w:rsid w:val="00A91045"/>
    <w:rsid w:val="00AA2DD4"/>
    <w:rsid w:val="00AD1CFC"/>
    <w:rsid w:val="00AD75BA"/>
    <w:rsid w:val="00AE2D53"/>
    <w:rsid w:val="00AE5B3E"/>
    <w:rsid w:val="00AF08D2"/>
    <w:rsid w:val="00B03BB8"/>
    <w:rsid w:val="00B3395C"/>
    <w:rsid w:val="00B42C0D"/>
    <w:rsid w:val="00B65891"/>
    <w:rsid w:val="00B727D8"/>
    <w:rsid w:val="00B75A23"/>
    <w:rsid w:val="00B76BEA"/>
    <w:rsid w:val="00B80DEE"/>
    <w:rsid w:val="00B84EEB"/>
    <w:rsid w:val="00B90FF8"/>
    <w:rsid w:val="00B92469"/>
    <w:rsid w:val="00BA6281"/>
    <w:rsid w:val="00BC09A3"/>
    <w:rsid w:val="00BF587E"/>
    <w:rsid w:val="00C02417"/>
    <w:rsid w:val="00C02A70"/>
    <w:rsid w:val="00C05CE1"/>
    <w:rsid w:val="00C07E9A"/>
    <w:rsid w:val="00C1230E"/>
    <w:rsid w:val="00C26009"/>
    <w:rsid w:val="00C267F7"/>
    <w:rsid w:val="00C50F49"/>
    <w:rsid w:val="00C57A20"/>
    <w:rsid w:val="00C62C67"/>
    <w:rsid w:val="00C66F37"/>
    <w:rsid w:val="00C705B5"/>
    <w:rsid w:val="00C71BD7"/>
    <w:rsid w:val="00C748A7"/>
    <w:rsid w:val="00C77BFC"/>
    <w:rsid w:val="00C83691"/>
    <w:rsid w:val="00CA62C7"/>
    <w:rsid w:val="00CF1FC1"/>
    <w:rsid w:val="00CF61FC"/>
    <w:rsid w:val="00D018E4"/>
    <w:rsid w:val="00D02072"/>
    <w:rsid w:val="00D04A07"/>
    <w:rsid w:val="00D1046C"/>
    <w:rsid w:val="00D1213B"/>
    <w:rsid w:val="00D128A6"/>
    <w:rsid w:val="00D15DDA"/>
    <w:rsid w:val="00D164DD"/>
    <w:rsid w:val="00D27CFF"/>
    <w:rsid w:val="00D326D7"/>
    <w:rsid w:val="00D428F3"/>
    <w:rsid w:val="00D43C94"/>
    <w:rsid w:val="00D46770"/>
    <w:rsid w:val="00D62A4D"/>
    <w:rsid w:val="00D63C74"/>
    <w:rsid w:val="00D751A2"/>
    <w:rsid w:val="00D813B1"/>
    <w:rsid w:val="00D944A6"/>
    <w:rsid w:val="00D96007"/>
    <w:rsid w:val="00DB0729"/>
    <w:rsid w:val="00DB44A4"/>
    <w:rsid w:val="00DB78B1"/>
    <w:rsid w:val="00DC58C2"/>
    <w:rsid w:val="00DE14FE"/>
    <w:rsid w:val="00E00A41"/>
    <w:rsid w:val="00E00C6F"/>
    <w:rsid w:val="00E12411"/>
    <w:rsid w:val="00E26F24"/>
    <w:rsid w:val="00E30CB3"/>
    <w:rsid w:val="00E45B1D"/>
    <w:rsid w:val="00E533AA"/>
    <w:rsid w:val="00E538E6"/>
    <w:rsid w:val="00E87476"/>
    <w:rsid w:val="00E91344"/>
    <w:rsid w:val="00EA51DC"/>
    <w:rsid w:val="00EB53C2"/>
    <w:rsid w:val="00EE0D95"/>
    <w:rsid w:val="00EE39D6"/>
    <w:rsid w:val="00F24D9C"/>
    <w:rsid w:val="00F266AC"/>
    <w:rsid w:val="00F27650"/>
    <w:rsid w:val="00F27F1A"/>
    <w:rsid w:val="00F31A60"/>
    <w:rsid w:val="00F32434"/>
    <w:rsid w:val="00F423CA"/>
    <w:rsid w:val="00F47F80"/>
    <w:rsid w:val="00F564A5"/>
    <w:rsid w:val="00F574C1"/>
    <w:rsid w:val="00F823DD"/>
    <w:rsid w:val="00F96336"/>
    <w:rsid w:val="00F97BAE"/>
    <w:rsid w:val="00FA12D7"/>
    <w:rsid w:val="00FC47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5FB4"/>
  <w15:chartTrackingRefBased/>
  <w15:docId w15:val="{FA783450-CCE9-7942-B9C1-A2E26E58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290"/>
    <w:rPr>
      <w:rFonts w:ascii="Times New Roman" w:eastAsia="Times New Roman" w:hAnsi="Times New Roman" w:cs="Times New Roman"/>
      <w:lang w:eastAsia="zh-CN"/>
    </w:rPr>
  </w:style>
  <w:style w:type="paragraph" w:styleId="Heading1">
    <w:name w:val="heading 1"/>
    <w:basedOn w:val="Normal1"/>
    <w:next w:val="Normal1"/>
    <w:link w:val="Heading1Char"/>
    <w:rsid w:val="00892FA5"/>
    <w:pPr>
      <w:shd w:val="clear" w:color="auto" w:fill="BD0014"/>
      <w:tabs>
        <w:tab w:val="left" w:pos="270"/>
        <w:tab w:val="left" w:pos="630"/>
      </w:tabs>
      <w:spacing w:after="0" w:line="240" w:lineRule="auto"/>
      <w:ind w:left="540" w:hanging="540"/>
      <w:outlineLvl w:val="0"/>
    </w:pPr>
    <w:rPr>
      <w:rFonts w:asciiTheme="minorBidi" w:eastAsia="Arial" w:hAnsiTheme="minorBidi" w:cstheme="minorBidi"/>
      <w:b/>
      <w:smallCaps/>
      <w:color w:val="FFFFFF"/>
      <w:sz w:val="28"/>
      <w:szCs w:val="28"/>
    </w:rPr>
  </w:style>
  <w:style w:type="paragraph" w:styleId="Heading2">
    <w:name w:val="heading 2"/>
    <w:basedOn w:val="Normal1"/>
    <w:next w:val="Normal1"/>
    <w:link w:val="Heading2Char"/>
    <w:rsid w:val="00892FA5"/>
    <w:pPr>
      <w:numPr>
        <w:numId w:val="21"/>
      </w:numPr>
      <w:shd w:val="clear" w:color="auto" w:fill="FCB040"/>
      <w:spacing w:before="40" w:after="40" w:line="240" w:lineRule="auto"/>
      <w:ind w:left="270" w:hanging="270"/>
      <w:outlineLvl w:val="1"/>
    </w:pPr>
    <w:rPr>
      <w:rFonts w:asciiTheme="minorBidi" w:eastAsia="Arial" w:hAnsiTheme="minorBidi" w:cstheme="minorBidi"/>
      <w:b/>
      <w:smallCaps/>
      <w:sz w:val="24"/>
      <w:szCs w:val="24"/>
    </w:rPr>
  </w:style>
  <w:style w:type="paragraph" w:styleId="Heading3">
    <w:name w:val="heading 3"/>
    <w:basedOn w:val="Normal1"/>
    <w:next w:val="Normal1"/>
    <w:link w:val="Heading3Char"/>
    <w:rsid w:val="00E26F24"/>
    <w:pPr>
      <w:spacing w:line="240" w:lineRule="auto"/>
      <w:outlineLvl w:val="2"/>
    </w:pPr>
    <w:rPr>
      <w:rFonts w:ascii="Arial" w:eastAsia="Arial" w:hAnsi="Arial" w:cs="Arial"/>
      <w:b/>
    </w:rPr>
  </w:style>
  <w:style w:type="paragraph" w:styleId="Heading4">
    <w:name w:val="heading 4"/>
    <w:basedOn w:val="Normal1"/>
    <w:next w:val="Normal1"/>
    <w:link w:val="Heading4Char"/>
    <w:rsid w:val="00E26F24"/>
    <w:pPr>
      <w:pBdr>
        <w:top w:val="dotted" w:sz="6" w:space="2" w:color="099BDD"/>
      </w:pBdr>
      <w:spacing w:before="200" w:after="0"/>
      <w:outlineLvl w:val="3"/>
    </w:pPr>
    <w:rPr>
      <w:smallCaps/>
      <w:color w:val="0673A5"/>
    </w:rPr>
  </w:style>
  <w:style w:type="paragraph" w:styleId="Heading5">
    <w:name w:val="heading 5"/>
    <w:basedOn w:val="Normal1"/>
    <w:next w:val="Normal1"/>
    <w:link w:val="Heading5Char"/>
    <w:rsid w:val="00E26F24"/>
    <w:pPr>
      <w:pBdr>
        <w:bottom w:val="single" w:sz="6" w:space="1" w:color="099BDD"/>
      </w:pBdr>
      <w:spacing w:before="200" w:after="0"/>
      <w:outlineLvl w:val="4"/>
    </w:pPr>
    <w:rPr>
      <w:smallCaps/>
      <w:color w:val="0673A5"/>
    </w:rPr>
  </w:style>
  <w:style w:type="paragraph" w:styleId="Heading6">
    <w:name w:val="heading 6"/>
    <w:basedOn w:val="Normal1"/>
    <w:next w:val="Normal1"/>
    <w:link w:val="Heading6Char"/>
    <w:rsid w:val="00E26F24"/>
    <w:pPr>
      <w:pBdr>
        <w:bottom w:val="dotted" w:sz="6" w:space="1" w:color="099BDD"/>
      </w:pBdr>
      <w:spacing w:before="200" w:after="0"/>
      <w:outlineLvl w:val="5"/>
    </w:pPr>
    <w:rPr>
      <w:smallCaps/>
      <w:color w:val="0673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2FA5"/>
    <w:rPr>
      <w:rFonts w:asciiTheme="minorBidi" w:eastAsia="Arial" w:hAnsiTheme="minorBidi"/>
      <w:b/>
      <w:smallCaps/>
      <w:color w:val="FFFFFF"/>
      <w:sz w:val="28"/>
      <w:szCs w:val="28"/>
      <w:shd w:val="clear" w:color="auto" w:fill="BD0014"/>
    </w:rPr>
  </w:style>
  <w:style w:type="character" w:customStyle="1" w:styleId="Heading2Char">
    <w:name w:val="Heading 2 Char"/>
    <w:basedOn w:val="DefaultParagraphFont"/>
    <w:link w:val="Heading2"/>
    <w:rsid w:val="00892FA5"/>
    <w:rPr>
      <w:rFonts w:asciiTheme="minorBidi" w:eastAsia="Arial" w:hAnsiTheme="minorBidi"/>
      <w:b/>
      <w:smallCaps/>
      <w:color w:val="000000"/>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Title">
    <w:name w:val="Title"/>
    <w:basedOn w:val="Normal1"/>
    <w:next w:val="Normal1"/>
    <w:link w:val="TitleChar"/>
    <w:rsid w:val="00E26F24"/>
    <w:pPr>
      <w:spacing w:before="0" w:after="0"/>
    </w:pPr>
    <w:rPr>
      <w:smallCaps/>
      <w:color w:val="0673A5"/>
      <w:sz w:val="52"/>
      <w:szCs w:val="5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paragraph" w:styleId="Subtitle">
    <w:name w:val="Subtitle"/>
    <w:basedOn w:val="Normal1"/>
    <w:next w:val="Normal1"/>
    <w:link w:val="SubtitleChar"/>
    <w:rsid w:val="00E26F24"/>
    <w:pPr>
      <w:spacing w:after="160"/>
    </w:pPr>
    <w:rPr>
      <w:color w:val="404040"/>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unhideWhenUsed/>
    <w:rsid w:val="00E26F24"/>
  </w:style>
  <w:style w:type="character" w:customStyle="1" w:styleId="CommentTextChar">
    <w:name w:val="Comment Text Char"/>
    <w:basedOn w:val="DefaultParagraphFont"/>
    <w:link w:val="CommentText"/>
    <w:uiPriority w:val="99"/>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E26F24"/>
    <w:pPr>
      <w:tabs>
        <w:tab w:val="center" w:pos="4320"/>
        <w:tab w:val="right" w:pos="8640"/>
      </w:tabs>
    </w:pPr>
  </w:style>
  <w:style w:type="character" w:customStyle="1" w:styleId="FooterChar">
    <w:name w:val="Footer Char"/>
    <w:basedOn w:val="DefaultParagraphFont"/>
    <w:link w:val="Footer"/>
    <w:uiPriority w:val="99"/>
    <w:rsid w:val="00E26F24"/>
    <w:rPr>
      <w:rFonts w:ascii="Times New Roman" w:eastAsia="Times New Roman" w:hAnsi="Times New Roman" w:cs="Times New Roman"/>
      <w:lang w:eastAsia="zh-CN"/>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pBdr>
        <w:top w:val="none" w:sz="0" w:space="0" w:color="auto"/>
        <w:left w:val="none" w:sz="0" w:space="0" w:color="auto"/>
        <w:bottom w:val="none" w:sz="0" w:space="0" w:color="auto"/>
        <w:right w:val="none" w:sz="0" w:space="0" w:color="auto"/>
        <w:between w:val="none" w:sz="0" w:space="0" w:color="auto"/>
      </w:pBdr>
      <w:shd w:val="clear" w:color="auto" w:fill="auto"/>
      <w:tabs>
        <w:tab w:val="clear" w:pos="270"/>
        <w:tab w:val="clear" w:pos="630"/>
      </w:tabs>
      <w:spacing w:before="480" w:line="276" w:lineRule="auto"/>
      <w:ind w:left="0" w:firstLine="0"/>
      <w:outlineLvl w:val="9"/>
    </w:pPr>
    <w:rPr>
      <w:rFonts w:asciiTheme="majorHAnsi" w:eastAsiaTheme="majorEastAsia" w:hAnsiTheme="majorHAnsi" w:cstheme="majorBidi"/>
      <w:bCs/>
      <w:smallCaps w:val="0"/>
      <w:color w:val="2F5496" w:themeColor="accent1" w:themeShade="BF"/>
    </w:rPr>
  </w:style>
  <w:style w:type="paragraph" w:styleId="TOC1">
    <w:name w:val="toc 1"/>
    <w:basedOn w:val="Normal"/>
    <w:next w:val="Normal"/>
    <w:autoRedefine/>
    <w:uiPriority w:val="39"/>
    <w:unhideWhenUsed/>
    <w:rsid w:val="00E26F24"/>
    <w:pPr>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26F24"/>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E26F24"/>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26F24"/>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26F24"/>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26F24"/>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26F24"/>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26F24"/>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26F24"/>
    <w:pPr>
      <w:ind w:left="1920"/>
    </w:pPr>
    <w:rPr>
      <w:rFonts w:asciiTheme="minorHAnsi" w:hAnsiTheme="minorHAnsi" w:cstheme="minorHAnsi"/>
      <w:sz w:val="20"/>
    </w:rPr>
  </w:style>
  <w:style w:type="paragraph" w:styleId="FootnoteText">
    <w:name w:val="footnote text"/>
    <w:basedOn w:val="Normal"/>
    <w:link w:val="FootnoteTextChar"/>
    <w:uiPriority w:val="99"/>
    <w:unhideWhenUsed/>
    <w:rsid w:val="00E26F24"/>
  </w:style>
  <w:style w:type="character" w:customStyle="1" w:styleId="FootnoteTextChar">
    <w:name w:val="Footnote Text Char"/>
    <w:basedOn w:val="DefaultParagraphFont"/>
    <w:link w:val="FootnoteText"/>
    <w:uiPriority w:val="99"/>
    <w:rsid w:val="00E26F24"/>
    <w:rPr>
      <w:rFonts w:ascii="Times New Roman" w:eastAsia="Times New Roman" w:hAnsi="Times New Roman" w:cs="Times New Roman"/>
      <w:lang w:eastAsia="zh-CN"/>
    </w:rPr>
  </w:style>
  <w:style w:type="character" w:styleId="FootnoteReference">
    <w:name w:val="footnote reference"/>
    <w:basedOn w:val="DefaultParagraphFont"/>
    <w:uiPriority w:val="99"/>
    <w:unhideWhenUsed/>
    <w:rsid w:val="00E26F24"/>
    <w:rPr>
      <w:vertAlign w:val="superscript"/>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
    <w:uiPriority w:val="99"/>
    <w:unhideWhenUsed/>
    <w:rsid w:val="00E26F24"/>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customStyle="1" w:styleId="UnresolvedMention5">
    <w:name w:val="Unresolved Mention5"/>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 w:type="character" w:customStyle="1" w:styleId="quran1">
    <w:name w:val="quran1"/>
    <w:basedOn w:val="DefaultParagraphFont"/>
    <w:rsid w:val="00473D28"/>
    <w:rPr>
      <w:b/>
      <w:bCs/>
      <w:color w:val="000033"/>
    </w:rPr>
  </w:style>
  <w:style w:type="character" w:styleId="Emphasis">
    <w:name w:val="Emphasis"/>
    <w:basedOn w:val="DefaultParagraphFont"/>
    <w:uiPriority w:val="20"/>
    <w:qFormat/>
    <w:rsid w:val="00D018E4"/>
    <w:rPr>
      <w:i/>
      <w:iCs/>
    </w:rPr>
  </w:style>
  <w:style w:type="character" w:customStyle="1" w:styleId="UnresolvedMention6">
    <w:name w:val="Unresolved Mention6"/>
    <w:basedOn w:val="DefaultParagraphFont"/>
    <w:uiPriority w:val="99"/>
    <w:semiHidden/>
    <w:unhideWhenUsed/>
    <w:rsid w:val="00D46770"/>
    <w:rPr>
      <w:color w:val="605E5C"/>
      <w:shd w:val="clear" w:color="auto" w:fill="E1DFDD"/>
    </w:rPr>
  </w:style>
  <w:style w:type="character" w:styleId="UnresolvedMention">
    <w:name w:val="Unresolved Mention"/>
    <w:basedOn w:val="DefaultParagraphFont"/>
    <w:uiPriority w:val="99"/>
    <w:semiHidden/>
    <w:unhideWhenUsed/>
    <w:rsid w:val="00006434"/>
    <w:rPr>
      <w:color w:val="605E5C"/>
      <w:shd w:val="clear" w:color="auto" w:fill="E1DFDD"/>
    </w:rPr>
  </w:style>
  <w:style w:type="paragraph" w:customStyle="1" w:styleId="Default">
    <w:name w:val="Default"/>
    <w:rsid w:val="007C55CD"/>
    <w:pPr>
      <w:autoSpaceDE w:val="0"/>
      <w:autoSpaceDN w:val="0"/>
      <w:adjustRightInd w:val="0"/>
    </w:pPr>
    <w:rPr>
      <w:rFonts w:ascii="Arial" w:eastAsia="Arial" w:hAnsi="Arial" w:cs="Arial"/>
      <w:color w:val="000000"/>
      <w:lang w:val="en-GB" w:eastAsia="en-GB"/>
    </w:rPr>
  </w:style>
  <w:style w:type="character" w:styleId="PageNumber">
    <w:name w:val="page number"/>
    <w:basedOn w:val="DefaultParagraphFont"/>
    <w:uiPriority w:val="99"/>
    <w:semiHidden/>
    <w:unhideWhenUsed/>
    <w:rsid w:val="00F97B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69716">
      <w:bodyDiv w:val="1"/>
      <w:marLeft w:val="0"/>
      <w:marRight w:val="0"/>
      <w:marTop w:val="0"/>
      <w:marBottom w:val="0"/>
      <w:divBdr>
        <w:top w:val="none" w:sz="0" w:space="0" w:color="auto"/>
        <w:left w:val="none" w:sz="0" w:space="0" w:color="auto"/>
        <w:bottom w:val="none" w:sz="0" w:space="0" w:color="auto"/>
        <w:right w:val="none" w:sz="0" w:space="0" w:color="auto"/>
      </w:divBdr>
    </w:div>
    <w:div w:id="428353717">
      <w:bodyDiv w:val="1"/>
      <w:marLeft w:val="0"/>
      <w:marRight w:val="0"/>
      <w:marTop w:val="0"/>
      <w:marBottom w:val="0"/>
      <w:divBdr>
        <w:top w:val="none" w:sz="0" w:space="0" w:color="auto"/>
        <w:left w:val="none" w:sz="0" w:space="0" w:color="auto"/>
        <w:bottom w:val="none" w:sz="0" w:space="0" w:color="auto"/>
        <w:right w:val="none" w:sz="0" w:space="0" w:color="auto"/>
      </w:divBdr>
    </w:div>
    <w:div w:id="440337879">
      <w:bodyDiv w:val="1"/>
      <w:marLeft w:val="0"/>
      <w:marRight w:val="0"/>
      <w:marTop w:val="0"/>
      <w:marBottom w:val="0"/>
      <w:divBdr>
        <w:top w:val="none" w:sz="0" w:space="0" w:color="auto"/>
        <w:left w:val="none" w:sz="0" w:space="0" w:color="auto"/>
        <w:bottom w:val="none" w:sz="0" w:space="0" w:color="auto"/>
        <w:right w:val="none" w:sz="0" w:space="0" w:color="auto"/>
      </w:divBdr>
    </w:div>
    <w:div w:id="474104380">
      <w:bodyDiv w:val="1"/>
      <w:marLeft w:val="0"/>
      <w:marRight w:val="0"/>
      <w:marTop w:val="0"/>
      <w:marBottom w:val="0"/>
      <w:divBdr>
        <w:top w:val="none" w:sz="0" w:space="0" w:color="auto"/>
        <w:left w:val="none" w:sz="0" w:space="0" w:color="auto"/>
        <w:bottom w:val="none" w:sz="0" w:space="0" w:color="auto"/>
        <w:right w:val="none" w:sz="0" w:space="0" w:color="auto"/>
      </w:divBdr>
    </w:div>
    <w:div w:id="524490607">
      <w:bodyDiv w:val="1"/>
      <w:marLeft w:val="0"/>
      <w:marRight w:val="0"/>
      <w:marTop w:val="0"/>
      <w:marBottom w:val="0"/>
      <w:divBdr>
        <w:top w:val="none" w:sz="0" w:space="0" w:color="auto"/>
        <w:left w:val="none" w:sz="0" w:space="0" w:color="auto"/>
        <w:bottom w:val="none" w:sz="0" w:space="0" w:color="auto"/>
        <w:right w:val="none" w:sz="0" w:space="0" w:color="auto"/>
      </w:divBdr>
    </w:div>
    <w:div w:id="534854659">
      <w:bodyDiv w:val="1"/>
      <w:marLeft w:val="0"/>
      <w:marRight w:val="0"/>
      <w:marTop w:val="0"/>
      <w:marBottom w:val="0"/>
      <w:divBdr>
        <w:top w:val="none" w:sz="0" w:space="0" w:color="auto"/>
        <w:left w:val="none" w:sz="0" w:space="0" w:color="auto"/>
        <w:bottom w:val="none" w:sz="0" w:space="0" w:color="auto"/>
        <w:right w:val="none" w:sz="0" w:space="0" w:color="auto"/>
      </w:divBdr>
    </w:div>
    <w:div w:id="1126656971">
      <w:bodyDiv w:val="1"/>
      <w:marLeft w:val="0"/>
      <w:marRight w:val="0"/>
      <w:marTop w:val="0"/>
      <w:marBottom w:val="0"/>
      <w:divBdr>
        <w:top w:val="none" w:sz="0" w:space="0" w:color="auto"/>
        <w:left w:val="none" w:sz="0" w:space="0" w:color="auto"/>
        <w:bottom w:val="none" w:sz="0" w:space="0" w:color="auto"/>
        <w:right w:val="none" w:sz="0" w:space="0" w:color="auto"/>
      </w:divBdr>
    </w:div>
    <w:div w:id="1177966497">
      <w:bodyDiv w:val="1"/>
      <w:marLeft w:val="0"/>
      <w:marRight w:val="0"/>
      <w:marTop w:val="0"/>
      <w:marBottom w:val="0"/>
      <w:divBdr>
        <w:top w:val="none" w:sz="0" w:space="0" w:color="auto"/>
        <w:left w:val="none" w:sz="0" w:space="0" w:color="auto"/>
        <w:bottom w:val="none" w:sz="0" w:space="0" w:color="auto"/>
        <w:right w:val="none" w:sz="0" w:space="0" w:color="auto"/>
      </w:divBdr>
    </w:div>
    <w:div w:id="1180505597">
      <w:bodyDiv w:val="1"/>
      <w:marLeft w:val="0"/>
      <w:marRight w:val="0"/>
      <w:marTop w:val="0"/>
      <w:marBottom w:val="0"/>
      <w:divBdr>
        <w:top w:val="none" w:sz="0" w:space="0" w:color="auto"/>
        <w:left w:val="none" w:sz="0" w:space="0" w:color="auto"/>
        <w:bottom w:val="none" w:sz="0" w:space="0" w:color="auto"/>
        <w:right w:val="none" w:sz="0" w:space="0" w:color="auto"/>
      </w:divBdr>
    </w:div>
    <w:div w:id="1338657868">
      <w:bodyDiv w:val="1"/>
      <w:marLeft w:val="0"/>
      <w:marRight w:val="0"/>
      <w:marTop w:val="0"/>
      <w:marBottom w:val="0"/>
      <w:divBdr>
        <w:top w:val="none" w:sz="0" w:space="0" w:color="auto"/>
        <w:left w:val="none" w:sz="0" w:space="0" w:color="auto"/>
        <w:bottom w:val="none" w:sz="0" w:space="0" w:color="auto"/>
        <w:right w:val="none" w:sz="0" w:space="0" w:color="auto"/>
      </w:divBdr>
    </w:div>
    <w:div w:id="1516535032">
      <w:bodyDiv w:val="1"/>
      <w:marLeft w:val="0"/>
      <w:marRight w:val="0"/>
      <w:marTop w:val="0"/>
      <w:marBottom w:val="0"/>
      <w:divBdr>
        <w:top w:val="none" w:sz="0" w:space="0" w:color="auto"/>
        <w:left w:val="none" w:sz="0" w:space="0" w:color="auto"/>
        <w:bottom w:val="none" w:sz="0" w:space="0" w:color="auto"/>
        <w:right w:val="none" w:sz="0" w:space="0" w:color="auto"/>
      </w:divBdr>
    </w:div>
    <w:div w:id="1523981637">
      <w:bodyDiv w:val="1"/>
      <w:marLeft w:val="0"/>
      <w:marRight w:val="0"/>
      <w:marTop w:val="0"/>
      <w:marBottom w:val="0"/>
      <w:divBdr>
        <w:top w:val="none" w:sz="0" w:space="0" w:color="auto"/>
        <w:left w:val="none" w:sz="0" w:space="0" w:color="auto"/>
        <w:bottom w:val="none" w:sz="0" w:space="0" w:color="auto"/>
        <w:right w:val="none" w:sz="0" w:space="0" w:color="auto"/>
      </w:divBdr>
    </w:div>
    <w:div w:id="1558584641">
      <w:bodyDiv w:val="1"/>
      <w:marLeft w:val="0"/>
      <w:marRight w:val="0"/>
      <w:marTop w:val="0"/>
      <w:marBottom w:val="0"/>
      <w:divBdr>
        <w:top w:val="none" w:sz="0" w:space="0" w:color="auto"/>
        <w:left w:val="none" w:sz="0" w:space="0" w:color="auto"/>
        <w:bottom w:val="none" w:sz="0" w:space="0" w:color="auto"/>
        <w:right w:val="none" w:sz="0" w:space="0" w:color="auto"/>
      </w:divBdr>
    </w:div>
    <w:div w:id="1582830773">
      <w:bodyDiv w:val="1"/>
      <w:marLeft w:val="0"/>
      <w:marRight w:val="0"/>
      <w:marTop w:val="0"/>
      <w:marBottom w:val="0"/>
      <w:divBdr>
        <w:top w:val="none" w:sz="0" w:space="0" w:color="auto"/>
        <w:left w:val="none" w:sz="0" w:space="0" w:color="auto"/>
        <w:bottom w:val="none" w:sz="0" w:space="0" w:color="auto"/>
        <w:right w:val="none" w:sz="0" w:space="0" w:color="auto"/>
      </w:divBdr>
    </w:div>
    <w:div w:id="1612972737">
      <w:bodyDiv w:val="1"/>
      <w:marLeft w:val="0"/>
      <w:marRight w:val="0"/>
      <w:marTop w:val="0"/>
      <w:marBottom w:val="0"/>
      <w:divBdr>
        <w:top w:val="none" w:sz="0" w:space="0" w:color="auto"/>
        <w:left w:val="none" w:sz="0" w:space="0" w:color="auto"/>
        <w:bottom w:val="none" w:sz="0" w:space="0" w:color="auto"/>
        <w:right w:val="none" w:sz="0" w:space="0" w:color="auto"/>
      </w:divBdr>
    </w:div>
    <w:div w:id="1668941081">
      <w:bodyDiv w:val="1"/>
      <w:marLeft w:val="0"/>
      <w:marRight w:val="0"/>
      <w:marTop w:val="0"/>
      <w:marBottom w:val="0"/>
      <w:divBdr>
        <w:top w:val="none" w:sz="0" w:space="0" w:color="auto"/>
        <w:left w:val="none" w:sz="0" w:space="0" w:color="auto"/>
        <w:bottom w:val="none" w:sz="0" w:space="0" w:color="auto"/>
        <w:right w:val="none" w:sz="0" w:space="0" w:color="auto"/>
      </w:divBdr>
      <w:divsChild>
        <w:div w:id="1707409561">
          <w:marLeft w:val="0"/>
          <w:marRight w:val="0"/>
          <w:marTop w:val="0"/>
          <w:marBottom w:val="0"/>
          <w:divBdr>
            <w:top w:val="none" w:sz="0" w:space="0" w:color="auto"/>
            <w:left w:val="none" w:sz="0" w:space="0" w:color="auto"/>
            <w:bottom w:val="none" w:sz="0" w:space="0" w:color="auto"/>
            <w:right w:val="none" w:sz="0" w:space="0" w:color="auto"/>
          </w:divBdr>
        </w:div>
      </w:divsChild>
    </w:div>
    <w:div w:id="1670479340">
      <w:bodyDiv w:val="1"/>
      <w:marLeft w:val="0"/>
      <w:marRight w:val="0"/>
      <w:marTop w:val="0"/>
      <w:marBottom w:val="0"/>
      <w:divBdr>
        <w:top w:val="none" w:sz="0" w:space="0" w:color="auto"/>
        <w:left w:val="none" w:sz="0" w:space="0" w:color="auto"/>
        <w:bottom w:val="none" w:sz="0" w:space="0" w:color="auto"/>
        <w:right w:val="none" w:sz="0" w:space="0" w:color="auto"/>
      </w:divBdr>
    </w:div>
    <w:div w:id="1728529241">
      <w:bodyDiv w:val="1"/>
      <w:marLeft w:val="0"/>
      <w:marRight w:val="0"/>
      <w:marTop w:val="0"/>
      <w:marBottom w:val="0"/>
      <w:divBdr>
        <w:top w:val="none" w:sz="0" w:space="0" w:color="auto"/>
        <w:left w:val="none" w:sz="0" w:space="0" w:color="auto"/>
        <w:bottom w:val="none" w:sz="0" w:space="0" w:color="auto"/>
        <w:right w:val="none" w:sz="0" w:space="0" w:color="auto"/>
      </w:divBdr>
    </w:div>
    <w:div w:id="1932078615">
      <w:bodyDiv w:val="1"/>
      <w:marLeft w:val="0"/>
      <w:marRight w:val="0"/>
      <w:marTop w:val="0"/>
      <w:marBottom w:val="0"/>
      <w:divBdr>
        <w:top w:val="none" w:sz="0" w:space="0" w:color="auto"/>
        <w:left w:val="none" w:sz="0" w:space="0" w:color="auto"/>
        <w:bottom w:val="none" w:sz="0" w:space="0" w:color="auto"/>
        <w:right w:val="none" w:sz="0" w:space="0" w:color="auto"/>
      </w:divBdr>
      <w:divsChild>
        <w:div w:id="7874048">
          <w:marLeft w:val="0"/>
          <w:marRight w:val="0"/>
          <w:marTop w:val="0"/>
          <w:marBottom w:val="0"/>
          <w:divBdr>
            <w:top w:val="none" w:sz="0" w:space="0" w:color="auto"/>
            <w:left w:val="none" w:sz="0" w:space="0" w:color="auto"/>
            <w:bottom w:val="none" w:sz="0" w:space="0" w:color="auto"/>
            <w:right w:val="none" w:sz="0" w:space="0" w:color="auto"/>
          </w:divBdr>
        </w:div>
      </w:divsChild>
    </w:div>
    <w:div w:id="1942224999">
      <w:bodyDiv w:val="1"/>
      <w:marLeft w:val="0"/>
      <w:marRight w:val="0"/>
      <w:marTop w:val="0"/>
      <w:marBottom w:val="0"/>
      <w:divBdr>
        <w:top w:val="none" w:sz="0" w:space="0" w:color="auto"/>
        <w:left w:val="none" w:sz="0" w:space="0" w:color="auto"/>
        <w:bottom w:val="none" w:sz="0" w:space="0" w:color="auto"/>
        <w:right w:val="none" w:sz="0" w:space="0" w:color="auto"/>
      </w:divBdr>
    </w:div>
    <w:div w:id="1957251764">
      <w:bodyDiv w:val="1"/>
      <w:marLeft w:val="0"/>
      <w:marRight w:val="0"/>
      <w:marTop w:val="0"/>
      <w:marBottom w:val="0"/>
      <w:divBdr>
        <w:top w:val="none" w:sz="0" w:space="0" w:color="auto"/>
        <w:left w:val="none" w:sz="0" w:space="0" w:color="auto"/>
        <w:bottom w:val="none" w:sz="0" w:space="0" w:color="auto"/>
        <w:right w:val="none" w:sz="0" w:space="0" w:color="auto"/>
      </w:divBdr>
    </w:div>
    <w:div w:id="201241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http://www.musawah.org"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sawah@musawah.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mailto:desfemmesvoix@gmail.com" TargetMode="External"/><Relationship Id="rId14" Type="http://schemas.openxmlformats.org/officeDocument/2006/relationships/footer" Target="footer2.xml"/><Relationship Id="rId22" Type="http://schemas.openxmlformats.org/officeDocument/2006/relationships/image" Target="media/image10.jpeg"/></Relationships>
</file>

<file path=word/_rels/footnotes.xml.rels><?xml version="1.0" encoding="UTF-8" standalone="yes"?>
<Relationships xmlns="http://schemas.openxmlformats.org/package/2006/relationships"><Relationship Id="rId3" Type="http://schemas.openxmlformats.org/officeDocument/2006/relationships/hyperlink" Target="http://www.justice.gov.mr//IMG/pdf/statutpersonnelarabe.pdf" TargetMode="External"/><Relationship Id="rId2" Type="http://schemas.openxmlformats.org/officeDocument/2006/relationships/hyperlink" Target="https://www.constituteproject.org/constitution/Mauritania_2012.pdf" TargetMode="External"/><Relationship Id="rId1" Type="http://schemas.openxmlformats.org/officeDocument/2006/relationships/hyperlink" Target="https://treaties.un.org/pages/ViewDetails.aspx?src=IND&amp;mtdsg_no=IV-8&amp;chapter=4&amp;clang=_en" TargetMode="External"/><Relationship Id="rId6" Type="http://schemas.openxmlformats.org/officeDocument/2006/relationships/hyperlink" Target="http://www.ohchr.org/en/hrbodies/cedaw/pages/cedawindex.aspx" TargetMode="External"/><Relationship Id="rId5" Type="http://schemas.openxmlformats.org/officeDocument/2006/relationships/hyperlink" Target="http://www.refworld.org/country,,,,MRT,,3ae6b5304,0.html" TargetMode="External"/><Relationship Id="rId4" Type="http://schemas.openxmlformats.org/officeDocument/2006/relationships/hyperlink" Target="https://www.musawah.org/resources/country-table-maurit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8ED74-2DA7-43EA-B9DA-737CBF90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12</Pages>
  <Words>3156</Words>
  <Characters>16793</Characters>
  <Application>Microsoft Office Word</Application>
  <DocSecurity>0</DocSecurity>
  <Lines>322</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Waheedi, Salma</dc:creator>
  <cp:keywords/>
  <dc:description/>
  <cp:lastModifiedBy>Ansari, Fer Ghanaa-HLSCLINICS</cp:lastModifiedBy>
  <cp:revision>42</cp:revision>
  <dcterms:created xsi:type="dcterms:W3CDTF">2022-09-05T20:13:00Z</dcterms:created>
  <dcterms:modified xsi:type="dcterms:W3CDTF">2023-01-09T19:56:00Z</dcterms:modified>
</cp:coreProperties>
</file>