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2D6C7" w14:textId="64DDF374" w:rsidR="005B1814" w:rsidRDefault="007476C3" w:rsidP="00B37CE0">
      <w:pPr>
        <w:jc w:val="center"/>
        <w:rPr>
          <w:rFonts w:ascii="Calibri" w:hAnsi="Calibri" w:cs="Calibri"/>
          <w:b/>
          <w:bCs/>
          <w:sz w:val="26"/>
          <w:szCs w:val="26"/>
        </w:rPr>
      </w:pPr>
      <w:r w:rsidRPr="005B1814">
        <w:rPr>
          <w:rFonts w:ascii="Calibri" w:hAnsi="Calibri" w:cs="Calibri"/>
          <w:b/>
          <w:bCs/>
          <w:sz w:val="26"/>
          <w:szCs w:val="26"/>
        </w:rPr>
        <w:t>Additional information to the United Nations Committee on the Rights of the Child on the Arab Republic of Egypt</w:t>
      </w:r>
    </w:p>
    <w:p w14:paraId="4F0A984D" w14:textId="77777777" w:rsidR="00B37CE0" w:rsidRPr="005B1814" w:rsidRDefault="00B37CE0" w:rsidP="00B37CE0">
      <w:pPr>
        <w:jc w:val="center"/>
        <w:rPr>
          <w:rFonts w:ascii="Calibri" w:hAnsi="Calibri" w:cs="Calibri"/>
          <w:b/>
          <w:bCs/>
          <w:sz w:val="26"/>
          <w:szCs w:val="26"/>
        </w:rPr>
      </w:pPr>
    </w:p>
    <w:p w14:paraId="6618D5C9" w14:textId="7FDAD2AA" w:rsidR="007476C3" w:rsidRPr="005B1814" w:rsidRDefault="007476C3" w:rsidP="007476C3">
      <w:pPr>
        <w:jc w:val="center"/>
        <w:rPr>
          <w:rFonts w:ascii="Calibri" w:hAnsi="Calibri" w:cs="Calibri"/>
          <w:b/>
          <w:bCs/>
          <w:sz w:val="26"/>
          <w:szCs w:val="26"/>
        </w:rPr>
      </w:pPr>
      <w:r w:rsidRPr="005B1814">
        <w:rPr>
          <w:rFonts w:ascii="Calibri" w:hAnsi="Calibri" w:cs="Calibri"/>
          <w:b/>
          <w:bCs/>
          <w:sz w:val="26"/>
          <w:szCs w:val="26"/>
        </w:rPr>
        <w:t>Joint submission by Reprieve</w:t>
      </w:r>
      <w:r w:rsidR="005214EF">
        <w:rPr>
          <w:rFonts w:ascii="Calibri" w:hAnsi="Calibri" w:cs="Calibri"/>
          <w:b/>
          <w:bCs/>
          <w:sz w:val="26"/>
          <w:szCs w:val="26"/>
        </w:rPr>
        <w:t>,</w:t>
      </w:r>
      <w:r w:rsidRPr="005B1814">
        <w:rPr>
          <w:rFonts w:ascii="Calibri" w:hAnsi="Calibri" w:cs="Calibri"/>
          <w:b/>
          <w:bCs/>
          <w:sz w:val="26"/>
          <w:szCs w:val="26"/>
        </w:rPr>
        <w:t xml:space="preserve"> The Advocates for Human Rights</w:t>
      </w:r>
      <w:r w:rsidR="005214EF">
        <w:rPr>
          <w:rFonts w:ascii="Calibri" w:hAnsi="Calibri" w:cs="Calibri"/>
          <w:b/>
          <w:bCs/>
          <w:sz w:val="26"/>
          <w:szCs w:val="26"/>
        </w:rPr>
        <w:t xml:space="preserve"> and </w:t>
      </w:r>
      <w:r w:rsidR="005214EF" w:rsidRPr="005214EF">
        <w:rPr>
          <w:rFonts w:ascii="Calibri" w:hAnsi="Calibri" w:cs="Calibri"/>
          <w:b/>
          <w:bCs/>
          <w:sz w:val="26"/>
          <w:szCs w:val="26"/>
        </w:rPr>
        <w:t>The World Coalition Against the Death Penalty</w:t>
      </w:r>
    </w:p>
    <w:p w14:paraId="67717F7E" w14:textId="77777777" w:rsidR="007476C3" w:rsidRPr="005B1814" w:rsidRDefault="007476C3" w:rsidP="007476C3">
      <w:pPr>
        <w:jc w:val="center"/>
        <w:rPr>
          <w:rFonts w:ascii="Calibri" w:hAnsi="Calibri" w:cs="Calibri"/>
          <w:b/>
          <w:bCs/>
          <w:sz w:val="26"/>
          <w:szCs w:val="26"/>
        </w:rPr>
      </w:pPr>
    </w:p>
    <w:p w14:paraId="5E1C06B1" w14:textId="161663EA" w:rsidR="007476C3" w:rsidRPr="005B1814" w:rsidRDefault="007476C3" w:rsidP="005B1814">
      <w:pPr>
        <w:jc w:val="center"/>
        <w:rPr>
          <w:rFonts w:ascii="Calibri" w:hAnsi="Calibri" w:cs="Calibri"/>
          <w:b/>
          <w:bCs/>
          <w:sz w:val="26"/>
          <w:szCs w:val="26"/>
        </w:rPr>
      </w:pPr>
      <w:r w:rsidRPr="005B1814">
        <w:rPr>
          <w:rFonts w:ascii="Calibri" w:hAnsi="Calibri" w:cs="Calibri"/>
          <w:b/>
          <w:bCs/>
          <w:sz w:val="26"/>
          <w:szCs w:val="26"/>
        </w:rPr>
        <w:t>April 2024</w:t>
      </w:r>
    </w:p>
    <w:p w14:paraId="249A3698" w14:textId="77777777" w:rsidR="00BA32B9" w:rsidRPr="005D57B8" w:rsidRDefault="00BA32B9" w:rsidP="00BA32B9">
      <w:pPr>
        <w:spacing w:line="276" w:lineRule="auto"/>
        <w:jc w:val="both"/>
        <w:rPr>
          <w:rFonts w:ascii="Calibri" w:hAnsi="Calibri" w:cs="Calibri"/>
          <w:b/>
        </w:rPr>
      </w:pPr>
      <w:r w:rsidRPr="005D57B8">
        <w:rPr>
          <w:rFonts w:ascii="Calibri" w:hAnsi="Calibri" w:cs="Calibri"/>
          <w:b/>
        </w:rPr>
        <w:t>ABOUT REPRIEVE</w:t>
      </w:r>
    </w:p>
    <w:p w14:paraId="4B2D23B5" w14:textId="77777777" w:rsidR="00BA32B9" w:rsidRPr="005D57B8" w:rsidRDefault="00BA32B9" w:rsidP="00BA32B9">
      <w:pPr>
        <w:spacing w:line="276" w:lineRule="auto"/>
        <w:jc w:val="both"/>
        <w:rPr>
          <w:rFonts w:ascii="Calibri" w:hAnsi="Calibri" w:cs="Calibri"/>
        </w:rPr>
      </w:pPr>
      <w:r w:rsidRPr="005D57B8">
        <w:rPr>
          <w:rFonts w:ascii="Calibri" w:hAnsi="Calibri" w:cs="Calibri"/>
        </w:rPr>
        <w:t>Reprieve is a charitable organization registered in the United Kingdom (No. 1114900) in special consultative status with the United Nations Economic and Social Council (ECOSOC) that provides free legal and investigative support to those who have been subjected to state-sponsored human rights abuses. Our clients belong to some of the most vulnerable populations in the world. In particular, we protect the rights of those facing the death penalty and deliver justice to victims of arbitrary detention, torture, and extrajudicial execution.</w:t>
      </w:r>
    </w:p>
    <w:p w14:paraId="1DBFC354" w14:textId="77777777" w:rsidR="00BA32B9" w:rsidRPr="005D57B8" w:rsidRDefault="00BA32B9" w:rsidP="00BA32B9">
      <w:pPr>
        <w:spacing w:line="276" w:lineRule="auto"/>
        <w:jc w:val="both"/>
        <w:rPr>
          <w:rFonts w:ascii="Calibri" w:hAnsi="Calibri" w:cs="Calibri"/>
          <w:b/>
        </w:rPr>
      </w:pPr>
      <w:r w:rsidRPr="005D57B8">
        <w:rPr>
          <w:rFonts w:ascii="Calibri" w:hAnsi="Calibri" w:cs="Calibri"/>
          <w:b/>
        </w:rPr>
        <w:t>ABOUT THE ADVOCATES FOR HUMAN RIGHTS</w:t>
      </w:r>
    </w:p>
    <w:p w14:paraId="60B5288F" w14:textId="77777777" w:rsidR="00BA32B9" w:rsidRDefault="00BA32B9" w:rsidP="00BA32B9">
      <w:pPr>
        <w:spacing w:line="276" w:lineRule="auto"/>
        <w:jc w:val="both"/>
        <w:rPr>
          <w:rFonts w:ascii="Calibri" w:hAnsi="Calibri" w:cs="Calibri"/>
        </w:rPr>
      </w:pPr>
      <w:r w:rsidRPr="005D57B8">
        <w:rPr>
          <w:rFonts w:ascii="Calibri" w:hAnsi="Calibri" w:cs="Calibri"/>
        </w:rPr>
        <w:t>The Advocates for Human Rights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6BC828A" w14:textId="29D5B680" w:rsidR="005214EF" w:rsidRDefault="005214EF" w:rsidP="00BA32B9">
      <w:pPr>
        <w:spacing w:line="276" w:lineRule="auto"/>
        <w:jc w:val="both"/>
        <w:rPr>
          <w:rFonts w:ascii="Calibri" w:hAnsi="Calibri" w:cs="Calibri"/>
          <w:b/>
          <w:bCs/>
        </w:rPr>
      </w:pPr>
      <w:r w:rsidRPr="005214EF">
        <w:rPr>
          <w:rFonts w:ascii="Calibri" w:hAnsi="Calibri" w:cs="Calibri"/>
          <w:b/>
          <w:bCs/>
        </w:rPr>
        <w:t>ABOUT THE WORLD COALITION AGAINST THE DEATH PENALTY</w:t>
      </w:r>
    </w:p>
    <w:p w14:paraId="1E6A880F" w14:textId="0D4EEA2B" w:rsidR="005214EF" w:rsidRDefault="005214EF" w:rsidP="00BA32B9">
      <w:pPr>
        <w:spacing w:line="276" w:lineRule="auto"/>
        <w:jc w:val="both"/>
        <w:rPr>
          <w:rFonts w:ascii="Calibri" w:hAnsi="Calibri" w:cs="Calibri"/>
        </w:rPr>
      </w:pPr>
      <w:r w:rsidRPr="005214EF">
        <w:rPr>
          <w:rFonts w:ascii="Calibri" w:hAnsi="Calibri" w:cs="Calibri"/>
        </w:rPr>
        <w:t>The World Coalition Against the Death Penalty,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D9A1848" w14:textId="77777777" w:rsidR="003B3DFE" w:rsidRPr="005214EF" w:rsidRDefault="003B3DFE" w:rsidP="00BA32B9">
      <w:pPr>
        <w:spacing w:line="276" w:lineRule="auto"/>
        <w:jc w:val="both"/>
        <w:rPr>
          <w:rFonts w:ascii="Calibri" w:hAnsi="Calibri" w:cs="Calibri"/>
        </w:rPr>
      </w:pPr>
    </w:p>
    <w:p w14:paraId="1C0C72BB" w14:textId="4105B981" w:rsidR="00BA32B9" w:rsidRPr="005D57B8" w:rsidRDefault="00767828" w:rsidP="007476C3">
      <w:pPr>
        <w:rPr>
          <w:rFonts w:ascii="Calibri" w:hAnsi="Calibri" w:cs="Calibri"/>
          <w:b/>
          <w:bCs/>
        </w:rPr>
      </w:pPr>
      <w:r w:rsidRPr="005D57B8">
        <w:rPr>
          <w:rFonts w:ascii="Calibri" w:hAnsi="Calibri" w:cs="Calibri"/>
          <w:b/>
          <w:bCs/>
        </w:rPr>
        <w:lastRenderedPageBreak/>
        <w:t>SUMMARY</w:t>
      </w:r>
    </w:p>
    <w:p w14:paraId="0C210E05" w14:textId="27C1CF92" w:rsidR="000A73EF" w:rsidRPr="005D57B8" w:rsidRDefault="002521E8" w:rsidP="008762A8">
      <w:pPr>
        <w:jc w:val="both"/>
        <w:rPr>
          <w:rFonts w:ascii="Calibri" w:hAnsi="Calibri" w:cs="Calibri"/>
        </w:rPr>
      </w:pPr>
      <w:r w:rsidRPr="005D57B8">
        <w:rPr>
          <w:rFonts w:ascii="Calibri" w:hAnsi="Calibri" w:cs="Calibri"/>
        </w:rPr>
        <w:t>This joint submission provides</w:t>
      </w:r>
      <w:r w:rsidR="008762A8">
        <w:rPr>
          <w:rFonts w:ascii="Calibri" w:hAnsi="Calibri" w:cs="Calibri"/>
        </w:rPr>
        <w:t xml:space="preserve"> additional information to the</w:t>
      </w:r>
      <w:r w:rsidRPr="005D57B8">
        <w:rPr>
          <w:rFonts w:ascii="Calibri" w:hAnsi="Calibri" w:cs="Calibri"/>
        </w:rPr>
        <w:t xml:space="preserve"> </w:t>
      </w:r>
      <w:r w:rsidR="008762A8" w:rsidRPr="005D57B8">
        <w:rPr>
          <w:rFonts w:ascii="Calibri" w:hAnsi="Calibri" w:cs="Calibri"/>
        </w:rPr>
        <w:t xml:space="preserve">Committee on the Rights of the Child </w:t>
      </w:r>
      <w:r w:rsidR="008762A8">
        <w:rPr>
          <w:rFonts w:ascii="Calibri" w:hAnsi="Calibri" w:cs="Calibri"/>
        </w:rPr>
        <w:t xml:space="preserve">(CRC) following the publication of the </w:t>
      </w:r>
      <w:r w:rsidR="008762A8" w:rsidRPr="005D57B8">
        <w:rPr>
          <w:rFonts w:ascii="Calibri" w:hAnsi="Calibri" w:cs="Calibri"/>
        </w:rPr>
        <w:t>List of Issues in relation to the combined fifth and sixth period reports of</w:t>
      </w:r>
      <w:r w:rsidR="006B773C">
        <w:rPr>
          <w:rFonts w:ascii="Calibri" w:hAnsi="Calibri" w:cs="Calibri"/>
        </w:rPr>
        <w:t xml:space="preserve"> the</w:t>
      </w:r>
      <w:r w:rsidR="008762A8" w:rsidRPr="005D57B8">
        <w:rPr>
          <w:rFonts w:ascii="Calibri" w:hAnsi="Calibri" w:cs="Calibri"/>
        </w:rPr>
        <w:t xml:space="preserve"> Arab Republic of Egypt</w:t>
      </w:r>
      <w:r w:rsidR="008762A8">
        <w:rPr>
          <w:rFonts w:ascii="Calibri" w:hAnsi="Calibri" w:cs="Calibri"/>
        </w:rPr>
        <w:t xml:space="preserve"> (Egypt) </w:t>
      </w:r>
      <w:r w:rsidR="008762A8" w:rsidRPr="005D57B8">
        <w:rPr>
          <w:rFonts w:ascii="Calibri" w:hAnsi="Calibri" w:cs="Calibri"/>
        </w:rPr>
        <w:t>published in October 2023</w:t>
      </w:r>
      <w:r w:rsidR="000B7921" w:rsidRPr="005D57B8">
        <w:rPr>
          <w:rFonts w:ascii="Calibri" w:hAnsi="Calibri" w:cs="Calibri"/>
        </w:rPr>
        <w:t>, and</w:t>
      </w:r>
      <w:r w:rsidRPr="005D57B8">
        <w:rPr>
          <w:rFonts w:ascii="Calibri" w:hAnsi="Calibri" w:cs="Calibri"/>
        </w:rPr>
        <w:t xml:space="preserve"> ahead of the State’s review before the C</w:t>
      </w:r>
      <w:r w:rsidR="00730C0B">
        <w:rPr>
          <w:rFonts w:ascii="Calibri" w:hAnsi="Calibri" w:cs="Calibri"/>
        </w:rPr>
        <w:t>RC</w:t>
      </w:r>
      <w:r w:rsidRPr="005D57B8">
        <w:rPr>
          <w:rFonts w:ascii="Calibri" w:hAnsi="Calibri" w:cs="Calibri"/>
        </w:rPr>
        <w:t xml:space="preserve"> at the 96th session.</w:t>
      </w:r>
      <w:r w:rsidR="008A08D3" w:rsidRPr="005D57B8">
        <w:rPr>
          <w:rFonts w:ascii="Calibri" w:hAnsi="Calibri" w:cs="Calibri"/>
        </w:rPr>
        <w:t xml:space="preserve"> </w:t>
      </w:r>
      <w:r w:rsidR="00F64FA5" w:rsidRPr="005D57B8">
        <w:rPr>
          <w:rFonts w:ascii="Calibri" w:hAnsi="Calibri" w:cs="Calibri"/>
        </w:rPr>
        <w:t xml:space="preserve">It </w:t>
      </w:r>
      <w:r w:rsidR="008762A8">
        <w:rPr>
          <w:rFonts w:ascii="Calibri" w:hAnsi="Calibri" w:cs="Calibri"/>
        </w:rPr>
        <w:t>provides</w:t>
      </w:r>
      <w:r w:rsidR="00F64FA5" w:rsidRPr="005D57B8">
        <w:rPr>
          <w:rFonts w:ascii="Calibri" w:hAnsi="Calibri" w:cs="Calibri"/>
        </w:rPr>
        <w:t xml:space="preserve"> that the list of issues failed to make a reference to </w:t>
      </w:r>
      <w:r w:rsidR="00B84A60">
        <w:rPr>
          <w:rFonts w:ascii="Calibri" w:hAnsi="Calibri" w:cs="Calibri"/>
        </w:rPr>
        <w:t>article</w:t>
      </w:r>
      <w:r w:rsidR="00F64FA5" w:rsidRPr="005D57B8">
        <w:rPr>
          <w:rFonts w:ascii="Calibri" w:hAnsi="Calibri" w:cs="Calibri"/>
        </w:rPr>
        <w:t xml:space="preserve"> 122 of the Child Law, which allows for </w:t>
      </w:r>
      <w:r w:rsidR="00627AD4">
        <w:rPr>
          <w:rFonts w:ascii="Calibri" w:hAnsi="Calibri" w:cs="Calibri"/>
        </w:rPr>
        <w:t xml:space="preserve">children to be tried alongside adults, putting the children at risk of </w:t>
      </w:r>
      <w:r w:rsidR="00F64FA5" w:rsidRPr="005D57B8">
        <w:rPr>
          <w:rFonts w:ascii="Calibri" w:hAnsi="Calibri" w:cs="Calibri"/>
        </w:rPr>
        <w:t>the death penalty. Egypt’s State Report has not addressed the risk of the death penalty for children tried alongside adults, particularly in mass trials.</w:t>
      </w:r>
      <w:r w:rsidR="00E74558" w:rsidRPr="005D57B8">
        <w:rPr>
          <w:rFonts w:ascii="Calibri" w:hAnsi="Calibri" w:cs="Calibri"/>
        </w:rPr>
        <w:t xml:space="preserve"> The word count of this submission </w:t>
      </w:r>
      <w:r w:rsidR="00E74558" w:rsidRPr="004D3313">
        <w:rPr>
          <w:rFonts w:ascii="Calibri" w:hAnsi="Calibri" w:cs="Calibri"/>
        </w:rPr>
        <w:t xml:space="preserve">is </w:t>
      </w:r>
      <w:r w:rsidR="007F67A0" w:rsidRPr="004D3313">
        <w:rPr>
          <w:rFonts w:ascii="Calibri" w:hAnsi="Calibri" w:cs="Calibri"/>
        </w:rPr>
        <w:t>11</w:t>
      </w:r>
      <w:r w:rsidR="001B5320">
        <w:rPr>
          <w:rFonts w:ascii="Calibri" w:hAnsi="Calibri" w:cs="Calibri"/>
        </w:rPr>
        <w:t>81</w:t>
      </w:r>
      <w:r w:rsidR="003B607D" w:rsidRPr="004D3313">
        <w:rPr>
          <w:rFonts w:ascii="Calibri" w:hAnsi="Calibri" w:cs="Calibri"/>
        </w:rPr>
        <w:t xml:space="preserve"> words</w:t>
      </w:r>
      <w:r w:rsidR="00E74558" w:rsidRPr="005D57B8">
        <w:rPr>
          <w:rFonts w:ascii="Calibri" w:hAnsi="Calibri" w:cs="Calibri"/>
        </w:rPr>
        <w:t>, excluding footnotes</w:t>
      </w:r>
      <w:r w:rsidR="007F67A0">
        <w:rPr>
          <w:rFonts w:ascii="Calibri" w:hAnsi="Calibri" w:cs="Calibri"/>
        </w:rPr>
        <w:t>, cover page</w:t>
      </w:r>
      <w:r w:rsidR="00E74558" w:rsidRPr="005D57B8">
        <w:rPr>
          <w:rFonts w:ascii="Calibri" w:hAnsi="Calibri" w:cs="Calibri"/>
        </w:rPr>
        <w:t xml:space="preserve"> and glossary of terms.</w:t>
      </w:r>
    </w:p>
    <w:sdt>
      <w:sdtPr>
        <w:rPr>
          <w:rFonts w:ascii="Calibri" w:eastAsiaTheme="minorHAnsi" w:hAnsi="Calibri" w:cs="Calibri"/>
          <w:color w:val="auto"/>
          <w:kern w:val="2"/>
          <w:sz w:val="24"/>
          <w:szCs w:val="24"/>
          <w:lang w:eastAsia="en-US"/>
          <w14:ligatures w14:val="standardContextual"/>
        </w:rPr>
        <w:id w:val="37399436"/>
        <w:docPartObj>
          <w:docPartGallery w:val="Table of Contents"/>
          <w:docPartUnique/>
        </w:docPartObj>
      </w:sdtPr>
      <w:sdtEndPr>
        <w:rPr>
          <w:b/>
          <w:bCs/>
        </w:rPr>
      </w:sdtEndPr>
      <w:sdtContent>
        <w:p w14:paraId="75F24CA0" w14:textId="725A7BF1" w:rsidR="00E74558" w:rsidRPr="00DE6EDA" w:rsidRDefault="00E74558" w:rsidP="00DE6EDA">
          <w:pPr>
            <w:pStyle w:val="TOCHeading"/>
            <w:jc w:val="center"/>
            <w:rPr>
              <w:rFonts w:ascii="Calibri" w:hAnsi="Calibri" w:cs="Calibri"/>
              <w:b/>
              <w:bCs/>
              <w:color w:val="auto"/>
              <w:sz w:val="24"/>
              <w:szCs w:val="24"/>
            </w:rPr>
          </w:pPr>
          <w:r w:rsidRPr="00DE6EDA">
            <w:rPr>
              <w:rFonts w:ascii="Calibri" w:hAnsi="Calibri" w:cs="Calibri"/>
              <w:b/>
              <w:bCs/>
              <w:color w:val="auto"/>
              <w:sz w:val="24"/>
              <w:szCs w:val="24"/>
            </w:rPr>
            <w:t>Table of Contents</w:t>
          </w:r>
        </w:p>
        <w:p w14:paraId="049F9552" w14:textId="77777777" w:rsidR="00E74558" w:rsidRPr="00DE6EDA" w:rsidRDefault="00E74558" w:rsidP="00E74558">
          <w:pPr>
            <w:rPr>
              <w:rFonts w:ascii="Calibri" w:hAnsi="Calibri" w:cs="Calibri"/>
              <w:lang w:eastAsia="en-GB"/>
            </w:rPr>
          </w:pPr>
        </w:p>
        <w:p w14:paraId="499DC6DA" w14:textId="61C86647" w:rsidR="008762A8" w:rsidRPr="00DE6EDA" w:rsidRDefault="00E74558">
          <w:pPr>
            <w:pStyle w:val="TOC1"/>
            <w:tabs>
              <w:tab w:val="right" w:leader="dot" w:pos="9016"/>
            </w:tabs>
            <w:rPr>
              <w:rFonts w:ascii="Calibri" w:eastAsiaTheme="minorEastAsia" w:hAnsi="Calibri" w:cs="Calibri"/>
              <w:noProof/>
              <w:lang w:eastAsia="en-GB"/>
            </w:rPr>
          </w:pPr>
          <w:r w:rsidRPr="00DE6EDA">
            <w:rPr>
              <w:rFonts w:ascii="Calibri" w:hAnsi="Calibri" w:cs="Calibri"/>
            </w:rPr>
            <w:fldChar w:fldCharType="begin"/>
          </w:r>
          <w:r w:rsidRPr="00DE6EDA">
            <w:rPr>
              <w:rFonts w:ascii="Calibri" w:hAnsi="Calibri" w:cs="Calibri"/>
            </w:rPr>
            <w:instrText xml:space="preserve"> TOC \o "1-3" \h \z \u </w:instrText>
          </w:r>
          <w:r w:rsidRPr="00DE6EDA">
            <w:rPr>
              <w:rFonts w:ascii="Calibri" w:hAnsi="Calibri" w:cs="Calibri"/>
            </w:rPr>
            <w:fldChar w:fldCharType="separate"/>
          </w:r>
          <w:hyperlink w:anchor="_Toc162362295" w:history="1">
            <w:r w:rsidR="008762A8" w:rsidRPr="00DE6EDA">
              <w:rPr>
                <w:rStyle w:val="Hyperlink"/>
                <w:rFonts w:ascii="Calibri" w:hAnsi="Calibri" w:cs="Calibri"/>
                <w:noProof/>
              </w:rPr>
              <w:t>GLOSSARY OF TERMS AND KEY PRINCIPLES</w:t>
            </w:r>
            <w:r w:rsidR="008762A8" w:rsidRPr="00DE6EDA">
              <w:rPr>
                <w:rFonts w:ascii="Calibri" w:hAnsi="Calibri" w:cs="Calibri"/>
                <w:noProof/>
                <w:webHidden/>
              </w:rPr>
              <w:tab/>
            </w:r>
            <w:r w:rsidR="008762A8" w:rsidRPr="00DE6EDA">
              <w:rPr>
                <w:rFonts w:ascii="Calibri" w:hAnsi="Calibri" w:cs="Calibri"/>
                <w:noProof/>
                <w:webHidden/>
              </w:rPr>
              <w:fldChar w:fldCharType="begin"/>
            </w:r>
            <w:r w:rsidR="008762A8" w:rsidRPr="00DE6EDA">
              <w:rPr>
                <w:rFonts w:ascii="Calibri" w:hAnsi="Calibri" w:cs="Calibri"/>
                <w:noProof/>
                <w:webHidden/>
              </w:rPr>
              <w:instrText xml:space="preserve"> PAGEREF _Toc162362295 \h </w:instrText>
            </w:r>
            <w:r w:rsidR="008762A8" w:rsidRPr="00DE6EDA">
              <w:rPr>
                <w:rFonts w:ascii="Calibri" w:hAnsi="Calibri" w:cs="Calibri"/>
                <w:noProof/>
                <w:webHidden/>
              </w:rPr>
            </w:r>
            <w:r w:rsidR="008762A8" w:rsidRPr="00DE6EDA">
              <w:rPr>
                <w:rFonts w:ascii="Calibri" w:hAnsi="Calibri" w:cs="Calibri"/>
                <w:noProof/>
                <w:webHidden/>
              </w:rPr>
              <w:fldChar w:fldCharType="separate"/>
            </w:r>
            <w:r w:rsidR="001B5320">
              <w:rPr>
                <w:rFonts w:ascii="Calibri" w:hAnsi="Calibri" w:cs="Calibri"/>
                <w:noProof/>
                <w:webHidden/>
              </w:rPr>
              <w:t>3</w:t>
            </w:r>
            <w:r w:rsidR="008762A8" w:rsidRPr="00DE6EDA">
              <w:rPr>
                <w:rFonts w:ascii="Calibri" w:hAnsi="Calibri" w:cs="Calibri"/>
                <w:noProof/>
                <w:webHidden/>
              </w:rPr>
              <w:fldChar w:fldCharType="end"/>
            </w:r>
          </w:hyperlink>
        </w:p>
        <w:p w14:paraId="44E27189" w14:textId="47008810" w:rsidR="008762A8" w:rsidRPr="00DE6EDA" w:rsidRDefault="00000000">
          <w:pPr>
            <w:pStyle w:val="TOC1"/>
            <w:tabs>
              <w:tab w:val="left" w:pos="480"/>
              <w:tab w:val="right" w:leader="dot" w:pos="9016"/>
            </w:tabs>
            <w:rPr>
              <w:rFonts w:ascii="Calibri" w:eastAsiaTheme="minorEastAsia" w:hAnsi="Calibri" w:cs="Calibri"/>
              <w:noProof/>
              <w:lang w:eastAsia="en-GB"/>
            </w:rPr>
          </w:pPr>
          <w:hyperlink w:anchor="_Toc162362296" w:history="1">
            <w:r w:rsidR="008762A8" w:rsidRPr="00DE6EDA">
              <w:rPr>
                <w:rStyle w:val="Hyperlink"/>
                <w:rFonts w:ascii="Calibri" w:hAnsi="Calibri" w:cs="Calibri"/>
                <w:noProof/>
              </w:rPr>
              <w:t>I.</w:t>
            </w:r>
            <w:r w:rsidR="008762A8" w:rsidRPr="00DE6EDA">
              <w:rPr>
                <w:rFonts w:ascii="Calibri" w:eastAsiaTheme="minorEastAsia" w:hAnsi="Calibri" w:cs="Calibri"/>
                <w:noProof/>
                <w:lang w:eastAsia="en-GB"/>
              </w:rPr>
              <w:tab/>
            </w:r>
            <w:r w:rsidR="008762A8" w:rsidRPr="00DE6EDA">
              <w:rPr>
                <w:rStyle w:val="Hyperlink"/>
                <w:rFonts w:ascii="Calibri" w:hAnsi="Calibri" w:cs="Calibri"/>
                <w:noProof/>
              </w:rPr>
              <w:t>INTRODUCTION</w:t>
            </w:r>
            <w:r w:rsidR="008762A8" w:rsidRPr="00DE6EDA">
              <w:rPr>
                <w:rFonts w:ascii="Calibri" w:hAnsi="Calibri" w:cs="Calibri"/>
                <w:noProof/>
                <w:webHidden/>
              </w:rPr>
              <w:tab/>
            </w:r>
            <w:r w:rsidR="008762A8" w:rsidRPr="00DE6EDA">
              <w:rPr>
                <w:rFonts w:ascii="Calibri" w:hAnsi="Calibri" w:cs="Calibri"/>
                <w:noProof/>
                <w:webHidden/>
              </w:rPr>
              <w:fldChar w:fldCharType="begin"/>
            </w:r>
            <w:r w:rsidR="008762A8" w:rsidRPr="00DE6EDA">
              <w:rPr>
                <w:rFonts w:ascii="Calibri" w:hAnsi="Calibri" w:cs="Calibri"/>
                <w:noProof/>
                <w:webHidden/>
              </w:rPr>
              <w:instrText xml:space="preserve"> PAGEREF _Toc162362296 \h </w:instrText>
            </w:r>
            <w:r w:rsidR="008762A8" w:rsidRPr="00DE6EDA">
              <w:rPr>
                <w:rFonts w:ascii="Calibri" w:hAnsi="Calibri" w:cs="Calibri"/>
                <w:noProof/>
                <w:webHidden/>
              </w:rPr>
            </w:r>
            <w:r w:rsidR="008762A8" w:rsidRPr="00DE6EDA">
              <w:rPr>
                <w:rFonts w:ascii="Calibri" w:hAnsi="Calibri" w:cs="Calibri"/>
                <w:noProof/>
                <w:webHidden/>
              </w:rPr>
              <w:fldChar w:fldCharType="separate"/>
            </w:r>
            <w:r w:rsidR="001B5320">
              <w:rPr>
                <w:rFonts w:ascii="Calibri" w:hAnsi="Calibri" w:cs="Calibri"/>
                <w:noProof/>
                <w:webHidden/>
              </w:rPr>
              <w:t>4</w:t>
            </w:r>
            <w:r w:rsidR="008762A8" w:rsidRPr="00DE6EDA">
              <w:rPr>
                <w:rFonts w:ascii="Calibri" w:hAnsi="Calibri" w:cs="Calibri"/>
                <w:noProof/>
                <w:webHidden/>
              </w:rPr>
              <w:fldChar w:fldCharType="end"/>
            </w:r>
          </w:hyperlink>
        </w:p>
        <w:p w14:paraId="3E2A7487" w14:textId="4C5B802E" w:rsidR="008762A8" w:rsidRPr="00DE6EDA" w:rsidRDefault="00000000">
          <w:pPr>
            <w:pStyle w:val="TOC1"/>
            <w:tabs>
              <w:tab w:val="left" w:pos="480"/>
              <w:tab w:val="right" w:leader="dot" w:pos="9016"/>
            </w:tabs>
            <w:rPr>
              <w:rFonts w:ascii="Calibri" w:eastAsiaTheme="minorEastAsia" w:hAnsi="Calibri" w:cs="Calibri"/>
              <w:noProof/>
              <w:lang w:eastAsia="en-GB"/>
            </w:rPr>
          </w:pPr>
          <w:hyperlink w:anchor="_Toc162362297" w:history="1">
            <w:r w:rsidR="008762A8" w:rsidRPr="00DE6EDA">
              <w:rPr>
                <w:rStyle w:val="Hyperlink"/>
                <w:rFonts w:ascii="Calibri" w:hAnsi="Calibri" w:cs="Calibri"/>
                <w:noProof/>
              </w:rPr>
              <w:t>II.</w:t>
            </w:r>
            <w:r w:rsidR="008762A8" w:rsidRPr="00DE6EDA">
              <w:rPr>
                <w:rFonts w:ascii="Calibri" w:eastAsiaTheme="minorEastAsia" w:hAnsi="Calibri" w:cs="Calibri"/>
                <w:noProof/>
                <w:lang w:eastAsia="en-GB"/>
              </w:rPr>
              <w:tab/>
            </w:r>
            <w:r w:rsidR="008762A8" w:rsidRPr="00DE6EDA">
              <w:rPr>
                <w:rStyle w:val="Hyperlink"/>
                <w:rFonts w:ascii="Calibri" w:hAnsi="Calibri" w:cs="Calibri"/>
                <w:noProof/>
              </w:rPr>
              <w:t>THE RIGHT TO LIFE AND THE CHILD LAW</w:t>
            </w:r>
            <w:r w:rsidR="008762A8" w:rsidRPr="00DE6EDA">
              <w:rPr>
                <w:rFonts w:ascii="Calibri" w:hAnsi="Calibri" w:cs="Calibri"/>
                <w:noProof/>
                <w:webHidden/>
              </w:rPr>
              <w:tab/>
            </w:r>
            <w:r w:rsidR="008762A8" w:rsidRPr="00DE6EDA">
              <w:rPr>
                <w:rFonts w:ascii="Calibri" w:hAnsi="Calibri" w:cs="Calibri"/>
                <w:noProof/>
                <w:webHidden/>
              </w:rPr>
              <w:fldChar w:fldCharType="begin"/>
            </w:r>
            <w:r w:rsidR="008762A8" w:rsidRPr="00DE6EDA">
              <w:rPr>
                <w:rFonts w:ascii="Calibri" w:hAnsi="Calibri" w:cs="Calibri"/>
                <w:noProof/>
                <w:webHidden/>
              </w:rPr>
              <w:instrText xml:space="preserve"> PAGEREF _Toc162362297 \h </w:instrText>
            </w:r>
            <w:r w:rsidR="008762A8" w:rsidRPr="00DE6EDA">
              <w:rPr>
                <w:rFonts w:ascii="Calibri" w:hAnsi="Calibri" w:cs="Calibri"/>
                <w:noProof/>
                <w:webHidden/>
              </w:rPr>
            </w:r>
            <w:r w:rsidR="008762A8" w:rsidRPr="00DE6EDA">
              <w:rPr>
                <w:rFonts w:ascii="Calibri" w:hAnsi="Calibri" w:cs="Calibri"/>
                <w:noProof/>
                <w:webHidden/>
              </w:rPr>
              <w:fldChar w:fldCharType="separate"/>
            </w:r>
            <w:r w:rsidR="001B5320">
              <w:rPr>
                <w:rFonts w:ascii="Calibri" w:hAnsi="Calibri" w:cs="Calibri"/>
                <w:noProof/>
                <w:webHidden/>
              </w:rPr>
              <w:t>5</w:t>
            </w:r>
            <w:r w:rsidR="008762A8" w:rsidRPr="00DE6EDA">
              <w:rPr>
                <w:rFonts w:ascii="Calibri" w:hAnsi="Calibri" w:cs="Calibri"/>
                <w:noProof/>
                <w:webHidden/>
              </w:rPr>
              <w:fldChar w:fldCharType="end"/>
            </w:r>
          </w:hyperlink>
        </w:p>
        <w:p w14:paraId="7DC53E20" w14:textId="6088FC84" w:rsidR="008762A8" w:rsidRPr="00DE6EDA" w:rsidRDefault="00000000">
          <w:pPr>
            <w:pStyle w:val="TOC1"/>
            <w:tabs>
              <w:tab w:val="left" w:pos="720"/>
              <w:tab w:val="right" w:leader="dot" w:pos="9016"/>
            </w:tabs>
            <w:rPr>
              <w:rFonts w:ascii="Calibri" w:eastAsiaTheme="minorEastAsia" w:hAnsi="Calibri" w:cs="Calibri"/>
              <w:noProof/>
              <w:lang w:eastAsia="en-GB"/>
            </w:rPr>
          </w:pPr>
          <w:hyperlink w:anchor="_Toc162362298" w:history="1">
            <w:r w:rsidR="008762A8" w:rsidRPr="00DE6EDA">
              <w:rPr>
                <w:rStyle w:val="Hyperlink"/>
                <w:rFonts w:ascii="Calibri" w:hAnsi="Calibri" w:cs="Calibri"/>
                <w:noProof/>
              </w:rPr>
              <w:t>III.</w:t>
            </w:r>
            <w:r w:rsidR="008762A8" w:rsidRPr="00DE6EDA">
              <w:rPr>
                <w:rFonts w:ascii="Calibri" w:eastAsiaTheme="minorEastAsia" w:hAnsi="Calibri" w:cs="Calibri"/>
                <w:noProof/>
                <w:lang w:eastAsia="en-GB"/>
              </w:rPr>
              <w:tab/>
            </w:r>
            <w:r w:rsidR="008762A8" w:rsidRPr="00DE6EDA">
              <w:rPr>
                <w:rStyle w:val="Hyperlink"/>
                <w:rFonts w:ascii="Calibri" w:hAnsi="Calibri" w:cs="Calibri"/>
                <w:noProof/>
              </w:rPr>
              <w:t>CONCLUSIONS AND RECCOMENDATIONS</w:t>
            </w:r>
            <w:r w:rsidR="008762A8" w:rsidRPr="00DE6EDA">
              <w:rPr>
                <w:rFonts w:ascii="Calibri" w:hAnsi="Calibri" w:cs="Calibri"/>
                <w:noProof/>
                <w:webHidden/>
              </w:rPr>
              <w:tab/>
            </w:r>
            <w:r w:rsidR="008762A8" w:rsidRPr="00DE6EDA">
              <w:rPr>
                <w:rFonts w:ascii="Calibri" w:hAnsi="Calibri" w:cs="Calibri"/>
                <w:noProof/>
                <w:webHidden/>
              </w:rPr>
              <w:fldChar w:fldCharType="begin"/>
            </w:r>
            <w:r w:rsidR="008762A8" w:rsidRPr="00DE6EDA">
              <w:rPr>
                <w:rFonts w:ascii="Calibri" w:hAnsi="Calibri" w:cs="Calibri"/>
                <w:noProof/>
                <w:webHidden/>
              </w:rPr>
              <w:instrText xml:space="preserve"> PAGEREF _Toc162362298 \h </w:instrText>
            </w:r>
            <w:r w:rsidR="008762A8" w:rsidRPr="00DE6EDA">
              <w:rPr>
                <w:rFonts w:ascii="Calibri" w:hAnsi="Calibri" w:cs="Calibri"/>
                <w:noProof/>
                <w:webHidden/>
              </w:rPr>
            </w:r>
            <w:r w:rsidR="008762A8" w:rsidRPr="00DE6EDA">
              <w:rPr>
                <w:rFonts w:ascii="Calibri" w:hAnsi="Calibri" w:cs="Calibri"/>
                <w:noProof/>
                <w:webHidden/>
              </w:rPr>
              <w:fldChar w:fldCharType="separate"/>
            </w:r>
            <w:r w:rsidR="001B5320">
              <w:rPr>
                <w:rFonts w:ascii="Calibri" w:hAnsi="Calibri" w:cs="Calibri"/>
                <w:noProof/>
                <w:webHidden/>
              </w:rPr>
              <w:t>7</w:t>
            </w:r>
            <w:r w:rsidR="008762A8" w:rsidRPr="00DE6EDA">
              <w:rPr>
                <w:rFonts w:ascii="Calibri" w:hAnsi="Calibri" w:cs="Calibri"/>
                <w:noProof/>
                <w:webHidden/>
              </w:rPr>
              <w:fldChar w:fldCharType="end"/>
            </w:r>
          </w:hyperlink>
        </w:p>
        <w:p w14:paraId="6B729CEB" w14:textId="12ED3EB9" w:rsidR="00E74558" w:rsidRPr="00DE6EDA" w:rsidRDefault="00E74558">
          <w:pPr>
            <w:rPr>
              <w:rFonts w:ascii="Calibri" w:hAnsi="Calibri" w:cs="Calibri"/>
            </w:rPr>
          </w:pPr>
          <w:r w:rsidRPr="00DE6EDA">
            <w:rPr>
              <w:rFonts w:ascii="Calibri" w:hAnsi="Calibri" w:cs="Calibri"/>
              <w:b/>
              <w:bCs/>
            </w:rPr>
            <w:fldChar w:fldCharType="end"/>
          </w:r>
        </w:p>
      </w:sdtContent>
    </w:sdt>
    <w:p w14:paraId="6B6C7B90" w14:textId="77777777" w:rsidR="00E74558" w:rsidRPr="005D57B8" w:rsidRDefault="00E74558" w:rsidP="00F64FA5">
      <w:pPr>
        <w:rPr>
          <w:rFonts w:ascii="Calibri" w:hAnsi="Calibri" w:cs="Calibri"/>
        </w:rPr>
      </w:pPr>
    </w:p>
    <w:p w14:paraId="4AE664AC" w14:textId="77777777" w:rsidR="00E74558" w:rsidRPr="005D57B8" w:rsidRDefault="00E74558" w:rsidP="00F64FA5">
      <w:pPr>
        <w:rPr>
          <w:rFonts w:ascii="Calibri" w:hAnsi="Calibri" w:cs="Calibri"/>
        </w:rPr>
      </w:pPr>
    </w:p>
    <w:p w14:paraId="34861DC0" w14:textId="77777777" w:rsidR="00E74558" w:rsidRPr="005D57B8" w:rsidRDefault="00E74558" w:rsidP="00F64FA5">
      <w:pPr>
        <w:rPr>
          <w:rFonts w:ascii="Calibri" w:hAnsi="Calibri" w:cs="Calibri"/>
        </w:rPr>
      </w:pPr>
    </w:p>
    <w:p w14:paraId="689A5995" w14:textId="77777777" w:rsidR="000A73EF" w:rsidRPr="005D57B8" w:rsidRDefault="000A73EF" w:rsidP="00F64FA5">
      <w:pPr>
        <w:rPr>
          <w:rFonts w:ascii="Calibri" w:hAnsi="Calibri" w:cs="Calibri"/>
        </w:rPr>
      </w:pPr>
    </w:p>
    <w:p w14:paraId="2EE4CF3A" w14:textId="77777777" w:rsidR="000A73EF" w:rsidRPr="005D57B8" w:rsidRDefault="000A73EF" w:rsidP="00F64FA5">
      <w:pPr>
        <w:rPr>
          <w:rFonts w:ascii="Calibri" w:hAnsi="Calibri" w:cs="Calibri"/>
        </w:rPr>
      </w:pPr>
    </w:p>
    <w:p w14:paraId="53D5E6DE" w14:textId="77777777" w:rsidR="000A73EF" w:rsidRPr="005D57B8" w:rsidRDefault="000A73EF" w:rsidP="00F64FA5">
      <w:pPr>
        <w:rPr>
          <w:rFonts w:ascii="Calibri" w:hAnsi="Calibri" w:cs="Calibri"/>
        </w:rPr>
      </w:pPr>
    </w:p>
    <w:p w14:paraId="2CAC36B8" w14:textId="77777777" w:rsidR="000A73EF" w:rsidRPr="005D57B8" w:rsidRDefault="000A73EF" w:rsidP="00F64FA5">
      <w:pPr>
        <w:rPr>
          <w:rFonts w:ascii="Calibri" w:hAnsi="Calibri" w:cs="Calibri"/>
        </w:rPr>
      </w:pPr>
    </w:p>
    <w:p w14:paraId="786BBED5" w14:textId="77777777" w:rsidR="000A73EF" w:rsidRPr="005D57B8" w:rsidRDefault="000A73EF" w:rsidP="00F64FA5">
      <w:pPr>
        <w:rPr>
          <w:rFonts w:ascii="Calibri" w:hAnsi="Calibri" w:cs="Calibri"/>
        </w:rPr>
      </w:pPr>
    </w:p>
    <w:p w14:paraId="7CE48D83" w14:textId="77777777" w:rsidR="000A73EF" w:rsidRPr="005D57B8" w:rsidRDefault="000A73EF" w:rsidP="00F64FA5">
      <w:pPr>
        <w:rPr>
          <w:rFonts w:ascii="Calibri" w:hAnsi="Calibri" w:cs="Calibri"/>
        </w:rPr>
      </w:pPr>
    </w:p>
    <w:p w14:paraId="4E2F3BA1" w14:textId="77777777" w:rsidR="000A73EF" w:rsidRPr="005D57B8" w:rsidRDefault="000A73EF" w:rsidP="00F64FA5">
      <w:pPr>
        <w:rPr>
          <w:rFonts w:ascii="Calibri" w:hAnsi="Calibri" w:cs="Calibri"/>
        </w:rPr>
      </w:pPr>
    </w:p>
    <w:p w14:paraId="3E760897" w14:textId="77777777" w:rsidR="000A73EF" w:rsidRPr="005D57B8" w:rsidRDefault="000A73EF" w:rsidP="00F64FA5">
      <w:pPr>
        <w:rPr>
          <w:rFonts w:ascii="Calibri" w:hAnsi="Calibri" w:cs="Calibri"/>
        </w:rPr>
      </w:pPr>
    </w:p>
    <w:p w14:paraId="5F5C939F" w14:textId="77777777" w:rsidR="000A73EF" w:rsidRPr="005D57B8" w:rsidRDefault="000A73EF" w:rsidP="00F64FA5">
      <w:pPr>
        <w:rPr>
          <w:rFonts w:ascii="Calibri" w:hAnsi="Calibri" w:cs="Calibri"/>
        </w:rPr>
      </w:pPr>
    </w:p>
    <w:p w14:paraId="153780B3" w14:textId="78AE8FBF" w:rsidR="00DE6EDA" w:rsidRDefault="00DE6EDA">
      <w:pPr>
        <w:spacing w:line="259" w:lineRule="auto"/>
        <w:rPr>
          <w:rFonts w:ascii="Calibri" w:hAnsi="Calibri" w:cs="Calibri"/>
        </w:rPr>
      </w:pPr>
    </w:p>
    <w:p w14:paraId="0E8605B0" w14:textId="59B1800F" w:rsidR="00D0157F" w:rsidRPr="005D57B8" w:rsidRDefault="00B432AD" w:rsidP="00B432AD">
      <w:pPr>
        <w:pStyle w:val="Heading1"/>
      </w:pPr>
      <w:bookmarkStart w:id="0" w:name="_Toc162362295"/>
      <w:r w:rsidRPr="005D57B8">
        <w:lastRenderedPageBreak/>
        <w:t>GLOSSARY OF TERMS AND KEY PRINCIPLES</w:t>
      </w:r>
      <w:bookmarkEnd w:id="0"/>
    </w:p>
    <w:p w14:paraId="262B3525" w14:textId="77777777" w:rsidR="00B432AD" w:rsidRPr="005D57B8" w:rsidRDefault="00B432AD" w:rsidP="00B432AD">
      <w:pP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477"/>
      </w:tblGrid>
      <w:tr w:rsidR="008762A8" w:rsidRPr="005D57B8" w14:paraId="1B1DAEE6" w14:textId="77777777" w:rsidTr="001C57C9">
        <w:tc>
          <w:tcPr>
            <w:tcW w:w="3539" w:type="dxa"/>
          </w:tcPr>
          <w:p w14:paraId="0E95D14A" w14:textId="0B807B4E" w:rsidR="008762A8" w:rsidRPr="005D57B8" w:rsidRDefault="008762A8" w:rsidP="001C57C9">
            <w:pPr>
              <w:rPr>
                <w:rFonts w:ascii="Calibri" w:hAnsi="Calibri" w:cs="Calibri"/>
                <w:b/>
                <w:bCs/>
                <w:sz w:val="22"/>
                <w:szCs w:val="22"/>
              </w:rPr>
            </w:pPr>
            <w:r w:rsidRPr="005D57B8">
              <w:rPr>
                <w:rFonts w:ascii="Calibri" w:hAnsi="Calibri" w:cs="Calibri"/>
                <w:b/>
                <w:bCs/>
                <w:sz w:val="22"/>
                <w:szCs w:val="22"/>
              </w:rPr>
              <w:t>Child/Children</w:t>
            </w:r>
          </w:p>
        </w:tc>
        <w:tc>
          <w:tcPr>
            <w:tcW w:w="5477" w:type="dxa"/>
          </w:tcPr>
          <w:p w14:paraId="5B07113D" w14:textId="45CC3432" w:rsidR="008762A8" w:rsidRPr="005D57B8" w:rsidRDefault="008762A8" w:rsidP="001C57C9">
            <w:pPr>
              <w:rPr>
                <w:rFonts w:ascii="Calibri" w:hAnsi="Calibri" w:cs="Calibri"/>
                <w:sz w:val="22"/>
                <w:szCs w:val="22"/>
              </w:rPr>
            </w:pPr>
            <w:r w:rsidRPr="005D57B8">
              <w:rPr>
                <w:rFonts w:ascii="Calibri" w:hAnsi="Calibri" w:cs="Calibri"/>
                <w:sz w:val="22"/>
                <w:szCs w:val="22"/>
              </w:rPr>
              <w:t>A person who, under Egyptian law, has not yet attained the age of 18.</w:t>
            </w:r>
            <w:r w:rsidRPr="005D57B8">
              <w:rPr>
                <w:rStyle w:val="FootnoteReference"/>
                <w:rFonts w:ascii="Calibri" w:hAnsi="Calibri" w:cs="Calibri"/>
                <w:sz w:val="22"/>
                <w:szCs w:val="22"/>
              </w:rPr>
              <w:footnoteReference w:id="1"/>
            </w:r>
            <w:r w:rsidRPr="005D57B8">
              <w:rPr>
                <w:rFonts w:ascii="Calibri" w:hAnsi="Calibri" w:cs="Calibri"/>
                <w:sz w:val="22"/>
                <w:szCs w:val="22"/>
              </w:rPr>
              <w:t xml:space="preserve"> For the purpose of this submission, it refers to persons sentenced to death both before they turned 18 or for </w:t>
            </w:r>
            <w:r w:rsidR="0057724B">
              <w:rPr>
                <w:rFonts w:ascii="Calibri" w:hAnsi="Calibri" w:cs="Calibri"/>
                <w:sz w:val="22"/>
                <w:szCs w:val="22"/>
              </w:rPr>
              <w:t xml:space="preserve">an </w:t>
            </w:r>
            <w:r w:rsidRPr="005D57B8">
              <w:rPr>
                <w:rFonts w:ascii="Calibri" w:hAnsi="Calibri" w:cs="Calibri"/>
                <w:sz w:val="22"/>
                <w:szCs w:val="22"/>
              </w:rPr>
              <w:t>alleged offence committed before reaching the age of 18.</w:t>
            </w:r>
          </w:p>
          <w:p w14:paraId="7AD6BD00" w14:textId="77777777" w:rsidR="008762A8" w:rsidRPr="005D57B8" w:rsidRDefault="008762A8" w:rsidP="001C57C9">
            <w:pPr>
              <w:rPr>
                <w:rFonts w:ascii="Calibri" w:hAnsi="Calibri" w:cs="Calibri"/>
                <w:b/>
                <w:bCs/>
                <w:i/>
                <w:iCs/>
                <w:sz w:val="22"/>
                <w:szCs w:val="22"/>
              </w:rPr>
            </w:pPr>
          </w:p>
        </w:tc>
      </w:tr>
      <w:tr w:rsidR="008762A8" w:rsidRPr="005D57B8" w14:paraId="4E2B9E66" w14:textId="77777777" w:rsidTr="001C57C9">
        <w:tc>
          <w:tcPr>
            <w:tcW w:w="3539" w:type="dxa"/>
          </w:tcPr>
          <w:p w14:paraId="5CCB77CF" w14:textId="007AAFC4" w:rsidR="008762A8" w:rsidRPr="005D57B8" w:rsidRDefault="008762A8" w:rsidP="001C57C9">
            <w:pPr>
              <w:rPr>
                <w:rFonts w:ascii="Calibri" w:hAnsi="Calibri" w:cs="Calibri"/>
                <w:b/>
                <w:bCs/>
                <w:sz w:val="22"/>
                <w:szCs w:val="22"/>
              </w:rPr>
            </w:pPr>
            <w:r w:rsidRPr="005D57B8">
              <w:rPr>
                <w:rFonts w:ascii="Calibri" w:hAnsi="Calibri" w:cs="Calibri"/>
                <w:b/>
                <w:bCs/>
                <w:sz w:val="22"/>
                <w:szCs w:val="22"/>
              </w:rPr>
              <w:t>Child Law or Child Code</w:t>
            </w:r>
          </w:p>
        </w:tc>
        <w:tc>
          <w:tcPr>
            <w:tcW w:w="5477" w:type="dxa"/>
          </w:tcPr>
          <w:p w14:paraId="7DB5A287" w14:textId="77777777" w:rsidR="008762A8" w:rsidRPr="005D57B8" w:rsidRDefault="008762A8" w:rsidP="001C57C9">
            <w:pPr>
              <w:rPr>
                <w:rFonts w:ascii="Calibri" w:hAnsi="Calibri" w:cs="Calibri"/>
                <w:sz w:val="22"/>
                <w:szCs w:val="22"/>
              </w:rPr>
            </w:pPr>
            <w:r w:rsidRPr="005D57B8">
              <w:rPr>
                <w:rFonts w:ascii="Calibri" w:hAnsi="Calibri" w:cs="Calibri"/>
                <w:sz w:val="22"/>
                <w:szCs w:val="22"/>
              </w:rPr>
              <w:t>A domestic law originally passed in 1996, and amended in 2008, which protects children under the age of 18 from the death sentence and life imprisonment.</w:t>
            </w:r>
            <w:r w:rsidRPr="005D57B8">
              <w:rPr>
                <w:rStyle w:val="FootnoteReference"/>
                <w:rFonts w:ascii="Calibri" w:hAnsi="Calibri" w:cs="Calibri"/>
                <w:sz w:val="22"/>
                <w:szCs w:val="22"/>
              </w:rPr>
              <w:footnoteReference w:id="2"/>
            </w:r>
          </w:p>
          <w:p w14:paraId="58BC62EA" w14:textId="77777777" w:rsidR="008762A8" w:rsidRPr="005D57B8" w:rsidRDefault="008762A8" w:rsidP="001C57C9">
            <w:pPr>
              <w:rPr>
                <w:rFonts w:ascii="Calibri" w:hAnsi="Calibri" w:cs="Calibri"/>
                <w:sz w:val="22"/>
                <w:szCs w:val="22"/>
                <w:highlight w:val="yellow"/>
              </w:rPr>
            </w:pPr>
          </w:p>
        </w:tc>
      </w:tr>
      <w:tr w:rsidR="008762A8" w:rsidRPr="005D57B8" w14:paraId="2833B36E" w14:textId="77777777" w:rsidTr="001C57C9">
        <w:tc>
          <w:tcPr>
            <w:tcW w:w="3539" w:type="dxa"/>
          </w:tcPr>
          <w:p w14:paraId="61C8EB91" w14:textId="77777777" w:rsidR="008762A8" w:rsidRPr="005D57B8" w:rsidRDefault="008762A8" w:rsidP="001C57C9">
            <w:pPr>
              <w:rPr>
                <w:rFonts w:ascii="Calibri" w:hAnsi="Calibri" w:cs="Calibri"/>
                <w:b/>
                <w:bCs/>
                <w:sz w:val="22"/>
                <w:szCs w:val="22"/>
              </w:rPr>
            </w:pPr>
            <w:r w:rsidRPr="005D57B8">
              <w:rPr>
                <w:rFonts w:ascii="Calibri" w:hAnsi="Calibri" w:cs="Calibri"/>
                <w:b/>
                <w:bCs/>
                <w:sz w:val="22"/>
                <w:szCs w:val="22"/>
              </w:rPr>
              <w:t>Mass trial</w:t>
            </w:r>
          </w:p>
          <w:p w14:paraId="7A687E67" w14:textId="1009C4A0" w:rsidR="008762A8" w:rsidRPr="005D57B8" w:rsidRDefault="008762A8" w:rsidP="001C57C9">
            <w:pPr>
              <w:rPr>
                <w:rFonts w:ascii="Calibri" w:hAnsi="Calibri" w:cs="Calibri"/>
                <w:b/>
                <w:bCs/>
                <w:sz w:val="22"/>
                <w:szCs w:val="22"/>
              </w:rPr>
            </w:pPr>
          </w:p>
        </w:tc>
        <w:tc>
          <w:tcPr>
            <w:tcW w:w="5477" w:type="dxa"/>
          </w:tcPr>
          <w:p w14:paraId="7401F16A" w14:textId="77777777" w:rsidR="008762A8" w:rsidRPr="005D57B8" w:rsidRDefault="008762A8" w:rsidP="001C57C9">
            <w:pPr>
              <w:rPr>
                <w:rFonts w:ascii="Calibri" w:hAnsi="Calibri" w:cs="Calibri"/>
                <w:sz w:val="22"/>
                <w:szCs w:val="22"/>
              </w:rPr>
            </w:pPr>
            <w:r w:rsidRPr="005D57B8">
              <w:rPr>
                <w:rFonts w:ascii="Calibri" w:hAnsi="Calibri" w:cs="Calibri"/>
                <w:sz w:val="22"/>
                <w:szCs w:val="22"/>
              </w:rPr>
              <w:t>There is no single internationally accepted definition of a mass trial. For the purposes of this submission, a mass trial is defined as one in which 15 or more individuals are tried simultaneously.</w:t>
            </w:r>
          </w:p>
          <w:p w14:paraId="6C523121" w14:textId="77777777" w:rsidR="008762A8" w:rsidRPr="005D57B8" w:rsidRDefault="008762A8" w:rsidP="001C57C9">
            <w:pPr>
              <w:rPr>
                <w:rFonts w:ascii="Calibri" w:hAnsi="Calibri" w:cs="Calibri"/>
                <w:sz w:val="22"/>
                <w:szCs w:val="22"/>
                <w:highlight w:val="yellow"/>
              </w:rPr>
            </w:pPr>
          </w:p>
        </w:tc>
      </w:tr>
      <w:tr w:rsidR="008762A8" w:rsidRPr="005D57B8" w14:paraId="5114A82D" w14:textId="77777777" w:rsidTr="001C57C9">
        <w:tc>
          <w:tcPr>
            <w:tcW w:w="3539" w:type="dxa"/>
          </w:tcPr>
          <w:p w14:paraId="627740ED" w14:textId="323F2E77" w:rsidR="008762A8" w:rsidRPr="005D57B8" w:rsidRDefault="008762A8" w:rsidP="001C57C9">
            <w:pPr>
              <w:rPr>
                <w:rFonts w:ascii="Calibri" w:hAnsi="Calibri" w:cs="Calibri"/>
                <w:b/>
                <w:bCs/>
                <w:sz w:val="22"/>
                <w:szCs w:val="22"/>
              </w:rPr>
            </w:pPr>
          </w:p>
        </w:tc>
        <w:tc>
          <w:tcPr>
            <w:tcW w:w="5477" w:type="dxa"/>
          </w:tcPr>
          <w:p w14:paraId="44B0E381" w14:textId="113904F3" w:rsidR="008762A8" w:rsidRPr="005D57B8" w:rsidRDefault="008762A8" w:rsidP="001C57C9">
            <w:pPr>
              <w:rPr>
                <w:rFonts w:ascii="Calibri" w:hAnsi="Calibri" w:cs="Calibri"/>
                <w:sz w:val="22"/>
                <w:szCs w:val="22"/>
                <w:highlight w:val="yellow"/>
              </w:rPr>
            </w:pPr>
          </w:p>
        </w:tc>
      </w:tr>
      <w:tr w:rsidR="008762A8" w:rsidRPr="005D57B8" w14:paraId="40B02C8F" w14:textId="77777777" w:rsidTr="001C57C9">
        <w:tc>
          <w:tcPr>
            <w:tcW w:w="3539" w:type="dxa"/>
          </w:tcPr>
          <w:p w14:paraId="19C03199" w14:textId="7046DA0A" w:rsidR="008762A8" w:rsidRPr="005D57B8" w:rsidRDefault="008762A8" w:rsidP="001C57C9">
            <w:pPr>
              <w:rPr>
                <w:rFonts w:ascii="Calibri" w:hAnsi="Calibri" w:cs="Calibri"/>
                <w:b/>
                <w:bCs/>
                <w:sz w:val="22"/>
                <w:szCs w:val="22"/>
              </w:rPr>
            </w:pPr>
          </w:p>
        </w:tc>
        <w:tc>
          <w:tcPr>
            <w:tcW w:w="5477" w:type="dxa"/>
          </w:tcPr>
          <w:p w14:paraId="6C16C5D3" w14:textId="77777777" w:rsidR="008762A8" w:rsidRPr="005D57B8" w:rsidRDefault="008762A8" w:rsidP="001C57C9">
            <w:pPr>
              <w:rPr>
                <w:rFonts w:ascii="Calibri" w:hAnsi="Calibri" w:cs="Calibri"/>
                <w:sz w:val="22"/>
                <w:szCs w:val="22"/>
                <w:highlight w:val="yellow"/>
              </w:rPr>
            </w:pPr>
          </w:p>
        </w:tc>
      </w:tr>
      <w:tr w:rsidR="008762A8" w:rsidRPr="005D57B8" w14:paraId="23F3C976" w14:textId="77777777" w:rsidTr="001C57C9">
        <w:tc>
          <w:tcPr>
            <w:tcW w:w="3539" w:type="dxa"/>
          </w:tcPr>
          <w:p w14:paraId="41AA3BFF" w14:textId="236998AA" w:rsidR="008762A8" w:rsidRPr="005D57B8" w:rsidRDefault="008762A8" w:rsidP="001C57C9">
            <w:pPr>
              <w:rPr>
                <w:rFonts w:ascii="Calibri" w:hAnsi="Calibri" w:cs="Calibri"/>
                <w:b/>
                <w:bCs/>
                <w:sz w:val="22"/>
                <w:szCs w:val="22"/>
              </w:rPr>
            </w:pPr>
          </w:p>
        </w:tc>
        <w:tc>
          <w:tcPr>
            <w:tcW w:w="5477" w:type="dxa"/>
          </w:tcPr>
          <w:p w14:paraId="51AAE3D8" w14:textId="69279609" w:rsidR="008762A8" w:rsidRPr="005D57B8" w:rsidRDefault="008762A8" w:rsidP="001C57C9">
            <w:pPr>
              <w:rPr>
                <w:rFonts w:ascii="Calibri" w:hAnsi="Calibri" w:cs="Calibri"/>
                <w:sz w:val="22"/>
                <w:szCs w:val="22"/>
              </w:rPr>
            </w:pPr>
          </w:p>
        </w:tc>
      </w:tr>
      <w:tr w:rsidR="008762A8" w:rsidRPr="005D57B8" w14:paraId="0874D2FA" w14:textId="77777777" w:rsidTr="001C57C9">
        <w:tc>
          <w:tcPr>
            <w:tcW w:w="3539" w:type="dxa"/>
          </w:tcPr>
          <w:p w14:paraId="5A846E3C" w14:textId="0FB8EBCC" w:rsidR="008762A8" w:rsidRPr="005D57B8" w:rsidRDefault="008762A8" w:rsidP="001C57C9">
            <w:pPr>
              <w:rPr>
                <w:rFonts w:ascii="Calibri" w:hAnsi="Calibri" w:cs="Calibri"/>
                <w:b/>
                <w:bCs/>
                <w:sz w:val="22"/>
                <w:szCs w:val="22"/>
              </w:rPr>
            </w:pPr>
          </w:p>
        </w:tc>
        <w:tc>
          <w:tcPr>
            <w:tcW w:w="5477" w:type="dxa"/>
          </w:tcPr>
          <w:p w14:paraId="1C0BB6E9" w14:textId="0F02F23D" w:rsidR="008762A8" w:rsidRPr="005D57B8" w:rsidRDefault="008762A8" w:rsidP="001C57C9">
            <w:pPr>
              <w:rPr>
                <w:rFonts w:ascii="Calibri" w:hAnsi="Calibri" w:cs="Calibri"/>
                <w:sz w:val="22"/>
                <w:szCs w:val="22"/>
              </w:rPr>
            </w:pPr>
          </w:p>
        </w:tc>
      </w:tr>
      <w:tr w:rsidR="008762A8" w:rsidRPr="005D57B8" w14:paraId="6052F48D" w14:textId="77777777" w:rsidTr="001C57C9">
        <w:tc>
          <w:tcPr>
            <w:tcW w:w="3539" w:type="dxa"/>
          </w:tcPr>
          <w:p w14:paraId="00644CDF" w14:textId="77777777" w:rsidR="008762A8" w:rsidRPr="005D57B8" w:rsidRDefault="008762A8" w:rsidP="001C57C9">
            <w:pPr>
              <w:rPr>
                <w:rFonts w:ascii="Calibri" w:hAnsi="Calibri" w:cs="Calibri"/>
                <w:b/>
                <w:bCs/>
                <w:sz w:val="22"/>
                <w:szCs w:val="22"/>
              </w:rPr>
            </w:pPr>
          </w:p>
        </w:tc>
        <w:tc>
          <w:tcPr>
            <w:tcW w:w="5477" w:type="dxa"/>
          </w:tcPr>
          <w:p w14:paraId="22E5AE0D" w14:textId="7B50161C" w:rsidR="008762A8" w:rsidRPr="005D57B8" w:rsidRDefault="008762A8" w:rsidP="001C57C9">
            <w:pPr>
              <w:rPr>
                <w:rFonts w:ascii="Calibri" w:hAnsi="Calibri" w:cs="Calibri"/>
                <w:sz w:val="22"/>
                <w:szCs w:val="22"/>
              </w:rPr>
            </w:pPr>
          </w:p>
        </w:tc>
      </w:tr>
    </w:tbl>
    <w:p w14:paraId="697CA68D" w14:textId="77777777" w:rsidR="00B432AD" w:rsidRPr="005D57B8" w:rsidRDefault="00B432AD" w:rsidP="00B432AD">
      <w:pPr>
        <w:rPr>
          <w:rFonts w:ascii="Calibri" w:hAnsi="Calibri" w:cs="Calibri"/>
        </w:rPr>
      </w:pPr>
    </w:p>
    <w:p w14:paraId="6E0E6D8D" w14:textId="77777777" w:rsidR="00B432AD" w:rsidRPr="005D57B8" w:rsidRDefault="00B432AD" w:rsidP="00B432AD">
      <w:pPr>
        <w:rPr>
          <w:rFonts w:ascii="Calibri" w:hAnsi="Calibri" w:cs="Calibri"/>
        </w:rPr>
      </w:pPr>
      <w:r w:rsidRPr="005D57B8">
        <w:rPr>
          <w:rFonts w:ascii="Calibri" w:hAnsi="Calibri" w:cs="Calibri"/>
        </w:rPr>
        <w:tab/>
      </w:r>
    </w:p>
    <w:p w14:paraId="2391D7CF" w14:textId="6B2384B8" w:rsidR="00A4171D" w:rsidRPr="005D57B8" w:rsidRDefault="00B432AD" w:rsidP="00A4171D">
      <w:pPr>
        <w:rPr>
          <w:rFonts w:ascii="Calibri" w:hAnsi="Calibri" w:cs="Calibri"/>
        </w:rPr>
      </w:pPr>
      <w:r w:rsidRPr="005D57B8">
        <w:rPr>
          <w:rFonts w:ascii="Calibri" w:hAnsi="Calibri" w:cs="Calibri"/>
        </w:rPr>
        <w:br w:type="page"/>
      </w:r>
    </w:p>
    <w:p w14:paraId="3A152D7F" w14:textId="18E62862" w:rsidR="00A4171D" w:rsidRPr="005D57B8" w:rsidRDefault="00A4171D" w:rsidP="00A4171D">
      <w:pPr>
        <w:pStyle w:val="Heading1"/>
        <w:numPr>
          <w:ilvl w:val="0"/>
          <w:numId w:val="2"/>
        </w:numPr>
      </w:pPr>
      <w:bookmarkStart w:id="1" w:name="_Toc162362296"/>
      <w:r w:rsidRPr="005D57B8">
        <w:lastRenderedPageBreak/>
        <w:t>INTRODUCTION</w:t>
      </w:r>
      <w:bookmarkEnd w:id="1"/>
    </w:p>
    <w:p w14:paraId="5F778B5C" w14:textId="77777777" w:rsidR="00A4171D" w:rsidRPr="005D57B8" w:rsidRDefault="00A4171D" w:rsidP="00A4171D">
      <w:pPr>
        <w:rPr>
          <w:rFonts w:ascii="Calibri" w:hAnsi="Calibri" w:cs="Calibri"/>
        </w:rPr>
      </w:pPr>
    </w:p>
    <w:p w14:paraId="6C202D25" w14:textId="079D41EB" w:rsidR="002742ED" w:rsidRDefault="002B1290" w:rsidP="008E35DE">
      <w:pPr>
        <w:pStyle w:val="ListParagraph"/>
        <w:numPr>
          <w:ilvl w:val="0"/>
          <w:numId w:val="3"/>
        </w:numPr>
        <w:jc w:val="both"/>
        <w:rPr>
          <w:rFonts w:ascii="Calibri" w:hAnsi="Calibri" w:cs="Calibri"/>
        </w:rPr>
      </w:pPr>
      <w:r w:rsidRPr="005D57B8">
        <w:rPr>
          <w:rFonts w:ascii="Calibri" w:hAnsi="Calibri" w:cs="Calibri"/>
        </w:rPr>
        <w:t xml:space="preserve">This joint submission </w:t>
      </w:r>
      <w:r w:rsidR="008C7C07">
        <w:rPr>
          <w:rFonts w:ascii="Calibri" w:hAnsi="Calibri" w:cs="Calibri"/>
        </w:rPr>
        <w:t xml:space="preserve">provides additional information to the </w:t>
      </w:r>
      <w:r w:rsidR="009E3555">
        <w:rPr>
          <w:rFonts w:ascii="Calibri" w:hAnsi="Calibri" w:cs="Calibri"/>
        </w:rPr>
        <w:t>Committee on the Rights of the Child (CRC)</w:t>
      </w:r>
      <w:r w:rsidR="008C7C07">
        <w:rPr>
          <w:rFonts w:ascii="Calibri" w:hAnsi="Calibri" w:cs="Calibri"/>
        </w:rPr>
        <w:t xml:space="preserve"> to detail </w:t>
      </w:r>
      <w:r w:rsidRPr="005D57B8">
        <w:rPr>
          <w:rFonts w:ascii="Calibri" w:hAnsi="Calibri" w:cs="Calibri"/>
        </w:rPr>
        <w:t xml:space="preserve">the </w:t>
      </w:r>
      <w:r w:rsidR="008C7C07">
        <w:rPr>
          <w:rFonts w:ascii="Calibri" w:hAnsi="Calibri" w:cs="Calibri"/>
        </w:rPr>
        <w:t xml:space="preserve">legal </w:t>
      </w:r>
      <w:r w:rsidR="008C7C07" w:rsidRPr="007F67A0">
        <w:rPr>
          <w:rFonts w:ascii="Calibri" w:hAnsi="Calibri" w:cs="Calibri"/>
        </w:rPr>
        <w:t>loopholes</w:t>
      </w:r>
      <w:r w:rsidR="008C7C07">
        <w:rPr>
          <w:rFonts w:ascii="Calibri" w:hAnsi="Calibri" w:cs="Calibri"/>
        </w:rPr>
        <w:t xml:space="preserve"> in </w:t>
      </w:r>
      <w:r w:rsidR="00B84A60">
        <w:rPr>
          <w:rFonts w:ascii="Calibri" w:hAnsi="Calibri" w:cs="Calibri"/>
        </w:rPr>
        <w:t>article</w:t>
      </w:r>
      <w:r w:rsidR="008C7C07">
        <w:rPr>
          <w:rFonts w:ascii="Calibri" w:hAnsi="Calibri" w:cs="Calibri"/>
        </w:rPr>
        <w:t xml:space="preserve"> 122 of the </w:t>
      </w:r>
      <w:r w:rsidRPr="005D57B8">
        <w:rPr>
          <w:rFonts w:ascii="Calibri" w:hAnsi="Calibri" w:cs="Calibri"/>
        </w:rPr>
        <w:t>Arab Republic of Egypt</w:t>
      </w:r>
      <w:r w:rsidR="008C7C07">
        <w:rPr>
          <w:rFonts w:ascii="Calibri" w:hAnsi="Calibri" w:cs="Calibri"/>
        </w:rPr>
        <w:t>’s</w:t>
      </w:r>
      <w:r w:rsidRPr="005D57B8">
        <w:rPr>
          <w:rFonts w:ascii="Calibri" w:hAnsi="Calibri" w:cs="Calibri"/>
        </w:rPr>
        <w:t xml:space="preserve"> (Egypt)</w:t>
      </w:r>
      <w:r w:rsidR="008C7C07">
        <w:rPr>
          <w:rFonts w:ascii="Calibri" w:hAnsi="Calibri" w:cs="Calibri"/>
        </w:rPr>
        <w:t xml:space="preserve"> Child Law</w:t>
      </w:r>
      <w:r w:rsidR="00D439DB">
        <w:rPr>
          <w:rFonts w:ascii="Calibri" w:hAnsi="Calibri" w:cs="Calibri"/>
        </w:rPr>
        <w:t xml:space="preserve">, which </w:t>
      </w:r>
      <w:r w:rsidR="008C7C07">
        <w:rPr>
          <w:rFonts w:ascii="Calibri" w:hAnsi="Calibri" w:cs="Calibri"/>
        </w:rPr>
        <w:t>allow</w:t>
      </w:r>
      <w:r w:rsidR="00D439DB">
        <w:rPr>
          <w:rFonts w:ascii="Calibri" w:hAnsi="Calibri" w:cs="Calibri"/>
        </w:rPr>
        <w:t>s</w:t>
      </w:r>
      <w:r w:rsidR="008C7C07">
        <w:rPr>
          <w:rFonts w:ascii="Calibri" w:hAnsi="Calibri" w:cs="Calibri"/>
        </w:rPr>
        <w:t xml:space="preserve"> for children to be sentenced to death and thereby</w:t>
      </w:r>
      <w:r w:rsidRPr="005D57B8">
        <w:rPr>
          <w:rFonts w:ascii="Calibri" w:hAnsi="Calibri" w:cs="Calibri"/>
        </w:rPr>
        <w:t xml:space="preserve"> </w:t>
      </w:r>
      <w:r w:rsidR="008C7C07">
        <w:rPr>
          <w:rFonts w:ascii="Calibri" w:hAnsi="Calibri" w:cs="Calibri"/>
        </w:rPr>
        <w:t xml:space="preserve">in violation of Egypt’s obligations under </w:t>
      </w:r>
      <w:r w:rsidR="00B84A60">
        <w:rPr>
          <w:rFonts w:ascii="Calibri" w:hAnsi="Calibri" w:cs="Calibri"/>
        </w:rPr>
        <w:t>article</w:t>
      </w:r>
      <w:r w:rsidRPr="005D57B8">
        <w:rPr>
          <w:rFonts w:ascii="Calibri" w:hAnsi="Calibri" w:cs="Calibri"/>
        </w:rPr>
        <w:t xml:space="preserve"> 37 of the </w:t>
      </w:r>
      <w:bookmarkStart w:id="2" w:name="_Hlk162340833"/>
      <w:r w:rsidRPr="005D57B8">
        <w:rPr>
          <w:rFonts w:ascii="Calibri" w:hAnsi="Calibri" w:cs="Calibri"/>
        </w:rPr>
        <w:t>Convention on the Rights of the Child</w:t>
      </w:r>
      <w:bookmarkEnd w:id="2"/>
      <w:r w:rsidR="008C7C07">
        <w:rPr>
          <w:rFonts w:ascii="Calibri" w:hAnsi="Calibri" w:cs="Calibri"/>
        </w:rPr>
        <w:t xml:space="preserve"> </w:t>
      </w:r>
      <w:r w:rsidR="008C7C07" w:rsidRPr="005D57B8">
        <w:rPr>
          <w:rFonts w:ascii="Calibri" w:hAnsi="Calibri" w:cs="Calibri"/>
        </w:rPr>
        <w:t>prohibiti</w:t>
      </w:r>
      <w:r w:rsidR="008C7C07">
        <w:rPr>
          <w:rFonts w:ascii="Calibri" w:hAnsi="Calibri" w:cs="Calibri"/>
        </w:rPr>
        <w:t>ng</w:t>
      </w:r>
      <w:r w:rsidR="008C7C07" w:rsidRPr="005D57B8">
        <w:rPr>
          <w:rFonts w:ascii="Calibri" w:hAnsi="Calibri" w:cs="Calibri"/>
        </w:rPr>
        <w:t xml:space="preserve"> the</w:t>
      </w:r>
      <w:r w:rsidR="008C7C07">
        <w:rPr>
          <w:rFonts w:ascii="Calibri" w:hAnsi="Calibri" w:cs="Calibri"/>
        </w:rPr>
        <w:t xml:space="preserve"> use of the</w:t>
      </w:r>
      <w:r w:rsidR="008C7C07" w:rsidRPr="005D57B8">
        <w:rPr>
          <w:rFonts w:ascii="Calibri" w:hAnsi="Calibri" w:cs="Calibri"/>
        </w:rPr>
        <w:t xml:space="preserve"> death penalty for children</w:t>
      </w:r>
      <w:r w:rsidR="008C7C07">
        <w:rPr>
          <w:rFonts w:ascii="Calibri" w:hAnsi="Calibri" w:cs="Calibri"/>
        </w:rPr>
        <w:t>.</w:t>
      </w:r>
    </w:p>
    <w:p w14:paraId="2A2288E1" w14:textId="77777777" w:rsidR="008E35DE" w:rsidRPr="008E35DE" w:rsidRDefault="008E35DE" w:rsidP="008E35DE">
      <w:pPr>
        <w:pStyle w:val="ListParagraph"/>
        <w:jc w:val="both"/>
        <w:rPr>
          <w:rFonts w:ascii="Calibri" w:hAnsi="Calibri" w:cs="Calibri"/>
        </w:rPr>
      </w:pPr>
    </w:p>
    <w:p w14:paraId="19494975" w14:textId="341A7532" w:rsidR="008C7C07" w:rsidRPr="009E3555" w:rsidRDefault="008C7C07" w:rsidP="008C7C07">
      <w:pPr>
        <w:pStyle w:val="ListParagraph"/>
        <w:numPr>
          <w:ilvl w:val="0"/>
          <w:numId w:val="3"/>
        </w:numPr>
        <w:spacing w:line="276" w:lineRule="auto"/>
        <w:jc w:val="both"/>
        <w:rPr>
          <w:rFonts w:ascii="Calibri" w:hAnsi="Calibri" w:cs="Calibri"/>
        </w:rPr>
      </w:pPr>
      <w:r w:rsidRPr="009E3555">
        <w:rPr>
          <w:rFonts w:ascii="Calibri" w:hAnsi="Calibri" w:cs="Calibri"/>
        </w:rPr>
        <w:t>On 27 September 2023, Reprieve attended the 96</w:t>
      </w:r>
      <w:r w:rsidRPr="009E3555">
        <w:rPr>
          <w:rFonts w:ascii="Calibri" w:hAnsi="Calibri" w:cs="Calibri"/>
          <w:vertAlign w:val="superscript"/>
        </w:rPr>
        <w:t>th</w:t>
      </w:r>
      <w:r w:rsidRPr="009E3555">
        <w:rPr>
          <w:rFonts w:ascii="Calibri" w:hAnsi="Calibri" w:cs="Calibri"/>
        </w:rPr>
        <w:t xml:space="preserve"> Session of the CRC Pre-session</w:t>
      </w:r>
      <w:r w:rsidR="008E35DE">
        <w:rPr>
          <w:rFonts w:ascii="Calibri" w:hAnsi="Calibri" w:cs="Calibri"/>
        </w:rPr>
        <w:t xml:space="preserve"> Egypt review</w:t>
      </w:r>
      <w:r w:rsidRPr="009E3555">
        <w:rPr>
          <w:rFonts w:ascii="Calibri" w:hAnsi="Calibri" w:cs="Calibri"/>
        </w:rPr>
        <w:t xml:space="preserve"> for NGO</w:t>
      </w:r>
      <w:r w:rsidR="00513685">
        <w:rPr>
          <w:rFonts w:ascii="Calibri" w:hAnsi="Calibri" w:cs="Calibri"/>
        </w:rPr>
        <w:t>s</w:t>
      </w:r>
      <w:r w:rsidRPr="009E3555">
        <w:rPr>
          <w:rFonts w:ascii="Calibri" w:hAnsi="Calibri" w:cs="Calibri"/>
        </w:rPr>
        <w:t xml:space="preserve">. During this session, Reprieve’s representative was able to respond to questions from Committee members regarding the death penalty, the right to life, special protection measures in the context of the death penalty and violence against children, emphasising the need to amend </w:t>
      </w:r>
      <w:r w:rsidR="00B84A60">
        <w:rPr>
          <w:rFonts w:ascii="Calibri" w:hAnsi="Calibri" w:cs="Calibri"/>
        </w:rPr>
        <w:t>article</w:t>
      </w:r>
      <w:r w:rsidRPr="009E3555">
        <w:rPr>
          <w:rFonts w:ascii="Calibri" w:hAnsi="Calibri" w:cs="Calibri"/>
        </w:rPr>
        <w:t xml:space="preserve"> 122 to protect children against the death penalty</w:t>
      </w:r>
      <w:r w:rsidR="00D4670B">
        <w:rPr>
          <w:rFonts w:ascii="Calibri" w:hAnsi="Calibri" w:cs="Calibri"/>
        </w:rPr>
        <w:t>.</w:t>
      </w:r>
      <w:r w:rsidR="006F70E0">
        <w:rPr>
          <w:rStyle w:val="FootnoteReference"/>
          <w:rFonts w:ascii="Calibri" w:hAnsi="Calibri" w:cs="Calibri"/>
        </w:rPr>
        <w:footnoteReference w:id="3"/>
      </w:r>
      <w:r w:rsidRPr="009E3555">
        <w:rPr>
          <w:rFonts w:ascii="Calibri" w:hAnsi="Calibri" w:cs="Calibri"/>
        </w:rPr>
        <w:t xml:space="preserve"> </w:t>
      </w:r>
    </w:p>
    <w:p w14:paraId="4426E0A4" w14:textId="77777777" w:rsidR="002742ED" w:rsidRPr="009E3555" w:rsidRDefault="002742ED" w:rsidP="002742ED">
      <w:pPr>
        <w:pStyle w:val="ListParagraph"/>
        <w:rPr>
          <w:rFonts w:ascii="Calibri" w:hAnsi="Calibri" w:cs="Calibri"/>
        </w:rPr>
      </w:pPr>
    </w:p>
    <w:p w14:paraId="5B37B61E" w14:textId="30ACCC0D" w:rsidR="008C7C07" w:rsidRPr="009E3555" w:rsidRDefault="008C7C07" w:rsidP="008C7C07">
      <w:pPr>
        <w:pStyle w:val="ListParagraph"/>
        <w:numPr>
          <w:ilvl w:val="0"/>
          <w:numId w:val="3"/>
        </w:numPr>
        <w:spacing w:line="276" w:lineRule="auto"/>
        <w:jc w:val="both"/>
        <w:rPr>
          <w:rFonts w:ascii="Calibri" w:hAnsi="Calibri" w:cs="Calibri"/>
        </w:rPr>
      </w:pPr>
      <w:r w:rsidRPr="009E3555">
        <w:rPr>
          <w:rFonts w:ascii="Calibri" w:hAnsi="Calibri" w:cs="Calibri"/>
        </w:rPr>
        <w:t>Egypt’s State Report has not addressed the risk of the death penalty for children tried alongside adults, particularly in mass trials.</w:t>
      </w:r>
      <w:r w:rsidRPr="009E3555">
        <w:rPr>
          <w:rStyle w:val="FootnoteReference"/>
          <w:rFonts w:ascii="Calibri" w:hAnsi="Calibri" w:cs="Calibri"/>
        </w:rPr>
        <w:footnoteReference w:id="4"/>
      </w:r>
      <w:r w:rsidRPr="009E3555">
        <w:rPr>
          <w:rFonts w:ascii="Calibri" w:hAnsi="Calibri" w:cs="Calibri"/>
        </w:rPr>
        <w:t xml:space="preserve"> Egypt’s mass trials complex has been recognised internationally as failing to meet the required guarantees for due process and fairness. They are underpinned by the Assembly Law and Protest Law, where often hundreds are tried at once with complete disregard for due process, the right to a fair trial, and significantly, the right to mount an individual defence.</w:t>
      </w:r>
      <w:r w:rsidRPr="009E3555">
        <w:rPr>
          <w:rStyle w:val="FootnoteReference"/>
          <w:rFonts w:ascii="Calibri" w:hAnsi="Calibri" w:cs="Calibri"/>
        </w:rPr>
        <w:footnoteReference w:id="5"/>
      </w:r>
      <w:r w:rsidRPr="009E3555">
        <w:rPr>
          <w:rFonts w:ascii="Calibri" w:hAnsi="Calibri" w:cs="Calibri"/>
        </w:rPr>
        <w:t xml:space="preserve"> </w:t>
      </w:r>
    </w:p>
    <w:p w14:paraId="05990A95" w14:textId="77777777" w:rsidR="008C7C07" w:rsidRPr="009E3555" w:rsidRDefault="008C7C07" w:rsidP="008C7C07">
      <w:pPr>
        <w:pStyle w:val="ListParagraph"/>
        <w:spacing w:line="276" w:lineRule="auto"/>
        <w:jc w:val="both"/>
        <w:rPr>
          <w:rFonts w:ascii="Calibri" w:hAnsi="Calibri" w:cs="Calibri"/>
        </w:rPr>
      </w:pPr>
    </w:p>
    <w:p w14:paraId="5545223C" w14:textId="6ADD4640" w:rsidR="008C7C07" w:rsidRPr="009E3555" w:rsidRDefault="008C7C07" w:rsidP="008C7C07">
      <w:pPr>
        <w:pStyle w:val="ListParagraph"/>
        <w:numPr>
          <w:ilvl w:val="0"/>
          <w:numId w:val="3"/>
        </w:numPr>
        <w:spacing w:line="276" w:lineRule="auto"/>
        <w:jc w:val="both"/>
        <w:rPr>
          <w:rFonts w:ascii="Calibri" w:hAnsi="Calibri" w:cs="Calibri"/>
        </w:rPr>
      </w:pPr>
      <w:r w:rsidRPr="009E3555">
        <w:rPr>
          <w:rFonts w:ascii="Calibri" w:hAnsi="Calibri" w:cs="Calibri"/>
        </w:rPr>
        <w:t>Following the pre-session, the CRC compiled a list of issues</w:t>
      </w:r>
      <w:r w:rsidR="008E35DE">
        <w:rPr>
          <w:rFonts w:ascii="Calibri" w:hAnsi="Calibri" w:cs="Calibri"/>
        </w:rPr>
        <w:t>, which</w:t>
      </w:r>
      <w:r w:rsidRPr="009E3555">
        <w:rPr>
          <w:rFonts w:ascii="Calibri" w:hAnsi="Calibri" w:cs="Calibri"/>
        </w:rPr>
        <w:t xml:space="preserve"> asked Egypt to explain the measures taken “to implement </w:t>
      </w:r>
      <w:r w:rsidR="00B84A60">
        <w:rPr>
          <w:rFonts w:ascii="Calibri" w:hAnsi="Calibri" w:cs="Calibri"/>
        </w:rPr>
        <w:t>article</w:t>
      </w:r>
      <w:r w:rsidRPr="009E3555">
        <w:rPr>
          <w:rFonts w:ascii="Calibri" w:hAnsi="Calibri" w:cs="Calibri"/>
        </w:rPr>
        <w:t xml:space="preserve"> 111 of the Child Law prohibiting the death penalty for all persons who under the age of 18 at the time of the alleged offence; to adopt the principle of presumption of minority in cases of doubt; and to </w:t>
      </w:r>
      <w:r w:rsidRPr="009E3555">
        <w:rPr>
          <w:rFonts w:ascii="Calibri" w:hAnsi="Calibri" w:cs="Calibri"/>
        </w:rPr>
        <w:lastRenderedPageBreak/>
        <w:t>commute the existing death sentences for those who committed an offence while under the age of 18 years.”</w:t>
      </w:r>
      <w:r w:rsidRPr="009E3555">
        <w:rPr>
          <w:rStyle w:val="FootnoteReference"/>
          <w:rFonts w:ascii="Calibri" w:hAnsi="Calibri" w:cs="Calibri"/>
        </w:rPr>
        <w:footnoteReference w:id="6"/>
      </w:r>
    </w:p>
    <w:p w14:paraId="583F48CA" w14:textId="77777777" w:rsidR="008C7C07" w:rsidRPr="009E3555" w:rsidRDefault="008C7C07" w:rsidP="008C7C07">
      <w:pPr>
        <w:pStyle w:val="ListParagraph"/>
        <w:rPr>
          <w:rFonts w:ascii="Calibri" w:hAnsi="Calibri" w:cs="Calibri"/>
        </w:rPr>
      </w:pPr>
    </w:p>
    <w:p w14:paraId="2E6ACD3F" w14:textId="6A22DF61" w:rsidR="008C7C07" w:rsidRPr="009E3555" w:rsidRDefault="008C7C07" w:rsidP="008C7C07">
      <w:pPr>
        <w:pStyle w:val="ListParagraph"/>
        <w:numPr>
          <w:ilvl w:val="0"/>
          <w:numId w:val="3"/>
        </w:numPr>
        <w:spacing w:line="276" w:lineRule="auto"/>
        <w:jc w:val="both"/>
        <w:rPr>
          <w:rFonts w:ascii="Calibri" w:hAnsi="Calibri" w:cs="Calibri"/>
        </w:rPr>
      </w:pPr>
      <w:r w:rsidRPr="009E3555">
        <w:rPr>
          <w:rFonts w:ascii="Calibri" w:hAnsi="Calibri" w:cs="Calibri"/>
        </w:rPr>
        <w:t xml:space="preserve">However, there was no reference to </w:t>
      </w:r>
      <w:r w:rsidR="00B84A60">
        <w:rPr>
          <w:rFonts w:ascii="Calibri" w:hAnsi="Calibri" w:cs="Calibri"/>
        </w:rPr>
        <w:t>article</w:t>
      </w:r>
      <w:r w:rsidRPr="009E3555">
        <w:rPr>
          <w:rFonts w:ascii="Calibri" w:hAnsi="Calibri" w:cs="Calibri"/>
        </w:rPr>
        <w:t xml:space="preserve"> 122 of the Child Law in the aforementioned list of issues.  During the pre-session, representatives from Reprieve and UNICEF made the Committee aware of the gap provided by </w:t>
      </w:r>
      <w:r w:rsidR="00B84A60">
        <w:rPr>
          <w:rFonts w:ascii="Calibri" w:hAnsi="Calibri" w:cs="Calibri"/>
        </w:rPr>
        <w:t>article</w:t>
      </w:r>
      <w:r w:rsidRPr="009E3555">
        <w:rPr>
          <w:rFonts w:ascii="Calibri" w:hAnsi="Calibri" w:cs="Calibri"/>
        </w:rPr>
        <w:t xml:space="preserve"> 122 allowing for the death penalty to be applied </w:t>
      </w:r>
      <w:r w:rsidR="00513685">
        <w:rPr>
          <w:rFonts w:ascii="Calibri" w:hAnsi="Calibri" w:cs="Calibri"/>
        </w:rPr>
        <w:t>to</w:t>
      </w:r>
      <w:r w:rsidRPr="009E3555">
        <w:rPr>
          <w:rFonts w:ascii="Calibri" w:hAnsi="Calibri" w:cs="Calibri"/>
        </w:rPr>
        <w:t xml:space="preserve"> minors and highlighted the need to amend it to protect children from the death penalty. </w:t>
      </w:r>
    </w:p>
    <w:p w14:paraId="5250AA06" w14:textId="77777777" w:rsidR="008C7C07" w:rsidRPr="008C7C07" w:rsidRDefault="008C7C07" w:rsidP="008C7C07">
      <w:pPr>
        <w:pStyle w:val="ListParagraph"/>
        <w:rPr>
          <w:rFonts w:ascii="Calibri" w:hAnsi="Calibri" w:cs="Calibri"/>
        </w:rPr>
      </w:pPr>
    </w:p>
    <w:p w14:paraId="24776258" w14:textId="51887946" w:rsidR="00A4171D" w:rsidRPr="005D57B8" w:rsidRDefault="00C36A1C" w:rsidP="00C36A1C">
      <w:pPr>
        <w:pStyle w:val="Heading1"/>
        <w:numPr>
          <w:ilvl w:val="0"/>
          <w:numId w:val="2"/>
        </w:numPr>
      </w:pPr>
      <w:bookmarkStart w:id="3" w:name="_Toc162362297"/>
      <w:r w:rsidRPr="005D57B8">
        <w:t>THE RIGHT TO LIFE AND THE CHILD LAW</w:t>
      </w:r>
      <w:bookmarkEnd w:id="3"/>
    </w:p>
    <w:p w14:paraId="60182E16" w14:textId="77777777" w:rsidR="009E3555" w:rsidRPr="009E3555" w:rsidRDefault="009E3555" w:rsidP="009E3555">
      <w:pPr>
        <w:spacing w:line="276" w:lineRule="auto"/>
        <w:jc w:val="both"/>
        <w:rPr>
          <w:rFonts w:ascii="Calibri" w:hAnsi="Calibri" w:cs="Calibri"/>
        </w:rPr>
      </w:pPr>
    </w:p>
    <w:p w14:paraId="76013A76" w14:textId="46C48291" w:rsidR="009E3555" w:rsidRPr="00EA3AC7" w:rsidRDefault="00B84A60" w:rsidP="00EA3AC7">
      <w:pPr>
        <w:pStyle w:val="ListParagraph"/>
        <w:numPr>
          <w:ilvl w:val="0"/>
          <w:numId w:val="3"/>
        </w:numPr>
        <w:spacing w:line="276" w:lineRule="auto"/>
        <w:jc w:val="both"/>
        <w:rPr>
          <w:rFonts w:ascii="Calibri" w:hAnsi="Calibri" w:cs="Calibri"/>
        </w:rPr>
      </w:pPr>
      <w:r>
        <w:rPr>
          <w:rFonts w:ascii="Calibri" w:hAnsi="Calibri" w:cs="Calibri"/>
        </w:rPr>
        <w:t>Article</w:t>
      </w:r>
      <w:r w:rsidR="009E3555" w:rsidRPr="005D57B8">
        <w:rPr>
          <w:rFonts w:ascii="Calibri" w:hAnsi="Calibri" w:cs="Calibri"/>
        </w:rPr>
        <w:t xml:space="preserve"> 122 provides that children alleged to have come into conflict with the law will be tried in specialist Child Courts.</w:t>
      </w:r>
      <w:r w:rsidR="009E3555" w:rsidRPr="005D57B8">
        <w:rPr>
          <w:rStyle w:val="FootnoteReference"/>
          <w:rFonts w:ascii="Calibri" w:hAnsi="Calibri" w:cs="Calibri"/>
        </w:rPr>
        <w:footnoteReference w:id="7"/>
      </w:r>
      <w:r w:rsidR="009E3555" w:rsidRPr="005D57B8">
        <w:rPr>
          <w:rFonts w:ascii="Calibri" w:hAnsi="Calibri" w:cs="Calibri"/>
        </w:rPr>
        <w:t xml:space="preserve"> However, it also contains an exception that allows children over 15</w:t>
      </w:r>
      <w:r w:rsidR="008E35DE">
        <w:rPr>
          <w:rFonts w:ascii="Calibri" w:hAnsi="Calibri" w:cs="Calibri"/>
        </w:rPr>
        <w:t xml:space="preserve"> years of age</w:t>
      </w:r>
      <w:r w:rsidR="009E3555" w:rsidRPr="005D57B8">
        <w:rPr>
          <w:rFonts w:ascii="Calibri" w:hAnsi="Calibri" w:cs="Calibri"/>
        </w:rPr>
        <w:t xml:space="preserve"> facing trial with an adult co-defendant to be tried alongside them in normal criminal courts:</w:t>
      </w:r>
    </w:p>
    <w:p w14:paraId="282CA93E" w14:textId="77777777" w:rsidR="009E3555" w:rsidRPr="005D57B8" w:rsidRDefault="009E3555" w:rsidP="00CA28A2">
      <w:pPr>
        <w:spacing w:line="276" w:lineRule="auto"/>
        <w:ind w:left="924"/>
        <w:contextualSpacing/>
        <w:jc w:val="both"/>
        <w:rPr>
          <w:rFonts w:ascii="Calibri" w:hAnsi="Calibri" w:cs="Calibri"/>
        </w:rPr>
      </w:pPr>
      <w:r w:rsidRPr="005D57B8">
        <w:rPr>
          <w:rFonts w:ascii="Calibri" w:hAnsi="Calibri" w:cs="Calibri"/>
          <w:i/>
          <w:lang w:bidi="ar-EG"/>
        </w:rPr>
        <w:t>“the Criminal Court or the Supreme State Security Court, according to each case, shall have jurisdiction over criminal cases where the accused - at the time of committing the crime - is a child above fifteen (15) years of age while the accomplice is not a child and the case necessitated bringing the criminal action against the accomplice jointly with the child</w:t>
      </w:r>
      <w:r w:rsidRPr="005D57B8">
        <w:rPr>
          <w:rFonts w:ascii="Calibri" w:hAnsi="Calibri" w:cs="Calibri"/>
          <w:i/>
          <w:iCs/>
        </w:rPr>
        <w:t>.”</w:t>
      </w:r>
      <w:r w:rsidRPr="005D57B8">
        <w:rPr>
          <w:rStyle w:val="FootnoteReference"/>
          <w:rFonts w:ascii="Calibri" w:hAnsi="Calibri" w:cs="Calibri"/>
        </w:rPr>
        <w:t xml:space="preserve"> </w:t>
      </w:r>
      <w:r w:rsidRPr="005D57B8">
        <w:rPr>
          <w:rStyle w:val="FootnoteReference"/>
          <w:rFonts w:ascii="Calibri" w:hAnsi="Calibri" w:cs="Calibri"/>
        </w:rPr>
        <w:footnoteReference w:id="8"/>
      </w:r>
      <w:r w:rsidRPr="005D57B8" w:rsidDel="000E2625">
        <w:rPr>
          <w:rFonts w:ascii="Calibri" w:hAnsi="Calibri" w:cs="Calibri"/>
          <w:i/>
          <w:iCs/>
        </w:rPr>
        <w:t xml:space="preserve"> </w:t>
      </w:r>
      <w:r w:rsidRPr="005D57B8">
        <w:rPr>
          <w:rFonts w:ascii="Calibri" w:hAnsi="Calibri" w:cs="Calibri"/>
        </w:rPr>
        <w:t xml:space="preserve"> </w:t>
      </w:r>
    </w:p>
    <w:p w14:paraId="7B149800" w14:textId="77777777" w:rsidR="009E3555" w:rsidRPr="009E3555" w:rsidRDefault="009E3555" w:rsidP="009E3555">
      <w:pPr>
        <w:spacing w:after="0" w:line="276" w:lineRule="auto"/>
        <w:jc w:val="both"/>
        <w:rPr>
          <w:rFonts w:ascii="Calibri" w:hAnsi="Calibri" w:cs="Calibri"/>
        </w:rPr>
      </w:pPr>
    </w:p>
    <w:p w14:paraId="40253F25" w14:textId="453AC7ED" w:rsidR="009E3555" w:rsidRDefault="009E3555" w:rsidP="009E3555">
      <w:pPr>
        <w:pStyle w:val="ListParagraph"/>
        <w:numPr>
          <w:ilvl w:val="0"/>
          <w:numId w:val="3"/>
        </w:numPr>
        <w:spacing w:after="0" w:line="276" w:lineRule="auto"/>
        <w:jc w:val="both"/>
        <w:rPr>
          <w:rFonts w:ascii="Calibri" w:hAnsi="Calibri" w:cs="Calibri"/>
        </w:rPr>
      </w:pPr>
      <w:r w:rsidRPr="005D57B8">
        <w:rPr>
          <w:rFonts w:ascii="Calibri" w:hAnsi="Calibri" w:cs="Calibri"/>
        </w:rPr>
        <w:t>While the Child Law prohibits the death penalty for all persons under the age of 18 at the time of the offence, it also allows children aged between 16 and 17 alleged to have come into conflict with the law alongside an adult co-defendant to be tried with them in adult courts.</w:t>
      </w:r>
      <w:r w:rsidRPr="005D57B8">
        <w:rPr>
          <w:rStyle w:val="FootnoteReference"/>
          <w:rFonts w:ascii="Calibri" w:hAnsi="Calibri" w:cs="Calibri"/>
        </w:rPr>
        <w:footnoteReference w:id="9"/>
      </w:r>
      <w:r w:rsidRPr="005D57B8">
        <w:rPr>
          <w:rFonts w:ascii="Calibri" w:hAnsi="Calibri" w:cs="Calibri"/>
        </w:rPr>
        <w:t xml:space="preserve"> </w:t>
      </w:r>
      <w:r w:rsidRPr="005D57B8">
        <w:rPr>
          <w:rFonts w:ascii="Calibri" w:hAnsi="Calibri" w:cs="Calibri"/>
          <w:lang w:bidi="ar-EG"/>
        </w:rPr>
        <w:t xml:space="preserve"> </w:t>
      </w:r>
    </w:p>
    <w:p w14:paraId="6FF43625" w14:textId="77777777" w:rsidR="009E3555" w:rsidRPr="005D57B8" w:rsidRDefault="009E3555" w:rsidP="009E3555">
      <w:pPr>
        <w:pStyle w:val="ListParagraph"/>
        <w:rPr>
          <w:rFonts w:ascii="Calibri" w:hAnsi="Calibri" w:cs="Calibri"/>
          <w:lang w:bidi="ar-EG"/>
        </w:rPr>
      </w:pPr>
    </w:p>
    <w:p w14:paraId="2D265BDE" w14:textId="57B335BC" w:rsidR="009E3555" w:rsidRPr="009E3555" w:rsidRDefault="009E3555" w:rsidP="009E3555">
      <w:pPr>
        <w:pStyle w:val="ListParagraph"/>
        <w:numPr>
          <w:ilvl w:val="0"/>
          <w:numId w:val="3"/>
        </w:numPr>
        <w:spacing w:after="0" w:line="276" w:lineRule="auto"/>
        <w:jc w:val="both"/>
        <w:rPr>
          <w:rFonts w:ascii="Calibri" w:hAnsi="Calibri" w:cs="Calibri"/>
        </w:rPr>
      </w:pPr>
      <w:r w:rsidRPr="005D57B8">
        <w:rPr>
          <w:rFonts w:ascii="Calibri" w:hAnsi="Calibri" w:cs="Calibri"/>
          <w:lang w:bidi="ar-EG"/>
        </w:rPr>
        <w:lastRenderedPageBreak/>
        <w:t xml:space="preserve">This provision has enabled Egyptian authorities to sweep several 16- and 17-year-olds into adult courts, where their status as children is seldom recognised, even where official documents are provided to the court confirming their age, </w:t>
      </w:r>
      <w:r>
        <w:rPr>
          <w:rFonts w:ascii="Calibri" w:hAnsi="Calibri" w:cs="Calibri"/>
          <w:lang w:bidi="ar-EG"/>
        </w:rPr>
        <w:t xml:space="preserve">in which </w:t>
      </w:r>
      <w:r w:rsidRPr="005D57B8">
        <w:rPr>
          <w:rFonts w:ascii="Calibri" w:hAnsi="Calibri" w:cs="Calibri"/>
          <w:lang w:bidi="ar-EG"/>
        </w:rPr>
        <w:t>they are not afforded special protection measures provided for in domestic or international law.</w:t>
      </w:r>
      <w:r w:rsidRPr="005D57B8">
        <w:rPr>
          <w:rStyle w:val="FootnoteReference"/>
          <w:rFonts w:ascii="Calibri" w:hAnsi="Calibri" w:cs="Calibri"/>
          <w:lang w:bidi="ar-EG"/>
        </w:rPr>
        <w:footnoteReference w:id="10"/>
      </w:r>
    </w:p>
    <w:p w14:paraId="47B8555D" w14:textId="77777777" w:rsidR="004520A1" w:rsidRPr="005D57B8" w:rsidRDefault="004520A1" w:rsidP="004520A1">
      <w:pPr>
        <w:pStyle w:val="ListParagraph"/>
        <w:rPr>
          <w:rFonts w:ascii="Calibri" w:hAnsi="Calibri" w:cs="Calibri"/>
        </w:rPr>
      </w:pPr>
    </w:p>
    <w:p w14:paraId="0BBB8E73" w14:textId="4DBC7FFE" w:rsidR="004520A1" w:rsidRPr="005D57B8" w:rsidRDefault="009E3555" w:rsidP="004520A1">
      <w:pPr>
        <w:pStyle w:val="ListParagraph"/>
        <w:numPr>
          <w:ilvl w:val="0"/>
          <w:numId w:val="3"/>
        </w:numPr>
        <w:spacing w:line="276" w:lineRule="auto"/>
        <w:jc w:val="both"/>
        <w:rPr>
          <w:rFonts w:ascii="Calibri" w:hAnsi="Calibri" w:cs="Calibri"/>
        </w:rPr>
      </w:pPr>
      <w:r>
        <w:rPr>
          <w:rFonts w:ascii="Calibri" w:hAnsi="Calibri" w:cs="Calibri"/>
        </w:rPr>
        <w:t xml:space="preserve">Furthermore, </w:t>
      </w:r>
      <w:r w:rsidR="004520A1" w:rsidRPr="005D57B8">
        <w:rPr>
          <w:rFonts w:ascii="Calibri" w:hAnsi="Calibri" w:cs="Calibri"/>
        </w:rPr>
        <w:t>Egypt has stated that sufficient legal safeguards exist within the judicial system to protect children from the death penalty,</w:t>
      </w:r>
      <w:r w:rsidR="004520A1" w:rsidRPr="005D57B8">
        <w:rPr>
          <w:rStyle w:val="FootnoteReference"/>
          <w:rFonts w:ascii="Calibri" w:hAnsi="Calibri" w:cs="Calibri"/>
        </w:rPr>
        <w:footnoteReference w:id="11"/>
      </w:r>
      <w:r w:rsidR="004520A1" w:rsidRPr="005D57B8">
        <w:rPr>
          <w:rFonts w:ascii="Calibri" w:hAnsi="Calibri" w:cs="Calibri"/>
        </w:rPr>
        <w:t xml:space="preserve"> relying on </w:t>
      </w:r>
      <w:r w:rsidR="00B84A60">
        <w:rPr>
          <w:rFonts w:ascii="Calibri" w:hAnsi="Calibri" w:cs="Calibri"/>
        </w:rPr>
        <w:t>article</w:t>
      </w:r>
      <w:r w:rsidR="004520A1" w:rsidRPr="005D57B8">
        <w:rPr>
          <w:rFonts w:ascii="Calibri" w:hAnsi="Calibri" w:cs="Calibri"/>
        </w:rPr>
        <w:t xml:space="preserve"> 133 of the Child Law which provides:</w:t>
      </w:r>
    </w:p>
    <w:p w14:paraId="3554834E" w14:textId="77777777" w:rsidR="004520A1" w:rsidRPr="005D57B8" w:rsidRDefault="004520A1" w:rsidP="004520A1">
      <w:pPr>
        <w:pStyle w:val="ListParagraph"/>
        <w:spacing w:line="276" w:lineRule="auto"/>
        <w:ind w:left="924"/>
        <w:jc w:val="both"/>
        <w:rPr>
          <w:rFonts w:ascii="Calibri" w:hAnsi="Calibri" w:cs="Calibri"/>
        </w:rPr>
      </w:pPr>
    </w:p>
    <w:p w14:paraId="4AD4FF83" w14:textId="0DB3DABF" w:rsidR="009E3555" w:rsidRPr="009E3555" w:rsidRDefault="004520A1" w:rsidP="009E3555">
      <w:pPr>
        <w:pStyle w:val="ListParagraph"/>
        <w:spacing w:line="276" w:lineRule="auto"/>
        <w:ind w:left="924"/>
        <w:jc w:val="both"/>
        <w:rPr>
          <w:rFonts w:ascii="Calibri" w:hAnsi="Calibri" w:cs="Calibri"/>
        </w:rPr>
      </w:pPr>
      <w:r w:rsidRPr="005D57B8">
        <w:rPr>
          <w:rFonts w:ascii="Calibri" w:hAnsi="Calibri" w:cs="Calibri"/>
        </w:rPr>
        <w:t>“</w:t>
      </w:r>
      <w:r w:rsidRPr="005D57B8">
        <w:rPr>
          <w:rFonts w:ascii="Calibri" w:hAnsi="Calibri" w:cs="Calibri"/>
          <w:i/>
        </w:rPr>
        <w:t>If a judgment is passed sentencing the accused, who was considered to be above the age of fifteen (15) years, then it was established through official documents that he has not reached that age, the lawyer shall raise the issue to the Court where the judgment was passed to reconsider its ruling according to the Law. If the sentence is pronounced against the accused, who was considered to be above the age of eighteen (18) years, then through official documents it is established that he has not reached that age, the Attorney General shall raise the matter to the Court where the ruling was passed to reconsider its judgment, and pronounce a ruling abolishing that judgment, along with referring the papers to the Public Prosecution for action</w:t>
      </w:r>
      <w:r w:rsidRPr="005D57B8">
        <w:rPr>
          <w:rFonts w:ascii="Calibri" w:hAnsi="Calibri" w:cs="Calibri"/>
        </w:rPr>
        <w:t>.”</w:t>
      </w:r>
      <w:r w:rsidRPr="005D57B8">
        <w:rPr>
          <w:rStyle w:val="FootnoteReference"/>
          <w:rFonts w:ascii="Calibri" w:hAnsi="Calibri" w:cs="Calibri"/>
        </w:rPr>
        <w:footnoteReference w:id="12"/>
      </w:r>
      <w:r w:rsidR="009E3555">
        <w:rPr>
          <w:rFonts w:ascii="Calibri" w:hAnsi="Calibri" w:cs="Calibri"/>
        </w:rPr>
        <w:br/>
      </w:r>
    </w:p>
    <w:p w14:paraId="73C17898" w14:textId="71C09F16" w:rsidR="004520A1" w:rsidRPr="005D57B8" w:rsidRDefault="004520A1" w:rsidP="004520A1">
      <w:pPr>
        <w:pStyle w:val="ListParagraph"/>
        <w:numPr>
          <w:ilvl w:val="0"/>
          <w:numId w:val="3"/>
        </w:numPr>
        <w:spacing w:line="276" w:lineRule="auto"/>
        <w:jc w:val="both"/>
        <w:rPr>
          <w:rFonts w:ascii="Calibri" w:hAnsi="Calibri" w:cs="Calibri"/>
        </w:rPr>
      </w:pPr>
      <w:r w:rsidRPr="005D57B8">
        <w:rPr>
          <w:rFonts w:ascii="Calibri" w:hAnsi="Calibri" w:cs="Calibri"/>
        </w:rPr>
        <w:t>This provision is reactive rather than protective; children are seldom promptly recognised until after a death sentence is handed down, despite arresting authorities knowing their age or lawyers presenting official documents</w:t>
      </w:r>
      <w:r w:rsidR="009B63A3">
        <w:rPr>
          <w:rFonts w:ascii="Calibri" w:hAnsi="Calibri" w:cs="Calibri"/>
        </w:rPr>
        <w:t xml:space="preserve"> that</w:t>
      </w:r>
      <w:r w:rsidRPr="005D57B8">
        <w:rPr>
          <w:rFonts w:ascii="Calibri" w:hAnsi="Calibri" w:cs="Calibri"/>
        </w:rPr>
        <w:t xml:space="preserve"> confirm their client is a child at the trial court.</w:t>
      </w:r>
      <w:r w:rsidRPr="005D57B8">
        <w:rPr>
          <w:rStyle w:val="FootnoteReference"/>
          <w:rFonts w:ascii="Calibri" w:hAnsi="Calibri" w:cs="Calibri"/>
        </w:rPr>
        <w:footnoteReference w:id="13"/>
      </w:r>
    </w:p>
    <w:p w14:paraId="603C602B" w14:textId="77777777" w:rsidR="004520A1" w:rsidRPr="005D57B8" w:rsidRDefault="004520A1" w:rsidP="004520A1">
      <w:pPr>
        <w:pStyle w:val="ListParagraph"/>
        <w:spacing w:line="276" w:lineRule="auto"/>
        <w:ind w:left="924"/>
        <w:jc w:val="both"/>
        <w:rPr>
          <w:rFonts w:ascii="Calibri" w:hAnsi="Calibri" w:cs="Calibri"/>
        </w:rPr>
      </w:pPr>
    </w:p>
    <w:p w14:paraId="287D9431" w14:textId="732F3802" w:rsidR="004520A1" w:rsidRPr="005D57B8" w:rsidRDefault="004520A1" w:rsidP="004520A1">
      <w:pPr>
        <w:pStyle w:val="ListParagraph"/>
        <w:numPr>
          <w:ilvl w:val="0"/>
          <w:numId w:val="3"/>
        </w:numPr>
        <w:spacing w:line="276" w:lineRule="auto"/>
        <w:jc w:val="both"/>
        <w:rPr>
          <w:rFonts w:ascii="Calibri" w:hAnsi="Calibri" w:cs="Calibri"/>
        </w:rPr>
      </w:pPr>
      <w:r w:rsidRPr="005D57B8">
        <w:rPr>
          <w:rFonts w:ascii="Calibri" w:hAnsi="Calibri" w:cs="Calibri"/>
        </w:rPr>
        <w:t>Children sentenced to death are then subjected to lengthy appeals before their age is recognised and a death sentence is commuted. As a result, children lose years of their lives on death row waiting for a decision.</w:t>
      </w:r>
      <w:r w:rsidRPr="005D57B8">
        <w:rPr>
          <w:rStyle w:val="FootnoteReference"/>
          <w:rFonts w:ascii="Calibri" w:hAnsi="Calibri" w:cs="Calibri"/>
        </w:rPr>
        <w:footnoteReference w:id="14"/>
      </w:r>
      <w:r w:rsidRPr="005D57B8">
        <w:rPr>
          <w:rFonts w:ascii="Calibri" w:hAnsi="Calibri" w:cs="Calibri"/>
        </w:rPr>
        <w:t xml:space="preserve"> They are separated from their families, are often victims of torture, and remain in prison in the belief that they may be executed. </w:t>
      </w:r>
      <w:r w:rsidRPr="005D57B8">
        <w:rPr>
          <w:rFonts w:ascii="Calibri" w:hAnsi="Calibri" w:cs="Calibri"/>
        </w:rPr>
        <w:lastRenderedPageBreak/>
        <w:t>Their age and levels of mental development can also mean that they are even more susceptible to the lasting effects of trauma experienced on death row.</w:t>
      </w:r>
      <w:r w:rsidRPr="005D57B8">
        <w:rPr>
          <w:rStyle w:val="FootnoteReference"/>
          <w:rFonts w:ascii="Calibri" w:hAnsi="Calibri" w:cs="Calibri"/>
        </w:rPr>
        <w:footnoteReference w:id="15"/>
      </w:r>
    </w:p>
    <w:p w14:paraId="231D5D6D" w14:textId="77777777" w:rsidR="006E7D95" w:rsidRPr="005D57B8" w:rsidRDefault="006E7D95" w:rsidP="006E7D95">
      <w:pPr>
        <w:pStyle w:val="ListParagraph"/>
        <w:spacing w:line="276" w:lineRule="auto"/>
        <w:jc w:val="both"/>
        <w:rPr>
          <w:rFonts w:ascii="Calibri" w:hAnsi="Calibri" w:cs="Calibri"/>
        </w:rPr>
      </w:pPr>
    </w:p>
    <w:p w14:paraId="3783D760" w14:textId="07DDD2AC" w:rsidR="006E7D95" w:rsidRPr="009E3555" w:rsidRDefault="006E7D95" w:rsidP="009E3555">
      <w:pPr>
        <w:pStyle w:val="ListParagraph"/>
        <w:numPr>
          <w:ilvl w:val="0"/>
          <w:numId w:val="3"/>
        </w:numPr>
        <w:spacing w:line="276" w:lineRule="auto"/>
        <w:jc w:val="both"/>
        <w:rPr>
          <w:rFonts w:ascii="Calibri" w:hAnsi="Calibri" w:cs="Calibri"/>
        </w:rPr>
      </w:pPr>
      <w:r w:rsidRPr="005D57B8">
        <w:rPr>
          <w:rFonts w:ascii="Calibri" w:hAnsi="Calibri" w:cs="Calibri"/>
        </w:rPr>
        <w:t>Nearly all cases where children have been sentenced to death followed mass trials, where they have been denied access to lawyers, the right to mount an adequate defence, the right to be heard and significantly, the right to be treated as a child alleged to have come into conflict with the law. Egypt’s mass trials are undoubtedly insufficient to protect these rights. Extremely short trials and hundreds of defendants make it impossible for a court to consider each defendant individually.</w:t>
      </w:r>
    </w:p>
    <w:p w14:paraId="683E4256" w14:textId="2F7BC1BC" w:rsidR="006E7D95" w:rsidRPr="005D57B8" w:rsidRDefault="006E7D95" w:rsidP="006E7D95">
      <w:pPr>
        <w:pStyle w:val="Heading1"/>
        <w:numPr>
          <w:ilvl w:val="0"/>
          <w:numId w:val="2"/>
        </w:numPr>
      </w:pPr>
      <w:bookmarkStart w:id="4" w:name="_Toc162362298"/>
      <w:r w:rsidRPr="005D57B8">
        <w:t>CONCLUSIONS AND RECCOMENDATIONS</w:t>
      </w:r>
      <w:bookmarkEnd w:id="4"/>
      <w:r w:rsidRPr="005D57B8">
        <w:t xml:space="preserve"> </w:t>
      </w:r>
    </w:p>
    <w:p w14:paraId="200E46ED" w14:textId="77777777" w:rsidR="00F97A86" w:rsidRPr="005D57B8" w:rsidRDefault="00F97A86" w:rsidP="00F97A86">
      <w:pPr>
        <w:spacing w:line="276" w:lineRule="auto"/>
        <w:rPr>
          <w:rFonts w:ascii="Calibri" w:hAnsi="Calibri" w:cs="Calibri"/>
        </w:rPr>
      </w:pPr>
    </w:p>
    <w:p w14:paraId="5EC3C411" w14:textId="20318D13" w:rsidR="00F97A86" w:rsidRPr="005D57B8" w:rsidRDefault="00F97A86" w:rsidP="00F97A86">
      <w:pPr>
        <w:pStyle w:val="ListParagraph"/>
        <w:numPr>
          <w:ilvl w:val="0"/>
          <w:numId w:val="3"/>
        </w:numPr>
        <w:spacing w:line="276" w:lineRule="auto"/>
        <w:jc w:val="both"/>
        <w:rPr>
          <w:rFonts w:ascii="Calibri" w:hAnsi="Calibri" w:cs="Calibri"/>
        </w:rPr>
      </w:pPr>
      <w:r w:rsidRPr="005D57B8">
        <w:rPr>
          <w:rFonts w:ascii="Calibri" w:hAnsi="Calibri" w:cs="Calibri"/>
        </w:rPr>
        <w:t xml:space="preserve">Egypt’s Child Law does not sufficiently protect children from the death penalty. Children </w:t>
      </w:r>
      <w:r w:rsidR="008E35DE">
        <w:rPr>
          <w:rFonts w:ascii="Calibri" w:hAnsi="Calibri" w:cs="Calibri"/>
        </w:rPr>
        <w:t xml:space="preserve">and child defendants </w:t>
      </w:r>
      <w:r w:rsidRPr="005D57B8">
        <w:rPr>
          <w:rFonts w:ascii="Calibri" w:hAnsi="Calibri" w:cs="Calibri"/>
        </w:rPr>
        <w:t xml:space="preserve">are sentenced to death in breach of domestic and international law.  Reactive provisions in the Child Law place children at risk of a death sentence before they are properly identified as children either by chance or on appeal. </w:t>
      </w:r>
    </w:p>
    <w:p w14:paraId="1745B571" w14:textId="77777777" w:rsidR="00F97A86" w:rsidRPr="005D57B8" w:rsidRDefault="00F97A86" w:rsidP="00F97A86">
      <w:pPr>
        <w:pStyle w:val="ListParagraph"/>
        <w:spacing w:line="276" w:lineRule="auto"/>
        <w:jc w:val="both"/>
        <w:rPr>
          <w:rFonts w:ascii="Calibri" w:hAnsi="Calibri" w:cs="Calibri"/>
        </w:rPr>
      </w:pPr>
    </w:p>
    <w:p w14:paraId="684E6DCA" w14:textId="016B5F4A" w:rsidR="00F97A86" w:rsidRPr="005D57B8" w:rsidRDefault="00F97A86" w:rsidP="00F97A86">
      <w:pPr>
        <w:pStyle w:val="ListParagraph"/>
        <w:numPr>
          <w:ilvl w:val="0"/>
          <w:numId w:val="3"/>
        </w:numPr>
        <w:spacing w:line="276" w:lineRule="auto"/>
        <w:jc w:val="both"/>
        <w:rPr>
          <w:rFonts w:ascii="Calibri" w:hAnsi="Calibri" w:cs="Calibri"/>
        </w:rPr>
      </w:pPr>
      <w:r w:rsidRPr="005D57B8">
        <w:rPr>
          <w:rFonts w:ascii="Calibri" w:hAnsi="Calibri" w:cs="Calibri"/>
        </w:rPr>
        <w:t>Children end up caught in the mass</w:t>
      </w:r>
      <w:r w:rsidR="005B69B0">
        <w:rPr>
          <w:rFonts w:ascii="Calibri" w:hAnsi="Calibri" w:cs="Calibri"/>
        </w:rPr>
        <w:t xml:space="preserve"> trial</w:t>
      </w:r>
      <w:r w:rsidRPr="005D57B8">
        <w:rPr>
          <w:rFonts w:ascii="Calibri" w:hAnsi="Calibri" w:cs="Calibri"/>
        </w:rPr>
        <w:t xml:space="preserve"> complex system and </w:t>
      </w:r>
      <w:r w:rsidR="00201112">
        <w:rPr>
          <w:rFonts w:ascii="Calibri" w:hAnsi="Calibri" w:cs="Calibri"/>
        </w:rPr>
        <w:t xml:space="preserve">are </w:t>
      </w:r>
      <w:r w:rsidRPr="005D57B8">
        <w:rPr>
          <w:rFonts w:ascii="Calibri" w:hAnsi="Calibri" w:cs="Calibri"/>
        </w:rPr>
        <w:t xml:space="preserve">at risk of the death penalty </w:t>
      </w:r>
      <w:r w:rsidR="00D34F95">
        <w:rPr>
          <w:rFonts w:ascii="Calibri" w:hAnsi="Calibri" w:cs="Calibri"/>
        </w:rPr>
        <w:t>due to</w:t>
      </w:r>
      <w:r w:rsidRPr="005D57B8">
        <w:rPr>
          <w:rFonts w:ascii="Calibri" w:hAnsi="Calibri" w:cs="Calibri"/>
        </w:rPr>
        <w:t xml:space="preserve"> </w:t>
      </w:r>
      <w:r w:rsidR="00D34F95">
        <w:rPr>
          <w:rFonts w:ascii="Calibri" w:hAnsi="Calibri" w:cs="Calibri"/>
        </w:rPr>
        <w:t>legal loopholes</w:t>
      </w:r>
      <w:r w:rsidRPr="005D57B8">
        <w:rPr>
          <w:rFonts w:ascii="Calibri" w:hAnsi="Calibri" w:cs="Calibri"/>
        </w:rPr>
        <w:t xml:space="preserve"> that enable them to be tried alongside adults, as well as insufficient legal safeguards to ensure they are identified as children early on in proceedings.</w:t>
      </w:r>
    </w:p>
    <w:p w14:paraId="23D6D200" w14:textId="77777777" w:rsidR="00F97A86" w:rsidRPr="005D57B8" w:rsidRDefault="00F97A86" w:rsidP="00F97A86">
      <w:pPr>
        <w:pStyle w:val="ListParagraph"/>
        <w:spacing w:line="276" w:lineRule="auto"/>
        <w:jc w:val="both"/>
        <w:rPr>
          <w:rFonts w:ascii="Calibri" w:hAnsi="Calibri" w:cs="Calibri"/>
        </w:rPr>
      </w:pPr>
    </w:p>
    <w:p w14:paraId="1384368A" w14:textId="03F1A5B6" w:rsidR="00F97A86" w:rsidRPr="005D57B8" w:rsidRDefault="00F97A86" w:rsidP="00F97A86">
      <w:pPr>
        <w:pStyle w:val="ListParagraph"/>
        <w:numPr>
          <w:ilvl w:val="0"/>
          <w:numId w:val="3"/>
        </w:numPr>
        <w:spacing w:line="276" w:lineRule="auto"/>
        <w:jc w:val="both"/>
        <w:rPr>
          <w:rFonts w:ascii="Calibri" w:hAnsi="Calibri" w:cs="Calibri"/>
        </w:rPr>
      </w:pPr>
      <w:r w:rsidRPr="005D57B8">
        <w:rPr>
          <w:rFonts w:ascii="Calibri" w:hAnsi="Calibri" w:cs="Calibri"/>
        </w:rPr>
        <w:t xml:space="preserve">We therefore recommend the following for inclusion in the List of Issues for Egypt’s review before the </w:t>
      </w:r>
      <w:r w:rsidR="005B69B0">
        <w:rPr>
          <w:rFonts w:ascii="Calibri" w:hAnsi="Calibri" w:cs="Calibri"/>
        </w:rPr>
        <w:t>CRC</w:t>
      </w:r>
      <w:r w:rsidRPr="005D57B8">
        <w:rPr>
          <w:rFonts w:ascii="Calibri" w:hAnsi="Calibri" w:cs="Calibri"/>
        </w:rPr>
        <w:t>:</w:t>
      </w:r>
    </w:p>
    <w:p w14:paraId="580A058F" w14:textId="77777777" w:rsidR="00F97A86" w:rsidRPr="005D57B8" w:rsidRDefault="00F97A86" w:rsidP="00F97A86">
      <w:pPr>
        <w:pStyle w:val="ListParagraph"/>
        <w:spacing w:line="276" w:lineRule="auto"/>
        <w:jc w:val="both"/>
        <w:rPr>
          <w:rFonts w:ascii="Calibri" w:hAnsi="Calibri" w:cs="Calibri"/>
        </w:rPr>
      </w:pPr>
    </w:p>
    <w:p w14:paraId="05563FF8" w14:textId="00A1511B" w:rsidR="006E7D95" w:rsidRPr="005D57B8" w:rsidRDefault="008C7C07" w:rsidP="00116022">
      <w:pPr>
        <w:pStyle w:val="ListParagraph"/>
        <w:numPr>
          <w:ilvl w:val="0"/>
          <w:numId w:val="7"/>
        </w:numPr>
        <w:jc w:val="both"/>
        <w:rPr>
          <w:rFonts w:ascii="Calibri" w:hAnsi="Calibri" w:cs="Calibri"/>
        </w:rPr>
      </w:pPr>
      <w:r>
        <w:rPr>
          <w:rFonts w:ascii="Calibri" w:hAnsi="Calibri" w:cs="Calibri"/>
        </w:rPr>
        <w:t>Urge Egypt to</w:t>
      </w:r>
      <w:r w:rsidRPr="005D57B8">
        <w:rPr>
          <w:rFonts w:ascii="Calibri" w:hAnsi="Calibri" w:cs="Calibri"/>
        </w:rPr>
        <w:t xml:space="preserve"> </w:t>
      </w:r>
      <w:r w:rsidR="00F97A86" w:rsidRPr="005D57B8">
        <w:rPr>
          <w:rFonts w:ascii="Calibri" w:hAnsi="Calibri" w:cs="Calibri"/>
        </w:rPr>
        <w:t xml:space="preserve">amend </w:t>
      </w:r>
      <w:r w:rsidR="00B84A60">
        <w:rPr>
          <w:rFonts w:ascii="Calibri" w:hAnsi="Calibri" w:cs="Calibri"/>
        </w:rPr>
        <w:t>article</w:t>
      </w:r>
      <w:r w:rsidR="00F97A86" w:rsidRPr="005D57B8">
        <w:rPr>
          <w:rFonts w:ascii="Calibri" w:hAnsi="Calibri" w:cs="Calibri"/>
        </w:rPr>
        <w:t xml:space="preserve"> 122 of the Child Law to</w:t>
      </w:r>
      <w:r w:rsidR="00241C67" w:rsidRPr="00241C67">
        <w:rPr>
          <w:rFonts w:ascii="Calibri" w:hAnsi="Calibri" w:cs="Calibri"/>
        </w:rPr>
        <w:t xml:space="preserve"> </w:t>
      </w:r>
      <w:r w:rsidR="00241C67" w:rsidRPr="005D57B8">
        <w:rPr>
          <w:rFonts w:ascii="Calibri" w:hAnsi="Calibri" w:cs="Calibri"/>
        </w:rPr>
        <w:t>protect children from the death penalty</w:t>
      </w:r>
      <w:r w:rsidR="00241C67">
        <w:rPr>
          <w:rFonts w:ascii="Calibri" w:hAnsi="Calibri" w:cs="Calibri"/>
        </w:rPr>
        <w:t>, specifically to</w:t>
      </w:r>
      <w:r w:rsidR="00F97A86" w:rsidRPr="005D57B8">
        <w:rPr>
          <w:rFonts w:ascii="Calibri" w:hAnsi="Calibri" w:cs="Calibri"/>
        </w:rPr>
        <w:t xml:space="preserve"> </w:t>
      </w:r>
      <w:r w:rsidR="00241C67">
        <w:rPr>
          <w:rFonts w:ascii="Calibri" w:hAnsi="Calibri" w:cs="Calibri"/>
        </w:rPr>
        <w:t>amend the gap in the law allowing 16-17 year olds to be tried alongside adults.</w:t>
      </w:r>
    </w:p>
    <w:p w14:paraId="09DD901E" w14:textId="77777777" w:rsidR="00BA094D" w:rsidRPr="005D57B8" w:rsidRDefault="00BA094D" w:rsidP="00BA094D">
      <w:pPr>
        <w:pStyle w:val="ListParagraph"/>
        <w:ind w:left="1440"/>
        <w:rPr>
          <w:rFonts w:ascii="Calibri" w:hAnsi="Calibri" w:cs="Calibri"/>
        </w:rPr>
      </w:pPr>
    </w:p>
    <w:p w14:paraId="0357A061" w14:textId="6194C8D6" w:rsidR="00BA094D" w:rsidRPr="005D57B8" w:rsidRDefault="00241C67" w:rsidP="00116022">
      <w:pPr>
        <w:pStyle w:val="ListParagraph"/>
        <w:numPr>
          <w:ilvl w:val="0"/>
          <w:numId w:val="7"/>
        </w:numPr>
        <w:jc w:val="both"/>
        <w:rPr>
          <w:rFonts w:ascii="Calibri" w:hAnsi="Calibri" w:cs="Calibri"/>
        </w:rPr>
      </w:pPr>
      <w:r>
        <w:rPr>
          <w:rFonts w:ascii="Calibri" w:hAnsi="Calibri" w:cs="Calibri"/>
        </w:rPr>
        <w:t>Urge Egypt to</w:t>
      </w:r>
      <w:r w:rsidRPr="005D57B8">
        <w:rPr>
          <w:rFonts w:ascii="Calibri" w:hAnsi="Calibri" w:cs="Calibri"/>
        </w:rPr>
        <w:t xml:space="preserve"> </w:t>
      </w:r>
      <w:r>
        <w:rPr>
          <w:rFonts w:ascii="Calibri" w:hAnsi="Calibri" w:cs="Calibri"/>
        </w:rPr>
        <w:t>p</w:t>
      </w:r>
      <w:r w:rsidR="00BA094D" w:rsidRPr="005D57B8">
        <w:rPr>
          <w:rFonts w:ascii="Calibri" w:hAnsi="Calibri" w:cs="Calibri"/>
        </w:rPr>
        <w:t>rovide information on how children tried alongside adults receive the full gambit of special protection measures to ensure they are not at risk of the death penalty;</w:t>
      </w:r>
      <w:r w:rsidR="00D34F95">
        <w:rPr>
          <w:rFonts w:ascii="Calibri" w:hAnsi="Calibri" w:cs="Calibri"/>
        </w:rPr>
        <w:t xml:space="preserve"> and</w:t>
      </w:r>
    </w:p>
    <w:p w14:paraId="53B055AB" w14:textId="77777777" w:rsidR="00BA094D" w:rsidRPr="005D57B8" w:rsidRDefault="00BA094D" w:rsidP="00BA094D">
      <w:pPr>
        <w:pStyle w:val="ListParagraph"/>
        <w:ind w:left="1440"/>
        <w:rPr>
          <w:rFonts w:ascii="Calibri" w:hAnsi="Calibri" w:cs="Calibri"/>
        </w:rPr>
      </w:pPr>
    </w:p>
    <w:p w14:paraId="2ED3764F" w14:textId="067889B2" w:rsidR="00BA094D" w:rsidRPr="005D57B8" w:rsidRDefault="00241C67" w:rsidP="00116022">
      <w:pPr>
        <w:pStyle w:val="ListParagraph"/>
        <w:numPr>
          <w:ilvl w:val="0"/>
          <w:numId w:val="7"/>
        </w:numPr>
        <w:jc w:val="both"/>
        <w:rPr>
          <w:rFonts w:ascii="Calibri" w:hAnsi="Calibri" w:cs="Calibri"/>
        </w:rPr>
      </w:pPr>
      <w:r>
        <w:rPr>
          <w:rFonts w:ascii="Calibri" w:hAnsi="Calibri" w:cs="Calibri"/>
        </w:rPr>
        <w:lastRenderedPageBreak/>
        <w:t>Urge Egypt to</w:t>
      </w:r>
      <w:r w:rsidRPr="005D57B8">
        <w:rPr>
          <w:rFonts w:ascii="Calibri" w:hAnsi="Calibri" w:cs="Calibri"/>
        </w:rPr>
        <w:t xml:space="preserve"> </w:t>
      </w:r>
      <w:r>
        <w:rPr>
          <w:rFonts w:ascii="Calibri" w:hAnsi="Calibri" w:cs="Calibri"/>
        </w:rPr>
        <w:t>p</w:t>
      </w:r>
      <w:r w:rsidR="00BA094D" w:rsidRPr="005D57B8">
        <w:rPr>
          <w:rFonts w:ascii="Calibri" w:hAnsi="Calibri" w:cs="Calibri"/>
        </w:rPr>
        <w:t xml:space="preserve">rovide information on the steps taken by arresting authorities, the </w:t>
      </w:r>
      <w:r w:rsidR="00D34F95" w:rsidRPr="005D57B8">
        <w:rPr>
          <w:rFonts w:ascii="Calibri" w:hAnsi="Calibri" w:cs="Calibri"/>
        </w:rPr>
        <w:t>prosecution,</w:t>
      </w:r>
      <w:r w:rsidR="00BA094D" w:rsidRPr="005D57B8">
        <w:rPr>
          <w:rFonts w:ascii="Calibri" w:hAnsi="Calibri" w:cs="Calibri"/>
        </w:rPr>
        <w:t xml:space="preserve"> and the judiciary to formally identify children in mass trials to ensure they are not sentenced to death</w:t>
      </w:r>
      <w:r w:rsidR="005B69B0">
        <w:rPr>
          <w:rFonts w:ascii="Calibri" w:hAnsi="Calibri" w:cs="Calibri"/>
        </w:rPr>
        <w:t>.</w:t>
      </w:r>
    </w:p>
    <w:p w14:paraId="2EB097B2" w14:textId="77777777" w:rsidR="004520A1" w:rsidRPr="005D57B8" w:rsidRDefault="004520A1" w:rsidP="000A73EF">
      <w:pPr>
        <w:spacing w:line="276" w:lineRule="auto"/>
        <w:jc w:val="both"/>
        <w:rPr>
          <w:rFonts w:ascii="Calibri" w:hAnsi="Calibri" w:cs="Calibri"/>
        </w:rPr>
      </w:pPr>
    </w:p>
    <w:sectPr w:rsidR="004520A1" w:rsidRPr="005D57B8" w:rsidSect="00716A6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ED923" w14:textId="77777777" w:rsidR="00141CE7" w:rsidRDefault="00141CE7" w:rsidP="00417AB0">
      <w:pPr>
        <w:spacing w:after="0" w:line="240" w:lineRule="auto"/>
      </w:pPr>
      <w:r>
        <w:separator/>
      </w:r>
    </w:p>
  </w:endnote>
  <w:endnote w:type="continuationSeparator" w:id="0">
    <w:p w14:paraId="44863C8C" w14:textId="77777777" w:rsidR="00141CE7" w:rsidRDefault="00141CE7" w:rsidP="0041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ssistant ExtraLight">
    <w:charset w:val="B1"/>
    <w:family w:val="auto"/>
    <w:pitch w:val="variable"/>
    <w:sig w:usb0="A00008FF" w:usb1="4000204B"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840187"/>
      <w:docPartObj>
        <w:docPartGallery w:val="Page Numbers (Bottom of Page)"/>
        <w:docPartUnique/>
      </w:docPartObj>
    </w:sdtPr>
    <w:sdtContent>
      <w:sdt>
        <w:sdtPr>
          <w:id w:val="1728636285"/>
          <w:docPartObj>
            <w:docPartGallery w:val="Page Numbers (Top of Page)"/>
            <w:docPartUnique/>
          </w:docPartObj>
        </w:sdtPr>
        <w:sdtContent>
          <w:p w14:paraId="6BB84859" w14:textId="2A77051D" w:rsidR="000A73EF" w:rsidRPr="000A73EF" w:rsidRDefault="000A73EF">
            <w:pPr>
              <w:pStyle w:val="Footer"/>
              <w:jc w:val="center"/>
            </w:pPr>
            <w:r w:rsidRPr="000A73EF">
              <w:rPr>
                <w:rFonts w:ascii="Calibri" w:hAnsi="Calibri" w:cs="Calibri"/>
                <w:sz w:val="22"/>
                <w:szCs w:val="22"/>
              </w:rPr>
              <w:t xml:space="preserve">Page </w:t>
            </w:r>
            <w:r w:rsidRPr="000A73EF">
              <w:rPr>
                <w:rFonts w:ascii="Calibri" w:hAnsi="Calibri" w:cs="Calibri"/>
                <w:sz w:val="22"/>
                <w:szCs w:val="22"/>
              </w:rPr>
              <w:fldChar w:fldCharType="begin"/>
            </w:r>
            <w:r w:rsidRPr="000A73EF">
              <w:rPr>
                <w:rFonts w:ascii="Calibri" w:hAnsi="Calibri" w:cs="Calibri"/>
                <w:sz w:val="22"/>
                <w:szCs w:val="22"/>
              </w:rPr>
              <w:instrText>PAGE</w:instrText>
            </w:r>
            <w:r w:rsidRPr="000A73EF">
              <w:rPr>
                <w:rFonts w:ascii="Calibri" w:hAnsi="Calibri" w:cs="Calibri"/>
                <w:sz w:val="22"/>
                <w:szCs w:val="22"/>
              </w:rPr>
              <w:fldChar w:fldCharType="separate"/>
            </w:r>
            <w:r w:rsidRPr="000A73EF">
              <w:rPr>
                <w:rFonts w:ascii="Calibri" w:hAnsi="Calibri" w:cs="Calibri"/>
                <w:sz w:val="22"/>
                <w:szCs w:val="22"/>
              </w:rPr>
              <w:t>2</w:t>
            </w:r>
            <w:r w:rsidRPr="000A73EF">
              <w:rPr>
                <w:rFonts w:ascii="Calibri" w:hAnsi="Calibri" w:cs="Calibri"/>
                <w:sz w:val="22"/>
                <w:szCs w:val="22"/>
              </w:rPr>
              <w:fldChar w:fldCharType="end"/>
            </w:r>
            <w:r w:rsidRPr="000A73EF">
              <w:rPr>
                <w:rFonts w:ascii="Calibri" w:hAnsi="Calibri" w:cs="Calibri"/>
                <w:sz w:val="22"/>
                <w:szCs w:val="22"/>
              </w:rPr>
              <w:t xml:space="preserve"> of </w:t>
            </w:r>
            <w:r w:rsidRPr="000A73EF">
              <w:rPr>
                <w:rFonts w:ascii="Calibri" w:hAnsi="Calibri" w:cs="Calibri"/>
                <w:sz w:val="22"/>
                <w:szCs w:val="22"/>
              </w:rPr>
              <w:fldChar w:fldCharType="begin"/>
            </w:r>
            <w:r w:rsidRPr="000A73EF">
              <w:rPr>
                <w:rFonts w:ascii="Calibri" w:hAnsi="Calibri" w:cs="Calibri"/>
                <w:sz w:val="22"/>
                <w:szCs w:val="22"/>
              </w:rPr>
              <w:instrText>NUMPAGES</w:instrText>
            </w:r>
            <w:r w:rsidRPr="000A73EF">
              <w:rPr>
                <w:rFonts w:ascii="Calibri" w:hAnsi="Calibri" w:cs="Calibri"/>
                <w:sz w:val="22"/>
                <w:szCs w:val="22"/>
              </w:rPr>
              <w:fldChar w:fldCharType="separate"/>
            </w:r>
            <w:r w:rsidRPr="000A73EF">
              <w:rPr>
                <w:rFonts w:ascii="Calibri" w:hAnsi="Calibri" w:cs="Calibri"/>
                <w:sz w:val="22"/>
                <w:szCs w:val="22"/>
              </w:rPr>
              <w:t>2</w:t>
            </w:r>
            <w:r w:rsidRPr="000A73EF">
              <w:rPr>
                <w:rFonts w:ascii="Calibri" w:hAnsi="Calibri" w:cs="Calibri"/>
                <w:sz w:val="22"/>
                <w:szCs w:val="22"/>
              </w:rPr>
              <w:fldChar w:fldCharType="end"/>
            </w:r>
          </w:p>
        </w:sdtContent>
      </w:sdt>
    </w:sdtContent>
  </w:sdt>
  <w:p w14:paraId="03E114D7" w14:textId="77777777" w:rsidR="000A73EF" w:rsidRDefault="000A7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A03EC" w14:textId="77777777" w:rsidR="00141CE7" w:rsidRDefault="00141CE7" w:rsidP="00417AB0">
      <w:pPr>
        <w:spacing w:after="0" w:line="240" w:lineRule="auto"/>
      </w:pPr>
      <w:r>
        <w:separator/>
      </w:r>
    </w:p>
  </w:footnote>
  <w:footnote w:type="continuationSeparator" w:id="0">
    <w:p w14:paraId="46D6C43A" w14:textId="77777777" w:rsidR="00141CE7" w:rsidRDefault="00141CE7" w:rsidP="00417AB0">
      <w:pPr>
        <w:spacing w:after="0" w:line="240" w:lineRule="auto"/>
      </w:pPr>
      <w:r>
        <w:continuationSeparator/>
      </w:r>
    </w:p>
  </w:footnote>
  <w:footnote w:id="1">
    <w:p w14:paraId="392D29F3" w14:textId="49E100A8" w:rsidR="008762A8" w:rsidRPr="008D64C6" w:rsidRDefault="008762A8" w:rsidP="00B432AD">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Egypt: Law no. 12 of 1996 Promulgating the Child Law amended by Law no.126 of 2008, </w:t>
      </w:r>
      <w:r w:rsidR="00B84A60">
        <w:rPr>
          <w:rFonts w:ascii="Calibri" w:hAnsi="Calibri" w:cs="Calibri"/>
        </w:rPr>
        <w:t>article</w:t>
      </w:r>
      <w:r w:rsidRPr="008D64C6">
        <w:rPr>
          <w:rFonts w:ascii="Calibri" w:hAnsi="Calibri" w:cs="Calibri"/>
        </w:rPr>
        <w:t xml:space="preserve"> 133, unofficial English translation available at: </w:t>
      </w:r>
    </w:p>
    <w:p w14:paraId="14AF327C" w14:textId="77777777" w:rsidR="008762A8" w:rsidRPr="008D64C6" w:rsidRDefault="00000000" w:rsidP="00B432AD">
      <w:pPr>
        <w:pStyle w:val="FootnoteText"/>
        <w:rPr>
          <w:rFonts w:ascii="Calibri" w:hAnsi="Calibri" w:cs="Calibri"/>
        </w:rPr>
      </w:pPr>
      <w:hyperlink r:id="rId1" w:history="1">
        <w:r w:rsidR="008762A8" w:rsidRPr="008D64C6">
          <w:rPr>
            <w:rStyle w:val="Hyperlink"/>
            <w:rFonts w:ascii="Calibri" w:hAnsi="Calibri" w:cs="Calibri"/>
          </w:rPr>
          <w:t>https://sherloc.unodc.org/cld/uploads/res/document/egy/2002/egypt_child_act_english_html/Egypt_Child_Act_English.pdf</w:t>
        </w:r>
      </w:hyperlink>
      <w:r w:rsidR="008762A8" w:rsidRPr="008D64C6">
        <w:rPr>
          <w:rFonts w:ascii="Calibri" w:hAnsi="Calibri" w:cs="Calibri"/>
        </w:rPr>
        <w:t>.</w:t>
      </w:r>
    </w:p>
  </w:footnote>
  <w:footnote w:id="2">
    <w:p w14:paraId="3C291B51" w14:textId="77777777" w:rsidR="008762A8" w:rsidRPr="008D64C6" w:rsidRDefault="008762A8" w:rsidP="00B432AD">
      <w:pPr>
        <w:pStyle w:val="FootnoteText"/>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Reprieve, </w:t>
      </w:r>
      <w:r w:rsidRPr="008D64C6">
        <w:rPr>
          <w:rFonts w:ascii="Calibri" w:hAnsi="Calibri" w:cs="Calibri"/>
          <w:i/>
          <w:iCs/>
        </w:rPr>
        <w:t>‘The Death Penalty in Egypt – Ten Years after the Uprising’</w:t>
      </w:r>
      <w:r w:rsidRPr="008D64C6">
        <w:rPr>
          <w:rFonts w:ascii="Calibri" w:hAnsi="Calibri" w:cs="Calibri"/>
        </w:rPr>
        <w:t xml:space="preserve"> (January 2022), p4, available at: </w:t>
      </w:r>
      <w:hyperlink r:id="rId2" w:history="1">
        <w:r w:rsidRPr="008D64C6">
          <w:rPr>
            <w:rStyle w:val="Hyperlink"/>
            <w:rFonts w:ascii="Calibri" w:hAnsi="Calibri" w:cs="Calibri"/>
          </w:rPr>
          <w:t>https://reprieve.org/uk/2021/05/24/the-death-penalty-in-egypt-ten-year-after-the-uprising/</w:t>
        </w:r>
      </w:hyperlink>
      <w:r w:rsidRPr="008D64C6">
        <w:rPr>
          <w:rFonts w:ascii="Calibri" w:hAnsi="Calibri" w:cs="Calibri"/>
        </w:rPr>
        <w:t xml:space="preserve">. </w:t>
      </w:r>
    </w:p>
  </w:footnote>
  <w:footnote w:id="3">
    <w:p w14:paraId="3F5E2004" w14:textId="15098366" w:rsidR="006F70E0" w:rsidRPr="008D64C6" w:rsidRDefault="006F70E0" w:rsidP="006F70E0">
      <w:pPr>
        <w:pStyle w:val="FootnoteText"/>
        <w:jc w:val="both"/>
        <w:rPr>
          <w:rFonts w:ascii="Calibri" w:hAnsi="Calibri" w:cs="Calibri"/>
        </w:rPr>
      </w:pPr>
      <w:r>
        <w:rPr>
          <w:rStyle w:val="FootnoteReference"/>
        </w:rPr>
        <w:footnoteRef/>
      </w:r>
      <w:r>
        <w:t xml:space="preserve"> Article 122 states that “</w:t>
      </w:r>
      <w:r w:rsidRPr="006F70E0">
        <w:t>The Child Court shall exclusively deal with issues concerning the child when accused of a crime or in case of his delinquency. The Court shall also be entitled to pass judgments regarding criminal cases set forth in Articles 113 to 116 and in Article 119 of this Law. As an exception to the provision of the previous paragraph, the Criminal Court or the Supreme State Security Court, according to each case, shall have jurisdiction over criminal cases where the accused - at the time of committing the crime - is a child above fifteen (15) years of age while the accomplice is not a child and the case necessitated bringing the criminal action against the accomplice jointly with the child. In this case, the Court – prior to passing its judgment – shall examine the circumstances of the child from all aspects and may seek the assistance of experts if it so wishes</w:t>
      </w:r>
      <w:r>
        <w:t xml:space="preserve">.” </w:t>
      </w:r>
      <w:r w:rsidRPr="008D64C6">
        <w:rPr>
          <w:rFonts w:ascii="Calibri" w:hAnsi="Calibri" w:cs="Calibri"/>
        </w:rPr>
        <w:t xml:space="preserve">Egypt: Law no. 12 of 1996 Promulgating the Child Law amended by Law no.126 of 2008, </w:t>
      </w:r>
      <w:r>
        <w:rPr>
          <w:rFonts w:ascii="Calibri" w:hAnsi="Calibri" w:cs="Calibri"/>
        </w:rPr>
        <w:t>article</w:t>
      </w:r>
      <w:r w:rsidRPr="008D64C6">
        <w:rPr>
          <w:rFonts w:ascii="Calibri" w:hAnsi="Calibri" w:cs="Calibri"/>
        </w:rPr>
        <w:t xml:space="preserve"> 122, unofficial English translation available at: </w:t>
      </w:r>
    </w:p>
    <w:p w14:paraId="123B2E88" w14:textId="18FF17B7" w:rsidR="006F70E0" w:rsidRPr="006F70E0" w:rsidRDefault="00000000" w:rsidP="006F70E0">
      <w:pPr>
        <w:pStyle w:val="FootnoteText"/>
      </w:pPr>
      <w:hyperlink r:id="rId3" w:history="1">
        <w:r w:rsidR="006F70E0" w:rsidRPr="008D64C6">
          <w:rPr>
            <w:rStyle w:val="Hyperlink"/>
            <w:rFonts w:ascii="Calibri" w:hAnsi="Calibri" w:cs="Calibri"/>
          </w:rPr>
          <w:t>https://sherloc.unodc.org/cld/uploads/res/document/egy/2002/egypt_child_act_english_html/Egypt_Child_Act_English.pdf</w:t>
        </w:r>
      </w:hyperlink>
    </w:p>
  </w:footnote>
  <w:footnote w:id="4">
    <w:p w14:paraId="475EB9A1" w14:textId="3A3B19D1" w:rsidR="008C7C07" w:rsidRPr="008D64C6" w:rsidRDefault="008C7C07" w:rsidP="008C7C07">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UN Committee on the Rights of the Child, </w:t>
      </w:r>
      <w:r w:rsidRPr="008D64C6">
        <w:rPr>
          <w:rFonts w:ascii="Calibri" w:hAnsi="Calibri" w:cs="Calibri"/>
          <w:i/>
          <w:iCs/>
        </w:rPr>
        <w:t>Egypt: Combined 5</w:t>
      </w:r>
      <w:r w:rsidRPr="008D64C6">
        <w:rPr>
          <w:rFonts w:ascii="Calibri" w:hAnsi="Calibri" w:cs="Calibri"/>
          <w:i/>
          <w:iCs/>
          <w:vertAlign w:val="superscript"/>
        </w:rPr>
        <w:t>th</w:t>
      </w:r>
      <w:r w:rsidRPr="008D64C6">
        <w:rPr>
          <w:rFonts w:ascii="Calibri" w:hAnsi="Calibri" w:cs="Calibri"/>
          <w:i/>
          <w:iCs/>
        </w:rPr>
        <w:t xml:space="preserve"> and 6</w:t>
      </w:r>
      <w:r w:rsidRPr="008D64C6">
        <w:rPr>
          <w:rFonts w:ascii="Calibri" w:hAnsi="Calibri" w:cs="Calibri"/>
          <w:i/>
          <w:iCs/>
          <w:vertAlign w:val="superscript"/>
        </w:rPr>
        <w:t>th</w:t>
      </w:r>
      <w:r w:rsidRPr="008D64C6">
        <w:rPr>
          <w:rFonts w:ascii="Calibri" w:hAnsi="Calibri" w:cs="Calibri"/>
          <w:i/>
          <w:iCs/>
        </w:rPr>
        <w:t xml:space="preserve"> periodic report submitted under </w:t>
      </w:r>
      <w:r w:rsidR="00B84A60">
        <w:rPr>
          <w:rFonts w:ascii="Calibri" w:hAnsi="Calibri" w:cs="Calibri"/>
          <w:i/>
          <w:iCs/>
        </w:rPr>
        <w:t>Article</w:t>
      </w:r>
      <w:r w:rsidRPr="008D64C6">
        <w:rPr>
          <w:rFonts w:ascii="Calibri" w:hAnsi="Calibri" w:cs="Calibri"/>
          <w:i/>
          <w:iCs/>
        </w:rPr>
        <w:t xml:space="preserve"> 44 of the Convention on the Rights of the Child, due in 2016</w:t>
      </w:r>
      <w:r w:rsidRPr="008D64C6">
        <w:rPr>
          <w:rFonts w:ascii="Calibri" w:hAnsi="Calibri" w:cs="Calibri"/>
        </w:rPr>
        <w:t>, 09 February 2023, CRC/C/EGY/5-6, paras 209 - 219.</w:t>
      </w:r>
    </w:p>
  </w:footnote>
  <w:footnote w:id="5">
    <w:p w14:paraId="18042AFC" w14:textId="77777777" w:rsidR="008C7C07" w:rsidRPr="008D64C6" w:rsidRDefault="008C7C07" w:rsidP="008C7C07">
      <w:pPr>
        <w:pStyle w:val="FootnoteText"/>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Reprieve, </w:t>
      </w:r>
      <w:r w:rsidRPr="008D64C6">
        <w:rPr>
          <w:rFonts w:ascii="Calibri" w:hAnsi="Calibri" w:cs="Calibri"/>
          <w:i/>
          <w:iCs/>
        </w:rPr>
        <w:t>‘The Death Penalty in Egypt – Ten Years after the Uprising’</w:t>
      </w:r>
      <w:r w:rsidRPr="008D64C6">
        <w:rPr>
          <w:rFonts w:ascii="Calibri" w:hAnsi="Calibri" w:cs="Calibri"/>
        </w:rPr>
        <w:t xml:space="preserve"> (January 2022), p10, available at: </w:t>
      </w:r>
      <w:hyperlink r:id="rId4" w:history="1">
        <w:r w:rsidRPr="008D64C6">
          <w:rPr>
            <w:rStyle w:val="Hyperlink"/>
            <w:rFonts w:ascii="Calibri" w:hAnsi="Calibri" w:cs="Calibri"/>
          </w:rPr>
          <w:t>https://reprieve.org/uk/2021/05/24/the-death-penalty-in-egypt-ten-year-after-the-uprising/</w:t>
        </w:r>
      </w:hyperlink>
      <w:r w:rsidRPr="008D64C6">
        <w:rPr>
          <w:rFonts w:ascii="Calibri" w:hAnsi="Calibri" w:cs="Calibri"/>
        </w:rPr>
        <w:t xml:space="preserve">. </w:t>
      </w:r>
    </w:p>
  </w:footnote>
  <w:footnote w:id="6">
    <w:p w14:paraId="19B2AD12" w14:textId="77777777" w:rsidR="008C7C07" w:rsidRPr="008D64C6" w:rsidRDefault="008C7C07" w:rsidP="008C7C07">
      <w:pPr>
        <w:pStyle w:val="FootnoteText"/>
        <w:rPr>
          <w:rFonts w:ascii="Calibri" w:hAnsi="Calibri" w:cs="Calibri"/>
          <w:lang w:val="en-US"/>
        </w:rPr>
      </w:pPr>
      <w:r w:rsidRPr="008D64C6">
        <w:rPr>
          <w:rStyle w:val="FootnoteReference"/>
          <w:rFonts w:ascii="Calibri" w:hAnsi="Calibri" w:cs="Calibri"/>
        </w:rPr>
        <w:footnoteRef/>
      </w:r>
      <w:r w:rsidRPr="008D64C6">
        <w:rPr>
          <w:rFonts w:ascii="Calibri" w:hAnsi="Calibri" w:cs="Calibri"/>
        </w:rPr>
        <w:t xml:space="preserve"> UN Committee on the Rights of the Child, </w:t>
      </w:r>
      <w:r w:rsidRPr="008D64C6">
        <w:rPr>
          <w:rFonts w:ascii="Calibri" w:hAnsi="Calibri" w:cs="Calibri"/>
          <w:i/>
          <w:iCs/>
        </w:rPr>
        <w:t xml:space="preserve">List of issues in relation to the combined fifth and sixth periodic reports of Egypt, </w:t>
      </w:r>
      <w:r w:rsidRPr="008D64C6">
        <w:rPr>
          <w:rFonts w:ascii="Calibri" w:hAnsi="Calibri" w:cs="Calibri"/>
        </w:rPr>
        <w:t xml:space="preserve">10 October 2023, para </w:t>
      </w:r>
      <w:r w:rsidRPr="008D64C6">
        <w:rPr>
          <w:rFonts w:ascii="Calibri" w:hAnsi="Calibri" w:cs="Calibri"/>
          <w:lang w:val="en-US"/>
        </w:rPr>
        <w:t>3(d).</w:t>
      </w:r>
    </w:p>
  </w:footnote>
  <w:footnote w:id="7">
    <w:p w14:paraId="567BC4A5" w14:textId="06E6EE3C" w:rsidR="009E3555" w:rsidRPr="008D64C6" w:rsidRDefault="009E3555" w:rsidP="009E3555">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Egypt: Law no. 12 of 1996 Promulgating the Child Law amended by Law no.126 of 2008, </w:t>
      </w:r>
      <w:r w:rsidR="00B84A60">
        <w:rPr>
          <w:rFonts w:ascii="Calibri" w:hAnsi="Calibri" w:cs="Calibri"/>
        </w:rPr>
        <w:t>article</w:t>
      </w:r>
      <w:r w:rsidRPr="008D64C6">
        <w:rPr>
          <w:rFonts w:ascii="Calibri" w:hAnsi="Calibri" w:cs="Calibri"/>
        </w:rPr>
        <w:t xml:space="preserve"> 122, unofficial English translation available at: </w:t>
      </w:r>
    </w:p>
    <w:p w14:paraId="6533DA5C" w14:textId="77777777" w:rsidR="009E3555" w:rsidRPr="008D64C6" w:rsidRDefault="00000000" w:rsidP="009E3555">
      <w:pPr>
        <w:pStyle w:val="FootnoteText"/>
        <w:jc w:val="both"/>
        <w:rPr>
          <w:rFonts w:ascii="Calibri" w:hAnsi="Calibri" w:cs="Calibri"/>
        </w:rPr>
      </w:pPr>
      <w:hyperlink r:id="rId5" w:history="1">
        <w:r w:rsidR="009E3555" w:rsidRPr="008D64C6">
          <w:rPr>
            <w:rStyle w:val="Hyperlink"/>
            <w:rFonts w:ascii="Calibri" w:hAnsi="Calibri" w:cs="Calibri"/>
          </w:rPr>
          <w:t>https://sherloc.unodc.org/cld/uploads/res/document/egy/2002/egypt_child_act_english_html/Egypt_Child_Act_English.pdf</w:t>
        </w:r>
      </w:hyperlink>
    </w:p>
  </w:footnote>
  <w:footnote w:id="8">
    <w:p w14:paraId="114CF542" w14:textId="276A8167" w:rsidR="009E3555" w:rsidRPr="008D64C6" w:rsidRDefault="009E3555" w:rsidP="009E3555">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Egypt: Law no. 12 of 1996 Promulgating the Child Law amended by Law no.126 of 2008, </w:t>
      </w:r>
      <w:r w:rsidR="00B84A60">
        <w:rPr>
          <w:rFonts w:ascii="Calibri" w:hAnsi="Calibri" w:cs="Calibri"/>
        </w:rPr>
        <w:t>article</w:t>
      </w:r>
      <w:r w:rsidRPr="008D64C6">
        <w:rPr>
          <w:rFonts w:ascii="Calibri" w:hAnsi="Calibri" w:cs="Calibri"/>
        </w:rPr>
        <w:t xml:space="preserve"> 122, unofficial English translation available at: </w:t>
      </w:r>
    </w:p>
    <w:p w14:paraId="5069A5CA" w14:textId="77777777" w:rsidR="009E3555" w:rsidRPr="008D64C6" w:rsidRDefault="00000000" w:rsidP="009E3555">
      <w:pPr>
        <w:pStyle w:val="FootnoteText"/>
        <w:jc w:val="both"/>
        <w:rPr>
          <w:rFonts w:ascii="Calibri" w:hAnsi="Calibri" w:cs="Calibri"/>
        </w:rPr>
      </w:pPr>
      <w:hyperlink r:id="rId6" w:history="1">
        <w:r w:rsidR="009E3555" w:rsidRPr="008D64C6">
          <w:rPr>
            <w:rStyle w:val="Hyperlink"/>
            <w:rFonts w:ascii="Calibri" w:hAnsi="Calibri" w:cs="Calibri"/>
          </w:rPr>
          <w:t>https://sherloc.unodc.org/cld/uploads/res/document/egy/2002/egypt_child_act_english_html/Egypt_Child_Act_English.pdf</w:t>
        </w:r>
      </w:hyperlink>
      <w:r w:rsidR="009E3555" w:rsidRPr="008D64C6">
        <w:rPr>
          <w:rFonts w:ascii="Calibri" w:hAnsi="Calibri" w:cs="Calibri"/>
        </w:rPr>
        <w:t xml:space="preserve"> </w:t>
      </w:r>
    </w:p>
  </w:footnote>
  <w:footnote w:id="9">
    <w:p w14:paraId="2932F1E6" w14:textId="770486B1" w:rsidR="009E3555" w:rsidRPr="008D64C6" w:rsidRDefault="009E3555" w:rsidP="009E3555">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Egypt: Law no. 12 of 1996 Promulgating the Child Law amended by Law no.126 of 2008, </w:t>
      </w:r>
      <w:r w:rsidR="00B84A60">
        <w:rPr>
          <w:rFonts w:ascii="Calibri" w:hAnsi="Calibri" w:cs="Calibri"/>
        </w:rPr>
        <w:t>article</w:t>
      </w:r>
      <w:r w:rsidRPr="008D64C6">
        <w:rPr>
          <w:rFonts w:ascii="Calibri" w:hAnsi="Calibri" w:cs="Calibri"/>
        </w:rPr>
        <w:t xml:space="preserve"> 122, unofficial English translation available at: </w:t>
      </w:r>
    </w:p>
    <w:p w14:paraId="2276DBEC" w14:textId="77777777" w:rsidR="009E3555" w:rsidRPr="008D64C6" w:rsidRDefault="00000000" w:rsidP="009E3555">
      <w:pPr>
        <w:pStyle w:val="FootnoteText"/>
        <w:rPr>
          <w:rFonts w:ascii="Calibri" w:hAnsi="Calibri" w:cs="Calibri"/>
        </w:rPr>
      </w:pPr>
      <w:hyperlink r:id="rId7" w:history="1">
        <w:r w:rsidR="009E3555" w:rsidRPr="008D64C6">
          <w:rPr>
            <w:rStyle w:val="Hyperlink"/>
            <w:rFonts w:ascii="Calibri" w:hAnsi="Calibri" w:cs="Calibri"/>
          </w:rPr>
          <w:t>https://sherloc.unodc.org/cld/uploads/res/document/egy/2002/egypt_child_act_english_html/Egypt_Child_Act_English.pdf</w:t>
        </w:r>
      </w:hyperlink>
      <w:r w:rsidR="009E3555" w:rsidRPr="008D64C6">
        <w:rPr>
          <w:rFonts w:ascii="Calibri" w:hAnsi="Calibri" w:cs="Calibri"/>
        </w:rPr>
        <w:t>.</w:t>
      </w:r>
    </w:p>
  </w:footnote>
  <w:footnote w:id="10">
    <w:p w14:paraId="44DFBEA2" w14:textId="77777777" w:rsidR="009E3555" w:rsidRPr="008D64C6" w:rsidRDefault="009E3555" w:rsidP="009E3555">
      <w:pPr>
        <w:pStyle w:val="FootnoteText"/>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Reprieve, </w:t>
      </w:r>
      <w:r w:rsidRPr="008D64C6">
        <w:rPr>
          <w:rFonts w:ascii="Calibri" w:hAnsi="Calibri" w:cs="Calibri"/>
          <w:i/>
          <w:iCs/>
        </w:rPr>
        <w:t>‘The Death Penalty in Egypt – Ten Years after the Uprising’</w:t>
      </w:r>
      <w:r w:rsidRPr="008D64C6">
        <w:rPr>
          <w:rFonts w:ascii="Calibri" w:hAnsi="Calibri" w:cs="Calibri"/>
        </w:rPr>
        <w:t xml:space="preserve"> (January 2022), p12, available at: </w:t>
      </w:r>
      <w:hyperlink r:id="rId8" w:history="1">
        <w:r w:rsidRPr="008D64C6">
          <w:rPr>
            <w:rStyle w:val="Hyperlink"/>
            <w:rFonts w:ascii="Calibri" w:hAnsi="Calibri" w:cs="Calibri"/>
          </w:rPr>
          <w:t>https://reprieve.org/uk/2021/05/24/the-death-penalty-in-egypt-ten-year-after-the-uprising/</w:t>
        </w:r>
      </w:hyperlink>
      <w:r w:rsidRPr="008D64C6">
        <w:rPr>
          <w:rFonts w:ascii="Calibri" w:hAnsi="Calibri" w:cs="Calibri"/>
        </w:rPr>
        <w:t xml:space="preserve">. </w:t>
      </w:r>
    </w:p>
  </w:footnote>
  <w:footnote w:id="11">
    <w:p w14:paraId="14053773" w14:textId="1A6DA418" w:rsidR="004520A1" w:rsidRPr="008D64C6" w:rsidRDefault="004520A1" w:rsidP="004520A1">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UN Committee on the Rights of the Child, </w:t>
      </w:r>
      <w:r w:rsidRPr="008D64C6">
        <w:rPr>
          <w:rFonts w:ascii="Calibri" w:hAnsi="Calibri" w:cs="Calibri"/>
          <w:i/>
          <w:iCs/>
        </w:rPr>
        <w:t>Egypt: Combined 5</w:t>
      </w:r>
      <w:r w:rsidRPr="008D64C6">
        <w:rPr>
          <w:rFonts w:ascii="Calibri" w:hAnsi="Calibri" w:cs="Calibri"/>
          <w:i/>
          <w:iCs/>
          <w:vertAlign w:val="superscript"/>
        </w:rPr>
        <w:t>th</w:t>
      </w:r>
      <w:r w:rsidRPr="008D64C6">
        <w:rPr>
          <w:rFonts w:ascii="Calibri" w:hAnsi="Calibri" w:cs="Calibri"/>
          <w:i/>
          <w:iCs/>
        </w:rPr>
        <w:t xml:space="preserve"> and 6</w:t>
      </w:r>
      <w:r w:rsidRPr="008D64C6">
        <w:rPr>
          <w:rFonts w:ascii="Calibri" w:hAnsi="Calibri" w:cs="Calibri"/>
          <w:i/>
          <w:iCs/>
          <w:vertAlign w:val="superscript"/>
        </w:rPr>
        <w:t>th</w:t>
      </w:r>
      <w:r w:rsidRPr="008D64C6">
        <w:rPr>
          <w:rFonts w:ascii="Calibri" w:hAnsi="Calibri" w:cs="Calibri"/>
          <w:i/>
          <w:iCs/>
        </w:rPr>
        <w:t xml:space="preserve"> periodic report submitted under </w:t>
      </w:r>
      <w:r w:rsidR="00B84A60">
        <w:rPr>
          <w:rFonts w:ascii="Calibri" w:hAnsi="Calibri" w:cs="Calibri"/>
          <w:i/>
          <w:iCs/>
        </w:rPr>
        <w:t>Article</w:t>
      </w:r>
      <w:r w:rsidRPr="008D64C6">
        <w:rPr>
          <w:rFonts w:ascii="Calibri" w:hAnsi="Calibri" w:cs="Calibri"/>
          <w:i/>
          <w:iCs/>
        </w:rPr>
        <w:t xml:space="preserve"> 44 of the Convention on the Rights of the Child, due in 2016</w:t>
      </w:r>
      <w:r w:rsidRPr="008D64C6">
        <w:rPr>
          <w:rFonts w:ascii="Calibri" w:hAnsi="Calibri" w:cs="Calibri"/>
        </w:rPr>
        <w:t>, 09 February 2023, CRC/C/EGY/5-6, para 60.</w:t>
      </w:r>
    </w:p>
  </w:footnote>
  <w:footnote w:id="12">
    <w:p w14:paraId="272D04A1" w14:textId="68B6D83D" w:rsidR="004520A1" w:rsidRPr="008D64C6" w:rsidRDefault="004520A1" w:rsidP="004520A1">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Egypt: Law no. 12 of 1996 Promulgating the Child Law amended by Law no.126 of 2008, </w:t>
      </w:r>
      <w:r w:rsidR="00B84A60">
        <w:rPr>
          <w:rFonts w:ascii="Calibri" w:hAnsi="Calibri" w:cs="Calibri"/>
        </w:rPr>
        <w:t>article</w:t>
      </w:r>
      <w:r w:rsidRPr="008D64C6">
        <w:rPr>
          <w:rFonts w:ascii="Calibri" w:hAnsi="Calibri" w:cs="Calibri"/>
        </w:rPr>
        <w:t xml:space="preserve"> 133, unofficial English translation available at: </w:t>
      </w:r>
    </w:p>
    <w:p w14:paraId="051763C4" w14:textId="77777777" w:rsidR="004520A1" w:rsidRPr="008D64C6" w:rsidRDefault="00000000" w:rsidP="004520A1">
      <w:pPr>
        <w:pStyle w:val="FootnoteText"/>
        <w:jc w:val="both"/>
        <w:rPr>
          <w:rFonts w:ascii="Calibri" w:hAnsi="Calibri" w:cs="Calibri"/>
        </w:rPr>
      </w:pPr>
      <w:hyperlink r:id="rId9" w:history="1">
        <w:r w:rsidR="004520A1" w:rsidRPr="008D64C6">
          <w:rPr>
            <w:rStyle w:val="Hyperlink"/>
            <w:rFonts w:ascii="Calibri" w:hAnsi="Calibri" w:cs="Calibri"/>
          </w:rPr>
          <w:t>https://sherloc.unodc.org/cld/uploads/res/document/egy/2002/egypt_child_act_english_html/Egypt_Child_Act_English.pdf</w:t>
        </w:r>
      </w:hyperlink>
      <w:r w:rsidR="004520A1" w:rsidRPr="008D64C6">
        <w:rPr>
          <w:rFonts w:ascii="Calibri" w:hAnsi="Calibri" w:cs="Calibri"/>
        </w:rPr>
        <w:t>.</w:t>
      </w:r>
    </w:p>
  </w:footnote>
  <w:footnote w:id="13">
    <w:p w14:paraId="6D5B106C" w14:textId="00E8F9F1" w:rsidR="004520A1" w:rsidRPr="008D64C6" w:rsidRDefault="004520A1" w:rsidP="004520A1">
      <w:pPr>
        <w:pStyle w:val="FootnoteText"/>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See</w:t>
      </w:r>
      <w:r w:rsidR="00481E95" w:rsidRPr="008D64C6">
        <w:rPr>
          <w:rFonts w:ascii="Calibri" w:hAnsi="Calibri" w:cs="Calibri"/>
        </w:rPr>
        <w:t xml:space="preserve"> </w:t>
      </w:r>
      <w:r w:rsidR="00481E95" w:rsidRPr="008D64C6">
        <w:rPr>
          <w:rFonts w:ascii="Calibri" w:hAnsi="Calibri" w:cs="Calibri"/>
          <w:i/>
          <w:iCs/>
        </w:rPr>
        <w:t>Joint submission by Reprieve and The Advocates for Human Rights for Committee of the Rights of Child</w:t>
      </w:r>
      <w:r w:rsidR="00481E95" w:rsidRPr="008D64C6">
        <w:rPr>
          <w:rFonts w:ascii="Calibri" w:hAnsi="Calibri" w:cs="Calibri"/>
        </w:rPr>
        <w:t>, July 2023,</w:t>
      </w:r>
      <w:r w:rsidRPr="008D64C6">
        <w:rPr>
          <w:rFonts w:ascii="Calibri" w:hAnsi="Calibri" w:cs="Calibri"/>
        </w:rPr>
        <w:t xml:space="preserve"> case study of Ismail and Ahmed Saddouma.</w:t>
      </w:r>
    </w:p>
  </w:footnote>
  <w:footnote w:id="14">
    <w:p w14:paraId="5991DE3E" w14:textId="37AA5690" w:rsidR="004520A1" w:rsidRPr="008D64C6" w:rsidRDefault="004520A1" w:rsidP="004520A1">
      <w:pPr>
        <w:pStyle w:val="FootnoteText"/>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See </w:t>
      </w:r>
      <w:r w:rsidR="00481E95" w:rsidRPr="008D64C6">
        <w:rPr>
          <w:rFonts w:ascii="Calibri" w:hAnsi="Calibri" w:cs="Calibri"/>
          <w:i/>
          <w:iCs/>
        </w:rPr>
        <w:t>Joint submission by Reprieve and The Advocates for Human Rights for Committee of the Rights of Child</w:t>
      </w:r>
      <w:r w:rsidR="00481E95" w:rsidRPr="008D64C6">
        <w:rPr>
          <w:rFonts w:ascii="Calibri" w:hAnsi="Calibri" w:cs="Calibri"/>
        </w:rPr>
        <w:t xml:space="preserve">, July 2023, </w:t>
      </w:r>
      <w:r w:rsidRPr="008D64C6">
        <w:rPr>
          <w:rFonts w:ascii="Calibri" w:hAnsi="Calibri" w:cs="Calibri"/>
        </w:rPr>
        <w:t>case study of Ismail and Ahmed Saddouma.</w:t>
      </w:r>
    </w:p>
  </w:footnote>
  <w:footnote w:id="15">
    <w:p w14:paraId="4C07D6A6" w14:textId="77777777" w:rsidR="004520A1" w:rsidRPr="008D64C6" w:rsidRDefault="004520A1" w:rsidP="004520A1">
      <w:pPr>
        <w:pStyle w:val="FootnoteText"/>
        <w:jc w:val="both"/>
        <w:rPr>
          <w:rFonts w:ascii="Calibri" w:hAnsi="Calibri" w:cs="Calibri"/>
        </w:rPr>
      </w:pPr>
      <w:r w:rsidRPr="008D64C6">
        <w:rPr>
          <w:rFonts w:ascii="Calibri" w:hAnsi="Calibri" w:cs="Calibri"/>
        </w:rPr>
        <w:t>*Name anonymised.</w:t>
      </w:r>
    </w:p>
    <w:p w14:paraId="63C28E3F" w14:textId="77777777" w:rsidR="004520A1" w:rsidRPr="008D64C6" w:rsidRDefault="004520A1" w:rsidP="004520A1">
      <w:pPr>
        <w:pStyle w:val="FootnoteText"/>
        <w:jc w:val="both"/>
        <w:rPr>
          <w:rFonts w:ascii="Calibri" w:hAnsi="Calibri" w:cs="Calibri"/>
        </w:rPr>
      </w:pPr>
      <w:r w:rsidRPr="008D64C6">
        <w:rPr>
          <w:rStyle w:val="FootnoteReference"/>
          <w:rFonts w:ascii="Calibri" w:hAnsi="Calibri" w:cs="Calibri"/>
        </w:rPr>
        <w:footnoteRef/>
      </w:r>
      <w:r w:rsidRPr="008D64C6">
        <w:rPr>
          <w:rFonts w:ascii="Calibri" w:hAnsi="Calibri" w:cs="Calibri"/>
        </w:rPr>
        <w:t xml:space="preserve"> Child Welfare Information Gateway, ‘Understanding the effects of maltreatment on brain development’  (2015) Washington, DC: U.S. Department of Health and Human Services, Children’s Bureau, available at: </w:t>
      </w:r>
      <w:hyperlink r:id="rId10" w:history="1">
        <w:r w:rsidRPr="008D64C6">
          <w:rPr>
            <w:rStyle w:val="Hyperlink"/>
            <w:rFonts w:ascii="Calibri" w:hAnsi="Calibri" w:cs="Calibri"/>
          </w:rPr>
          <w:t>https://www.childwelfare.gov/pubPDFs/brain_development.pdf</w:t>
        </w:r>
      </w:hyperlink>
      <w:r w:rsidRPr="008D64C6">
        <w:rPr>
          <w:rFonts w:ascii="Calibri" w:hAnsi="Calibri" w:cs="Calibri"/>
          <w:u w:val="singl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C5774" w14:textId="6B187B4B" w:rsidR="00577185" w:rsidRPr="00AF44D0" w:rsidRDefault="00417AB0" w:rsidP="00AF44D0">
    <w:pPr>
      <w:pStyle w:val="Header"/>
      <w:jc w:val="right"/>
      <w:rPr>
        <w:rFonts w:ascii="Calibri" w:hAnsi="Calibri" w:cs="Calibri"/>
        <w:sz w:val="20"/>
        <w:szCs w:val="20"/>
      </w:rPr>
    </w:pPr>
    <w:r>
      <w:rPr>
        <w:noProof/>
        <w:lang w:eastAsia="en-GB"/>
      </w:rPr>
      <w:drawing>
        <wp:anchor distT="0" distB="0" distL="114300" distR="114300" simplePos="0" relativeHeight="251659264" behindDoc="1" locked="0" layoutInCell="1" allowOverlap="1" wp14:anchorId="567896A3" wp14:editId="702A46C9">
          <wp:simplePos x="0" y="0"/>
          <wp:positionH relativeFrom="margin">
            <wp:align>left</wp:align>
          </wp:positionH>
          <wp:positionV relativeFrom="paragraph">
            <wp:posOffset>83185</wp:posOffset>
          </wp:positionV>
          <wp:extent cx="1263978" cy="469211"/>
          <wp:effectExtent l="0" t="0" r="0" b="7620"/>
          <wp:wrapNone/>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978" cy="469211"/>
                  </a:xfrm>
                  <a:prstGeom prst="rect">
                    <a:avLst/>
                  </a:prstGeom>
                  <a:noFill/>
                </pic:spPr>
              </pic:pic>
            </a:graphicData>
          </a:graphic>
          <wp14:sizeRelH relativeFrom="page">
            <wp14:pctWidth>0</wp14:pctWidth>
          </wp14:sizeRelH>
          <wp14:sizeRelV relativeFrom="page">
            <wp14:pctHeight>0</wp14:pctHeight>
          </wp14:sizeRelV>
        </wp:anchor>
      </w:drawing>
    </w:r>
    <w:r w:rsidRPr="00417AB0">
      <w:rPr>
        <w:rFonts w:ascii="Calibri" w:hAnsi="Calibri" w:cs="Calibri"/>
        <w:sz w:val="20"/>
        <w:szCs w:val="20"/>
      </w:rPr>
      <w:ptab w:relativeTo="margin" w:alignment="center" w:leader="none"/>
    </w:r>
    <w:r w:rsidR="005214EF" w:rsidRPr="005214EF">
      <w:rPr>
        <w:noProof/>
      </w:rPr>
      <w:drawing>
        <wp:inline distT="0" distB="0" distL="0" distR="0" wp14:anchorId="259A6068" wp14:editId="354832A2">
          <wp:extent cx="1281923" cy="685165"/>
          <wp:effectExtent l="0" t="0" r="0" b="635"/>
          <wp:docPr id="4695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9369" cy="694489"/>
                  </a:xfrm>
                  <a:prstGeom prst="rect">
                    <a:avLst/>
                  </a:prstGeom>
                  <a:noFill/>
                  <a:ln>
                    <a:noFill/>
                  </a:ln>
                </pic:spPr>
              </pic:pic>
            </a:graphicData>
          </a:graphic>
        </wp:inline>
      </w:drawing>
    </w:r>
    <w:r w:rsidRPr="00417AB0">
      <w:rPr>
        <w:rFonts w:ascii="Calibri" w:hAnsi="Calibri" w:cs="Calibri"/>
        <w:sz w:val="20"/>
        <w:szCs w:val="20"/>
      </w:rPr>
      <w:ptab w:relativeTo="margin" w:alignment="right" w:leader="none"/>
    </w:r>
    <w:r>
      <w:rPr>
        <w:rFonts w:ascii="Calibri" w:hAnsi="Calibri" w:cs="Calibri"/>
        <w:noProof/>
        <w:sz w:val="20"/>
        <w:szCs w:val="20"/>
      </w:rPr>
      <w:drawing>
        <wp:inline distT="0" distB="0" distL="0" distR="0" wp14:anchorId="1C326A82" wp14:editId="5AE83A74">
          <wp:extent cx="1495425" cy="571043"/>
          <wp:effectExtent l="0" t="0" r="0" b="635"/>
          <wp:docPr id="378597940"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97940" name="Picture 5" descr="A blue and white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298" cy="57443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B2872"/>
    <w:multiLevelType w:val="hybridMultilevel"/>
    <w:tmpl w:val="91EA2D58"/>
    <w:lvl w:ilvl="0" w:tplc="4ACE3A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1B15B0"/>
    <w:multiLevelType w:val="hybridMultilevel"/>
    <w:tmpl w:val="FFBA3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8B0B21"/>
    <w:multiLevelType w:val="hybridMultilevel"/>
    <w:tmpl w:val="FBE2A87C"/>
    <w:lvl w:ilvl="0" w:tplc="EFE6EF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77C71"/>
    <w:multiLevelType w:val="hybridMultilevel"/>
    <w:tmpl w:val="86669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B7664"/>
    <w:multiLevelType w:val="hybridMultilevel"/>
    <w:tmpl w:val="44805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041D51"/>
    <w:multiLevelType w:val="hybridMultilevel"/>
    <w:tmpl w:val="2D0EF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384F37"/>
    <w:multiLevelType w:val="hybridMultilevel"/>
    <w:tmpl w:val="7E2E4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39697404">
    <w:abstractNumId w:val="2"/>
  </w:num>
  <w:num w:numId="2" w16cid:durableId="1184395465">
    <w:abstractNumId w:val="0"/>
  </w:num>
  <w:num w:numId="3" w16cid:durableId="1289555143">
    <w:abstractNumId w:val="5"/>
  </w:num>
  <w:num w:numId="4" w16cid:durableId="1780905228">
    <w:abstractNumId w:val="1"/>
  </w:num>
  <w:num w:numId="5" w16cid:durableId="786433495">
    <w:abstractNumId w:val="3"/>
  </w:num>
  <w:num w:numId="6" w16cid:durableId="71465546">
    <w:abstractNumId w:val="4"/>
  </w:num>
  <w:num w:numId="7" w16cid:durableId="5933950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36"/>
    <w:rsid w:val="00062F38"/>
    <w:rsid w:val="0009356B"/>
    <w:rsid w:val="000A73EF"/>
    <w:rsid w:val="000B7921"/>
    <w:rsid w:val="00116022"/>
    <w:rsid w:val="001161FE"/>
    <w:rsid w:val="00141CE7"/>
    <w:rsid w:val="001B5320"/>
    <w:rsid w:val="00201112"/>
    <w:rsid w:val="00241C67"/>
    <w:rsid w:val="002521E8"/>
    <w:rsid w:val="002742ED"/>
    <w:rsid w:val="00276F10"/>
    <w:rsid w:val="0029336C"/>
    <w:rsid w:val="002B1290"/>
    <w:rsid w:val="003126E2"/>
    <w:rsid w:val="00374544"/>
    <w:rsid w:val="003B3DFE"/>
    <w:rsid w:val="003B607D"/>
    <w:rsid w:val="003C2336"/>
    <w:rsid w:val="00415027"/>
    <w:rsid w:val="00417AB0"/>
    <w:rsid w:val="004511FB"/>
    <w:rsid w:val="004520A1"/>
    <w:rsid w:val="00481E95"/>
    <w:rsid w:val="004C7A94"/>
    <w:rsid w:val="004D3313"/>
    <w:rsid w:val="004E508C"/>
    <w:rsid w:val="00513685"/>
    <w:rsid w:val="005214EF"/>
    <w:rsid w:val="00577185"/>
    <w:rsid w:val="0057724B"/>
    <w:rsid w:val="005B1814"/>
    <w:rsid w:val="005B69B0"/>
    <w:rsid w:val="005C507A"/>
    <w:rsid w:val="005D57B8"/>
    <w:rsid w:val="005D5C36"/>
    <w:rsid w:val="00627AD4"/>
    <w:rsid w:val="00640545"/>
    <w:rsid w:val="006B773C"/>
    <w:rsid w:val="006E7D95"/>
    <w:rsid w:val="006F70E0"/>
    <w:rsid w:val="00716A67"/>
    <w:rsid w:val="00730C0B"/>
    <w:rsid w:val="007476C3"/>
    <w:rsid w:val="00767828"/>
    <w:rsid w:val="007F67A0"/>
    <w:rsid w:val="00815FA3"/>
    <w:rsid w:val="0085539C"/>
    <w:rsid w:val="008762A8"/>
    <w:rsid w:val="008A08D3"/>
    <w:rsid w:val="008C7C07"/>
    <w:rsid w:val="008D64C6"/>
    <w:rsid w:val="008E35DE"/>
    <w:rsid w:val="008E5B5B"/>
    <w:rsid w:val="009A27F1"/>
    <w:rsid w:val="009B63A3"/>
    <w:rsid w:val="009E3555"/>
    <w:rsid w:val="00A325F8"/>
    <w:rsid w:val="00A353C3"/>
    <w:rsid w:val="00A4171D"/>
    <w:rsid w:val="00B37CE0"/>
    <w:rsid w:val="00B432AD"/>
    <w:rsid w:val="00B84A60"/>
    <w:rsid w:val="00BA094D"/>
    <w:rsid w:val="00BA32B9"/>
    <w:rsid w:val="00C36A1C"/>
    <w:rsid w:val="00C97DAA"/>
    <w:rsid w:val="00CA28A2"/>
    <w:rsid w:val="00D0157F"/>
    <w:rsid w:val="00D05C76"/>
    <w:rsid w:val="00D34F95"/>
    <w:rsid w:val="00D439DB"/>
    <w:rsid w:val="00D4670B"/>
    <w:rsid w:val="00DE6EDA"/>
    <w:rsid w:val="00E74558"/>
    <w:rsid w:val="00EA3AC7"/>
    <w:rsid w:val="00F64FA5"/>
    <w:rsid w:val="00F70E8E"/>
    <w:rsid w:val="00F95E28"/>
    <w:rsid w:val="00F97A86"/>
    <w:rsid w:val="00FD5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7D494"/>
  <w15:chartTrackingRefBased/>
  <w15:docId w15:val="{EA9F75B0-7A7A-4A8A-B5E1-BE3A20B6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6C3"/>
    <w:pPr>
      <w:spacing w:line="278" w:lineRule="auto"/>
    </w:pPr>
    <w:rPr>
      <w:sz w:val="24"/>
      <w:szCs w:val="24"/>
    </w:rPr>
  </w:style>
  <w:style w:type="paragraph" w:styleId="Heading1">
    <w:name w:val="heading 1"/>
    <w:basedOn w:val="Normal"/>
    <w:next w:val="Normal"/>
    <w:link w:val="Heading1Char"/>
    <w:uiPriority w:val="9"/>
    <w:qFormat/>
    <w:rsid w:val="00B432AD"/>
    <w:pPr>
      <w:keepNext/>
      <w:keepLines/>
      <w:spacing w:before="360" w:after="80" w:line="259" w:lineRule="auto"/>
      <w:outlineLvl w:val="0"/>
    </w:pPr>
    <w:rPr>
      <w:rFonts w:ascii="Calibri" w:eastAsiaTheme="majorEastAsia" w:hAnsi="Calibri" w:cs="Calibri"/>
      <w:b/>
      <w:bCs/>
      <w:sz w:val="28"/>
      <w:szCs w:val="28"/>
    </w:rPr>
  </w:style>
  <w:style w:type="paragraph" w:styleId="Heading2">
    <w:name w:val="heading 2"/>
    <w:basedOn w:val="Normal"/>
    <w:next w:val="Normal"/>
    <w:link w:val="Heading2Char"/>
    <w:uiPriority w:val="9"/>
    <w:semiHidden/>
    <w:unhideWhenUsed/>
    <w:qFormat/>
    <w:rsid w:val="005D5C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5C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5C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5C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5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2AD"/>
    <w:rPr>
      <w:rFonts w:ascii="Calibri" w:eastAsiaTheme="majorEastAsia" w:hAnsi="Calibri" w:cs="Calibri"/>
      <w:b/>
      <w:bCs/>
      <w:sz w:val="28"/>
      <w:szCs w:val="28"/>
    </w:rPr>
  </w:style>
  <w:style w:type="character" w:customStyle="1" w:styleId="Heading2Char">
    <w:name w:val="Heading 2 Char"/>
    <w:basedOn w:val="DefaultParagraphFont"/>
    <w:link w:val="Heading2"/>
    <w:uiPriority w:val="9"/>
    <w:semiHidden/>
    <w:rsid w:val="005D5C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5C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5C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5C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5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5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5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5C36"/>
    <w:rPr>
      <w:rFonts w:eastAsiaTheme="majorEastAsia" w:cstheme="majorBidi"/>
      <w:color w:val="272727" w:themeColor="text1" w:themeTint="D8"/>
    </w:rPr>
  </w:style>
  <w:style w:type="paragraph" w:styleId="Title">
    <w:name w:val="Title"/>
    <w:basedOn w:val="Normal"/>
    <w:next w:val="Normal"/>
    <w:link w:val="TitleChar"/>
    <w:uiPriority w:val="10"/>
    <w:qFormat/>
    <w:rsid w:val="005D5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5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5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5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C36"/>
    <w:pPr>
      <w:spacing w:before="160"/>
      <w:jc w:val="center"/>
    </w:pPr>
    <w:rPr>
      <w:i/>
      <w:iCs/>
      <w:color w:val="404040" w:themeColor="text1" w:themeTint="BF"/>
    </w:rPr>
  </w:style>
  <w:style w:type="character" w:customStyle="1" w:styleId="QuoteChar">
    <w:name w:val="Quote Char"/>
    <w:basedOn w:val="DefaultParagraphFont"/>
    <w:link w:val="Quote"/>
    <w:uiPriority w:val="29"/>
    <w:rsid w:val="005D5C36"/>
    <w:rPr>
      <w:i/>
      <w:iCs/>
      <w:color w:val="404040" w:themeColor="text1" w:themeTint="BF"/>
    </w:rPr>
  </w:style>
  <w:style w:type="paragraph" w:styleId="ListParagraph">
    <w:name w:val="List Paragraph"/>
    <w:basedOn w:val="Normal"/>
    <w:uiPriority w:val="34"/>
    <w:qFormat/>
    <w:rsid w:val="005D5C36"/>
    <w:pPr>
      <w:ind w:left="720"/>
      <w:contextualSpacing/>
    </w:pPr>
  </w:style>
  <w:style w:type="character" w:styleId="IntenseEmphasis">
    <w:name w:val="Intense Emphasis"/>
    <w:basedOn w:val="DefaultParagraphFont"/>
    <w:uiPriority w:val="21"/>
    <w:qFormat/>
    <w:rsid w:val="005D5C36"/>
    <w:rPr>
      <w:i/>
      <w:iCs/>
      <w:color w:val="0F4761" w:themeColor="accent1" w:themeShade="BF"/>
    </w:rPr>
  </w:style>
  <w:style w:type="paragraph" w:styleId="IntenseQuote">
    <w:name w:val="Intense Quote"/>
    <w:basedOn w:val="Normal"/>
    <w:next w:val="Normal"/>
    <w:link w:val="IntenseQuoteChar"/>
    <w:uiPriority w:val="30"/>
    <w:qFormat/>
    <w:rsid w:val="005D5C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5C36"/>
    <w:rPr>
      <w:i/>
      <w:iCs/>
      <w:color w:val="0F4761" w:themeColor="accent1" w:themeShade="BF"/>
    </w:rPr>
  </w:style>
  <w:style w:type="character" w:styleId="IntenseReference">
    <w:name w:val="Intense Reference"/>
    <w:basedOn w:val="DefaultParagraphFont"/>
    <w:uiPriority w:val="32"/>
    <w:qFormat/>
    <w:rsid w:val="005D5C36"/>
    <w:rPr>
      <w:b/>
      <w:bCs/>
      <w:smallCaps/>
      <w:color w:val="0F4761" w:themeColor="accent1" w:themeShade="BF"/>
      <w:spacing w:val="5"/>
    </w:rPr>
  </w:style>
  <w:style w:type="paragraph" w:styleId="Header">
    <w:name w:val="header"/>
    <w:basedOn w:val="Normal"/>
    <w:link w:val="HeaderChar"/>
    <w:uiPriority w:val="99"/>
    <w:unhideWhenUsed/>
    <w:rsid w:val="00747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6C3"/>
    <w:rPr>
      <w:sz w:val="24"/>
      <w:szCs w:val="24"/>
    </w:rPr>
  </w:style>
  <w:style w:type="paragraph" w:styleId="Footer">
    <w:name w:val="footer"/>
    <w:basedOn w:val="Normal"/>
    <w:link w:val="FooterChar"/>
    <w:uiPriority w:val="99"/>
    <w:unhideWhenUsed/>
    <w:rsid w:val="0041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AB0"/>
    <w:rPr>
      <w:sz w:val="24"/>
      <w:szCs w:val="24"/>
    </w:rPr>
  </w:style>
  <w:style w:type="paragraph" w:styleId="FootnoteText">
    <w:name w:val="footnote text"/>
    <w:basedOn w:val="Normal"/>
    <w:link w:val="FootnoteTextChar"/>
    <w:uiPriority w:val="99"/>
    <w:unhideWhenUsed/>
    <w:rsid w:val="00B432AD"/>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B432AD"/>
    <w:rPr>
      <w:kern w:val="0"/>
      <w:sz w:val="20"/>
      <w:szCs w:val="20"/>
      <w14:ligatures w14:val="none"/>
    </w:rPr>
  </w:style>
  <w:style w:type="character" w:styleId="FootnoteReference">
    <w:name w:val="footnote reference"/>
    <w:basedOn w:val="DefaultParagraphFont"/>
    <w:uiPriority w:val="99"/>
    <w:unhideWhenUsed/>
    <w:rsid w:val="00B432AD"/>
    <w:rPr>
      <w:vertAlign w:val="superscript"/>
    </w:rPr>
  </w:style>
  <w:style w:type="character" w:styleId="Hyperlink">
    <w:name w:val="Hyperlink"/>
    <w:basedOn w:val="DefaultParagraphFont"/>
    <w:uiPriority w:val="99"/>
    <w:unhideWhenUsed/>
    <w:rsid w:val="00B432AD"/>
    <w:rPr>
      <w:color w:val="467886" w:themeColor="hyperlink"/>
      <w:u w:val="single"/>
    </w:rPr>
  </w:style>
  <w:style w:type="character" w:customStyle="1" w:styleId="A8">
    <w:name w:val="A8"/>
    <w:uiPriority w:val="99"/>
    <w:rsid w:val="00B432AD"/>
    <w:rPr>
      <w:rFonts w:ascii="Assistant ExtraLight" w:hAnsi="Assistant ExtraLight" w:cs="Assistant ExtraLight"/>
      <w:color w:val="5C5D5F"/>
      <w:sz w:val="22"/>
      <w:szCs w:val="22"/>
    </w:rPr>
  </w:style>
  <w:style w:type="character" w:customStyle="1" w:styleId="A10">
    <w:name w:val="A10"/>
    <w:uiPriority w:val="99"/>
    <w:rsid w:val="00B432AD"/>
    <w:rPr>
      <w:rFonts w:ascii="Assistant ExtraLight" w:hAnsi="Assistant ExtraLight" w:cs="Assistant ExtraLight"/>
      <w:color w:val="5C5D5F"/>
      <w:sz w:val="12"/>
      <w:szCs w:val="12"/>
    </w:rPr>
  </w:style>
  <w:style w:type="table" w:styleId="TableGrid">
    <w:name w:val="Table Grid"/>
    <w:basedOn w:val="TableNormal"/>
    <w:uiPriority w:val="39"/>
    <w:rsid w:val="00B432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4">
    <w:name w:val="A14"/>
    <w:uiPriority w:val="99"/>
    <w:rsid w:val="00B432AD"/>
    <w:rPr>
      <w:color w:val="5C5D5F"/>
      <w:sz w:val="18"/>
      <w:szCs w:val="18"/>
    </w:rPr>
  </w:style>
  <w:style w:type="character" w:customStyle="1" w:styleId="A23">
    <w:name w:val="A23"/>
    <w:uiPriority w:val="99"/>
    <w:rsid w:val="00B432AD"/>
    <w:rPr>
      <w:color w:val="5C5D5F"/>
      <w:sz w:val="18"/>
      <w:szCs w:val="18"/>
      <w:u w:val="single"/>
    </w:rPr>
  </w:style>
  <w:style w:type="paragraph" w:customStyle="1" w:styleId="Pa16">
    <w:name w:val="Pa16"/>
    <w:basedOn w:val="Normal"/>
    <w:next w:val="Normal"/>
    <w:uiPriority w:val="99"/>
    <w:rsid w:val="00B432AD"/>
    <w:pPr>
      <w:autoSpaceDE w:val="0"/>
      <w:autoSpaceDN w:val="0"/>
      <w:adjustRightInd w:val="0"/>
      <w:spacing w:after="0" w:line="241" w:lineRule="atLeast"/>
    </w:pPr>
    <w:rPr>
      <w:rFonts w:ascii="Assistant ExtraLight" w:hAnsi="Assistant ExtraLight" w:cs="Assistant ExtraLight"/>
      <w:kern w:val="0"/>
      <w14:ligatures w14:val="none"/>
    </w:rPr>
  </w:style>
  <w:style w:type="character" w:styleId="FollowedHyperlink">
    <w:name w:val="FollowedHyperlink"/>
    <w:basedOn w:val="DefaultParagraphFont"/>
    <w:uiPriority w:val="99"/>
    <w:semiHidden/>
    <w:unhideWhenUsed/>
    <w:rsid w:val="002742ED"/>
    <w:rPr>
      <w:color w:val="96607D" w:themeColor="followedHyperlink"/>
      <w:u w:val="single"/>
    </w:rPr>
  </w:style>
  <w:style w:type="character" w:styleId="CommentReference">
    <w:name w:val="annotation reference"/>
    <w:basedOn w:val="DefaultParagraphFont"/>
    <w:uiPriority w:val="99"/>
    <w:semiHidden/>
    <w:unhideWhenUsed/>
    <w:rsid w:val="00C36A1C"/>
    <w:rPr>
      <w:sz w:val="16"/>
      <w:szCs w:val="16"/>
    </w:rPr>
  </w:style>
  <w:style w:type="paragraph" w:styleId="CommentText">
    <w:name w:val="annotation text"/>
    <w:basedOn w:val="Normal"/>
    <w:link w:val="CommentTextChar"/>
    <w:uiPriority w:val="99"/>
    <w:unhideWhenUsed/>
    <w:rsid w:val="00C36A1C"/>
    <w:pPr>
      <w:spacing w:line="240" w:lineRule="auto"/>
    </w:pPr>
    <w:rPr>
      <w:sz w:val="20"/>
      <w:szCs w:val="20"/>
    </w:rPr>
  </w:style>
  <w:style w:type="character" w:customStyle="1" w:styleId="CommentTextChar">
    <w:name w:val="Comment Text Char"/>
    <w:basedOn w:val="DefaultParagraphFont"/>
    <w:link w:val="CommentText"/>
    <w:uiPriority w:val="99"/>
    <w:rsid w:val="00C36A1C"/>
    <w:rPr>
      <w:sz w:val="20"/>
      <w:szCs w:val="20"/>
    </w:rPr>
  </w:style>
  <w:style w:type="paragraph" w:styleId="CommentSubject">
    <w:name w:val="annotation subject"/>
    <w:basedOn w:val="CommentText"/>
    <w:next w:val="CommentText"/>
    <w:link w:val="CommentSubjectChar"/>
    <w:uiPriority w:val="99"/>
    <w:semiHidden/>
    <w:unhideWhenUsed/>
    <w:rsid w:val="00C36A1C"/>
    <w:rPr>
      <w:b/>
      <w:bCs/>
    </w:rPr>
  </w:style>
  <w:style w:type="character" w:customStyle="1" w:styleId="CommentSubjectChar">
    <w:name w:val="Comment Subject Char"/>
    <w:basedOn w:val="CommentTextChar"/>
    <w:link w:val="CommentSubject"/>
    <w:uiPriority w:val="99"/>
    <w:semiHidden/>
    <w:rsid w:val="00C36A1C"/>
    <w:rPr>
      <w:b/>
      <w:bCs/>
      <w:sz w:val="20"/>
      <w:szCs w:val="20"/>
    </w:rPr>
  </w:style>
  <w:style w:type="paragraph" w:styleId="TOCHeading">
    <w:name w:val="TOC Heading"/>
    <w:basedOn w:val="Heading1"/>
    <w:next w:val="Normal"/>
    <w:uiPriority w:val="39"/>
    <w:unhideWhenUsed/>
    <w:qFormat/>
    <w:rsid w:val="00E74558"/>
    <w:pPr>
      <w:spacing w:before="240" w:after="0"/>
      <w:outlineLvl w:val="9"/>
    </w:pPr>
    <w:rPr>
      <w:rFonts w:asciiTheme="majorHAnsi" w:hAnsiTheme="majorHAnsi" w:cstheme="majorBidi"/>
      <w:b w:val="0"/>
      <w:bCs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E74558"/>
    <w:pPr>
      <w:spacing w:after="100"/>
    </w:pPr>
  </w:style>
  <w:style w:type="paragraph" w:styleId="Revision">
    <w:name w:val="Revision"/>
    <w:hidden/>
    <w:uiPriority w:val="99"/>
    <w:semiHidden/>
    <w:rsid w:val="008C7C07"/>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eprieve.org/uk/2021/05/24/the-death-penalty-in-egypt-ten-year-after-the-uprising/" TargetMode="External"/><Relationship Id="rId3" Type="http://schemas.openxmlformats.org/officeDocument/2006/relationships/hyperlink" Target="https://sherloc.unodc.org/cld/uploads/res/document/egy/2002/egypt_child_act_english_html/Egypt_Child_Act_English.pdf" TargetMode="External"/><Relationship Id="rId7" Type="http://schemas.openxmlformats.org/officeDocument/2006/relationships/hyperlink" Target="https://sherloc.unodc.org/cld/uploads/res/document/egy/2002/egypt_child_act_english_html/Egypt_Child_Act_English.pdf" TargetMode="External"/><Relationship Id="rId2" Type="http://schemas.openxmlformats.org/officeDocument/2006/relationships/hyperlink" Target="https://reprieve.org/uk/2021/05/24/the-death-penalty-in-egypt-ten-year-after-the-uprising/" TargetMode="External"/><Relationship Id="rId1" Type="http://schemas.openxmlformats.org/officeDocument/2006/relationships/hyperlink" Target="https://sherloc.unodc.org/cld/uploads/res/document/egy/2002/egypt_child_act_english_html/Egypt_Child_Act_English.pdf" TargetMode="External"/><Relationship Id="rId6" Type="http://schemas.openxmlformats.org/officeDocument/2006/relationships/hyperlink" Target="https://sherloc.unodc.org/cld/uploads/res/document/egy/2002/egypt_child_act_english_html/Egypt_Child_Act_English.pdf" TargetMode="External"/><Relationship Id="rId5" Type="http://schemas.openxmlformats.org/officeDocument/2006/relationships/hyperlink" Target="https://sherloc.unodc.org/cld/uploads/res/document/egy/2002/egypt_child_act_english_html/Egypt_Child_Act_English.pdf" TargetMode="External"/><Relationship Id="rId10" Type="http://schemas.openxmlformats.org/officeDocument/2006/relationships/hyperlink" Target="https://www.childwelfare.gov/pubPDFs/brain_development.pdf" TargetMode="External"/><Relationship Id="rId4" Type="http://schemas.openxmlformats.org/officeDocument/2006/relationships/hyperlink" Target="https://reprieve.org/uk/2021/05/24/the-death-penalty-in-egypt-ten-year-after-the-uprising/" TargetMode="External"/><Relationship Id="rId9" Type="http://schemas.openxmlformats.org/officeDocument/2006/relationships/hyperlink" Target="https://sherloc.unodc.org/cld/uploads/res/document/egy/2002/egypt_child_act_english_html/Egypt_Child_Act_English.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5FD8C-AD14-4DDB-B6E6-0A7D18481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Oliveira</dc:creator>
  <cp:keywords/>
  <dc:description/>
  <cp:lastModifiedBy>James Boit</cp:lastModifiedBy>
  <cp:revision>2</cp:revision>
  <dcterms:created xsi:type="dcterms:W3CDTF">2024-04-19T13:58:00Z</dcterms:created>
  <dcterms:modified xsi:type="dcterms:W3CDTF">2024-04-19T13:58:00Z</dcterms:modified>
</cp:coreProperties>
</file>