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9F856" w14:textId="77777777" w:rsidR="00A72AB1" w:rsidRPr="00EB1918" w:rsidRDefault="00A72AB1" w:rsidP="00A72AB1">
      <w:pPr>
        <w:spacing w:before="240" w:after="240"/>
        <w:jc w:val="center"/>
        <w:rPr>
          <w:rFonts w:ascii="Garamond" w:eastAsia="Garamond" w:hAnsi="Garamond" w:cs="Garamond"/>
          <w:b/>
          <w:bCs/>
        </w:rPr>
      </w:pPr>
      <w:r w:rsidRPr="00EB1918">
        <w:rPr>
          <w:rFonts w:ascii="Garamond" w:eastAsia="Garamond" w:hAnsi="Garamond" w:cs="Garamond"/>
          <w:b/>
          <w:bCs/>
        </w:rPr>
        <w:t>SUBMISSION TO THE COMMITTEE ON THE RIGHTS OF THE CHILD (CRC)</w:t>
      </w:r>
    </w:p>
    <w:p w14:paraId="72C8CA37" w14:textId="77777777" w:rsidR="00A72AB1" w:rsidRPr="00EB1918" w:rsidRDefault="00A72AB1" w:rsidP="00A72AB1">
      <w:pPr>
        <w:spacing w:before="240" w:after="240"/>
        <w:jc w:val="center"/>
        <w:rPr>
          <w:rFonts w:ascii="Garamond" w:eastAsia="Garamond" w:hAnsi="Garamond" w:cs="Garamond"/>
          <w:b/>
          <w:bCs/>
        </w:rPr>
      </w:pPr>
    </w:p>
    <w:p w14:paraId="1C028B0E" w14:textId="4A3BFC89" w:rsidR="00A72AB1" w:rsidRPr="00EB1918" w:rsidRDefault="00A72AB1" w:rsidP="00A72AB1">
      <w:pPr>
        <w:spacing w:before="240" w:after="240"/>
        <w:jc w:val="center"/>
        <w:rPr>
          <w:rFonts w:ascii="Garamond" w:eastAsia="Garamond" w:hAnsi="Garamond" w:cs="Garamond"/>
          <w:b/>
          <w:bCs/>
        </w:rPr>
      </w:pPr>
      <w:r w:rsidRPr="00EB1918">
        <w:rPr>
          <w:rFonts w:ascii="Garamond" w:eastAsia="Garamond" w:hAnsi="Garamond" w:cs="Garamond"/>
          <w:b/>
          <w:bCs/>
        </w:rPr>
        <w:t xml:space="preserve">ALTERNATIVE REPORT FOR THE </w:t>
      </w:r>
      <w:r>
        <w:rPr>
          <w:rFonts w:ascii="Garamond" w:eastAsia="Garamond" w:hAnsi="Garamond" w:cs="Garamond"/>
          <w:b/>
          <w:bCs/>
        </w:rPr>
        <w:t>PERIODIC REVIEW OF</w:t>
      </w:r>
    </w:p>
    <w:p w14:paraId="289D614B" w14:textId="36D953DD" w:rsidR="00A72AB1" w:rsidRPr="00810DA9" w:rsidRDefault="00A72AB1" w:rsidP="00A72AB1">
      <w:pPr>
        <w:spacing w:before="240" w:after="240"/>
        <w:jc w:val="center"/>
        <w:rPr>
          <w:rFonts w:ascii="Garamond" w:eastAsia="Garamond" w:hAnsi="Garamond" w:cs="Garamond"/>
          <w:b/>
          <w:bCs/>
          <w:sz w:val="15"/>
          <w:szCs w:val="15"/>
        </w:rPr>
      </w:pPr>
      <w:r>
        <w:rPr>
          <w:rFonts w:ascii="Garamond" w:eastAsia="Garamond" w:hAnsi="Garamond" w:cs="Garamond"/>
          <w:b/>
          <w:bCs/>
          <w:sz w:val="50"/>
          <w:szCs w:val="50"/>
        </w:rPr>
        <w:t>PAKISTAN</w:t>
      </w:r>
    </w:p>
    <w:p w14:paraId="38AA3F7B" w14:textId="5CBB227E" w:rsidR="00A72AB1" w:rsidRDefault="00A72AB1" w:rsidP="00A72AB1">
      <w:pPr>
        <w:spacing w:before="240" w:after="240"/>
        <w:jc w:val="center"/>
        <w:rPr>
          <w:rFonts w:ascii="Garamond" w:eastAsia="Garamond" w:hAnsi="Garamond" w:cs="Garamond"/>
          <w:b/>
          <w:bCs/>
          <w:i/>
          <w:iCs/>
          <w:sz w:val="26"/>
          <w:szCs w:val="26"/>
        </w:rPr>
      </w:pPr>
      <w:r w:rsidRPr="00D632F1">
        <w:rPr>
          <w:rFonts w:ascii="Garamond" w:eastAsia="Garamond" w:hAnsi="Garamond" w:cs="Garamond"/>
          <w:b/>
          <w:bCs/>
          <w:i/>
          <w:iCs/>
          <w:sz w:val="26"/>
          <w:szCs w:val="26"/>
        </w:rPr>
        <w:t xml:space="preserve">Children belonging to </w:t>
      </w:r>
      <w:r>
        <w:rPr>
          <w:rFonts w:ascii="Garamond" w:eastAsia="Garamond" w:hAnsi="Garamond" w:cs="Garamond"/>
          <w:b/>
          <w:bCs/>
          <w:i/>
          <w:iCs/>
          <w:sz w:val="26"/>
          <w:szCs w:val="26"/>
        </w:rPr>
        <w:t>minorities in Pakistan</w:t>
      </w:r>
    </w:p>
    <w:p w14:paraId="2149BC28" w14:textId="77777777" w:rsidR="00A72AB1" w:rsidRPr="00D632F1" w:rsidRDefault="00A72AB1" w:rsidP="00A72AB1">
      <w:pPr>
        <w:spacing w:before="240" w:after="240"/>
        <w:jc w:val="center"/>
        <w:rPr>
          <w:rFonts w:ascii="Garamond" w:eastAsia="Garamond" w:hAnsi="Garamond" w:cs="Garamond"/>
          <w:b/>
          <w:bCs/>
          <w:i/>
          <w:iCs/>
          <w:sz w:val="26"/>
          <w:szCs w:val="26"/>
        </w:rPr>
      </w:pPr>
    </w:p>
    <w:p w14:paraId="7652253A" w14:textId="620C8A06" w:rsidR="00A72AB1" w:rsidRPr="00A72AB1" w:rsidRDefault="00A72AB1" w:rsidP="00A72AB1">
      <w:pPr>
        <w:spacing w:before="240" w:after="240"/>
        <w:jc w:val="center"/>
        <w:rPr>
          <w:rFonts w:ascii="Garamond" w:eastAsia="Garamond" w:hAnsi="Garamond" w:cs="Garamond"/>
          <w:b/>
          <w:bCs/>
          <w:sz w:val="26"/>
          <w:szCs w:val="26"/>
        </w:rPr>
      </w:pPr>
      <w:r w:rsidRPr="00A72AB1">
        <w:rPr>
          <w:rFonts w:ascii="Garamond" w:eastAsia="Garamond" w:hAnsi="Garamond" w:cs="Garamond"/>
          <w:b/>
          <w:bCs/>
          <w:sz w:val="26"/>
          <w:szCs w:val="26"/>
        </w:rPr>
        <w:t>ASSOCIATION OF WOMEN FOR AWARENESS AND MOTIVATION (AWAM) Pakistan</w:t>
      </w:r>
    </w:p>
    <w:p w14:paraId="486B1037" w14:textId="029A0103" w:rsidR="00A72AB1" w:rsidRDefault="00A72AB1" w:rsidP="00A72AB1">
      <w:pPr>
        <w:spacing w:before="240" w:after="240"/>
        <w:jc w:val="center"/>
        <w:rPr>
          <w:rFonts w:ascii="Garamond" w:eastAsia="Garamond" w:hAnsi="Garamond" w:cs="Angsana New"/>
          <w:b/>
          <w:bCs/>
          <w:sz w:val="26"/>
          <w:szCs w:val="33"/>
          <w:lang w:val="pt-BR" w:bidi="th-TH"/>
        </w:rPr>
      </w:pPr>
      <w:r w:rsidRPr="00810DA9">
        <w:rPr>
          <w:rFonts w:ascii="Garamond" w:eastAsia="Garamond" w:hAnsi="Garamond" w:cs="Garamond"/>
          <w:b/>
          <w:bCs/>
          <w:sz w:val="26"/>
          <w:szCs w:val="26"/>
          <w:lang w:val="pt-BR"/>
        </w:rPr>
        <w:t xml:space="preserve">MINORITY RIGHTS GROUP </w:t>
      </w:r>
      <w:r w:rsidRPr="00810DA9">
        <w:rPr>
          <w:rFonts w:ascii="Garamond" w:hAnsi="Garamond"/>
          <w:b/>
          <w:bCs/>
          <w:sz w:val="26"/>
          <w:szCs w:val="26"/>
          <w:lang w:val="pt-BR"/>
        </w:rPr>
        <w:br/>
      </w:r>
    </w:p>
    <w:p w14:paraId="4E59E86B" w14:textId="77777777" w:rsidR="00A72AB1" w:rsidRPr="00810DA9" w:rsidRDefault="00A72AB1" w:rsidP="00A72AB1">
      <w:pPr>
        <w:spacing w:before="240" w:after="240"/>
        <w:jc w:val="center"/>
        <w:rPr>
          <w:rFonts w:ascii="Garamond" w:eastAsia="Garamond" w:hAnsi="Garamond" w:cs="Angsana New"/>
          <w:b/>
          <w:bCs/>
          <w:sz w:val="26"/>
          <w:szCs w:val="33"/>
          <w:lang w:val="pt-BR" w:bidi="th-TH"/>
        </w:rPr>
      </w:pPr>
    </w:p>
    <w:p w14:paraId="69855C9C" w14:textId="77777777" w:rsidR="00A72AB1" w:rsidRPr="00526B2F" w:rsidRDefault="00A72AB1" w:rsidP="00A72AB1">
      <w:pPr>
        <w:rPr>
          <w:rFonts w:ascii="Garamond" w:hAnsi="Garamond"/>
          <w:b/>
          <w:sz w:val="8"/>
          <w:szCs w:val="8"/>
          <w:lang w:val="pt-B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9"/>
        <w:gridCol w:w="4510"/>
      </w:tblGrid>
      <w:tr w:rsidR="00A72AB1" w14:paraId="7F38EA97" w14:textId="77777777" w:rsidTr="00A45C7C">
        <w:tc>
          <w:tcPr>
            <w:tcW w:w="4509" w:type="dxa"/>
          </w:tcPr>
          <w:p w14:paraId="2B9A7B5C" w14:textId="77777777" w:rsidR="00A72AB1" w:rsidRDefault="00A72AB1" w:rsidP="00A45C7C">
            <w:pPr>
              <w:jc w:val="center"/>
              <w:rPr>
                <w:rFonts w:ascii="Garamond" w:hAnsi="Garamond"/>
                <w:b/>
                <w:sz w:val="24"/>
                <w:szCs w:val="24"/>
                <w:lang w:val="pt-BR"/>
              </w:rPr>
            </w:pPr>
            <w:r>
              <w:rPr>
                <w:rFonts w:ascii="Garamond" w:hAnsi="Garamond"/>
                <w:b/>
                <w:noProof/>
                <w:lang w:val="pt-BR"/>
              </w:rPr>
              <w:drawing>
                <wp:inline distT="0" distB="0" distL="0" distR="0" wp14:anchorId="1FB0A736" wp14:editId="05C0CF5F">
                  <wp:extent cx="1150705" cy="1150705"/>
                  <wp:effectExtent l="0" t="0" r="5080" b="5080"/>
                  <wp:docPr id="1436259540" name="Image 1" descr="Une image contenant texte, Police, vert, Graphiqu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6259540" name="Image 1" descr="Une image contenant texte, Police, vert, Graphique&#10;&#10;Description générée automatiquemen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159398" cy="1159398"/>
                          </a:xfrm>
                          <a:prstGeom prst="rect">
                            <a:avLst/>
                          </a:prstGeom>
                        </pic:spPr>
                      </pic:pic>
                    </a:graphicData>
                  </a:graphic>
                </wp:inline>
              </w:drawing>
            </w:r>
          </w:p>
          <w:p w14:paraId="3C3EAED4" w14:textId="6BB52746" w:rsidR="00A72AB1" w:rsidRDefault="00A72AB1" w:rsidP="00A45C7C">
            <w:pPr>
              <w:jc w:val="center"/>
              <w:rPr>
                <w:rFonts w:ascii="Garamond" w:hAnsi="Garamond"/>
                <w:b/>
                <w:sz w:val="24"/>
                <w:szCs w:val="24"/>
                <w:lang w:val="pt-BR"/>
              </w:rPr>
            </w:pPr>
          </w:p>
        </w:tc>
        <w:tc>
          <w:tcPr>
            <w:tcW w:w="4510" w:type="dxa"/>
          </w:tcPr>
          <w:p w14:paraId="4BC5D2E8" w14:textId="1AE2A9E9" w:rsidR="00A72AB1" w:rsidRDefault="00A72AB1" w:rsidP="00A45C7C">
            <w:pPr>
              <w:jc w:val="center"/>
              <w:rPr>
                <w:rFonts w:ascii="Garamond" w:hAnsi="Garamond"/>
                <w:b/>
                <w:sz w:val="24"/>
                <w:szCs w:val="24"/>
                <w:lang w:val="pt-BR"/>
              </w:rPr>
            </w:pPr>
            <w:r>
              <w:rPr>
                <w:rFonts w:ascii="Garamond" w:hAnsi="Garamond"/>
                <w:b/>
                <w:noProof/>
                <w:lang w:val="pt-BR"/>
              </w:rPr>
              <w:drawing>
                <wp:inline distT="0" distB="0" distL="0" distR="0" wp14:anchorId="049D03F3" wp14:editId="78C0566F">
                  <wp:extent cx="1130158" cy="1270435"/>
                  <wp:effectExtent l="0" t="0" r="635" b="0"/>
                  <wp:docPr id="37530120" name="Image 2" descr="Une image contenant symbole, clipart, Graphique, Polic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30120" name="Image 2" descr="Une image contenant symbole, clipart, Graphique, Police&#10;&#10;Description générée automatiquement"/>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37789" cy="1279014"/>
                          </a:xfrm>
                          <a:prstGeom prst="rect">
                            <a:avLst/>
                          </a:prstGeom>
                        </pic:spPr>
                      </pic:pic>
                    </a:graphicData>
                  </a:graphic>
                </wp:inline>
              </w:drawing>
            </w:r>
          </w:p>
        </w:tc>
      </w:tr>
      <w:tr w:rsidR="00A72AB1" w14:paraId="477BE146" w14:textId="77777777" w:rsidTr="00A45C7C">
        <w:tc>
          <w:tcPr>
            <w:tcW w:w="4509" w:type="dxa"/>
          </w:tcPr>
          <w:p w14:paraId="7636A72E" w14:textId="77777777" w:rsidR="00A72AB1" w:rsidRPr="00E3458D" w:rsidRDefault="00A72AB1" w:rsidP="00E3458D">
            <w:pPr>
              <w:jc w:val="center"/>
              <w:rPr>
                <w:rFonts w:ascii="Garamond" w:eastAsia="Garamond" w:hAnsi="Garamond" w:cs="Garamond"/>
                <w:b/>
                <w:sz w:val="18"/>
                <w:szCs w:val="18"/>
              </w:rPr>
            </w:pPr>
            <w:r w:rsidRPr="00E3458D">
              <w:rPr>
                <w:rFonts w:ascii="Garamond" w:eastAsia="Garamond" w:hAnsi="Garamond" w:cs="Garamond"/>
                <w:b/>
                <w:sz w:val="18"/>
                <w:szCs w:val="18"/>
              </w:rPr>
              <w:t>Minority Rights Group (UK)</w:t>
            </w:r>
          </w:p>
          <w:p w14:paraId="19479CD9" w14:textId="77777777" w:rsidR="00A72AB1" w:rsidRPr="00E3458D" w:rsidRDefault="00A72AB1" w:rsidP="00E3458D">
            <w:pPr>
              <w:jc w:val="center"/>
              <w:rPr>
                <w:rFonts w:ascii="Garamond" w:eastAsia="Garamond" w:hAnsi="Garamond" w:cs="Garamond"/>
                <w:b/>
                <w:sz w:val="18"/>
                <w:szCs w:val="18"/>
              </w:rPr>
            </w:pPr>
          </w:p>
          <w:p w14:paraId="17363F0B" w14:textId="77777777" w:rsidR="00E3458D" w:rsidRPr="00E3458D" w:rsidRDefault="00E3458D" w:rsidP="00E3458D">
            <w:pPr>
              <w:jc w:val="center"/>
              <w:rPr>
                <w:rFonts w:ascii="Garamond" w:eastAsia="Garamond" w:hAnsi="Garamond" w:cs="Garamond"/>
                <w:b/>
                <w:bCs/>
                <w:sz w:val="18"/>
                <w:szCs w:val="18"/>
              </w:rPr>
            </w:pPr>
          </w:p>
          <w:p w14:paraId="27987FCA" w14:textId="7C323DA5" w:rsidR="00A72AB1" w:rsidRPr="00E3458D" w:rsidRDefault="00A72AB1" w:rsidP="00E3458D">
            <w:pPr>
              <w:jc w:val="center"/>
              <w:rPr>
                <w:rFonts w:ascii="Garamond" w:eastAsia="Garamond" w:hAnsi="Garamond" w:cs="Garamond"/>
                <w:b/>
                <w:sz w:val="18"/>
                <w:szCs w:val="18"/>
              </w:rPr>
            </w:pPr>
            <w:r w:rsidRPr="00E3458D">
              <w:rPr>
                <w:rFonts w:ascii="Garamond" w:eastAsia="Garamond" w:hAnsi="Garamond" w:cs="Garamond"/>
                <w:b/>
                <w:sz w:val="18"/>
                <w:szCs w:val="18"/>
              </w:rPr>
              <w:t>Web</w:t>
            </w:r>
            <w:r w:rsidRPr="00E3458D">
              <w:rPr>
                <w:rFonts w:ascii="Garamond" w:eastAsia="Times New Roman" w:hAnsi="Garamond" w:cs="Times New Roman"/>
                <w:b/>
                <w:sz w:val="18"/>
                <w:szCs w:val="18"/>
              </w:rPr>
              <w:t xml:space="preserve">: </w:t>
            </w:r>
            <w:hyperlink r:id="rId10" w:history="1">
              <w:r w:rsidRPr="00E3458D">
                <w:rPr>
                  <w:rStyle w:val="Hyperlink"/>
                  <w:rFonts w:ascii="Garamond" w:eastAsia="Times New Roman" w:hAnsi="Garamond" w:cs="Times New Roman"/>
                  <w:b/>
                  <w:sz w:val="18"/>
                  <w:szCs w:val="18"/>
                </w:rPr>
                <w:t>https://minorityrights.org/</w:t>
              </w:r>
            </w:hyperlink>
          </w:p>
          <w:p w14:paraId="206B33C3" w14:textId="77777777" w:rsidR="00A72AB1" w:rsidRPr="00E3458D" w:rsidRDefault="00A72AB1" w:rsidP="00E3458D">
            <w:pPr>
              <w:jc w:val="center"/>
              <w:rPr>
                <w:rFonts w:ascii="Garamond" w:eastAsia="Garamond" w:hAnsi="Garamond" w:cs="Garamond"/>
                <w:b/>
                <w:sz w:val="18"/>
                <w:szCs w:val="18"/>
                <w:lang w:val="en-US"/>
              </w:rPr>
            </w:pPr>
          </w:p>
          <w:p w14:paraId="6284D93F" w14:textId="55E60FF3" w:rsidR="00A72AB1" w:rsidRPr="00E3458D" w:rsidRDefault="00A72AB1" w:rsidP="00E3458D">
            <w:pPr>
              <w:jc w:val="center"/>
              <w:rPr>
                <w:rFonts w:ascii="Garamond" w:eastAsia="Garamond" w:hAnsi="Garamond" w:cs="Garamond"/>
                <w:b/>
                <w:sz w:val="18"/>
                <w:szCs w:val="18"/>
                <w:lang w:val="en-US"/>
              </w:rPr>
            </w:pPr>
            <w:r w:rsidRPr="00E3458D">
              <w:rPr>
                <w:rFonts w:ascii="Garamond" w:eastAsia="Garamond" w:hAnsi="Garamond" w:cs="Garamond"/>
                <w:b/>
                <w:sz w:val="18"/>
                <w:szCs w:val="18"/>
                <w:lang w:val="en-US"/>
              </w:rPr>
              <w:t>Contact</w:t>
            </w:r>
            <w:r w:rsidRPr="00E3458D">
              <w:rPr>
                <w:rFonts w:ascii="Garamond" w:eastAsia="Times New Roman" w:hAnsi="Garamond" w:cs="Times New Roman"/>
                <w:b/>
                <w:sz w:val="18"/>
                <w:szCs w:val="18"/>
                <w:lang w:val="en-US"/>
              </w:rPr>
              <w:t>:</w:t>
            </w:r>
            <w:r w:rsidRPr="00E3458D">
              <w:rPr>
                <w:rFonts w:ascii="Garamond" w:eastAsia="Garamond" w:hAnsi="Garamond" w:cs="Garamond"/>
                <w:b/>
                <w:sz w:val="18"/>
                <w:szCs w:val="18"/>
                <w:lang w:val="en-US"/>
              </w:rPr>
              <w:t xml:space="preserve"> Glenn Payot</w:t>
            </w:r>
          </w:p>
          <w:p w14:paraId="05665F9D" w14:textId="2E73EB16" w:rsidR="00A72AB1" w:rsidRPr="00E3458D" w:rsidRDefault="00A72AB1" w:rsidP="00E3458D">
            <w:pPr>
              <w:jc w:val="center"/>
              <w:rPr>
                <w:rFonts w:ascii="Garamond" w:eastAsia="Garamond" w:hAnsi="Garamond" w:cs="Garamond"/>
                <w:b/>
                <w:sz w:val="18"/>
                <w:szCs w:val="18"/>
                <w:lang w:val="en-US"/>
              </w:rPr>
            </w:pPr>
            <w:hyperlink r:id="rId11" w:history="1">
              <w:r w:rsidRPr="00E3458D">
                <w:rPr>
                  <w:rStyle w:val="Hyperlink"/>
                  <w:rFonts w:ascii="Garamond" w:eastAsia="Garamond" w:hAnsi="Garamond" w:cs="Garamond"/>
                  <w:b/>
                  <w:sz w:val="18"/>
                  <w:szCs w:val="18"/>
                </w:rPr>
                <w:t>glenn.payot@minorityrights.org</w:t>
              </w:r>
            </w:hyperlink>
          </w:p>
        </w:tc>
        <w:tc>
          <w:tcPr>
            <w:tcW w:w="4510" w:type="dxa"/>
          </w:tcPr>
          <w:p w14:paraId="0AD0979C" w14:textId="18F0C6A0" w:rsidR="00A72AB1" w:rsidRPr="00E3458D" w:rsidRDefault="00A72AB1" w:rsidP="00E3458D">
            <w:pPr>
              <w:pStyle w:val="NormalWeb"/>
              <w:spacing w:before="0" w:beforeAutospacing="0" w:after="0" w:afterAutospacing="0"/>
              <w:jc w:val="center"/>
              <w:rPr>
                <w:rFonts w:ascii="Garamond" w:hAnsi="Garamond"/>
                <w:b/>
                <w:bCs/>
                <w:color w:val="000000"/>
                <w:sz w:val="18"/>
                <w:szCs w:val="18"/>
                <w:lang w:val="en-US"/>
              </w:rPr>
            </w:pPr>
            <w:r w:rsidRPr="00A72AB1">
              <w:rPr>
                <w:rFonts w:ascii="Garamond" w:hAnsi="Garamond"/>
                <w:b/>
                <w:bCs/>
                <w:color w:val="000000"/>
                <w:sz w:val="18"/>
                <w:szCs w:val="18"/>
                <w:lang w:val="en-US"/>
              </w:rPr>
              <w:t>Association of Women for Awareness and Motivation (AWAM) Pakistan</w:t>
            </w:r>
          </w:p>
          <w:p w14:paraId="272E8329" w14:textId="77777777" w:rsidR="00E3458D" w:rsidRPr="00E3458D" w:rsidRDefault="00E3458D" w:rsidP="00E3458D">
            <w:pPr>
              <w:pStyle w:val="NormalWeb"/>
              <w:spacing w:before="0" w:beforeAutospacing="0" w:after="0" w:afterAutospacing="0"/>
              <w:jc w:val="center"/>
              <w:rPr>
                <w:rFonts w:ascii="Garamond" w:hAnsi="Garamond"/>
                <w:b/>
                <w:bCs/>
                <w:color w:val="000000"/>
                <w:sz w:val="18"/>
                <w:szCs w:val="18"/>
                <w:lang w:val="en-US"/>
              </w:rPr>
            </w:pPr>
          </w:p>
          <w:p w14:paraId="7F54F3CA" w14:textId="300E867B" w:rsidR="00A72AB1" w:rsidRPr="00E3458D" w:rsidRDefault="00A72AB1" w:rsidP="00E3458D">
            <w:pPr>
              <w:pStyle w:val="NormalWeb"/>
              <w:spacing w:before="0" w:beforeAutospacing="0" w:after="0" w:afterAutospacing="0"/>
              <w:jc w:val="center"/>
              <w:rPr>
                <w:sz w:val="18"/>
                <w:szCs w:val="18"/>
              </w:rPr>
            </w:pPr>
            <w:r w:rsidRPr="00E3458D">
              <w:rPr>
                <w:rFonts w:ascii="Garamond" w:hAnsi="Garamond"/>
                <w:b/>
                <w:bCs/>
                <w:color w:val="000000"/>
                <w:sz w:val="18"/>
                <w:szCs w:val="18"/>
              </w:rPr>
              <w:t xml:space="preserve">Web: </w:t>
            </w:r>
            <w:hyperlink r:id="rId12" w:history="1">
              <w:r w:rsidRPr="00E3458D">
                <w:rPr>
                  <w:rStyle w:val="Hyperlink"/>
                  <w:rFonts w:ascii="Garamond" w:hAnsi="Garamond"/>
                  <w:b/>
                  <w:bCs/>
                  <w:sz w:val="18"/>
                  <w:szCs w:val="18"/>
                </w:rPr>
                <w:t>https://awampk.org/</w:t>
              </w:r>
            </w:hyperlink>
          </w:p>
          <w:p w14:paraId="79198E75" w14:textId="77777777" w:rsidR="00A72AB1" w:rsidRPr="00E3458D" w:rsidRDefault="00A72AB1" w:rsidP="00E3458D">
            <w:pPr>
              <w:pStyle w:val="NormalWeb"/>
              <w:spacing w:before="0" w:beforeAutospacing="0" w:after="0" w:afterAutospacing="0"/>
              <w:jc w:val="center"/>
              <w:rPr>
                <w:rFonts w:ascii="Garamond" w:hAnsi="Garamond"/>
                <w:b/>
                <w:bCs/>
                <w:color w:val="000000"/>
                <w:sz w:val="18"/>
                <w:szCs w:val="18"/>
                <w:lang w:val="pt-BR"/>
              </w:rPr>
            </w:pPr>
          </w:p>
          <w:p w14:paraId="1F57E507" w14:textId="795F3E4D" w:rsidR="00E3458D" w:rsidRPr="00E3458D" w:rsidRDefault="00E3458D" w:rsidP="00E3458D">
            <w:pPr>
              <w:jc w:val="center"/>
              <w:rPr>
                <w:rFonts w:ascii="Garamond" w:eastAsia="Garamond" w:hAnsi="Garamond" w:cs="Garamond"/>
                <w:b/>
                <w:sz w:val="18"/>
                <w:szCs w:val="18"/>
                <w:lang w:val="en-US"/>
              </w:rPr>
            </w:pPr>
            <w:r w:rsidRPr="00E3458D">
              <w:rPr>
                <w:rFonts w:ascii="Garamond" w:eastAsia="Garamond" w:hAnsi="Garamond" w:cs="Garamond"/>
                <w:b/>
                <w:sz w:val="18"/>
                <w:szCs w:val="18"/>
                <w:lang w:val="en-US"/>
              </w:rPr>
              <w:t>Contact</w:t>
            </w:r>
            <w:r w:rsidRPr="00E3458D">
              <w:rPr>
                <w:rFonts w:ascii="Garamond" w:eastAsia="Times New Roman" w:hAnsi="Garamond" w:cs="Times New Roman"/>
                <w:b/>
                <w:sz w:val="18"/>
                <w:szCs w:val="18"/>
                <w:lang w:val="en-US"/>
              </w:rPr>
              <w:t>:</w:t>
            </w:r>
            <w:r w:rsidRPr="00E3458D">
              <w:rPr>
                <w:rFonts w:ascii="Garamond" w:eastAsia="Garamond" w:hAnsi="Garamond" w:cs="Garamond"/>
                <w:b/>
                <w:sz w:val="18"/>
                <w:szCs w:val="18"/>
                <w:lang w:val="en-US"/>
              </w:rPr>
              <w:t xml:space="preserve"> Laiba</w:t>
            </w:r>
          </w:p>
          <w:p w14:paraId="639ADF78" w14:textId="3849EE35" w:rsidR="00A72AB1" w:rsidRPr="00E3458D" w:rsidRDefault="00E3458D" w:rsidP="00E3458D">
            <w:pPr>
              <w:pStyle w:val="NormalWeb"/>
              <w:spacing w:before="0" w:beforeAutospacing="0" w:after="0" w:afterAutospacing="0"/>
              <w:jc w:val="center"/>
              <w:rPr>
                <w:rFonts w:ascii="Garamond" w:hAnsi="Garamond"/>
                <w:b/>
                <w:sz w:val="18"/>
                <w:szCs w:val="18"/>
                <w:lang w:val="pt-BR"/>
              </w:rPr>
            </w:pPr>
            <w:hyperlink r:id="rId13" w:history="1">
              <w:r w:rsidRPr="00C3477A">
                <w:rPr>
                  <w:rStyle w:val="Hyperlink"/>
                  <w:rFonts w:ascii="Garamond" w:eastAsia="Garamond" w:hAnsi="Garamond" w:cs="Garamond"/>
                  <w:b/>
                  <w:sz w:val="18"/>
                  <w:szCs w:val="18"/>
                  <w:lang w:val="en-US"/>
                </w:rPr>
                <w:t>contact@awampk.org</w:t>
              </w:r>
            </w:hyperlink>
          </w:p>
        </w:tc>
      </w:tr>
    </w:tbl>
    <w:p w14:paraId="48F76E5D" w14:textId="77777777" w:rsidR="00A72AB1" w:rsidRDefault="00A72AB1" w:rsidP="00E3458D">
      <w:pPr>
        <w:spacing w:after="0" w:line="240" w:lineRule="auto"/>
        <w:jc w:val="center"/>
        <w:rPr>
          <w:rFonts w:ascii="Garamond" w:eastAsia="Garamond" w:hAnsi="Garamond" w:cs="Garamond"/>
          <w:b/>
          <w:bCs/>
          <w:sz w:val="26"/>
          <w:szCs w:val="26"/>
        </w:rPr>
      </w:pPr>
    </w:p>
    <w:p w14:paraId="11ECD813" w14:textId="77777777" w:rsidR="00E3458D" w:rsidRDefault="00E3458D" w:rsidP="00A72AB1">
      <w:pPr>
        <w:spacing w:before="240" w:after="240"/>
        <w:jc w:val="center"/>
        <w:rPr>
          <w:rFonts w:ascii="Garamond" w:eastAsia="Garamond" w:hAnsi="Garamond" w:cs="Garamond"/>
          <w:b/>
          <w:bCs/>
          <w:sz w:val="26"/>
          <w:szCs w:val="26"/>
        </w:rPr>
      </w:pPr>
    </w:p>
    <w:p w14:paraId="767E1CBC" w14:textId="2780C406" w:rsidR="00A72AB1" w:rsidRPr="00D632F1" w:rsidRDefault="00A72AB1" w:rsidP="00A72AB1">
      <w:pPr>
        <w:spacing w:before="240" w:after="240"/>
        <w:jc w:val="center"/>
        <w:rPr>
          <w:rFonts w:ascii="Garamond" w:eastAsia="Garamond" w:hAnsi="Garamond" w:cs="Garamond"/>
          <w:b/>
          <w:bCs/>
          <w:sz w:val="26"/>
          <w:szCs w:val="26"/>
        </w:rPr>
      </w:pPr>
      <w:r w:rsidRPr="00D632F1">
        <w:rPr>
          <w:rFonts w:ascii="Garamond" w:eastAsia="Garamond" w:hAnsi="Garamond" w:cs="Garamond"/>
          <w:b/>
          <w:bCs/>
          <w:sz w:val="26"/>
          <w:szCs w:val="26"/>
        </w:rPr>
        <w:t>CRC – Committee on the Rights of the Child</w:t>
      </w:r>
      <w:r w:rsidRPr="00D632F1">
        <w:rPr>
          <w:rFonts w:ascii="Garamond" w:hAnsi="Garamond"/>
          <w:sz w:val="26"/>
          <w:szCs w:val="26"/>
        </w:rPr>
        <w:br/>
      </w:r>
      <w:r>
        <w:rPr>
          <w:rFonts w:ascii="Garamond" w:eastAsia="Garamond" w:hAnsi="Garamond" w:cs="Garamond"/>
          <w:b/>
          <w:bCs/>
          <w:sz w:val="26"/>
          <w:szCs w:val="26"/>
        </w:rPr>
        <w:t>100</w:t>
      </w:r>
      <w:r w:rsidRPr="00A72AB1">
        <w:rPr>
          <w:rFonts w:ascii="Garamond" w:eastAsia="Garamond" w:hAnsi="Garamond" w:cs="Garamond"/>
          <w:b/>
          <w:bCs/>
          <w:sz w:val="26"/>
          <w:szCs w:val="26"/>
          <w:vertAlign w:val="superscript"/>
        </w:rPr>
        <w:t>th</w:t>
      </w:r>
      <w:r>
        <w:rPr>
          <w:rFonts w:ascii="Garamond" w:eastAsia="Garamond" w:hAnsi="Garamond" w:cs="Garamond"/>
          <w:b/>
          <w:bCs/>
          <w:sz w:val="26"/>
          <w:szCs w:val="26"/>
        </w:rPr>
        <w:t xml:space="preserve"> Session</w:t>
      </w:r>
      <w:r w:rsidRPr="00D632F1">
        <w:rPr>
          <w:rFonts w:ascii="Garamond" w:eastAsia="Garamond" w:hAnsi="Garamond" w:cs="Garamond"/>
          <w:b/>
          <w:bCs/>
          <w:sz w:val="26"/>
          <w:szCs w:val="26"/>
        </w:rPr>
        <w:t xml:space="preserve"> (</w:t>
      </w:r>
      <w:r w:rsidR="007C697A">
        <w:rPr>
          <w:rFonts w:ascii="Garamond" w:eastAsia="Garamond" w:hAnsi="Garamond" w:cs="Garamond"/>
          <w:b/>
          <w:bCs/>
          <w:sz w:val="26"/>
          <w:szCs w:val="26"/>
        </w:rPr>
        <w:t>12 January</w:t>
      </w:r>
      <w:r w:rsidRPr="00D632F1">
        <w:rPr>
          <w:rFonts w:ascii="Garamond" w:eastAsia="Garamond" w:hAnsi="Garamond" w:cs="Garamond"/>
          <w:b/>
          <w:bCs/>
          <w:sz w:val="26"/>
          <w:szCs w:val="26"/>
        </w:rPr>
        <w:t xml:space="preserve"> </w:t>
      </w:r>
      <w:r w:rsidR="007C697A">
        <w:rPr>
          <w:rFonts w:ascii="Garamond" w:eastAsia="Garamond" w:hAnsi="Garamond" w:cs="Garamond"/>
          <w:b/>
          <w:bCs/>
          <w:sz w:val="26"/>
          <w:szCs w:val="26"/>
        </w:rPr>
        <w:t>–</w:t>
      </w:r>
      <w:r w:rsidRPr="00D632F1">
        <w:rPr>
          <w:rFonts w:ascii="Garamond" w:eastAsia="Garamond" w:hAnsi="Garamond" w:cs="Garamond"/>
          <w:b/>
          <w:bCs/>
          <w:sz w:val="26"/>
          <w:szCs w:val="26"/>
        </w:rPr>
        <w:t xml:space="preserve"> </w:t>
      </w:r>
      <w:r w:rsidR="007C697A">
        <w:rPr>
          <w:rFonts w:ascii="Garamond" w:eastAsia="Garamond" w:hAnsi="Garamond" w:cs="Garamond"/>
          <w:b/>
          <w:bCs/>
          <w:sz w:val="26"/>
          <w:szCs w:val="26"/>
        </w:rPr>
        <w:t>30 January 2026</w:t>
      </w:r>
      <w:r w:rsidRPr="00D632F1">
        <w:rPr>
          <w:rFonts w:ascii="Garamond" w:eastAsia="Garamond" w:hAnsi="Garamond" w:cs="Garamond"/>
          <w:b/>
          <w:bCs/>
          <w:sz w:val="26"/>
          <w:szCs w:val="26"/>
        </w:rPr>
        <w:t>)</w:t>
      </w:r>
    </w:p>
    <w:p w14:paraId="49283B89" w14:textId="77777777" w:rsidR="00E3458D" w:rsidRDefault="00E3458D" w:rsidP="00A72AB1">
      <w:pPr>
        <w:jc w:val="both"/>
        <w:rPr>
          <w:rFonts w:asciiTheme="majorBidi" w:hAnsiTheme="majorBidi" w:cstheme="majorBidi"/>
          <w:b/>
          <w:bCs/>
        </w:rPr>
      </w:pPr>
    </w:p>
    <w:p w14:paraId="1E1A90D0" w14:textId="462A05BA" w:rsidR="00E3458D" w:rsidRPr="00CF7B77" w:rsidRDefault="00A72AB1" w:rsidP="00E3458D">
      <w:pPr>
        <w:jc w:val="center"/>
        <w:rPr>
          <w:rFonts w:ascii="Garamond" w:hAnsi="Garamond" w:cstheme="majorBidi"/>
          <w:b/>
          <w:bCs/>
        </w:rPr>
      </w:pPr>
      <w:r w:rsidRPr="00CF7B77">
        <w:rPr>
          <w:rFonts w:ascii="Garamond" w:hAnsi="Garamond" w:cstheme="majorBidi"/>
          <w:b/>
          <w:bCs/>
        </w:rPr>
        <w:t>December 2025</w:t>
      </w:r>
    </w:p>
    <w:p w14:paraId="03F3AD17" w14:textId="2D10CCAD" w:rsidR="007C697A" w:rsidRPr="007C697A" w:rsidRDefault="007C697A" w:rsidP="007C697A">
      <w:pPr>
        <w:spacing w:after="240" w:line="360" w:lineRule="auto"/>
        <w:jc w:val="both"/>
        <w:rPr>
          <w:rFonts w:ascii="Garamond" w:hAnsi="Garamond" w:cstheme="majorBidi"/>
          <w:b/>
          <w:bCs/>
        </w:rPr>
      </w:pPr>
      <w:r w:rsidRPr="007C697A">
        <w:rPr>
          <w:rFonts w:ascii="Garamond" w:hAnsi="Garamond" w:cstheme="majorBidi"/>
          <w:b/>
          <w:bCs/>
        </w:rPr>
        <w:lastRenderedPageBreak/>
        <w:t>INTRODUCTION</w:t>
      </w:r>
    </w:p>
    <w:p w14:paraId="7AFD79CC" w14:textId="5881BB1A" w:rsidR="00C71C62" w:rsidRPr="007C697A" w:rsidRDefault="00E333D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M</w:t>
      </w:r>
      <w:r w:rsidR="0048180F" w:rsidRPr="007C697A">
        <w:rPr>
          <w:rFonts w:ascii="Garamond" w:hAnsi="Garamond" w:cstheme="majorBidi"/>
        </w:rPr>
        <w:t xml:space="preserve">ore than 40% of </w:t>
      </w:r>
      <w:r w:rsidRPr="007C697A">
        <w:rPr>
          <w:rFonts w:ascii="Garamond" w:hAnsi="Garamond" w:cstheme="majorBidi"/>
        </w:rPr>
        <w:t>Pakistan’s population</w:t>
      </w:r>
      <w:r w:rsidR="0048180F" w:rsidRPr="007C697A">
        <w:rPr>
          <w:rFonts w:ascii="Garamond" w:hAnsi="Garamond" w:cstheme="majorBidi"/>
        </w:rPr>
        <w:t>—approximately 112 million individuals—</w:t>
      </w:r>
      <w:r w:rsidRPr="007C697A">
        <w:rPr>
          <w:rFonts w:ascii="Garamond" w:hAnsi="Garamond" w:cstheme="majorBidi"/>
        </w:rPr>
        <w:t xml:space="preserve"> is </w:t>
      </w:r>
      <w:r w:rsidR="0048180F" w:rsidRPr="007C697A">
        <w:rPr>
          <w:rFonts w:ascii="Garamond" w:hAnsi="Garamond" w:cstheme="majorBidi"/>
        </w:rPr>
        <w:t>below the age of 18</w:t>
      </w:r>
      <w:r w:rsidR="009F1464" w:rsidRPr="007C697A">
        <w:rPr>
          <w:rStyle w:val="FootnoteReference"/>
          <w:rFonts w:ascii="Garamond" w:hAnsi="Garamond" w:cstheme="majorBidi"/>
          <w:b/>
          <w:bCs/>
        </w:rPr>
        <w:footnoteReference w:id="1"/>
      </w:r>
      <w:r w:rsidR="00820FA5" w:rsidRPr="007C697A">
        <w:rPr>
          <w:rFonts w:ascii="Garamond" w:hAnsi="Garamond" w:cstheme="majorBidi"/>
        </w:rPr>
        <w:t>.</w:t>
      </w:r>
      <w:r w:rsidR="00C71C62" w:rsidRPr="007C697A">
        <w:rPr>
          <w:rFonts w:ascii="Garamond" w:hAnsi="Garamond" w:cstheme="majorBidi"/>
        </w:rPr>
        <w:t xml:space="preserve"> C</w:t>
      </w:r>
      <w:r w:rsidR="0048180F" w:rsidRPr="007C697A">
        <w:rPr>
          <w:rFonts w:ascii="Garamond" w:hAnsi="Garamond" w:cstheme="majorBidi"/>
        </w:rPr>
        <w:t>hildren across the country</w:t>
      </w:r>
      <w:r w:rsidR="00C71C62" w:rsidRPr="007C697A">
        <w:rPr>
          <w:rFonts w:ascii="Garamond" w:hAnsi="Garamond" w:cstheme="majorBidi"/>
        </w:rPr>
        <w:t>, and in particular children belonging to religious or belief minorities,</w:t>
      </w:r>
      <w:r w:rsidR="0048180F" w:rsidRPr="007C697A">
        <w:rPr>
          <w:rFonts w:ascii="Garamond" w:hAnsi="Garamond" w:cstheme="majorBidi"/>
        </w:rPr>
        <w:t xml:space="preserve"> continue to face structural vulnerabilities that limit their protection, development, and access to fundamental rights. </w:t>
      </w:r>
    </w:p>
    <w:p w14:paraId="3200E5EA" w14:textId="77777777" w:rsidR="00F618C5" w:rsidRDefault="0048180F"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Educational exclusion remains a major concern, with more than 25.37 million children aged 5–16 out of school.</w:t>
      </w:r>
      <w:r w:rsidR="00E7289A" w:rsidRPr="007C697A">
        <w:rPr>
          <w:rStyle w:val="FootnoteReference"/>
          <w:rFonts w:ascii="Garamond" w:hAnsi="Garamond" w:cstheme="majorBidi"/>
        </w:rPr>
        <w:footnoteReference w:id="2"/>
      </w:r>
      <w:r w:rsidRPr="007C697A">
        <w:rPr>
          <w:rFonts w:ascii="Garamond" w:hAnsi="Garamond" w:cstheme="majorBidi"/>
        </w:rPr>
        <w:t xml:space="preserve"> Child labor persists at scale, </w:t>
      </w:r>
      <w:r w:rsidR="00E15107" w:rsidRPr="007C697A">
        <w:rPr>
          <w:rFonts w:ascii="Garamond" w:hAnsi="Garamond" w:cstheme="majorBidi"/>
        </w:rPr>
        <w:t>employing most of Pakistan’s 12.5 million child laborers</w:t>
      </w:r>
      <w:r w:rsidR="00E15107" w:rsidRPr="007C697A">
        <w:rPr>
          <w:rStyle w:val="FootnoteReference"/>
          <w:rFonts w:ascii="Garamond" w:hAnsi="Garamond" w:cstheme="majorBidi"/>
        </w:rPr>
        <w:footnoteReference w:id="3"/>
      </w:r>
      <w:r w:rsidR="00E15107" w:rsidRPr="007C697A">
        <w:rPr>
          <w:rFonts w:ascii="Garamond" w:hAnsi="Garamond" w:cstheme="majorBidi"/>
        </w:rPr>
        <w:t>, where Pakistan’s child labor framework—one federal law (1991)</w:t>
      </w:r>
      <w:r w:rsidR="00E15107" w:rsidRPr="007C697A">
        <w:rPr>
          <w:rStyle w:val="FootnoteReference"/>
          <w:rFonts w:ascii="Garamond" w:hAnsi="Garamond" w:cstheme="majorBidi"/>
        </w:rPr>
        <w:footnoteReference w:id="4"/>
      </w:r>
      <w:r w:rsidR="00E15107" w:rsidRPr="007C697A">
        <w:rPr>
          <w:rFonts w:ascii="Garamond" w:hAnsi="Garamond" w:cstheme="majorBidi"/>
        </w:rPr>
        <w:t xml:space="preserve"> and post-18th Amendment provincial statutes—remains fragmented and inconsistent. The 1991 Act set weak foundations: minimum age 14, bans limited to 18 hazardous occupations, low penalties, and major exemptions for family businesses, agriculture, and domestic work. Provincial laws diverge critically on age definitions: </w:t>
      </w:r>
      <w:r w:rsidR="00F618C5" w:rsidRPr="00F618C5">
        <w:rPr>
          <w:rFonts w:ascii="Garamond" w:hAnsi="Garamond" w:cstheme="majorBidi"/>
        </w:rPr>
        <w:t>Khyber Pakhtunkhwa</w:t>
      </w:r>
      <w:r w:rsidR="00E15107" w:rsidRPr="007C697A">
        <w:rPr>
          <w:rStyle w:val="FootnoteReference"/>
          <w:rFonts w:ascii="Garamond" w:hAnsi="Garamond" w:cstheme="majorBidi"/>
        </w:rPr>
        <w:footnoteReference w:id="5"/>
      </w:r>
      <w:r w:rsidR="00E15107" w:rsidRPr="007C697A">
        <w:rPr>
          <w:rFonts w:ascii="Garamond" w:hAnsi="Garamond" w:cstheme="majorBidi"/>
        </w:rPr>
        <w:t xml:space="preserve"> and Baluchistan</w:t>
      </w:r>
      <w:r w:rsidR="00E15107" w:rsidRPr="007C697A">
        <w:rPr>
          <w:rStyle w:val="FootnoteReference"/>
          <w:rFonts w:ascii="Garamond" w:hAnsi="Garamond" w:cstheme="majorBidi"/>
        </w:rPr>
        <w:footnoteReference w:id="6"/>
      </w:r>
      <w:r w:rsidR="00F618C5">
        <w:rPr>
          <w:rFonts w:ascii="Garamond" w:hAnsi="Garamond" w:cstheme="majorBidi"/>
        </w:rPr>
        <w:t xml:space="preserve"> </w:t>
      </w:r>
      <w:r w:rsidR="00E15107" w:rsidRPr="007C697A">
        <w:rPr>
          <w:rFonts w:ascii="Garamond" w:hAnsi="Garamond" w:cstheme="majorBidi"/>
        </w:rPr>
        <w:t>define "child" as under 14 years while Punjab</w:t>
      </w:r>
      <w:r w:rsidR="00E15107" w:rsidRPr="007C697A">
        <w:rPr>
          <w:rStyle w:val="FootnoteReference"/>
          <w:rFonts w:ascii="Garamond" w:hAnsi="Garamond" w:cstheme="majorBidi"/>
        </w:rPr>
        <w:footnoteReference w:id="7"/>
      </w:r>
      <w:r w:rsidR="00E15107" w:rsidRPr="007C697A">
        <w:rPr>
          <w:rFonts w:ascii="Garamond" w:hAnsi="Garamond" w:cstheme="majorBidi"/>
        </w:rPr>
        <w:t xml:space="preserve"> and Sindh</w:t>
      </w:r>
      <w:r w:rsidR="00E15107" w:rsidRPr="007C697A">
        <w:rPr>
          <w:rStyle w:val="FootnoteReference"/>
          <w:rFonts w:ascii="Garamond" w:hAnsi="Garamond" w:cstheme="majorBidi"/>
        </w:rPr>
        <w:footnoteReference w:id="8"/>
      </w:r>
      <w:r w:rsidR="00E15107" w:rsidRPr="007C697A">
        <w:rPr>
          <w:rFonts w:ascii="Garamond" w:hAnsi="Garamond" w:cstheme="majorBidi"/>
        </w:rPr>
        <w:t xml:space="preserve"> raised it to under 15 years, creating cross-border inconsistencies. </w:t>
      </w:r>
    </w:p>
    <w:p w14:paraId="5F04E647" w14:textId="77777777" w:rsidR="00F618C5" w:rsidRDefault="00E15107"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Core weaknesses persist nationwide: unverifiable family-business exemptions, unreliable age determination, vague vocational and “light work” provisions, and near-complete absence of regulation in agriculture and domestic work—except for Baluchistan’s symbolic domestic work listing without household enforcement mechanisms. Survey data from Punjab Child Labor Survey (2019-2020)</w:t>
      </w:r>
      <w:r w:rsidRPr="007C697A">
        <w:rPr>
          <w:rStyle w:val="FootnoteReference"/>
          <w:rFonts w:ascii="Garamond" w:hAnsi="Garamond" w:cstheme="majorBidi"/>
        </w:rPr>
        <w:footnoteReference w:id="9"/>
      </w:r>
      <w:r w:rsidRPr="007C697A">
        <w:rPr>
          <w:rFonts w:ascii="Garamond" w:hAnsi="Garamond" w:cstheme="majorBidi"/>
        </w:rPr>
        <w:t xml:space="preserve"> indicates that 13.4% of children aged 5–14 and 16.9% of those aged 5–17 is engaged in child labor. Structural safeguards are missing: no rehabilitation or education mandates, no data systems, no compensation or debt relief, and unimplemented action plans. The laws also ignore emerging sectors (e-waste recycling, digital/gig labor) and mobile or home-based work patterns. </w:t>
      </w:r>
    </w:p>
    <w:p w14:paraId="45856D9F" w14:textId="77777777" w:rsidR="00F618C5" w:rsidRDefault="00E15107"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 xml:space="preserve">Overall, the framework remains punitive and poorly enforced, failing to address the poverty and limited educational access that sustain widespread child labor. </w:t>
      </w:r>
      <w:r w:rsidR="0048180F" w:rsidRPr="007C697A">
        <w:rPr>
          <w:rFonts w:ascii="Garamond" w:hAnsi="Garamond" w:cstheme="majorBidi"/>
        </w:rPr>
        <w:t xml:space="preserve">Only </w:t>
      </w:r>
      <w:r w:rsidR="004A5686" w:rsidRPr="007C697A">
        <w:rPr>
          <w:rFonts w:ascii="Garamond" w:hAnsi="Garamond" w:cstheme="majorBidi"/>
        </w:rPr>
        <w:t>42</w:t>
      </w:r>
      <w:r w:rsidR="0048180F" w:rsidRPr="007C697A">
        <w:rPr>
          <w:rFonts w:ascii="Garamond" w:hAnsi="Garamond" w:cstheme="majorBidi"/>
        </w:rPr>
        <w:t xml:space="preserve">% of children under five </w:t>
      </w:r>
      <w:r w:rsidR="0048180F" w:rsidRPr="007C697A">
        <w:rPr>
          <w:rFonts w:ascii="Garamond" w:hAnsi="Garamond" w:cstheme="majorBidi"/>
        </w:rPr>
        <w:lastRenderedPageBreak/>
        <w:t>are registered at birth</w:t>
      </w:r>
      <w:r w:rsidR="004A5686" w:rsidRPr="007C697A">
        <w:rPr>
          <w:rStyle w:val="FootnoteReference"/>
          <w:rFonts w:ascii="Garamond" w:hAnsi="Garamond" w:cstheme="majorBidi"/>
        </w:rPr>
        <w:footnoteReference w:id="10"/>
      </w:r>
      <w:r w:rsidR="0048180F" w:rsidRPr="007C697A">
        <w:rPr>
          <w:rFonts w:ascii="Garamond" w:hAnsi="Garamond" w:cstheme="majorBidi"/>
        </w:rPr>
        <w:t xml:space="preserve">, leaving millions without legal identity. </w:t>
      </w:r>
      <w:r w:rsidR="006A7DB3" w:rsidRPr="007C697A">
        <w:rPr>
          <w:rFonts w:ascii="Garamond" w:hAnsi="Garamond" w:cstheme="majorBidi"/>
        </w:rPr>
        <w:t>Similarly</w:t>
      </w:r>
      <w:r w:rsidR="004A5686" w:rsidRPr="007C697A">
        <w:rPr>
          <w:rFonts w:ascii="Garamond" w:hAnsi="Garamond" w:cstheme="majorBidi"/>
        </w:rPr>
        <w:t xml:space="preserve">, </w:t>
      </w:r>
      <w:r w:rsidR="006A7DB3" w:rsidRPr="007C697A">
        <w:rPr>
          <w:rFonts w:ascii="Garamond" w:hAnsi="Garamond" w:cstheme="majorBidi"/>
        </w:rPr>
        <w:t xml:space="preserve">as per </w:t>
      </w:r>
      <w:r w:rsidR="004A5686" w:rsidRPr="007C697A">
        <w:rPr>
          <w:rFonts w:ascii="Garamond" w:hAnsi="Garamond" w:cstheme="majorBidi"/>
        </w:rPr>
        <w:t xml:space="preserve">the Child Labor Survey Punjab, </w:t>
      </w:r>
      <w:r w:rsidR="00DC233A" w:rsidRPr="007C697A">
        <w:rPr>
          <w:rFonts w:ascii="Garamond" w:hAnsi="Garamond" w:cstheme="majorBidi"/>
        </w:rPr>
        <w:t xml:space="preserve">the birth registration of </w:t>
      </w:r>
      <w:r w:rsidR="004A5686" w:rsidRPr="007C697A">
        <w:rPr>
          <w:rFonts w:ascii="Garamond" w:hAnsi="Garamond" w:cstheme="majorBidi"/>
        </w:rPr>
        <w:t>children of age 5 to 14, who are in labor and not in labor accounts for only 23.5% and 32.9% respectively</w:t>
      </w:r>
      <w:r w:rsidR="004A5686" w:rsidRPr="007C697A">
        <w:rPr>
          <w:rStyle w:val="FootnoteReference"/>
          <w:rFonts w:ascii="Garamond" w:hAnsi="Garamond" w:cstheme="majorBidi"/>
        </w:rPr>
        <w:footnoteReference w:id="11"/>
      </w:r>
      <w:r w:rsidR="006A7DB3" w:rsidRPr="007C697A">
        <w:rPr>
          <w:rFonts w:ascii="Garamond" w:hAnsi="Garamond" w:cstheme="majorBidi"/>
        </w:rPr>
        <w:t xml:space="preserve"> in Punjab Province</w:t>
      </w:r>
      <w:r w:rsidR="004A5686" w:rsidRPr="007C697A">
        <w:rPr>
          <w:rFonts w:ascii="Garamond" w:hAnsi="Garamond" w:cstheme="majorBidi"/>
        </w:rPr>
        <w:t xml:space="preserve">. </w:t>
      </w:r>
    </w:p>
    <w:p w14:paraId="546E8776" w14:textId="77777777" w:rsidR="00F618C5" w:rsidRDefault="0048180F"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 xml:space="preserve">Harmful traditional practices also remain widespread, as nearly a quarter of women aged 20–49 </w:t>
      </w:r>
      <w:r w:rsidR="007C697A" w:rsidRPr="007C697A">
        <w:rPr>
          <w:rFonts w:ascii="Garamond" w:hAnsi="Garamond" w:cstheme="majorBidi"/>
        </w:rPr>
        <w:t>was</w:t>
      </w:r>
      <w:r w:rsidRPr="007C697A">
        <w:rPr>
          <w:rFonts w:ascii="Garamond" w:hAnsi="Garamond" w:cstheme="majorBidi"/>
        </w:rPr>
        <w:t xml:space="preserve"> married before age 15, and 3</w:t>
      </w:r>
      <w:r w:rsidR="00CD1B30" w:rsidRPr="007C697A">
        <w:rPr>
          <w:rFonts w:ascii="Garamond" w:hAnsi="Garamond" w:cstheme="majorBidi"/>
        </w:rPr>
        <w:t>9</w:t>
      </w:r>
      <w:r w:rsidRPr="007C697A">
        <w:rPr>
          <w:rFonts w:ascii="Garamond" w:hAnsi="Garamond" w:cstheme="majorBidi"/>
        </w:rPr>
        <w:t>% before age 18</w:t>
      </w:r>
      <w:r w:rsidR="00776B9A" w:rsidRPr="007C697A">
        <w:rPr>
          <w:rFonts w:ascii="Garamond" w:hAnsi="Garamond" w:cstheme="majorBidi"/>
        </w:rPr>
        <w:t>, as per the 2017-2018 Pakistan Demographic and Health Survey (PDHS)</w:t>
      </w:r>
      <w:r w:rsidR="00776B9A" w:rsidRPr="007C697A">
        <w:rPr>
          <w:rStyle w:val="FootnoteReference"/>
          <w:rFonts w:ascii="Garamond" w:hAnsi="Garamond" w:cstheme="majorBidi"/>
        </w:rPr>
        <w:footnoteReference w:id="12"/>
      </w:r>
      <w:r w:rsidRPr="007C697A">
        <w:rPr>
          <w:rFonts w:ascii="Garamond" w:hAnsi="Garamond" w:cstheme="majorBidi"/>
        </w:rPr>
        <w:t>.</w:t>
      </w:r>
      <w:r w:rsidR="0020366A" w:rsidRPr="007C697A">
        <w:rPr>
          <w:rFonts w:ascii="Garamond" w:hAnsi="Garamond" w:cstheme="majorBidi"/>
        </w:rPr>
        <w:t xml:space="preserve"> </w:t>
      </w:r>
    </w:p>
    <w:p w14:paraId="175ED96A" w14:textId="2ACB4DA5" w:rsidR="0020366A" w:rsidRPr="007C697A"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 xml:space="preserve">These national indicators disproportionately affect children belonging to religious minority communities, where socioeconomic marginalization, discriminatory norms, and institutional biases reinforce structural inequalities. </w:t>
      </w:r>
    </w:p>
    <w:p w14:paraId="63BE1FE1" w14:textId="3BE9F148" w:rsidR="00C71C62" w:rsidRPr="007C697A" w:rsidRDefault="007C697A" w:rsidP="007C697A">
      <w:pPr>
        <w:spacing w:after="120" w:line="360" w:lineRule="auto"/>
        <w:ind w:left="68"/>
        <w:jc w:val="both"/>
        <w:rPr>
          <w:rFonts w:ascii="Garamond" w:hAnsi="Garamond" w:cstheme="majorBidi"/>
          <w:b/>
          <w:bCs/>
        </w:rPr>
      </w:pPr>
      <w:r>
        <w:rPr>
          <w:rFonts w:ascii="Garamond" w:hAnsi="Garamond" w:cstheme="majorBidi"/>
          <w:b/>
          <w:bCs/>
        </w:rPr>
        <w:t xml:space="preserve">FORCED CONVERSIONS AND FORCED MARRIAGES OF CHILDREN BELONGING TO RELIGIOUS MINORITIES </w:t>
      </w:r>
    </w:p>
    <w:p w14:paraId="756EAEDC" w14:textId="7FD96670" w:rsidR="00353224" w:rsidRPr="007C697A"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The trend of forced conversions and forced marriages of underage girls</w:t>
      </w:r>
      <w:r w:rsidR="00C71C62" w:rsidRPr="007C697A">
        <w:rPr>
          <w:rFonts w:ascii="Garamond" w:hAnsi="Garamond" w:cstheme="majorBidi"/>
        </w:rPr>
        <w:t xml:space="preserve"> belonging to minorities</w:t>
      </w:r>
      <w:r w:rsidRPr="007C697A">
        <w:rPr>
          <w:rFonts w:ascii="Garamond" w:hAnsi="Garamond" w:cstheme="majorBidi"/>
        </w:rPr>
        <w:t xml:space="preserve"> has emerged as a grave human rights concern.</w:t>
      </w:r>
      <w:r w:rsidR="00353224" w:rsidRPr="007C697A">
        <w:rPr>
          <w:rFonts w:ascii="Garamond" w:hAnsi="Garamond" w:cstheme="majorBidi"/>
        </w:rPr>
        <w:t xml:space="preserve"> Young Christian and Hindu girls have been particularly vulnerable to forced religious conversion, abduction, trafficking, child, early and forced marriage, domestic servitude and sexual violence. Forced marriages and religious conversions are then often validated by the courts, invoking religious law to justify keeping victims with their abductors rather than allowing them to return to their parents. </w:t>
      </w:r>
    </w:p>
    <w:p w14:paraId="12B21A12" w14:textId="70248330" w:rsidR="00C71C62" w:rsidRPr="007C697A" w:rsidRDefault="00353224"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F</w:t>
      </w:r>
      <w:r w:rsidR="00C71C62" w:rsidRPr="007C697A">
        <w:rPr>
          <w:rFonts w:ascii="Garamond" w:hAnsi="Garamond" w:cstheme="majorBidi"/>
        </w:rPr>
        <w:t xml:space="preserve">orced conversions (and linked abductions) </w:t>
      </w:r>
      <w:r w:rsidRPr="007C697A">
        <w:rPr>
          <w:rFonts w:ascii="Garamond" w:hAnsi="Garamond" w:cstheme="majorBidi"/>
        </w:rPr>
        <w:t xml:space="preserve">have a serious impact </w:t>
      </w:r>
      <w:r w:rsidR="00C71C62" w:rsidRPr="007C697A">
        <w:rPr>
          <w:rFonts w:ascii="Garamond" w:hAnsi="Garamond" w:cstheme="majorBidi"/>
        </w:rPr>
        <w:t>on young girls from religious minority communities. The impacts of such events are felt not only by the victims themselves but also by all girls and young women who live with the threat of such events hanging over them, constraining their freedom to travel in safety and participate in education, business and political and social affairs in some cases.</w:t>
      </w:r>
    </w:p>
    <w:p w14:paraId="43214550" w14:textId="40091272" w:rsidR="00632851" w:rsidRPr="007C697A" w:rsidRDefault="007D3B00" w:rsidP="007C697A">
      <w:pPr>
        <w:pStyle w:val="ListParagraph"/>
        <w:numPr>
          <w:ilvl w:val="0"/>
          <w:numId w:val="3"/>
        </w:numPr>
        <w:tabs>
          <w:tab w:val="num" w:pos="720"/>
        </w:tabs>
        <w:spacing w:after="120" w:line="360" w:lineRule="auto"/>
        <w:ind w:left="425" w:hanging="357"/>
        <w:contextualSpacing w:val="0"/>
        <w:jc w:val="both"/>
        <w:rPr>
          <w:rFonts w:ascii="Garamond" w:hAnsi="Garamond" w:cstheme="majorBidi"/>
        </w:rPr>
      </w:pPr>
      <w:r w:rsidRPr="007C697A">
        <w:rPr>
          <w:rFonts w:ascii="Garamond" w:hAnsi="Garamond" w:cstheme="majorBidi"/>
        </w:rPr>
        <w:t>Data compiled by the Association of Women for Awareness and Motivation (AWAM) Pakistan from 2019 to 2022 records 102 cases</w:t>
      </w:r>
      <w:r w:rsidR="005C3103" w:rsidRPr="007C697A">
        <w:rPr>
          <w:rFonts w:ascii="Garamond" w:hAnsi="Garamond" w:cstheme="majorBidi"/>
        </w:rPr>
        <w:t xml:space="preserve"> of forced conversions and forced marriages</w:t>
      </w:r>
      <w:r w:rsidRPr="007C697A">
        <w:rPr>
          <w:rFonts w:ascii="Garamond" w:hAnsi="Garamond" w:cstheme="majorBidi"/>
        </w:rPr>
        <w:t xml:space="preserve"> involving girls from the Hindu community and 92 cases involving Christian girls. </w:t>
      </w:r>
      <w:r w:rsidR="007C697A" w:rsidRPr="007C697A">
        <w:rPr>
          <w:rFonts w:ascii="Garamond" w:hAnsi="Garamond" w:cstheme="majorBidi"/>
        </w:rPr>
        <w:t>Most</w:t>
      </w:r>
      <w:r w:rsidRPr="007C697A">
        <w:rPr>
          <w:rFonts w:ascii="Garamond" w:hAnsi="Garamond" w:cstheme="majorBidi"/>
        </w:rPr>
        <w:t xml:space="preserve"> victims are below 18 years of age; 87% of Christian girls and 58% of Hindu girls in these documented cases were minors. </w:t>
      </w:r>
      <w:r w:rsidR="00632851" w:rsidRPr="007C697A">
        <w:rPr>
          <w:rFonts w:ascii="Garamond" w:hAnsi="Garamond" w:cstheme="majorBidi"/>
        </w:rPr>
        <w:t xml:space="preserve">In Pakistan, these practices reflect coercive cycle in which abduction, religious </w:t>
      </w:r>
      <w:r w:rsidR="00632851" w:rsidRPr="007C697A">
        <w:rPr>
          <w:rFonts w:ascii="Garamond" w:hAnsi="Garamond" w:cstheme="majorBidi"/>
        </w:rPr>
        <w:lastRenderedPageBreak/>
        <w:t>conversion, and underage marriage intersect within an enabling environment characterized by legislative gaps and enforcement failures. At the Federal Level, the Child Marriage Restraint Act (1929)</w:t>
      </w:r>
      <w:r w:rsidR="00632851" w:rsidRPr="007C697A">
        <w:rPr>
          <w:rStyle w:val="FootnoteReference"/>
          <w:rFonts w:ascii="Garamond" w:hAnsi="Garamond" w:cstheme="majorBidi"/>
        </w:rPr>
        <w:footnoteReference w:id="13"/>
      </w:r>
      <w:r w:rsidR="00632851" w:rsidRPr="007C697A">
        <w:rPr>
          <w:rFonts w:ascii="Garamond" w:hAnsi="Garamond" w:cstheme="majorBidi"/>
        </w:rPr>
        <w:t xml:space="preserve"> has been enacted but weak because it sets minimum marriage age at 16 for girls, 18 for boys with minimal penalties. Similarly, No Federal Law on Forced Conversion exists. At the Provincial Legislation, Sindh passed Criminal Law (Protection of Minorities) Act 2016</w:t>
      </w:r>
      <w:r w:rsidR="00632851" w:rsidRPr="007C697A">
        <w:rPr>
          <w:rStyle w:val="FootnoteReference"/>
          <w:rFonts w:ascii="Garamond" w:hAnsi="Garamond" w:cstheme="majorBidi"/>
        </w:rPr>
        <w:footnoteReference w:id="14"/>
      </w:r>
      <w:r w:rsidR="00632851" w:rsidRPr="007C697A">
        <w:rPr>
          <w:rFonts w:ascii="Garamond" w:hAnsi="Garamond" w:cstheme="majorBidi"/>
        </w:rPr>
        <w:t xml:space="preserve"> - but it got Suspended following religious parties' opposition claiming it was "un-Islamic" and was never implemented. Sindh Child Marriage Restraint Act (2013)</w:t>
      </w:r>
      <w:r w:rsidR="00632851" w:rsidRPr="007C697A">
        <w:rPr>
          <w:rStyle w:val="FootnoteReference"/>
          <w:rFonts w:ascii="Garamond" w:hAnsi="Garamond" w:cstheme="majorBidi"/>
        </w:rPr>
        <w:footnoteReference w:id="15"/>
      </w:r>
      <w:r w:rsidR="00632851" w:rsidRPr="007C697A">
        <w:rPr>
          <w:rFonts w:ascii="Garamond" w:hAnsi="Garamond" w:cstheme="majorBidi"/>
        </w:rPr>
        <w:t xml:space="preserve"> has been enacted that set the marriage age to 18 for both genders. In Punjab, the Punjab Marriage Restraint (Amendment) Bill</w:t>
      </w:r>
      <w:r w:rsidR="00632851" w:rsidRPr="007C697A">
        <w:rPr>
          <w:rStyle w:val="FootnoteReference"/>
          <w:rFonts w:ascii="Garamond" w:hAnsi="Garamond" w:cstheme="majorBidi"/>
        </w:rPr>
        <w:footnoteReference w:id="16"/>
      </w:r>
      <w:r w:rsidR="00632851" w:rsidRPr="007C697A">
        <w:rPr>
          <w:rFonts w:ascii="Garamond" w:hAnsi="Garamond" w:cstheme="majorBidi"/>
        </w:rPr>
        <w:t xml:space="preserve"> 2019 got Rejected because it would have raised marriage age to 18 for both and got shelved after religious groups objected. Similarly, the Child Marriage Restraint (Punjab Amendment) Bill 2021</w:t>
      </w:r>
      <w:r w:rsidR="00632851" w:rsidRPr="007C697A">
        <w:rPr>
          <w:rStyle w:val="FootnoteReference"/>
          <w:rFonts w:ascii="Garamond" w:hAnsi="Garamond" w:cstheme="majorBidi"/>
        </w:rPr>
        <w:footnoteReference w:id="17"/>
      </w:r>
      <w:r w:rsidR="00632851" w:rsidRPr="007C697A">
        <w:rPr>
          <w:rFonts w:ascii="Garamond" w:hAnsi="Garamond" w:cstheme="majorBidi"/>
        </w:rPr>
        <w:t xml:space="preserve"> got Rejected again. In Khyber Pakhtunkhwa, no specific forced conversion legislation and the KP Child Marriage Restraint Act (2017)</w:t>
      </w:r>
      <w:r w:rsidR="00632851" w:rsidRPr="007C697A">
        <w:rPr>
          <w:rStyle w:val="FootnoteReference"/>
          <w:rFonts w:ascii="Garamond" w:hAnsi="Garamond" w:cstheme="majorBidi"/>
        </w:rPr>
        <w:footnoteReference w:id="18"/>
      </w:r>
      <w:r w:rsidR="00632851" w:rsidRPr="007C697A">
        <w:rPr>
          <w:rFonts w:ascii="Garamond" w:hAnsi="Garamond" w:cstheme="majorBidi"/>
        </w:rPr>
        <w:t xml:space="preserve"> enacted that prohibits marriage under 16. Baluchistan have no specific legislation on either issue. Criminal Law (Protection of Minorities) Bill (Multiple attempts 2016-2021) at federal level</w:t>
      </w:r>
      <w:r w:rsidR="00632851" w:rsidRPr="007C697A">
        <w:rPr>
          <w:rStyle w:val="FootnoteReference"/>
          <w:rFonts w:ascii="Garamond" w:hAnsi="Garamond" w:cstheme="majorBidi"/>
        </w:rPr>
        <w:footnoteReference w:id="19"/>
      </w:r>
      <w:r w:rsidR="00632851" w:rsidRPr="007C697A">
        <w:rPr>
          <w:rFonts w:ascii="Garamond" w:hAnsi="Garamond" w:cstheme="majorBidi"/>
        </w:rPr>
        <w:t xml:space="preserve"> was introduced but never passed and Anti-Forced Conversion Bill (2021)</w:t>
      </w:r>
      <w:r w:rsidR="00632851" w:rsidRPr="007C697A">
        <w:rPr>
          <w:rStyle w:val="FootnoteReference"/>
          <w:rFonts w:ascii="Garamond" w:hAnsi="Garamond" w:cstheme="majorBidi"/>
        </w:rPr>
        <w:footnoteReference w:id="20"/>
      </w:r>
      <w:r w:rsidR="00632851" w:rsidRPr="007C697A">
        <w:rPr>
          <w:rFonts w:ascii="Garamond" w:hAnsi="Garamond" w:cstheme="majorBidi"/>
        </w:rPr>
        <w:t xml:space="preserve"> also got rejected. </w:t>
      </w:r>
    </w:p>
    <w:p w14:paraId="1B86AB98" w14:textId="1A415FAC" w:rsidR="007D3B00" w:rsidRPr="007C697A"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Th</w:t>
      </w:r>
      <w:r w:rsidR="00353224" w:rsidRPr="007C697A">
        <w:rPr>
          <w:rFonts w:ascii="Garamond" w:hAnsi="Garamond" w:cstheme="majorBidi"/>
        </w:rPr>
        <w:t xml:space="preserve">is longstanding and serious </w:t>
      </w:r>
      <w:r w:rsidRPr="007C697A">
        <w:rPr>
          <w:rFonts w:ascii="Garamond" w:hAnsi="Garamond" w:cstheme="majorBidi"/>
        </w:rPr>
        <w:t xml:space="preserve">challenge continues </w:t>
      </w:r>
      <w:r w:rsidR="00353224" w:rsidRPr="007C697A">
        <w:rPr>
          <w:rFonts w:ascii="Garamond" w:hAnsi="Garamond" w:cstheme="majorBidi"/>
        </w:rPr>
        <w:t>to this day.</w:t>
      </w:r>
      <w:r w:rsidR="007C697A">
        <w:rPr>
          <w:rFonts w:ascii="Garamond" w:hAnsi="Garamond" w:cstheme="majorBidi"/>
        </w:rPr>
        <w:t xml:space="preserve"> </w:t>
      </w:r>
      <w:r w:rsidR="0097615C" w:rsidRPr="007C697A">
        <w:rPr>
          <w:rFonts w:ascii="Garamond" w:hAnsi="Garamond" w:cstheme="majorBidi"/>
        </w:rPr>
        <w:t>AWAM</w:t>
      </w:r>
      <w:r w:rsidR="00353224" w:rsidRPr="007C697A">
        <w:rPr>
          <w:rFonts w:ascii="Garamond" w:hAnsi="Garamond" w:cstheme="majorBidi"/>
        </w:rPr>
        <w:t xml:space="preserve"> has documented and intervened in </w:t>
      </w:r>
      <w:r w:rsidR="00F618C5" w:rsidRPr="007C697A">
        <w:rPr>
          <w:rFonts w:ascii="Garamond" w:hAnsi="Garamond" w:cstheme="majorBidi"/>
        </w:rPr>
        <w:t>several</w:t>
      </w:r>
      <w:r w:rsidR="00353224" w:rsidRPr="007C697A">
        <w:rPr>
          <w:rFonts w:ascii="Garamond" w:hAnsi="Garamond" w:cstheme="majorBidi"/>
        </w:rPr>
        <w:t xml:space="preserve"> recent cases, including</w:t>
      </w:r>
      <w:r w:rsidR="0097615C" w:rsidRPr="007C697A">
        <w:rPr>
          <w:rFonts w:ascii="Garamond" w:hAnsi="Garamond" w:cstheme="majorBidi"/>
        </w:rPr>
        <w:t xml:space="preserve"> in the </w:t>
      </w:r>
      <w:r w:rsidRPr="007C697A">
        <w:rPr>
          <w:rFonts w:ascii="Garamond" w:hAnsi="Garamond" w:cstheme="majorBidi"/>
        </w:rPr>
        <w:t>forced conversion of a Christian girl</w:t>
      </w:r>
      <w:r w:rsidR="0097615C" w:rsidRPr="007C697A">
        <w:rPr>
          <w:rFonts w:ascii="Garamond" w:hAnsi="Garamond" w:cstheme="majorBidi"/>
        </w:rPr>
        <w:t xml:space="preserve"> </w:t>
      </w:r>
      <w:r w:rsidR="00CF5E2B" w:rsidRPr="007C697A">
        <w:rPr>
          <w:rFonts w:ascii="Garamond" w:hAnsi="Garamond" w:cstheme="majorBidi"/>
        </w:rPr>
        <w:t>(S.K)</w:t>
      </w:r>
      <w:r w:rsidR="0097615C" w:rsidRPr="007C697A">
        <w:rPr>
          <w:rFonts w:ascii="Garamond" w:hAnsi="Garamond" w:cstheme="majorBidi"/>
        </w:rPr>
        <w:t xml:space="preserve"> of age 15, in </w:t>
      </w:r>
      <w:r w:rsidR="007C697A" w:rsidRPr="007C697A">
        <w:rPr>
          <w:rFonts w:ascii="Garamond" w:hAnsi="Garamond" w:cstheme="majorBidi"/>
        </w:rPr>
        <w:t>2020, a</w:t>
      </w:r>
      <w:r w:rsidR="00CF5E2B" w:rsidRPr="007C697A">
        <w:rPr>
          <w:rFonts w:ascii="Garamond" w:hAnsi="Garamond" w:cstheme="majorBidi"/>
        </w:rPr>
        <w:t xml:space="preserve"> Christian girl, S.K.G,</w:t>
      </w:r>
      <w:r w:rsidR="0097615C" w:rsidRPr="007C697A">
        <w:rPr>
          <w:rFonts w:ascii="Garamond" w:hAnsi="Garamond" w:cstheme="majorBidi"/>
        </w:rPr>
        <w:t xml:space="preserve"> of age 14, in 2021 and</w:t>
      </w:r>
      <w:r w:rsidRPr="007C697A">
        <w:rPr>
          <w:rFonts w:ascii="Garamond" w:hAnsi="Garamond" w:cstheme="majorBidi"/>
        </w:rPr>
        <w:t xml:space="preserve"> </w:t>
      </w:r>
      <w:r w:rsidR="00CF5E2B" w:rsidRPr="007C697A">
        <w:rPr>
          <w:rFonts w:ascii="Garamond" w:hAnsi="Garamond" w:cstheme="majorBidi"/>
        </w:rPr>
        <w:t>another girl, L.M</w:t>
      </w:r>
      <w:r w:rsidR="0097615C" w:rsidRPr="007C697A">
        <w:rPr>
          <w:rFonts w:ascii="Garamond" w:hAnsi="Garamond" w:cstheme="majorBidi"/>
        </w:rPr>
        <w:t xml:space="preserve"> of Age 10</w:t>
      </w:r>
      <w:r w:rsidRPr="007C697A">
        <w:rPr>
          <w:rFonts w:ascii="Garamond" w:hAnsi="Garamond" w:cstheme="majorBidi"/>
        </w:rPr>
        <w:t>, in</w:t>
      </w:r>
      <w:r w:rsidR="0097615C" w:rsidRPr="007C697A">
        <w:rPr>
          <w:rFonts w:ascii="Garamond" w:hAnsi="Garamond" w:cstheme="majorBidi"/>
        </w:rPr>
        <w:t xml:space="preserve"> the year</w:t>
      </w:r>
      <w:r w:rsidRPr="007C697A">
        <w:rPr>
          <w:rFonts w:ascii="Garamond" w:hAnsi="Garamond" w:cstheme="majorBidi"/>
        </w:rPr>
        <w:t xml:space="preserve"> 2024. Such cases reveal consistent patterns: minority girls are abducted—often transported from Sindh to Punjab, where the minimum legal age for marriage is lower—limiting families’ ability to pursue legal action. Court proceedings frequently rely on manipulated documentation portraying minors as adults, while petitions for “protection” by perpetrators are used to counter parental </w:t>
      </w:r>
      <w:r w:rsidR="00CF5E2B" w:rsidRPr="007C697A">
        <w:rPr>
          <w:rFonts w:ascii="Garamond" w:hAnsi="Garamond" w:cstheme="majorBidi"/>
        </w:rPr>
        <w:t>First Information Report (</w:t>
      </w:r>
      <w:r w:rsidRPr="007C697A">
        <w:rPr>
          <w:rFonts w:ascii="Garamond" w:hAnsi="Garamond" w:cstheme="majorBidi"/>
        </w:rPr>
        <w:t>FIRs</w:t>
      </w:r>
      <w:r w:rsidR="00CF5E2B" w:rsidRPr="007C697A">
        <w:rPr>
          <w:rFonts w:ascii="Garamond" w:hAnsi="Garamond" w:cstheme="majorBidi"/>
        </w:rPr>
        <w:t>)</w:t>
      </w:r>
      <w:r w:rsidRPr="007C697A">
        <w:rPr>
          <w:rFonts w:ascii="Garamond" w:hAnsi="Garamond" w:cstheme="majorBidi"/>
        </w:rPr>
        <w:t>. Victims are commonly isolated from their families and pressured to validate their coerced conversion and marriage in court</w:t>
      </w:r>
      <w:r w:rsidRPr="007C697A">
        <w:rPr>
          <w:rStyle w:val="FootnoteReference"/>
          <w:rFonts w:ascii="Garamond" w:hAnsi="Garamond" w:cstheme="majorBidi"/>
        </w:rPr>
        <w:footnoteReference w:id="21"/>
      </w:r>
      <w:r w:rsidRPr="007C697A">
        <w:rPr>
          <w:rFonts w:ascii="Garamond" w:hAnsi="Garamond" w:cstheme="majorBidi"/>
        </w:rPr>
        <w:t>.</w:t>
      </w:r>
    </w:p>
    <w:p w14:paraId="2E2A4E0A" w14:textId="1C3A7F32" w:rsidR="00472F06" w:rsidRPr="007C697A" w:rsidRDefault="007C697A" w:rsidP="007C697A">
      <w:pPr>
        <w:spacing w:after="120" w:line="360" w:lineRule="auto"/>
        <w:ind w:left="68"/>
        <w:jc w:val="both"/>
        <w:rPr>
          <w:rFonts w:ascii="Garamond" w:hAnsi="Garamond" w:cstheme="majorBidi"/>
          <w:b/>
          <w:bCs/>
        </w:rPr>
      </w:pPr>
      <w:r>
        <w:rPr>
          <w:rFonts w:ascii="Garamond" w:hAnsi="Garamond" w:cstheme="majorBidi"/>
          <w:b/>
          <w:bCs/>
        </w:rPr>
        <w:lastRenderedPageBreak/>
        <w:t>ACCESS TO EDUCATION FOR MINORITY CHILDREN</w:t>
      </w:r>
    </w:p>
    <w:p w14:paraId="1871B246" w14:textId="4891C017" w:rsidR="007D3B00" w:rsidRPr="007C697A"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Beyond forced conversion, minority children encounter significant barriers within the education system. Economic deprivation, discriminatory school environments, and systemic biases contribute to high rates of school dropout. According to census-aligned data compiled by AWAM in 2023, approximately 5.3 million children aged 5–16 is recorded as dropouts, and more than 20 million have never attended school</w:t>
      </w:r>
      <w:r w:rsidRPr="007C697A">
        <w:rPr>
          <w:rStyle w:val="FootnoteReference"/>
          <w:rFonts w:ascii="Garamond" w:hAnsi="Garamond" w:cstheme="majorBidi"/>
        </w:rPr>
        <w:footnoteReference w:id="22"/>
      </w:r>
      <w:r w:rsidRPr="007C697A">
        <w:rPr>
          <w:rFonts w:ascii="Garamond" w:hAnsi="Garamond" w:cstheme="majorBidi"/>
        </w:rPr>
        <w:t xml:space="preserve">. Field interventions </w:t>
      </w:r>
      <w:r w:rsidR="0005052B" w:rsidRPr="007C697A">
        <w:rPr>
          <w:rFonts w:ascii="Garamond" w:hAnsi="Garamond" w:cstheme="majorBidi"/>
        </w:rPr>
        <w:t xml:space="preserve">of AWAM </w:t>
      </w:r>
      <w:r w:rsidRPr="007C697A">
        <w:rPr>
          <w:rFonts w:ascii="Garamond" w:hAnsi="Garamond" w:cstheme="majorBidi"/>
        </w:rPr>
        <w:t xml:space="preserve">in Faisalabad and Chiniot identified a substantial proportion of </w:t>
      </w:r>
      <w:r w:rsidR="00CF5E2B" w:rsidRPr="007C697A">
        <w:rPr>
          <w:rFonts w:ascii="Garamond" w:hAnsi="Garamond" w:cstheme="majorBidi"/>
        </w:rPr>
        <w:t xml:space="preserve">religious </w:t>
      </w:r>
      <w:r w:rsidRPr="007C697A">
        <w:rPr>
          <w:rFonts w:ascii="Garamond" w:hAnsi="Garamond" w:cstheme="majorBidi"/>
        </w:rPr>
        <w:t xml:space="preserve">minority children out of school due to poverty, early marriage, and institutional discrimination. Through targeted efforts, AWAM facilitated the enrolment of 250 minority girls into formal schools and </w:t>
      </w:r>
      <w:r w:rsidR="005C3103" w:rsidRPr="007C697A">
        <w:rPr>
          <w:rFonts w:ascii="Garamond" w:hAnsi="Garamond" w:cstheme="majorBidi"/>
        </w:rPr>
        <w:t>2</w:t>
      </w:r>
      <w:r w:rsidRPr="007C697A">
        <w:rPr>
          <w:rFonts w:ascii="Garamond" w:hAnsi="Garamond" w:cstheme="majorBidi"/>
        </w:rPr>
        <w:t xml:space="preserve">6 </w:t>
      </w:r>
      <w:r w:rsidR="005C3103" w:rsidRPr="007C697A">
        <w:rPr>
          <w:rFonts w:ascii="Garamond" w:hAnsi="Garamond" w:cstheme="majorBidi"/>
        </w:rPr>
        <w:t xml:space="preserve">minority </w:t>
      </w:r>
      <w:r w:rsidRPr="007C697A">
        <w:rPr>
          <w:rFonts w:ascii="Garamond" w:hAnsi="Garamond" w:cstheme="majorBidi"/>
        </w:rPr>
        <w:t xml:space="preserve">girls into technical and vocational institutes, while also assisting with the registration of B-Forms </w:t>
      </w:r>
      <w:r w:rsidR="000058E7" w:rsidRPr="007C697A">
        <w:rPr>
          <w:rFonts w:ascii="Garamond" w:hAnsi="Garamond" w:cstheme="majorBidi"/>
        </w:rPr>
        <w:t xml:space="preserve">(Child Registration Certificate) </w:t>
      </w:r>
      <w:r w:rsidRPr="007C697A">
        <w:rPr>
          <w:rFonts w:ascii="Garamond" w:hAnsi="Garamond" w:cstheme="majorBidi"/>
        </w:rPr>
        <w:t xml:space="preserve">for over </w:t>
      </w:r>
      <w:r w:rsidR="005C3103" w:rsidRPr="007C697A">
        <w:rPr>
          <w:rFonts w:ascii="Garamond" w:hAnsi="Garamond" w:cstheme="majorBidi"/>
        </w:rPr>
        <w:t>32</w:t>
      </w:r>
      <w:r w:rsidRPr="007C697A">
        <w:rPr>
          <w:rFonts w:ascii="Garamond" w:hAnsi="Garamond" w:cstheme="majorBidi"/>
        </w:rPr>
        <w:t xml:space="preserve"> </w:t>
      </w:r>
      <w:r w:rsidR="0005052B" w:rsidRPr="007C697A">
        <w:rPr>
          <w:rFonts w:ascii="Garamond" w:hAnsi="Garamond" w:cstheme="majorBidi"/>
        </w:rPr>
        <w:t xml:space="preserve">minority </w:t>
      </w:r>
      <w:r w:rsidRPr="007C697A">
        <w:rPr>
          <w:rFonts w:ascii="Garamond" w:hAnsi="Garamond" w:cstheme="majorBidi"/>
        </w:rPr>
        <w:t>girls</w:t>
      </w:r>
      <w:r w:rsidR="0005052B" w:rsidRPr="007C697A">
        <w:rPr>
          <w:rFonts w:ascii="Garamond" w:hAnsi="Garamond" w:cstheme="majorBidi"/>
        </w:rPr>
        <w:t xml:space="preserve"> for their admissions in schools</w:t>
      </w:r>
      <w:r w:rsidRPr="007C697A">
        <w:rPr>
          <w:rFonts w:ascii="Garamond" w:hAnsi="Garamond" w:cstheme="majorBidi"/>
        </w:rPr>
        <w:t>—highlighting chronic gaps in civil documentation among minority communities. The data further indicates that school dropout rates are 18.5% higher in rural areas compared to urban settings</w:t>
      </w:r>
      <w:r w:rsidR="00164753" w:rsidRPr="007C697A">
        <w:rPr>
          <w:rFonts w:ascii="Garamond" w:hAnsi="Garamond" w:cstheme="majorBidi"/>
        </w:rPr>
        <w:t xml:space="preserve"> for</w:t>
      </w:r>
      <w:r w:rsidR="000058E7" w:rsidRPr="007C697A">
        <w:rPr>
          <w:rFonts w:ascii="Garamond" w:hAnsi="Garamond" w:cstheme="majorBidi"/>
        </w:rPr>
        <w:t xml:space="preserve"> the children in general.</w:t>
      </w:r>
      <w:r w:rsidRPr="007C697A">
        <w:rPr>
          <w:rFonts w:ascii="Garamond" w:hAnsi="Garamond" w:cstheme="majorBidi"/>
        </w:rPr>
        <w:t xml:space="preserve"> Cases </w:t>
      </w:r>
      <w:r w:rsidR="0005052B" w:rsidRPr="007C697A">
        <w:rPr>
          <w:rFonts w:ascii="Garamond" w:hAnsi="Garamond" w:cstheme="majorBidi"/>
        </w:rPr>
        <w:t xml:space="preserve">identified by AWAM </w:t>
      </w:r>
      <w:r w:rsidRPr="007C697A">
        <w:rPr>
          <w:rFonts w:ascii="Garamond" w:hAnsi="Garamond" w:cstheme="majorBidi"/>
        </w:rPr>
        <w:t>such as that of</w:t>
      </w:r>
      <w:r w:rsidR="0005052B" w:rsidRPr="007C697A">
        <w:rPr>
          <w:rFonts w:ascii="Garamond" w:hAnsi="Garamond" w:cstheme="majorBidi"/>
        </w:rPr>
        <w:t xml:space="preserve"> a student</w:t>
      </w:r>
      <w:r w:rsidRPr="007C697A">
        <w:rPr>
          <w:rFonts w:ascii="Garamond" w:hAnsi="Garamond" w:cstheme="majorBidi"/>
        </w:rPr>
        <w:t xml:space="preserve"> </w:t>
      </w:r>
      <w:r w:rsidR="000058E7" w:rsidRPr="007C697A">
        <w:rPr>
          <w:rFonts w:ascii="Garamond" w:hAnsi="Garamond" w:cstheme="majorBidi"/>
        </w:rPr>
        <w:t xml:space="preserve">named </w:t>
      </w:r>
      <w:r w:rsidRPr="007C697A">
        <w:rPr>
          <w:rFonts w:ascii="Garamond" w:hAnsi="Garamond" w:cstheme="majorBidi"/>
        </w:rPr>
        <w:t>D</w:t>
      </w:r>
      <w:r w:rsidR="000058E7" w:rsidRPr="007C697A">
        <w:rPr>
          <w:rFonts w:ascii="Garamond" w:hAnsi="Garamond" w:cstheme="majorBidi"/>
        </w:rPr>
        <w:t>.</w:t>
      </w:r>
      <w:r w:rsidR="00B87DDE" w:rsidRPr="007C697A">
        <w:rPr>
          <w:rFonts w:ascii="Garamond" w:hAnsi="Garamond" w:cstheme="majorBidi"/>
        </w:rPr>
        <w:t>M</w:t>
      </w:r>
      <w:r w:rsidRPr="007C697A">
        <w:rPr>
          <w:rFonts w:ascii="Garamond" w:hAnsi="Garamond" w:cstheme="majorBidi"/>
        </w:rPr>
        <w:t xml:space="preserve"> from Degree College, People’s Colony</w:t>
      </w:r>
      <w:r w:rsidR="0005052B" w:rsidRPr="007C697A">
        <w:rPr>
          <w:rFonts w:ascii="Garamond" w:hAnsi="Garamond" w:cstheme="majorBidi"/>
        </w:rPr>
        <w:t xml:space="preserve"> Faisalabad</w:t>
      </w:r>
      <w:r w:rsidRPr="007C697A">
        <w:rPr>
          <w:rFonts w:ascii="Garamond" w:hAnsi="Garamond" w:cstheme="majorBidi"/>
        </w:rPr>
        <w:t xml:space="preserve">, </w:t>
      </w:r>
      <w:r w:rsidR="0005052B" w:rsidRPr="007C697A">
        <w:rPr>
          <w:rFonts w:ascii="Garamond" w:hAnsi="Garamond" w:cstheme="majorBidi"/>
        </w:rPr>
        <w:t xml:space="preserve">and </w:t>
      </w:r>
      <w:r w:rsidR="007C697A" w:rsidRPr="007C697A">
        <w:rPr>
          <w:rFonts w:ascii="Garamond" w:hAnsi="Garamond" w:cstheme="majorBidi"/>
        </w:rPr>
        <w:t>several</w:t>
      </w:r>
      <w:r w:rsidR="005C3103" w:rsidRPr="007C697A">
        <w:rPr>
          <w:rFonts w:ascii="Garamond" w:hAnsi="Garamond" w:cstheme="majorBidi"/>
        </w:rPr>
        <w:t xml:space="preserve"> cases involving </w:t>
      </w:r>
      <w:r w:rsidR="0005052B" w:rsidRPr="007C697A">
        <w:rPr>
          <w:rFonts w:ascii="Garamond" w:hAnsi="Garamond" w:cstheme="majorBidi"/>
        </w:rPr>
        <w:t xml:space="preserve">the </w:t>
      </w:r>
      <w:r w:rsidR="0020366A" w:rsidRPr="007C697A">
        <w:rPr>
          <w:rFonts w:ascii="Garamond" w:hAnsi="Garamond" w:cstheme="majorBidi"/>
        </w:rPr>
        <w:t xml:space="preserve">compulsory study of religious teachings against the minority religion </w:t>
      </w:r>
      <w:r w:rsidRPr="007C697A">
        <w:rPr>
          <w:rFonts w:ascii="Garamond" w:hAnsi="Garamond" w:cstheme="majorBidi"/>
        </w:rPr>
        <w:t>illustrate</w:t>
      </w:r>
      <w:r w:rsidR="0005052B" w:rsidRPr="007C697A">
        <w:rPr>
          <w:rFonts w:ascii="Garamond" w:hAnsi="Garamond" w:cstheme="majorBidi"/>
        </w:rPr>
        <w:t>d the d</w:t>
      </w:r>
      <w:r w:rsidRPr="007C697A">
        <w:rPr>
          <w:rFonts w:ascii="Garamond" w:hAnsi="Garamond" w:cstheme="majorBidi"/>
        </w:rPr>
        <w:t xml:space="preserve">iscriminatory school environments </w:t>
      </w:r>
      <w:r w:rsidR="0020366A" w:rsidRPr="007C697A">
        <w:rPr>
          <w:rFonts w:ascii="Garamond" w:hAnsi="Garamond" w:cstheme="majorBidi"/>
        </w:rPr>
        <w:t xml:space="preserve">and curriculum </w:t>
      </w:r>
      <w:r w:rsidRPr="007C697A">
        <w:rPr>
          <w:rFonts w:ascii="Garamond" w:hAnsi="Garamond" w:cstheme="majorBidi"/>
        </w:rPr>
        <w:t>directly contribute to exclusion and withdrawal from education.</w:t>
      </w:r>
    </w:p>
    <w:p w14:paraId="1AAA9BCE" w14:textId="77777777" w:rsidR="00F618C5"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Religious discrimination within educational settings remains a pervasive challenge for minority children, particularly Christians. AWAM’s baseline assessment across Faisalabad, Lahore, and Sargodha</w:t>
      </w:r>
      <w:r w:rsidR="005C3103" w:rsidRPr="007C697A">
        <w:rPr>
          <w:rFonts w:ascii="Garamond" w:hAnsi="Garamond" w:cstheme="majorBidi"/>
        </w:rPr>
        <w:t xml:space="preserve"> in October 2025</w:t>
      </w:r>
      <w:r w:rsidRPr="007C697A">
        <w:rPr>
          <w:rFonts w:ascii="Garamond" w:hAnsi="Garamond" w:cstheme="majorBidi"/>
        </w:rPr>
        <w:t>—comprising 67 respondents (teachers, parents, and students)—found that 75% of participants had encountered compulsory teaching or practices that contradict their faith</w:t>
      </w:r>
      <w:r w:rsidR="005F4FED" w:rsidRPr="007C697A">
        <w:rPr>
          <w:rFonts w:ascii="Garamond" w:hAnsi="Garamond" w:cstheme="majorBidi"/>
        </w:rPr>
        <w:t>, i.e. compulsory participation in Islamic religious instruction and prayers (despite constitutional guarantees of separate religious education for minorities, which do not exist in inclusive schools that teach both Muslim and non-Muslims students together), along with curriculum content portraying non-Muslims negatively and inferior</w:t>
      </w:r>
      <w:r w:rsidRPr="007C697A">
        <w:rPr>
          <w:rFonts w:ascii="Garamond" w:hAnsi="Garamond" w:cstheme="majorBidi"/>
        </w:rPr>
        <w:t>. More than half (51%) reported that such experiences occur very frequently</w:t>
      </w:r>
      <w:r w:rsidR="005C3103" w:rsidRPr="007C697A">
        <w:rPr>
          <w:rFonts w:ascii="Garamond" w:hAnsi="Garamond" w:cstheme="majorBidi"/>
        </w:rPr>
        <w:t xml:space="preserve"> in educational institutions</w:t>
      </w:r>
      <w:r w:rsidRPr="007C697A">
        <w:rPr>
          <w:rFonts w:ascii="Garamond" w:hAnsi="Garamond" w:cstheme="majorBidi"/>
        </w:rPr>
        <w:t xml:space="preserve">, indicating systemic and repeated exposure. </w:t>
      </w:r>
    </w:p>
    <w:p w14:paraId="7F1D5C24" w14:textId="77777777" w:rsidR="00F618C5"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The consequences for refusal to participate in these activities</w:t>
      </w:r>
      <w:r w:rsidR="005F4FED" w:rsidRPr="007C697A">
        <w:rPr>
          <w:rFonts w:ascii="Garamond" w:hAnsi="Garamond" w:cstheme="majorBidi"/>
        </w:rPr>
        <w:t>, which include the study of Quranic education for all students irrespective of their religious affiliations,</w:t>
      </w:r>
      <w:r w:rsidRPr="007C697A">
        <w:rPr>
          <w:rFonts w:ascii="Garamond" w:hAnsi="Garamond" w:cstheme="majorBidi"/>
        </w:rPr>
        <w:t xml:space="preserve"> are severe: 53% of </w:t>
      </w:r>
      <w:r w:rsidR="008F7C01" w:rsidRPr="007C697A">
        <w:rPr>
          <w:rFonts w:ascii="Garamond" w:hAnsi="Garamond" w:cstheme="majorBidi"/>
        </w:rPr>
        <w:t xml:space="preserve">non-Muslim </w:t>
      </w:r>
      <w:r w:rsidRPr="007C697A">
        <w:rPr>
          <w:rFonts w:ascii="Garamond" w:hAnsi="Garamond" w:cstheme="majorBidi"/>
        </w:rPr>
        <w:lastRenderedPageBreak/>
        <w:t>respondents reported high-intensity repercussions, including punishment</w:t>
      </w:r>
      <w:r w:rsidR="008F7C01" w:rsidRPr="007C697A">
        <w:rPr>
          <w:rFonts w:ascii="Garamond" w:hAnsi="Garamond" w:cstheme="majorBidi"/>
        </w:rPr>
        <w:t xml:space="preserve"> for refusal to study the Quranic recitation lessons or Islamic studies at all levels of education that contradict their faith</w:t>
      </w:r>
      <w:r w:rsidRPr="007C697A">
        <w:rPr>
          <w:rFonts w:ascii="Garamond" w:hAnsi="Garamond" w:cstheme="majorBidi"/>
        </w:rPr>
        <w:t xml:space="preserve">, </w:t>
      </w:r>
      <w:r w:rsidR="008F7C01" w:rsidRPr="007C697A">
        <w:rPr>
          <w:rFonts w:ascii="Garamond" w:hAnsi="Garamond" w:cstheme="majorBidi"/>
        </w:rPr>
        <w:t xml:space="preserve">and very often get </w:t>
      </w:r>
      <w:r w:rsidRPr="007C697A">
        <w:rPr>
          <w:rFonts w:ascii="Garamond" w:hAnsi="Garamond" w:cstheme="majorBidi"/>
        </w:rPr>
        <w:t>exclu</w:t>
      </w:r>
      <w:r w:rsidR="008F7C01" w:rsidRPr="007C697A">
        <w:rPr>
          <w:rFonts w:ascii="Garamond" w:hAnsi="Garamond" w:cstheme="majorBidi"/>
        </w:rPr>
        <w:t>ded from classrooms</w:t>
      </w:r>
      <w:r w:rsidRPr="007C697A">
        <w:rPr>
          <w:rFonts w:ascii="Garamond" w:hAnsi="Garamond" w:cstheme="majorBidi"/>
        </w:rPr>
        <w:t xml:space="preserve">, or </w:t>
      </w:r>
      <w:r w:rsidR="008F7C01" w:rsidRPr="007C697A">
        <w:rPr>
          <w:rFonts w:ascii="Garamond" w:hAnsi="Garamond" w:cstheme="majorBidi"/>
        </w:rPr>
        <w:t xml:space="preserve">leading to </w:t>
      </w:r>
      <w:r w:rsidRPr="007C697A">
        <w:rPr>
          <w:rFonts w:ascii="Garamond" w:hAnsi="Garamond" w:cstheme="majorBidi"/>
        </w:rPr>
        <w:t xml:space="preserve">academic failure. Respondents further noted that religious persecution affects a broad spectrum of minority students, with 37% estimating that </w:t>
      </w:r>
      <w:r w:rsidR="00F54C2C" w:rsidRPr="007C697A">
        <w:rPr>
          <w:rFonts w:ascii="Garamond" w:hAnsi="Garamond" w:cstheme="majorBidi"/>
        </w:rPr>
        <w:t>“</w:t>
      </w:r>
      <w:r w:rsidRPr="007C697A">
        <w:rPr>
          <w:rFonts w:ascii="Garamond" w:hAnsi="Garamond" w:cstheme="majorBidi"/>
        </w:rPr>
        <w:t xml:space="preserve">nearly all children </w:t>
      </w:r>
      <w:r w:rsidR="00F54C2C" w:rsidRPr="007C697A">
        <w:rPr>
          <w:rFonts w:ascii="Garamond" w:hAnsi="Garamond" w:cstheme="majorBidi"/>
        </w:rPr>
        <w:t xml:space="preserve">belonging to religious minorities” </w:t>
      </w:r>
      <w:r w:rsidRPr="007C697A">
        <w:rPr>
          <w:rFonts w:ascii="Garamond" w:hAnsi="Garamond" w:cstheme="majorBidi"/>
        </w:rPr>
        <w:t xml:space="preserve">in their locality face some form of religious imposition or discrimination. </w:t>
      </w:r>
      <w:r w:rsidR="00F54C2C" w:rsidRPr="007C697A">
        <w:rPr>
          <w:rFonts w:ascii="Garamond" w:hAnsi="Garamond" w:cstheme="majorBidi"/>
        </w:rPr>
        <w:t xml:space="preserve"> </w:t>
      </w:r>
    </w:p>
    <w:p w14:paraId="5CD0E8EA" w14:textId="1E27FCE3" w:rsidR="007D3B00" w:rsidRPr="007C697A" w:rsidRDefault="00F54C2C"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AWAM documented</w:t>
      </w:r>
      <w:r w:rsidR="0005052B" w:rsidRPr="007C697A">
        <w:rPr>
          <w:rFonts w:ascii="Garamond" w:hAnsi="Garamond" w:cstheme="majorBidi"/>
        </w:rPr>
        <w:t xml:space="preserve"> </w:t>
      </w:r>
      <w:r w:rsidR="007D3B00" w:rsidRPr="007C697A">
        <w:rPr>
          <w:rFonts w:ascii="Garamond" w:hAnsi="Garamond" w:cstheme="majorBidi"/>
        </w:rPr>
        <w:t xml:space="preserve">moderate to high levels of religious intrusion in educational spaces, </w:t>
      </w:r>
      <w:r w:rsidR="00BA4C94" w:rsidRPr="007C697A">
        <w:rPr>
          <w:rFonts w:ascii="Garamond" w:hAnsi="Garamond" w:cstheme="majorBidi"/>
        </w:rPr>
        <w:t xml:space="preserve">such as situations where students from minority faiths are compelled—directly or indirectly—to participate in, listen to, or engage with religious content that does not belong to their own faith tradition, having no other options or alternatives for their own religious teachings, </w:t>
      </w:r>
      <w:r w:rsidR="007D3B00" w:rsidRPr="007C697A">
        <w:rPr>
          <w:rFonts w:ascii="Garamond" w:hAnsi="Garamond" w:cstheme="majorBidi"/>
        </w:rPr>
        <w:t>underscoring the persistent violation of minority children’s right to inclusive and non-discriminatory education</w:t>
      </w:r>
      <w:r w:rsidR="00C0758C" w:rsidRPr="007C697A">
        <w:rPr>
          <w:rStyle w:val="FootnoteReference"/>
          <w:rFonts w:ascii="Garamond" w:hAnsi="Garamond" w:cstheme="majorBidi"/>
        </w:rPr>
        <w:footnoteReference w:id="23"/>
      </w:r>
      <w:r w:rsidR="007D3B00" w:rsidRPr="007C697A">
        <w:rPr>
          <w:rFonts w:ascii="Garamond" w:hAnsi="Garamond" w:cstheme="majorBidi"/>
        </w:rPr>
        <w:t>.</w:t>
      </w:r>
      <w:r w:rsidR="0020366A" w:rsidRPr="007C697A">
        <w:rPr>
          <w:rFonts w:ascii="Garamond" w:hAnsi="Garamond" w:cstheme="majorBidi"/>
        </w:rPr>
        <w:t xml:space="preserve"> </w:t>
      </w:r>
    </w:p>
    <w:p w14:paraId="479E6CDB" w14:textId="77777777" w:rsidR="00F618C5"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 xml:space="preserve">Collectively, these findings reveal a deeply concerning landscape in which children </w:t>
      </w:r>
      <w:r w:rsidR="00F54C2C" w:rsidRPr="007C697A">
        <w:rPr>
          <w:rFonts w:ascii="Garamond" w:hAnsi="Garamond" w:cstheme="majorBidi"/>
        </w:rPr>
        <w:t xml:space="preserve">belonging to religious minorities </w:t>
      </w:r>
      <w:r w:rsidRPr="007C697A">
        <w:rPr>
          <w:rFonts w:ascii="Garamond" w:hAnsi="Garamond" w:cstheme="majorBidi"/>
        </w:rPr>
        <w:t>in Pakistan</w:t>
      </w:r>
      <w:r w:rsidR="00F54C2C" w:rsidRPr="007C697A">
        <w:rPr>
          <w:rFonts w:ascii="Garamond" w:hAnsi="Garamond" w:cstheme="majorBidi"/>
        </w:rPr>
        <w:t>, in particular Christian and Hindu children,</w:t>
      </w:r>
      <w:r w:rsidRPr="007C697A">
        <w:rPr>
          <w:rFonts w:ascii="Garamond" w:hAnsi="Garamond" w:cstheme="majorBidi"/>
        </w:rPr>
        <w:t xml:space="preserve"> confront layered vulnerabilities rooted in structural inequalities, discriminatory norms, and weak institutional safeguards. Their challenges span exposure to forced conversions and early marriage, systemic educational discrimination, and limited access to safe and </w:t>
      </w:r>
      <w:r w:rsidR="003F6830" w:rsidRPr="007C697A">
        <w:rPr>
          <w:rFonts w:ascii="Garamond" w:hAnsi="Garamond" w:cstheme="majorBidi"/>
        </w:rPr>
        <w:t xml:space="preserve">inclusive </w:t>
      </w:r>
      <w:r w:rsidRPr="007C697A">
        <w:rPr>
          <w:rFonts w:ascii="Garamond" w:hAnsi="Garamond" w:cstheme="majorBidi"/>
        </w:rPr>
        <w:t xml:space="preserve">learning environments. </w:t>
      </w:r>
    </w:p>
    <w:p w14:paraId="55844FC5" w14:textId="2464BC74" w:rsidR="007D3B00" w:rsidRPr="007C697A" w:rsidRDefault="007D3B00" w:rsidP="007C697A">
      <w:pPr>
        <w:pStyle w:val="ListParagraph"/>
        <w:numPr>
          <w:ilvl w:val="0"/>
          <w:numId w:val="3"/>
        </w:numPr>
        <w:spacing w:after="120" w:line="360" w:lineRule="auto"/>
        <w:ind w:left="425" w:hanging="357"/>
        <w:contextualSpacing w:val="0"/>
        <w:jc w:val="both"/>
        <w:rPr>
          <w:rFonts w:ascii="Garamond" w:hAnsi="Garamond" w:cstheme="majorBidi"/>
        </w:rPr>
      </w:pPr>
      <w:r w:rsidRPr="007C697A">
        <w:rPr>
          <w:rFonts w:ascii="Garamond" w:hAnsi="Garamond" w:cstheme="majorBidi"/>
        </w:rPr>
        <w:t xml:space="preserve">Addressing these issues requires urgent and comprehensive action </w:t>
      </w:r>
      <w:r w:rsidR="003F6830" w:rsidRPr="007C697A">
        <w:rPr>
          <w:rFonts w:ascii="Garamond" w:hAnsi="Garamond" w:cstheme="majorBidi"/>
        </w:rPr>
        <w:t xml:space="preserve">for Pakistan </w:t>
      </w:r>
      <w:r w:rsidRPr="007C697A">
        <w:rPr>
          <w:rFonts w:ascii="Garamond" w:hAnsi="Garamond" w:cstheme="majorBidi"/>
        </w:rPr>
        <w:t xml:space="preserve">to uphold </w:t>
      </w:r>
      <w:r w:rsidR="003F6830" w:rsidRPr="007C697A">
        <w:rPr>
          <w:rFonts w:ascii="Garamond" w:hAnsi="Garamond" w:cstheme="majorBidi"/>
        </w:rPr>
        <w:t xml:space="preserve">its </w:t>
      </w:r>
      <w:r w:rsidRPr="007C697A">
        <w:rPr>
          <w:rFonts w:ascii="Garamond" w:hAnsi="Garamond" w:cstheme="majorBidi"/>
        </w:rPr>
        <w:t>obligations under the Convention on the Rights of the Child</w:t>
      </w:r>
      <w:r w:rsidR="003525D4" w:rsidRPr="007C697A">
        <w:rPr>
          <w:rFonts w:ascii="Garamond" w:hAnsi="Garamond" w:cstheme="majorBidi"/>
        </w:rPr>
        <w:t>,</w:t>
      </w:r>
      <w:r w:rsidR="003F6830" w:rsidRPr="007C697A">
        <w:rPr>
          <w:rFonts w:ascii="Garamond" w:hAnsi="Garamond" w:cstheme="majorBidi"/>
        </w:rPr>
        <w:t xml:space="preserve"> as well as </w:t>
      </w:r>
      <w:r w:rsidR="003525D4" w:rsidRPr="007C697A">
        <w:rPr>
          <w:rFonts w:ascii="Garamond" w:hAnsi="Garamond" w:cstheme="majorBidi"/>
        </w:rPr>
        <w:t xml:space="preserve">the constitutional provisions of Pakistan which </w:t>
      </w:r>
      <w:r w:rsidR="003F6830" w:rsidRPr="007C697A">
        <w:rPr>
          <w:rFonts w:ascii="Garamond" w:hAnsi="Garamond" w:cstheme="majorBidi"/>
        </w:rPr>
        <w:t xml:space="preserve">provide </w:t>
      </w:r>
      <w:r w:rsidRPr="007C697A">
        <w:rPr>
          <w:rFonts w:ascii="Garamond" w:hAnsi="Garamond" w:cstheme="majorBidi"/>
        </w:rPr>
        <w:t>that all children</w:t>
      </w:r>
      <w:r w:rsidR="00C22FAD" w:rsidRPr="007C697A">
        <w:rPr>
          <w:rStyle w:val="FootnoteReference"/>
          <w:rFonts w:ascii="Garamond" w:hAnsi="Garamond" w:cstheme="majorBidi"/>
        </w:rPr>
        <w:footnoteReference w:id="24"/>
      </w:r>
      <w:r w:rsidRPr="007C697A">
        <w:rPr>
          <w:rFonts w:ascii="Garamond" w:hAnsi="Garamond" w:cstheme="majorBidi"/>
        </w:rPr>
        <w:t>—irrespective of religious identity—</w:t>
      </w:r>
      <w:r w:rsidR="003F6830" w:rsidRPr="007C697A">
        <w:rPr>
          <w:rFonts w:ascii="Garamond" w:hAnsi="Garamond" w:cstheme="majorBidi"/>
        </w:rPr>
        <w:t xml:space="preserve">must be </w:t>
      </w:r>
      <w:r w:rsidRPr="007C697A">
        <w:rPr>
          <w:rFonts w:ascii="Garamond" w:hAnsi="Garamond" w:cstheme="majorBidi"/>
        </w:rPr>
        <w:t>protected</w:t>
      </w:r>
      <w:r w:rsidR="00C22FAD" w:rsidRPr="007C697A">
        <w:rPr>
          <w:rStyle w:val="FootnoteReference"/>
          <w:rFonts w:ascii="Garamond" w:hAnsi="Garamond" w:cstheme="majorBidi"/>
        </w:rPr>
        <w:footnoteReference w:id="25"/>
      </w:r>
      <w:r w:rsidRPr="007C697A">
        <w:rPr>
          <w:rFonts w:ascii="Garamond" w:hAnsi="Garamond" w:cstheme="majorBidi"/>
        </w:rPr>
        <w:t>, empowered</w:t>
      </w:r>
      <w:r w:rsidR="00C22FAD" w:rsidRPr="007C697A">
        <w:rPr>
          <w:rStyle w:val="FootnoteReference"/>
          <w:rFonts w:ascii="Garamond" w:hAnsi="Garamond" w:cstheme="majorBidi"/>
        </w:rPr>
        <w:footnoteReference w:id="26"/>
      </w:r>
      <w:r w:rsidRPr="007C697A">
        <w:rPr>
          <w:rFonts w:ascii="Garamond" w:hAnsi="Garamond" w:cstheme="majorBidi"/>
        </w:rPr>
        <w:t>, and guaranteed equal opportunities to thrive</w:t>
      </w:r>
      <w:r w:rsidR="00C22FAD" w:rsidRPr="007C697A">
        <w:rPr>
          <w:rStyle w:val="FootnoteReference"/>
          <w:rFonts w:ascii="Garamond" w:hAnsi="Garamond" w:cstheme="majorBidi"/>
        </w:rPr>
        <w:footnoteReference w:id="27"/>
      </w:r>
      <w:r w:rsidRPr="007C697A">
        <w:rPr>
          <w:rFonts w:ascii="Garamond" w:hAnsi="Garamond" w:cstheme="majorBidi"/>
        </w:rPr>
        <w:t>.</w:t>
      </w:r>
    </w:p>
    <w:p w14:paraId="0A87B5DD" w14:textId="1A758CC3" w:rsidR="007D3B00" w:rsidRPr="007C697A" w:rsidRDefault="007C697A" w:rsidP="00F618C5">
      <w:pPr>
        <w:spacing w:after="120" w:line="360" w:lineRule="auto"/>
        <w:jc w:val="both"/>
        <w:rPr>
          <w:rFonts w:ascii="Garamond" w:hAnsi="Garamond" w:cstheme="majorBidi"/>
          <w:b/>
          <w:bCs/>
        </w:rPr>
      </w:pPr>
      <w:r>
        <w:rPr>
          <w:rFonts w:ascii="Garamond" w:hAnsi="Garamond" w:cstheme="majorBidi"/>
          <w:b/>
          <w:bCs/>
        </w:rPr>
        <w:lastRenderedPageBreak/>
        <w:t xml:space="preserve">RECOMMENDATIONS </w:t>
      </w:r>
    </w:p>
    <w:p w14:paraId="7EB349EE" w14:textId="77777777" w:rsidR="007D3B00"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Raise the minimum legal age of marriage to 18 years nationwide, including Punjab, to eliminate provincial disparities that facilitate the exploitation of minority girls.</w:t>
      </w:r>
    </w:p>
    <w:p w14:paraId="1358A3C6" w14:textId="43429EC7" w:rsidR="007D3B00"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Standardize the legal minimum age by setting the minimum age for marriage, labor, and civil registration uniformly at 18 years across all provinces and territories.</w:t>
      </w:r>
    </w:p>
    <w:p w14:paraId="01A6A42A" w14:textId="77777777" w:rsidR="007D3B00"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Mandate compulsory and free primary and secondary education for all children, with targeted subsidies and financial support for low-income families to reduce school dropout and curb child labor.</w:t>
      </w:r>
    </w:p>
    <w:p w14:paraId="70F48F6F" w14:textId="77777777" w:rsidR="007D3B00"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Strengthen institutional mechanisms to prevent and respond to forced conversions, including the establishment of specialized district units, mandatory age verification procedures, and independent monitoring bodies.</w:t>
      </w:r>
    </w:p>
    <w:p w14:paraId="712F8DA8" w14:textId="77777777" w:rsidR="007D3B00"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Ensure strict enforcement of birth registration laws, expand digital registration systems, and facilitate easy, free registration for marginalized communities.</w:t>
      </w:r>
    </w:p>
    <w:p w14:paraId="485A66D5" w14:textId="7F682640" w:rsidR="007D3B00"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Reform educational curricula and monitoring systems to eliminate forced religious teaching and discriminatory practices in schools, ensuring full compliance with Article 28</w:t>
      </w:r>
      <w:r w:rsidR="00C22FAD" w:rsidRPr="007C697A">
        <w:rPr>
          <w:rStyle w:val="FootnoteReference"/>
          <w:rFonts w:ascii="Garamond" w:hAnsi="Garamond" w:cstheme="majorBidi"/>
          <w:b/>
          <w:bCs/>
        </w:rPr>
        <w:footnoteReference w:id="28"/>
      </w:r>
      <w:r w:rsidRPr="007C697A">
        <w:rPr>
          <w:rFonts w:ascii="Garamond" w:hAnsi="Garamond" w:cstheme="majorBidi"/>
          <w:b/>
          <w:bCs/>
        </w:rPr>
        <w:t xml:space="preserve"> of the Constitution and CRC obligations.</w:t>
      </w:r>
    </w:p>
    <w:p w14:paraId="4F27DC82" w14:textId="77777777" w:rsidR="007D3B00"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Provide teacher training on religious tolerance, child protection, and inclusive education, particularly in districts with sizeable minority populations.</w:t>
      </w:r>
    </w:p>
    <w:p w14:paraId="051497B9" w14:textId="08115816" w:rsidR="00BE64DC" w:rsidRPr="007C697A" w:rsidRDefault="007D3B00" w:rsidP="00F618C5">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Establish safe reporting mechanisms—including child-sensitive helplines and protection units—for incidents of abduction, forced conversion, and school-based discrimination.</w:t>
      </w:r>
    </w:p>
    <w:p w14:paraId="561668B2" w14:textId="6E6F4309" w:rsidR="000B24AC" w:rsidRPr="00F618C5" w:rsidRDefault="00006D19" w:rsidP="00E15107">
      <w:pPr>
        <w:numPr>
          <w:ilvl w:val="0"/>
          <w:numId w:val="1"/>
        </w:numPr>
        <w:spacing w:after="240" w:line="360" w:lineRule="auto"/>
        <w:ind w:left="714" w:hanging="357"/>
        <w:jc w:val="both"/>
        <w:rPr>
          <w:rFonts w:ascii="Garamond" w:hAnsi="Garamond" w:cstheme="majorBidi"/>
          <w:b/>
          <w:bCs/>
        </w:rPr>
      </w:pPr>
      <w:r w:rsidRPr="007C697A">
        <w:rPr>
          <w:rFonts w:ascii="Garamond" w:hAnsi="Garamond" w:cstheme="majorBidi"/>
          <w:b/>
          <w:bCs/>
        </w:rPr>
        <w:t>Enact comprehensive federal legislation criminalizing forced conversion with robust procedural safeguards, while addressing religious opposition through inclusive consultation.</w:t>
      </w:r>
    </w:p>
    <w:sectPr w:rsidR="000B24AC" w:rsidRPr="00F618C5" w:rsidSect="00553665">
      <w:footerReference w:type="even"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3955CC" w14:textId="77777777" w:rsidR="004F10C3" w:rsidRDefault="004F10C3" w:rsidP="007F52BB">
      <w:pPr>
        <w:spacing w:after="0" w:line="240" w:lineRule="auto"/>
      </w:pPr>
      <w:r>
        <w:separator/>
      </w:r>
    </w:p>
  </w:endnote>
  <w:endnote w:type="continuationSeparator" w:id="0">
    <w:p w14:paraId="3FAFF0B9" w14:textId="77777777" w:rsidR="004F10C3" w:rsidRDefault="004F10C3" w:rsidP="007F52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Garamond">
    <w:panose1 w:val="02020404030301010803"/>
    <w:charset w:val="00"/>
    <w:family w:val="roman"/>
    <w:pitch w:val="variable"/>
    <w:sig w:usb0="00000287" w:usb1="00000000" w:usb2="00000000" w:usb3="00000000" w:csb0="0000009F" w:csb1="00000000"/>
  </w:font>
  <w:font w:name="Angsana New">
    <w:panose1 w:val="02020603050405020304"/>
    <w:charset w:val="DE"/>
    <w:family w:val="roman"/>
    <w:pitch w:val="variable"/>
    <w:sig w:usb0="81000003" w:usb1="00000000" w:usb2="00000000" w:usb3="00000000" w:csb0="00010001"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49500944"/>
      <w:docPartObj>
        <w:docPartGallery w:val="Page Numbers (Bottom of Page)"/>
        <w:docPartUnique/>
      </w:docPartObj>
    </w:sdtPr>
    <w:sdtEndPr>
      <w:rPr>
        <w:rStyle w:val="PageNumber"/>
      </w:rPr>
    </w:sdtEndPr>
    <w:sdtContent>
      <w:p w14:paraId="0FE0DFBC" w14:textId="688329C3" w:rsidR="00553665" w:rsidRDefault="00553665" w:rsidP="00C3477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C6C0D8" w14:textId="77777777" w:rsidR="00553665" w:rsidRDefault="00553665" w:rsidP="0055366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51462494"/>
      <w:docPartObj>
        <w:docPartGallery w:val="Page Numbers (Bottom of Page)"/>
        <w:docPartUnique/>
      </w:docPartObj>
    </w:sdtPr>
    <w:sdtEndPr>
      <w:rPr>
        <w:rStyle w:val="PageNumber"/>
      </w:rPr>
    </w:sdtEndPr>
    <w:sdtContent>
      <w:p w14:paraId="60CAC7ED" w14:textId="75BCF857" w:rsidR="00553665" w:rsidRDefault="00553665" w:rsidP="00C3477A">
        <w:pPr>
          <w:pStyle w:val="Footer"/>
          <w:framePr w:wrap="none" w:vAnchor="text" w:hAnchor="margin" w:xAlign="right" w:y="1"/>
          <w:rPr>
            <w:rStyle w:val="PageNumber"/>
          </w:rPr>
        </w:pPr>
        <w:r w:rsidRPr="00553665">
          <w:rPr>
            <w:rStyle w:val="PageNumber"/>
            <w:rFonts w:ascii="Garamond" w:hAnsi="Garamond"/>
          </w:rPr>
          <w:fldChar w:fldCharType="begin"/>
        </w:r>
        <w:r w:rsidRPr="00553665">
          <w:rPr>
            <w:rStyle w:val="PageNumber"/>
            <w:rFonts w:ascii="Garamond" w:hAnsi="Garamond"/>
          </w:rPr>
          <w:instrText xml:space="preserve"> PAGE </w:instrText>
        </w:r>
        <w:r w:rsidRPr="00553665">
          <w:rPr>
            <w:rStyle w:val="PageNumber"/>
            <w:rFonts w:ascii="Garamond" w:hAnsi="Garamond"/>
          </w:rPr>
          <w:fldChar w:fldCharType="separate"/>
        </w:r>
        <w:r w:rsidRPr="00553665">
          <w:rPr>
            <w:rStyle w:val="PageNumber"/>
            <w:rFonts w:ascii="Garamond" w:hAnsi="Garamond"/>
            <w:noProof/>
          </w:rPr>
          <w:t>2</w:t>
        </w:r>
        <w:r w:rsidRPr="00553665">
          <w:rPr>
            <w:rStyle w:val="PageNumber"/>
            <w:rFonts w:ascii="Garamond" w:hAnsi="Garamond"/>
          </w:rPr>
          <w:fldChar w:fldCharType="end"/>
        </w:r>
      </w:p>
    </w:sdtContent>
  </w:sdt>
  <w:p w14:paraId="53362F8B" w14:textId="77777777" w:rsidR="00553665" w:rsidRDefault="00553665" w:rsidP="0055366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DF9F81" w14:textId="77777777" w:rsidR="004F10C3" w:rsidRDefault="004F10C3" w:rsidP="007F52BB">
      <w:pPr>
        <w:spacing w:after="0" w:line="240" w:lineRule="auto"/>
      </w:pPr>
      <w:r>
        <w:separator/>
      </w:r>
    </w:p>
  </w:footnote>
  <w:footnote w:type="continuationSeparator" w:id="0">
    <w:p w14:paraId="1D639861" w14:textId="77777777" w:rsidR="004F10C3" w:rsidRDefault="004F10C3" w:rsidP="007F52BB">
      <w:pPr>
        <w:spacing w:after="0" w:line="240" w:lineRule="auto"/>
      </w:pPr>
      <w:r>
        <w:continuationSeparator/>
      </w:r>
    </w:p>
  </w:footnote>
  <w:footnote w:id="1">
    <w:p w14:paraId="2F9D7A69" w14:textId="63B99CBE" w:rsidR="009F1464" w:rsidRPr="007C697A" w:rsidRDefault="009F1464">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https://ncrc.gov.pk/wp-content/uploads/2025/04/State-of-Children-V2.pdf</w:t>
      </w:r>
    </w:p>
  </w:footnote>
  <w:footnote w:id="2">
    <w:p w14:paraId="0C418377" w14:textId="18570B8D" w:rsidR="00E7289A" w:rsidRPr="007C697A" w:rsidRDefault="00E7289A">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Data collected from Pakistan Bureau of Statistics, ‘Literacy rate, enrollment and out of school population by sex and rural urban, census-2023.</w:t>
      </w:r>
    </w:p>
  </w:footnote>
  <w:footnote w:id="3">
    <w:p w14:paraId="6BFB8842" w14:textId="77777777" w:rsidR="00E15107" w:rsidRPr="007C697A" w:rsidRDefault="00E15107" w:rsidP="00E15107">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https://library.fes.de/pdf-files/bueros/pakistan/20532-20230928.pdf</w:t>
      </w:r>
    </w:p>
  </w:footnote>
  <w:footnote w:id="4">
    <w:p w14:paraId="7FAC1C95" w14:textId="77777777" w:rsidR="00E15107" w:rsidRPr="007C697A" w:rsidRDefault="00E15107" w:rsidP="00E15107">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https://www.na.gov.pk/uploads/documents/1335242011_887.pdf</w:t>
      </w:r>
    </w:p>
  </w:footnote>
  <w:footnote w:id="5">
    <w:p w14:paraId="08D17D30" w14:textId="77777777" w:rsidR="00E15107" w:rsidRPr="007C697A" w:rsidRDefault="00E15107" w:rsidP="00E15107">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https://kpcode.kp.gov.pk/uploads/2015_19_THE_KHYBER_PAKHTUNKHWA_PROHIBITION_OF_EMPLOYMENT_OF_CHILDREN_ACT_2015.pdf</w:t>
      </w:r>
    </w:p>
  </w:footnote>
  <w:footnote w:id="6">
    <w:p w14:paraId="67BC540E" w14:textId="77777777" w:rsidR="00E15107" w:rsidRPr="007C697A" w:rsidRDefault="00E15107" w:rsidP="00E15107">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https://clr.org.pk/Labour-Laws/Balochistan/Balochistan-Employment-of-Children-Prohibition&amp;Regulation-Act-2021.pdf</w:t>
      </w:r>
    </w:p>
  </w:footnote>
  <w:footnote w:id="7">
    <w:p w14:paraId="3EF19113" w14:textId="77777777" w:rsidR="00E15107" w:rsidRPr="007C697A" w:rsidRDefault="00E15107" w:rsidP="00E15107">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http://punjablaws.gov.pk/laws/2668.html</w:t>
      </w:r>
    </w:p>
  </w:footnote>
  <w:footnote w:id="8">
    <w:p w14:paraId="545766A2" w14:textId="77777777" w:rsidR="00E15107" w:rsidRPr="007C697A" w:rsidRDefault="00E15107" w:rsidP="00E15107">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https://sindhlaws.gov.pk/setup/publications_SindhCode/PUB-NEW-18-000183.pdf</w:t>
      </w:r>
    </w:p>
  </w:footnote>
  <w:footnote w:id="9">
    <w:p w14:paraId="380941CC" w14:textId="77777777" w:rsidR="00E15107" w:rsidRPr="007C697A" w:rsidRDefault="00E15107" w:rsidP="00E15107">
      <w:pPr>
        <w:pStyle w:val="FootnoteText"/>
        <w:rPr>
          <w:rFonts w:ascii="Garamond" w:hAnsi="Garamond"/>
          <w:sz w:val="18"/>
          <w:szCs w:val="18"/>
        </w:rPr>
      </w:pPr>
      <w:r w:rsidRPr="007C697A">
        <w:rPr>
          <w:rStyle w:val="FootnoteReference"/>
          <w:rFonts w:ascii="Garamond" w:hAnsi="Garamond"/>
          <w:sz w:val="18"/>
          <w:szCs w:val="18"/>
        </w:rPr>
        <w:footnoteRef/>
      </w:r>
      <w:r w:rsidRPr="007C697A">
        <w:rPr>
          <w:rStyle w:val="FootnoteReference"/>
          <w:rFonts w:ascii="Garamond" w:hAnsi="Garamond"/>
          <w:sz w:val="18"/>
          <w:szCs w:val="18"/>
        </w:rPr>
        <w:footnoteRef/>
      </w:r>
      <w:r w:rsidRPr="007C697A">
        <w:rPr>
          <w:rFonts w:ascii="Garamond" w:hAnsi="Garamond"/>
          <w:sz w:val="18"/>
          <w:szCs w:val="18"/>
        </w:rPr>
        <w:t xml:space="preserve"> https://labour.punjab.gov.pk/system/files/CLS%20Punjab%20Main%20Report%20%281%29_compressed.pdf</w:t>
      </w:r>
    </w:p>
  </w:footnote>
  <w:footnote w:id="10">
    <w:p w14:paraId="6A0287CF" w14:textId="65F536DE" w:rsidR="004A5686" w:rsidRPr="007C697A" w:rsidRDefault="004A5686">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https://www.unicef.org/pakistan/media/5841/file/Pakistan-2023-COAR.pdf.pdf</w:t>
      </w:r>
    </w:p>
  </w:footnote>
  <w:footnote w:id="11">
    <w:p w14:paraId="2F009B1A" w14:textId="7B312450" w:rsidR="004A5686" w:rsidRPr="007C697A" w:rsidRDefault="004A5686">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https://labour.punjab.gov.pk/system/files/CLS%20Punjab%20Main%20Report%20%281%29_compressed.pdf</w:t>
      </w:r>
    </w:p>
  </w:footnote>
  <w:footnote w:id="12">
    <w:p w14:paraId="121956BB" w14:textId="79AD25A3" w:rsidR="00776B9A" w:rsidRPr="007C697A" w:rsidRDefault="00776B9A">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https://dhsprogram.com/pubs/pdf/FR354/FR354.pdf</w:t>
      </w:r>
    </w:p>
  </w:footnote>
  <w:footnote w:id="13">
    <w:p w14:paraId="65B29BF0" w14:textId="77777777"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http://punjablaws.gov.pk/laws/147a.html</w:t>
      </w:r>
    </w:p>
  </w:footnote>
  <w:footnote w:id="14">
    <w:p w14:paraId="10153469" w14:textId="77777777"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https://openparliament.pk/app/tables/files/The_Criminal_Law_(Protection_of_Minorities)_Bill,_201-6.pdf</w:t>
      </w:r>
    </w:p>
  </w:footnote>
  <w:footnote w:id="15">
    <w:p w14:paraId="18885B0A" w14:textId="77777777"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https://wdd.sindh.gov.pk/files/wdd/THE%20SINDH%20CHILD%20MARRIAGES%20RESTRAINT%20ACT%2C%202013.pdf</w:t>
      </w:r>
    </w:p>
  </w:footnote>
  <w:footnote w:id="16">
    <w:p w14:paraId="42195FA1" w14:textId="77777777"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https://pcsw.punjab.gov.pk/child_marriage</w:t>
      </w:r>
    </w:p>
  </w:footnote>
  <w:footnote w:id="17">
    <w:p w14:paraId="62768AE3" w14:textId="07F952A6"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00F618C5">
        <w:rPr>
          <w:rFonts w:ascii="Garamond" w:hAnsi="Garamond"/>
          <w:sz w:val="18"/>
          <w:szCs w:val="18"/>
        </w:rPr>
        <w:t xml:space="preserve"> </w:t>
      </w:r>
      <w:r w:rsidRPr="007C697A">
        <w:rPr>
          <w:rFonts w:ascii="Garamond" w:hAnsi="Garamond"/>
          <w:sz w:val="18"/>
          <w:szCs w:val="18"/>
        </w:rPr>
        <w:t>https://punjablaws.punjab.gov.pk/uploads/articles/PUNJAB_CHILD_MARRIAGE_RESTRAINT_%28AMENDMENT%29_ACT_2015.doc.pdf</w:t>
      </w:r>
    </w:p>
  </w:footnote>
  <w:footnote w:id="18">
    <w:p w14:paraId="78BB19C7" w14:textId="77777777"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https://pakistan.unfpa.org/sites/default/files/pub-pdf/child_marriage_kpk_book_1_0.pdf</w:t>
      </w:r>
    </w:p>
  </w:footnote>
  <w:footnote w:id="19">
    <w:p w14:paraId="3CD8D60A" w14:textId="77777777"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https://fafen.org/tracing-history-of-legislation-on-minority-rights-commission/#:~:text=Meanwhile%2C%20the%20government%20bill%20titled,Assembly%20on%20May%2012%2C%202025.</w:t>
      </w:r>
    </w:p>
  </w:footnote>
  <w:footnote w:id="20">
    <w:p w14:paraId="65980317" w14:textId="77777777" w:rsidR="00632851" w:rsidRPr="007C697A" w:rsidRDefault="00632851" w:rsidP="00632851">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https://www.dawn.com/news/1651813</w:t>
      </w:r>
    </w:p>
  </w:footnote>
  <w:footnote w:id="21">
    <w:p w14:paraId="07AA31FF" w14:textId="77777777" w:rsidR="007D3B00" w:rsidRPr="007C697A" w:rsidRDefault="007D3B00" w:rsidP="007D3B00">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https://awampk.org/wp-content/uploads/2025/04/the-context-of-religious-conversation-of-minority-girls-in-Pakistan.pdf</w:t>
      </w:r>
    </w:p>
  </w:footnote>
  <w:footnote w:id="22">
    <w:p w14:paraId="1BF3D940" w14:textId="77777777" w:rsidR="007D3B00" w:rsidRPr="007C697A" w:rsidRDefault="007D3B00" w:rsidP="007D3B00">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https://drive.google.com/file/d/1I5FJHOmJiyKeuV0z8m4KgEwa-i4rdgkU/view</w:t>
      </w:r>
    </w:p>
  </w:footnote>
  <w:footnote w:id="23">
    <w:p w14:paraId="7874D6FE" w14:textId="2F34AF77" w:rsidR="00C0758C" w:rsidRPr="007C697A" w:rsidRDefault="00C0758C">
      <w:pPr>
        <w:pStyle w:val="FootnoteText"/>
        <w:rPr>
          <w:rFonts w:ascii="Garamond" w:hAnsi="Garamond"/>
          <w:sz w:val="18"/>
          <w:szCs w:val="18"/>
        </w:rPr>
      </w:pPr>
      <w:r w:rsidRPr="007C697A">
        <w:rPr>
          <w:rStyle w:val="FootnoteReference"/>
          <w:rFonts w:ascii="Garamond" w:hAnsi="Garamond"/>
          <w:sz w:val="18"/>
          <w:szCs w:val="18"/>
        </w:rPr>
        <w:footnoteRef/>
      </w:r>
      <w:r w:rsidR="00F618C5">
        <w:rPr>
          <w:rFonts w:ascii="Garamond" w:hAnsi="Garamond"/>
          <w:sz w:val="18"/>
          <w:szCs w:val="18"/>
        </w:rPr>
        <w:t xml:space="preserve"> </w:t>
      </w:r>
      <w:r w:rsidRPr="007C697A">
        <w:rPr>
          <w:rFonts w:ascii="Garamond" w:hAnsi="Garamond"/>
          <w:sz w:val="18"/>
          <w:szCs w:val="18"/>
        </w:rPr>
        <w:t>https://docs.google.com/document/d/1rWdmuii1KvfKEEJc0qP5C7rqeBX6hqtl/edit?usp=sharing&amp;ouid=113057347813429611504&amp;rtpof=true&amp;sd=true</w:t>
      </w:r>
    </w:p>
  </w:footnote>
  <w:footnote w:id="24">
    <w:p w14:paraId="165C18EE" w14:textId="2E20D557" w:rsidR="00C22FAD" w:rsidRPr="007C697A" w:rsidRDefault="00C22FAD" w:rsidP="00C22FAD">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Article 20 of Pakistan Constitution — Freedom to Profess and Practice Religion</w:t>
      </w:r>
    </w:p>
    <w:p w14:paraId="33C556F8" w14:textId="160CA2A7" w:rsidR="00C22FAD" w:rsidRPr="007C697A" w:rsidRDefault="00C22FAD" w:rsidP="00C22FAD">
      <w:pPr>
        <w:pStyle w:val="FootnoteText"/>
        <w:rPr>
          <w:rFonts w:ascii="Garamond" w:hAnsi="Garamond"/>
          <w:sz w:val="18"/>
          <w:szCs w:val="18"/>
        </w:rPr>
      </w:pPr>
      <w:r w:rsidRPr="007C697A">
        <w:rPr>
          <w:rFonts w:ascii="Garamond" w:hAnsi="Garamond"/>
          <w:sz w:val="18"/>
          <w:szCs w:val="18"/>
        </w:rPr>
        <w:t>“Subject to law, public order and morality—</w:t>
      </w:r>
      <w:r w:rsidRPr="007C697A">
        <w:rPr>
          <w:rFonts w:ascii="Garamond" w:hAnsi="Garamond"/>
          <w:sz w:val="18"/>
          <w:szCs w:val="18"/>
        </w:rPr>
        <w:br/>
        <w:t>(a) every citizen shall have the right to profess, practice and propagate his religion; and</w:t>
      </w:r>
      <w:r w:rsidRPr="007C697A">
        <w:rPr>
          <w:rFonts w:ascii="Garamond" w:hAnsi="Garamond"/>
          <w:sz w:val="18"/>
          <w:szCs w:val="18"/>
        </w:rPr>
        <w:br/>
        <w:t>(b) every religious denomination and every sect thereof shall have the right to establish, maintain and manage its religious institutions.”</w:t>
      </w:r>
    </w:p>
  </w:footnote>
  <w:footnote w:id="25">
    <w:p w14:paraId="45931B05" w14:textId="77777777" w:rsidR="00C22FAD" w:rsidRPr="007C697A" w:rsidRDefault="00C22FAD" w:rsidP="00C22FAD">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Article 22(1) — Religious Instruction in Educational Institutions</w:t>
      </w:r>
    </w:p>
    <w:p w14:paraId="378072FF" w14:textId="77777777" w:rsidR="00C22FAD" w:rsidRPr="007C697A" w:rsidRDefault="00C22FAD" w:rsidP="00C22FAD">
      <w:pPr>
        <w:pStyle w:val="FootnoteText"/>
        <w:rPr>
          <w:rFonts w:ascii="Garamond" w:hAnsi="Garamond"/>
          <w:sz w:val="18"/>
          <w:szCs w:val="18"/>
        </w:rPr>
      </w:pPr>
      <w:r w:rsidRPr="007C697A">
        <w:rPr>
          <w:rFonts w:ascii="Garamond" w:hAnsi="Garamond"/>
          <w:sz w:val="18"/>
          <w:szCs w:val="18"/>
        </w:rPr>
        <w:t>“No person attending any educational institution shall be required to receive religious instruction, or take part in any religious ceremony, or attend religious worship, if such instruction, ceremony or worship relates to a religion other than his own.”</w:t>
      </w:r>
    </w:p>
  </w:footnote>
  <w:footnote w:id="26">
    <w:p w14:paraId="0D10958D" w14:textId="77777777" w:rsidR="00C22FAD" w:rsidRPr="007C697A" w:rsidRDefault="00C22FAD" w:rsidP="00C22FAD">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Article 22(3)(b) — Admission Without Discrimination</w:t>
      </w:r>
    </w:p>
    <w:p w14:paraId="504602A9" w14:textId="77777777" w:rsidR="00C22FAD" w:rsidRPr="007C697A" w:rsidRDefault="00C22FAD" w:rsidP="00C22FAD">
      <w:pPr>
        <w:pStyle w:val="FootnoteText"/>
        <w:rPr>
          <w:rFonts w:ascii="Garamond" w:hAnsi="Garamond"/>
          <w:sz w:val="18"/>
          <w:szCs w:val="18"/>
        </w:rPr>
      </w:pPr>
      <w:r w:rsidRPr="007C697A">
        <w:rPr>
          <w:rFonts w:ascii="Garamond" w:hAnsi="Garamond"/>
          <w:sz w:val="18"/>
          <w:szCs w:val="18"/>
        </w:rPr>
        <w:t>“No citizen shall be denied admission to any educational institution receiving aid from public revenues on the ground only of race, religion, caste or place of birth.”</w:t>
      </w:r>
    </w:p>
  </w:footnote>
  <w:footnote w:id="27">
    <w:p w14:paraId="1976E870" w14:textId="77777777" w:rsidR="00C22FAD" w:rsidRPr="007C697A" w:rsidRDefault="00C22FAD" w:rsidP="00C22FAD">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Article 36 — Protection of Minorities</w:t>
      </w:r>
    </w:p>
    <w:p w14:paraId="274518D4" w14:textId="150F8D90" w:rsidR="00C22FAD" w:rsidRPr="007C697A" w:rsidRDefault="00C22FAD" w:rsidP="00C22FAD">
      <w:pPr>
        <w:pStyle w:val="FootnoteText"/>
        <w:rPr>
          <w:rFonts w:ascii="Garamond" w:hAnsi="Garamond"/>
          <w:sz w:val="18"/>
          <w:szCs w:val="18"/>
        </w:rPr>
      </w:pPr>
      <w:r w:rsidRPr="007C697A">
        <w:rPr>
          <w:rFonts w:ascii="Garamond" w:hAnsi="Garamond"/>
          <w:sz w:val="18"/>
          <w:szCs w:val="18"/>
        </w:rPr>
        <w:t>“The State shall safeguard the legitimate rights and interests of minorities, including their due representation in the Federal and Provincial services.”</w:t>
      </w:r>
    </w:p>
  </w:footnote>
  <w:footnote w:id="28">
    <w:p w14:paraId="296EB548" w14:textId="1EEBD63F" w:rsidR="00C22FAD" w:rsidRPr="007C697A" w:rsidRDefault="00C22FAD" w:rsidP="00C22FAD">
      <w:pPr>
        <w:pStyle w:val="FootnoteText"/>
        <w:rPr>
          <w:rFonts w:ascii="Garamond" w:hAnsi="Garamond"/>
          <w:sz w:val="18"/>
          <w:szCs w:val="18"/>
        </w:rPr>
      </w:pPr>
      <w:r w:rsidRPr="007C697A">
        <w:rPr>
          <w:rStyle w:val="FootnoteReference"/>
          <w:rFonts w:ascii="Garamond" w:hAnsi="Garamond"/>
          <w:sz w:val="18"/>
          <w:szCs w:val="18"/>
        </w:rPr>
        <w:footnoteRef/>
      </w:r>
      <w:r w:rsidRPr="007C697A">
        <w:rPr>
          <w:rFonts w:ascii="Garamond" w:hAnsi="Garamond"/>
          <w:sz w:val="18"/>
          <w:szCs w:val="18"/>
        </w:rPr>
        <w:t xml:space="preserve"> Article 28 </w:t>
      </w:r>
      <w:r w:rsidR="000A14B2" w:rsidRPr="007C697A">
        <w:rPr>
          <w:rFonts w:ascii="Garamond" w:hAnsi="Garamond"/>
          <w:sz w:val="18"/>
          <w:szCs w:val="18"/>
        </w:rPr>
        <w:t>of Pakistan constitution</w:t>
      </w:r>
      <w:r w:rsidRPr="007C697A">
        <w:rPr>
          <w:rFonts w:ascii="Garamond" w:hAnsi="Garamond"/>
          <w:sz w:val="18"/>
          <w:szCs w:val="18"/>
        </w:rPr>
        <w:t>— Preservation of Language, Script, and Culture</w:t>
      </w:r>
    </w:p>
    <w:p w14:paraId="599066A6" w14:textId="2ECEB0F7" w:rsidR="00C22FAD" w:rsidRPr="00F618C5" w:rsidRDefault="00C22FAD">
      <w:pPr>
        <w:pStyle w:val="FootnoteText"/>
        <w:rPr>
          <w:rFonts w:ascii="Garamond" w:hAnsi="Garamond"/>
          <w:sz w:val="18"/>
          <w:szCs w:val="18"/>
        </w:rPr>
      </w:pPr>
      <w:r w:rsidRPr="007C697A">
        <w:rPr>
          <w:rFonts w:ascii="Garamond" w:hAnsi="Garamond"/>
          <w:sz w:val="18"/>
          <w:szCs w:val="18"/>
        </w:rPr>
        <w:t>Protects the rights of communities with distinct languages, scripts, or cultures (including religious minorities) to preserve and promote their identity.</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3B6DED"/>
    <w:multiLevelType w:val="hybridMultilevel"/>
    <w:tmpl w:val="B2F60C30"/>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9AB208A"/>
    <w:multiLevelType w:val="hybridMultilevel"/>
    <w:tmpl w:val="2F18F930"/>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FB609A8"/>
    <w:multiLevelType w:val="multilevel"/>
    <w:tmpl w:val="51E66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9043633">
    <w:abstractNumId w:val="2"/>
  </w:num>
  <w:num w:numId="2" w16cid:durableId="1783187272">
    <w:abstractNumId w:val="0"/>
  </w:num>
  <w:num w:numId="3" w16cid:durableId="178529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52BB"/>
    <w:rsid w:val="000058E7"/>
    <w:rsid w:val="00006D19"/>
    <w:rsid w:val="00014D89"/>
    <w:rsid w:val="00033D66"/>
    <w:rsid w:val="0003460D"/>
    <w:rsid w:val="0005052B"/>
    <w:rsid w:val="00076F53"/>
    <w:rsid w:val="000A14B2"/>
    <w:rsid w:val="000B24AC"/>
    <w:rsid w:val="000C2E70"/>
    <w:rsid w:val="001600B4"/>
    <w:rsid w:val="00164753"/>
    <w:rsid w:val="00182B96"/>
    <w:rsid w:val="001C1C22"/>
    <w:rsid w:val="0020366A"/>
    <w:rsid w:val="002220B5"/>
    <w:rsid w:val="00223C9A"/>
    <w:rsid w:val="00230B35"/>
    <w:rsid w:val="002648A4"/>
    <w:rsid w:val="00273EEF"/>
    <w:rsid w:val="003525D4"/>
    <w:rsid w:val="00353224"/>
    <w:rsid w:val="003A062B"/>
    <w:rsid w:val="003A081F"/>
    <w:rsid w:val="003B6FCB"/>
    <w:rsid w:val="003F527D"/>
    <w:rsid w:val="003F6830"/>
    <w:rsid w:val="00404843"/>
    <w:rsid w:val="0044397C"/>
    <w:rsid w:val="00472F06"/>
    <w:rsid w:val="0048180F"/>
    <w:rsid w:val="00495861"/>
    <w:rsid w:val="004A5686"/>
    <w:rsid w:val="004D33FD"/>
    <w:rsid w:val="004F10C3"/>
    <w:rsid w:val="0052046E"/>
    <w:rsid w:val="00553665"/>
    <w:rsid w:val="005C3103"/>
    <w:rsid w:val="005F4FED"/>
    <w:rsid w:val="00607156"/>
    <w:rsid w:val="00625DC5"/>
    <w:rsid w:val="00632851"/>
    <w:rsid w:val="006A7DB3"/>
    <w:rsid w:val="006B55B6"/>
    <w:rsid w:val="006C1E13"/>
    <w:rsid w:val="006C365E"/>
    <w:rsid w:val="006E4D30"/>
    <w:rsid w:val="00747690"/>
    <w:rsid w:val="007533F4"/>
    <w:rsid w:val="00776B9A"/>
    <w:rsid w:val="007C43FB"/>
    <w:rsid w:val="007C697A"/>
    <w:rsid w:val="007D3B00"/>
    <w:rsid w:val="007F52BB"/>
    <w:rsid w:val="00820FA5"/>
    <w:rsid w:val="0082312B"/>
    <w:rsid w:val="008F6BE7"/>
    <w:rsid w:val="008F7C01"/>
    <w:rsid w:val="00922737"/>
    <w:rsid w:val="00971445"/>
    <w:rsid w:val="0097615C"/>
    <w:rsid w:val="009F1464"/>
    <w:rsid w:val="00A563C1"/>
    <w:rsid w:val="00A72AB1"/>
    <w:rsid w:val="00A76002"/>
    <w:rsid w:val="00B27B5E"/>
    <w:rsid w:val="00B30A6B"/>
    <w:rsid w:val="00B524DD"/>
    <w:rsid w:val="00B72740"/>
    <w:rsid w:val="00B87DDE"/>
    <w:rsid w:val="00B94AF5"/>
    <w:rsid w:val="00BA4C94"/>
    <w:rsid w:val="00BE64DC"/>
    <w:rsid w:val="00C0758C"/>
    <w:rsid w:val="00C21F07"/>
    <w:rsid w:val="00C22FAD"/>
    <w:rsid w:val="00C25B0C"/>
    <w:rsid w:val="00C71C62"/>
    <w:rsid w:val="00CD1B30"/>
    <w:rsid w:val="00CE69BC"/>
    <w:rsid w:val="00CF5E2B"/>
    <w:rsid w:val="00CF7B77"/>
    <w:rsid w:val="00D96DAB"/>
    <w:rsid w:val="00DC233A"/>
    <w:rsid w:val="00E15107"/>
    <w:rsid w:val="00E31C82"/>
    <w:rsid w:val="00E333D0"/>
    <w:rsid w:val="00E3458D"/>
    <w:rsid w:val="00E52751"/>
    <w:rsid w:val="00E7289A"/>
    <w:rsid w:val="00E7507B"/>
    <w:rsid w:val="00F32E1D"/>
    <w:rsid w:val="00F54C2C"/>
    <w:rsid w:val="00F618C5"/>
    <w:rsid w:val="00FF6EA0"/>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2CD814"/>
  <w15:chartTrackingRefBased/>
  <w15:docId w15:val="{F56B7725-8F9B-472E-AED7-CC2C3844E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F52B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F52B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F52B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F52B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F52B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F52B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F52B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F52B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F52B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F52B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F52B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F52B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F52B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F52B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F52B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F52B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F52B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F52BB"/>
    <w:rPr>
      <w:rFonts w:eastAsiaTheme="majorEastAsia" w:cstheme="majorBidi"/>
      <w:color w:val="272727" w:themeColor="text1" w:themeTint="D8"/>
    </w:rPr>
  </w:style>
  <w:style w:type="paragraph" w:styleId="Title">
    <w:name w:val="Title"/>
    <w:basedOn w:val="Normal"/>
    <w:next w:val="Normal"/>
    <w:link w:val="TitleChar"/>
    <w:uiPriority w:val="10"/>
    <w:qFormat/>
    <w:rsid w:val="007F52B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F52B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F52B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F52B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F52BB"/>
    <w:pPr>
      <w:spacing w:before="160"/>
      <w:jc w:val="center"/>
    </w:pPr>
    <w:rPr>
      <w:i/>
      <w:iCs/>
      <w:color w:val="404040" w:themeColor="text1" w:themeTint="BF"/>
    </w:rPr>
  </w:style>
  <w:style w:type="character" w:customStyle="1" w:styleId="QuoteChar">
    <w:name w:val="Quote Char"/>
    <w:basedOn w:val="DefaultParagraphFont"/>
    <w:link w:val="Quote"/>
    <w:uiPriority w:val="29"/>
    <w:rsid w:val="007F52BB"/>
    <w:rPr>
      <w:i/>
      <w:iCs/>
      <w:color w:val="404040" w:themeColor="text1" w:themeTint="BF"/>
    </w:rPr>
  </w:style>
  <w:style w:type="paragraph" w:styleId="ListParagraph">
    <w:name w:val="List Paragraph"/>
    <w:basedOn w:val="Normal"/>
    <w:uiPriority w:val="34"/>
    <w:qFormat/>
    <w:rsid w:val="007F52BB"/>
    <w:pPr>
      <w:ind w:left="720"/>
      <w:contextualSpacing/>
    </w:pPr>
  </w:style>
  <w:style w:type="character" w:styleId="IntenseEmphasis">
    <w:name w:val="Intense Emphasis"/>
    <w:basedOn w:val="DefaultParagraphFont"/>
    <w:uiPriority w:val="21"/>
    <w:qFormat/>
    <w:rsid w:val="007F52BB"/>
    <w:rPr>
      <w:i/>
      <w:iCs/>
      <w:color w:val="2F5496" w:themeColor="accent1" w:themeShade="BF"/>
    </w:rPr>
  </w:style>
  <w:style w:type="paragraph" w:styleId="IntenseQuote">
    <w:name w:val="Intense Quote"/>
    <w:basedOn w:val="Normal"/>
    <w:next w:val="Normal"/>
    <w:link w:val="IntenseQuoteChar"/>
    <w:uiPriority w:val="30"/>
    <w:qFormat/>
    <w:rsid w:val="007F52B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F52BB"/>
    <w:rPr>
      <w:i/>
      <w:iCs/>
      <w:color w:val="2F5496" w:themeColor="accent1" w:themeShade="BF"/>
    </w:rPr>
  </w:style>
  <w:style w:type="character" w:styleId="IntenseReference">
    <w:name w:val="Intense Reference"/>
    <w:basedOn w:val="DefaultParagraphFont"/>
    <w:uiPriority w:val="32"/>
    <w:qFormat/>
    <w:rsid w:val="007F52BB"/>
    <w:rPr>
      <w:b/>
      <w:bCs/>
      <w:smallCaps/>
      <w:color w:val="2F5496" w:themeColor="accent1" w:themeShade="BF"/>
      <w:spacing w:val="5"/>
    </w:rPr>
  </w:style>
  <w:style w:type="paragraph" w:styleId="Header">
    <w:name w:val="header"/>
    <w:basedOn w:val="Normal"/>
    <w:link w:val="HeaderChar"/>
    <w:uiPriority w:val="99"/>
    <w:unhideWhenUsed/>
    <w:rsid w:val="007F52B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F52BB"/>
  </w:style>
  <w:style w:type="paragraph" w:styleId="Footer">
    <w:name w:val="footer"/>
    <w:basedOn w:val="Normal"/>
    <w:link w:val="FooterChar"/>
    <w:uiPriority w:val="99"/>
    <w:unhideWhenUsed/>
    <w:rsid w:val="007F52B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F52BB"/>
  </w:style>
  <w:style w:type="paragraph" w:styleId="FootnoteText">
    <w:name w:val="footnote text"/>
    <w:basedOn w:val="Normal"/>
    <w:link w:val="FootnoteTextChar"/>
    <w:uiPriority w:val="99"/>
    <w:semiHidden/>
    <w:unhideWhenUsed/>
    <w:rsid w:val="009F146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1464"/>
    <w:rPr>
      <w:sz w:val="20"/>
      <w:szCs w:val="20"/>
    </w:rPr>
  </w:style>
  <w:style w:type="character" w:styleId="FootnoteReference">
    <w:name w:val="footnote reference"/>
    <w:basedOn w:val="DefaultParagraphFont"/>
    <w:uiPriority w:val="99"/>
    <w:semiHidden/>
    <w:unhideWhenUsed/>
    <w:rsid w:val="009F1464"/>
    <w:rPr>
      <w:vertAlign w:val="superscript"/>
    </w:rPr>
  </w:style>
  <w:style w:type="character" w:styleId="Hyperlink">
    <w:name w:val="Hyperlink"/>
    <w:basedOn w:val="DefaultParagraphFont"/>
    <w:uiPriority w:val="99"/>
    <w:unhideWhenUsed/>
    <w:rsid w:val="00F32E1D"/>
    <w:rPr>
      <w:color w:val="0563C1" w:themeColor="hyperlink"/>
      <w:u w:val="single"/>
    </w:rPr>
  </w:style>
  <w:style w:type="character" w:styleId="UnresolvedMention">
    <w:name w:val="Unresolved Mention"/>
    <w:basedOn w:val="DefaultParagraphFont"/>
    <w:uiPriority w:val="99"/>
    <w:semiHidden/>
    <w:unhideWhenUsed/>
    <w:rsid w:val="00F32E1D"/>
    <w:rPr>
      <w:color w:val="605E5C"/>
      <w:shd w:val="clear" w:color="auto" w:fill="E1DFDD"/>
    </w:rPr>
  </w:style>
  <w:style w:type="paragraph" w:styleId="Revision">
    <w:name w:val="Revision"/>
    <w:hidden/>
    <w:uiPriority w:val="99"/>
    <w:semiHidden/>
    <w:rsid w:val="00E333D0"/>
    <w:pPr>
      <w:spacing w:after="0" w:line="240" w:lineRule="auto"/>
    </w:pPr>
  </w:style>
  <w:style w:type="character" w:styleId="CommentReference">
    <w:name w:val="annotation reference"/>
    <w:basedOn w:val="DefaultParagraphFont"/>
    <w:uiPriority w:val="99"/>
    <w:semiHidden/>
    <w:unhideWhenUsed/>
    <w:rsid w:val="00C71C62"/>
    <w:rPr>
      <w:sz w:val="16"/>
      <w:szCs w:val="16"/>
    </w:rPr>
  </w:style>
  <w:style w:type="paragraph" w:styleId="CommentText">
    <w:name w:val="annotation text"/>
    <w:basedOn w:val="Normal"/>
    <w:link w:val="CommentTextChar"/>
    <w:uiPriority w:val="99"/>
    <w:semiHidden/>
    <w:unhideWhenUsed/>
    <w:rsid w:val="00C71C62"/>
    <w:pPr>
      <w:spacing w:line="240" w:lineRule="auto"/>
    </w:pPr>
    <w:rPr>
      <w:sz w:val="20"/>
      <w:szCs w:val="20"/>
    </w:rPr>
  </w:style>
  <w:style w:type="character" w:customStyle="1" w:styleId="CommentTextChar">
    <w:name w:val="Comment Text Char"/>
    <w:basedOn w:val="DefaultParagraphFont"/>
    <w:link w:val="CommentText"/>
    <w:uiPriority w:val="99"/>
    <w:semiHidden/>
    <w:rsid w:val="00C71C62"/>
    <w:rPr>
      <w:sz w:val="20"/>
      <w:szCs w:val="20"/>
    </w:rPr>
  </w:style>
  <w:style w:type="paragraph" w:styleId="CommentSubject">
    <w:name w:val="annotation subject"/>
    <w:basedOn w:val="CommentText"/>
    <w:next w:val="CommentText"/>
    <w:link w:val="CommentSubjectChar"/>
    <w:uiPriority w:val="99"/>
    <w:semiHidden/>
    <w:unhideWhenUsed/>
    <w:rsid w:val="00C71C62"/>
    <w:rPr>
      <w:b/>
      <w:bCs/>
    </w:rPr>
  </w:style>
  <w:style w:type="character" w:customStyle="1" w:styleId="CommentSubjectChar">
    <w:name w:val="Comment Subject Char"/>
    <w:basedOn w:val="CommentTextChar"/>
    <w:link w:val="CommentSubject"/>
    <w:uiPriority w:val="99"/>
    <w:semiHidden/>
    <w:rsid w:val="00C71C62"/>
    <w:rPr>
      <w:b/>
      <w:bCs/>
      <w:sz w:val="20"/>
      <w:szCs w:val="20"/>
    </w:rPr>
  </w:style>
  <w:style w:type="table" w:styleId="TableGrid">
    <w:name w:val="Table Grid"/>
    <w:basedOn w:val="TableNormal"/>
    <w:uiPriority w:val="59"/>
    <w:rsid w:val="00A72AB1"/>
    <w:pPr>
      <w:spacing w:after="0" w:line="240" w:lineRule="auto"/>
    </w:pPr>
    <w:rPr>
      <w:rFonts w:ascii="Arial" w:eastAsia="Arial" w:hAnsi="Arial" w:cs="Arial"/>
      <w:kern w:val="0"/>
      <w:sz w:val="22"/>
      <w:szCs w:val="22"/>
      <w:lang w:val="en-GB" w:eastAsia="ja-JP"/>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72AB1"/>
    <w:pPr>
      <w:spacing w:before="100" w:beforeAutospacing="1" w:after="100" w:afterAutospacing="1" w:line="240" w:lineRule="auto"/>
    </w:pPr>
    <w:rPr>
      <w:rFonts w:ascii="Times New Roman" w:eastAsia="Times New Roman" w:hAnsi="Times New Roman" w:cs="Times New Roman"/>
      <w:kern w:val="0"/>
      <w:lang w:val="en-GB" w:eastAsia="en-GB" w:bidi="th-TH"/>
      <w14:ligatures w14:val="none"/>
    </w:rPr>
  </w:style>
  <w:style w:type="character" w:styleId="PageNumber">
    <w:name w:val="page number"/>
    <w:basedOn w:val="DefaultParagraphFont"/>
    <w:uiPriority w:val="99"/>
    <w:semiHidden/>
    <w:unhideWhenUsed/>
    <w:rsid w:val="00553665"/>
  </w:style>
  <w:style w:type="character" w:styleId="FollowedHyperlink">
    <w:name w:val="FollowedHyperlink"/>
    <w:basedOn w:val="DefaultParagraphFont"/>
    <w:uiPriority w:val="99"/>
    <w:semiHidden/>
    <w:unhideWhenUsed/>
    <w:rsid w:val="00E3458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contact@awampk.or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wampk.or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lenn.payot@minorityrights.org"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minorityrights.org/"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C66FDB-9198-4EE5-8D54-FBCE0CA3E6CB}">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Normal</Template>
  <TotalTime>2</TotalTime>
  <Pages>7</Pages>
  <Words>1761</Words>
  <Characters>11541</Characters>
  <Application>Microsoft Office Word</Application>
  <DocSecurity>0</DocSecurity>
  <Lines>221</Lines>
  <Paragraphs>95</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13207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ACER</dc:creator>
  <cp:keywords/>
  <dc:description/>
  <cp:lastModifiedBy>Isabelle Fleche</cp:lastModifiedBy>
  <cp:revision>2</cp:revision>
  <dcterms:created xsi:type="dcterms:W3CDTF">2026-01-07T10:15:00Z</dcterms:created>
  <dcterms:modified xsi:type="dcterms:W3CDTF">2026-01-07T10:15:00Z</dcterms:modified>
</cp:coreProperties>
</file>