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3D0EA" w14:textId="77777777" w:rsidR="00AB5275" w:rsidRPr="005747B6" w:rsidRDefault="00AB5275" w:rsidP="0035596A">
      <w:pPr>
        <w:pStyle w:val="NormalWeb"/>
        <w:spacing w:before="240" w:beforeAutospacing="0" w:after="240" w:afterAutospacing="0"/>
        <w:jc w:val="both"/>
        <w:rPr>
          <w:rFonts w:ascii="Garamond" w:hAnsi="Garamond" w:cs="Arial"/>
          <w:color w:val="000000"/>
          <w:lang w:val="es-ES"/>
        </w:rPr>
      </w:pPr>
    </w:p>
    <w:p w14:paraId="09B8BA19" w14:textId="77777777" w:rsidR="00AB5275" w:rsidRPr="005747B6" w:rsidRDefault="00AB5275" w:rsidP="0035596A">
      <w:pPr>
        <w:pStyle w:val="NormalWeb"/>
        <w:spacing w:before="240" w:beforeAutospacing="0" w:after="240" w:afterAutospacing="0"/>
        <w:jc w:val="both"/>
        <w:rPr>
          <w:rFonts w:ascii="Garamond" w:hAnsi="Garamond" w:cs="Arial"/>
          <w:color w:val="000000"/>
          <w:lang w:val="es-ES"/>
        </w:rPr>
      </w:pPr>
    </w:p>
    <w:p w14:paraId="28138E44" w14:textId="77777777" w:rsidR="00AB5275" w:rsidRPr="005747B6" w:rsidRDefault="00AB5275" w:rsidP="0035596A">
      <w:pPr>
        <w:pStyle w:val="NormalWeb"/>
        <w:spacing w:before="240" w:beforeAutospacing="0" w:after="240" w:afterAutospacing="0"/>
        <w:jc w:val="both"/>
        <w:rPr>
          <w:rFonts w:ascii="Garamond" w:hAnsi="Garamond" w:cs="Arial"/>
          <w:color w:val="000000"/>
          <w:lang w:val="es-ES"/>
        </w:rPr>
      </w:pPr>
    </w:p>
    <w:p w14:paraId="687EBC8B" w14:textId="77777777" w:rsidR="00344693" w:rsidRPr="005747B6" w:rsidRDefault="00344693" w:rsidP="00344693">
      <w:pPr>
        <w:pStyle w:val="Default"/>
        <w:rPr>
          <w:rFonts w:ascii="Garamond" w:hAnsi="Garamond"/>
        </w:rPr>
      </w:pPr>
    </w:p>
    <w:p w14:paraId="321980A0" w14:textId="146D39C4" w:rsidR="00AB5275" w:rsidRDefault="009449B9" w:rsidP="00344693">
      <w:pPr>
        <w:pStyle w:val="NormalWeb"/>
        <w:spacing w:before="240" w:beforeAutospacing="0" w:after="240" w:afterAutospacing="0"/>
        <w:ind w:left="360"/>
        <w:jc w:val="center"/>
        <w:rPr>
          <w:rFonts w:ascii="Garamond" w:hAnsi="Garamond"/>
          <w:b/>
          <w:bCs/>
          <w:lang w:val="es-ES"/>
        </w:rPr>
      </w:pPr>
      <w:r w:rsidRPr="009449B9">
        <w:rPr>
          <w:rFonts w:ascii="Garamond" w:hAnsi="Garamond"/>
          <w:b/>
          <w:bCs/>
          <w:lang w:val="es-ES"/>
        </w:rPr>
        <w:t>Informe de Sociedad Civil – Quinto Examen de</w:t>
      </w:r>
      <w:r w:rsidR="00344693" w:rsidRPr="009449B9">
        <w:rPr>
          <w:rFonts w:ascii="Garamond" w:hAnsi="Garamond"/>
          <w:b/>
          <w:bCs/>
          <w:lang w:val="es-ES"/>
        </w:rPr>
        <w:t xml:space="preserve"> Venezuela en el marco de la Sesión </w:t>
      </w:r>
      <w:r w:rsidR="00F22042">
        <w:rPr>
          <w:rFonts w:ascii="Garamond" w:hAnsi="Garamond"/>
          <w:b/>
          <w:bCs/>
          <w:lang w:val="es-ES"/>
        </w:rPr>
        <w:t>139</w:t>
      </w:r>
      <w:r w:rsidR="00344693" w:rsidRPr="009449B9">
        <w:rPr>
          <w:rFonts w:ascii="Garamond" w:hAnsi="Garamond"/>
          <w:b/>
          <w:bCs/>
          <w:lang w:val="es-ES"/>
        </w:rPr>
        <w:t>° del Comité de Derechos Humanos</w:t>
      </w:r>
    </w:p>
    <w:p w14:paraId="1A5195E0" w14:textId="77777777" w:rsidR="009449B9" w:rsidRPr="005747B6" w:rsidRDefault="009449B9" w:rsidP="00344693">
      <w:pPr>
        <w:pStyle w:val="NormalWeb"/>
        <w:spacing w:before="240" w:beforeAutospacing="0" w:after="240" w:afterAutospacing="0"/>
        <w:ind w:left="360"/>
        <w:jc w:val="center"/>
        <w:rPr>
          <w:rFonts w:ascii="Garamond" w:hAnsi="Garamond"/>
          <w:b/>
          <w:bCs/>
          <w:lang w:val="es-ES"/>
        </w:rPr>
      </w:pPr>
    </w:p>
    <w:p w14:paraId="06FA8401" w14:textId="2DF4BA3B" w:rsidR="00344693" w:rsidRPr="005747B6" w:rsidRDefault="00344693" w:rsidP="00344693">
      <w:pPr>
        <w:pStyle w:val="NormalWeb"/>
        <w:spacing w:before="240" w:beforeAutospacing="0" w:after="240" w:afterAutospacing="0"/>
        <w:ind w:left="360"/>
        <w:jc w:val="center"/>
        <w:rPr>
          <w:rFonts w:ascii="Garamond" w:hAnsi="Garamond"/>
          <w:b/>
          <w:bCs/>
          <w:lang w:val="es-MX"/>
        </w:rPr>
      </w:pPr>
      <w:r w:rsidRPr="005747B6">
        <w:rPr>
          <w:rFonts w:ascii="Garamond" w:hAnsi="Garamond"/>
          <w:b/>
          <w:bCs/>
          <w:lang w:val="es-MX"/>
        </w:rPr>
        <w:t>SITUACIÓN DEL SISTEMA DE JUSTICIA Y EL DERECHO AL DEBIDO PROCESO EN VENEZUELA</w:t>
      </w:r>
    </w:p>
    <w:p w14:paraId="37E5E947" w14:textId="77777777" w:rsidR="00344693" w:rsidRPr="005747B6" w:rsidRDefault="00344693" w:rsidP="00344693">
      <w:pPr>
        <w:pStyle w:val="NormalWeb"/>
        <w:spacing w:before="240" w:beforeAutospacing="0" w:after="240" w:afterAutospacing="0"/>
        <w:jc w:val="center"/>
        <w:rPr>
          <w:rFonts w:ascii="Garamond" w:hAnsi="Garamond"/>
          <w:b/>
          <w:bCs/>
          <w:lang w:val="es-MX"/>
        </w:rPr>
      </w:pPr>
    </w:p>
    <w:p w14:paraId="64630DF0" w14:textId="77777777" w:rsidR="00344693" w:rsidRPr="005747B6" w:rsidRDefault="00344693" w:rsidP="00344693">
      <w:pPr>
        <w:pStyle w:val="NormalWeb"/>
        <w:spacing w:before="240" w:beforeAutospacing="0" w:after="240" w:afterAutospacing="0"/>
        <w:jc w:val="center"/>
        <w:rPr>
          <w:rFonts w:ascii="Garamond" w:hAnsi="Garamond"/>
          <w:b/>
          <w:bCs/>
          <w:lang w:val="es-MX"/>
        </w:rPr>
      </w:pPr>
    </w:p>
    <w:p w14:paraId="5F1068BA" w14:textId="77777777" w:rsidR="00344693" w:rsidRPr="005747B6" w:rsidRDefault="00344693" w:rsidP="00344693">
      <w:pPr>
        <w:pStyle w:val="NormalWeb"/>
        <w:spacing w:before="240" w:beforeAutospacing="0" w:after="240" w:afterAutospacing="0"/>
        <w:ind w:left="360"/>
        <w:jc w:val="center"/>
        <w:rPr>
          <w:rFonts w:ascii="Garamond" w:hAnsi="Garamond"/>
          <w:b/>
          <w:bCs/>
          <w:lang w:val="es-MX"/>
        </w:rPr>
      </w:pPr>
      <w:r w:rsidRPr="005747B6">
        <w:rPr>
          <w:rFonts w:ascii="Garamond" w:hAnsi="Garamond"/>
          <w:b/>
          <w:bCs/>
          <w:lang w:val="es-MX"/>
        </w:rPr>
        <w:t>Septiembre 2023</w:t>
      </w:r>
    </w:p>
    <w:p w14:paraId="648F0DC7" w14:textId="77777777" w:rsidR="00344693" w:rsidRPr="005747B6" w:rsidRDefault="00344693" w:rsidP="00344693">
      <w:pPr>
        <w:pStyle w:val="NormalWeb"/>
        <w:spacing w:before="240" w:beforeAutospacing="0" w:after="240" w:afterAutospacing="0"/>
        <w:jc w:val="center"/>
        <w:rPr>
          <w:rFonts w:ascii="Garamond" w:hAnsi="Garamond" w:cs="Arial"/>
          <w:color w:val="000000"/>
          <w:lang w:val="es-ES"/>
        </w:rPr>
      </w:pPr>
    </w:p>
    <w:p w14:paraId="15C95AAB" w14:textId="77777777" w:rsidR="00AB5275" w:rsidRPr="005747B6" w:rsidRDefault="00AB5275" w:rsidP="0035596A">
      <w:pPr>
        <w:pStyle w:val="NormalWeb"/>
        <w:spacing w:before="240" w:beforeAutospacing="0" w:after="240" w:afterAutospacing="0"/>
        <w:jc w:val="both"/>
        <w:rPr>
          <w:rFonts w:ascii="Garamond" w:hAnsi="Garamond" w:cs="Arial"/>
          <w:color w:val="000000"/>
          <w:lang w:val="es-ES"/>
        </w:rPr>
      </w:pPr>
    </w:p>
    <w:p w14:paraId="11A387FB" w14:textId="77777777" w:rsidR="00AB5275" w:rsidRPr="005747B6" w:rsidRDefault="00AB5275" w:rsidP="0035596A">
      <w:pPr>
        <w:pStyle w:val="NormalWeb"/>
        <w:spacing w:before="240" w:beforeAutospacing="0" w:after="240" w:afterAutospacing="0"/>
        <w:jc w:val="both"/>
        <w:rPr>
          <w:rFonts w:ascii="Garamond" w:hAnsi="Garamond" w:cs="Arial"/>
          <w:color w:val="000000"/>
          <w:lang w:val="es-ES"/>
        </w:rPr>
      </w:pPr>
    </w:p>
    <w:p w14:paraId="4203EC91" w14:textId="77777777" w:rsidR="00AB5275" w:rsidRPr="005747B6" w:rsidRDefault="00AB5275" w:rsidP="0035596A">
      <w:pPr>
        <w:pStyle w:val="NormalWeb"/>
        <w:spacing w:before="240" w:beforeAutospacing="0" w:after="240" w:afterAutospacing="0"/>
        <w:jc w:val="both"/>
        <w:rPr>
          <w:rFonts w:ascii="Garamond" w:hAnsi="Garamond" w:cs="Arial"/>
          <w:color w:val="000000"/>
          <w:lang w:val="es-ES"/>
        </w:rPr>
      </w:pPr>
    </w:p>
    <w:p w14:paraId="659439A9" w14:textId="77777777" w:rsidR="00AB5275" w:rsidRPr="005747B6" w:rsidRDefault="00AB5275" w:rsidP="0035596A">
      <w:pPr>
        <w:pStyle w:val="NormalWeb"/>
        <w:spacing w:before="240" w:beforeAutospacing="0" w:after="240" w:afterAutospacing="0"/>
        <w:jc w:val="both"/>
        <w:rPr>
          <w:rFonts w:ascii="Garamond" w:hAnsi="Garamond" w:cs="Arial"/>
          <w:color w:val="000000"/>
          <w:lang w:val="es-ES"/>
        </w:rPr>
      </w:pPr>
    </w:p>
    <w:p w14:paraId="5ADE1509" w14:textId="77777777" w:rsidR="00AB5275" w:rsidRPr="005747B6" w:rsidRDefault="00AB5275" w:rsidP="0035596A">
      <w:pPr>
        <w:pStyle w:val="NormalWeb"/>
        <w:spacing w:before="240" w:beforeAutospacing="0" w:after="240" w:afterAutospacing="0"/>
        <w:jc w:val="both"/>
        <w:rPr>
          <w:rFonts w:ascii="Garamond" w:hAnsi="Garamond" w:cs="Arial"/>
          <w:color w:val="000000"/>
          <w:lang w:val="es-ES"/>
        </w:rPr>
      </w:pPr>
    </w:p>
    <w:p w14:paraId="03C21DD1" w14:textId="77777777" w:rsidR="00AB5275" w:rsidRPr="005747B6" w:rsidRDefault="00AB5275" w:rsidP="0035596A">
      <w:pPr>
        <w:pStyle w:val="NormalWeb"/>
        <w:spacing w:before="240" w:beforeAutospacing="0" w:after="240" w:afterAutospacing="0"/>
        <w:jc w:val="both"/>
        <w:rPr>
          <w:rFonts w:ascii="Garamond" w:hAnsi="Garamond" w:cs="Arial"/>
          <w:color w:val="000000"/>
          <w:lang w:val="es-ES"/>
        </w:rPr>
      </w:pPr>
    </w:p>
    <w:p w14:paraId="680BBE33" w14:textId="77777777" w:rsidR="00AB5275" w:rsidRPr="005747B6" w:rsidRDefault="00AB5275" w:rsidP="0035596A">
      <w:pPr>
        <w:pStyle w:val="NormalWeb"/>
        <w:spacing w:before="240" w:beforeAutospacing="0" w:after="240" w:afterAutospacing="0"/>
        <w:jc w:val="both"/>
        <w:rPr>
          <w:rFonts w:ascii="Garamond" w:hAnsi="Garamond" w:cs="Arial"/>
          <w:color w:val="000000"/>
          <w:lang w:val="es-ES"/>
        </w:rPr>
      </w:pPr>
    </w:p>
    <w:p w14:paraId="1FE64076" w14:textId="77777777" w:rsidR="00AB5275" w:rsidRPr="005747B6" w:rsidRDefault="00AB5275" w:rsidP="0035596A">
      <w:pPr>
        <w:pStyle w:val="NormalWeb"/>
        <w:spacing w:before="240" w:beforeAutospacing="0" w:after="240" w:afterAutospacing="0"/>
        <w:jc w:val="both"/>
        <w:rPr>
          <w:rFonts w:ascii="Garamond" w:hAnsi="Garamond" w:cs="Arial"/>
          <w:color w:val="000000"/>
          <w:lang w:val="es-ES"/>
        </w:rPr>
      </w:pPr>
    </w:p>
    <w:p w14:paraId="1D6B16D3" w14:textId="77777777" w:rsidR="00AB5275" w:rsidRPr="005747B6" w:rsidRDefault="00AB5275" w:rsidP="0035596A">
      <w:pPr>
        <w:pStyle w:val="NormalWeb"/>
        <w:spacing w:before="240" w:beforeAutospacing="0" w:after="240" w:afterAutospacing="0"/>
        <w:jc w:val="both"/>
        <w:rPr>
          <w:rFonts w:ascii="Garamond" w:hAnsi="Garamond" w:cs="Arial"/>
          <w:color w:val="000000"/>
          <w:lang w:val="es-ES"/>
        </w:rPr>
      </w:pPr>
    </w:p>
    <w:p w14:paraId="63333D72" w14:textId="2645DBA0" w:rsidR="00AB5275" w:rsidRPr="005747B6" w:rsidRDefault="00012083" w:rsidP="0035596A">
      <w:pPr>
        <w:pStyle w:val="NormalWeb"/>
        <w:spacing w:before="240" w:beforeAutospacing="0" w:after="240" w:afterAutospacing="0"/>
        <w:jc w:val="both"/>
        <w:rPr>
          <w:rFonts w:ascii="Garamond" w:hAnsi="Garamond" w:cs="Arial"/>
          <w:color w:val="000000"/>
          <w:lang w:val="es-ES"/>
        </w:rPr>
      </w:pPr>
      <w:r>
        <w:rPr>
          <w:noProof/>
        </w:rPr>
        <w:drawing>
          <wp:inline distT="0" distB="0" distL="0" distR="0" wp14:anchorId="4A43971F" wp14:editId="25AF3B89">
            <wp:extent cx="416357" cy="496171"/>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9554" cy="523815"/>
                    </a:xfrm>
                    <a:prstGeom prst="rect">
                      <a:avLst/>
                    </a:prstGeom>
                  </pic:spPr>
                </pic:pic>
              </a:graphicData>
            </a:graphic>
          </wp:inline>
        </w:drawing>
      </w:r>
      <w:r w:rsidR="009C1A08">
        <w:rPr>
          <w:rFonts w:ascii="Garamond" w:hAnsi="Garamond" w:cs="Arial"/>
          <w:color w:val="000000"/>
          <w:lang w:val="es-ES"/>
        </w:rPr>
        <w:t xml:space="preserve"> </w:t>
      </w:r>
      <w:r w:rsidR="009C1A08">
        <w:rPr>
          <w:noProof/>
        </w:rPr>
        <w:drawing>
          <wp:inline distT="0" distB="0" distL="0" distR="0" wp14:anchorId="7E6CD9FF" wp14:editId="708B8226">
            <wp:extent cx="768333" cy="470535"/>
            <wp:effectExtent l="0" t="0" r="0" b="571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9508" cy="495751"/>
                    </a:xfrm>
                    <a:prstGeom prst="rect">
                      <a:avLst/>
                    </a:prstGeom>
                  </pic:spPr>
                </pic:pic>
              </a:graphicData>
            </a:graphic>
          </wp:inline>
        </w:drawing>
      </w:r>
      <w:r>
        <w:rPr>
          <w:rFonts w:ascii="Garamond" w:hAnsi="Garamond" w:cs="Arial"/>
          <w:color w:val="000000"/>
          <w:lang w:val="es-ES"/>
        </w:rPr>
        <w:t xml:space="preserve"> </w:t>
      </w:r>
      <w:r w:rsidR="00F6525A">
        <w:rPr>
          <w:noProof/>
        </w:rPr>
        <w:drawing>
          <wp:inline distT="0" distB="0" distL="0" distR="0" wp14:anchorId="14052095" wp14:editId="23BFAE33">
            <wp:extent cx="648754" cy="451380"/>
            <wp:effectExtent l="0" t="0" r="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8630" cy="479125"/>
                    </a:xfrm>
                    <a:prstGeom prst="rect">
                      <a:avLst/>
                    </a:prstGeom>
                  </pic:spPr>
                </pic:pic>
              </a:graphicData>
            </a:graphic>
          </wp:inline>
        </w:drawing>
      </w:r>
      <w:r>
        <w:rPr>
          <w:rFonts w:ascii="Garamond" w:hAnsi="Garamond" w:cs="Arial"/>
          <w:color w:val="000000"/>
          <w:lang w:val="es-ES"/>
        </w:rPr>
        <w:t xml:space="preserve"> </w:t>
      </w:r>
      <w:r>
        <w:rPr>
          <w:noProof/>
        </w:rPr>
        <w:drawing>
          <wp:inline distT="0" distB="0" distL="0" distR="0" wp14:anchorId="1A636C9A" wp14:editId="734A225D">
            <wp:extent cx="589346" cy="465827"/>
            <wp:effectExtent l="0" t="0" r="0" b="444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 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411" cy="484058"/>
                    </a:xfrm>
                    <a:prstGeom prst="rect">
                      <a:avLst/>
                    </a:prstGeom>
                  </pic:spPr>
                </pic:pic>
              </a:graphicData>
            </a:graphic>
          </wp:inline>
        </w:drawing>
      </w:r>
      <w:r>
        <w:rPr>
          <w:rFonts w:ascii="Garamond" w:hAnsi="Garamond" w:cs="Arial"/>
          <w:color w:val="000000"/>
          <w:lang w:val="es-ES"/>
        </w:rPr>
        <w:t xml:space="preserve"> </w:t>
      </w:r>
      <w:r>
        <w:rPr>
          <w:noProof/>
        </w:rPr>
        <w:drawing>
          <wp:inline distT="0" distB="0" distL="0" distR="0" wp14:anchorId="265DC1D2" wp14:editId="051D04EB">
            <wp:extent cx="556260" cy="556260"/>
            <wp:effectExtent l="0" t="0" r="0" b="0"/>
            <wp:docPr id="1112794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79419" name=""/>
                    <pic:cNvPicPr/>
                  </pic:nvPicPr>
                  <pic:blipFill>
                    <a:blip r:embed="rId12"/>
                    <a:stretch>
                      <a:fillRect/>
                    </a:stretch>
                  </pic:blipFill>
                  <pic:spPr>
                    <a:xfrm>
                      <a:off x="0" y="0"/>
                      <a:ext cx="556260" cy="556260"/>
                    </a:xfrm>
                    <a:prstGeom prst="rect">
                      <a:avLst/>
                    </a:prstGeom>
                  </pic:spPr>
                </pic:pic>
              </a:graphicData>
            </a:graphic>
          </wp:inline>
        </w:drawing>
      </w:r>
      <w:r w:rsidR="009C1A08">
        <w:rPr>
          <w:noProof/>
        </w:rPr>
        <w:drawing>
          <wp:inline distT="0" distB="0" distL="0" distR="0" wp14:anchorId="54BFD7F7" wp14:editId="5FA723BD">
            <wp:extent cx="787202" cy="45085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51525" cy="487689"/>
                    </a:xfrm>
                    <a:prstGeom prst="rect">
                      <a:avLst/>
                    </a:prstGeom>
                  </pic:spPr>
                </pic:pic>
              </a:graphicData>
            </a:graphic>
          </wp:inline>
        </w:drawing>
      </w:r>
      <w:r w:rsidR="00E177F8" w:rsidRPr="00595FC7">
        <w:rPr>
          <w:noProof/>
          <w:lang w:val="es-ES"/>
        </w:rPr>
        <w:t xml:space="preserve"> </w:t>
      </w:r>
      <w:r w:rsidR="00E177F8">
        <w:rPr>
          <w:noProof/>
        </w:rPr>
        <w:drawing>
          <wp:inline distT="0" distB="0" distL="0" distR="0" wp14:anchorId="36720970" wp14:editId="09463C6C">
            <wp:extent cx="603885" cy="603885"/>
            <wp:effectExtent l="0" t="0" r="5715" b="5715"/>
            <wp:docPr id="304053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053608" name=""/>
                    <pic:cNvPicPr/>
                  </pic:nvPicPr>
                  <pic:blipFill>
                    <a:blip r:embed="rId14"/>
                    <a:stretch>
                      <a:fillRect/>
                    </a:stretch>
                  </pic:blipFill>
                  <pic:spPr>
                    <a:xfrm>
                      <a:off x="0" y="0"/>
                      <a:ext cx="603885" cy="603885"/>
                    </a:xfrm>
                    <a:prstGeom prst="rect">
                      <a:avLst/>
                    </a:prstGeom>
                  </pic:spPr>
                </pic:pic>
              </a:graphicData>
            </a:graphic>
          </wp:inline>
        </w:drawing>
      </w:r>
      <w:r w:rsidR="00E177F8" w:rsidRPr="00595FC7">
        <w:rPr>
          <w:noProof/>
          <w:lang w:val="es-ES"/>
        </w:rPr>
        <w:t xml:space="preserve"> </w:t>
      </w:r>
      <w:r w:rsidR="00E177F8">
        <w:rPr>
          <w:noProof/>
        </w:rPr>
        <w:drawing>
          <wp:inline distT="0" distB="0" distL="0" distR="0" wp14:anchorId="79F68F1C" wp14:editId="789C5608">
            <wp:extent cx="678269" cy="469809"/>
            <wp:effectExtent l="0" t="0" r="7620" b="698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17280" cy="496830"/>
                    </a:xfrm>
                    <a:prstGeom prst="rect">
                      <a:avLst/>
                    </a:prstGeom>
                  </pic:spPr>
                </pic:pic>
              </a:graphicData>
            </a:graphic>
          </wp:inline>
        </w:drawing>
      </w:r>
      <w:r>
        <w:rPr>
          <w:noProof/>
        </w:rPr>
        <w:drawing>
          <wp:inline distT="0" distB="0" distL="0" distR="0" wp14:anchorId="6F07E111" wp14:editId="6B368593">
            <wp:extent cx="1160397" cy="384810"/>
            <wp:effectExtent l="0" t="0" r="190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5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35519" cy="409722"/>
                    </a:xfrm>
                    <a:prstGeom prst="rect">
                      <a:avLst/>
                    </a:prstGeom>
                  </pic:spPr>
                </pic:pic>
              </a:graphicData>
            </a:graphic>
          </wp:inline>
        </w:drawing>
      </w:r>
    </w:p>
    <w:p w14:paraId="1EF62E7E" w14:textId="7D902892" w:rsidR="00F22042" w:rsidRDefault="00F22042" w:rsidP="0025420B">
      <w:pPr>
        <w:pStyle w:val="NormalWeb"/>
        <w:spacing w:before="240" w:beforeAutospacing="0" w:after="240" w:afterAutospacing="0"/>
        <w:jc w:val="both"/>
        <w:rPr>
          <w:rFonts w:ascii="Garamond" w:hAnsi="Garamond" w:cs="Arial"/>
          <w:color w:val="000000"/>
          <w:highlight w:val="yellow"/>
          <w:lang w:val="es-ES"/>
        </w:rPr>
      </w:pPr>
      <w:r>
        <w:rPr>
          <w:rFonts w:ascii="Garamond" w:hAnsi="Garamond" w:cs="Arial"/>
          <w:color w:val="000000"/>
          <w:lang w:val="es-ES"/>
        </w:rPr>
        <w:lastRenderedPageBreak/>
        <w:t xml:space="preserve">En </w:t>
      </w:r>
      <w:r w:rsidR="0035596A" w:rsidRPr="009449B9">
        <w:rPr>
          <w:rFonts w:ascii="Garamond" w:hAnsi="Garamond" w:cs="Arial"/>
          <w:color w:val="000000"/>
          <w:lang w:val="es-ES"/>
        </w:rPr>
        <w:t xml:space="preserve">el marco de la </w:t>
      </w:r>
      <w:r w:rsidR="0035596A" w:rsidRPr="009449B9">
        <w:rPr>
          <w:rFonts w:ascii="Garamond" w:eastAsiaTheme="minorEastAsia" w:hAnsi="Garamond"/>
          <w:b/>
          <w:bCs/>
          <w:lang w:val="es-MX"/>
        </w:rPr>
        <w:t xml:space="preserve">Quinta Revisión de Venezuela del Pacto Internacional de Derechos Civiles y Políticos </w:t>
      </w:r>
      <w:r w:rsidR="005251CF" w:rsidRPr="009449B9">
        <w:rPr>
          <w:rFonts w:ascii="Garamond" w:hAnsi="Garamond"/>
          <w:lang w:val="es-ES"/>
        </w:rPr>
        <w:t xml:space="preserve">(en lo sucesivo, “el Pacto” o el “PIDCP”) </w:t>
      </w:r>
      <w:r w:rsidR="0035596A" w:rsidRPr="009449B9">
        <w:rPr>
          <w:rFonts w:ascii="Garamond" w:eastAsiaTheme="minorEastAsia" w:hAnsi="Garamond"/>
          <w:b/>
          <w:bCs/>
          <w:lang w:val="es-MX"/>
        </w:rPr>
        <w:t>en la Sesión 1</w:t>
      </w:r>
      <w:r w:rsidR="00A73F40" w:rsidRPr="009449B9">
        <w:rPr>
          <w:rFonts w:ascii="Garamond" w:eastAsiaTheme="minorEastAsia" w:hAnsi="Garamond"/>
          <w:b/>
          <w:bCs/>
          <w:lang w:val="es-MX"/>
        </w:rPr>
        <w:t>3</w:t>
      </w:r>
      <w:r>
        <w:rPr>
          <w:rFonts w:ascii="Garamond" w:eastAsiaTheme="minorEastAsia" w:hAnsi="Garamond"/>
          <w:b/>
          <w:bCs/>
          <w:lang w:val="es-MX"/>
        </w:rPr>
        <w:t>9</w:t>
      </w:r>
      <w:r w:rsidR="0035596A" w:rsidRPr="009449B9">
        <w:rPr>
          <w:rFonts w:ascii="Garamond" w:eastAsiaTheme="minorEastAsia" w:hAnsi="Garamond"/>
          <w:b/>
          <w:bCs/>
          <w:lang w:val="es-MX"/>
        </w:rPr>
        <w:t>° del Comité de Derechos Humanos</w:t>
      </w:r>
      <w:r w:rsidR="00212A41" w:rsidRPr="009449B9">
        <w:rPr>
          <w:rFonts w:ascii="Garamond" w:eastAsiaTheme="minorEastAsia" w:hAnsi="Garamond"/>
          <w:b/>
          <w:bCs/>
          <w:lang w:val="es-MX"/>
        </w:rPr>
        <w:t xml:space="preserve"> </w:t>
      </w:r>
      <w:r w:rsidR="00212A41" w:rsidRPr="009449B9">
        <w:rPr>
          <w:rFonts w:ascii="Garamond" w:eastAsiaTheme="minorEastAsia" w:hAnsi="Garamond"/>
          <w:lang w:val="es-MX"/>
        </w:rPr>
        <w:t>(en lo sucesivo, el “Comité”)</w:t>
      </w:r>
      <w:r w:rsidR="0035596A" w:rsidRPr="009449B9">
        <w:rPr>
          <w:rFonts w:ascii="Garamond" w:hAnsi="Garamond" w:cs="Arial"/>
          <w:color w:val="000000"/>
          <w:lang w:val="es-ES"/>
        </w:rPr>
        <w:t xml:space="preserve">, </w:t>
      </w:r>
      <w:r>
        <w:rPr>
          <w:rFonts w:ascii="Garamond" w:hAnsi="Garamond" w:cs="Arial"/>
          <w:color w:val="000000"/>
          <w:lang w:val="es-ES"/>
        </w:rPr>
        <w:t xml:space="preserve">organizaciones de la sociedad civil venezolana </w:t>
      </w:r>
      <w:r w:rsidR="0035596A" w:rsidRPr="009449B9">
        <w:rPr>
          <w:rFonts w:ascii="Garamond" w:hAnsi="Garamond" w:cs="Arial"/>
          <w:color w:val="000000"/>
          <w:lang w:val="es-ES"/>
        </w:rPr>
        <w:t xml:space="preserve">acudimos </w:t>
      </w:r>
      <w:r>
        <w:rPr>
          <w:rFonts w:ascii="Garamond" w:hAnsi="Garamond" w:cs="Arial"/>
          <w:color w:val="000000"/>
          <w:lang w:val="es-ES"/>
        </w:rPr>
        <w:t xml:space="preserve">a ustedes con </w:t>
      </w:r>
      <w:r w:rsidR="0035596A" w:rsidRPr="009449B9">
        <w:rPr>
          <w:rFonts w:ascii="Garamond" w:hAnsi="Garamond" w:cs="Arial"/>
          <w:color w:val="000000"/>
          <w:lang w:val="es-ES"/>
        </w:rPr>
        <w:t>el fin de suministrarle información y requerir su consideración</w:t>
      </w:r>
      <w:r w:rsidR="0035596A" w:rsidRPr="009449B9">
        <w:rPr>
          <w:rFonts w:ascii="Garamond" w:hAnsi="Garamond" w:cs="Arial"/>
          <w:i/>
          <w:iCs/>
          <w:color w:val="000000"/>
          <w:lang w:val="es-ES"/>
        </w:rPr>
        <w:t xml:space="preserve"> </w:t>
      </w:r>
      <w:r w:rsidR="0035596A" w:rsidRPr="009449B9">
        <w:rPr>
          <w:rFonts w:ascii="Garamond" w:hAnsi="Garamond" w:cs="Arial"/>
          <w:color w:val="000000"/>
          <w:lang w:val="es-ES"/>
        </w:rPr>
        <w:t xml:space="preserve">en cuanto a la falta de cumplimiento de las obligaciones derivadas del Pacto por parte del Estado venezolano en materia de justicia, debido proceso y garantías judiciales. </w:t>
      </w:r>
      <w:r>
        <w:rPr>
          <w:rFonts w:ascii="Garamond" w:hAnsi="Garamond" w:cs="Arial"/>
          <w:color w:val="000000"/>
          <w:lang w:val="es-ES"/>
        </w:rPr>
        <w:t xml:space="preserve">El presente informe es presentado por: </w:t>
      </w:r>
      <w:r w:rsidR="009C1A08">
        <w:rPr>
          <w:rFonts w:ascii="Garamond" w:hAnsi="Garamond" w:cs="Arial"/>
          <w:color w:val="000000"/>
          <w:lang w:val="es-ES"/>
        </w:rPr>
        <w:t>Acceso a la Justicia</w:t>
      </w:r>
      <w:r w:rsidR="00D4045C">
        <w:rPr>
          <w:rStyle w:val="EndnoteReference"/>
          <w:rFonts w:ascii="Garamond" w:hAnsi="Garamond" w:cs="Arial"/>
          <w:color w:val="000000"/>
          <w:lang w:val="es-ES"/>
        </w:rPr>
        <w:endnoteReference w:id="1"/>
      </w:r>
      <w:r w:rsidR="009C1A08">
        <w:rPr>
          <w:rFonts w:ascii="Garamond" w:hAnsi="Garamond" w:cs="Arial"/>
          <w:color w:val="000000"/>
          <w:lang w:val="es-ES"/>
        </w:rPr>
        <w:t>, Aula Abierta</w:t>
      </w:r>
      <w:r w:rsidR="00D4045C">
        <w:rPr>
          <w:rStyle w:val="EndnoteReference"/>
          <w:rFonts w:ascii="Garamond" w:hAnsi="Garamond" w:cs="Arial"/>
          <w:color w:val="000000"/>
          <w:lang w:val="es-ES"/>
        </w:rPr>
        <w:endnoteReference w:id="2"/>
      </w:r>
      <w:r w:rsidR="009C1A08">
        <w:rPr>
          <w:rFonts w:ascii="Garamond" w:hAnsi="Garamond" w:cs="Arial"/>
          <w:color w:val="000000"/>
          <w:lang w:val="es-ES"/>
        </w:rPr>
        <w:t>, Centro de Justicia y Paz (CEPAZ)</w:t>
      </w:r>
      <w:r w:rsidR="00D4045C">
        <w:rPr>
          <w:rStyle w:val="EndnoteReference"/>
          <w:rFonts w:ascii="Garamond" w:hAnsi="Garamond" w:cs="Arial"/>
          <w:color w:val="000000"/>
          <w:lang w:val="es-ES"/>
        </w:rPr>
        <w:endnoteReference w:id="3"/>
      </w:r>
      <w:r w:rsidR="00D4045C">
        <w:rPr>
          <w:rFonts w:ascii="Garamond" w:hAnsi="Garamond" w:cs="Arial"/>
          <w:color w:val="000000"/>
          <w:lang w:val="es-ES"/>
        </w:rPr>
        <w:t>,</w:t>
      </w:r>
      <w:r w:rsidR="009C1A08">
        <w:rPr>
          <w:rFonts w:ascii="Garamond" w:hAnsi="Garamond" w:cs="Arial"/>
          <w:color w:val="000000"/>
          <w:lang w:val="es-ES"/>
        </w:rPr>
        <w:t xml:space="preserve"> Civilis Derechos Humanos</w:t>
      </w:r>
      <w:r w:rsidR="00D4045C">
        <w:rPr>
          <w:rStyle w:val="EndnoteReference"/>
          <w:rFonts w:ascii="Garamond" w:hAnsi="Garamond" w:cs="Arial"/>
          <w:color w:val="000000"/>
          <w:lang w:val="es-ES"/>
        </w:rPr>
        <w:endnoteReference w:id="4"/>
      </w:r>
      <w:r w:rsidR="009C1A08">
        <w:rPr>
          <w:rFonts w:ascii="Garamond" w:hAnsi="Garamond" w:cs="Arial"/>
          <w:color w:val="000000"/>
          <w:lang w:val="es-ES"/>
        </w:rPr>
        <w:t>, Fundaredes</w:t>
      </w:r>
      <w:r w:rsidR="00937A7C">
        <w:rPr>
          <w:rStyle w:val="EndnoteReference"/>
          <w:rFonts w:ascii="Garamond" w:hAnsi="Garamond" w:cs="Arial"/>
          <w:color w:val="000000"/>
          <w:lang w:val="es-ES"/>
        </w:rPr>
        <w:endnoteReference w:id="5"/>
      </w:r>
      <w:r w:rsidR="009C1A08">
        <w:rPr>
          <w:rFonts w:ascii="Garamond" w:hAnsi="Garamond" w:cs="Arial"/>
          <w:color w:val="000000"/>
          <w:lang w:val="es-ES"/>
        </w:rPr>
        <w:t>, Justicia, Encuentro y Perdón (JEP),</w:t>
      </w:r>
      <w:r w:rsidR="00937A7C" w:rsidRPr="00937A7C">
        <w:rPr>
          <w:rFonts w:ascii="Garamond" w:hAnsi="Garamond" w:cs="Arial"/>
          <w:color w:val="000000"/>
          <w:lang w:val="es-ES"/>
        </w:rPr>
        <w:t xml:space="preserve"> </w:t>
      </w:r>
      <w:r w:rsidR="00937A7C">
        <w:rPr>
          <w:rFonts w:ascii="Garamond" w:hAnsi="Garamond" w:cs="Arial"/>
          <w:color w:val="000000"/>
          <w:lang w:val="es-ES"/>
        </w:rPr>
        <w:t>Observatorio de Derechos Humanos de la Universidad de los Andes (ODHULA)</w:t>
      </w:r>
      <w:r w:rsidR="00937A7C">
        <w:rPr>
          <w:rStyle w:val="EndnoteReference"/>
          <w:rFonts w:ascii="Garamond" w:hAnsi="Garamond" w:cs="Arial"/>
          <w:color w:val="000000"/>
          <w:lang w:val="es-ES"/>
        </w:rPr>
        <w:endnoteReference w:id="6"/>
      </w:r>
      <w:r w:rsidR="00937A7C">
        <w:rPr>
          <w:rFonts w:ascii="Garamond" w:hAnsi="Garamond" w:cs="Arial"/>
          <w:color w:val="000000"/>
          <w:lang w:val="es-ES"/>
        </w:rPr>
        <w:t xml:space="preserve">, </w:t>
      </w:r>
      <w:r w:rsidR="00937A7C" w:rsidRPr="00937A7C">
        <w:rPr>
          <w:rFonts w:ascii="Garamond" w:hAnsi="Garamond"/>
          <w:color w:val="000000"/>
          <w:lang w:val="es-ES"/>
        </w:rPr>
        <w:t>Observatorio Universitari</w:t>
      </w:r>
      <w:r w:rsidR="00937A7C">
        <w:rPr>
          <w:rFonts w:ascii="Garamond" w:hAnsi="Garamond"/>
          <w:color w:val="000000"/>
          <w:lang w:val="es-ES"/>
        </w:rPr>
        <w:t xml:space="preserve">o </w:t>
      </w:r>
      <w:r w:rsidR="00937A7C" w:rsidRPr="00937A7C">
        <w:rPr>
          <w:rFonts w:ascii="Garamond" w:hAnsi="Garamond" w:cs="Arial"/>
          <w:color w:val="000000"/>
          <w:lang w:val="es-ES"/>
        </w:rPr>
        <w:t>de DDHH</w:t>
      </w:r>
      <w:r w:rsidR="00937A7C">
        <w:rPr>
          <w:rFonts w:ascii="Garamond" w:hAnsi="Garamond" w:cs="Arial"/>
          <w:color w:val="000000"/>
          <w:lang w:val="es-ES"/>
        </w:rPr>
        <w:t xml:space="preserve"> (</w:t>
      </w:r>
      <w:r w:rsidR="00937A7C" w:rsidRPr="00937A7C">
        <w:rPr>
          <w:rFonts w:ascii="Garamond" w:hAnsi="Garamond"/>
          <w:color w:val="000000"/>
          <w:lang w:val="es-ES"/>
        </w:rPr>
        <w:t>EPIKEIA</w:t>
      </w:r>
      <w:r w:rsidR="00937A7C">
        <w:rPr>
          <w:rFonts w:ascii="Garamond" w:hAnsi="Garamond"/>
          <w:color w:val="000000"/>
          <w:lang w:val="es-ES"/>
        </w:rPr>
        <w:t>)</w:t>
      </w:r>
      <w:r w:rsidR="00E177F8">
        <w:rPr>
          <w:rStyle w:val="EndnoteReference"/>
          <w:rFonts w:ascii="Garamond" w:hAnsi="Garamond" w:cs="Arial"/>
          <w:color w:val="000000"/>
          <w:lang w:val="es-ES"/>
        </w:rPr>
        <w:endnoteReference w:id="7"/>
      </w:r>
      <w:r w:rsidR="009C1A08">
        <w:rPr>
          <w:rFonts w:ascii="Garamond" w:hAnsi="Garamond" w:cs="Arial"/>
          <w:color w:val="000000"/>
          <w:lang w:val="es-ES"/>
        </w:rPr>
        <w:t xml:space="preserve"> Transparencia Venezuel</w:t>
      </w:r>
      <w:r w:rsidR="008244BC">
        <w:rPr>
          <w:rFonts w:ascii="Garamond" w:hAnsi="Garamond" w:cs="Arial"/>
          <w:color w:val="000000"/>
          <w:lang w:val="es-ES"/>
        </w:rPr>
        <w:t>a</w:t>
      </w:r>
      <w:r w:rsidR="00EC3849">
        <w:rPr>
          <w:rStyle w:val="EndnoteReference"/>
          <w:rFonts w:ascii="Garamond" w:hAnsi="Garamond" w:cs="Arial"/>
          <w:color w:val="000000"/>
          <w:lang w:val="es-ES"/>
        </w:rPr>
        <w:endnoteReference w:id="8"/>
      </w:r>
      <w:r w:rsidR="008244BC">
        <w:rPr>
          <w:rFonts w:ascii="Garamond" w:hAnsi="Garamond" w:cs="Arial"/>
          <w:color w:val="000000"/>
          <w:lang w:val="es-ES"/>
        </w:rPr>
        <w:t>.</w:t>
      </w:r>
    </w:p>
    <w:p w14:paraId="637AB145" w14:textId="40789B11" w:rsidR="0035596A" w:rsidRPr="00F22042" w:rsidRDefault="00F22042" w:rsidP="00F22042">
      <w:pPr>
        <w:rPr>
          <w:rFonts w:ascii="Garamond" w:eastAsia="Times New Roman" w:hAnsi="Garamond" w:cs="Arial"/>
          <w:color w:val="000000"/>
          <w:sz w:val="24"/>
          <w:szCs w:val="24"/>
          <w:highlight w:val="yellow"/>
          <w:lang w:val="es-ES"/>
        </w:rPr>
      </w:pPr>
      <w:r>
        <w:rPr>
          <w:rFonts w:ascii="Garamond" w:hAnsi="Garamond" w:cs="Arial"/>
          <w:color w:val="000000"/>
          <w:highlight w:val="yellow"/>
          <w:lang w:val="es-ES"/>
        </w:rPr>
        <w:br w:type="page"/>
      </w:r>
    </w:p>
    <w:p w14:paraId="621AA366" w14:textId="276472F6" w:rsidR="0068086A" w:rsidRPr="004739DD" w:rsidRDefault="00F93BF8" w:rsidP="004739DD">
      <w:pPr>
        <w:rPr>
          <w:rFonts w:ascii="Garamond" w:hAnsi="Garamond"/>
          <w:b/>
          <w:bCs/>
          <w:szCs w:val="24"/>
          <w:lang w:val="es-ES"/>
        </w:rPr>
      </w:pPr>
      <w:r w:rsidRPr="004739DD">
        <w:rPr>
          <w:rFonts w:ascii="Garamond" w:hAnsi="Garamond"/>
          <w:b/>
          <w:bCs/>
          <w:szCs w:val="24"/>
          <w:lang w:val="es-ES"/>
        </w:rPr>
        <w:lastRenderedPageBreak/>
        <w:t>I.</w:t>
      </w:r>
      <w:r w:rsidR="001C6631" w:rsidRPr="004739DD">
        <w:rPr>
          <w:rFonts w:ascii="Garamond" w:hAnsi="Garamond"/>
          <w:b/>
          <w:bCs/>
          <w:szCs w:val="24"/>
          <w:lang w:val="es-ES"/>
        </w:rPr>
        <w:t xml:space="preserve">INTRODUCCIÓN </w:t>
      </w:r>
    </w:p>
    <w:p w14:paraId="3BE0080B" w14:textId="77777777" w:rsidR="00983C55" w:rsidRPr="00983C55" w:rsidRDefault="00983C55" w:rsidP="00344693">
      <w:pPr>
        <w:pStyle w:val="ListParagraph"/>
        <w:ind w:left="1080"/>
        <w:rPr>
          <w:rFonts w:ascii="Garamond" w:hAnsi="Garamond"/>
          <w:b/>
          <w:bCs/>
          <w:szCs w:val="24"/>
          <w:lang w:val="es-ES"/>
        </w:rPr>
      </w:pPr>
    </w:p>
    <w:p w14:paraId="6CFB81B8" w14:textId="6F6F25AD" w:rsidR="008A763A" w:rsidRPr="00983C55" w:rsidRDefault="00983C55" w:rsidP="00983C55">
      <w:pPr>
        <w:pStyle w:val="ListParagraph"/>
        <w:numPr>
          <w:ilvl w:val="0"/>
          <w:numId w:val="12"/>
        </w:numPr>
        <w:rPr>
          <w:rFonts w:ascii="Garamond" w:hAnsi="Garamond"/>
          <w:szCs w:val="24"/>
          <w:lang w:val="es-ES"/>
        </w:rPr>
      </w:pPr>
      <w:r w:rsidRPr="00983C55">
        <w:rPr>
          <w:rFonts w:ascii="Garamond" w:hAnsi="Garamond"/>
          <w:szCs w:val="24"/>
          <w:lang w:val="es-ES"/>
        </w:rPr>
        <w:t xml:space="preserve">El </w:t>
      </w:r>
      <w:r w:rsidR="008A763A" w:rsidRPr="00983C55">
        <w:rPr>
          <w:rFonts w:ascii="Garamond" w:hAnsi="Garamond"/>
          <w:szCs w:val="24"/>
          <w:lang w:val="es-ES"/>
        </w:rPr>
        <w:t xml:space="preserve">presente informe versará sobre cómo el Estado venezolano </w:t>
      </w:r>
      <w:r w:rsidRPr="00983C55">
        <w:rPr>
          <w:rFonts w:ascii="Garamond" w:hAnsi="Garamond"/>
          <w:szCs w:val="24"/>
          <w:lang w:val="es-ES"/>
        </w:rPr>
        <w:t>persiste en la violación</w:t>
      </w:r>
      <w:r w:rsidR="008A763A" w:rsidRPr="00983C55">
        <w:rPr>
          <w:rFonts w:ascii="Garamond" w:hAnsi="Garamond"/>
          <w:szCs w:val="24"/>
          <w:lang w:val="es-ES"/>
        </w:rPr>
        <w:t xml:space="preserve"> sistemática y estructural</w:t>
      </w:r>
      <w:r w:rsidRPr="00983C55">
        <w:rPr>
          <w:rFonts w:ascii="Garamond" w:hAnsi="Garamond"/>
          <w:szCs w:val="24"/>
          <w:lang w:val="es-ES"/>
        </w:rPr>
        <w:t>,</w:t>
      </w:r>
      <w:r w:rsidR="008A763A" w:rsidRPr="00983C55">
        <w:rPr>
          <w:rFonts w:ascii="Garamond" w:hAnsi="Garamond"/>
          <w:szCs w:val="24"/>
          <w:lang w:val="es-ES"/>
        </w:rPr>
        <w:t xml:space="preserve"> </w:t>
      </w:r>
      <w:r w:rsidRPr="00983C55">
        <w:rPr>
          <w:rFonts w:ascii="Garamond" w:hAnsi="Garamond"/>
          <w:szCs w:val="24"/>
          <w:lang w:val="es-ES"/>
        </w:rPr>
        <w:t>los</w:t>
      </w:r>
      <w:r w:rsidR="008A763A" w:rsidRPr="00983C55">
        <w:rPr>
          <w:rFonts w:ascii="Garamond" w:hAnsi="Garamond"/>
          <w:szCs w:val="24"/>
          <w:lang w:val="es-ES"/>
        </w:rPr>
        <w:t xml:space="preserve"> derecho</w:t>
      </w:r>
      <w:r w:rsidRPr="00983C55">
        <w:rPr>
          <w:rFonts w:ascii="Garamond" w:hAnsi="Garamond"/>
          <w:szCs w:val="24"/>
          <w:lang w:val="es-ES"/>
        </w:rPr>
        <w:t>s</w:t>
      </w:r>
      <w:r w:rsidR="008A763A" w:rsidRPr="00983C55">
        <w:rPr>
          <w:rFonts w:ascii="Garamond" w:hAnsi="Garamond"/>
          <w:szCs w:val="24"/>
          <w:lang w:val="es-ES"/>
        </w:rPr>
        <w:t xml:space="preserve"> humano</w:t>
      </w:r>
      <w:r w:rsidRPr="00983C55">
        <w:rPr>
          <w:rFonts w:ascii="Garamond" w:hAnsi="Garamond"/>
          <w:szCs w:val="24"/>
          <w:lang w:val="es-ES"/>
        </w:rPr>
        <w:t>s</w:t>
      </w:r>
      <w:r w:rsidR="008A763A" w:rsidRPr="00983C55">
        <w:rPr>
          <w:rFonts w:ascii="Garamond" w:hAnsi="Garamond"/>
          <w:szCs w:val="24"/>
          <w:lang w:val="es-ES"/>
        </w:rPr>
        <w:t xml:space="preserve"> de las y los venezolanos </w:t>
      </w:r>
      <w:r w:rsidR="00F93BF8" w:rsidRPr="00983C55">
        <w:rPr>
          <w:rFonts w:ascii="Garamond" w:hAnsi="Garamond"/>
          <w:b/>
          <w:bCs/>
          <w:szCs w:val="24"/>
          <w:lang w:val="es-ES"/>
        </w:rPr>
        <w:t>de acceso a la justicia, al</w:t>
      </w:r>
      <w:r w:rsidR="008A763A" w:rsidRPr="00983C55">
        <w:rPr>
          <w:rFonts w:ascii="Garamond" w:hAnsi="Garamond"/>
          <w:b/>
          <w:bCs/>
          <w:szCs w:val="24"/>
          <w:lang w:val="es-ES"/>
        </w:rPr>
        <w:t xml:space="preserve"> debido proceso, sus garantías mínimas y</w:t>
      </w:r>
      <w:r w:rsidR="00F93BF8" w:rsidRPr="00983C55">
        <w:rPr>
          <w:rFonts w:ascii="Garamond" w:hAnsi="Garamond"/>
          <w:b/>
          <w:bCs/>
          <w:szCs w:val="24"/>
          <w:lang w:val="es-ES"/>
        </w:rPr>
        <w:t xml:space="preserve"> </w:t>
      </w:r>
      <w:r w:rsidR="008A763A" w:rsidRPr="00983C55">
        <w:rPr>
          <w:rFonts w:ascii="Garamond" w:hAnsi="Garamond"/>
          <w:b/>
          <w:bCs/>
          <w:szCs w:val="24"/>
          <w:lang w:val="es-ES"/>
        </w:rPr>
        <w:t xml:space="preserve">a ser oído por un juez o un tribunal </w:t>
      </w:r>
      <w:r w:rsidR="00F12980" w:rsidRPr="00983C55">
        <w:rPr>
          <w:rFonts w:ascii="Garamond" w:hAnsi="Garamond"/>
          <w:b/>
          <w:bCs/>
          <w:szCs w:val="24"/>
          <w:lang w:val="es-ES"/>
        </w:rPr>
        <w:t xml:space="preserve">competente, </w:t>
      </w:r>
      <w:r w:rsidR="008A763A" w:rsidRPr="00983C55">
        <w:rPr>
          <w:rFonts w:ascii="Garamond" w:hAnsi="Garamond"/>
          <w:b/>
          <w:bCs/>
          <w:szCs w:val="24"/>
          <w:lang w:val="es-ES"/>
        </w:rPr>
        <w:t>independiente e imparcial reconocidos en el artículo 14</w:t>
      </w:r>
      <w:r w:rsidR="008A763A" w:rsidRPr="00983C55">
        <w:rPr>
          <w:rFonts w:ascii="Garamond" w:hAnsi="Garamond"/>
          <w:szCs w:val="24"/>
          <w:lang w:val="es-ES"/>
        </w:rPr>
        <w:t xml:space="preserve"> </w:t>
      </w:r>
      <w:r w:rsidR="008A763A" w:rsidRPr="00983C55">
        <w:rPr>
          <w:rFonts w:ascii="Garamond" w:hAnsi="Garamond"/>
          <w:b/>
          <w:bCs/>
          <w:szCs w:val="24"/>
          <w:lang w:val="es-ES"/>
        </w:rPr>
        <w:t xml:space="preserve">del </w:t>
      </w:r>
      <w:r w:rsidR="005251CF" w:rsidRPr="00983C55">
        <w:rPr>
          <w:rFonts w:ascii="Garamond" w:hAnsi="Garamond"/>
          <w:b/>
          <w:bCs/>
          <w:szCs w:val="24"/>
          <w:lang w:val="es-ES"/>
        </w:rPr>
        <w:t>PIDCP</w:t>
      </w:r>
      <w:r w:rsidR="00F6525A">
        <w:rPr>
          <w:rFonts w:ascii="Garamond" w:hAnsi="Garamond"/>
          <w:b/>
          <w:bCs/>
          <w:szCs w:val="24"/>
          <w:lang w:val="es-ES"/>
        </w:rPr>
        <w:t xml:space="preserve"> </w:t>
      </w:r>
      <w:r w:rsidR="00F6525A" w:rsidRPr="005747B6">
        <w:rPr>
          <w:rFonts w:ascii="Garamond" w:hAnsi="Garamond"/>
          <w:b/>
          <w:bCs/>
          <w:szCs w:val="24"/>
          <w:lang w:val="es-ES"/>
        </w:rPr>
        <w:t>en relación en los derechos consagrados en los artículos 2.3 del mismo instrumento.</w:t>
      </w:r>
    </w:p>
    <w:p w14:paraId="5D585283" w14:textId="77777777" w:rsidR="00983C55" w:rsidRPr="005747B6" w:rsidRDefault="00983C55" w:rsidP="00983C55">
      <w:pPr>
        <w:pStyle w:val="ListParagraph"/>
        <w:rPr>
          <w:rFonts w:ascii="Garamond" w:hAnsi="Garamond"/>
          <w:szCs w:val="24"/>
          <w:lang w:val="es-ES"/>
        </w:rPr>
      </w:pPr>
    </w:p>
    <w:p w14:paraId="16EC8902" w14:textId="24FD69E1" w:rsidR="00983C55" w:rsidRDefault="001C6631" w:rsidP="00983C55">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Este informe busca evidenciar</w:t>
      </w:r>
      <w:r w:rsidR="008A763A" w:rsidRPr="005747B6">
        <w:rPr>
          <w:rFonts w:ascii="Garamond" w:eastAsia="Garamond" w:hAnsi="Garamond" w:cs="Garamond"/>
          <w:szCs w:val="24"/>
          <w:lang w:val="es-ES"/>
        </w:rPr>
        <w:t xml:space="preserve"> </w:t>
      </w:r>
      <w:r w:rsidRPr="005747B6">
        <w:rPr>
          <w:rFonts w:ascii="Garamond" w:eastAsia="Garamond" w:hAnsi="Garamond" w:cs="Garamond"/>
          <w:szCs w:val="24"/>
          <w:lang w:val="es-ES"/>
        </w:rPr>
        <w:t xml:space="preserve">diversos factores que </w:t>
      </w:r>
      <w:r w:rsidR="00983C55">
        <w:rPr>
          <w:rFonts w:ascii="Garamond" w:eastAsia="Garamond" w:hAnsi="Garamond" w:cs="Garamond"/>
          <w:szCs w:val="24"/>
          <w:lang w:val="es-ES"/>
        </w:rPr>
        <w:t>menoscaban las</w:t>
      </w:r>
      <w:r w:rsidRPr="005747B6">
        <w:rPr>
          <w:rFonts w:ascii="Garamond" w:eastAsia="Garamond" w:hAnsi="Garamond" w:cs="Garamond"/>
          <w:szCs w:val="24"/>
          <w:lang w:val="es-ES"/>
        </w:rPr>
        <w:t xml:space="preserve"> garantías básicas de acceso a la justicia y la posibilidad de presentar recursos legales</w:t>
      </w:r>
      <w:r w:rsidR="008A763A" w:rsidRPr="005747B6">
        <w:rPr>
          <w:rFonts w:ascii="Garamond" w:eastAsia="Garamond" w:hAnsi="Garamond" w:cs="Garamond"/>
          <w:szCs w:val="24"/>
          <w:lang w:val="es-ES"/>
        </w:rPr>
        <w:t xml:space="preserve"> idóneos y efectivos</w:t>
      </w:r>
      <w:r w:rsidRPr="005747B6">
        <w:rPr>
          <w:rFonts w:ascii="Garamond" w:eastAsia="Garamond" w:hAnsi="Garamond" w:cs="Garamond"/>
          <w:szCs w:val="24"/>
          <w:lang w:val="es-ES"/>
        </w:rPr>
        <w:t xml:space="preserve">. </w:t>
      </w:r>
      <w:r w:rsidR="005251CF" w:rsidRPr="005747B6">
        <w:rPr>
          <w:rFonts w:ascii="Garamond" w:eastAsia="Garamond" w:hAnsi="Garamond" w:cs="Garamond"/>
          <w:szCs w:val="24"/>
          <w:lang w:val="es-ES"/>
        </w:rPr>
        <w:t>Como será demostrado, a</w:t>
      </w:r>
      <w:r w:rsidRPr="005747B6">
        <w:rPr>
          <w:rFonts w:ascii="Garamond" w:eastAsia="Garamond" w:hAnsi="Garamond" w:cs="Garamond"/>
          <w:szCs w:val="24"/>
          <w:lang w:val="es-ES"/>
        </w:rPr>
        <w:t xml:space="preserve"> pesar de los intentos del Estado de construir una narrativa de cooperación y cumplimiento, en Venezuela se </w:t>
      </w:r>
      <w:r w:rsidR="00983C55">
        <w:rPr>
          <w:rFonts w:ascii="Garamond" w:eastAsia="Garamond" w:hAnsi="Garamond" w:cs="Garamond"/>
          <w:szCs w:val="24"/>
          <w:lang w:val="es-ES"/>
        </w:rPr>
        <w:t xml:space="preserve">obstaculiza el </w:t>
      </w:r>
      <w:r w:rsidRPr="005747B6">
        <w:rPr>
          <w:rFonts w:ascii="Garamond" w:eastAsia="Garamond" w:hAnsi="Garamond" w:cs="Garamond"/>
          <w:szCs w:val="24"/>
          <w:lang w:val="es-ES"/>
        </w:rPr>
        <w:t>acceso a recursos legales dirigidos a proteger derechos humanos</w:t>
      </w:r>
      <w:r w:rsidR="00983C55">
        <w:rPr>
          <w:rFonts w:ascii="Garamond" w:eastAsia="Garamond" w:hAnsi="Garamond" w:cs="Garamond"/>
          <w:szCs w:val="24"/>
          <w:lang w:val="es-ES"/>
        </w:rPr>
        <w:t>,</w:t>
      </w:r>
      <w:r w:rsidR="008A763A" w:rsidRPr="005747B6">
        <w:rPr>
          <w:rFonts w:ascii="Garamond" w:eastAsia="Garamond" w:hAnsi="Garamond" w:cs="Garamond"/>
          <w:szCs w:val="24"/>
          <w:lang w:val="es-ES"/>
        </w:rPr>
        <w:t xml:space="preserve"> </w:t>
      </w:r>
      <w:r w:rsidR="00983C55">
        <w:rPr>
          <w:rFonts w:ascii="Garamond" w:eastAsia="Garamond" w:hAnsi="Garamond" w:cs="Garamond"/>
          <w:szCs w:val="24"/>
          <w:lang w:val="es-ES"/>
        </w:rPr>
        <w:t xml:space="preserve">lo </w:t>
      </w:r>
      <w:r w:rsidR="008A763A" w:rsidRPr="005747B6">
        <w:rPr>
          <w:rFonts w:ascii="Garamond" w:eastAsia="Garamond" w:hAnsi="Garamond" w:cs="Garamond"/>
          <w:szCs w:val="24"/>
          <w:lang w:val="es-ES"/>
        </w:rPr>
        <w:t xml:space="preserve">que representa </w:t>
      </w:r>
      <w:r w:rsidR="00983C55">
        <w:rPr>
          <w:rFonts w:ascii="Garamond" w:eastAsia="Garamond" w:hAnsi="Garamond" w:cs="Garamond"/>
          <w:szCs w:val="24"/>
          <w:lang w:val="es-ES"/>
        </w:rPr>
        <w:t>en</w:t>
      </w:r>
      <w:r w:rsidR="008A763A" w:rsidRPr="005747B6">
        <w:rPr>
          <w:rFonts w:ascii="Garamond" w:eastAsia="Garamond" w:hAnsi="Garamond" w:cs="Garamond"/>
          <w:szCs w:val="24"/>
          <w:lang w:val="es-ES"/>
        </w:rPr>
        <w:t xml:space="preserve"> sí mismo </w:t>
      </w:r>
      <w:r w:rsidR="00983C55">
        <w:rPr>
          <w:rFonts w:ascii="Garamond" w:eastAsia="Garamond" w:hAnsi="Garamond" w:cs="Garamond"/>
          <w:szCs w:val="24"/>
          <w:lang w:val="es-ES"/>
        </w:rPr>
        <w:t>una violación a los derechos de las y los ciudadanos</w:t>
      </w:r>
      <w:r w:rsidR="00F93BF8">
        <w:rPr>
          <w:rFonts w:ascii="Garamond" w:eastAsia="Garamond" w:hAnsi="Garamond" w:cs="Garamond"/>
          <w:szCs w:val="24"/>
          <w:lang w:val="es-ES"/>
        </w:rPr>
        <w:t>,</w:t>
      </w:r>
      <w:r w:rsidR="008A763A" w:rsidRPr="005747B6">
        <w:rPr>
          <w:rFonts w:ascii="Garamond" w:eastAsia="Garamond" w:hAnsi="Garamond" w:cs="Garamond"/>
          <w:szCs w:val="24"/>
          <w:lang w:val="es-ES"/>
        </w:rPr>
        <w:t xml:space="preserve"> en contravención con las obligaciones del Pacto</w:t>
      </w:r>
      <w:r w:rsidRPr="005747B6">
        <w:rPr>
          <w:rFonts w:ascii="Garamond" w:eastAsia="Garamond" w:hAnsi="Garamond" w:cs="Garamond"/>
          <w:szCs w:val="24"/>
          <w:lang w:val="es-ES"/>
        </w:rPr>
        <w:t xml:space="preserve">. </w:t>
      </w:r>
    </w:p>
    <w:p w14:paraId="6B7D7095" w14:textId="77777777" w:rsidR="00983C55" w:rsidRPr="00983C55" w:rsidRDefault="00983C55" w:rsidP="00983C55">
      <w:pPr>
        <w:spacing w:after="0" w:line="276" w:lineRule="auto"/>
        <w:rPr>
          <w:rFonts w:ascii="Garamond" w:eastAsia="Garamond" w:hAnsi="Garamond" w:cs="Garamond"/>
          <w:szCs w:val="24"/>
          <w:lang w:val="es-ES"/>
        </w:rPr>
      </w:pPr>
    </w:p>
    <w:p w14:paraId="6B03DDF7" w14:textId="5D5CC181" w:rsidR="001C6631" w:rsidRDefault="001C6631" w:rsidP="00983C55">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 xml:space="preserve">Las recomendaciones </w:t>
      </w:r>
      <w:r w:rsidR="008A763A" w:rsidRPr="005747B6">
        <w:rPr>
          <w:rFonts w:ascii="Garamond" w:eastAsia="Garamond" w:hAnsi="Garamond" w:cs="Garamond"/>
          <w:szCs w:val="24"/>
          <w:lang w:val="es-ES"/>
        </w:rPr>
        <w:t>que el Estado venezolano recibió por parte del Comité en su última evaluación</w:t>
      </w:r>
      <w:r w:rsidR="00E169AC" w:rsidRPr="005747B6">
        <w:rPr>
          <w:rFonts w:ascii="Garamond" w:eastAsia="Garamond" w:hAnsi="Garamond" w:cs="Garamond"/>
          <w:szCs w:val="24"/>
          <w:lang w:val="es-ES"/>
        </w:rPr>
        <w:t>, y que insiste en desconocer, ya revelaban</w:t>
      </w:r>
      <w:r w:rsidRPr="005747B6">
        <w:rPr>
          <w:rFonts w:ascii="Garamond" w:eastAsia="Garamond" w:hAnsi="Garamond" w:cs="Garamond"/>
          <w:szCs w:val="24"/>
          <w:lang w:val="es-ES"/>
        </w:rPr>
        <w:t xml:space="preserve"> la falta de independencia del Poder Judicial, sus deficiencias operacionales, y el alcance estructural que ello tiene</w:t>
      </w:r>
      <w:r w:rsidR="00E169AC" w:rsidRPr="005747B6">
        <w:rPr>
          <w:rFonts w:ascii="Garamond" w:eastAsia="Garamond" w:hAnsi="Garamond" w:cs="Garamond"/>
          <w:szCs w:val="24"/>
          <w:lang w:val="es-ES"/>
        </w:rPr>
        <w:t>. Lamentablemente, tales circunstancias se mantienen o han empeorad</w:t>
      </w:r>
      <w:r w:rsidR="00F93BF8">
        <w:rPr>
          <w:rFonts w:ascii="Garamond" w:eastAsia="Garamond" w:hAnsi="Garamond" w:cs="Garamond"/>
          <w:szCs w:val="24"/>
          <w:lang w:val="es-ES"/>
        </w:rPr>
        <w:t>o,</w:t>
      </w:r>
      <w:r w:rsidRPr="005747B6">
        <w:rPr>
          <w:rFonts w:ascii="Garamond" w:eastAsia="Garamond" w:hAnsi="Garamond" w:cs="Garamond"/>
          <w:szCs w:val="24"/>
          <w:lang w:val="es-ES"/>
        </w:rPr>
        <w:t xml:space="preserve"> </w:t>
      </w:r>
      <w:r w:rsidR="00E169AC" w:rsidRPr="005747B6">
        <w:rPr>
          <w:rFonts w:ascii="Garamond" w:eastAsia="Garamond" w:hAnsi="Garamond" w:cs="Garamond"/>
          <w:szCs w:val="24"/>
          <w:lang w:val="es-ES"/>
        </w:rPr>
        <w:t>reforzándose</w:t>
      </w:r>
      <w:r w:rsidRPr="005747B6">
        <w:rPr>
          <w:rFonts w:ascii="Garamond" w:eastAsia="Garamond" w:hAnsi="Garamond" w:cs="Garamond"/>
          <w:szCs w:val="24"/>
          <w:lang w:val="es-ES"/>
        </w:rPr>
        <w:t xml:space="preserve"> </w:t>
      </w:r>
      <w:r w:rsidR="00E169AC" w:rsidRPr="005747B6">
        <w:rPr>
          <w:rFonts w:ascii="Garamond" w:eastAsia="Garamond" w:hAnsi="Garamond" w:cs="Garamond"/>
          <w:szCs w:val="24"/>
          <w:lang w:val="es-ES"/>
        </w:rPr>
        <w:t>el</w:t>
      </w:r>
      <w:r w:rsidRPr="005747B6">
        <w:rPr>
          <w:rFonts w:ascii="Garamond" w:eastAsia="Garamond" w:hAnsi="Garamond" w:cs="Garamond"/>
          <w:szCs w:val="24"/>
          <w:lang w:val="es-ES"/>
        </w:rPr>
        <w:t xml:space="preserve"> contexto de denegación sistemática de justicia</w:t>
      </w:r>
      <w:r w:rsidR="00E169AC" w:rsidRPr="005747B6">
        <w:rPr>
          <w:rFonts w:ascii="Garamond" w:eastAsia="Garamond" w:hAnsi="Garamond" w:cs="Garamond"/>
          <w:szCs w:val="24"/>
          <w:lang w:val="es-ES"/>
        </w:rPr>
        <w:t xml:space="preserve"> en el país</w:t>
      </w:r>
      <w:r w:rsidRPr="005747B6">
        <w:rPr>
          <w:rFonts w:ascii="Garamond" w:eastAsia="Garamond" w:hAnsi="Garamond" w:cs="Garamond"/>
          <w:szCs w:val="24"/>
          <w:lang w:val="es-ES"/>
        </w:rPr>
        <w:t>. Dicha denegación impide que las víctimas de violaciones a derechos humanos en Venezuela puedan acceder a mecanismos de protección y reparación en el orden interno e incluso, repercute en el acceso a la jurisdicción internacional, que se ha convertido en el único mecanismo de protección al que pueden aspirar acceder las víctimas para exigir sus derechos.</w:t>
      </w:r>
    </w:p>
    <w:p w14:paraId="77194E69" w14:textId="77777777" w:rsidR="00983C55" w:rsidRPr="00983C55" w:rsidRDefault="00983C55" w:rsidP="00983C55">
      <w:pPr>
        <w:spacing w:after="0" w:line="276" w:lineRule="auto"/>
        <w:rPr>
          <w:rFonts w:ascii="Garamond" w:eastAsia="Garamond" w:hAnsi="Garamond" w:cs="Garamond"/>
          <w:szCs w:val="24"/>
          <w:lang w:val="es-ES"/>
        </w:rPr>
      </w:pPr>
    </w:p>
    <w:p w14:paraId="2DDA61C5" w14:textId="77777777" w:rsidR="00F6525A" w:rsidRDefault="001C6631" w:rsidP="00F6525A">
      <w:pPr>
        <w:pStyle w:val="ListParagraph"/>
        <w:numPr>
          <w:ilvl w:val="0"/>
          <w:numId w:val="12"/>
        </w:numPr>
        <w:spacing w:line="276" w:lineRule="auto"/>
        <w:rPr>
          <w:rFonts w:ascii="Garamond" w:eastAsia="Garamond" w:hAnsi="Garamond" w:cs="Garamond"/>
          <w:szCs w:val="24"/>
          <w:lang w:val="es-ES"/>
        </w:rPr>
      </w:pPr>
      <w:r w:rsidRPr="005747B6">
        <w:rPr>
          <w:rFonts w:ascii="Garamond" w:eastAsia="Garamond" w:hAnsi="Garamond" w:cs="Garamond"/>
          <w:szCs w:val="24"/>
          <w:lang w:val="es-ES"/>
        </w:rPr>
        <w:t>La instrumentalización y debilitamiento de la justicia no es un fenómeno aislado ni reciente, sino que se trata de una situación estructural de crisis institucional que ha formado parte de una política de Estado que ha tenido incidencia directa en la falta de protección de los derechos humanos, del Estado de Derecho y su democracia, todo ello en perjuicio de las víctimas y las libertade</w:t>
      </w:r>
      <w:r w:rsidR="00F93BF8">
        <w:rPr>
          <w:rFonts w:ascii="Garamond" w:eastAsia="Garamond" w:hAnsi="Garamond" w:cs="Garamond"/>
          <w:szCs w:val="24"/>
          <w:lang w:val="es-ES"/>
        </w:rPr>
        <w:t>s.</w:t>
      </w:r>
    </w:p>
    <w:p w14:paraId="2DE5997C" w14:textId="77777777" w:rsidR="00F6525A" w:rsidRPr="00F6525A" w:rsidRDefault="00F6525A" w:rsidP="00F6525A">
      <w:pPr>
        <w:pStyle w:val="ListParagraph"/>
        <w:ind w:left="0"/>
        <w:rPr>
          <w:rFonts w:ascii="Garamond" w:hAnsi="Garamond"/>
          <w:szCs w:val="24"/>
          <w:lang w:val="es-ES"/>
        </w:rPr>
      </w:pPr>
    </w:p>
    <w:p w14:paraId="6D0ADB37" w14:textId="44815457" w:rsidR="00F6525A" w:rsidRPr="00F6525A" w:rsidRDefault="00F6525A" w:rsidP="00F6525A">
      <w:pPr>
        <w:pStyle w:val="ListParagraph"/>
        <w:numPr>
          <w:ilvl w:val="0"/>
          <w:numId w:val="12"/>
        </w:numPr>
        <w:spacing w:line="276" w:lineRule="auto"/>
        <w:rPr>
          <w:rFonts w:ascii="Garamond" w:eastAsia="Garamond" w:hAnsi="Garamond" w:cs="Garamond"/>
          <w:szCs w:val="24"/>
          <w:lang w:val="es-ES"/>
        </w:rPr>
      </w:pPr>
      <w:r w:rsidRPr="005747B6">
        <w:rPr>
          <w:rFonts w:ascii="Garamond" w:eastAsia="Garamond" w:hAnsi="Garamond" w:cs="Garamond"/>
          <w:szCs w:val="24"/>
          <w:lang w:val="es-ES"/>
        </w:rPr>
        <w:t xml:space="preserve">Este trabajo recoge aportes actualizados de organizaciones venezolanas de derechos humanos y retoma en gran parte las informaciones sistematizadas de diversos esfuerzos conjuntos que ha concluido con varios otros reportes y notas dirigidos a diversos mecanismos internacionales y la opinión pública en los años recientes. </w:t>
      </w:r>
      <w:r>
        <w:rPr>
          <w:rFonts w:ascii="Garamond" w:hAnsi="Garamond"/>
          <w:szCs w:val="24"/>
          <w:lang w:val="es-ES"/>
        </w:rPr>
        <w:t>Los hallazgos incluidos han</w:t>
      </w:r>
      <w:r w:rsidRPr="00F6525A">
        <w:rPr>
          <w:rFonts w:ascii="Garamond" w:hAnsi="Garamond"/>
          <w:szCs w:val="24"/>
          <w:lang w:val="es-ES"/>
        </w:rPr>
        <w:t xml:space="preserve"> tomado en cuenta </w:t>
      </w:r>
      <w:r>
        <w:rPr>
          <w:rFonts w:ascii="Garamond" w:hAnsi="Garamond"/>
          <w:szCs w:val="24"/>
          <w:lang w:val="es-ES"/>
        </w:rPr>
        <w:t xml:space="preserve">también </w:t>
      </w:r>
      <w:r w:rsidRPr="00F6525A">
        <w:rPr>
          <w:rFonts w:ascii="Garamond" w:hAnsi="Garamond"/>
          <w:szCs w:val="24"/>
          <w:lang w:val="es-ES"/>
        </w:rPr>
        <w:t xml:space="preserve">las Observaciones finales del Comité sobre el Cuarto Informe Periódico, así como el propio Quinto Informe Periódico presentado por el Estado venezolano. </w:t>
      </w:r>
    </w:p>
    <w:p w14:paraId="63545AC5" w14:textId="77777777" w:rsidR="004061DE" w:rsidRPr="004739DD" w:rsidRDefault="004061DE" w:rsidP="004739DD">
      <w:pPr>
        <w:spacing w:line="276" w:lineRule="auto"/>
        <w:ind w:left="360"/>
        <w:rPr>
          <w:rFonts w:ascii="Garamond" w:eastAsia="Garamond" w:hAnsi="Garamond" w:cs="Garamond"/>
          <w:szCs w:val="24"/>
          <w:lang w:val="es-ES"/>
        </w:rPr>
      </w:pPr>
    </w:p>
    <w:p w14:paraId="78F41F04" w14:textId="4856DB02" w:rsidR="004739DD" w:rsidRPr="005747B6" w:rsidRDefault="00A73F40" w:rsidP="004739DD">
      <w:pPr>
        <w:jc w:val="both"/>
        <w:rPr>
          <w:rFonts w:ascii="Garamond" w:hAnsi="Garamond"/>
          <w:b/>
          <w:bCs/>
          <w:sz w:val="24"/>
          <w:szCs w:val="24"/>
          <w:lang w:val="es-ES"/>
        </w:rPr>
      </w:pPr>
      <w:r>
        <w:rPr>
          <w:rFonts w:ascii="Garamond" w:hAnsi="Garamond"/>
          <w:b/>
          <w:bCs/>
          <w:sz w:val="24"/>
          <w:szCs w:val="24"/>
          <w:lang w:val="es-ES"/>
        </w:rPr>
        <w:t>II.</w:t>
      </w:r>
      <w:r w:rsidR="00F12980" w:rsidRPr="005747B6">
        <w:rPr>
          <w:rFonts w:ascii="Garamond" w:hAnsi="Garamond"/>
          <w:b/>
          <w:bCs/>
          <w:sz w:val="24"/>
          <w:szCs w:val="24"/>
          <w:lang w:val="es-ES"/>
        </w:rPr>
        <w:t xml:space="preserve"> </w:t>
      </w:r>
      <w:r w:rsidR="00F22042">
        <w:rPr>
          <w:rFonts w:ascii="Garamond" w:hAnsi="Garamond"/>
          <w:b/>
          <w:bCs/>
          <w:sz w:val="24"/>
          <w:szCs w:val="24"/>
          <w:lang w:val="es-ES"/>
        </w:rPr>
        <w:t xml:space="preserve">VIOLACIÓN AL DERECHO DE ACCESO A LA JUSTICIA – ART. 2.3: </w:t>
      </w:r>
      <w:r w:rsidR="00F12980" w:rsidRPr="005747B6">
        <w:rPr>
          <w:rFonts w:ascii="Garamond" w:hAnsi="Garamond"/>
          <w:b/>
          <w:bCs/>
          <w:sz w:val="24"/>
          <w:szCs w:val="24"/>
          <w:lang w:val="es-ES"/>
        </w:rPr>
        <w:t xml:space="preserve">FALTA DE VOLUNTAD DEL ESTADO DE ADELANTAR INVESTIGACIONES </w:t>
      </w:r>
      <w:r w:rsidR="00F12980" w:rsidRPr="005747B6">
        <w:rPr>
          <w:rFonts w:ascii="Garamond" w:eastAsia="Garamond" w:hAnsi="Garamond" w:cs="Garamond"/>
          <w:b/>
          <w:bCs/>
          <w:sz w:val="24"/>
          <w:szCs w:val="24"/>
          <w:lang w:val="es-ES"/>
        </w:rPr>
        <w:t xml:space="preserve">PRONTAS, </w:t>
      </w:r>
      <w:r w:rsidR="00F12980" w:rsidRPr="005747B6">
        <w:rPr>
          <w:rFonts w:ascii="Garamond" w:eastAsia="Garamond" w:hAnsi="Garamond" w:cs="Garamond"/>
          <w:b/>
          <w:bCs/>
          <w:sz w:val="24"/>
          <w:szCs w:val="24"/>
          <w:lang w:val="es-ES"/>
        </w:rPr>
        <w:lastRenderedPageBreak/>
        <w:t>EFECTIVAS, EXHAUSTIVAS, INDEPENDIENTES, IMPARCIALES Y TRANSPARENTES</w:t>
      </w:r>
      <w:r w:rsidR="00F12980" w:rsidRPr="005747B6">
        <w:rPr>
          <w:rFonts w:ascii="Garamond" w:hAnsi="Garamond"/>
          <w:b/>
          <w:bCs/>
          <w:sz w:val="24"/>
          <w:szCs w:val="24"/>
          <w:lang w:val="es-ES"/>
        </w:rPr>
        <w:t xml:space="preserve"> DE GRAVES VIOLACIONES DE DERECHOS HUMANOS </w:t>
      </w:r>
    </w:p>
    <w:p w14:paraId="73646B66" w14:textId="23D55A36" w:rsidR="00344693" w:rsidRDefault="00E66D05" w:rsidP="00983C55">
      <w:pPr>
        <w:pStyle w:val="NormalWeb"/>
        <w:numPr>
          <w:ilvl w:val="0"/>
          <w:numId w:val="12"/>
        </w:numPr>
        <w:spacing w:before="0" w:beforeAutospacing="0" w:after="0" w:afterAutospacing="0"/>
        <w:jc w:val="both"/>
        <w:rPr>
          <w:rFonts w:ascii="Garamond" w:hAnsi="Garamond"/>
          <w:lang w:val="es-ES"/>
        </w:rPr>
      </w:pPr>
      <w:r w:rsidRPr="005747B6">
        <w:rPr>
          <w:rFonts w:ascii="Garamond" w:hAnsi="Garamond"/>
          <w:lang w:val="es-ES"/>
        </w:rPr>
        <w:t>De acuerdo con el</w:t>
      </w:r>
      <w:r w:rsidR="00BD66B6" w:rsidRPr="005747B6">
        <w:rPr>
          <w:rFonts w:ascii="Garamond" w:hAnsi="Garamond"/>
          <w:lang w:val="es-ES"/>
        </w:rPr>
        <w:t xml:space="preserve"> </w:t>
      </w:r>
      <w:r w:rsidR="00BD66B6" w:rsidRPr="00983C55">
        <w:rPr>
          <w:rFonts w:ascii="Garamond" w:hAnsi="Garamond"/>
          <w:b/>
          <w:bCs/>
          <w:lang w:val="es-ES"/>
        </w:rPr>
        <w:t>artículo 2.3</w:t>
      </w:r>
      <w:r w:rsidR="00BD66B6" w:rsidRPr="005747B6">
        <w:rPr>
          <w:rFonts w:ascii="Garamond" w:hAnsi="Garamond"/>
          <w:lang w:val="es-ES"/>
        </w:rPr>
        <w:t xml:space="preserve"> del Pacto, toda persona tiene derecho a interponer un recurso cuando sus derechos han sido violados y el mismo debe ser resu</w:t>
      </w:r>
      <w:r w:rsidR="00A73F40">
        <w:rPr>
          <w:rFonts w:ascii="Garamond" w:hAnsi="Garamond"/>
          <w:lang w:val="es-ES"/>
        </w:rPr>
        <w:t>e</w:t>
      </w:r>
      <w:r w:rsidR="00BD66B6" w:rsidRPr="005747B6">
        <w:rPr>
          <w:rFonts w:ascii="Garamond" w:hAnsi="Garamond"/>
          <w:lang w:val="es-ES"/>
        </w:rPr>
        <w:t xml:space="preserve">lto por la autoridad competente. </w:t>
      </w:r>
      <w:r w:rsidR="00A73F40">
        <w:rPr>
          <w:rFonts w:ascii="Garamond" w:hAnsi="Garamond"/>
          <w:lang w:val="es-ES"/>
        </w:rPr>
        <w:t>No obstante esta obligación, en</w:t>
      </w:r>
      <w:r w:rsidR="00BD66B6" w:rsidRPr="005747B6">
        <w:rPr>
          <w:rFonts w:ascii="Garamond" w:hAnsi="Garamond"/>
          <w:lang w:val="es-ES"/>
        </w:rPr>
        <w:t xml:space="preserve"> Venezuela existe un gran problema relativo a la administración de justicia para las violaciones de derechos humanos. </w:t>
      </w:r>
    </w:p>
    <w:p w14:paraId="2D7C4E5A" w14:textId="77777777" w:rsidR="00983C55" w:rsidRPr="005747B6" w:rsidRDefault="00983C55" w:rsidP="00983C55">
      <w:pPr>
        <w:pStyle w:val="NormalWeb"/>
        <w:spacing w:before="0" w:beforeAutospacing="0" w:after="0" w:afterAutospacing="0"/>
        <w:ind w:left="720"/>
        <w:jc w:val="both"/>
        <w:rPr>
          <w:rFonts w:ascii="Garamond" w:hAnsi="Garamond"/>
          <w:lang w:val="es-ES"/>
        </w:rPr>
      </w:pPr>
    </w:p>
    <w:p w14:paraId="7C5A23D7" w14:textId="42C16EAB" w:rsidR="00601A5A" w:rsidRPr="005747B6" w:rsidRDefault="00A0140B" w:rsidP="00983C55">
      <w:pPr>
        <w:pStyle w:val="ListParagraph"/>
        <w:numPr>
          <w:ilvl w:val="0"/>
          <w:numId w:val="12"/>
        </w:numPr>
        <w:spacing w:after="0"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t xml:space="preserve">A propósito, queremos hacer referencia a la falta de investigaciones en Venezuela para las violaciones de derechos humanos y crímenes de lesa humanidad </w:t>
      </w:r>
      <w:r w:rsidR="00B3200D" w:rsidRPr="005747B6">
        <w:rPr>
          <w:rFonts w:ascii="Garamond" w:eastAsia="Garamond" w:hAnsi="Garamond" w:cs="Garamond"/>
          <w:color w:val="000000"/>
          <w:szCs w:val="24"/>
          <w:lang w:val="es-ES"/>
        </w:rPr>
        <w:t>que han cometido en el país</w:t>
      </w:r>
      <w:r w:rsidRPr="005747B6">
        <w:rPr>
          <w:rFonts w:ascii="Garamond" w:eastAsia="Garamond" w:hAnsi="Garamond" w:cs="Garamond"/>
          <w:color w:val="000000"/>
          <w:szCs w:val="24"/>
          <w:lang w:val="es-ES"/>
        </w:rPr>
        <w:t xml:space="preserve">. </w:t>
      </w:r>
      <w:r w:rsidR="00601A5A" w:rsidRPr="005747B6">
        <w:rPr>
          <w:rFonts w:ascii="Garamond" w:eastAsia="Garamond" w:hAnsi="Garamond" w:cs="Garamond"/>
          <w:color w:val="000000"/>
          <w:szCs w:val="24"/>
          <w:lang w:val="es-ES"/>
        </w:rPr>
        <w:t xml:space="preserve"> El </w:t>
      </w:r>
      <w:r w:rsidR="00B3200D" w:rsidRPr="005747B6">
        <w:rPr>
          <w:rFonts w:ascii="Garamond" w:eastAsia="Garamond" w:hAnsi="Garamond" w:cs="Garamond"/>
          <w:color w:val="000000"/>
          <w:szCs w:val="24"/>
          <w:lang w:val="es-ES"/>
        </w:rPr>
        <w:t>Estado</w:t>
      </w:r>
      <w:r w:rsidR="00601A5A" w:rsidRPr="005747B6">
        <w:rPr>
          <w:rFonts w:ascii="Garamond" w:eastAsia="Garamond" w:hAnsi="Garamond" w:cs="Garamond"/>
          <w:color w:val="000000"/>
          <w:szCs w:val="24"/>
          <w:lang w:val="es-ES"/>
        </w:rPr>
        <w:t xml:space="preserve"> ha señalado en su Quinto Informe Periódico que el Ministerio Público (MP) habría procesado casos de denuncias de violaciones de derechos humanos para la determinación de responsabilidades</w:t>
      </w:r>
      <w:r w:rsidR="00983C55">
        <w:rPr>
          <w:rFonts w:ascii="Garamond" w:eastAsia="Garamond" w:hAnsi="Garamond" w:cs="Garamond"/>
          <w:color w:val="000000"/>
          <w:szCs w:val="24"/>
          <w:lang w:val="es-ES"/>
        </w:rPr>
        <w:t>,</w:t>
      </w:r>
      <w:r w:rsidR="00601A5A" w:rsidRPr="005747B6">
        <w:rPr>
          <w:rFonts w:ascii="Garamond" w:eastAsia="Garamond" w:hAnsi="Garamond" w:cs="Garamond"/>
          <w:color w:val="000000"/>
          <w:szCs w:val="24"/>
          <w:lang w:val="es-ES"/>
        </w:rPr>
        <w:t xml:space="preserve"> y </w:t>
      </w:r>
      <w:r w:rsidR="00F22042" w:rsidRPr="005747B6">
        <w:rPr>
          <w:rFonts w:ascii="Garamond" w:eastAsia="Garamond" w:hAnsi="Garamond" w:cs="Garamond"/>
          <w:color w:val="000000"/>
          <w:szCs w:val="24"/>
          <w:lang w:val="es-ES"/>
        </w:rPr>
        <w:t>que</w:t>
      </w:r>
      <w:r w:rsidR="00F22042">
        <w:rPr>
          <w:rFonts w:ascii="Garamond" w:eastAsia="Garamond" w:hAnsi="Garamond" w:cs="Garamond"/>
          <w:color w:val="000000"/>
          <w:szCs w:val="24"/>
          <w:lang w:val="es-ES"/>
        </w:rPr>
        <w:t xml:space="preserve"> </w:t>
      </w:r>
      <w:r w:rsidR="00601A5A" w:rsidRPr="005747B6">
        <w:rPr>
          <w:rFonts w:ascii="Garamond" w:eastAsia="Garamond" w:hAnsi="Garamond" w:cs="Garamond"/>
          <w:color w:val="000000"/>
          <w:szCs w:val="24"/>
          <w:lang w:val="es-ES"/>
        </w:rPr>
        <w:t>desde agosto de 2017 hasta la presentación del informe</w:t>
      </w:r>
      <w:r w:rsidR="00983C55">
        <w:rPr>
          <w:rFonts w:ascii="Garamond" w:eastAsia="Garamond" w:hAnsi="Garamond" w:cs="Garamond"/>
          <w:color w:val="000000"/>
          <w:szCs w:val="24"/>
          <w:lang w:val="es-ES"/>
        </w:rPr>
        <w:t>,</w:t>
      </w:r>
      <w:r w:rsidR="00601A5A" w:rsidRPr="005747B6">
        <w:rPr>
          <w:rFonts w:ascii="Garamond" w:eastAsia="Garamond" w:hAnsi="Garamond" w:cs="Garamond"/>
          <w:color w:val="000000"/>
          <w:szCs w:val="24"/>
          <w:lang w:val="es-ES"/>
        </w:rPr>
        <w:t xml:space="preserve"> se habían imputado a 603 funcionarios presuntos responsables y 35 civiles implicados como colaboradores. A esta cifra le acompañan supuestas aprehensiones, acusaciones formales y sentencias condenatorias</w:t>
      </w:r>
      <w:r w:rsidR="00601A5A" w:rsidRPr="005747B6">
        <w:rPr>
          <w:rStyle w:val="FootnoteReference"/>
          <w:rFonts w:ascii="Garamond" w:eastAsia="Garamond" w:hAnsi="Garamond" w:cs="Garamond"/>
          <w:color w:val="000000"/>
          <w:szCs w:val="24"/>
          <w:lang w:val="es-ES"/>
        </w:rPr>
        <w:footnoteReference w:id="1"/>
      </w:r>
      <w:r w:rsidR="00601A5A" w:rsidRPr="005747B6">
        <w:rPr>
          <w:rFonts w:ascii="Garamond" w:eastAsia="Garamond" w:hAnsi="Garamond" w:cs="Garamond"/>
          <w:color w:val="000000"/>
          <w:szCs w:val="24"/>
          <w:lang w:val="es-ES"/>
        </w:rPr>
        <w:t>.</w:t>
      </w:r>
    </w:p>
    <w:p w14:paraId="4A5A48D8" w14:textId="77777777" w:rsidR="00344693" w:rsidRPr="005747B6" w:rsidRDefault="00344693" w:rsidP="00344693">
      <w:pPr>
        <w:pStyle w:val="ListParagraph"/>
        <w:spacing w:line="276" w:lineRule="auto"/>
        <w:rPr>
          <w:rFonts w:ascii="Garamond" w:eastAsia="Garamond" w:hAnsi="Garamond" w:cs="Garamond"/>
          <w:color w:val="000000"/>
          <w:szCs w:val="24"/>
          <w:lang w:val="es-ES"/>
        </w:rPr>
      </w:pPr>
    </w:p>
    <w:p w14:paraId="7770B89C" w14:textId="430DD947" w:rsidR="00A0140B" w:rsidRPr="005747B6" w:rsidRDefault="00983C55" w:rsidP="00344693">
      <w:pPr>
        <w:pStyle w:val="ListParagraph"/>
        <w:numPr>
          <w:ilvl w:val="0"/>
          <w:numId w:val="12"/>
        </w:numPr>
        <w:spacing w:line="276" w:lineRule="auto"/>
        <w:rPr>
          <w:rFonts w:ascii="Garamond" w:eastAsia="Garamond" w:hAnsi="Garamond" w:cs="Garamond"/>
          <w:color w:val="000000"/>
          <w:szCs w:val="24"/>
          <w:lang w:val="es-ES"/>
        </w:rPr>
      </w:pPr>
      <w:r>
        <w:rPr>
          <w:rFonts w:ascii="Garamond" w:eastAsia="Garamond" w:hAnsi="Garamond" w:cs="Garamond"/>
          <w:color w:val="000000"/>
          <w:szCs w:val="24"/>
          <w:lang w:val="es-ES"/>
        </w:rPr>
        <w:t>El</w:t>
      </w:r>
      <w:r w:rsidR="00A0140B" w:rsidRPr="005747B6">
        <w:rPr>
          <w:rFonts w:ascii="Garamond" w:eastAsia="Garamond" w:hAnsi="Garamond" w:cs="Garamond"/>
          <w:color w:val="000000"/>
          <w:szCs w:val="24"/>
          <w:lang w:val="es-ES"/>
        </w:rPr>
        <w:t xml:space="preserve"> Estado venezolano no ha logrado convencer </w:t>
      </w:r>
      <w:r w:rsidR="00601A5A" w:rsidRPr="005747B6">
        <w:rPr>
          <w:rFonts w:ascii="Garamond" w:eastAsia="Garamond" w:hAnsi="Garamond" w:cs="Garamond"/>
          <w:color w:val="000000"/>
          <w:szCs w:val="24"/>
          <w:lang w:val="es-ES"/>
        </w:rPr>
        <w:t xml:space="preserve">con tal información y otra complementaria, </w:t>
      </w:r>
      <w:r w:rsidR="00A0140B" w:rsidRPr="005747B6">
        <w:rPr>
          <w:rFonts w:ascii="Garamond" w:eastAsia="Garamond" w:hAnsi="Garamond" w:cs="Garamond"/>
          <w:color w:val="000000"/>
          <w:szCs w:val="24"/>
          <w:lang w:val="es-ES"/>
        </w:rPr>
        <w:t xml:space="preserve">a la Fiscalía de la Corte Penal Internacional, por ejemplo, que están «investigando genuinamente» los crímenes de lesa humanidad ocurridos en el país. De hecho, el fiscal Kharim Khan, pidió el 1 de noviembre de 2022 a la Sala de Cuestiones Preliminares del organismo, permiso para continuar sus averiguaciones sobre Venezuela. </w:t>
      </w:r>
    </w:p>
    <w:p w14:paraId="3A672B03" w14:textId="5C08BC70" w:rsidR="00A0140B" w:rsidRPr="00A73F40" w:rsidRDefault="00A0140B" w:rsidP="00344693">
      <w:pPr>
        <w:pStyle w:val="ListParagraph"/>
        <w:spacing w:line="276" w:lineRule="auto"/>
        <w:ind w:left="2160" w:right="1260"/>
        <w:rPr>
          <w:rFonts w:ascii="Garamond" w:eastAsia="Garamond" w:hAnsi="Garamond" w:cs="Garamond"/>
          <w:color w:val="000000"/>
          <w:sz w:val="22"/>
          <w:lang w:val="es-ES"/>
        </w:rPr>
      </w:pPr>
      <w:r w:rsidRPr="00A73F40">
        <w:rPr>
          <w:rFonts w:ascii="Garamond" w:eastAsia="Garamond" w:hAnsi="Garamond" w:cs="Garamond"/>
          <w:color w:val="000000"/>
          <w:sz w:val="22"/>
          <w:lang w:val="es-ES"/>
        </w:rPr>
        <w:t>«La información disponible muestra que los patrones y las políticas que subrayan los elementos contextuales de los crímenes de lesa humanidad no están siendo investigados, los procedimientos internos se centran en los perpetradores directos (y aparentemente bajo nivel miembros de las fuerzas de seguridad del Estado) y en su mayoría sobre delitos calificados como de “menor” gravedad, mientras que una parte sustancial de la criminalidad relevante no está siendo investigada en absoluto»</w:t>
      </w:r>
      <w:r w:rsidRPr="00A73F40">
        <w:rPr>
          <w:rFonts w:ascii="Garamond" w:eastAsia="Garamond" w:hAnsi="Garamond"/>
          <w:sz w:val="22"/>
          <w:vertAlign w:val="superscript"/>
        </w:rPr>
        <w:footnoteReference w:id="2"/>
      </w:r>
      <w:r w:rsidR="00344693" w:rsidRPr="00A73F40">
        <w:rPr>
          <w:rFonts w:ascii="Garamond" w:eastAsia="Garamond" w:hAnsi="Garamond" w:cs="Garamond"/>
          <w:color w:val="000000"/>
          <w:sz w:val="22"/>
          <w:lang w:val="es-ES"/>
        </w:rPr>
        <w:t>.</w:t>
      </w:r>
    </w:p>
    <w:p w14:paraId="5710E643" w14:textId="77777777" w:rsidR="00344693" w:rsidRPr="005747B6" w:rsidRDefault="00344693" w:rsidP="00344693">
      <w:pPr>
        <w:pStyle w:val="ListParagraph"/>
        <w:spacing w:line="276" w:lineRule="auto"/>
        <w:ind w:left="2160" w:right="1260"/>
        <w:rPr>
          <w:rFonts w:ascii="Garamond" w:eastAsia="Garamond" w:hAnsi="Garamond" w:cs="Garamond"/>
          <w:color w:val="000000"/>
          <w:szCs w:val="24"/>
          <w:lang w:val="es-ES"/>
        </w:rPr>
      </w:pPr>
    </w:p>
    <w:p w14:paraId="63945CBB" w14:textId="2FD7D600" w:rsidR="00344693" w:rsidRDefault="00A0140B" w:rsidP="00E66D05">
      <w:pPr>
        <w:pStyle w:val="ListParagraph"/>
        <w:numPr>
          <w:ilvl w:val="0"/>
          <w:numId w:val="12"/>
        </w:numPr>
        <w:spacing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t>En el documento de solicitud para reanudar la investigación sobre la situación en Venezuela que el fiscal Khan entregó a la Sala, destacan elementos que confirman la falta de voluntad de investigar, falta de investigación a las cadenas de mando, y falta de verdaderas reformas judiciales.</w:t>
      </w:r>
    </w:p>
    <w:p w14:paraId="78A71CFE" w14:textId="77777777" w:rsidR="00F22042" w:rsidRPr="00E66D05" w:rsidRDefault="00F22042" w:rsidP="00F22042">
      <w:pPr>
        <w:pStyle w:val="ListParagraph"/>
        <w:spacing w:line="276" w:lineRule="auto"/>
        <w:rPr>
          <w:rFonts w:ascii="Garamond" w:eastAsia="Garamond" w:hAnsi="Garamond" w:cs="Garamond"/>
          <w:color w:val="000000"/>
          <w:szCs w:val="24"/>
          <w:lang w:val="es-ES"/>
        </w:rPr>
      </w:pPr>
    </w:p>
    <w:p w14:paraId="0420CEB9" w14:textId="12ADF8C4" w:rsidR="00A0140B" w:rsidRPr="005747B6" w:rsidRDefault="00983C55" w:rsidP="00344693">
      <w:pPr>
        <w:pStyle w:val="ListParagraph"/>
        <w:numPr>
          <w:ilvl w:val="0"/>
          <w:numId w:val="12"/>
        </w:numPr>
        <w:spacing w:line="276" w:lineRule="auto"/>
        <w:rPr>
          <w:rFonts w:ascii="Garamond" w:eastAsia="Garamond" w:hAnsi="Garamond" w:cs="Garamond"/>
          <w:color w:val="000000"/>
          <w:szCs w:val="24"/>
          <w:lang w:val="es-ES"/>
        </w:rPr>
      </w:pPr>
      <w:r w:rsidRPr="004D37BD">
        <w:rPr>
          <w:rFonts w:ascii="Garamond" w:eastAsia="Garamond" w:hAnsi="Garamond" w:cs="Garamond"/>
          <w:color w:val="000000"/>
          <w:szCs w:val="24"/>
          <w:lang w:val="es-ES"/>
        </w:rPr>
        <w:t>El Fiscal General,</w:t>
      </w:r>
      <w:r>
        <w:rPr>
          <w:rFonts w:ascii="Garamond" w:eastAsia="Garamond" w:hAnsi="Garamond" w:cs="Garamond"/>
          <w:color w:val="000000"/>
          <w:szCs w:val="24"/>
          <w:lang w:val="es-ES"/>
        </w:rPr>
        <w:t xml:space="preserve"> </w:t>
      </w:r>
      <w:r w:rsidR="00A0140B" w:rsidRPr="005747B6">
        <w:rPr>
          <w:rFonts w:ascii="Garamond" w:eastAsia="Garamond" w:hAnsi="Garamond" w:cs="Garamond"/>
          <w:color w:val="000000"/>
          <w:szCs w:val="24"/>
          <w:lang w:val="es-ES"/>
        </w:rPr>
        <w:t>Tarek William Saab</w:t>
      </w:r>
      <w:r>
        <w:rPr>
          <w:rFonts w:ascii="Garamond" w:eastAsia="Garamond" w:hAnsi="Garamond" w:cs="Garamond"/>
          <w:color w:val="000000"/>
          <w:szCs w:val="24"/>
          <w:lang w:val="es-ES"/>
        </w:rPr>
        <w:t>,</w:t>
      </w:r>
      <w:r w:rsidR="00A0140B" w:rsidRPr="005747B6">
        <w:rPr>
          <w:rFonts w:ascii="Garamond" w:eastAsia="Garamond" w:hAnsi="Garamond" w:cs="Garamond"/>
          <w:color w:val="000000"/>
          <w:szCs w:val="24"/>
          <w:lang w:val="es-ES"/>
        </w:rPr>
        <w:t xml:space="preserve"> asegura que se han iniciado 1403 investigaciones a agentes por su presunta implicación en detenciones arbitrarias, malos tratos o ejecuciones </w:t>
      </w:r>
      <w:r w:rsidR="00A0140B" w:rsidRPr="005747B6">
        <w:rPr>
          <w:rFonts w:ascii="Garamond" w:eastAsia="Garamond" w:hAnsi="Garamond" w:cs="Garamond"/>
          <w:color w:val="000000"/>
          <w:szCs w:val="24"/>
          <w:lang w:val="es-ES"/>
        </w:rPr>
        <w:lastRenderedPageBreak/>
        <w:t>extrajudiciales, que ha acusado a 1.546 y detenido a 769. Sin embargo, Khan explicó que de los 893 casos que el Ministerio Público le informó que estaba investigando, 606 (67,86%) se hallan en fase de investigación y en 764 (85,55%) ni siquiera había logrado determinar a los autores de los crímenes. Además, apenas 23 casos (2,58%) han terminado con una condena por parte de un juez</w:t>
      </w:r>
      <w:r w:rsidR="00A0140B" w:rsidRPr="005747B6">
        <w:rPr>
          <w:rFonts w:ascii="Garamond" w:eastAsia="Garamond" w:hAnsi="Garamond"/>
          <w:szCs w:val="24"/>
          <w:vertAlign w:val="superscript"/>
        </w:rPr>
        <w:footnoteReference w:id="3"/>
      </w:r>
      <w:r w:rsidR="00A0140B" w:rsidRPr="005747B6">
        <w:rPr>
          <w:rFonts w:ascii="Garamond" w:eastAsia="Garamond" w:hAnsi="Garamond" w:cs="Garamond"/>
          <w:color w:val="000000"/>
          <w:szCs w:val="24"/>
          <w:lang w:val="es-ES"/>
        </w:rPr>
        <w:t>. De la misma forma, a pesar de que 611 casos podrían constituir tratos inhumanos, desapariciones forzadas o detenciones ilegales, se les estaba dando el tratamiento de «delitos menores». Khan también mostró sorpresa por el hecho de que las autoridades le hayan informado que solo tienen abiertas 12 investigaciones por tortura y 2 por violación sexual, pues su oficina tiene datos que le hacen sospechar que desde 2017, entre 300 o 400 personas han podido ser víctimas de ambos delitos</w:t>
      </w:r>
      <w:r w:rsidR="00A0140B" w:rsidRPr="005747B6">
        <w:rPr>
          <w:rFonts w:ascii="Garamond" w:eastAsia="Garamond" w:hAnsi="Garamond"/>
          <w:szCs w:val="24"/>
          <w:vertAlign w:val="superscript"/>
        </w:rPr>
        <w:footnoteReference w:id="4"/>
      </w:r>
      <w:r w:rsidR="00A0140B" w:rsidRPr="005747B6">
        <w:rPr>
          <w:rFonts w:ascii="Garamond" w:eastAsia="Garamond" w:hAnsi="Garamond" w:cs="Garamond"/>
          <w:color w:val="000000"/>
          <w:szCs w:val="24"/>
          <w:lang w:val="es-ES"/>
        </w:rPr>
        <w:t>.</w:t>
      </w:r>
    </w:p>
    <w:p w14:paraId="3CBB1764" w14:textId="77777777" w:rsidR="00344693" w:rsidRPr="005747B6" w:rsidRDefault="00344693" w:rsidP="00344693">
      <w:pPr>
        <w:pStyle w:val="ListParagraph"/>
        <w:spacing w:line="276" w:lineRule="auto"/>
        <w:rPr>
          <w:rFonts w:ascii="Garamond" w:eastAsia="Garamond" w:hAnsi="Garamond" w:cs="Garamond"/>
          <w:color w:val="000000"/>
          <w:szCs w:val="24"/>
          <w:lang w:val="es-ES"/>
        </w:rPr>
      </w:pPr>
    </w:p>
    <w:p w14:paraId="5A63BBC5" w14:textId="41CA46FD" w:rsidR="00344693" w:rsidRPr="005747B6" w:rsidRDefault="00A0140B" w:rsidP="00344693">
      <w:pPr>
        <w:pStyle w:val="ListParagraph"/>
        <w:numPr>
          <w:ilvl w:val="0"/>
          <w:numId w:val="12"/>
        </w:numPr>
        <w:spacing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t>Aunado a esto, Khan denunció que los datos ofrecidos por las autoridades no aportan información contrastable y verificable.</w:t>
      </w:r>
    </w:p>
    <w:p w14:paraId="1ED8DAB7" w14:textId="77777777" w:rsidR="00A0140B" w:rsidRDefault="00A0140B" w:rsidP="00344693">
      <w:pPr>
        <w:pStyle w:val="ListParagraph"/>
        <w:spacing w:line="276" w:lineRule="auto"/>
        <w:ind w:left="2160" w:right="1260"/>
        <w:rPr>
          <w:rFonts w:ascii="Garamond" w:eastAsia="Garamond" w:hAnsi="Garamond" w:cs="Garamond"/>
          <w:color w:val="000000"/>
          <w:sz w:val="22"/>
          <w:lang w:val="es-ES"/>
        </w:rPr>
      </w:pPr>
      <w:r w:rsidRPr="00A73F40">
        <w:rPr>
          <w:rFonts w:ascii="Garamond" w:eastAsia="Garamond" w:hAnsi="Garamond" w:cs="Garamond"/>
          <w:color w:val="000000"/>
          <w:sz w:val="22"/>
          <w:lang w:val="es-ES"/>
        </w:rPr>
        <w:t>«La Fiscalía no puede evaluar adecuadamente si ha habido un cambio procesal relevante en los casos individuales porque la terminología empleada por el Gobierno de Venezuela para referirse a su estado es ambigua e inconsistente. Por ejemplo, el Gobierno emplea términos tales como casos que están siendo “enjuiciados” o procedimientos “instituidos” sin más especificación de la acción investigativa o procesal precisa que implican estos términos bajo la ley aplicable. En otros casos, los términos se usan indistintamente, aunque no necesariamente son sinónimos, como “acusación” y “cargos” o “condena” y “condenado”».</w:t>
      </w:r>
      <w:r w:rsidRPr="00A73F40">
        <w:rPr>
          <w:rFonts w:ascii="Garamond" w:eastAsia="Garamond" w:hAnsi="Garamond"/>
          <w:sz w:val="22"/>
          <w:vertAlign w:val="superscript"/>
        </w:rPr>
        <w:footnoteReference w:id="5"/>
      </w:r>
    </w:p>
    <w:p w14:paraId="5E601DA0" w14:textId="77777777" w:rsidR="00983C55" w:rsidRPr="00A73F40" w:rsidRDefault="00983C55" w:rsidP="00344693">
      <w:pPr>
        <w:pStyle w:val="ListParagraph"/>
        <w:spacing w:line="276" w:lineRule="auto"/>
        <w:ind w:left="2160" w:right="1260"/>
        <w:rPr>
          <w:rFonts w:ascii="Garamond" w:eastAsia="Garamond" w:hAnsi="Garamond" w:cs="Garamond"/>
          <w:color w:val="000000"/>
          <w:sz w:val="22"/>
          <w:lang w:val="es-ES"/>
        </w:rPr>
      </w:pPr>
    </w:p>
    <w:p w14:paraId="694B3F5B" w14:textId="0F818C9B" w:rsidR="00A0140B" w:rsidRPr="004D37BD" w:rsidRDefault="00A0140B" w:rsidP="004D37BD">
      <w:pPr>
        <w:pStyle w:val="ListParagraph"/>
        <w:numPr>
          <w:ilvl w:val="0"/>
          <w:numId w:val="12"/>
        </w:numPr>
        <w:spacing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t>Otra expresa muestra de la falta de voluntad para llevar a cabo estas investigaciones y determinar responsables, es que el propio gobierno está utilizando las plataformas de potencial negociación política para obstaculizar el avance de la investigación en curso de la Fiscalía de la CPI. Durante la cumbre organizada por el Presidente Gustavo Petro en Colombia para discutir el regreso</w:t>
      </w:r>
      <w:r w:rsidR="00C33384">
        <w:rPr>
          <w:rFonts w:ascii="Garamond" w:eastAsia="Garamond" w:hAnsi="Garamond" w:cs="Garamond"/>
          <w:color w:val="000000"/>
          <w:szCs w:val="24"/>
          <w:lang w:val="es-ES"/>
        </w:rPr>
        <w:t xml:space="preserve"> </w:t>
      </w:r>
      <w:r w:rsidRPr="005747B6">
        <w:rPr>
          <w:rFonts w:ascii="Garamond" w:eastAsia="Garamond" w:hAnsi="Garamond" w:cs="Garamond"/>
          <w:color w:val="000000"/>
          <w:szCs w:val="24"/>
          <w:lang w:val="es-ES"/>
        </w:rPr>
        <w:t xml:space="preserve">a la mesa de diálogo en México, Jorge Rodríguez, presidente de la Asamblea Nacional y jefe de la delegación </w:t>
      </w:r>
      <w:r w:rsidR="00C33384">
        <w:rPr>
          <w:rFonts w:ascii="Garamond" w:eastAsia="Garamond" w:hAnsi="Garamond" w:cs="Garamond"/>
          <w:color w:val="000000"/>
          <w:szCs w:val="24"/>
          <w:lang w:val="es-ES"/>
        </w:rPr>
        <w:t>del gobierno</w:t>
      </w:r>
      <w:r w:rsidRPr="005747B6">
        <w:rPr>
          <w:rFonts w:ascii="Garamond" w:eastAsia="Garamond" w:hAnsi="Garamond" w:cs="Garamond"/>
          <w:color w:val="000000"/>
          <w:szCs w:val="24"/>
          <w:lang w:val="es-ES"/>
        </w:rPr>
        <w:t xml:space="preserve">, calificó como </w:t>
      </w:r>
      <w:r w:rsidRPr="005747B6">
        <w:rPr>
          <w:rFonts w:ascii="Garamond" w:eastAsia="Garamond" w:hAnsi="Garamond" w:cs="Garamond"/>
          <w:i/>
          <w:color w:val="000000"/>
          <w:szCs w:val="24"/>
          <w:lang w:val="es-ES"/>
        </w:rPr>
        <w:t xml:space="preserve">lawfare </w:t>
      </w:r>
      <w:r w:rsidRPr="005747B6">
        <w:rPr>
          <w:rFonts w:ascii="Garamond" w:eastAsia="Garamond" w:hAnsi="Garamond" w:cs="Garamond"/>
          <w:color w:val="000000"/>
          <w:szCs w:val="24"/>
          <w:lang w:val="es-ES"/>
        </w:rPr>
        <w:t>(guerra judicial) el proceso que la Corte Penal Internacional adelanta sobre Venezuela, y demandó su suspensión bajo el sorprendente argumento de que "afectan directamente a nuestros líderes más importantes”</w:t>
      </w:r>
      <w:r w:rsidRPr="005747B6">
        <w:rPr>
          <w:rFonts w:ascii="Garamond" w:eastAsia="Garamond" w:hAnsi="Garamond"/>
          <w:szCs w:val="24"/>
          <w:vertAlign w:val="superscript"/>
        </w:rPr>
        <w:footnoteReference w:id="6"/>
      </w:r>
      <w:r w:rsidRPr="005747B6">
        <w:rPr>
          <w:rFonts w:ascii="Garamond" w:eastAsia="Garamond" w:hAnsi="Garamond" w:cs="Garamond"/>
          <w:color w:val="000000"/>
          <w:szCs w:val="24"/>
          <w:lang w:val="es-ES"/>
        </w:rPr>
        <w:t>.</w:t>
      </w:r>
      <w:r w:rsidR="004D37BD">
        <w:rPr>
          <w:rFonts w:ascii="Garamond" w:eastAsia="Garamond" w:hAnsi="Garamond" w:cs="Garamond"/>
          <w:color w:val="000000"/>
          <w:szCs w:val="24"/>
          <w:lang w:val="es-ES"/>
        </w:rPr>
        <w:t xml:space="preserve"> </w:t>
      </w:r>
      <w:r w:rsidRPr="004D37BD">
        <w:rPr>
          <w:rFonts w:ascii="Garamond" w:eastAsia="Garamond" w:hAnsi="Garamond" w:cs="Garamond"/>
          <w:color w:val="000000"/>
          <w:szCs w:val="24"/>
          <w:lang w:val="es-ES"/>
        </w:rPr>
        <w:t xml:space="preserve">Si el Estado </w:t>
      </w:r>
      <w:r w:rsidR="00C33384" w:rsidRPr="004D37BD">
        <w:rPr>
          <w:rFonts w:ascii="Garamond" w:eastAsia="Garamond" w:hAnsi="Garamond" w:cs="Garamond"/>
          <w:color w:val="000000"/>
          <w:szCs w:val="24"/>
          <w:lang w:val="es-ES"/>
        </w:rPr>
        <w:t>tuviera la voluntad real de</w:t>
      </w:r>
      <w:r w:rsidRPr="004D37BD">
        <w:rPr>
          <w:rFonts w:ascii="Garamond" w:eastAsia="Garamond" w:hAnsi="Garamond" w:cs="Garamond"/>
          <w:color w:val="000000"/>
          <w:szCs w:val="24"/>
          <w:lang w:val="es-ES"/>
        </w:rPr>
        <w:t xml:space="preserve"> investigar y determinar responsables, no buscaría </w:t>
      </w:r>
      <w:r w:rsidR="00C33384" w:rsidRPr="004D37BD">
        <w:rPr>
          <w:rFonts w:ascii="Garamond" w:eastAsia="Garamond" w:hAnsi="Garamond" w:cs="Garamond"/>
          <w:color w:val="000000"/>
          <w:szCs w:val="24"/>
          <w:lang w:val="es-ES"/>
        </w:rPr>
        <w:t>entorpecer</w:t>
      </w:r>
      <w:r w:rsidRPr="004D37BD">
        <w:rPr>
          <w:rFonts w:ascii="Garamond" w:eastAsia="Garamond" w:hAnsi="Garamond" w:cs="Garamond"/>
          <w:color w:val="000000"/>
          <w:szCs w:val="24"/>
          <w:lang w:val="es-ES"/>
        </w:rPr>
        <w:t xml:space="preserve"> el proceso de la CPI, y en su lugar, crearía puentes de cooperación a través de la cual pudiese demostrar que hay capacidades y voluntad, y con ello avanzar en el examen de complementariedad. </w:t>
      </w:r>
    </w:p>
    <w:p w14:paraId="4A435082" w14:textId="77777777" w:rsidR="00344693" w:rsidRPr="005747B6" w:rsidRDefault="00344693" w:rsidP="00344693">
      <w:pPr>
        <w:pStyle w:val="ListParagraph"/>
        <w:spacing w:line="276" w:lineRule="auto"/>
        <w:rPr>
          <w:rFonts w:ascii="Garamond" w:eastAsia="Garamond" w:hAnsi="Garamond" w:cs="Garamond"/>
          <w:color w:val="000000"/>
          <w:szCs w:val="24"/>
          <w:lang w:val="es-ES"/>
        </w:rPr>
      </w:pPr>
    </w:p>
    <w:p w14:paraId="06CA8152" w14:textId="36D9406F" w:rsidR="00A0140B" w:rsidRPr="005747B6" w:rsidRDefault="00A0140B" w:rsidP="00344693">
      <w:pPr>
        <w:pStyle w:val="ListParagraph"/>
        <w:numPr>
          <w:ilvl w:val="0"/>
          <w:numId w:val="12"/>
        </w:numPr>
        <w:spacing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lastRenderedPageBreak/>
        <w:t>Son al menos 8900 víctimas, 630 familias y dos organizaciones las que sustentan que el Fiscal de la CPI reanude e incluso amplíe la investigación por crímenes de lesa humanidad contenidos en la Situación «Venezuela I». La versión editada del informe de la Sección para la Participación de las Víctimas y las Reparaciones recibió observaciones de víctimas de todos los crímenes de lesa humanidad, en particular, según destaca la ONG Provea, de «asesinatos, encarcelamientos u otra privación grave de la libertad física, torturas, otros actos inhumanos, violación y/u otras formas de violencia sexual y desapariciones»</w:t>
      </w:r>
      <w:r w:rsidRPr="005747B6">
        <w:rPr>
          <w:rFonts w:ascii="Garamond" w:eastAsia="Garamond" w:hAnsi="Garamond"/>
          <w:szCs w:val="24"/>
          <w:vertAlign w:val="superscript"/>
        </w:rPr>
        <w:footnoteReference w:id="7"/>
      </w:r>
      <w:r w:rsidRPr="005747B6">
        <w:rPr>
          <w:rFonts w:ascii="Garamond" w:eastAsia="Garamond" w:hAnsi="Garamond" w:cs="Garamond"/>
          <w:color w:val="000000"/>
          <w:szCs w:val="24"/>
          <w:lang w:val="es-ES"/>
        </w:rPr>
        <w:t xml:space="preserve">. </w:t>
      </w:r>
      <w:r w:rsidR="001564AF">
        <w:rPr>
          <w:rFonts w:ascii="Garamond" w:eastAsia="Garamond" w:hAnsi="Garamond" w:cs="Garamond"/>
          <w:color w:val="000000"/>
          <w:szCs w:val="24"/>
          <w:lang w:val="es-ES"/>
        </w:rPr>
        <w:t>Las</w:t>
      </w:r>
      <w:r w:rsidRPr="005747B6">
        <w:rPr>
          <w:rFonts w:ascii="Garamond" w:eastAsia="Garamond" w:hAnsi="Garamond" w:cs="Garamond"/>
          <w:color w:val="000000"/>
          <w:szCs w:val="24"/>
          <w:lang w:val="es-ES"/>
        </w:rPr>
        <w:t xml:space="preserve"> víctimas respaldan la petición de la Fiscalía para reiniciar la investigación y sostienen que el Gobierno de Venezuela no muestra disposición genuina para investigar y enjuiciar los crímenes de lesa humanidad perpetrados por las autoridades estatales, las fuerzas de seguridad y los colectivos</w:t>
      </w:r>
      <w:r w:rsidRPr="005747B6">
        <w:rPr>
          <w:rFonts w:ascii="Garamond" w:eastAsia="Garamond" w:hAnsi="Garamond"/>
          <w:szCs w:val="24"/>
          <w:vertAlign w:val="superscript"/>
        </w:rPr>
        <w:footnoteReference w:id="8"/>
      </w:r>
      <w:r w:rsidRPr="005747B6">
        <w:rPr>
          <w:rFonts w:ascii="Garamond" w:eastAsia="Garamond" w:hAnsi="Garamond" w:cs="Garamond"/>
          <w:color w:val="000000"/>
          <w:szCs w:val="24"/>
          <w:lang w:val="es-ES"/>
        </w:rPr>
        <w:t xml:space="preserve">. </w:t>
      </w:r>
    </w:p>
    <w:p w14:paraId="1010BAE7" w14:textId="77777777" w:rsidR="00344693" w:rsidRPr="005747B6" w:rsidRDefault="00344693" w:rsidP="00344693">
      <w:pPr>
        <w:pStyle w:val="ListParagraph"/>
        <w:spacing w:line="276" w:lineRule="auto"/>
        <w:rPr>
          <w:rFonts w:ascii="Garamond" w:eastAsia="Garamond" w:hAnsi="Garamond" w:cs="Garamond"/>
          <w:color w:val="000000"/>
          <w:szCs w:val="24"/>
          <w:lang w:val="es-ES"/>
        </w:rPr>
      </w:pPr>
    </w:p>
    <w:p w14:paraId="282BFEBB" w14:textId="52F69251" w:rsidR="00344693" w:rsidRPr="00E66D05" w:rsidRDefault="001564AF" w:rsidP="00E66D05">
      <w:pPr>
        <w:pStyle w:val="ListParagraph"/>
        <w:numPr>
          <w:ilvl w:val="0"/>
          <w:numId w:val="12"/>
        </w:numPr>
        <w:spacing w:line="276" w:lineRule="auto"/>
        <w:rPr>
          <w:rFonts w:ascii="Garamond" w:eastAsia="Garamond" w:hAnsi="Garamond" w:cs="Garamond"/>
          <w:color w:val="000000"/>
          <w:szCs w:val="24"/>
          <w:lang w:val="es-ES"/>
        </w:rPr>
      </w:pPr>
      <w:r>
        <w:rPr>
          <w:rFonts w:ascii="Garamond" w:eastAsia="Garamond" w:hAnsi="Garamond" w:cs="Garamond"/>
          <w:color w:val="000000"/>
          <w:szCs w:val="24"/>
          <w:lang w:val="es-ES"/>
        </w:rPr>
        <w:t>El</w:t>
      </w:r>
      <w:r w:rsidR="00A0140B" w:rsidRPr="005747B6">
        <w:rPr>
          <w:rFonts w:ascii="Garamond" w:eastAsia="Garamond" w:hAnsi="Garamond" w:cs="Garamond"/>
          <w:color w:val="000000"/>
          <w:szCs w:val="24"/>
          <w:lang w:val="es-ES"/>
        </w:rPr>
        <w:t xml:space="preserve"> máximo representante del Ministerio </w:t>
      </w:r>
      <w:r w:rsidR="00A0140B" w:rsidRPr="005747B6">
        <w:rPr>
          <w:rFonts w:ascii="Garamond" w:eastAsia="Garamond" w:hAnsi="Garamond" w:cs="Garamond"/>
          <w:szCs w:val="24"/>
          <w:lang w:val="es-ES"/>
        </w:rPr>
        <w:t>Público</w:t>
      </w:r>
      <w:r w:rsidR="00A0140B" w:rsidRPr="005747B6">
        <w:rPr>
          <w:rFonts w:ascii="Garamond" w:eastAsia="Garamond" w:hAnsi="Garamond" w:cs="Garamond"/>
          <w:color w:val="000000"/>
          <w:szCs w:val="24"/>
          <w:lang w:val="es-ES"/>
        </w:rPr>
        <w:t xml:space="preserve"> no ha llevado a cabo ninguna acción pertinente para dar respuesta a estas demandas, lo cual evidencia nuevamente la falta de voluntad de realizar investigaciones relevantes y genuinas.</w:t>
      </w:r>
    </w:p>
    <w:p w14:paraId="3EF508DE" w14:textId="05B984BB" w:rsidR="00A0140B" w:rsidRDefault="00A0140B" w:rsidP="00344693">
      <w:pPr>
        <w:pStyle w:val="ListParagraph"/>
        <w:spacing w:line="276" w:lineRule="auto"/>
        <w:ind w:left="2160" w:right="1260"/>
        <w:rPr>
          <w:rFonts w:ascii="Garamond" w:eastAsia="Garamond" w:hAnsi="Garamond" w:cs="Garamond"/>
          <w:color w:val="000000"/>
          <w:sz w:val="22"/>
          <w:lang w:val="es-ES"/>
        </w:rPr>
      </w:pPr>
      <w:r w:rsidRPr="00A73F40">
        <w:rPr>
          <w:rFonts w:ascii="Garamond" w:eastAsia="Garamond" w:hAnsi="Garamond" w:cs="Garamond"/>
          <w:color w:val="000000"/>
          <w:sz w:val="22"/>
          <w:lang w:val="es-ES"/>
        </w:rPr>
        <w:t>«Parece que las autoridades venezolanas no han investigado a funcionarios en posiciones medias o altas de autoridad en el aparato del Estado que también podrían ser responsables penalmente por la comisión de los delitos, ya sea directa o indirectamente»</w:t>
      </w:r>
      <w:r w:rsidRPr="00A73F40">
        <w:rPr>
          <w:rFonts w:ascii="Garamond" w:eastAsia="Garamond" w:hAnsi="Garamond"/>
          <w:sz w:val="22"/>
          <w:vertAlign w:val="superscript"/>
        </w:rPr>
        <w:footnoteReference w:id="9"/>
      </w:r>
      <w:r w:rsidRPr="00A73F40">
        <w:rPr>
          <w:rFonts w:ascii="Garamond" w:eastAsia="Garamond" w:hAnsi="Garamond" w:cs="Garamond"/>
          <w:color w:val="000000"/>
          <w:sz w:val="22"/>
          <w:lang w:val="es-ES"/>
        </w:rPr>
        <w:t xml:space="preserve"> </w:t>
      </w:r>
    </w:p>
    <w:p w14:paraId="762C9ECC" w14:textId="77777777" w:rsidR="001564AF" w:rsidRPr="00A73F40" w:rsidRDefault="001564AF" w:rsidP="00344693">
      <w:pPr>
        <w:pStyle w:val="ListParagraph"/>
        <w:spacing w:line="276" w:lineRule="auto"/>
        <w:ind w:left="2160" w:right="1260"/>
        <w:rPr>
          <w:rFonts w:ascii="Garamond" w:eastAsia="Garamond" w:hAnsi="Garamond" w:cs="Garamond"/>
          <w:color w:val="000000"/>
          <w:sz w:val="22"/>
          <w:lang w:val="es-ES"/>
        </w:rPr>
      </w:pPr>
    </w:p>
    <w:p w14:paraId="0E2E7123" w14:textId="7A4DE589" w:rsidR="00344693" w:rsidRPr="00E66D05" w:rsidRDefault="00A0140B" w:rsidP="00E66D05">
      <w:pPr>
        <w:pStyle w:val="ListParagraph"/>
        <w:numPr>
          <w:ilvl w:val="0"/>
          <w:numId w:val="12"/>
        </w:numPr>
        <w:spacing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t>Hasta ahora, las pocas sentencias judiciales dictadas han estado dirigidas contra los autores materiales de los crímenes. Ejemplo de lo anterior son las condenas impuestas en octubre de 2021 contra dos agentes de la Policía de Carabobo, por la muerte del joven Daniel Alejandro Queliz durante una manifestación en 2017; y contra el policía militar que disparó a quemarropa al estudiante David Vallenilla en las inmediaciones de la Base Área de La Carlota, también en una manifestación del mismo año</w:t>
      </w:r>
      <w:r w:rsidRPr="005747B6">
        <w:rPr>
          <w:rFonts w:ascii="Garamond" w:eastAsia="Garamond" w:hAnsi="Garamond"/>
          <w:szCs w:val="24"/>
          <w:vertAlign w:val="superscript"/>
        </w:rPr>
        <w:footnoteReference w:id="10"/>
      </w:r>
      <w:r w:rsidRPr="005747B6">
        <w:rPr>
          <w:rFonts w:ascii="Garamond" w:eastAsia="Garamond" w:hAnsi="Garamond" w:cs="Garamond"/>
          <w:color w:val="000000"/>
          <w:szCs w:val="24"/>
          <w:lang w:val="es-ES"/>
        </w:rPr>
        <w:t xml:space="preserve">. </w:t>
      </w:r>
    </w:p>
    <w:p w14:paraId="1D5580FA" w14:textId="77777777" w:rsidR="00A0140B" w:rsidRPr="00A73F40" w:rsidRDefault="00A0140B" w:rsidP="00344693">
      <w:pPr>
        <w:pStyle w:val="ListParagraph"/>
        <w:spacing w:line="276" w:lineRule="auto"/>
        <w:ind w:left="2160" w:right="1260"/>
        <w:rPr>
          <w:rFonts w:ascii="Garamond" w:eastAsia="Garamond" w:hAnsi="Garamond" w:cs="Garamond"/>
          <w:color w:val="000000"/>
          <w:sz w:val="22"/>
          <w:lang w:val="es-ES"/>
        </w:rPr>
      </w:pPr>
      <w:r w:rsidRPr="00A73F40">
        <w:rPr>
          <w:rFonts w:ascii="Garamond" w:eastAsia="Garamond" w:hAnsi="Garamond" w:cs="Garamond"/>
          <w:color w:val="000000"/>
          <w:sz w:val="22"/>
          <w:lang w:val="es-ES"/>
        </w:rPr>
        <w:t>«Los patrones y políticas que subrayan los elementos contextuales de los crímenes de lesa humanidad no están siendo investigados, los procesos internos se concentran exclusivamente en miembros de bajo rango de las fuerzas de seguridad del Estado (aparentemente autores materiales o directos), y una parte sustancial de la criminalidad relevante no está siendo investigada en absoluto»</w:t>
      </w:r>
      <w:r w:rsidRPr="00A73F40">
        <w:rPr>
          <w:rFonts w:ascii="Garamond" w:eastAsia="Garamond" w:hAnsi="Garamond"/>
          <w:sz w:val="22"/>
          <w:vertAlign w:val="superscript"/>
        </w:rPr>
        <w:footnoteReference w:id="11"/>
      </w:r>
    </w:p>
    <w:p w14:paraId="53830254" w14:textId="77777777" w:rsidR="00344693" w:rsidRPr="005747B6" w:rsidRDefault="00344693" w:rsidP="00344693">
      <w:pPr>
        <w:pStyle w:val="ListParagraph"/>
        <w:spacing w:line="276" w:lineRule="auto"/>
        <w:ind w:left="2160" w:right="1260"/>
        <w:rPr>
          <w:rFonts w:ascii="Garamond" w:eastAsia="Garamond" w:hAnsi="Garamond" w:cs="Garamond"/>
          <w:color w:val="000000"/>
          <w:szCs w:val="24"/>
          <w:lang w:val="es-ES"/>
        </w:rPr>
      </w:pPr>
    </w:p>
    <w:p w14:paraId="03208D4B" w14:textId="60AE3462" w:rsidR="00344693" w:rsidRPr="001564AF" w:rsidRDefault="00A0140B" w:rsidP="001564AF">
      <w:pPr>
        <w:pStyle w:val="ListParagraph"/>
        <w:numPr>
          <w:ilvl w:val="0"/>
          <w:numId w:val="12"/>
        </w:numPr>
        <w:spacing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t xml:space="preserve">El Fiscal Khan también se ha referido a la situación de provisionalidad de los jueces y fiscales ya mencionada, haciendo hincapié en que son designados por el </w:t>
      </w:r>
      <w:r w:rsidR="00A73F40">
        <w:rPr>
          <w:rFonts w:ascii="Garamond" w:eastAsia="Garamond" w:hAnsi="Garamond" w:cs="Garamond"/>
          <w:color w:val="000000"/>
          <w:szCs w:val="24"/>
          <w:lang w:val="es-ES"/>
        </w:rPr>
        <w:t xml:space="preserve">Tribunal Supremo de Justicia </w:t>
      </w:r>
      <w:r w:rsidR="00A73F40">
        <w:rPr>
          <w:rFonts w:ascii="Garamond" w:eastAsia="Garamond" w:hAnsi="Garamond" w:cs="Garamond"/>
          <w:color w:val="000000"/>
          <w:szCs w:val="24"/>
          <w:lang w:val="es-ES"/>
        </w:rPr>
        <w:lastRenderedPageBreak/>
        <w:t>(</w:t>
      </w:r>
      <w:r w:rsidRPr="005747B6">
        <w:rPr>
          <w:rFonts w:ascii="Garamond" w:eastAsia="Garamond" w:hAnsi="Garamond" w:cs="Garamond"/>
          <w:color w:val="000000"/>
          <w:szCs w:val="24"/>
          <w:lang w:val="es-ES"/>
        </w:rPr>
        <w:t>TSJ</w:t>
      </w:r>
      <w:r w:rsidR="00A73F40">
        <w:rPr>
          <w:rFonts w:ascii="Garamond" w:eastAsia="Garamond" w:hAnsi="Garamond" w:cs="Garamond"/>
          <w:color w:val="000000"/>
          <w:szCs w:val="24"/>
          <w:lang w:val="es-ES"/>
        </w:rPr>
        <w:t>)</w:t>
      </w:r>
      <w:r w:rsidRPr="005747B6">
        <w:rPr>
          <w:rFonts w:ascii="Garamond" w:eastAsia="Garamond" w:hAnsi="Garamond" w:cs="Garamond"/>
          <w:color w:val="000000"/>
          <w:szCs w:val="24"/>
          <w:lang w:val="es-ES"/>
        </w:rPr>
        <w:t xml:space="preserve"> y el Fiscal General de la República, respectivamente; y también pueden ser removidos por ellos en cualquier momento y sin procedimiento previo que les garantice el debido proceso</w:t>
      </w:r>
      <w:r w:rsidRPr="005747B6">
        <w:rPr>
          <w:rFonts w:ascii="Garamond" w:eastAsia="Garamond" w:hAnsi="Garamond"/>
          <w:szCs w:val="24"/>
          <w:vertAlign w:val="superscript"/>
        </w:rPr>
        <w:footnoteReference w:id="12"/>
      </w:r>
      <w:r w:rsidRPr="005747B6">
        <w:rPr>
          <w:rFonts w:ascii="Garamond" w:eastAsia="Garamond" w:hAnsi="Garamond" w:cs="Garamond"/>
          <w:color w:val="000000"/>
          <w:szCs w:val="24"/>
          <w:lang w:val="es-ES"/>
        </w:rPr>
        <w:t>.</w:t>
      </w:r>
    </w:p>
    <w:p w14:paraId="18D838A2" w14:textId="63FD2FD3" w:rsidR="00A0140B" w:rsidRPr="00A73F40" w:rsidRDefault="00A0140B" w:rsidP="00344693">
      <w:pPr>
        <w:pStyle w:val="ListParagraph"/>
        <w:spacing w:line="276" w:lineRule="auto"/>
        <w:ind w:left="2160" w:right="1260"/>
        <w:rPr>
          <w:rFonts w:ascii="Garamond" w:eastAsia="Garamond" w:hAnsi="Garamond" w:cs="Garamond"/>
          <w:color w:val="000000"/>
          <w:sz w:val="22"/>
          <w:lang w:val="es-ES"/>
        </w:rPr>
      </w:pPr>
      <w:r w:rsidRPr="00A73F40">
        <w:rPr>
          <w:rFonts w:ascii="Garamond" w:eastAsia="Garamond" w:hAnsi="Garamond" w:cs="Garamond"/>
          <w:color w:val="000000"/>
          <w:sz w:val="22"/>
          <w:lang w:val="es-ES"/>
        </w:rPr>
        <w:t>«Como resultado, su posición es precaria y el ejercicio de sus funciones es susceptible de influencias externas indebidas y lealtades personales o políticas»</w:t>
      </w:r>
      <w:r w:rsidRPr="00A73F40">
        <w:rPr>
          <w:rFonts w:ascii="Garamond" w:eastAsia="Garamond" w:hAnsi="Garamond"/>
          <w:sz w:val="22"/>
          <w:vertAlign w:val="superscript"/>
        </w:rPr>
        <w:footnoteReference w:id="13"/>
      </w:r>
    </w:p>
    <w:p w14:paraId="30FA062F" w14:textId="77777777" w:rsidR="00344693" w:rsidRPr="005747B6" w:rsidRDefault="00344693" w:rsidP="00344693">
      <w:pPr>
        <w:pStyle w:val="ListParagraph"/>
        <w:spacing w:line="276" w:lineRule="auto"/>
        <w:ind w:left="2160" w:right="1260"/>
        <w:rPr>
          <w:rFonts w:ascii="Garamond" w:eastAsia="Garamond" w:hAnsi="Garamond" w:cs="Garamond"/>
          <w:color w:val="000000"/>
          <w:szCs w:val="24"/>
          <w:lang w:val="es-ES"/>
        </w:rPr>
      </w:pPr>
    </w:p>
    <w:p w14:paraId="3A0166B5" w14:textId="23B8151A" w:rsidR="00A0140B" w:rsidRPr="005747B6" w:rsidRDefault="00A0140B" w:rsidP="00344693">
      <w:pPr>
        <w:pStyle w:val="ListParagraph"/>
        <w:numPr>
          <w:ilvl w:val="0"/>
          <w:numId w:val="12"/>
        </w:numPr>
        <w:rPr>
          <w:rFonts w:ascii="Garamond" w:eastAsia="Garamond" w:hAnsi="Garamond" w:cs="Garamond"/>
          <w:szCs w:val="24"/>
          <w:lang w:val="es-ES"/>
        </w:rPr>
      </w:pPr>
      <w:r w:rsidRPr="005747B6">
        <w:rPr>
          <w:rFonts w:ascii="Garamond" w:eastAsia="Garamond" w:hAnsi="Garamond" w:cs="Garamond"/>
          <w:szCs w:val="24"/>
          <w:lang w:val="es-ES"/>
        </w:rPr>
        <w:t xml:space="preserve">Tras un examen amplio y minucioso, esta fuente revela que en Venezuela no se está haciendo lo necesario por emprender investigaciones auténticas, transparentes y coherentes a las graves violaciones de derechos humanos que han ocurrido y han sido expuestas no solo en la denuncia ante la CPI, sino también en los informes de la </w:t>
      </w:r>
      <w:r w:rsidR="00A73F40">
        <w:rPr>
          <w:rFonts w:ascii="Garamond" w:eastAsia="Garamond" w:hAnsi="Garamond" w:cs="Garamond"/>
          <w:szCs w:val="24"/>
          <w:lang w:val="es-ES"/>
        </w:rPr>
        <w:t>Oficina del Alto Comisionado de Naciones Unidas para los Derechos Humanos (</w:t>
      </w:r>
      <w:r w:rsidRPr="005747B6">
        <w:rPr>
          <w:rFonts w:ascii="Garamond" w:eastAsia="Garamond" w:hAnsi="Garamond" w:cs="Garamond"/>
          <w:szCs w:val="24"/>
          <w:lang w:val="es-ES"/>
        </w:rPr>
        <w:t>OACNUDH</w:t>
      </w:r>
      <w:r w:rsidR="00A73F40">
        <w:rPr>
          <w:rFonts w:ascii="Garamond" w:eastAsia="Garamond" w:hAnsi="Garamond" w:cs="Garamond"/>
          <w:szCs w:val="24"/>
          <w:lang w:val="es-ES"/>
        </w:rPr>
        <w:t>)</w:t>
      </w:r>
      <w:r w:rsidRPr="005747B6">
        <w:rPr>
          <w:rFonts w:ascii="Garamond" w:eastAsia="Garamond" w:hAnsi="Garamond" w:cs="Garamond"/>
          <w:szCs w:val="24"/>
          <w:lang w:val="es-ES"/>
        </w:rPr>
        <w:t xml:space="preserve"> y la </w:t>
      </w:r>
      <w:r w:rsidR="00A73F40">
        <w:rPr>
          <w:rFonts w:ascii="Garamond" w:eastAsia="Garamond" w:hAnsi="Garamond" w:cs="Garamond"/>
          <w:szCs w:val="24"/>
          <w:lang w:val="es-ES"/>
        </w:rPr>
        <w:t>Misión Internacional para la Determinación de los Hechos (</w:t>
      </w:r>
      <w:r w:rsidRPr="005747B6">
        <w:rPr>
          <w:rFonts w:ascii="Garamond" w:eastAsia="Garamond" w:hAnsi="Garamond" w:cs="Garamond"/>
          <w:szCs w:val="24"/>
          <w:lang w:val="es-ES"/>
        </w:rPr>
        <w:t>MIDH</w:t>
      </w:r>
      <w:r w:rsidR="00A73F40">
        <w:rPr>
          <w:rFonts w:ascii="Garamond" w:eastAsia="Garamond" w:hAnsi="Garamond" w:cs="Garamond"/>
          <w:szCs w:val="24"/>
          <w:lang w:val="es-ES"/>
        </w:rPr>
        <w:t>)</w:t>
      </w:r>
      <w:r w:rsidRPr="005747B6">
        <w:rPr>
          <w:rFonts w:ascii="Garamond" w:eastAsia="Garamond" w:hAnsi="Garamond" w:cs="Garamond"/>
          <w:szCs w:val="24"/>
          <w:lang w:val="es-ES"/>
        </w:rPr>
        <w:t xml:space="preserve">. Las recomendaciones que se orientan a garantizar justicia a estos casos, siguen siendo ignoradas. </w:t>
      </w:r>
    </w:p>
    <w:p w14:paraId="674C8BB7" w14:textId="77777777" w:rsidR="00344693" w:rsidRPr="005747B6" w:rsidRDefault="00344693" w:rsidP="00344693">
      <w:pPr>
        <w:pStyle w:val="ListParagraph"/>
        <w:rPr>
          <w:rFonts w:ascii="Garamond" w:eastAsia="Garamond" w:hAnsi="Garamond" w:cs="Garamond"/>
          <w:szCs w:val="24"/>
          <w:lang w:val="es-ES"/>
        </w:rPr>
      </w:pPr>
    </w:p>
    <w:p w14:paraId="2175C159" w14:textId="111F5A6A" w:rsidR="00A0140B" w:rsidRDefault="00A0140B" w:rsidP="00344693">
      <w:pPr>
        <w:pStyle w:val="ListParagraph"/>
        <w:numPr>
          <w:ilvl w:val="0"/>
          <w:numId w:val="12"/>
        </w:numPr>
        <w:rPr>
          <w:rFonts w:ascii="Garamond" w:eastAsia="Garamond" w:hAnsi="Garamond" w:cs="Garamond"/>
          <w:szCs w:val="24"/>
          <w:lang w:val="es-ES"/>
        </w:rPr>
      </w:pPr>
      <w:r w:rsidRPr="005747B6">
        <w:rPr>
          <w:rFonts w:ascii="Garamond" w:eastAsia="Garamond" w:hAnsi="Garamond" w:cs="Garamond"/>
          <w:szCs w:val="24"/>
          <w:highlight w:val="white"/>
          <w:lang w:val="es-ES"/>
        </w:rPr>
        <w:t xml:space="preserve">Un claro ejemplo de este </w:t>
      </w:r>
      <w:r w:rsidR="001564AF">
        <w:rPr>
          <w:rFonts w:ascii="Garamond" w:eastAsia="Garamond" w:hAnsi="Garamond" w:cs="Garamond"/>
          <w:szCs w:val="24"/>
          <w:highlight w:val="white"/>
          <w:lang w:val="es-ES"/>
        </w:rPr>
        <w:t>patrón es</w:t>
      </w:r>
      <w:r w:rsidRPr="005747B6">
        <w:rPr>
          <w:rFonts w:ascii="Garamond" w:eastAsia="Garamond" w:hAnsi="Garamond" w:cs="Garamond"/>
          <w:szCs w:val="24"/>
          <w:highlight w:val="white"/>
          <w:lang w:val="es-ES"/>
        </w:rPr>
        <w:t xml:space="preserve"> el emblemático caso del Concejal Fernando Albán, quien fue miembro del partido de oposición, Primero Justicia. Albán fue detenido arbitrariamente el 5 de octubre de 2018, y falleció tres días después en custodia del Servicio Bolivariano de Inteligencia Nacional (SEBIN).  Este caso refleja de forma evidente la falta de voluntad de adelantar investigaciones transparentes, independientes, imparciales y efectivas sobre una grave violación de derechos humanos, respecto de la cual, la MIDH ha encontrado </w:t>
      </w:r>
      <w:r w:rsidRPr="005747B6">
        <w:rPr>
          <w:rFonts w:ascii="Garamond" w:eastAsia="Garamond" w:hAnsi="Garamond" w:cs="Garamond"/>
          <w:szCs w:val="24"/>
          <w:lang w:val="es-ES"/>
        </w:rPr>
        <w:t>motivos razonables para creer que personal del SEBIN</w:t>
      </w:r>
      <w:r w:rsidRPr="005747B6">
        <w:rPr>
          <w:rFonts w:ascii="Garamond" w:eastAsia="Garamond" w:hAnsi="Garamond"/>
          <w:szCs w:val="24"/>
          <w:vertAlign w:val="superscript"/>
        </w:rPr>
        <w:footnoteReference w:id="14"/>
      </w:r>
      <w:r w:rsidRPr="005747B6">
        <w:rPr>
          <w:rFonts w:ascii="Garamond" w:eastAsia="Garamond" w:hAnsi="Garamond" w:cs="Garamond"/>
          <w:szCs w:val="24"/>
          <w:lang w:val="es-ES"/>
        </w:rPr>
        <w:t xml:space="preserve"> estaba involucrado en la muerte y aun así la fiscalía sigue sin efectuar una investigación compatible con los estándares internacionales que derive en una acusación penal congruente con las expectativas y derechos de obtener justicia, verdad y reparación de las víctimas.  A la fecha</w:t>
      </w:r>
      <w:r w:rsidR="001564AF">
        <w:rPr>
          <w:rFonts w:ascii="Garamond" w:eastAsia="Garamond" w:hAnsi="Garamond" w:cs="Garamond"/>
          <w:szCs w:val="24"/>
          <w:lang w:val="es-ES"/>
        </w:rPr>
        <w:t xml:space="preserve">, </w:t>
      </w:r>
      <w:r w:rsidRPr="005747B6">
        <w:rPr>
          <w:rFonts w:ascii="Garamond" w:eastAsia="Garamond" w:hAnsi="Garamond" w:cs="Garamond"/>
          <w:szCs w:val="24"/>
          <w:highlight w:val="white"/>
          <w:lang w:val="es-ES"/>
        </w:rPr>
        <w:t xml:space="preserve">siguen sin llevarse a cabo actividades básicas de investigación y se han violado frontalmente las normas exigidas por los Protocolos de Minnesota o Estambul para las investigaciones de muertes potencialmente ilícitas ocurridas </w:t>
      </w:r>
      <w:r w:rsidRPr="005747B6">
        <w:rPr>
          <w:rFonts w:ascii="Garamond" w:eastAsia="Garamond" w:hAnsi="Garamond" w:cs="Garamond"/>
          <w:szCs w:val="24"/>
          <w:lang w:val="es-ES"/>
        </w:rPr>
        <w:t>cuando la persona estaba detenida o se encontraba bajo la custodia del Estado, sus órganos o agentes.</w:t>
      </w:r>
    </w:p>
    <w:p w14:paraId="34CE9E10" w14:textId="77777777" w:rsidR="001564AF" w:rsidRPr="005747B6" w:rsidRDefault="001564AF" w:rsidP="001564AF">
      <w:pPr>
        <w:pStyle w:val="ListParagraph"/>
        <w:rPr>
          <w:rFonts w:ascii="Garamond" w:eastAsia="Garamond" w:hAnsi="Garamond" w:cs="Garamond"/>
          <w:szCs w:val="24"/>
          <w:lang w:val="es-ES"/>
        </w:rPr>
      </w:pPr>
    </w:p>
    <w:p w14:paraId="2722F1AD" w14:textId="61E7F348" w:rsidR="00F12980" w:rsidRDefault="001564AF" w:rsidP="00344693">
      <w:pPr>
        <w:pStyle w:val="ListParagraph"/>
        <w:numPr>
          <w:ilvl w:val="0"/>
          <w:numId w:val="12"/>
        </w:numPr>
        <w:rPr>
          <w:rFonts w:ascii="Garamond" w:eastAsia="Garamond" w:hAnsi="Garamond" w:cs="Garamond"/>
          <w:szCs w:val="24"/>
          <w:lang w:val="es-ES"/>
        </w:rPr>
      </w:pPr>
      <w:r>
        <w:rPr>
          <w:rFonts w:ascii="Garamond" w:eastAsia="Garamond" w:hAnsi="Garamond" w:cs="Garamond"/>
          <w:szCs w:val="24"/>
          <w:lang w:val="es-ES"/>
        </w:rPr>
        <w:t>El</w:t>
      </w:r>
      <w:r w:rsidR="00A0140B" w:rsidRPr="005747B6">
        <w:rPr>
          <w:rFonts w:ascii="Garamond" w:eastAsia="Garamond" w:hAnsi="Garamond" w:cs="Garamond"/>
          <w:szCs w:val="24"/>
          <w:lang w:val="es-ES"/>
        </w:rPr>
        <w:t xml:space="preserve"> incumplimiento de 4 de los 6 principios esenciales del Protocolo de Minnesota ha sido comprobado al denunciarse que la investigación carece de transparencia y no ha sido conducida con independencia e imparcialidad, que la familia de la víctima no ha participado efectivamente en ella y ha sido caracterizada por su falta de exhaustividad. La MIDH ha señalado al respecto</w:t>
      </w:r>
      <w:r>
        <w:rPr>
          <w:rFonts w:ascii="Garamond" w:eastAsia="Garamond" w:hAnsi="Garamond" w:cs="Garamond"/>
          <w:szCs w:val="24"/>
          <w:lang w:val="es-ES"/>
        </w:rPr>
        <w:t>,</w:t>
      </w:r>
      <w:r w:rsidR="00A0140B" w:rsidRPr="005747B6">
        <w:rPr>
          <w:rFonts w:ascii="Garamond" w:eastAsia="Garamond" w:hAnsi="Garamond" w:cs="Garamond"/>
          <w:szCs w:val="24"/>
          <w:lang w:val="es-ES"/>
        </w:rPr>
        <w:t xml:space="preserve"> por ejemplo</w:t>
      </w:r>
      <w:r>
        <w:rPr>
          <w:rFonts w:ascii="Garamond" w:eastAsia="Garamond" w:hAnsi="Garamond" w:cs="Garamond"/>
          <w:szCs w:val="24"/>
          <w:lang w:val="es-ES"/>
        </w:rPr>
        <w:t>,</w:t>
      </w:r>
      <w:r w:rsidR="00A0140B" w:rsidRPr="005747B6">
        <w:rPr>
          <w:rFonts w:ascii="Garamond" w:eastAsia="Garamond" w:hAnsi="Garamond" w:cs="Garamond"/>
          <w:szCs w:val="24"/>
          <w:lang w:val="es-ES"/>
        </w:rPr>
        <w:t xml:space="preserve"> que la autopsia forense no fue realizada en cumplimiento de estos principios a los fines de determinar signos de tortura que pudiesen asegurar la presentación de cargos coherentes y que consideren la cadena de mando y por tanto el proceso existente para el caso es de extremo alcance limitado</w:t>
      </w:r>
      <w:r w:rsidR="00A0140B" w:rsidRPr="005747B6">
        <w:rPr>
          <w:rFonts w:ascii="Garamond" w:eastAsia="Garamond" w:hAnsi="Garamond"/>
          <w:szCs w:val="24"/>
          <w:vertAlign w:val="superscript"/>
        </w:rPr>
        <w:footnoteReference w:id="15"/>
      </w:r>
      <w:r w:rsidR="00A0140B" w:rsidRPr="005747B6">
        <w:rPr>
          <w:rFonts w:ascii="Garamond" w:eastAsia="Garamond" w:hAnsi="Garamond" w:cs="Garamond"/>
          <w:szCs w:val="24"/>
          <w:lang w:val="es-ES"/>
        </w:rPr>
        <w:t>. En conclusión, en Venezuela las investigaciones de violaciones de derechos humanos no responden a los estándares internacionales y no garantizan real justicia para las víctimas</w:t>
      </w:r>
      <w:r w:rsidR="00A73F40">
        <w:rPr>
          <w:rFonts w:ascii="Garamond" w:eastAsia="Garamond" w:hAnsi="Garamond" w:cs="Garamond"/>
          <w:szCs w:val="24"/>
          <w:lang w:val="es-ES"/>
        </w:rPr>
        <w:t>.</w:t>
      </w:r>
    </w:p>
    <w:p w14:paraId="62266BC9" w14:textId="77777777" w:rsidR="001564AF" w:rsidRPr="00E66D05" w:rsidRDefault="001564AF" w:rsidP="00E66D05">
      <w:pPr>
        <w:rPr>
          <w:rFonts w:ascii="Garamond" w:eastAsia="Garamond" w:hAnsi="Garamond" w:cs="Garamond"/>
          <w:szCs w:val="24"/>
          <w:lang w:val="es-ES"/>
        </w:rPr>
      </w:pPr>
    </w:p>
    <w:p w14:paraId="6FCF881A" w14:textId="2F5B042F" w:rsidR="004739DD" w:rsidRDefault="004061DE" w:rsidP="004739DD">
      <w:pPr>
        <w:rPr>
          <w:rFonts w:ascii="Garamond" w:hAnsi="Garamond"/>
          <w:b/>
          <w:bCs/>
          <w:sz w:val="24"/>
          <w:szCs w:val="24"/>
          <w:lang w:val="es-ES"/>
        </w:rPr>
      </w:pPr>
      <w:r>
        <w:rPr>
          <w:rFonts w:ascii="Garamond" w:hAnsi="Garamond"/>
          <w:b/>
          <w:bCs/>
          <w:sz w:val="24"/>
          <w:szCs w:val="24"/>
          <w:lang w:val="es-ES"/>
        </w:rPr>
        <w:lastRenderedPageBreak/>
        <w:t>III</w:t>
      </w:r>
      <w:r w:rsidR="00A73F40">
        <w:rPr>
          <w:rFonts w:ascii="Garamond" w:hAnsi="Garamond"/>
          <w:b/>
          <w:bCs/>
          <w:sz w:val="24"/>
          <w:szCs w:val="24"/>
          <w:lang w:val="es-ES"/>
        </w:rPr>
        <w:t>.</w:t>
      </w:r>
      <w:r w:rsidR="00FF200A" w:rsidRPr="005747B6">
        <w:rPr>
          <w:rFonts w:ascii="Garamond" w:hAnsi="Garamond"/>
          <w:b/>
          <w:bCs/>
          <w:sz w:val="24"/>
          <w:szCs w:val="24"/>
          <w:lang w:val="es-ES"/>
        </w:rPr>
        <w:t>PATRÓN CONTIN</w:t>
      </w:r>
      <w:r w:rsidR="00E66D05">
        <w:rPr>
          <w:rFonts w:ascii="Garamond" w:hAnsi="Garamond"/>
          <w:b/>
          <w:bCs/>
          <w:sz w:val="24"/>
          <w:szCs w:val="24"/>
          <w:lang w:val="es-ES"/>
        </w:rPr>
        <w:t>U</w:t>
      </w:r>
      <w:r w:rsidR="00FF200A" w:rsidRPr="005747B6">
        <w:rPr>
          <w:rFonts w:ascii="Garamond" w:hAnsi="Garamond"/>
          <w:b/>
          <w:bCs/>
          <w:sz w:val="24"/>
          <w:szCs w:val="24"/>
          <w:lang w:val="es-ES"/>
        </w:rPr>
        <w:t xml:space="preserve">O DE VIOLACIONES AL ARTÍCULO 14 </w:t>
      </w:r>
      <w:bookmarkStart w:id="0" w:name="_Toc465675468"/>
      <w:bookmarkStart w:id="1" w:name="_Toc93930540"/>
      <w:r w:rsidR="004739DD">
        <w:rPr>
          <w:rFonts w:ascii="Garamond" w:hAnsi="Garamond"/>
          <w:b/>
          <w:bCs/>
          <w:sz w:val="24"/>
          <w:szCs w:val="24"/>
          <w:lang w:val="es-ES"/>
        </w:rPr>
        <w:t>PIDCP</w:t>
      </w:r>
    </w:p>
    <w:p w14:paraId="6AC78E3E" w14:textId="33AFD6A5" w:rsidR="004739DD" w:rsidRDefault="00F22042" w:rsidP="004739DD">
      <w:pPr>
        <w:pStyle w:val="ListParagraph"/>
        <w:numPr>
          <w:ilvl w:val="0"/>
          <w:numId w:val="17"/>
        </w:numPr>
        <w:rPr>
          <w:rFonts w:ascii="Garamond" w:hAnsi="Garamond"/>
          <w:b/>
          <w:bCs/>
          <w:szCs w:val="24"/>
          <w:lang w:val="es-ES"/>
        </w:rPr>
      </w:pPr>
      <w:r w:rsidRPr="004739DD">
        <w:rPr>
          <w:rFonts w:ascii="Garamond" w:hAnsi="Garamond"/>
          <w:b/>
          <w:bCs/>
          <w:szCs w:val="24"/>
          <w:lang w:val="es-ES"/>
        </w:rPr>
        <w:t>D</w:t>
      </w:r>
      <w:r w:rsidR="00A11A9E" w:rsidRPr="004739DD">
        <w:rPr>
          <w:rFonts w:ascii="Garamond" w:hAnsi="Garamond"/>
          <w:b/>
          <w:bCs/>
          <w:szCs w:val="24"/>
          <w:lang w:val="es-ES"/>
        </w:rPr>
        <w:t xml:space="preserve">erecho a ser oído por un juez o tribunal </w:t>
      </w:r>
      <w:r w:rsidR="000A7945" w:rsidRPr="004739DD">
        <w:rPr>
          <w:rFonts w:ascii="Garamond" w:hAnsi="Garamond"/>
          <w:b/>
          <w:bCs/>
          <w:szCs w:val="24"/>
          <w:lang w:val="es-ES"/>
        </w:rPr>
        <w:t xml:space="preserve">competente, </w:t>
      </w:r>
      <w:r w:rsidR="00A11A9E" w:rsidRPr="004739DD">
        <w:rPr>
          <w:rFonts w:ascii="Garamond" w:hAnsi="Garamond"/>
          <w:b/>
          <w:bCs/>
          <w:szCs w:val="24"/>
          <w:lang w:val="es-ES"/>
        </w:rPr>
        <w:t>independiente e imparcial</w:t>
      </w:r>
      <w:bookmarkEnd w:id="0"/>
      <w:bookmarkEnd w:id="1"/>
    </w:p>
    <w:p w14:paraId="7EA56667" w14:textId="77777777" w:rsidR="004739DD" w:rsidRDefault="004739DD" w:rsidP="004739DD">
      <w:pPr>
        <w:pStyle w:val="ListParagraph"/>
        <w:rPr>
          <w:rFonts w:ascii="Garamond" w:hAnsi="Garamond"/>
          <w:b/>
          <w:bCs/>
          <w:szCs w:val="24"/>
          <w:lang w:val="es-ES"/>
        </w:rPr>
      </w:pPr>
    </w:p>
    <w:p w14:paraId="314C84BB" w14:textId="25EC7A23" w:rsidR="00344693" w:rsidRPr="004739DD" w:rsidRDefault="000A7945" w:rsidP="004739DD">
      <w:pPr>
        <w:pStyle w:val="ListParagraph"/>
        <w:numPr>
          <w:ilvl w:val="1"/>
          <w:numId w:val="17"/>
        </w:numPr>
        <w:rPr>
          <w:rFonts w:ascii="Garamond" w:hAnsi="Garamond"/>
          <w:b/>
          <w:bCs/>
          <w:szCs w:val="24"/>
          <w:lang w:val="es-ES"/>
        </w:rPr>
      </w:pPr>
      <w:r w:rsidRPr="004739DD">
        <w:rPr>
          <w:rFonts w:ascii="Garamond" w:hAnsi="Garamond"/>
          <w:b/>
          <w:bCs/>
          <w:i/>
          <w:iCs/>
          <w:szCs w:val="24"/>
          <w:lang w:val="es-ES"/>
        </w:rPr>
        <w:t xml:space="preserve">Derecho al juez natural </w:t>
      </w:r>
    </w:p>
    <w:p w14:paraId="2846D0D8" w14:textId="77777777" w:rsidR="004739DD" w:rsidRPr="004739DD" w:rsidRDefault="004739DD" w:rsidP="004739DD">
      <w:pPr>
        <w:pStyle w:val="ListParagraph"/>
        <w:spacing w:before="200" w:line="276" w:lineRule="auto"/>
        <w:rPr>
          <w:rFonts w:ascii="Garamond" w:hAnsi="Garamond"/>
          <w:i/>
          <w:iCs/>
          <w:szCs w:val="24"/>
          <w:lang w:val="es-ES"/>
        </w:rPr>
      </w:pPr>
    </w:p>
    <w:p w14:paraId="2639F677" w14:textId="57399F0C" w:rsidR="000A7945" w:rsidRDefault="00A0140B" w:rsidP="00344693">
      <w:pPr>
        <w:pStyle w:val="ListParagraph"/>
        <w:numPr>
          <w:ilvl w:val="0"/>
          <w:numId w:val="12"/>
        </w:numPr>
        <w:rPr>
          <w:rFonts w:ascii="Garamond" w:hAnsi="Garamond"/>
          <w:szCs w:val="24"/>
          <w:lang w:val="es-ES"/>
        </w:rPr>
      </w:pPr>
      <w:r w:rsidRPr="005747B6">
        <w:rPr>
          <w:rFonts w:ascii="Garamond" w:hAnsi="Garamond"/>
          <w:szCs w:val="24"/>
          <w:lang w:val="es-ES"/>
        </w:rPr>
        <w:t xml:space="preserve">En Venezuela, </w:t>
      </w:r>
      <w:r w:rsidR="003F44D7" w:rsidRPr="005747B6">
        <w:rPr>
          <w:rFonts w:ascii="Garamond" w:hAnsi="Garamond"/>
          <w:szCs w:val="24"/>
          <w:lang w:val="es-ES"/>
        </w:rPr>
        <w:t>pareciera existir</w:t>
      </w:r>
      <w:r w:rsidRPr="005747B6">
        <w:rPr>
          <w:rFonts w:ascii="Garamond" w:hAnsi="Garamond"/>
          <w:szCs w:val="24"/>
          <w:lang w:val="es-ES"/>
        </w:rPr>
        <w:t xml:space="preserve"> un cumplimiento formal de </w:t>
      </w:r>
      <w:r w:rsidR="003F44D7" w:rsidRPr="005747B6">
        <w:rPr>
          <w:rFonts w:ascii="Garamond" w:hAnsi="Garamond"/>
          <w:szCs w:val="24"/>
          <w:lang w:val="es-ES"/>
        </w:rPr>
        <w:t>la recomendación elaborada por el Comité en sus Observaciones Finales referente a la prohibición</w:t>
      </w:r>
      <w:r w:rsidR="000A7945" w:rsidRPr="005747B6">
        <w:rPr>
          <w:rFonts w:ascii="Garamond" w:hAnsi="Garamond"/>
          <w:szCs w:val="24"/>
          <w:lang w:val="es-ES"/>
        </w:rPr>
        <w:t xml:space="preserve"> que los civiles </w:t>
      </w:r>
      <w:r w:rsidR="003F44D7" w:rsidRPr="005747B6">
        <w:rPr>
          <w:rFonts w:ascii="Garamond" w:hAnsi="Garamond"/>
          <w:szCs w:val="24"/>
          <w:lang w:val="es-ES"/>
        </w:rPr>
        <w:t>sean</w:t>
      </w:r>
      <w:r w:rsidR="000A7945" w:rsidRPr="005747B6">
        <w:rPr>
          <w:rFonts w:ascii="Garamond" w:hAnsi="Garamond"/>
          <w:szCs w:val="24"/>
          <w:lang w:val="es-ES"/>
        </w:rPr>
        <w:t xml:space="preserve"> ser juzgados por la jurisdicción penal militar</w:t>
      </w:r>
      <w:r w:rsidR="003F44D7" w:rsidRPr="005747B6">
        <w:rPr>
          <w:rFonts w:ascii="Garamond" w:hAnsi="Garamond"/>
          <w:szCs w:val="24"/>
          <w:lang w:val="es-ES"/>
        </w:rPr>
        <w:t xml:space="preserve"> y en ese sentido el Estado pudiese alegar que ha tomado los correctivos pertinentes para detener la práctica del uso del fuero militar sobre civiles. No obstante, debemos advertir que la amenaza sigue latente y futuras violaciones pueden tener lugar. </w:t>
      </w:r>
    </w:p>
    <w:p w14:paraId="04D41777" w14:textId="77777777" w:rsidR="001564AF" w:rsidRPr="005747B6" w:rsidRDefault="001564AF" w:rsidP="001564AF">
      <w:pPr>
        <w:pStyle w:val="ListParagraph"/>
        <w:rPr>
          <w:rFonts w:ascii="Garamond" w:hAnsi="Garamond"/>
          <w:szCs w:val="24"/>
          <w:lang w:val="es-ES"/>
        </w:rPr>
      </w:pPr>
    </w:p>
    <w:p w14:paraId="3D90A541" w14:textId="011818EF" w:rsidR="000A7945" w:rsidRDefault="003F44D7" w:rsidP="001564AF">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Ciertamente, el</w:t>
      </w:r>
      <w:r w:rsidR="000A7945" w:rsidRPr="005747B6">
        <w:rPr>
          <w:rFonts w:ascii="Garamond" w:eastAsia="Garamond" w:hAnsi="Garamond" w:cs="Garamond"/>
          <w:szCs w:val="24"/>
          <w:lang w:val="es-ES"/>
        </w:rPr>
        <w:t xml:space="preserve"> 16 de septiembre de 2021, la Asamblea Nacional aprobó la Ley Orgánica de Reforma Parcial del Código Orgánico de Justicia Militar (LORPCJM). Esta medida responde a varias de las recomendaciones que se refieren al constante empleo del foro militar para juzgar civiles. No obstante, la sociedad civil ha identificado elementos que la caracterizan como un gesto no genuino de cumplimiento. </w:t>
      </w:r>
    </w:p>
    <w:p w14:paraId="05BCAAC2" w14:textId="77777777" w:rsidR="001564AF" w:rsidRPr="001564AF" w:rsidRDefault="001564AF" w:rsidP="001564AF">
      <w:pPr>
        <w:spacing w:after="0" w:line="276" w:lineRule="auto"/>
        <w:rPr>
          <w:rFonts w:ascii="Garamond" w:eastAsia="Garamond" w:hAnsi="Garamond" w:cs="Garamond"/>
          <w:szCs w:val="24"/>
          <w:lang w:val="es-ES"/>
        </w:rPr>
      </w:pPr>
    </w:p>
    <w:p w14:paraId="712074E5" w14:textId="4B5E1ADE" w:rsidR="000A7945" w:rsidRDefault="004739DD" w:rsidP="001564AF">
      <w:pPr>
        <w:pStyle w:val="ListParagraph"/>
        <w:numPr>
          <w:ilvl w:val="0"/>
          <w:numId w:val="12"/>
        </w:numPr>
        <w:spacing w:after="0" w:line="276" w:lineRule="auto"/>
        <w:rPr>
          <w:rFonts w:ascii="Garamond" w:eastAsia="Garamond" w:hAnsi="Garamond" w:cs="Garamond"/>
          <w:szCs w:val="24"/>
          <w:lang w:val="es-ES"/>
        </w:rPr>
      </w:pPr>
      <w:r>
        <w:rPr>
          <w:rFonts w:ascii="Garamond" w:eastAsia="Garamond" w:hAnsi="Garamond" w:cs="Garamond"/>
          <w:szCs w:val="24"/>
          <w:lang w:val="es-ES"/>
        </w:rPr>
        <w:t>La</w:t>
      </w:r>
      <w:r w:rsidR="000A7945" w:rsidRPr="005747B6">
        <w:rPr>
          <w:rFonts w:ascii="Garamond" w:eastAsia="Garamond" w:hAnsi="Garamond" w:cs="Garamond"/>
          <w:szCs w:val="24"/>
          <w:lang w:val="es-ES"/>
        </w:rPr>
        <w:t xml:space="preserve"> reforma se consumó a raíz de la destitución de Luisa Ortega Díaz como Fiscal General por parte de la írrita Asamblea Nacional Constituyente. La destitución de Ortega Díaz se dio en medio de una creciente tensión política en el país, producto del distanciamiento entre ella y su despacho y el gobierno del presidente Nicolás Maduro, al que denunció por violaciones a los derechos humanos y actos de corrupción. La Asamblea Nacional Constituyente acusó a Ortega Díaz de faltas graves en el ejercicio de su cargo y la destituyó, designando en su lugar a Tarek William Saab. Esta medida fue ampliamente cuestionada por organismos internacionales, quienes la consideraron como una maniobra para silenciar a una voz disidente y debilitar la independencia del Ministerio Público. </w:t>
      </w:r>
    </w:p>
    <w:p w14:paraId="09FD853A" w14:textId="77777777" w:rsidR="001564AF" w:rsidRPr="001564AF" w:rsidRDefault="001564AF" w:rsidP="001564AF">
      <w:pPr>
        <w:spacing w:after="0" w:line="276" w:lineRule="auto"/>
        <w:rPr>
          <w:rFonts w:ascii="Garamond" w:eastAsia="Garamond" w:hAnsi="Garamond" w:cs="Garamond"/>
          <w:szCs w:val="24"/>
          <w:lang w:val="es-ES"/>
        </w:rPr>
      </w:pPr>
    </w:p>
    <w:p w14:paraId="05315D92" w14:textId="77777777" w:rsidR="000A7945" w:rsidRDefault="000A7945" w:rsidP="001564AF">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 xml:space="preserve">En vista que el control de la fiscalía fue retomado por el Gobierno, la intervención de los juzgados militares para condenar a disidentes civiles, que había sido práctica mientras Ortega Díaz estuvo al frente de la Fiscalía, dejó de ser una táctica revestida de supuesta legalidad. Así, el adelanto de la reforma era más plausible. No obstante, su efectiva ejecución sigue en entredicho. </w:t>
      </w:r>
    </w:p>
    <w:p w14:paraId="4EAEBE55" w14:textId="77777777" w:rsidR="001564AF" w:rsidRPr="001564AF" w:rsidRDefault="001564AF" w:rsidP="001564AF">
      <w:pPr>
        <w:spacing w:after="0" w:line="276" w:lineRule="auto"/>
        <w:rPr>
          <w:rFonts w:ascii="Garamond" w:eastAsia="Garamond" w:hAnsi="Garamond" w:cs="Garamond"/>
          <w:szCs w:val="24"/>
          <w:lang w:val="es-ES"/>
        </w:rPr>
      </w:pPr>
    </w:p>
    <w:p w14:paraId="51DF5E90" w14:textId="77777777" w:rsidR="000A7945" w:rsidRDefault="000A7945" w:rsidP="001564AF">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 xml:space="preserve">Vale destacar que la reforma en este caso se limitó a cinco artículos y una disposición transitoria, y su enfoque principal es prohibir que civiles sean juzgados por tribunales militares. Esta restricción se complementa con el artículo 128 de la LORPCJM, que establece que en casos donde se juzguen tanto civiles como militares, los tribunales competentes serán los civiles. La claridad de esta norma, al igual que el resto de la reforma, aparentemente no deja lugar a excepciones a esta prohibición, lo cual sería compatible con los estándares internacionales. Sin embargo, como advierte Acceso a la Justicia, la aplicación de esta norma </w:t>
      </w:r>
      <w:r w:rsidRPr="005747B6">
        <w:rPr>
          <w:rFonts w:ascii="Garamond" w:eastAsia="Garamond" w:hAnsi="Garamond" w:cs="Garamond"/>
          <w:szCs w:val="24"/>
          <w:lang w:val="es-ES"/>
        </w:rPr>
        <w:lastRenderedPageBreak/>
        <w:t>se ve comprometida no solo por prácticas contrarias en diversos tribunales, sino también debido a una jurisprudencia reiterada de la Sala Constitucional del TSJ</w:t>
      </w:r>
      <w:r w:rsidRPr="005747B6">
        <w:rPr>
          <w:rFonts w:ascii="Garamond" w:eastAsia="Garamond" w:hAnsi="Garamond"/>
          <w:szCs w:val="24"/>
          <w:vertAlign w:val="superscript"/>
        </w:rPr>
        <w:footnoteReference w:id="16"/>
      </w:r>
      <w:r w:rsidRPr="005747B6">
        <w:rPr>
          <w:rFonts w:ascii="Garamond" w:eastAsia="Garamond" w:hAnsi="Garamond" w:cs="Garamond"/>
          <w:szCs w:val="24"/>
          <w:lang w:val="es-ES"/>
        </w:rPr>
        <w:t>.</w:t>
      </w:r>
    </w:p>
    <w:p w14:paraId="310F6C13" w14:textId="77777777" w:rsidR="001564AF" w:rsidRPr="001564AF" w:rsidRDefault="001564AF" w:rsidP="001564AF">
      <w:pPr>
        <w:spacing w:after="0" w:line="276" w:lineRule="auto"/>
        <w:rPr>
          <w:rFonts w:ascii="Garamond" w:eastAsia="Garamond" w:hAnsi="Garamond" w:cs="Garamond"/>
          <w:szCs w:val="24"/>
          <w:lang w:val="es-ES"/>
        </w:rPr>
      </w:pPr>
    </w:p>
    <w:p w14:paraId="013BA0D2" w14:textId="06BE1038" w:rsidR="000A7945" w:rsidRDefault="000A7945" w:rsidP="001564AF">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La Sala Constitucional, confirmó mediante sentencia</w:t>
      </w:r>
      <w:r w:rsidR="00AB5275" w:rsidRPr="005747B6">
        <w:rPr>
          <w:rFonts w:ascii="Garamond" w:eastAsia="Garamond" w:hAnsi="Garamond"/>
          <w:szCs w:val="24"/>
          <w:vertAlign w:val="superscript"/>
        </w:rPr>
        <w:footnoteReference w:id="17"/>
      </w:r>
      <w:r w:rsidR="00AB5275" w:rsidRPr="005747B6">
        <w:rPr>
          <w:rFonts w:ascii="Garamond" w:eastAsia="Garamond" w:hAnsi="Garamond" w:cs="Garamond"/>
          <w:szCs w:val="24"/>
          <w:lang w:val="es-ES"/>
        </w:rPr>
        <w:t xml:space="preserve"> </w:t>
      </w:r>
      <w:r w:rsidRPr="005747B6">
        <w:rPr>
          <w:rFonts w:ascii="Garamond" w:eastAsia="Garamond" w:hAnsi="Garamond" w:cs="Garamond"/>
          <w:szCs w:val="24"/>
          <w:lang w:val="es-ES"/>
        </w:rPr>
        <w:t>que los jueces de los Tribunales de Control Penal Militar tienen la obligación de determinar de manera anticipada, a través de un análisis fundamentado, los límites de su competencia para juzgar a civiles. Esta determinación puede realizarse de oficio o a solicitud de una de las partes y abre la posibilidad de que los tribunales militares vuelvan a tener la facultad de juzgar civiles siendo solo necesario que lo justifiquen en su decisión. Acceso a la Justicia consideró esta sentencia como un retroceso significativo. En la decisión, la Sala cita el artículo 124 del Código Orgánico de Justicia Militar, sin tener en cuenta la última reforma del año 2021 (anterior a la sentencia), que elimina el numeral 5 con relación al juzgamiento de civiles. Además, todos los artículos modificados (6, 21, 128 y 593) especifican que solo los militares pueden ser juzgados por los tribunales militares en materia penal, y que ningún civil puede ser enjuiciado por estos tribunales</w:t>
      </w:r>
      <w:r w:rsidRPr="005747B6">
        <w:rPr>
          <w:rFonts w:ascii="Garamond" w:eastAsia="Barlow" w:hAnsi="Garamond" w:cs="Barlow"/>
          <w:color w:val="2B2B2B"/>
          <w:szCs w:val="24"/>
          <w:vertAlign w:val="superscript"/>
        </w:rPr>
        <w:footnoteReference w:id="18"/>
      </w:r>
      <w:r w:rsidRPr="005747B6">
        <w:rPr>
          <w:rFonts w:ascii="Garamond" w:eastAsia="Garamond" w:hAnsi="Garamond" w:cs="Garamond"/>
          <w:szCs w:val="24"/>
          <w:lang w:val="es-ES"/>
        </w:rPr>
        <w:t>.</w:t>
      </w:r>
    </w:p>
    <w:p w14:paraId="6DC4B255" w14:textId="77777777" w:rsidR="001564AF" w:rsidRPr="001564AF" w:rsidRDefault="001564AF" w:rsidP="001564AF">
      <w:pPr>
        <w:spacing w:after="0" w:line="276" w:lineRule="auto"/>
        <w:rPr>
          <w:rFonts w:ascii="Garamond" w:eastAsia="Garamond" w:hAnsi="Garamond" w:cs="Garamond"/>
          <w:szCs w:val="24"/>
          <w:lang w:val="es-ES"/>
        </w:rPr>
      </w:pPr>
    </w:p>
    <w:p w14:paraId="3317429B" w14:textId="26A5C0E2" w:rsidR="00E66D05" w:rsidRPr="00E66D05" w:rsidRDefault="000A7945" w:rsidP="00E66D05">
      <w:pPr>
        <w:pStyle w:val="ListParagraph"/>
        <w:numPr>
          <w:ilvl w:val="0"/>
          <w:numId w:val="12"/>
        </w:numPr>
        <w:pBdr>
          <w:top w:val="nil"/>
          <w:left w:val="nil"/>
          <w:bottom w:val="nil"/>
          <w:right w:val="nil"/>
          <w:between w:val="nil"/>
        </w:pBdr>
        <w:shd w:val="clear" w:color="auto" w:fill="FFFFFF"/>
        <w:spacing w:after="0"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t xml:space="preserve">Por lo tanto, la reforma, a pesar de verse como avance significativo, se contrarresta por la mencionada sentencia de la Sala Constitucional, lo que significa que su implementación, dependerá de la discreción y conveniencia de quienes tienen el control del Poder Judicial. La recomendación no ha sido ni será cumplida hasta que no exista un cambio jurisprudencial. </w:t>
      </w:r>
    </w:p>
    <w:p w14:paraId="577EEC5B" w14:textId="77777777" w:rsidR="00E66D05" w:rsidRPr="005747B6" w:rsidRDefault="00E66D05" w:rsidP="00344693">
      <w:pPr>
        <w:pStyle w:val="ListParagraph"/>
        <w:pBdr>
          <w:top w:val="nil"/>
          <w:left w:val="nil"/>
          <w:bottom w:val="nil"/>
          <w:right w:val="nil"/>
          <w:between w:val="nil"/>
        </w:pBdr>
        <w:shd w:val="clear" w:color="auto" w:fill="FFFFFF"/>
        <w:spacing w:after="360" w:line="276" w:lineRule="auto"/>
        <w:rPr>
          <w:rFonts w:ascii="Garamond" w:eastAsia="Garamond" w:hAnsi="Garamond" w:cs="Garamond"/>
          <w:color w:val="000000"/>
          <w:szCs w:val="24"/>
          <w:lang w:val="es-ES"/>
        </w:rPr>
      </w:pPr>
    </w:p>
    <w:p w14:paraId="1A9E00AB" w14:textId="78B0085A" w:rsidR="00C26616" w:rsidRPr="004739DD" w:rsidRDefault="00C26616" w:rsidP="004739DD">
      <w:pPr>
        <w:pStyle w:val="ListParagraph"/>
        <w:numPr>
          <w:ilvl w:val="1"/>
          <w:numId w:val="17"/>
        </w:numPr>
        <w:rPr>
          <w:rFonts w:ascii="Garamond" w:hAnsi="Garamond"/>
          <w:b/>
          <w:bCs/>
          <w:i/>
          <w:iCs/>
          <w:szCs w:val="24"/>
          <w:lang w:val="es-ES"/>
        </w:rPr>
      </w:pPr>
      <w:r w:rsidRPr="004739DD">
        <w:rPr>
          <w:rFonts w:ascii="Garamond" w:hAnsi="Garamond"/>
          <w:b/>
          <w:bCs/>
          <w:i/>
          <w:iCs/>
          <w:szCs w:val="24"/>
          <w:lang w:val="es-ES"/>
        </w:rPr>
        <w:t>Provisionalidad de juece</w:t>
      </w:r>
      <w:r w:rsidR="00E8149D" w:rsidRPr="004739DD">
        <w:rPr>
          <w:rFonts w:ascii="Garamond" w:hAnsi="Garamond"/>
          <w:b/>
          <w:bCs/>
          <w:i/>
          <w:iCs/>
          <w:szCs w:val="24"/>
          <w:lang w:val="es-ES"/>
        </w:rPr>
        <w:t>s</w:t>
      </w:r>
      <w:r w:rsidRPr="004739DD">
        <w:rPr>
          <w:rFonts w:ascii="Garamond" w:hAnsi="Garamond"/>
          <w:b/>
          <w:bCs/>
          <w:i/>
          <w:iCs/>
          <w:szCs w:val="24"/>
          <w:lang w:val="es-ES"/>
        </w:rPr>
        <w:t xml:space="preserve"> y fiscales </w:t>
      </w:r>
    </w:p>
    <w:p w14:paraId="16D36400" w14:textId="77777777" w:rsidR="00E8149D" w:rsidRPr="005747B6" w:rsidRDefault="00E8149D" w:rsidP="00E8149D">
      <w:pPr>
        <w:pStyle w:val="ListParagraph"/>
        <w:spacing w:before="200" w:line="276" w:lineRule="auto"/>
        <w:ind w:left="1080"/>
        <w:rPr>
          <w:rFonts w:ascii="Garamond" w:hAnsi="Garamond"/>
          <w:szCs w:val="24"/>
          <w:lang w:val="es-ES"/>
        </w:rPr>
      </w:pPr>
    </w:p>
    <w:p w14:paraId="77FC8238" w14:textId="2D1CD48C" w:rsidR="008C09A0" w:rsidRPr="001564AF" w:rsidRDefault="00744352" w:rsidP="001564AF">
      <w:pPr>
        <w:pStyle w:val="ListParagraph"/>
        <w:numPr>
          <w:ilvl w:val="0"/>
          <w:numId w:val="12"/>
        </w:numPr>
        <w:spacing w:before="200" w:line="276" w:lineRule="auto"/>
        <w:rPr>
          <w:rFonts w:ascii="Garamond" w:hAnsi="Garamond" w:cs="Times"/>
          <w:color w:val="000000" w:themeColor="text1"/>
          <w:szCs w:val="24"/>
          <w:shd w:val="clear" w:color="auto" w:fill="FFFFFF"/>
        </w:rPr>
      </w:pPr>
      <w:r w:rsidRPr="005747B6">
        <w:rPr>
          <w:rFonts w:ascii="Garamond" w:hAnsi="Garamond"/>
          <w:szCs w:val="24"/>
          <w:lang w:val="es-ES"/>
        </w:rPr>
        <w:t xml:space="preserve">El </w:t>
      </w:r>
      <w:r w:rsidR="00A11A9E" w:rsidRPr="005747B6">
        <w:rPr>
          <w:rFonts w:ascii="Garamond" w:hAnsi="Garamond"/>
          <w:color w:val="000000" w:themeColor="text1"/>
          <w:szCs w:val="24"/>
          <w:lang w:val="es-ES_tradnl"/>
        </w:rPr>
        <w:t>Comité ha establecido</w:t>
      </w:r>
      <w:r w:rsidRPr="005747B6">
        <w:rPr>
          <w:rFonts w:ascii="Garamond" w:hAnsi="Garamond"/>
          <w:color w:val="000000" w:themeColor="text1"/>
          <w:szCs w:val="24"/>
          <w:lang w:val="es-ES_tradnl"/>
        </w:rPr>
        <w:t xml:space="preserve"> que </w:t>
      </w:r>
      <w:r w:rsidRPr="005747B6">
        <w:rPr>
          <w:rFonts w:ascii="Garamond" w:hAnsi="Garamond" w:cs="Times"/>
          <w:i/>
          <w:color w:val="000000" w:themeColor="text1"/>
          <w:szCs w:val="24"/>
          <w:shd w:val="clear" w:color="auto" w:fill="FFFFFF"/>
          <w:lang w:val="es-ES"/>
        </w:rPr>
        <w:t>e</w:t>
      </w:r>
      <w:r w:rsidR="00A11A9E" w:rsidRPr="005747B6">
        <w:rPr>
          <w:rFonts w:ascii="Garamond" w:hAnsi="Garamond" w:cs="Times"/>
          <w:i/>
          <w:color w:val="000000" w:themeColor="text1"/>
          <w:szCs w:val="24"/>
          <w:shd w:val="clear" w:color="auto" w:fill="FFFFFF"/>
          <w:lang w:val="es-ES"/>
        </w:rPr>
        <w:t xml:space="preserve">l </w:t>
      </w:r>
      <w:r w:rsidR="00A11A9E" w:rsidRPr="005747B6">
        <w:rPr>
          <w:rFonts w:ascii="Garamond" w:hAnsi="Garamond" w:cs="Times"/>
          <w:b/>
          <w:i/>
          <w:color w:val="000000" w:themeColor="text1"/>
          <w:szCs w:val="24"/>
          <w:shd w:val="clear" w:color="auto" w:fill="FFFFFF"/>
          <w:lang w:val="es-ES"/>
        </w:rPr>
        <w:t>requisito de independencia</w:t>
      </w:r>
      <w:r w:rsidR="00A11A9E" w:rsidRPr="005747B6">
        <w:rPr>
          <w:rFonts w:ascii="Garamond" w:hAnsi="Garamond" w:cs="Times"/>
          <w:i/>
          <w:color w:val="000000" w:themeColor="text1"/>
          <w:szCs w:val="24"/>
          <w:shd w:val="clear" w:color="auto" w:fill="FFFFFF"/>
          <w:lang w:val="es-ES"/>
        </w:rPr>
        <w:t xml:space="preserve"> se refiere, en particular, </w:t>
      </w:r>
      <w:r w:rsidR="00A11A9E" w:rsidRPr="005747B6">
        <w:rPr>
          <w:rFonts w:ascii="Garamond" w:hAnsi="Garamond" w:cs="Times"/>
          <w:b/>
          <w:i/>
          <w:color w:val="000000" w:themeColor="text1"/>
          <w:szCs w:val="24"/>
          <w:shd w:val="clear" w:color="auto" w:fill="FFFFFF"/>
          <w:lang w:val="es-ES"/>
        </w:rPr>
        <w:t>al procedimiento y las cualificaciones para el nombramiento de los jueces</w:t>
      </w:r>
      <w:r w:rsidR="00A11A9E" w:rsidRPr="005747B6">
        <w:rPr>
          <w:rFonts w:ascii="Garamond" w:hAnsi="Garamond" w:cs="Times"/>
          <w:i/>
          <w:color w:val="000000" w:themeColor="text1"/>
          <w:szCs w:val="24"/>
          <w:shd w:val="clear" w:color="auto" w:fill="FFFFFF"/>
          <w:lang w:val="es-ES"/>
        </w:rPr>
        <w:t xml:space="preserve">, </w:t>
      </w:r>
      <w:r w:rsidR="00A11A9E" w:rsidRPr="005747B6">
        <w:rPr>
          <w:rFonts w:ascii="Garamond" w:hAnsi="Garamond" w:cs="Times"/>
          <w:b/>
          <w:i/>
          <w:color w:val="000000" w:themeColor="text1"/>
          <w:szCs w:val="24"/>
          <w:shd w:val="clear" w:color="auto" w:fill="FFFFFF"/>
          <w:lang w:val="es-ES"/>
        </w:rPr>
        <w:t>y las garantías en relación con su seguridad en el cargo</w:t>
      </w:r>
      <w:r w:rsidR="00A11A9E" w:rsidRPr="005747B6">
        <w:rPr>
          <w:rFonts w:ascii="Garamond" w:hAnsi="Garamond" w:cs="Times"/>
          <w:color w:val="000000" w:themeColor="text1"/>
          <w:szCs w:val="24"/>
          <w:shd w:val="clear" w:color="auto" w:fill="FFFFFF"/>
          <w:lang w:val="es-ES"/>
        </w:rPr>
        <w:t>”</w:t>
      </w:r>
      <w:r w:rsidR="00A11A9E" w:rsidRPr="005747B6">
        <w:rPr>
          <w:rStyle w:val="FootnoteReference"/>
          <w:rFonts w:ascii="Garamond" w:hAnsi="Garamond" w:cs="Times"/>
          <w:color w:val="000000" w:themeColor="text1"/>
          <w:szCs w:val="24"/>
        </w:rPr>
        <w:footnoteReference w:id="19"/>
      </w:r>
      <w:r w:rsidR="00A11A9E" w:rsidRPr="005747B6">
        <w:rPr>
          <w:rFonts w:ascii="Garamond" w:hAnsi="Garamond" w:cs="Times"/>
          <w:color w:val="000000" w:themeColor="text1"/>
          <w:szCs w:val="24"/>
          <w:shd w:val="clear" w:color="auto" w:fill="FFFFFF"/>
          <w:lang w:val="es-ES"/>
        </w:rPr>
        <w:t xml:space="preserve">. </w:t>
      </w:r>
      <w:r w:rsidR="008C09A0" w:rsidRPr="001564AF">
        <w:rPr>
          <w:rFonts w:ascii="Garamond" w:hAnsi="Garamond" w:cs="Times"/>
          <w:color w:val="000000" w:themeColor="text1"/>
          <w:szCs w:val="24"/>
          <w:shd w:val="clear" w:color="auto" w:fill="FFFFFF"/>
        </w:rPr>
        <w:t xml:space="preserve">El Comité reiteradamente ha sostenido el carácter excepcional y limitado en el tiempo de los nombramientos provisorios de los miembros del poder judicial, y ha calificado la garantía </w:t>
      </w:r>
      <w:r w:rsidR="008C09A0" w:rsidRPr="001564AF">
        <w:rPr>
          <w:rFonts w:ascii="Garamond" w:hAnsi="Garamond"/>
          <w:b/>
          <w:szCs w:val="24"/>
        </w:rPr>
        <w:t>extensible también a otros operadores judiciales, tales como los fiscales</w:t>
      </w:r>
      <w:r w:rsidR="008C09A0" w:rsidRPr="005747B6">
        <w:rPr>
          <w:rStyle w:val="FootnoteReference"/>
          <w:rFonts w:ascii="Garamond" w:hAnsi="Garamond"/>
          <w:szCs w:val="24"/>
        </w:rPr>
        <w:footnoteReference w:id="20"/>
      </w:r>
      <w:r w:rsidR="008C09A0" w:rsidRPr="001564AF">
        <w:rPr>
          <w:rFonts w:ascii="Garamond" w:hAnsi="Garamond"/>
          <w:szCs w:val="24"/>
        </w:rPr>
        <w:t>.En tal sentido, las Observaciones Finales elaboradas por el Comité para Venezuela ya resaltan la obligación del Estado venezolano de “</w:t>
      </w:r>
      <w:r w:rsidR="008C09A0" w:rsidRPr="001564AF">
        <w:rPr>
          <w:rFonts w:ascii="Garamond" w:hAnsi="Garamond"/>
          <w:b/>
          <w:bCs/>
          <w:szCs w:val="24"/>
        </w:rPr>
        <w:t>a</w:t>
      </w:r>
      <w:r w:rsidR="008C09A0" w:rsidRPr="001564AF">
        <w:rPr>
          <w:rFonts w:ascii="Garamond" w:hAnsi="Garamond"/>
          <w:b/>
          <w:bCs/>
          <w:szCs w:val="24"/>
          <w:lang w:val="es-ES"/>
        </w:rPr>
        <w:t>segurar y proteger la autonomía, independencia e imparcialidad de los jueces y fiscales”</w:t>
      </w:r>
      <w:r w:rsidR="008C09A0" w:rsidRPr="001564AF">
        <w:rPr>
          <w:rStyle w:val="FootnoteReference"/>
          <w:rFonts w:ascii="Garamond" w:hAnsi="Garamond"/>
          <w:szCs w:val="24"/>
        </w:rPr>
        <w:t xml:space="preserve"> </w:t>
      </w:r>
      <w:r w:rsidR="008C09A0" w:rsidRPr="005747B6">
        <w:rPr>
          <w:rStyle w:val="FootnoteReference"/>
          <w:rFonts w:ascii="Garamond" w:hAnsi="Garamond"/>
          <w:szCs w:val="24"/>
        </w:rPr>
        <w:footnoteReference w:id="21"/>
      </w:r>
      <w:r w:rsidR="008C09A0" w:rsidRPr="001564AF">
        <w:rPr>
          <w:rFonts w:ascii="Garamond" w:hAnsi="Garamond"/>
          <w:b/>
          <w:bCs/>
          <w:szCs w:val="24"/>
          <w:lang w:val="es-ES"/>
        </w:rPr>
        <w:t>.</w:t>
      </w:r>
    </w:p>
    <w:p w14:paraId="19B702D9" w14:textId="77777777" w:rsidR="008C09A0" w:rsidRPr="005747B6" w:rsidRDefault="008C09A0" w:rsidP="008C09A0">
      <w:pPr>
        <w:pStyle w:val="ListParagraph"/>
        <w:spacing w:line="276" w:lineRule="auto"/>
        <w:ind w:left="0"/>
        <w:rPr>
          <w:rFonts w:ascii="Garamond" w:hAnsi="Garamond"/>
          <w:b/>
          <w:bCs/>
          <w:szCs w:val="24"/>
          <w:lang w:val="es-ES"/>
        </w:rPr>
      </w:pPr>
    </w:p>
    <w:p w14:paraId="01FA85E5" w14:textId="4BCE9EFA" w:rsidR="008C09A0" w:rsidRDefault="008C09A0" w:rsidP="001564AF">
      <w:pPr>
        <w:pStyle w:val="ListParagraph"/>
        <w:numPr>
          <w:ilvl w:val="0"/>
          <w:numId w:val="12"/>
        </w:numPr>
        <w:spacing w:after="0" w:line="276" w:lineRule="auto"/>
        <w:rPr>
          <w:rFonts w:ascii="Garamond" w:hAnsi="Garamond"/>
          <w:szCs w:val="24"/>
          <w:lang w:val="es-ES_tradnl"/>
        </w:rPr>
      </w:pPr>
      <w:r w:rsidRPr="005747B6">
        <w:rPr>
          <w:rFonts w:ascii="Garamond" w:hAnsi="Garamond"/>
          <w:szCs w:val="24"/>
          <w:lang w:val="es-ES"/>
        </w:rPr>
        <w:lastRenderedPageBreak/>
        <w:t xml:space="preserve">El Estado venezolano le ha </w:t>
      </w:r>
      <w:r w:rsidR="00E41165" w:rsidRPr="005747B6">
        <w:rPr>
          <w:rFonts w:ascii="Garamond" w:hAnsi="Garamond"/>
          <w:szCs w:val="24"/>
          <w:lang w:val="es-ES"/>
        </w:rPr>
        <w:t>compartido</w:t>
      </w:r>
      <w:r w:rsidRPr="005747B6">
        <w:rPr>
          <w:rFonts w:ascii="Garamond" w:hAnsi="Garamond"/>
          <w:szCs w:val="24"/>
          <w:lang w:val="es-ES"/>
        </w:rPr>
        <w:t xml:space="preserve"> al Comité información desactualizada e incompleta sobre el verdadero estado de la provisionalidad en Venezuela. En su Quinto Informe señaló que en 2016 </w:t>
      </w:r>
      <w:r w:rsidRPr="005747B6">
        <w:rPr>
          <w:rFonts w:ascii="Garamond" w:hAnsi="Garamond"/>
          <w:szCs w:val="24"/>
          <w:lang w:val="es-ES_tradnl"/>
        </w:rPr>
        <w:t>se publicaron las Normas de Evaluación y Concurso de Oposición para el Ingreso y Ascenso a la Función Judicial, dictadas por la Sala Plena del</w:t>
      </w:r>
      <w:r w:rsidR="00E41165">
        <w:rPr>
          <w:rFonts w:ascii="Garamond" w:hAnsi="Garamond"/>
          <w:szCs w:val="24"/>
          <w:lang w:val="es-ES_tradnl"/>
        </w:rPr>
        <w:t xml:space="preserve"> TSJ</w:t>
      </w:r>
      <w:r w:rsidRPr="005747B6">
        <w:rPr>
          <w:rFonts w:ascii="Garamond" w:hAnsi="Garamond"/>
          <w:szCs w:val="24"/>
          <w:lang w:val="es-ES_tradnl"/>
        </w:rPr>
        <w:t xml:space="preserve"> y comenta en detalle como las mismas fueron elaboradas para presuntamente ofrecer un proceso íntegro y complejo</w:t>
      </w:r>
      <w:r w:rsidRPr="005747B6">
        <w:rPr>
          <w:rStyle w:val="FootnoteReference"/>
          <w:rFonts w:ascii="Garamond" w:hAnsi="Garamond"/>
          <w:szCs w:val="24"/>
          <w:lang w:val="es-ES_tradnl"/>
        </w:rPr>
        <w:footnoteReference w:id="22"/>
      </w:r>
      <w:r w:rsidRPr="005747B6">
        <w:rPr>
          <w:rFonts w:ascii="Garamond" w:hAnsi="Garamond"/>
          <w:szCs w:val="24"/>
          <w:lang w:val="es-ES_tradnl"/>
        </w:rPr>
        <w:t>. Las afirmaciones sobre la supuesta convocatoria a doscientos setenta y tres (273) jueces y juezas del Distrito Capital y de los estados Miranda y La Guaira, de los cuales un alegado 65% avanzó a la siguiente etapa del proceso, están definitivamente alejadas de la realidad y no corresponden a la situación actual de tales circuitos ni reflejan las condiciones del resto del país</w:t>
      </w:r>
      <w:r w:rsidRPr="005747B6">
        <w:rPr>
          <w:rStyle w:val="FootnoteReference"/>
          <w:rFonts w:ascii="Garamond" w:hAnsi="Garamond"/>
          <w:szCs w:val="24"/>
          <w:lang w:val="es-ES_tradnl"/>
        </w:rPr>
        <w:footnoteReference w:id="23"/>
      </w:r>
      <w:r w:rsidRPr="005747B6">
        <w:rPr>
          <w:rFonts w:ascii="Garamond" w:hAnsi="Garamond"/>
          <w:szCs w:val="24"/>
          <w:lang w:val="es-ES_tradnl"/>
        </w:rPr>
        <w:t xml:space="preserve">. </w:t>
      </w:r>
    </w:p>
    <w:p w14:paraId="187A5DD6" w14:textId="77777777" w:rsidR="001564AF" w:rsidRPr="001564AF" w:rsidRDefault="001564AF" w:rsidP="001564AF">
      <w:pPr>
        <w:spacing w:after="0" w:line="276" w:lineRule="auto"/>
        <w:rPr>
          <w:rFonts w:ascii="Garamond" w:hAnsi="Garamond"/>
          <w:szCs w:val="24"/>
          <w:lang w:val="es-ES_tradnl"/>
        </w:rPr>
      </w:pPr>
    </w:p>
    <w:p w14:paraId="46AB5286" w14:textId="34FFE0AB" w:rsidR="001564AF" w:rsidRPr="001564AF" w:rsidRDefault="001564AF" w:rsidP="001564AF">
      <w:pPr>
        <w:pStyle w:val="ListParagraph"/>
        <w:numPr>
          <w:ilvl w:val="0"/>
          <w:numId w:val="12"/>
        </w:numPr>
        <w:spacing w:after="0" w:line="276" w:lineRule="auto"/>
        <w:rPr>
          <w:rFonts w:ascii="Garamond" w:hAnsi="Garamond"/>
          <w:b/>
          <w:color w:val="000000"/>
          <w:szCs w:val="24"/>
          <w:u w:val="single"/>
          <w:lang w:val="es-ES"/>
        </w:rPr>
      </w:pPr>
      <w:r>
        <w:rPr>
          <w:rFonts w:ascii="Garamond" w:hAnsi="Garamond"/>
          <w:szCs w:val="24"/>
          <w:lang w:val="es-ES_tradnl"/>
        </w:rPr>
        <w:t xml:space="preserve">Luego </w:t>
      </w:r>
      <w:r w:rsidR="00D00A9E" w:rsidRPr="005747B6">
        <w:rPr>
          <w:rFonts w:ascii="Garamond" w:hAnsi="Garamond"/>
          <w:szCs w:val="24"/>
          <w:lang w:val="es-ES_tradnl"/>
        </w:rPr>
        <w:t xml:space="preserve">de sus Observaciones Finales, </w:t>
      </w:r>
      <w:r>
        <w:rPr>
          <w:rFonts w:ascii="Garamond" w:hAnsi="Garamond"/>
          <w:szCs w:val="24"/>
          <w:lang w:val="es-ES_tradnl"/>
        </w:rPr>
        <w:t xml:space="preserve">el Comité </w:t>
      </w:r>
      <w:r w:rsidR="00E41165">
        <w:rPr>
          <w:rFonts w:ascii="Garamond" w:hAnsi="Garamond"/>
          <w:szCs w:val="24"/>
          <w:lang w:val="es-ES_tradnl"/>
        </w:rPr>
        <w:t xml:space="preserve">tuvo que </w:t>
      </w:r>
      <w:r>
        <w:rPr>
          <w:rFonts w:ascii="Garamond" w:hAnsi="Garamond"/>
          <w:szCs w:val="24"/>
          <w:lang w:val="es-ES_tradnl"/>
        </w:rPr>
        <w:t>al</w:t>
      </w:r>
      <w:r w:rsidR="00E41165">
        <w:rPr>
          <w:rFonts w:ascii="Garamond" w:hAnsi="Garamond"/>
          <w:szCs w:val="24"/>
          <w:lang w:val="es-ES_tradnl"/>
        </w:rPr>
        <w:t>ertar nuevamente</w:t>
      </w:r>
      <w:r w:rsidR="00D00A9E" w:rsidRPr="005747B6">
        <w:rPr>
          <w:rFonts w:ascii="Garamond" w:hAnsi="Garamond"/>
          <w:szCs w:val="24"/>
          <w:lang w:val="es-ES_tradnl"/>
        </w:rPr>
        <w:t xml:space="preserve"> </w:t>
      </w:r>
      <w:r w:rsidR="00E41165" w:rsidRPr="005747B6">
        <w:rPr>
          <w:rFonts w:ascii="Garamond" w:hAnsi="Garamond"/>
          <w:szCs w:val="24"/>
          <w:lang w:val="es-ES_tradnl"/>
        </w:rPr>
        <w:t>el fenómeno de provisionalidad al</w:t>
      </w:r>
      <w:r w:rsidR="00E41165">
        <w:rPr>
          <w:rFonts w:ascii="Garamond" w:hAnsi="Garamond"/>
          <w:szCs w:val="24"/>
          <w:lang w:val="es-ES_tradnl"/>
        </w:rPr>
        <w:t xml:space="preserve"> </w:t>
      </w:r>
      <w:r w:rsidR="00D00A9E" w:rsidRPr="005747B6">
        <w:rPr>
          <w:rFonts w:ascii="Garamond" w:hAnsi="Garamond"/>
          <w:szCs w:val="24"/>
          <w:lang w:val="es-ES_tradnl"/>
        </w:rPr>
        <w:t>decidir sobre comunicaciones de casos que relacionados con Venezuela</w:t>
      </w:r>
      <w:r>
        <w:rPr>
          <w:rFonts w:ascii="Garamond" w:hAnsi="Garamond"/>
          <w:szCs w:val="24"/>
          <w:lang w:val="es-ES_tradnl"/>
        </w:rPr>
        <w:t xml:space="preserve">, </w:t>
      </w:r>
      <w:r w:rsidR="00D00A9E" w:rsidRPr="005747B6">
        <w:rPr>
          <w:rFonts w:ascii="Garamond" w:hAnsi="Garamond"/>
          <w:color w:val="000000" w:themeColor="text1"/>
          <w:szCs w:val="24"/>
          <w:lang w:val="es-ES_tradnl"/>
        </w:rPr>
        <w:t xml:space="preserve">en los dictámenes de los casos </w:t>
      </w:r>
      <w:r w:rsidR="00D00A9E" w:rsidRPr="005747B6">
        <w:rPr>
          <w:rFonts w:ascii="Garamond" w:hAnsi="Garamond"/>
          <w:i/>
          <w:szCs w:val="24"/>
          <w:lang w:val="es-ES"/>
        </w:rPr>
        <w:t xml:space="preserve">Osío Zamora c. Venezuela </w:t>
      </w:r>
      <w:r w:rsidR="00D00A9E" w:rsidRPr="005747B6">
        <w:rPr>
          <w:rFonts w:ascii="Garamond" w:hAnsi="Garamond"/>
          <w:color w:val="000000" w:themeColor="text1"/>
          <w:szCs w:val="24"/>
          <w:lang w:val="es-ES_tradnl"/>
        </w:rPr>
        <w:t xml:space="preserve">y  </w:t>
      </w:r>
      <w:r w:rsidR="00D00A9E" w:rsidRPr="005747B6">
        <w:rPr>
          <w:rFonts w:ascii="Garamond" w:hAnsi="Garamond"/>
          <w:i/>
          <w:szCs w:val="24"/>
          <w:lang w:val="es-ES"/>
        </w:rPr>
        <w:t xml:space="preserve">Allan Brewer-Carías c. Venezuela, </w:t>
      </w:r>
      <w:r w:rsidR="00D00A9E" w:rsidRPr="005747B6">
        <w:rPr>
          <w:rFonts w:ascii="Garamond" w:hAnsi="Garamond"/>
          <w:szCs w:val="24"/>
          <w:lang w:val="es-ES"/>
        </w:rPr>
        <w:t xml:space="preserve">de 2017 y 2021. </w:t>
      </w:r>
      <w:r>
        <w:rPr>
          <w:rFonts w:ascii="Garamond" w:hAnsi="Garamond"/>
          <w:szCs w:val="24"/>
          <w:lang w:val="es-ES"/>
        </w:rPr>
        <w:t>Se determinó</w:t>
      </w:r>
      <w:r w:rsidR="00D00A9E" w:rsidRPr="005747B6">
        <w:rPr>
          <w:rFonts w:ascii="Garamond" w:hAnsi="Garamond"/>
          <w:szCs w:val="24"/>
          <w:lang w:val="es-ES"/>
        </w:rPr>
        <w:t xml:space="preserve"> que </w:t>
      </w:r>
      <w:r w:rsidR="00D00A9E" w:rsidRPr="005747B6">
        <w:rPr>
          <w:rFonts w:ascii="Garamond" w:hAnsi="Garamond"/>
          <w:b/>
          <w:szCs w:val="24"/>
          <w:u w:val="single"/>
          <w:lang w:val="es-ES"/>
        </w:rPr>
        <w:t xml:space="preserve">los tribunales venezolanos, al estar integrados por jueces provisorios (que además, </w:t>
      </w:r>
      <w:r w:rsidR="00D00A9E" w:rsidRPr="005747B6">
        <w:rPr>
          <w:rFonts w:ascii="Garamond" w:hAnsi="Garamond"/>
          <w:b/>
          <w:color w:val="000000"/>
          <w:szCs w:val="24"/>
          <w:u w:val="single"/>
          <w:lang w:val="es-ES"/>
        </w:rPr>
        <w:t>pueden ser removidos sin causa, procedimiento ni apelación) no gozan de las garantías necesarias de independencia que consagra el artículo 14 del Pacto</w:t>
      </w:r>
      <w:r w:rsidR="00D00A9E" w:rsidRPr="005747B6">
        <w:rPr>
          <w:rStyle w:val="FootnoteReference"/>
          <w:rFonts w:ascii="Garamond" w:hAnsi="Garamond"/>
          <w:color w:val="000000"/>
          <w:szCs w:val="24"/>
        </w:rPr>
        <w:footnoteReference w:id="24"/>
      </w:r>
      <w:r w:rsidR="00560B09" w:rsidRPr="005747B6">
        <w:rPr>
          <w:rFonts w:ascii="Garamond" w:hAnsi="Garamond"/>
          <w:b/>
          <w:color w:val="000000"/>
          <w:szCs w:val="24"/>
          <w:u w:val="single"/>
          <w:lang w:val="es-ES"/>
        </w:rPr>
        <w:t>.</w:t>
      </w:r>
    </w:p>
    <w:p w14:paraId="7D7683CD" w14:textId="77777777" w:rsidR="001564AF" w:rsidRDefault="001564AF" w:rsidP="001564AF">
      <w:pPr>
        <w:pStyle w:val="ListParagraph"/>
        <w:spacing w:after="0" w:line="276" w:lineRule="auto"/>
        <w:rPr>
          <w:rFonts w:ascii="Garamond" w:hAnsi="Garamond"/>
          <w:b/>
          <w:color w:val="000000"/>
          <w:szCs w:val="24"/>
          <w:u w:val="single"/>
          <w:lang w:val="es-ES"/>
        </w:rPr>
      </w:pPr>
    </w:p>
    <w:p w14:paraId="2CD899B3" w14:textId="63A800A1" w:rsidR="001564AF" w:rsidRPr="003A212B" w:rsidRDefault="00E41165" w:rsidP="003A212B">
      <w:pPr>
        <w:pStyle w:val="ListParagraph"/>
        <w:numPr>
          <w:ilvl w:val="0"/>
          <w:numId w:val="12"/>
        </w:numPr>
        <w:spacing w:after="0" w:line="276" w:lineRule="auto"/>
        <w:rPr>
          <w:rFonts w:ascii="Garamond" w:hAnsi="Garamond"/>
          <w:b/>
          <w:color w:val="000000"/>
          <w:szCs w:val="24"/>
          <w:u w:val="single"/>
          <w:lang w:val="es-ES"/>
        </w:rPr>
      </w:pPr>
      <w:r w:rsidRPr="003A212B">
        <w:rPr>
          <w:rFonts w:ascii="Garamond" w:eastAsia="Garamond" w:hAnsi="Garamond" w:cs="Garamond"/>
          <w:szCs w:val="24"/>
          <w:lang w:val="es-ES"/>
        </w:rPr>
        <w:t>En 2009 el entonces magistrado de la Sala Constitucional</w:t>
      </w:r>
      <w:r w:rsidR="001564AF" w:rsidRPr="003A212B">
        <w:rPr>
          <w:rFonts w:ascii="Garamond" w:eastAsia="Garamond" w:hAnsi="Garamond" w:cs="Garamond"/>
          <w:szCs w:val="24"/>
          <w:lang w:val="es-ES"/>
        </w:rPr>
        <w:t xml:space="preserve">, </w:t>
      </w:r>
      <w:r w:rsidRPr="003A212B">
        <w:rPr>
          <w:rFonts w:ascii="Garamond" w:eastAsia="Garamond" w:hAnsi="Garamond" w:cs="Garamond"/>
          <w:szCs w:val="24"/>
          <w:lang w:val="es-ES"/>
        </w:rPr>
        <w:t>Arcadio Delgado Rosales, prometió que para el año siguiente se retomarían los concursos, pero a la fecha esto no ha ocurrido</w:t>
      </w:r>
      <w:r w:rsidRPr="005747B6">
        <w:rPr>
          <w:rFonts w:eastAsia="Garamond"/>
          <w:vertAlign w:val="superscript"/>
        </w:rPr>
        <w:footnoteReference w:id="25"/>
      </w:r>
      <w:r w:rsidRPr="003A212B">
        <w:rPr>
          <w:rFonts w:ascii="Garamond" w:eastAsia="Garamond" w:hAnsi="Garamond" w:cs="Garamond"/>
          <w:szCs w:val="24"/>
          <w:lang w:val="es-ES"/>
        </w:rPr>
        <w:t xml:space="preserve">. </w:t>
      </w:r>
      <w:r w:rsidR="003A212B">
        <w:rPr>
          <w:rFonts w:ascii="Garamond" w:eastAsia="Garamond" w:hAnsi="Garamond" w:cs="Garamond"/>
          <w:szCs w:val="24"/>
          <w:lang w:val="es-ES"/>
        </w:rPr>
        <w:t>Estas</w:t>
      </w:r>
      <w:r w:rsidR="003A212B" w:rsidRPr="001564AF">
        <w:rPr>
          <w:rFonts w:ascii="Garamond" w:eastAsia="Garamond" w:hAnsi="Garamond" w:cs="Garamond"/>
          <w:szCs w:val="24"/>
          <w:lang w:val="es-ES"/>
        </w:rPr>
        <w:t xml:space="preserve"> normas que señala el Estado han sido las últimas regulaciones sobre los concursos de oposición para incorporarse a la carrera judicial dictadas en el país, y las mismas no están siendo aplicadas</w:t>
      </w:r>
      <w:r w:rsidR="003A212B">
        <w:rPr>
          <w:rFonts w:ascii="Garamond" w:eastAsia="Garamond" w:hAnsi="Garamond" w:cs="Garamond"/>
          <w:szCs w:val="24"/>
          <w:lang w:val="es-ES"/>
        </w:rPr>
        <w:t>. Además, el TSJ</w:t>
      </w:r>
      <w:r w:rsidRPr="003A212B">
        <w:rPr>
          <w:rFonts w:ascii="Garamond" w:eastAsia="Garamond" w:hAnsi="Garamond" w:cs="Garamond"/>
          <w:szCs w:val="24"/>
          <w:lang w:val="es-ES"/>
        </w:rPr>
        <w:t xml:space="preserve"> cerró las puertas a las organizaciones no gubernamentales que reciban financiamiento desde el exterior a participar en las pruebas para escoger a los jueces.</w:t>
      </w:r>
      <w:r w:rsidR="001564AF" w:rsidRPr="003A212B">
        <w:rPr>
          <w:rFonts w:ascii="Garamond" w:eastAsia="Garamond" w:hAnsi="Garamond" w:cs="Garamond"/>
          <w:szCs w:val="24"/>
          <w:lang w:val="es-ES"/>
        </w:rPr>
        <w:t xml:space="preserve"> </w:t>
      </w:r>
    </w:p>
    <w:p w14:paraId="00D98B40" w14:textId="77777777" w:rsidR="003A212B" w:rsidRPr="003A212B" w:rsidRDefault="003A212B" w:rsidP="003A212B">
      <w:pPr>
        <w:spacing w:after="0" w:line="276" w:lineRule="auto"/>
        <w:rPr>
          <w:rFonts w:ascii="Garamond" w:hAnsi="Garamond"/>
          <w:b/>
          <w:color w:val="000000"/>
          <w:szCs w:val="24"/>
          <w:u w:val="single"/>
          <w:lang w:val="es-ES"/>
        </w:rPr>
      </w:pPr>
    </w:p>
    <w:p w14:paraId="44AD1B82" w14:textId="78C02837" w:rsidR="00560B09" w:rsidRDefault="00560B09" w:rsidP="001564AF">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Ello ocasiona que la provisionalidad sea la regla en el Poder Judicial venezolano. Por ejemplo, en el ámbito penal a nivel nacional, la gran mayoría de jueces son provisionales</w:t>
      </w:r>
      <w:r w:rsidR="00E41165">
        <w:rPr>
          <w:rFonts w:ascii="Garamond" w:eastAsia="Garamond" w:hAnsi="Garamond" w:cs="Garamond"/>
          <w:szCs w:val="24"/>
          <w:lang w:val="es-ES"/>
        </w:rPr>
        <w:t xml:space="preserve">, según se desprende de </w:t>
      </w:r>
      <w:r w:rsidRPr="005747B6">
        <w:rPr>
          <w:rFonts w:ascii="Garamond" w:eastAsia="Garamond" w:hAnsi="Garamond" w:cs="Garamond"/>
          <w:szCs w:val="24"/>
          <w:lang w:val="es-ES"/>
        </w:rPr>
        <w:t>los datos señalados en la página oficial del Tribunal Supremo de Justicia. En un estudio de Acceso a la Justicia, se aprecia la condición que ostentan los cargos de la judicatura</w:t>
      </w:r>
      <w:r w:rsidR="00E66D05">
        <w:rPr>
          <w:rFonts w:ascii="Garamond" w:eastAsia="Garamond" w:hAnsi="Garamond" w:cs="Garamond"/>
          <w:szCs w:val="24"/>
          <w:lang w:val="es-ES"/>
        </w:rPr>
        <w:t>:</w:t>
      </w:r>
    </w:p>
    <w:p w14:paraId="0854FF15" w14:textId="77777777" w:rsidR="00E41165" w:rsidRDefault="00E41165" w:rsidP="00E41165">
      <w:pPr>
        <w:pStyle w:val="ListParagraph"/>
        <w:spacing w:line="276" w:lineRule="auto"/>
        <w:rPr>
          <w:rFonts w:ascii="Garamond" w:eastAsia="Garamond" w:hAnsi="Garamond" w:cs="Garamond"/>
          <w:szCs w:val="24"/>
          <w:lang w:val="es-ES"/>
        </w:rPr>
      </w:pPr>
    </w:p>
    <w:p w14:paraId="129B3D41" w14:textId="77777777" w:rsidR="00595FC7" w:rsidRDefault="00595FC7" w:rsidP="00E41165">
      <w:pPr>
        <w:pStyle w:val="ListParagraph"/>
        <w:spacing w:line="276" w:lineRule="auto"/>
        <w:rPr>
          <w:rFonts w:ascii="Garamond" w:eastAsia="Garamond" w:hAnsi="Garamond" w:cs="Garamond"/>
          <w:szCs w:val="24"/>
          <w:lang w:val="es-ES"/>
        </w:rPr>
      </w:pPr>
    </w:p>
    <w:p w14:paraId="02C0CC55" w14:textId="77777777" w:rsidR="00595FC7" w:rsidRDefault="00595FC7" w:rsidP="00E41165">
      <w:pPr>
        <w:pStyle w:val="ListParagraph"/>
        <w:spacing w:line="276" w:lineRule="auto"/>
        <w:rPr>
          <w:rFonts w:ascii="Garamond" w:eastAsia="Garamond" w:hAnsi="Garamond" w:cs="Garamond"/>
          <w:szCs w:val="24"/>
          <w:lang w:val="es-ES"/>
        </w:rPr>
      </w:pPr>
    </w:p>
    <w:p w14:paraId="6D8FB542" w14:textId="77777777" w:rsidR="00595FC7" w:rsidRDefault="00595FC7" w:rsidP="00E41165">
      <w:pPr>
        <w:pStyle w:val="ListParagraph"/>
        <w:spacing w:line="276" w:lineRule="auto"/>
        <w:rPr>
          <w:rFonts w:ascii="Garamond" w:eastAsia="Garamond" w:hAnsi="Garamond" w:cs="Garamond"/>
          <w:szCs w:val="24"/>
          <w:lang w:val="es-ES"/>
        </w:rPr>
      </w:pPr>
    </w:p>
    <w:p w14:paraId="7360FF7E" w14:textId="77777777" w:rsidR="00595FC7" w:rsidRPr="005747B6" w:rsidRDefault="00595FC7" w:rsidP="00E41165">
      <w:pPr>
        <w:pStyle w:val="ListParagraph"/>
        <w:spacing w:line="276" w:lineRule="auto"/>
        <w:rPr>
          <w:rFonts w:ascii="Garamond" w:eastAsia="Garamond" w:hAnsi="Garamond" w:cs="Garamond"/>
          <w:szCs w:val="24"/>
          <w:lang w:val="es-ES"/>
        </w:rPr>
      </w:pPr>
    </w:p>
    <w:p w14:paraId="40052F15" w14:textId="77777777" w:rsidR="00560B09" w:rsidRPr="005747B6" w:rsidRDefault="00560B09" w:rsidP="00E41165">
      <w:pPr>
        <w:pStyle w:val="ListParagraph"/>
        <w:spacing w:line="276" w:lineRule="auto"/>
        <w:jc w:val="center"/>
        <w:rPr>
          <w:rFonts w:ascii="Garamond" w:eastAsia="Garamond" w:hAnsi="Garamond" w:cs="Garamond"/>
          <w:color w:val="000000"/>
          <w:szCs w:val="24"/>
          <w:lang w:val="es-ES"/>
        </w:rPr>
      </w:pPr>
      <w:r w:rsidRPr="005747B6">
        <w:rPr>
          <w:rFonts w:ascii="Garamond" w:eastAsia="Garamond" w:hAnsi="Garamond" w:cs="Garamond"/>
          <w:color w:val="000000"/>
          <w:szCs w:val="24"/>
          <w:lang w:val="es-ES"/>
        </w:rPr>
        <w:lastRenderedPageBreak/>
        <w:t>Tabla 1. Número de jueces penales en Venezuela según su condición</w:t>
      </w:r>
    </w:p>
    <w:tbl>
      <w:tblPr>
        <w:tblW w:w="9810" w:type="dxa"/>
        <w:tblInd w:w="260" w:type="dxa"/>
        <w:tblLayout w:type="fixed"/>
        <w:tblLook w:val="0600" w:firstRow="0" w:lastRow="0" w:firstColumn="0" w:lastColumn="0" w:noHBand="1" w:noVBand="1"/>
      </w:tblPr>
      <w:tblGrid>
        <w:gridCol w:w="1980"/>
        <w:gridCol w:w="1080"/>
        <w:gridCol w:w="1170"/>
        <w:gridCol w:w="1170"/>
        <w:gridCol w:w="1260"/>
        <w:gridCol w:w="990"/>
        <w:gridCol w:w="1080"/>
        <w:gridCol w:w="1080"/>
      </w:tblGrid>
      <w:tr w:rsidR="00560B09" w:rsidRPr="005747B6" w14:paraId="0DE2A14D" w14:textId="77777777" w:rsidTr="004061DE">
        <w:trPr>
          <w:trHeight w:val="330"/>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1EC0A4E" w14:textId="77777777" w:rsidR="00560B09" w:rsidRPr="00E41165" w:rsidRDefault="00560B09" w:rsidP="003A212B">
            <w:pPr>
              <w:spacing w:line="276" w:lineRule="auto"/>
              <w:rPr>
                <w:rFonts w:ascii="Garamond" w:eastAsia="Garamond" w:hAnsi="Garamond" w:cs="Garamond"/>
                <w:color w:val="000000"/>
                <w:sz w:val="20"/>
                <w:szCs w:val="20"/>
              </w:rPr>
            </w:pPr>
            <w:r w:rsidRPr="00E41165">
              <w:rPr>
                <w:rFonts w:ascii="Garamond" w:eastAsia="Garamond" w:hAnsi="Garamond" w:cs="Garamond"/>
                <w:color w:val="000000"/>
                <w:sz w:val="20"/>
                <w:szCs w:val="20"/>
              </w:rPr>
              <w:t>Condición en el cargo</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754055C" w14:textId="77777777" w:rsidR="00560B09" w:rsidRPr="00E41165" w:rsidRDefault="00560B09" w:rsidP="003A212B">
            <w:pPr>
              <w:spacing w:line="276" w:lineRule="auto"/>
              <w:rPr>
                <w:rFonts w:ascii="Garamond" w:eastAsia="Garamond" w:hAnsi="Garamond" w:cs="Garamond"/>
                <w:color w:val="000000"/>
                <w:sz w:val="20"/>
                <w:szCs w:val="20"/>
              </w:rPr>
            </w:pPr>
            <w:r w:rsidRPr="00E41165">
              <w:rPr>
                <w:rFonts w:ascii="Garamond" w:eastAsia="Garamond" w:hAnsi="Garamond" w:cs="Garamond"/>
                <w:color w:val="000000"/>
                <w:sz w:val="20"/>
                <w:szCs w:val="20"/>
              </w:rPr>
              <w:t>Titulares</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D5E8F02" w14:textId="77777777" w:rsidR="00560B09" w:rsidRPr="00E41165" w:rsidRDefault="00560B09" w:rsidP="003A212B">
            <w:pPr>
              <w:spacing w:line="276" w:lineRule="auto"/>
              <w:rPr>
                <w:rFonts w:ascii="Garamond" w:eastAsia="Garamond" w:hAnsi="Garamond" w:cs="Garamond"/>
                <w:color w:val="000000"/>
                <w:sz w:val="20"/>
                <w:szCs w:val="20"/>
              </w:rPr>
            </w:pPr>
            <w:r w:rsidRPr="00E41165">
              <w:rPr>
                <w:rFonts w:ascii="Garamond" w:eastAsia="Garamond" w:hAnsi="Garamond" w:cs="Garamond"/>
                <w:color w:val="000000"/>
                <w:sz w:val="20"/>
                <w:szCs w:val="20"/>
              </w:rPr>
              <w:t>Provisorios</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FA131D7" w14:textId="51CA68D8" w:rsidR="00560B09" w:rsidRPr="00E41165" w:rsidRDefault="00560B09" w:rsidP="003A212B">
            <w:pPr>
              <w:spacing w:line="276" w:lineRule="auto"/>
              <w:rPr>
                <w:rFonts w:ascii="Garamond" w:eastAsia="Garamond" w:hAnsi="Garamond" w:cs="Garamond"/>
                <w:color w:val="000000"/>
                <w:sz w:val="20"/>
                <w:szCs w:val="20"/>
              </w:rPr>
            </w:pPr>
            <w:r w:rsidRPr="00E41165">
              <w:rPr>
                <w:rFonts w:ascii="Garamond" w:eastAsia="Garamond" w:hAnsi="Garamond" w:cs="Garamond"/>
                <w:color w:val="000000"/>
                <w:sz w:val="20"/>
                <w:szCs w:val="20"/>
              </w:rPr>
              <w:t>Temporales</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601F785" w14:textId="77777777" w:rsidR="00560B09" w:rsidRPr="00E41165" w:rsidRDefault="00560B09" w:rsidP="003A212B">
            <w:pPr>
              <w:spacing w:line="276" w:lineRule="auto"/>
              <w:rPr>
                <w:rFonts w:ascii="Garamond" w:eastAsia="Garamond" w:hAnsi="Garamond" w:cs="Garamond"/>
                <w:color w:val="000000"/>
                <w:sz w:val="20"/>
                <w:szCs w:val="20"/>
              </w:rPr>
            </w:pPr>
            <w:r w:rsidRPr="00E41165">
              <w:rPr>
                <w:rFonts w:ascii="Garamond" w:eastAsia="Garamond" w:hAnsi="Garamond" w:cs="Garamond"/>
                <w:color w:val="000000"/>
                <w:sz w:val="20"/>
                <w:szCs w:val="20"/>
              </w:rPr>
              <w:t>Accidentales</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481912B" w14:textId="77777777" w:rsidR="00560B09" w:rsidRPr="00E41165" w:rsidRDefault="00560B09" w:rsidP="003A212B">
            <w:pPr>
              <w:spacing w:line="276" w:lineRule="auto"/>
              <w:rPr>
                <w:rFonts w:ascii="Garamond" w:eastAsia="Garamond" w:hAnsi="Garamond" w:cs="Garamond"/>
                <w:color w:val="000000"/>
                <w:sz w:val="20"/>
                <w:szCs w:val="20"/>
              </w:rPr>
            </w:pPr>
            <w:r w:rsidRPr="00E41165">
              <w:rPr>
                <w:rFonts w:ascii="Garamond" w:eastAsia="Garamond" w:hAnsi="Garamond" w:cs="Garamond"/>
                <w:color w:val="000000"/>
                <w:sz w:val="20"/>
                <w:szCs w:val="20"/>
              </w:rPr>
              <w:t>Suplentes</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9AAEF06" w14:textId="77777777" w:rsidR="00560B09" w:rsidRPr="00E41165" w:rsidRDefault="00560B09" w:rsidP="003A212B">
            <w:pPr>
              <w:spacing w:line="276" w:lineRule="auto"/>
              <w:rPr>
                <w:rFonts w:ascii="Garamond" w:eastAsia="Garamond" w:hAnsi="Garamond" w:cs="Garamond"/>
                <w:color w:val="000000"/>
                <w:sz w:val="20"/>
                <w:szCs w:val="20"/>
              </w:rPr>
            </w:pPr>
            <w:r w:rsidRPr="00E41165">
              <w:rPr>
                <w:rFonts w:ascii="Garamond" w:eastAsia="Garamond" w:hAnsi="Garamond" w:cs="Garamond"/>
                <w:color w:val="000000"/>
                <w:sz w:val="20"/>
                <w:szCs w:val="20"/>
              </w:rPr>
              <w:t>Itinerantes</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DA068D5" w14:textId="77777777"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Total</w:t>
            </w:r>
          </w:p>
        </w:tc>
      </w:tr>
      <w:tr w:rsidR="00560B09" w:rsidRPr="005747B6" w14:paraId="49B90549" w14:textId="77777777" w:rsidTr="004061DE">
        <w:trPr>
          <w:trHeight w:val="321"/>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A52CC6E" w14:textId="77777777"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Total</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5798069" w14:textId="77777777"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164</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1401DEE" w14:textId="77777777"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609</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3C8E883" w14:textId="77777777"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39</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D8CB426" w14:textId="77777777"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4</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9E7CA84" w14:textId="77777777"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23</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C510EB3" w14:textId="77777777"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5</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CAD91A4" w14:textId="77777777"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844</w:t>
            </w:r>
          </w:p>
        </w:tc>
      </w:tr>
      <w:tr w:rsidR="00560B09" w:rsidRPr="005747B6" w14:paraId="492FEEBF" w14:textId="77777777" w:rsidTr="004061DE">
        <w:trPr>
          <w:trHeight w:val="312"/>
        </w:trPr>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A0CB103" w14:textId="77777777"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Porcentaje</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3EFA4B8" w14:textId="33900ADC"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19</w:t>
            </w:r>
            <w:r w:rsidR="00015AE8">
              <w:rPr>
                <w:rFonts w:ascii="Garamond" w:eastAsia="Garamond" w:hAnsi="Garamond" w:cs="Garamond"/>
                <w:color w:val="000000"/>
                <w:sz w:val="20"/>
                <w:szCs w:val="20"/>
              </w:rPr>
              <w:t>,</w:t>
            </w:r>
            <w:r w:rsidRPr="00E41165">
              <w:rPr>
                <w:rFonts w:ascii="Garamond" w:eastAsia="Garamond" w:hAnsi="Garamond" w:cs="Garamond"/>
                <w:color w:val="000000"/>
                <w:sz w:val="20"/>
                <w:szCs w:val="20"/>
              </w:rPr>
              <w:t>4%</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B8EFE83" w14:textId="0ECDCE5B"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72</w:t>
            </w:r>
            <w:r w:rsidR="00015AE8">
              <w:rPr>
                <w:rFonts w:ascii="Garamond" w:eastAsia="Garamond" w:hAnsi="Garamond" w:cs="Garamond"/>
                <w:color w:val="000000"/>
                <w:sz w:val="20"/>
                <w:szCs w:val="20"/>
              </w:rPr>
              <w:t>,</w:t>
            </w:r>
            <w:r w:rsidRPr="00E41165">
              <w:rPr>
                <w:rFonts w:ascii="Garamond" w:eastAsia="Garamond" w:hAnsi="Garamond" w:cs="Garamond"/>
                <w:color w:val="000000"/>
                <w:sz w:val="20"/>
                <w:szCs w:val="20"/>
              </w:rPr>
              <w:t>2·%</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7C6AF00" w14:textId="1ECFF932"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4</w:t>
            </w:r>
            <w:r w:rsidR="00015AE8">
              <w:rPr>
                <w:rFonts w:ascii="Garamond" w:eastAsia="Garamond" w:hAnsi="Garamond" w:cs="Garamond"/>
                <w:color w:val="000000"/>
                <w:sz w:val="20"/>
                <w:szCs w:val="20"/>
              </w:rPr>
              <w:t>,</w:t>
            </w:r>
            <w:r w:rsidRPr="00E41165">
              <w:rPr>
                <w:rFonts w:ascii="Garamond" w:eastAsia="Garamond" w:hAnsi="Garamond" w:cs="Garamond"/>
                <w:color w:val="000000"/>
                <w:sz w:val="20"/>
                <w:szCs w:val="20"/>
              </w:rPr>
              <w:t>6%</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C344A72" w14:textId="74790C65"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0</w:t>
            </w:r>
            <w:r w:rsidR="00015AE8">
              <w:rPr>
                <w:rFonts w:ascii="Garamond" w:eastAsia="Garamond" w:hAnsi="Garamond" w:cs="Garamond"/>
                <w:color w:val="000000"/>
                <w:sz w:val="20"/>
                <w:szCs w:val="20"/>
              </w:rPr>
              <w:t>,</w:t>
            </w:r>
            <w:r w:rsidRPr="00E41165">
              <w:rPr>
                <w:rFonts w:ascii="Garamond" w:eastAsia="Garamond" w:hAnsi="Garamond" w:cs="Garamond"/>
                <w:color w:val="000000"/>
                <w:sz w:val="20"/>
                <w:szCs w:val="20"/>
              </w:rPr>
              <w:t>5%</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D18E124" w14:textId="624C37B3"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2</w:t>
            </w:r>
            <w:r w:rsidR="00015AE8">
              <w:rPr>
                <w:rFonts w:ascii="Garamond" w:eastAsia="Garamond" w:hAnsi="Garamond" w:cs="Garamond"/>
                <w:color w:val="000000"/>
                <w:sz w:val="20"/>
                <w:szCs w:val="20"/>
              </w:rPr>
              <w:t>,</w:t>
            </w:r>
            <w:r w:rsidRPr="00E41165">
              <w:rPr>
                <w:rFonts w:ascii="Garamond" w:eastAsia="Garamond" w:hAnsi="Garamond" w:cs="Garamond"/>
                <w:color w:val="000000"/>
                <w:sz w:val="20"/>
                <w:szCs w:val="20"/>
              </w:rPr>
              <w:t>7%</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E81E0F2" w14:textId="585258A7"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0</w:t>
            </w:r>
            <w:r w:rsidR="00015AE8">
              <w:rPr>
                <w:rFonts w:ascii="Garamond" w:eastAsia="Garamond" w:hAnsi="Garamond" w:cs="Garamond"/>
                <w:color w:val="000000"/>
                <w:sz w:val="20"/>
                <w:szCs w:val="20"/>
              </w:rPr>
              <w:t>,</w:t>
            </w:r>
            <w:r w:rsidRPr="00E41165">
              <w:rPr>
                <w:rFonts w:ascii="Garamond" w:eastAsia="Garamond" w:hAnsi="Garamond" w:cs="Garamond"/>
                <w:color w:val="000000"/>
                <w:sz w:val="20"/>
                <w:szCs w:val="20"/>
              </w:rPr>
              <w:t>6%</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79F669A" w14:textId="77777777" w:rsidR="00560B09" w:rsidRPr="00E41165" w:rsidRDefault="00560B09" w:rsidP="00344693">
            <w:pPr>
              <w:spacing w:line="276" w:lineRule="auto"/>
              <w:ind w:left="360"/>
              <w:jc w:val="center"/>
              <w:rPr>
                <w:rFonts w:ascii="Garamond" w:eastAsia="Garamond" w:hAnsi="Garamond" w:cs="Garamond"/>
                <w:color w:val="000000"/>
                <w:sz w:val="20"/>
                <w:szCs w:val="20"/>
              </w:rPr>
            </w:pPr>
            <w:r w:rsidRPr="00E41165">
              <w:rPr>
                <w:rFonts w:ascii="Garamond" w:eastAsia="Garamond" w:hAnsi="Garamond" w:cs="Garamond"/>
                <w:color w:val="000000"/>
                <w:sz w:val="20"/>
                <w:szCs w:val="20"/>
              </w:rPr>
              <w:t>100%</w:t>
            </w:r>
          </w:p>
        </w:tc>
      </w:tr>
    </w:tbl>
    <w:p w14:paraId="4EE6F632" w14:textId="77777777" w:rsidR="00560B09" w:rsidRPr="003A212B" w:rsidRDefault="00560B09" w:rsidP="00E41165">
      <w:pPr>
        <w:pStyle w:val="ListParagraph"/>
        <w:spacing w:line="276" w:lineRule="auto"/>
        <w:ind w:left="1440"/>
        <w:jc w:val="center"/>
        <w:rPr>
          <w:rFonts w:ascii="Garamond" w:eastAsia="Garamond" w:hAnsi="Garamond" w:cs="Garamond"/>
          <w:color w:val="000000"/>
          <w:sz w:val="22"/>
          <w:lang w:val="es-ES"/>
        </w:rPr>
      </w:pPr>
      <w:r w:rsidRPr="003A212B">
        <w:rPr>
          <w:rFonts w:ascii="Garamond" w:eastAsia="Garamond" w:hAnsi="Garamond" w:cs="Garamond"/>
          <w:color w:val="000000"/>
          <w:sz w:val="22"/>
          <w:lang w:val="es-ES"/>
        </w:rPr>
        <w:t>Elaboración ODHULA con información de Acceso a la Justicia (2022).</w:t>
      </w:r>
    </w:p>
    <w:p w14:paraId="47B612BA" w14:textId="77777777" w:rsidR="00E41165" w:rsidRPr="005747B6" w:rsidRDefault="00E41165" w:rsidP="00E41165">
      <w:pPr>
        <w:pStyle w:val="ListParagraph"/>
        <w:spacing w:line="276" w:lineRule="auto"/>
        <w:ind w:left="1440"/>
        <w:jc w:val="center"/>
        <w:rPr>
          <w:rFonts w:ascii="Garamond" w:eastAsia="Garamond" w:hAnsi="Garamond" w:cs="Garamond"/>
          <w:szCs w:val="24"/>
          <w:lang w:val="es-ES"/>
        </w:rPr>
      </w:pPr>
    </w:p>
    <w:p w14:paraId="2DFA6988" w14:textId="5D587867" w:rsidR="00E41165" w:rsidRPr="004739DD" w:rsidRDefault="00560B09" w:rsidP="004739DD">
      <w:pPr>
        <w:pStyle w:val="ListParagraph"/>
        <w:numPr>
          <w:ilvl w:val="0"/>
          <w:numId w:val="12"/>
        </w:numPr>
        <w:spacing w:line="276" w:lineRule="auto"/>
        <w:rPr>
          <w:rFonts w:ascii="Garamond" w:eastAsia="Garamond" w:hAnsi="Garamond" w:cs="Garamond"/>
          <w:color w:val="000000"/>
          <w:szCs w:val="24"/>
          <w:lang w:val="es-ES"/>
        </w:rPr>
      </w:pPr>
      <w:r w:rsidRPr="005747B6">
        <w:rPr>
          <w:rFonts w:ascii="Garamond" w:eastAsia="Garamond" w:hAnsi="Garamond" w:cs="Garamond"/>
          <w:szCs w:val="24"/>
          <w:lang w:val="es-ES"/>
        </w:rPr>
        <w:t>A efectos de revelar cómo la situación es mayormente alarmante en las regiones, el Observatorio de Derechos Humanos de la Universidad de Los Andes (ODHULA), denunció el estado de la provisionalidad imperante en 3 estados del país</w:t>
      </w:r>
      <w:r w:rsidRPr="005747B6">
        <w:rPr>
          <w:rFonts w:ascii="Garamond" w:eastAsia="Garamond" w:hAnsi="Garamond"/>
          <w:szCs w:val="24"/>
          <w:vertAlign w:val="superscript"/>
        </w:rPr>
        <w:footnoteReference w:id="26"/>
      </w:r>
      <w:r w:rsidRPr="005747B6">
        <w:rPr>
          <w:rFonts w:ascii="Garamond" w:eastAsia="Garamond" w:hAnsi="Garamond" w:cs="Garamond"/>
          <w:szCs w:val="24"/>
          <w:lang w:val="es-ES"/>
        </w:rPr>
        <w:t>. En este sentido, el estado Mérida dispone de 3 cortes de apelaciones y 36 tribunales que cumplen las funciones de control, juicio y ejecución para dirimir controversias de carácter penal. En el caso del estado Táchira existen en funcionamiento 2 Cortes de apelaciones y 34 tribunales para el desarrollo de actividades de control, juicio y ejecución. Y finalmente, el estado Trujillo cuenta con 2 cortes de apelaciones y 27 tribunales para las áreas de control, juicio y ejecución.</w:t>
      </w:r>
    </w:p>
    <w:p w14:paraId="38C4AFBA" w14:textId="77777777" w:rsidR="004739DD" w:rsidRPr="005747B6" w:rsidRDefault="004739DD" w:rsidP="004739DD">
      <w:pPr>
        <w:pStyle w:val="ListParagraph"/>
        <w:spacing w:line="276" w:lineRule="auto"/>
        <w:rPr>
          <w:rFonts w:ascii="Garamond" w:eastAsia="Garamond" w:hAnsi="Garamond" w:cs="Garamond"/>
          <w:color w:val="000000"/>
          <w:szCs w:val="24"/>
          <w:lang w:val="es-ES"/>
        </w:rPr>
      </w:pPr>
    </w:p>
    <w:p w14:paraId="2FDE5580" w14:textId="5201F024" w:rsidR="00D00A9E" w:rsidRDefault="00D00A9E" w:rsidP="00344693">
      <w:pPr>
        <w:pStyle w:val="ListParagraph"/>
        <w:numPr>
          <w:ilvl w:val="0"/>
          <w:numId w:val="12"/>
        </w:numPr>
        <w:spacing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t>El problema de la provisionalidad ha sido constantemente denunciado y detallado en los informes de la OACNUDH y la MIDH</w:t>
      </w:r>
      <w:r w:rsidRPr="005747B6">
        <w:rPr>
          <w:rStyle w:val="FootnoteReference"/>
          <w:rFonts w:ascii="Garamond" w:eastAsia="Garamond" w:hAnsi="Garamond" w:cs="Garamond"/>
          <w:color w:val="000000"/>
          <w:szCs w:val="24"/>
          <w:lang w:val="es-ES"/>
        </w:rPr>
        <w:footnoteReference w:id="27"/>
      </w:r>
      <w:r w:rsidRPr="005747B6">
        <w:rPr>
          <w:rFonts w:ascii="Garamond" w:eastAsia="Garamond" w:hAnsi="Garamond" w:cs="Garamond"/>
          <w:color w:val="000000"/>
          <w:szCs w:val="24"/>
          <w:lang w:val="es-ES"/>
        </w:rPr>
        <w:t xml:space="preserve">. A pesar, que existen numerosas recomendaciones de estas instancias que buscan que la práctica llegue a su fin, en </w:t>
      </w:r>
      <w:r w:rsidRPr="005747B6">
        <w:rPr>
          <w:rFonts w:ascii="Garamond" w:eastAsia="Garamond" w:hAnsi="Garamond" w:cs="Garamond"/>
          <w:color w:val="000000"/>
          <w:szCs w:val="24"/>
          <w:highlight w:val="white"/>
          <w:lang w:val="es-ES"/>
        </w:rPr>
        <w:t>enero de 2023, con el acto de apertura del año judicial, la máxima autoridad del TSJ se refirió a la gestión del tribunal supremo en el año 2022</w:t>
      </w:r>
      <w:r w:rsidRPr="005747B6">
        <w:rPr>
          <w:rFonts w:ascii="Garamond" w:eastAsia="Garamond" w:hAnsi="Garamond" w:cs="Garamond"/>
          <w:color w:val="000000"/>
          <w:szCs w:val="24"/>
          <w:lang w:val="es-ES"/>
        </w:rPr>
        <w:t xml:space="preserve"> y se anunció que la Comisión Judicial una vez más designó "</w:t>
      </w:r>
      <w:r w:rsidRPr="005747B6">
        <w:rPr>
          <w:rFonts w:ascii="Garamond" w:eastAsia="Garamond" w:hAnsi="Garamond" w:cs="Garamond"/>
          <w:b/>
          <w:color w:val="000000"/>
          <w:szCs w:val="24"/>
          <w:lang w:val="es-ES"/>
        </w:rPr>
        <w:t>provisionalmente</w:t>
      </w:r>
      <w:r w:rsidRPr="005747B6">
        <w:rPr>
          <w:rFonts w:ascii="Garamond" w:eastAsia="Garamond" w:hAnsi="Garamond" w:cs="Garamond"/>
          <w:color w:val="000000"/>
          <w:szCs w:val="24"/>
          <w:lang w:val="es-ES"/>
        </w:rPr>
        <w:t>" a otros 642 jueces. Se afirmó además que se empezará a revertir la situación de provisionalidad en el Poder Judicial. Sin embargo, no se proporcionó una fecha definitiva para la realización de los concursos de oposición establecidos en la constitución, y el TSJ sigue sin publicar ninguna nueva normativa sobre este asunto</w:t>
      </w:r>
      <w:r w:rsidRPr="005747B6">
        <w:rPr>
          <w:rFonts w:ascii="Garamond" w:eastAsia="Garamond" w:hAnsi="Garamond"/>
          <w:szCs w:val="24"/>
          <w:vertAlign w:val="superscript"/>
        </w:rPr>
        <w:footnoteReference w:id="28"/>
      </w:r>
      <w:r w:rsidRPr="005747B6">
        <w:rPr>
          <w:rFonts w:ascii="Garamond" w:eastAsia="Garamond" w:hAnsi="Garamond" w:cs="Garamond"/>
          <w:color w:val="000000"/>
          <w:szCs w:val="24"/>
          <w:lang w:val="es-ES"/>
        </w:rPr>
        <w:t xml:space="preserve">. </w:t>
      </w:r>
    </w:p>
    <w:p w14:paraId="0A40C1F3" w14:textId="77777777" w:rsidR="00363D92" w:rsidRDefault="00363D92" w:rsidP="00363D92">
      <w:pPr>
        <w:pStyle w:val="ListParagraph"/>
        <w:spacing w:line="276" w:lineRule="auto"/>
        <w:rPr>
          <w:rFonts w:ascii="Garamond" w:eastAsia="Garamond" w:hAnsi="Garamond" w:cs="Garamond"/>
          <w:color w:val="000000"/>
          <w:szCs w:val="24"/>
          <w:lang w:val="es-ES"/>
        </w:rPr>
      </w:pPr>
    </w:p>
    <w:p w14:paraId="66320369" w14:textId="77777777" w:rsidR="00C26616" w:rsidRDefault="00C26616" w:rsidP="00363D92">
      <w:pPr>
        <w:pStyle w:val="ListParagraph"/>
        <w:numPr>
          <w:ilvl w:val="0"/>
          <w:numId w:val="12"/>
        </w:numPr>
        <w:spacing w:after="0"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t xml:space="preserve">En Venezuela, la inmensa mayoría de jueces se encuentran en situación de provisionalidad y tal contexto no ha sido verdaderamente revertido como se comprueba con la información suministrada. No se ha abordado la contingencia y el Estado sigue pasivo sin adelantar de forma efectiva las promesas que se han hecho al respecto. Mientras persista la alta provisionalidad la independencia, imparcialidad y funcionamiento del sistema de justicia seguirá en juego. </w:t>
      </w:r>
    </w:p>
    <w:p w14:paraId="1F987BD1" w14:textId="77777777" w:rsidR="00363D92" w:rsidRPr="00363D92" w:rsidRDefault="00363D92" w:rsidP="00363D92">
      <w:pPr>
        <w:spacing w:after="0" w:line="276" w:lineRule="auto"/>
        <w:rPr>
          <w:rFonts w:ascii="Garamond" w:eastAsia="Garamond" w:hAnsi="Garamond" w:cs="Garamond"/>
          <w:color w:val="000000"/>
          <w:szCs w:val="24"/>
          <w:lang w:val="es-ES"/>
        </w:rPr>
      </w:pPr>
    </w:p>
    <w:p w14:paraId="14FE47D6" w14:textId="1D3565FA" w:rsidR="00160591" w:rsidRPr="00363D92" w:rsidRDefault="00363D92" w:rsidP="00363D92">
      <w:pPr>
        <w:pStyle w:val="ListParagraph"/>
        <w:numPr>
          <w:ilvl w:val="0"/>
          <w:numId w:val="12"/>
        </w:numPr>
        <w:spacing w:after="0"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lastRenderedPageBreak/>
        <w:t>En relación con</w:t>
      </w:r>
      <w:r w:rsidR="00160591" w:rsidRPr="005747B6">
        <w:rPr>
          <w:rFonts w:ascii="Garamond" w:eastAsia="Garamond" w:hAnsi="Garamond" w:cs="Garamond"/>
          <w:color w:val="000000"/>
          <w:szCs w:val="24"/>
          <w:lang w:val="es-ES"/>
        </w:rPr>
        <w:t xml:space="preserve"> la situación de los fiscales, el Estado en su Quinto Informe puntualizó que </w:t>
      </w:r>
      <w:r w:rsidR="00160591" w:rsidRPr="005747B6">
        <w:rPr>
          <w:rFonts w:ascii="Garamond" w:hAnsi="Garamond"/>
          <w:szCs w:val="24"/>
          <w:lang w:val="es-ES_tradnl"/>
        </w:rPr>
        <w:t>desde el año 2012, se han realizado seis convocatorias para participar en concursos de credenciales y de oposición</w:t>
      </w:r>
      <w:r w:rsidR="00160591" w:rsidRPr="005747B6">
        <w:rPr>
          <w:rStyle w:val="FootnoteReference"/>
          <w:rFonts w:ascii="Garamond" w:hAnsi="Garamond"/>
          <w:szCs w:val="24"/>
          <w:lang w:val="es-ES_tradnl"/>
        </w:rPr>
        <w:footnoteReference w:id="29"/>
      </w:r>
      <w:r w:rsidR="00160591" w:rsidRPr="005747B6">
        <w:rPr>
          <w:rFonts w:ascii="Garamond" w:hAnsi="Garamond"/>
          <w:szCs w:val="24"/>
          <w:lang w:val="es-ES_tradnl"/>
        </w:rPr>
        <w:t>, sin embargo, una vez más</w:t>
      </w:r>
      <w:r>
        <w:rPr>
          <w:rFonts w:ascii="Garamond" w:hAnsi="Garamond"/>
          <w:szCs w:val="24"/>
          <w:lang w:val="es-ES_tradnl"/>
        </w:rPr>
        <w:t>,</w:t>
      </w:r>
      <w:r w:rsidR="00160591" w:rsidRPr="005747B6">
        <w:rPr>
          <w:rFonts w:ascii="Garamond" w:hAnsi="Garamond"/>
          <w:szCs w:val="24"/>
          <w:lang w:val="es-ES_tradnl"/>
        </w:rPr>
        <w:t xml:space="preserve"> las convocatorias no han llegado a término ni el nombramiento con titularidad ha sido realmente implementado. </w:t>
      </w:r>
    </w:p>
    <w:p w14:paraId="2D77CC5A" w14:textId="77777777" w:rsidR="00363D92" w:rsidRPr="00363D92" w:rsidRDefault="00363D92" w:rsidP="00363D92">
      <w:pPr>
        <w:spacing w:after="0" w:line="276" w:lineRule="auto"/>
        <w:rPr>
          <w:rFonts w:ascii="Garamond" w:eastAsia="Garamond" w:hAnsi="Garamond" w:cs="Garamond"/>
          <w:color w:val="000000"/>
          <w:szCs w:val="24"/>
          <w:lang w:val="es-ES"/>
        </w:rPr>
      </w:pPr>
    </w:p>
    <w:p w14:paraId="7D0F1883" w14:textId="106001BE" w:rsidR="00160591" w:rsidRPr="004061DE" w:rsidRDefault="00363D92" w:rsidP="00363D92">
      <w:pPr>
        <w:pStyle w:val="ListParagraph"/>
        <w:numPr>
          <w:ilvl w:val="0"/>
          <w:numId w:val="12"/>
        </w:numPr>
        <w:spacing w:after="0" w:line="276" w:lineRule="auto"/>
        <w:rPr>
          <w:rFonts w:ascii="Garamond" w:eastAsia="Garamond" w:hAnsi="Garamond" w:cs="Garamond"/>
          <w:szCs w:val="24"/>
          <w:highlight w:val="white"/>
          <w:lang w:val="es-ES_tradnl"/>
        </w:rPr>
      </w:pPr>
      <w:r>
        <w:rPr>
          <w:rFonts w:ascii="Garamond" w:eastAsia="Garamond" w:hAnsi="Garamond" w:cs="Garamond"/>
          <w:szCs w:val="24"/>
          <w:lang w:val="es-ES_tradnl"/>
        </w:rPr>
        <w:t>En</w:t>
      </w:r>
      <w:r w:rsidR="00836938" w:rsidRPr="005747B6">
        <w:rPr>
          <w:rFonts w:ascii="Garamond" w:eastAsia="Garamond" w:hAnsi="Garamond" w:cs="Garamond"/>
          <w:szCs w:val="24"/>
          <w:lang w:val="es-ES_tradnl"/>
        </w:rPr>
        <w:t xml:space="preserve"> </w:t>
      </w:r>
      <w:r w:rsidR="00160591" w:rsidRPr="005747B6">
        <w:rPr>
          <w:rFonts w:ascii="Garamond" w:eastAsia="Garamond" w:hAnsi="Garamond" w:cs="Garamond"/>
          <w:szCs w:val="24"/>
          <w:lang w:val="es-ES"/>
        </w:rPr>
        <w:t>octubre de 2021, el Fiscal General anunció</w:t>
      </w:r>
      <w:r w:rsidR="00836938" w:rsidRPr="005747B6">
        <w:rPr>
          <w:rFonts w:ascii="Garamond" w:eastAsia="Garamond" w:hAnsi="Garamond" w:cs="Garamond"/>
          <w:szCs w:val="24"/>
          <w:lang w:val="es-ES"/>
        </w:rPr>
        <w:t xml:space="preserve"> </w:t>
      </w:r>
      <w:r w:rsidR="00160591" w:rsidRPr="005747B6">
        <w:rPr>
          <w:rFonts w:ascii="Garamond" w:eastAsia="Garamond" w:hAnsi="Garamond" w:cs="Garamond"/>
          <w:szCs w:val="24"/>
          <w:lang w:val="es-ES"/>
        </w:rPr>
        <w:t>la flexibilización y reducción de los requisitos de acceso a la carrera fiscal en el marco de un “plan especial de regularización funcionarial de fiscales provisorios activos”</w:t>
      </w:r>
      <w:r w:rsidR="00160591" w:rsidRPr="005747B6">
        <w:rPr>
          <w:rFonts w:ascii="Garamond" w:eastAsia="Garamond" w:hAnsi="Garamond"/>
          <w:szCs w:val="24"/>
          <w:vertAlign w:val="superscript"/>
        </w:rPr>
        <w:footnoteReference w:id="30"/>
      </w:r>
      <w:r w:rsidR="00160591" w:rsidRPr="005747B6">
        <w:rPr>
          <w:rFonts w:ascii="Garamond" w:eastAsia="Garamond" w:hAnsi="Garamond" w:cs="Garamond"/>
          <w:szCs w:val="24"/>
          <w:lang w:val="es-ES"/>
        </w:rPr>
        <w:t xml:space="preserve"> que tiene como finalidad “reconocer la trayectoria laboral de los fiscales provisorios con más de cuatro años de ejercicio en sus cargos”</w:t>
      </w:r>
      <w:r w:rsidR="00160591" w:rsidRPr="005747B6">
        <w:rPr>
          <w:rFonts w:ascii="Garamond" w:eastAsia="Garamond" w:hAnsi="Garamond"/>
          <w:szCs w:val="24"/>
          <w:vertAlign w:val="superscript"/>
        </w:rPr>
        <w:footnoteReference w:id="31"/>
      </w:r>
      <w:r w:rsidR="00160591" w:rsidRPr="005747B6">
        <w:rPr>
          <w:rFonts w:ascii="Garamond" w:eastAsia="Garamond" w:hAnsi="Garamond" w:cs="Garamond"/>
          <w:szCs w:val="24"/>
          <w:lang w:val="es-ES"/>
        </w:rPr>
        <w:t>. Estos cambios se llevaron a cabo en dos ocasiones, el 24 de febrero de 2022 se publicaron las Normas para el VII Concurso de Credenciales y de Oposición para el Ingreso a la Carrera Fiscal, y cuatro semanas más tarde se reformó parcialmente la normativa que rige las pruebas para adjudicar los cargos de fiscal</w:t>
      </w:r>
      <w:r w:rsidR="00160591" w:rsidRPr="005747B6">
        <w:rPr>
          <w:rFonts w:ascii="Garamond" w:eastAsia="Garamond" w:hAnsi="Garamond"/>
          <w:szCs w:val="24"/>
          <w:vertAlign w:val="superscript"/>
        </w:rPr>
        <w:footnoteReference w:id="32"/>
      </w:r>
      <w:r w:rsidR="00160591" w:rsidRPr="005747B6">
        <w:rPr>
          <w:rFonts w:ascii="Garamond" w:eastAsia="Garamond" w:hAnsi="Garamond" w:cs="Garamond"/>
          <w:szCs w:val="24"/>
          <w:lang w:val="es-ES"/>
        </w:rPr>
        <w:t>.  En esta segunda resolución el único cambio se hizo en función de los requisitos que deben cumplir los interesados para participar en los concursos: en el artículo 7, literal J se suprimió la limitante que decía que el aspirante debía tener “más de quince (15) años de servicio en la Administración Pública”</w:t>
      </w:r>
      <w:r w:rsidR="00160591" w:rsidRPr="005747B6">
        <w:rPr>
          <w:rFonts w:ascii="Garamond" w:eastAsia="Garamond" w:hAnsi="Garamond"/>
          <w:szCs w:val="24"/>
          <w:vertAlign w:val="superscript"/>
        </w:rPr>
        <w:footnoteReference w:id="33"/>
      </w:r>
      <w:r w:rsidR="00160591" w:rsidRPr="005747B6">
        <w:rPr>
          <w:rFonts w:ascii="Garamond" w:eastAsia="Garamond" w:hAnsi="Garamond" w:cs="Garamond"/>
          <w:szCs w:val="24"/>
          <w:lang w:val="es-ES"/>
        </w:rPr>
        <w:t>, por lo cual con tener un año laborando en el MP bastará para participar en el proceso”. Queda claro que la disposición contradice el anuncio inicial de Saab y que, sin explicación, solo doce meses ejerciendo como fiscal bastarán para poder competir en el proceso para hacerse con el cargo de manera permanente; aunado al hecho de que a través del primer cambio ya se habían rebajado drásticamente los requerimientos que deben cumplir los fiscales para hacerse titulares, tal como la disminución de la nota de aprobación que deben conseguir los fiscales en las pruebas orales y escritas y la eliminación del curso de formación y entrenamiento que era requerido durante la gestión de Luisa Ortega Díaz</w:t>
      </w:r>
      <w:r w:rsidR="00160591" w:rsidRPr="005747B6">
        <w:rPr>
          <w:rFonts w:ascii="Garamond" w:eastAsia="Garamond" w:hAnsi="Garamond"/>
          <w:szCs w:val="24"/>
          <w:vertAlign w:val="superscript"/>
        </w:rPr>
        <w:footnoteReference w:id="34"/>
      </w:r>
      <w:r w:rsidR="00160591" w:rsidRPr="005747B6">
        <w:rPr>
          <w:rFonts w:ascii="Garamond" w:eastAsia="Garamond" w:hAnsi="Garamond" w:cs="Garamond"/>
          <w:szCs w:val="24"/>
          <w:lang w:val="es-ES"/>
        </w:rPr>
        <w:t>.</w:t>
      </w:r>
    </w:p>
    <w:p w14:paraId="7628F0B5" w14:textId="77777777" w:rsidR="004061DE" w:rsidRPr="005747B6" w:rsidRDefault="004061DE" w:rsidP="004061DE">
      <w:pPr>
        <w:pStyle w:val="ListParagraph"/>
        <w:spacing w:after="0" w:line="276" w:lineRule="auto"/>
        <w:rPr>
          <w:rFonts w:ascii="Garamond" w:eastAsia="Garamond" w:hAnsi="Garamond" w:cs="Garamond"/>
          <w:szCs w:val="24"/>
          <w:highlight w:val="white"/>
          <w:lang w:val="es-ES_tradnl"/>
        </w:rPr>
      </w:pPr>
    </w:p>
    <w:p w14:paraId="472C54D9" w14:textId="77777777" w:rsidR="00160591" w:rsidRDefault="00160591" w:rsidP="00344693">
      <w:pPr>
        <w:pStyle w:val="ListParagraph"/>
        <w:numPr>
          <w:ilvl w:val="0"/>
          <w:numId w:val="12"/>
        </w:numPr>
        <w:spacing w:line="276" w:lineRule="auto"/>
        <w:rPr>
          <w:rFonts w:ascii="Garamond" w:eastAsia="Garamond" w:hAnsi="Garamond" w:cs="Garamond"/>
          <w:szCs w:val="24"/>
          <w:lang w:val="es-ES"/>
        </w:rPr>
      </w:pPr>
      <w:r w:rsidRPr="005747B6">
        <w:rPr>
          <w:rFonts w:ascii="Garamond" w:eastAsia="Garamond" w:hAnsi="Garamond" w:cs="Garamond"/>
          <w:szCs w:val="24"/>
          <w:lang w:val="es-ES"/>
        </w:rPr>
        <w:t>Otra reforma notoria fue una de septiembre de 2018, en la que Saab modificó el artículo 3 del Estatuto del Ministerio Público para estipular que todos los cargos del organismo son «de confianza» y, por lo tanto, de libre nombramiento y remoción. Con esto, revirtió los avances de su antecesora en materia de combate de la provisionalidad.</w:t>
      </w:r>
    </w:p>
    <w:p w14:paraId="2DBC14DF" w14:textId="77777777" w:rsidR="004061DE" w:rsidRPr="005747B6" w:rsidRDefault="004061DE" w:rsidP="004061DE">
      <w:pPr>
        <w:pStyle w:val="ListParagraph"/>
        <w:spacing w:line="276" w:lineRule="auto"/>
        <w:rPr>
          <w:rFonts w:ascii="Garamond" w:eastAsia="Garamond" w:hAnsi="Garamond" w:cs="Garamond"/>
          <w:szCs w:val="24"/>
          <w:lang w:val="es-ES"/>
        </w:rPr>
      </w:pPr>
    </w:p>
    <w:p w14:paraId="4B3A2E98" w14:textId="65F51375" w:rsidR="004061DE" w:rsidRPr="004061DE" w:rsidRDefault="00160591" w:rsidP="004061DE">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 xml:space="preserve">El giro de Saab de promover la provisionalidad, y posteriormente pretender combatirla a través de un proceso de regularización de fiscales provisionales, casi coincidió con la decisión de la Fiscalía de la Corte Penal Internacional de abrir una investigación por los crímenes de lesa humanidad ocurridos en Venezuela. El hecho de que no se hayan abierto concursos públicos de oposición y que solo fiscales en ejercicio puedan participar en el proceso, no ha sido bien </w:t>
      </w:r>
      <w:r w:rsidRPr="005747B6">
        <w:rPr>
          <w:rFonts w:ascii="Garamond" w:eastAsia="Garamond" w:hAnsi="Garamond" w:cs="Garamond"/>
          <w:szCs w:val="24"/>
          <w:lang w:val="es-ES"/>
        </w:rPr>
        <w:lastRenderedPageBreak/>
        <w:t>visto por la MIDH, por considerar que “no adopta medidas para garantizar que el acceso a la carrera fiscal se determine mediante un concurso público”</w:t>
      </w:r>
      <w:r w:rsidRPr="005747B6">
        <w:rPr>
          <w:rFonts w:ascii="Garamond" w:eastAsia="Garamond" w:hAnsi="Garamond"/>
          <w:szCs w:val="24"/>
          <w:vertAlign w:val="superscript"/>
        </w:rPr>
        <w:footnoteReference w:id="35"/>
      </w:r>
      <w:r w:rsidRPr="005747B6">
        <w:rPr>
          <w:rFonts w:ascii="Garamond" w:eastAsia="Garamond" w:hAnsi="Garamond" w:cs="Garamond"/>
          <w:szCs w:val="24"/>
          <w:lang w:val="es-ES"/>
        </w:rPr>
        <w:t>.</w:t>
      </w:r>
    </w:p>
    <w:p w14:paraId="06677D2F" w14:textId="77777777" w:rsidR="004061DE" w:rsidRDefault="004061DE" w:rsidP="004061DE">
      <w:pPr>
        <w:pStyle w:val="ListParagraph"/>
        <w:spacing w:after="0" w:line="276" w:lineRule="auto"/>
        <w:rPr>
          <w:rFonts w:ascii="Garamond" w:eastAsia="Garamond" w:hAnsi="Garamond" w:cs="Garamond"/>
          <w:szCs w:val="24"/>
          <w:lang w:val="es-ES"/>
        </w:rPr>
      </w:pPr>
    </w:p>
    <w:p w14:paraId="632B6DD1" w14:textId="0C07C056" w:rsidR="004061DE" w:rsidRPr="00E66D05" w:rsidRDefault="00826566" w:rsidP="00E66D05">
      <w:pPr>
        <w:pStyle w:val="ListParagraph"/>
        <w:numPr>
          <w:ilvl w:val="0"/>
          <w:numId w:val="12"/>
        </w:numPr>
        <w:spacing w:after="0"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t>El Fiscal Khan también se ha referido a la situación de provisionalidad de los jueces y fiscales, haciendo hincapié en que son designados por el TSJ y el Fiscal General de la República, respectivamente; y también pueden ser removidos por ellos en cualquier momento y sin procedimiento previo que les garantice el debido proceso</w:t>
      </w:r>
      <w:r w:rsidRPr="005747B6">
        <w:rPr>
          <w:rFonts w:ascii="Garamond" w:eastAsia="Garamond" w:hAnsi="Garamond"/>
          <w:szCs w:val="24"/>
          <w:vertAlign w:val="superscript"/>
        </w:rPr>
        <w:footnoteReference w:id="36"/>
      </w:r>
      <w:r w:rsidRPr="005747B6">
        <w:rPr>
          <w:rFonts w:ascii="Garamond" w:eastAsia="Garamond" w:hAnsi="Garamond" w:cs="Garamond"/>
          <w:color w:val="000000"/>
          <w:szCs w:val="24"/>
          <w:lang w:val="es-ES"/>
        </w:rPr>
        <w:t>.</w:t>
      </w:r>
    </w:p>
    <w:p w14:paraId="1BBCE6B0" w14:textId="12751826" w:rsidR="00826566" w:rsidRPr="00826566" w:rsidRDefault="00826566" w:rsidP="00826566">
      <w:pPr>
        <w:pStyle w:val="ListParagraph"/>
        <w:spacing w:line="276" w:lineRule="auto"/>
        <w:ind w:left="2160" w:right="1260"/>
        <w:rPr>
          <w:rFonts w:ascii="Garamond" w:eastAsia="Garamond" w:hAnsi="Garamond" w:cs="Garamond"/>
          <w:color w:val="000000"/>
          <w:sz w:val="22"/>
          <w:lang w:val="es-ES"/>
        </w:rPr>
      </w:pPr>
      <w:r w:rsidRPr="00826566">
        <w:rPr>
          <w:rFonts w:ascii="Garamond" w:eastAsia="Garamond" w:hAnsi="Garamond" w:cs="Garamond"/>
          <w:color w:val="000000"/>
          <w:sz w:val="22"/>
          <w:lang w:val="es-ES"/>
        </w:rPr>
        <w:t>«Como resultado, su posición es precaria y el ejercicio de sus funciones es susceptible de influencias externas indebidas y lealtades personales o políticas»</w:t>
      </w:r>
      <w:r w:rsidRPr="00826566">
        <w:rPr>
          <w:rFonts w:ascii="Garamond" w:eastAsia="Garamond" w:hAnsi="Garamond"/>
          <w:sz w:val="22"/>
          <w:vertAlign w:val="superscript"/>
        </w:rPr>
        <w:footnoteReference w:id="37"/>
      </w:r>
    </w:p>
    <w:p w14:paraId="33B61D6F" w14:textId="77777777" w:rsidR="00344693" w:rsidRDefault="00344693" w:rsidP="00344693">
      <w:pPr>
        <w:pStyle w:val="ListParagraph"/>
        <w:spacing w:line="276" w:lineRule="auto"/>
        <w:rPr>
          <w:rFonts w:ascii="Garamond" w:eastAsia="Garamond" w:hAnsi="Garamond" w:cs="Garamond"/>
          <w:szCs w:val="24"/>
          <w:lang w:val="es-ES"/>
        </w:rPr>
      </w:pPr>
    </w:p>
    <w:p w14:paraId="592CD5C9" w14:textId="77777777" w:rsidR="004739DD" w:rsidRPr="005747B6" w:rsidRDefault="004739DD" w:rsidP="00344693">
      <w:pPr>
        <w:pStyle w:val="ListParagraph"/>
        <w:spacing w:line="276" w:lineRule="auto"/>
        <w:rPr>
          <w:rFonts w:ascii="Garamond" w:eastAsia="Garamond" w:hAnsi="Garamond" w:cs="Garamond"/>
          <w:szCs w:val="24"/>
          <w:lang w:val="es-ES"/>
        </w:rPr>
      </w:pPr>
    </w:p>
    <w:p w14:paraId="0166BE2C" w14:textId="0B552AD2" w:rsidR="00344693" w:rsidRPr="004739DD" w:rsidRDefault="00E8149D" w:rsidP="004739DD">
      <w:pPr>
        <w:pStyle w:val="ListParagraph"/>
        <w:numPr>
          <w:ilvl w:val="1"/>
          <w:numId w:val="17"/>
        </w:numPr>
        <w:rPr>
          <w:rFonts w:ascii="Garamond" w:hAnsi="Garamond"/>
          <w:b/>
          <w:bCs/>
          <w:i/>
          <w:iCs/>
          <w:szCs w:val="24"/>
          <w:lang w:val="es-ES"/>
        </w:rPr>
      </w:pPr>
      <w:r w:rsidRPr="004739DD">
        <w:rPr>
          <w:rFonts w:ascii="Garamond" w:hAnsi="Garamond"/>
          <w:b/>
          <w:bCs/>
          <w:i/>
          <w:iCs/>
          <w:szCs w:val="24"/>
          <w:lang w:val="es-ES"/>
        </w:rPr>
        <w:t xml:space="preserve">Presiones externas sobre el Poder Judicial </w:t>
      </w:r>
    </w:p>
    <w:p w14:paraId="07235548" w14:textId="77777777" w:rsidR="00344693" w:rsidRPr="005747B6" w:rsidRDefault="00344693" w:rsidP="00344693">
      <w:pPr>
        <w:pStyle w:val="ListParagraph"/>
        <w:spacing w:line="276" w:lineRule="auto"/>
        <w:rPr>
          <w:rFonts w:ascii="Garamond" w:hAnsi="Garamond"/>
          <w:szCs w:val="24"/>
          <w:lang w:val="es-ES"/>
        </w:rPr>
      </w:pPr>
    </w:p>
    <w:p w14:paraId="7E9A95FA" w14:textId="3923B42A" w:rsidR="00E8149D" w:rsidRDefault="00E8149D" w:rsidP="00344693">
      <w:pPr>
        <w:pStyle w:val="ListParagraph"/>
        <w:numPr>
          <w:ilvl w:val="0"/>
          <w:numId w:val="12"/>
        </w:numPr>
        <w:spacing w:line="276" w:lineRule="auto"/>
        <w:rPr>
          <w:rFonts w:ascii="Garamond" w:hAnsi="Garamond"/>
          <w:szCs w:val="24"/>
          <w:lang w:val="es-ES"/>
        </w:rPr>
      </w:pPr>
      <w:r w:rsidRPr="005747B6">
        <w:rPr>
          <w:rFonts w:ascii="Garamond" w:hAnsi="Garamond"/>
          <w:szCs w:val="24"/>
          <w:lang w:val="es-ES"/>
        </w:rPr>
        <w:t xml:space="preserve">El Comité ha determinado que </w:t>
      </w:r>
      <w:r w:rsidRPr="005747B6">
        <w:rPr>
          <w:rFonts w:ascii="Garamond" w:hAnsi="Garamond"/>
          <w:b/>
          <w:bCs/>
          <w:szCs w:val="24"/>
          <w:lang w:val="es-ES"/>
        </w:rPr>
        <w:t>debe existir independencia efectiva del poder judicial respecto de la injerencia política por los poderes ejecutivo y legislativo</w:t>
      </w:r>
      <w:r w:rsidRPr="005747B6">
        <w:rPr>
          <w:rFonts w:ascii="Garamond" w:hAnsi="Garamond"/>
          <w:szCs w:val="24"/>
          <w:lang w:val="es-ES"/>
        </w:rPr>
        <w:t xml:space="preserve">. Toda situación en que las funciones y competencias del poder judicial y del </w:t>
      </w:r>
      <w:r w:rsidRPr="005747B6">
        <w:rPr>
          <w:rFonts w:ascii="Garamond" w:hAnsi="Garamond"/>
          <w:b/>
          <w:bCs/>
          <w:szCs w:val="24"/>
          <w:lang w:val="es-ES"/>
        </w:rPr>
        <w:t>poder ejecutivo no sean claramente distinguibles o en la que este último pueda controlar o dirigir al primero es incompatible con el concepto de un tribunal independiente</w:t>
      </w:r>
      <w:r w:rsidRPr="005747B6">
        <w:rPr>
          <w:rStyle w:val="FootnoteReference"/>
          <w:rFonts w:ascii="Garamond" w:hAnsi="Garamond"/>
          <w:b/>
          <w:bCs/>
          <w:szCs w:val="24"/>
          <w:lang w:val="es-ES"/>
        </w:rPr>
        <w:footnoteReference w:id="38"/>
      </w:r>
      <w:r w:rsidRPr="005747B6">
        <w:rPr>
          <w:rFonts w:ascii="Garamond" w:hAnsi="Garamond"/>
          <w:szCs w:val="24"/>
          <w:lang w:val="es-ES"/>
        </w:rPr>
        <w:t>.</w:t>
      </w:r>
    </w:p>
    <w:p w14:paraId="52BB523F" w14:textId="77777777" w:rsidR="004061DE" w:rsidRPr="005747B6" w:rsidRDefault="004061DE" w:rsidP="004061DE">
      <w:pPr>
        <w:pStyle w:val="ListParagraph"/>
        <w:spacing w:line="276" w:lineRule="auto"/>
        <w:rPr>
          <w:rFonts w:ascii="Garamond" w:hAnsi="Garamond"/>
          <w:szCs w:val="24"/>
          <w:lang w:val="es-ES"/>
        </w:rPr>
      </w:pPr>
    </w:p>
    <w:p w14:paraId="3A6A202D" w14:textId="74F3432C" w:rsidR="004061DE" w:rsidRPr="004061DE" w:rsidRDefault="006C08CF" w:rsidP="004061DE">
      <w:pPr>
        <w:pStyle w:val="ListParagraph"/>
        <w:numPr>
          <w:ilvl w:val="0"/>
          <w:numId w:val="12"/>
        </w:numPr>
        <w:spacing w:line="276" w:lineRule="auto"/>
        <w:rPr>
          <w:rFonts w:ascii="Garamond" w:eastAsia="Garamond" w:hAnsi="Garamond" w:cs="Garamond"/>
          <w:szCs w:val="24"/>
          <w:lang w:val="es-ES"/>
        </w:rPr>
      </w:pPr>
      <w:r w:rsidRPr="005747B6">
        <w:rPr>
          <w:rFonts w:ascii="Garamond" w:eastAsia="Garamond" w:hAnsi="Garamond" w:cs="Garamond"/>
          <w:szCs w:val="24"/>
          <w:lang w:val="es-ES"/>
        </w:rPr>
        <w:t>Para referirnos a este punto, se hará mención principalmente a la reorganización del TSJ que ocurrió en el 2022 y a cómo la misma no responde a lo que las observaciones y recomendaciones de los mecanismos de protección internacional realizadas esperan. Así, se deben destacar dos aspectos relevantes de la Ley Orgánica de Reforma de la Ley Orgánica del Tribunal Supremos de Justicia: en primer lugar, la continuación de la usurpación del Comité de Postulaciones por parte de diputados de la Asamblea Nacional, y, en segundo término, el fraude constitucional que supone la reelección de magistrados.</w:t>
      </w:r>
    </w:p>
    <w:p w14:paraId="33A0C9CA" w14:textId="77777777" w:rsidR="004061DE" w:rsidRPr="005747B6" w:rsidRDefault="004061DE" w:rsidP="004061DE">
      <w:pPr>
        <w:pStyle w:val="ListParagraph"/>
        <w:spacing w:line="276" w:lineRule="auto"/>
        <w:rPr>
          <w:rFonts w:ascii="Garamond" w:eastAsia="Garamond" w:hAnsi="Garamond" w:cs="Garamond"/>
          <w:szCs w:val="24"/>
          <w:lang w:val="es-ES"/>
        </w:rPr>
      </w:pPr>
    </w:p>
    <w:p w14:paraId="3C5D586B" w14:textId="77777777" w:rsidR="006C08CF" w:rsidRDefault="006C08CF" w:rsidP="00344693">
      <w:pPr>
        <w:pStyle w:val="ListParagraph"/>
        <w:numPr>
          <w:ilvl w:val="0"/>
          <w:numId w:val="12"/>
        </w:numPr>
        <w:spacing w:line="276" w:lineRule="auto"/>
        <w:rPr>
          <w:rFonts w:ascii="Garamond" w:eastAsia="Garamond" w:hAnsi="Garamond" w:cs="Garamond"/>
          <w:szCs w:val="24"/>
          <w:lang w:val="es-ES"/>
        </w:rPr>
      </w:pPr>
      <w:r w:rsidRPr="005747B6">
        <w:rPr>
          <w:rFonts w:ascii="Garamond" w:eastAsia="Garamond" w:hAnsi="Garamond" w:cs="Garamond"/>
          <w:szCs w:val="24"/>
          <w:lang w:val="es-ES"/>
        </w:rPr>
        <w:t>Como lo ha señalado Acceso a la Justicia en reiteradas ocasiones, aunque el Comité de Postulaciones, de acuerdo con el artículo 270 de la Constitución «…estará integrado por representantes de los diferentes sectores de la sociedad», tal disposición nunca se ha respetado, ya que, en lugar de constituirse únicamente por miembros de la sociedad civil, siempre se han incluido, a través de la ley, a diputados de la Asamblea; esto, a pesar de que no debería estar ningún funcionario público en dicho Comité. Con la nueva reforma, el Comité pasa a ser de 21 miembros, 11 de los cuales son diputados y 10 representantes de la sociedad civil.</w:t>
      </w:r>
    </w:p>
    <w:p w14:paraId="4E04433C" w14:textId="77777777" w:rsidR="004061DE" w:rsidRPr="005747B6" w:rsidRDefault="004061DE" w:rsidP="004061DE">
      <w:pPr>
        <w:pStyle w:val="ListParagraph"/>
        <w:spacing w:line="276" w:lineRule="auto"/>
        <w:rPr>
          <w:rFonts w:ascii="Garamond" w:eastAsia="Garamond" w:hAnsi="Garamond" w:cs="Garamond"/>
          <w:szCs w:val="24"/>
          <w:lang w:val="es-ES"/>
        </w:rPr>
      </w:pPr>
    </w:p>
    <w:p w14:paraId="1349BAD7" w14:textId="175203E9" w:rsidR="004061DE" w:rsidRDefault="006C08CF" w:rsidP="004061DE">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lastRenderedPageBreak/>
        <w:t>Por otro lado, la posibilidad que establece la disposición transitoria segunda de que los actuales magistrados del Tribunal Supremo puedan reelegirse, a pesar de que el artículo 264 de la Constitución señala que sólo pueden ejercer su cargo por un período único de 12 años, nos demuestra que los cambios no han sido para mejorar las graves irregularidades en la elección de magistrados, sino para agravarlas en la medida en que se hace un fraude a la Constitución al extender el período de ejercicio de un cargo público más allá de lo permitido.</w:t>
      </w:r>
    </w:p>
    <w:p w14:paraId="60F674BD" w14:textId="77777777" w:rsidR="00E66D05" w:rsidRPr="00E66D05" w:rsidRDefault="00E66D05" w:rsidP="00E66D05">
      <w:pPr>
        <w:spacing w:after="0" w:line="276" w:lineRule="auto"/>
        <w:rPr>
          <w:rFonts w:ascii="Garamond" w:eastAsia="Garamond" w:hAnsi="Garamond" w:cs="Garamond"/>
          <w:szCs w:val="24"/>
          <w:lang w:val="es-ES"/>
        </w:rPr>
      </w:pPr>
    </w:p>
    <w:p w14:paraId="33BC7D94" w14:textId="77777777" w:rsidR="006C08CF" w:rsidRDefault="006C08CF" w:rsidP="004061DE">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Así se confirmó en la más reciente elección de magistrados en 2022, cuando el 60% de los magistrados del “nuevo” TSJ han sido reelectos para estar en el cargo doce años más y por lo menos diecisiete de los designados tienen nexos familiares con altos funcionarios del Gobierno, han ocupado puestos en el Ejecutivo durante las administraciones del fallecido Hugo Chávez o Nicolás Maduro, han militado en el Partido Socialista de Unido de Venezuela (PSUV) o simplemente han respaldado sus actuaciones – una situación que genera dudas más que razonables respecto a su independencia</w:t>
      </w:r>
      <w:r w:rsidRPr="005747B6">
        <w:rPr>
          <w:rFonts w:ascii="Garamond" w:eastAsia="Garamond" w:hAnsi="Garamond"/>
          <w:szCs w:val="24"/>
          <w:vertAlign w:val="superscript"/>
        </w:rPr>
        <w:footnoteReference w:id="39"/>
      </w:r>
      <w:r w:rsidRPr="005747B6">
        <w:rPr>
          <w:rFonts w:ascii="Garamond" w:eastAsia="Garamond" w:hAnsi="Garamond" w:cs="Garamond"/>
          <w:szCs w:val="24"/>
          <w:lang w:val="es-ES"/>
        </w:rPr>
        <w:t>.</w:t>
      </w:r>
    </w:p>
    <w:p w14:paraId="118CFBC5" w14:textId="77777777" w:rsidR="004061DE" w:rsidRPr="005747B6" w:rsidRDefault="004061DE" w:rsidP="004061DE">
      <w:pPr>
        <w:pStyle w:val="ListParagraph"/>
        <w:spacing w:after="0" w:line="276" w:lineRule="auto"/>
        <w:rPr>
          <w:rFonts w:ascii="Garamond" w:eastAsia="Garamond" w:hAnsi="Garamond" w:cs="Garamond"/>
          <w:szCs w:val="24"/>
          <w:lang w:val="es-ES"/>
        </w:rPr>
      </w:pPr>
    </w:p>
    <w:p w14:paraId="30DEC222" w14:textId="761621A7" w:rsidR="006C08CF" w:rsidRPr="004061DE" w:rsidRDefault="006C08CF" w:rsidP="004061DE">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Estos magistrados repitientes fueron los que hicieron posible que se pasara de un examen preliminar, a la etapa de investigación, por parte de la Fiscalía de la Corte Penal Internacional, entre otras razones, por su inacción en la sanción de los responsables de crímenes de lesa humanidad.</w:t>
      </w:r>
      <w:r w:rsidR="004061DE">
        <w:rPr>
          <w:rFonts w:ascii="Garamond" w:eastAsia="Garamond" w:hAnsi="Garamond" w:cs="Garamond"/>
          <w:szCs w:val="24"/>
          <w:lang w:val="es-ES"/>
        </w:rPr>
        <w:t xml:space="preserve"> </w:t>
      </w:r>
      <w:r w:rsidRPr="004061DE">
        <w:rPr>
          <w:rFonts w:ascii="Garamond" w:eastAsia="Garamond" w:hAnsi="Garamond" w:cs="Garamond"/>
          <w:szCs w:val="24"/>
          <w:lang w:val="es-ES"/>
        </w:rPr>
        <w:t xml:space="preserve">En </w:t>
      </w:r>
      <w:r w:rsidR="004061DE">
        <w:rPr>
          <w:rFonts w:ascii="Garamond" w:eastAsia="Garamond" w:hAnsi="Garamond" w:cs="Garamond"/>
          <w:szCs w:val="24"/>
          <w:lang w:val="es-ES"/>
        </w:rPr>
        <w:t xml:space="preserve">la </w:t>
      </w:r>
      <w:r w:rsidRPr="004061DE">
        <w:rPr>
          <w:rFonts w:ascii="Garamond" w:eastAsia="Garamond" w:hAnsi="Garamond" w:cs="Garamond"/>
          <w:szCs w:val="24"/>
          <w:lang w:val="es-ES"/>
        </w:rPr>
        <w:t>composición actual, 11 son los magistrados a quienes los diputados reeligieron de manera casi unánime, mientras que entre los ocho nuevos magistrados figuran personalidades con fuertes conexiones con el oficialismo como se mencionó anteriormente.</w:t>
      </w:r>
    </w:p>
    <w:p w14:paraId="44DC0AAE" w14:textId="77777777" w:rsidR="004061DE" w:rsidRPr="005747B6" w:rsidRDefault="004061DE" w:rsidP="004061DE">
      <w:pPr>
        <w:pStyle w:val="ListParagraph"/>
        <w:spacing w:line="276" w:lineRule="auto"/>
        <w:rPr>
          <w:rFonts w:ascii="Garamond" w:eastAsia="Garamond" w:hAnsi="Garamond" w:cs="Garamond"/>
          <w:szCs w:val="24"/>
          <w:lang w:val="es-ES"/>
        </w:rPr>
      </w:pPr>
    </w:p>
    <w:p w14:paraId="029E755A" w14:textId="6375FB39" w:rsidR="004061DE" w:rsidRPr="004061DE" w:rsidRDefault="004061DE" w:rsidP="004061DE">
      <w:pPr>
        <w:pStyle w:val="ListParagraph"/>
        <w:numPr>
          <w:ilvl w:val="0"/>
          <w:numId w:val="12"/>
        </w:numPr>
        <w:spacing w:line="276" w:lineRule="auto"/>
        <w:rPr>
          <w:rFonts w:ascii="Garamond" w:eastAsia="Garamond" w:hAnsi="Garamond" w:cs="Garamond"/>
          <w:szCs w:val="24"/>
          <w:lang w:val="es-ES"/>
        </w:rPr>
      </w:pPr>
      <w:r>
        <w:rPr>
          <w:rFonts w:ascii="Garamond" w:eastAsia="Garamond" w:hAnsi="Garamond" w:cs="Garamond"/>
          <w:szCs w:val="24"/>
          <w:lang w:val="es-ES"/>
        </w:rPr>
        <w:t>Entre</w:t>
      </w:r>
      <w:r w:rsidR="006C08CF" w:rsidRPr="005747B6">
        <w:rPr>
          <w:rFonts w:ascii="Garamond" w:eastAsia="Garamond" w:hAnsi="Garamond" w:cs="Garamond"/>
          <w:szCs w:val="24"/>
          <w:lang w:val="es-ES"/>
        </w:rPr>
        <w:t xml:space="preserve"> los nuevos magistrados destaca Tania D’Amelio, quien se desempeñó por casi trece años como rectora del CNE y antes de eso fue por ocho años diputada por el extinto Movimiento Quinta República y luego por su sucesor, el PSUV. Por su parte, La magistrada Caryslia Beatriz Rodríguez asumió en agosto de 2021 el cargo de alcaldesa encargada de Caracas</w:t>
      </w:r>
      <w:r w:rsidR="006C08CF" w:rsidRPr="005747B6">
        <w:rPr>
          <w:rFonts w:ascii="Garamond" w:eastAsia="Garamond" w:hAnsi="Garamond"/>
          <w:szCs w:val="24"/>
          <w:vertAlign w:val="superscript"/>
        </w:rPr>
        <w:footnoteReference w:id="40"/>
      </w:r>
      <w:r w:rsidR="006C08CF" w:rsidRPr="005747B6">
        <w:rPr>
          <w:rFonts w:ascii="Garamond" w:eastAsia="Garamond" w:hAnsi="Garamond" w:cs="Garamond"/>
          <w:szCs w:val="24"/>
          <w:lang w:val="es-ES"/>
        </w:rPr>
        <w:t xml:space="preserve"> tras la renuncia de su entonces titular, Erika Farías, y luego de las elecciones regionales se desempeñó como concejal de Caracas por el PSUV, llegando más adelante a ser presidenta de esa instancia. </w:t>
      </w:r>
    </w:p>
    <w:p w14:paraId="47D6483F" w14:textId="77777777" w:rsidR="004061DE" w:rsidRPr="005747B6" w:rsidRDefault="004061DE" w:rsidP="004061DE">
      <w:pPr>
        <w:pStyle w:val="ListParagraph"/>
        <w:spacing w:line="276" w:lineRule="auto"/>
        <w:rPr>
          <w:rFonts w:ascii="Garamond" w:eastAsia="Garamond" w:hAnsi="Garamond" w:cs="Garamond"/>
          <w:szCs w:val="24"/>
          <w:lang w:val="es-ES"/>
        </w:rPr>
      </w:pPr>
    </w:p>
    <w:p w14:paraId="2ACB1AD0" w14:textId="73DFB9BB" w:rsidR="006C08CF" w:rsidRDefault="006C08CF" w:rsidP="004061DE">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Luego está el caso de Calixto Ortega, a quien le fue encomendado el 28 de julio de 2022 la tarea de representar al Estado ante la CPI con sede en La Haya</w:t>
      </w:r>
      <w:r w:rsidRPr="005747B6">
        <w:rPr>
          <w:rFonts w:ascii="Garamond" w:eastAsia="Garamond" w:hAnsi="Garamond"/>
          <w:szCs w:val="24"/>
          <w:vertAlign w:val="superscript"/>
        </w:rPr>
        <w:footnoteReference w:id="41"/>
      </w:r>
      <w:r w:rsidRPr="005747B6">
        <w:rPr>
          <w:rFonts w:ascii="Garamond" w:eastAsia="Garamond" w:hAnsi="Garamond" w:cs="Garamond"/>
          <w:szCs w:val="24"/>
          <w:lang w:val="es-ES"/>
        </w:rPr>
        <w:t xml:space="preserve"> sin que esto provocara su salida automática del máximo juzgado, tal y como lo exige el artículo 39 de la Ley Orgánica del TSJ (LOTSJ) que solo permite el ejercicio de cargos académicos o docentes a tiempo parcial mientras desempeñan el mandato judicial de 12 años. </w:t>
      </w:r>
      <w:r w:rsidR="004061DE">
        <w:rPr>
          <w:rFonts w:ascii="Garamond" w:eastAsia="Garamond" w:hAnsi="Garamond" w:cs="Garamond"/>
          <w:szCs w:val="24"/>
          <w:lang w:val="es-ES"/>
        </w:rPr>
        <w:t xml:space="preserve">La </w:t>
      </w:r>
      <w:r w:rsidRPr="005747B6">
        <w:rPr>
          <w:rFonts w:ascii="Garamond" w:eastAsia="Garamond" w:hAnsi="Garamond" w:cs="Garamond"/>
          <w:szCs w:val="24"/>
          <w:lang w:val="es-ES"/>
        </w:rPr>
        <w:t xml:space="preserve">Sala Plena le concedió un «permiso temporal», tal como desde hace un par de años ha otorgado a otros de sus miembros para que desempeñen funciones diferentes en contra de la Constitución y de la ley. </w:t>
      </w:r>
    </w:p>
    <w:p w14:paraId="3A5D1F05" w14:textId="77777777" w:rsidR="004061DE" w:rsidRPr="004061DE" w:rsidRDefault="004061DE" w:rsidP="004061DE">
      <w:pPr>
        <w:spacing w:after="0" w:line="276" w:lineRule="auto"/>
        <w:rPr>
          <w:rFonts w:ascii="Garamond" w:eastAsia="Garamond" w:hAnsi="Garamond" w:cs="Garamond"/>
          <w:szCs w:val="24"/>
          <w:lang w:val="es-ES"/>
        </w:rPr>
      </w:pPr>
    </w:p>
    <w:p w14:paraId="4CD06C76" w14:textId="7B6462FE" w:rsidR="006C08CF" w:rsidRDefault="006C08CF" w:rsidP="004061DE">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 xml:space="preserve">Son muchas las irregularidades del proceso: la reelección de magistrados, la existencia de claros nexos entre los nuevos magistrados con el oficialismo, la concesión de “permisos temporales” para desempeñar funciones diferentes a las jurisdiccionales o la designación de magistrados suplentes fuera del orden establecido, son evidencias que permiten dudar con sustento sobre los principios de independencia e imparcialidad del Poder Judicial. </w:t>
      </w:r>
    </w:p>
    <w:p w14:paraId="7D15BD68" w14:textId="77777777" w:rsidR="00E66D05" w:rsidRPr="00E66D05" w:rsidRDefault="00E66D05" w:rsidP="00E66D05">
      <w:pPr>
        <w:spacing w:after="0" w:line="276" w:lineRule="auto"/>
        <w:rPr>
          <w:rFonts w:ascii="Garamond" w:eastAsia="Garamond" w:hAnsi="Garamond" w:cs="Garamond"/>
          <w:szCs w:val="24"/>
          <w:lang w:val="es-ES"/>
        </w:rPr>
      </w:pPr>
    </w:p>
    <w:p w14:paraId="22FAFB5C" w14:textId="0984AEA0" w:rsidR="004061DE" w:rsidRPr="00E66D05" w:rsidRDefault="00E8149D" w:rsidP="00E66D05">
      <w:pPr>
        <w:pStyle w:val="ListParagraph"/>
        <w:numPr>
          <w:ilvl w:val="0"/>
          <w:numId w:val="12"/>
        </w:numPr>
        <w:spacing w:after="0" w:line="276" w:lineRule="auto"/>
        <w:rPr>
          <w:rFonts w:ascii="Garamond" w:eastAsia="Garamond" w:hAnsi="Garamond" w:cs="Garamond"/>
          <w:szCs w:val="24"/>
          <w:lang w:val="es-ES"/>
        </w:rPr>
      </w:pPr>
      <w:r w:rsidRPr="005747B6">
        <w:rPr>
          <w:rFonts w:ascii="Garamond" w:eastAsia="Garamond" w:hAnsi="Garamond" w:cs="Garamond"/>
          <w:szCs w:val="24"/>
          <w:lang w:val="es-ES"/>
        </w:rPr>
        <w:t xml:space="preserve">Otro aspecto que puede resultar relevante enfatizar, es la situación imperante de la corrupción en el ámbito de la judicatura. </w:t>
      </w:r>
      <w:r w:rsidR="004061DE" w:rsidRPr="00E66D05">
        <w:rPr>
          <w:rFonts w:ascii="Garamond" w:eastAsia="Garamond" w:hAnsi="Garamond" w:cs="Garamond"/>
          <w:szCs w:val="24"/>
          <w:highlight w:val="white"/>
          <w:lang w:val="es-ES"/>
        </w:rPr>
        <w:t>No</w:t>
      </w:r>
      <w:r w:rsidRPr="00E66D05">
        <w:rPr>
          <w:rFonts w:ascii="Garamond" w:eastAsia="Garamond" w:hAnsi="Garamond" w:cs="Garamond"/>
          <w:szCs w:val="24"/>
          <w:highlight w:val="white"/>
          <w:lang w:val="es-ES"/>
        </w:rPr>
        <w:t xml:space="preserve"> se trata de un problema de corrupción habitual previsible dentro de cualquier Administración Pública, el fenómeno se compone por un esquema de corrupción estructural que ha sido reproducido durante años con claras intenciones políticas y que ha generado en gran medida la concreción de la Emergencia Humanitaria Compleja y la desprotección de los derechos humanos en Venezuela.  </w:t>
      </w:r>
      <w:r w:rsidRPr="00E66D05">
        <w:rPr>
          <w:rFonts w:ascii="Garamond" w:eastAsia="Garamond" w:hAnsi="Garamond" w:cs="Garamond"/>
          <w:szCs w:val="24"/>
          <w:lang w:val="es-ES"/>
        </w:rPr>
        <w:t xml:space="preserve">Cabe destacar que </w:t>
      </w:r>
      <w:r w:rsidRPr="00E66D05">
        <w:rPr>
          <w:rFonts w:ascii="Garamond" w:eastAsia="Garamond" w:hAnsi="Garamond" w:cs="Garamond"/>
          <w:szCs w:val="24"/>
          <w:highlight w:val="white"/>
          <w:lang w:val="es-ES"/>
        </w:rPr>
        <w:t>Venezuela es el país con mayor Índice de Percepción de Corrupción (IPC) en América y el Caribe, y se posicionó en el quinto lugar en el mundo para 2022, según Transparencia Internacional</w:t>
      </w:r>
      <w:r w:rsidRPr="005747B6">
        <w:rPr>
          <w:rFonts w:eastAsia="Garamond"/>
          <w:highlight w:val="white"/>
          <w:vertAlign w:val="superscript"/>
        </w:rPr>
        <w:footnoteReference w:id="42"/>
      </w:r>
      <w:r w:rsidRPr="00E66D05">
        <w:rPr>
          <w:rFonts w:ascii="Garamond" w:eastAsia="Garamond" w:hAnsi="Garamond" w:cs="Garamond"/>
          <w:szCs w:val="24"/>
          <w:highlight w:val="white"/>
          <w:lang w:val="es-ES"/>
        </w:rPr>
        <w:t>.</w:t>
      </w:r>
    </w:p>
    <w:p w14:paraId="3428F991" w14:textId="77777777" w:rsidR="004061DE" w:rsidRPr="005747B6" w:rsidRDefault="004061DE" w:rsidP="004061DE">
      <w:pPr>
        <w:pStyle w:val="ListParagraph"/>
        <w:spacing w:after="0" w:line="276" w:lineRule="auto"/>
        <w:rPr>
          <w:rFonts w:ascii="Garamond" w:eastAsia="Garamond" w:hAnsi="Garamond" w:cs="Garamond"/>
          <w:szCs w:val="24"/>
          <w:highlight w:val="white"/>
          <w:lang w:val="es-ES"/>
        </w:rPr>
      </w:pPr>
    </w:p>
    <w:p w14:paraId="3314A9B6" w14:textId="77777777" w:rsidR="00E8149D" w:rsidRDefault="00E8149D" w:rsidP="004061DE">
      <w:pPr>
        <w:pStyle w:val="ListParagraph"/>
        <w:numPr>
          <w:ilvl w:val="0"/>
          <w:numId w:val="12"/>
        </w:numPr>
        <w:spacing w:before="240" w:after="0" w:line="276" w:lineRule="auto"/>
        <w:rPr>
          <w:rFonts w:ascii="Garamond" w:eastAsia="Garamond" w:hAnsi="Garamond" w:cs="Garamond"/>
          <w:szCs w:val="24"/>
          <w:highlight w:val="white"/>
          <w:lang w:val="es-ES"/>
        </w:rPr>
      </w:pPr>
      <w:r w:rsidRPr="005747B6">
        <w:rPr>
          <w:rFonts w:ascii="Garamond" w:eastAsia="Garamond" w:hAnsi="Garamond" w:cs="Garamond"/>
          <w:szCs w:val="24"/>
          <w:highlight w:val="white"/>
          <w:lang w:val="es-ES"/>
        </w:rPr>
        <w:t>El fenómeno de gran corrupción en Venezuela tiene múltiples expresiones, entre ellas, las desviaciones del sistema de justicia al momento de investigar, procesar y sancionar a los responsables de los hechos irregulares y también las propias prácticas corruptivas en las que está envuelto todo el sistema de forma directa, propiciando la violación generalizada de Derechos Humanos de los venezolanos, que están en total indefensión.</w:t>
      </w:r>
    </w:p>
    <w:p w14:paraId="340DE014" w14:textId="77777777" w:rsidR="004061DE" w:rsidRPr="005747B6" w:rsidRDefault="004061DE" w:rsidP="004061DE">
      <w:pPr>
        <w:pStyle w:val="ListParagraph"/>
        <w:spacing w:before="240" w:line="276" w:lineRule="auto"/>
        <w:rPr>
          <w:rFonts w:ascii="Garamond" w:eastAsia="Garamond" w:hAnsi="Garamond" w:cs="Garamond"/>
          <w:szCs w:val="24"/>
          <w:highlight w:val="white"/>
          <w:lang w:val="es-ES"/>
        </w:rPr>
      </w:pPr>
    </w:p>
    <w:p w14:paraId="04249542" w14:textId="27191D8C" w:rsidR="004061DE" w:rsidRDefault="00E8149D" w:rsidP="00E66D05">
      <w:pPr>
        <w:pStyle w:val="ListParagraph"/>
        <w:numPr>
          <w:ilvl w:val="0"/>
          <w:numId w:val="12"/>
        </w:numPr>
        <w:spacing w:after="0" w:line="276" w:lineRule="auto"/>
        <w:rPr>
          <w:rFonts w:ascii="Garamond" w:eastAsia="Garamond" w:hAnsi="Garamond" w:cs="Garamond"/>
          <w:szCs w:val="24"/>
          <w:highlight w:val="white"/>
          <w:lang w:val="es-ES"/>
        </w:rPr>
      </w:pPr>
      <w:r w:rsidRPr="005747B6">
        <w:rPr>
          <w:rFonts w:ascii="Garamond" w:eastAsia="Garamond" w:hAnsi="Garamond" w:cs="Garamond"/>
          <w:szCs w:val="24"/>
          <w:highlight w:val="white"/>
          <w:lang w:val="es-ES"/>
        </w:rPr>
        <w:t>En primer lugar, existe un sistema judicial comprometido y corrupto que impide la obtención de justicia en el país, ya que no se han investigado ni condenado a los principales responsables de la corrupción, a menos que sean considerados traidores al sistema. Estas son estructuras criminales que han obligado a buscar nuevas formas de promover la justicia en otros países donde la corrupción ha afectado los sistemas financieros, los mercados inmobiliarios e incluso se ha infiltrado la política</w:t>
      </w:r>
      <w:r w:rsidRPr="005747B6">
        <w:rPr>
          <w:rFonts w:ascii="Garamond" w:eastAsia="Garamond" w:hAnsi="Garamond"/>
          <w:szCs w:val="24"/>
          <w:highlight w:val="white"/>
          <w:vertAlign w:val="superscript"/>
        </w:rPr>
        <w:footnoteReference w:id="43"/>
      </w:r>
      <w:r w:rsidRPr="005747B6">
        <w:rPr>
          <w:rFonts w:ascii="Garamond" w:eastAsia="Garamond" w:hAnsi="Garamond" w:cs="Garamond"/>
          <w:szCs w:val="24"/>
          <w:highlight w:val="white"/>
          <w:lang w:val="es-ES"/>
        </w:rPr>
        <w:t xml:space="preserve">. Según la organización Transparencia Venezuela, se estima que existe una red de corrupción que ha causado un desfalco de más de USD 68.311.087.395,591. </w:t>
      </w:r>
      <w:r w:rsidR="00E66D05" w:rsidRPr="005747B6">
        <w:rPr>
          <w:rFonts w:ascii="Garamond" w:eastAsia="Garamond" w:hAnsi="Garamond" w:cs="Garamond"/>
          <w:szCs w:val="24"/>
          <w:highlight w:val="white"/>
          <w:lang w:val="es-ES"/>
        </w:rPr>
        <w:t>De acuerdo con</w:t>
      </w:r>
      <w:r w:rsidRPr="005747B6">
        <w:rPr>
          <w:rFonts w:ascii="Garamond" w:eastAsia="Garamond" w:hAnsi="Garamond" w:cs="Garamond"/>
          <w:szCs w:val="24"/>
          <w:highlight w:val="white"/>
          <w:lang w:val="es-ES"/>
        </w:rPr>
        <w:t xml:space="preserve"> la información disponible de notas de prensa y autoridades de otros países, se están investigando al menos 220 casos de corrupción relacionados con Venezuela en más de 26 jurisdicciones, según los registros levantados por la organización hasta marzo de 2023</w:t>
      </w:r>
      <w:r w:rsidRPr="005747B6">
        <w:rPr>
          <w:rFonts w:ascii="Garamond" w:eastAsia="Garamond" w:hAnsi="Garamond"/>
          <w:szCs w:val="24"/>
          <w:highlight w:val="white"/>
          <w:vertAlign w:val="superscript"/>
        </w:rPr>
        <w:footnoteReference w:id="44"/>
      </w:r>
      <w:r w:rsidRPr="005747B6">
        <w:rPr>
          <w:rFonts w:ascii="Garamond" w:eastAsia="Garamond" w:hAnsi="Garamond" w:cs="Garamond"/>
          <w:szCs w:val="24"/>
          <w:highlight w:val="white"/>
          <w:lang w:val="es-ES"/>
        </w:rPr>
        <w:t xml:space="preserve">. </w:t>
      </w:r>
    </w:p>
    <w:p w14:paraId="40709CBF" w14:textId="77777777" w:rsidR="00E66D05" w:rsidRPr="00E66D05" w:rsidRDefault="00E66D05" w:rsidP="00E66D05">
      <w:pPr>
        <w:spacing w:after="0" w:line="276" w:lineRule="auto"/>
        <w:rPr>
          <w:rFonts w:ascii="Garamond" w:eastAsia="Garamond" w:hAnsi="Garamond" w:cs="Garamond"/>
          <w:szCs w:val="24"/>
          <w:highlight w:val="white"/>
          <w:lang w:val="es-ES"/>
        </w:rPr>
      </w:pPr>
    </w:p>
    <w:p w14:paraId="6006408E" w14:textId="77777777" w:rsidR="00E8149D" w:rsidRDefault="00E8149D" w:rsidP="00E66D05">
      <w:pPr>
        <w:pStyle w:val="ListParagraph"/>
        <w:numPr>
          <w:ilvl w:val="0"/>
          <w:numId w:val="12"/>
        </w:numPr>
        <w:spacing w:after="0" w:line="276" w:lineRule="auto"/>
        <w:rPr>
          <w:rFonts w:ascii="Garamond" w:eastAsia="Garamond" w:hAnsi="Garamond" w:cs="Garamond"/>
          <w:szCs w:val="24"/>
          <w:highlight w:val="white"/>
          <w:lang w:val="es-ES"/>
        </w:rPr>
      </w:pPr>
      <w:r w:rsidRPr="005747B6">
        <w:rPr>
          <w:rFonts w:ascii="Garamond" w:eastAsia="Garamond" w:hAnsi="Garamond" w:cs="Garamond"/>
          <w:szCs w:val="24"/>
          <w:highlight w:val="white"/>
          <w:lang w:val="es-ES"/>
        </w:rPr>
        <w:t xml:space="preserve">Asimismo, a través de encuestas realizadas a abogados y jueces y magistrados de la Sala de Casación Penal, Transparencia Venezuela ha recopilado testimonios que revelan que la justicia en Venezuela se ha convertido en una mercancía de la cual muchos funcionarios obtienen </w:t>
      </w:r>
      <w:r w:rsidRPr="005747B6">
        <w:rPr>
          <w:rFonts w:ascii="Garamond" w:eastAsia="Garamond" w:hAnsi="Garamond" w:cs="Garamond"/>
          <w:szCs w:val="24"/>
          <w:highlight w:val="white"/>
          <w:lang w:val="es-ES"/>
        </w:rPr>
        <w:lastRenderedPageBreak/>
        <w:t>beneficios económicos</w:t>
      </w:r>
      <w:r w:rsidRPr="005747B6">
        <w:rPr>
          <w:rFonts w:ascii="Garamond" w:eastAsia="Garamond" w:hAnsi="Garamond"/>
          <w:szCs w:val="24"/>
          <w:highlight w:val="white"/>
          <w:vertAlign w:val="superscript"/>
        </w:rPr>
        <w:footnoteReference w:id="45"/>
      </w:r>
      <w:r w:rsidRPr="005747B6">
        <w:rPr>
          <w:rFonts w:ascii="Garamond" w:eastAsia="Garamond" w:hAnsi="Garamond" w:cs="Garamond"/>
          <w:szCs w:val="24"/>
          <w:highlight w:val="white"/>
          <w:lang w:val="es-ES"/>
        </w:rPr>
        <w:t>. La información compartida por los consultados evidencia que sería imposible creer que las altas autoridades del Poder Judicial no están al tanto de esta situación. Los testimonios revelan cómo es una práctica común, aceptada e internalizada, los cobros de altas sumas de dinero en dólares por la emisión de boletas de excarcelación, traslados y sentencias, y sobornos para proceder a realizar notificaciones o citaciones, inspecciones judiciales y otorgamiento de medidas cautelares sustitutivas</w:t>
      </w:r>
      <w:r w:rsidRPr="005747B6">
        <w:rPr>
          <w:rFonts w:ascii="Garamond" w:eastAsia="Garamond" w:hAnsi="Garamond"/>
          <w:szCs w:val="24"/>
          <w:highlight w:val="white"/>
          <w:vertAlign w:val="superscript"/>
        </w:rPr>
        <w:footnoteReference w:id="46"/>
      </w:r>
      <w:r w:rsidRPr="005747B6">
        <w:rPr>
          <w:rFonts w:ascii="Garamond" w:eastAsia="Garamond" w:hAnsi="Garamond" w:cs="Garamond"/>
          <w:szCs w:val="24"/>
          <w:highlight w:val="white"/>
          <w:lang w:val="es-ES"/>
        </w:rPr>
        <w:t>.</w:t>
      </w:r>
    </w:p>
    <w:p w14:paraId="60A60E4F" w14:textId="77777777" w:rsidR="004061DE" w:rsidRPr="00E66D05" w:rsidRDefault="004061DE" w:rsidP="00E66D05">
      <w:pPr>
        <w:spacing w:line="276" w:lineRule="auto"/>
        <w:rPr>
          <w:rFonts w:ascii="Garamond" w:eastAsia="Garamond" w:hAnsi="Garamond" w:cs="Garamond"/>
          <w:szCs w:val="24"/>
          <w:highlight w:val="white"/>
          <w:lang w:val="es-ES"/>
        </w:rPr>
      </w:pPr>
    </w:p>
    <w:p w14:paraId="6AE76984" w14:textId="77777777" w:rsidR="00E8149D" w:rsidRDefault="00E8149D" w:rsidP="00E66D05">
      <w:pPr>
        <w:pStyle w:val="ListParagraph"/>
        <w:numPr>
          <w:ilvl w:val="0"/>
          <w:numId w:val="12"/>
        </w:numPr>
        <w:spacing w:after="0" w:line="276" w:lineRule="auto"/>
        <w:rPr>
          <w:rFonts w:ascii="Garamond" w:eastAsia="Garamond" w:hAnsi="Garamond" w:cs="Garamond"/>
          <w:szCs w:val="24"/>
          <w:highlight w:val="white"/>
          <w:lang w:val="es-ES"/>
        </w:rPr>
      </w:pPr>
      <w:r w:rsidRPr="005747B6">
        <w:rPr>
          <w:rFonts w:ascii="Garamond" w:eastAsia="Garamond" w:hAnsi="Garamond" w:cs="Garamond"/>
          <w:szCs w:val="24"/>
          <w:highlight w:val="white"/>
          <w:lang w:val="es-ES"/>
        </w:rPr>
        <w:t>Entre las acciones que han propiciado la cooptación y corrupción en el sistema de justicia refieren principalmente a aspectos cardinales que están siendo abordados en el presente informe como expresiones de falta de cumplimiento con las obligaciones de derechos humanos, la institucionalidad democrática y las recomendaciones emitidas, entre ellas: Intervención en el Tribunal Supremo de Justicia, designación de fiscales generales cercanos al Ejecutivo Nacional, designación sin concurso público de fiscales y jueces, y modificación de leyes que no corrigen los vicios y las irregularidades y promueven nuevas estructuras burocráticas y abusos de poder</w:t>
      </w:r>
      <w:r w:rsidRPr="005747B6">
        <w:rPr>
          <w:rFonts w:ascii="Garamond" w:eastAsia="Garamond" w:hAnsi="Garamond"/>
          <w:szCs w:val="24"/>
          <w:highlight w:val="white"/>
          <w:vertAlign w:val="superscript"/>
        </w:rPr>
        <w:footnoteReference w:id="47"/>
      </w:r>
      <w:r w:rsidRPr="005747B6">
        <w:rPr>
          <w:rFonts w:ascii="Garamond" w:eastAsia="Garamond" w:hAnsi="Garamond" w:cs="Garamond"/>
          <w:szCs w:val="24"/>
          <w:highlight w:val="white"/>
          <w:lang w:val="es-ES"/>
        </w:rPr>
        <w:t>.</w:t>
      </w:r>
    </w:p>
    <w:p w14:paraId="6A50B0A7" w14:textId="77777777" w:rsidR="00E66D05" w:rsidRPr="00E66D05" w:rsidRDefault="00E66D05" w:rsidP="00E66D05">
      <w:pPr>
        <w:spacing w:after="0" w:line="276" w:lineRule="auto"/>
        <w:rPr>
          <w:rFonts w:ascii="Garamond" w:eastAsia="Garamond" w:hAnsi="Garamond" w:cs="Garamond"/>
          <w:szCs w:val="24"/>
          <w:highlight w:val="white"/>
          <w:lang w:val="es-ES"/>
        </w:rPr>
      </w:pPr>
    </w:p>
    <w:p w14:paraId="0E405759" w14:textId="612066FE" w:rsidR="00E66D05" w:rsidRDefault="00E8149D" w:rsidP="00E66D05">
      <w:pPr>
        <w:pStyle w:val="ListParagraph"/>
        <w:numPr>
          <w:ilvl w:val="0"/>
          <w:numId w:val="12"/>
        </w:numPr>
        <w:spacing w:after="0" w:line="276" w:lineRule="auto"/>
        <w:rPr>
          <w:rFonts w:ascii="Garamond" w:eastAsia="Garamond" w:hAnsi="Garamond" w:cs="Garamond"/>
          <w:szCs w:val="24"/>
          <w:highlight w:val="white"/>
          <w:lang w:val="es-ES"/>
        </w:rPr>
      </w:pPr>
      <w:r w:rsidRPr="005747B6">
        <w:rPr>
          <w:rFonts w:ascii="Garamond" w:eastAsia="Garamond" w:hAnsi="Garamond" w:cs="Garamond"/>
          <w:szCs w:val="24"/>
          <w:highlight w:val="white"/>
          <w:lang w:val="es-ES"/>
        </w:rPr>
        <w:t xml:space="preserve">Siguen sin observarse alguna acción por parte de las autoridades para abordar esta situación de manera efectiva, excepto por algunos casos aislados que no buscan revertir la problemática a escala general sino aparentar falsas voluntades. Como ha señalado Transparencia Venezuela, basados en información recolectada del Fiscal General, la Contraloría General, la Asamblea Nacional y otras noticias publicadas en medios de comunicación, las autoridades y personeros del Gobierno han afirmado que se están investigando y deteniendo a fiscales presuntamente implicados en casos de corrupción, pero no se mencionan cambios estructurales para prevenir y contrarrestar esta situación. No se han tomado medidas como la designación de fiscales a través de concursos, el aumento de salarios o la publicación de informes de gestión, como </w:t>
      </w:r>
      <w:r w:rsidR="006C08CF" w:rsidRPr="005747B6">
        <w:rPr>
          <w:rFonts w:ascii="Garamond" w:eastAsia="Garamond" w:hAnsi="Garamond" w:cs="Garamond"/>
          <w:szCs w:val="24"/>
          <w:highlight w:val="white"/>
          <w:lang w:val="es-ES"/>
        </w:rPr>
        <w:t>fue</w:t>
      </w:r>
      <w:r w:rsidRPr="005747B6">
        <w:rPr>
          <w:rFonts w:ascii="Garamond" w:eastAsia="Garamond" w:hAnsi="Garamond" w:cs="Garamond"/>
          <w:szCs w:val="24"/>
          <w:highlight w:val="white"/>
          <w:lang w:val="es-ES"/>
        </w:rPr>
        <w:t xml:space="preserve"> comentado</w:t>
      </w:r>
      <w:r w:rsidRPr="005747B6">
        <w:rPr>
          <w:rFonts w:ascii="Garamond" w:eastAsia="Garamond" w:hAnsi="Garamond"/>
          <w:szCs w:val="24"/>
          <w:highlight w:val="white"/>
          <w:vertAlign w:val="superscript"/>
        </w:rPr>
        <w:footnoteReference w:id="48"/>
      </w:r>
      <w:r w:rsidRPr="005747B6">
        <w:rPr>
          <w:rFonts w:ascii="Garamond" w:eastAsia="Garamond" w:hAnsi="Garamond" w:cs="Garamond"/>
          <w:szCs w:val="24"/>
          <w:highlight w:val="white"/>
          <w:lang w:val="es-ES"/>
        </w:rPr>
        <w:t>.</w:t>
      </w:r>
    </w:p>
    <w:p w14:paraId="56CD36E2" w14:textId="77777777" w:rsidR="00E66D05" w:rsidRPr="00E66D05" w:rsidRDefault="00E66D05" w:rsidP="00E66D05">
      <w:pPr>
        <w:spacing w:after="0" w:line="276" w:lineRule="auto"/>
        <w:rPr>
          <w:rFonts w:ascii="Garamond" w:eastAsia="Garamond" w:hAnsi="Garamond" w:cs="Garamond"/>
          <w:szCs w:val="24"/>
          <w:highlight w:val="white"/>
          <w:lang w:val="es-ES"/>
        </w:rPr>
      </w:pPr>
    </w:p>
    <w:p w14:paraId="5609000C" w14:textId="62DA09A9" w:rsidR="00E66D05" w:rsidRPr="00E66D05" w:rsidRDefault="006C08CF" w:rsidP="00E66D05">
      <w:pPr>
        <w:pStyle w:val="ListParagraph"/>
        <w:numPr>
          <w:ilvl w:val="0"/>
          <w:numId w:val="12"/>
        </w:numPr>
        <w:spacing w:after="0" w:line="276" w:lineRule="auto"/>
        <w:rPr>
          <w:rFonts w:ascii="Garamond" w:eastAsia="Garamond" w:hAnsi="Garamond" w:cs="Garamond"/>
          <w:szCs w:val="24"/>
          <w:highlight w:val="white"/>
          <w:lang w:val="es-ES"/>
        </w:rPr>
      </w:pPr>
      <w:r w:rsidRPr="005747B6">
        <w:rPr>
          <w:rFonts w:ascii="Garamond" w:eastAsia="Garamond" w:hAnsi="Garamond" w:cs="Garamond"/>
          <w:szCs w:val="24"/>
          <w:highlight w:val="white"/>
          <w:lang w:val="es-ES"/>
        </w:rPr>
        <w:t>Mientras persista la tolerancia a la corrupción como mecanismo de cohesión de los integrantes de la estructura de poder y a la vez, el sistema de justicia siga usándose como una herramienta para controlar y perseguir tanto a los funcionarios, en el caso de que opten por abandonar la línea de acción impuesta y a la disidencia, las grandes problemáticas a nivel de justicia en Venezuela no serán realmente tratadas. La impunidad y el deterioro general de la vida de los venezolanos seguirá aumentado.</w:t>
      </w:r>
    </w:p>
    <w:p w14:paraId="51EFF819" w14:textId="77777777" w:rsidR="00E66D05" w:rsidRPr="004739DD" w:rsidRDefault="00E66D05" w:rsidP="0007213D">
      <w:pPr>
        <w:pStyle w:val="ListParagraph"/>
        <w:spacing w:line="276" w:lineRule="auto"/>
        <w:rPr>
          <w:rFonts w:ascii="Garamond" w:eastAsia="Garamond" w:hAnsi="Garamond" w:cs="Garamond"/>
          <w:szCs w:val="24"/>
          <w:highlight w:val="white"/>
          <w:lang w:val="es-ES"/>
        </w:rPr>
      </w:pPr>
    </w:p>
    <w:p w14:paraId="763C6ADF" w14:textId="264E0555" w:rsidR="00662624" w:rsidRPr="004739DD" w:rsidRDefault="00E66D05" w:rsidP="004739DD">
      <w:pPr>
        <w:spacing w:line="276" w:lineRule="auto"/>
        <w:rPr>
          <w:rFonts w:ascii="Garamond" w:eastAsia="Garamond" w:hAnsi="Garamond" w:cs="Garamond"/>
          <w:b/>
          <w:bCs/>
          <w:sz w:val="24"/>
          <w:szCs w:val="24"/>
          <w:highlight w:val="white"/>
          <w:lang w:val="es-ES"/>
        </w:rPr>
      </w:pPr>
      <w:r w:rsidRPr="004739DD">
        <w:rPr>
          <w:rFonts w:ascii="Garamond" w:eastAsia="Garamond" w:hAnsi="Garamond" w:cs="Garamond"/>
          <w:b/>
          <w:bCs/>
          <w:sz w:val="24"/>
          <w:szCs w:val="24"/>
          <w:highlight w:val="white"/>
          <w:lang w:val="es-ES"/>
        </w:rPr>
        <w:t>I</w:t>
      </w:r>
      <w:r w:rsidR="00180BAF" w:rsidRPr="004739DD">
        <w:rPr>
          <w:rFonts w:ascii="Garamond" w:eastAsia="Garamond" w:hAnsi="Garamond" w:cs="Garamond"/>
          <w:b/>
          <w:bCs/>
          <w:sz w:val="24"/>
          <w:szCs w:val="24"/>
          <w:highlight w:val="white"/>
          <w:lang w:val="es-ES"/>
        </w:rPr>
        <w:t>V.</w:t>
      </w:r>
      <w:r w:rsidR="0007213D" w:rsidRPr="004739DD">
        <w:rPr>
          <w:rFonts w:ascii="Garamond" w:eastAsia="Garamond" w:hAnsi="Garamond" w:cs="Garamond"/>
          <w:b/>
          <w:bCs/>
          <w:sz w:val="24"/>
          <w:szCs w:val="24"/>
          <w:highlight w:val="white"/>
          <w:lang w:val="es-ES"/>
        </w:rPr>
        <w:t>VIOLACIÓN A LAS GARANTÍAS MÍNIMAS DE UN JUICIO JUSTO</w:t>
      </w:r>
    </w:p>
    <w:p w14:paraId="1826069F" w14:textId="3EAF3D15" w:rsidR="00662624" w:rsidRPr="004739DD" w:rsidRDefault="00662624" w:rsidP="004739DD">
      <w:pPr>
        <w:pStyle w:val="ListParagraph"/>
        <w:numPr>
          <w:ilvl w:val="0"/>
          <w:numId w:val="18"/>
        </w:numPr>
        <w:spacing w:line="276" w:lineRule="auto"/>
        <w:rPr>
          <w:rFonts w:ascii="Garamond" w:eastAsia="Garamond" w:hAnsi="Garamond" w:cs="Garamond"/>
          <w:b/>
          <w:bCs/>
          <w:szCs w:val="24"/>
          <w:highlight w:val="white"/>
          <w:lang w:val="es-ES"/>
        </w:rPr>
      </w:pPr>
      <w:r w:rsidRPr="004739DD">
        <w:rPr>
          <w:rFonts w:ascii="Garamond" w:eastAsia="Garamond" w:hAnsi="Garamond" w:cs="Garamond"/>
          <w:b/>
          <w:bCs/>
          <w:szCs w:val="24"/>
          <w:highlight w:val="white"/>
          <w:lang w:val="es-ES"/>
        </w:rPr>
        <w:lastRenderedPageBreak/>
        <w:t>Disponer del tiempo y medios adecuados para la defensa</w:t>
      </w:r>
    </w:p>
    <w:p w14:paraId="583B6133" w14:textId="77777777" w:rsidR="0007213D" w:rsidRPr="005747B6" w:rsidRDefault="0007213D" w:rsidP="0007213D">
      <w:pPr>
        <w:pStyle w:val="ListParagraph"/>
        <w:spacing w:line="276" w:lineRule="auto"/>
        <w:rPr>
          <w:rFonts w:ascii="Garamond" w:eastAsia="Garamond" w:hAnsi="Garamond" w:cs="Garamond"/>
          <w:szCs w:val="24"/>
          <w:highlight w:val="white"/>
          <w:lang w:val="es-ES"/>
        </w:rPr>
      </w:pPr>
    </w:p>
    <w:p w14:paraId="014E141B" w14:textId="50E7FB6B" w:rsidR="00371A71" w:rsidRDefault="00371A71" w:rsidP="00344693">
      <w:pPr>
        <w:pStyle w:val="ListParagraph"/>
        <w:numPr>
          <w:ilvl w:val="0"/>
          <w:numId w:val="12"/>
        </w:numPr>
        <w:spacing w:line="276" w:lineRule="auto"/>
        <w:rPr>
          <w:rFonts w:ascii="Garamond" w:eastAsia="Garamond" w:hAnsi="Garamond" w:cs="Garamond"/>
          <w:szCs w:val="24"/>
          <w:highlight w:val="white"/>
          <w:lang w:val="es-ES"/>
        </w:rPr>
      </w:pPr>
      <w:r w:rsidRPr="005747B6">
        <w:rPr>
          <w:rFonts w:ascii="Garamond" w:eastAsia="Garamond" w:hAnsi="Garamond" w:cs="Garamond"/>
          <w:szCs w:val="24"/>
          <w:highlight w:val="white"/>
          <w:lang w:val="es-ES"/>
        </w:rPr>
        <w:t>El artículo 14.3</w:t>
      </w:r>
      <w:r w:rsidR="00321238" w:rsidRPr="005747B6">
        <w:rPr>
          <w:rFonts w:ascii="Garamond" w:eastAsia="Garamond" w:hAnsi="Garamond" w:cs="Garamond"/>
          <w:szCs w:val="24"/>
          <w:highlight w:val="white"/>
          <w:lang w:val="es-ES"/>
        </w:rPr>
        <w:t>.</w:t>
      </w:r>
      <w:r w:rsidR="00662624" w:rsidRPr="005747B6">
        <w:rPr>
          <w:rFonts w:ascii="Garamond" w:eastAsia="Garamond" w:hAnsi="Garamond" w:cs="Garamond"/>
          <w:szCs w:val="24"/>
          <w:highlight w:val="white"/>
          <w:lang w:val="es-ES"/>
        </w:rPr>
        <w:t>b</w:t>
      </w:r>
      <w:r w:rsidRPr="005747B6">
        <w:rPr>
          <w:rFonts w:ascii="Garamond" w:eastAsia="Garamond" w:hAnsi="Garamond" w:cs="Garamond"/>
          <w:szCs w:val="24"/>
          <w:highlight w:val="white"/>
          <w:lang w:val="es-ES"/>
        </w:rPr>
        <w:t xml:space="preserve"> reconoce el derecho de las personas a disponer del tiempo y los medios adecuados para la preparación de su defensa y a comunicarse con un defensor de su elección. </w:t>
      </w:r>
      <w:r w:rsidR="00321238" w:rsidRPr="005747B6">
        <w:rPr>
          <w:rFonts w:ascii="Garamond" w:eastAsia="Garamond" w:hAnsi="Garamond" w:cs="Garamond"/>
          <w:szCs w:val="24"/>
          <w:highlight w:val="white"/>
          <w:lang w:val="es-ES"/>
        </w:rPr>
        <w:t>El disfrute de este derecho sigue impidiéndose y el Estado no ha tomado medidas</w:t>
      </w:r>
      <w:r w:rsidR="00B575AB" w:rsidRPr="005747B6">
        <w:rPr>
          <w:rFonts w:ascii="Garamond" w:eastAsia="Garamond" w:hAnsi="Garamond" w:cs="Garamond"/>
          <w:szCs w:val="24"/>
          <w:highlight w:val="white"/>
          <w:lang w:val="es-ES"/>
        </w:rPr>
        <w:t xml:space="preserve"> efectivas</w:t>
      </w:r>
      <w:r w:rsidR="00321238" w:rsidRPr="005747B6">
        <w:rPr>
          <w:rFonts w:ascii="Garamond" w:eastAsia="Garamond" w:hAnsi="Garamond" w:cs="Garamond"/>
          <w:szCs w:val="24"/>
          <w:highlight w:val="white"/>
          <w:lang w:val="es-ES"/>
        </w:rPr>
        <w:t xml:space="preserve"> para evitar que la defensa sea ejercida sin obstáculos </w:t>
      </w:r>
      <w:r w:rsidR="00B575AB" w:rsidRPr="005747B6">
        <w:rPr>
          <w:rFonts w:ascii="Garamond" w:eastAsia="Garamond" w:hAnsi="Garamond" w:cs="Garamond"/>
          <w:szCs w:val="24"/>
          <w:highlight w:val="white"/>
          <w:lang w:val="es-ES"/>
        </w:rPr>
        <w:t>arbitrarios</w:t>
      </w:r>
      <w:r w:rsidR="00180BAF">
        <w:rPr>
          <w:rFonts w:ascii="Garamond" w:eastAsia="Garamond" w:hAnsi="Garamond" w:cs="Garamond"/>
          <w:szCs w:val="24"/>
          <w:highlight w:val="white"/>
          <w:lang w:val="es-ES"/>
        </w:rPr>
        <w:t>.</w:t>
      </w:r>
    </w:p>
    <w:p w14:paraId="5A9C643C" w14:textId="77777777" w:rsidR="00E66D05" w:rsidRPr="005747B6" w:rsidRDefault="00E66D05" w:rsidP="00E66D05">
      <w:pPr>
        <w:pStyle w:val="ListParagraph"/>
        <w:spacing w:line="276" w:lineRule="auto"/>
        <w:rPr>
          <w:rFonts w:ascii="Garamond" w:eastAsia="Garamond" w:hAnsi="Garamond" w:cs="Garamond"/>
          <w:szCs w:val="24"/>
          <w:highlight w:val="white"/>
          <w:lang w:val="es-ES"/>
        </w:rPr>
      </w:pPr>
    </w:p>
    <w:p w14:paraId="4237A4CE" w14:textId="5C5295D4" w:rsidR="00E82DFE" w:rsidRDefault="00321238" w:rsidP="00E66D05">
      <w:pPr>
        <w:pStyle w:val="ListParagraph"/>
        <w:numPr>
          <w:ilvl w:val="0"/>
          <w:numId w:val="12"/>
        </w:numPr>
        <w:spacing w:after="0" w:line="276" w:lineRule="auto"/>
        <w:rPr>
          <w:rFonts w:ascii="Garamond" w:eastAsia="Garamond" w:hAnsi="Garamond" w:cs="Garamond"/>
          <w:color w:val="000000"/>
          <w:szCs w:val="24"/>
        </w:rPr>
      </w:pPr>
      <w:r w:rsidRPr="005747B6">
        <w:rPr>
          <w:rFonts w:ascii="Garamond" w:eastAsia="Garamond" w:hAnsi="Garamond" w:cs="Garamond"/>
          <w:szCs w:val="24"/>
          <w:lang w:val="es-ES"/>
        </w:rPr>
        <w:t xml:space="preserve">De hecho, </w:t>
      </w:r>
      <w:r w:rsidRPr="005747B6">
        <w:rPr>
          <w:rFonts w:ascii="Garamond" w:eastAsia="Garamond" w:hAnsi="Garamond" w:cs="Garamond"/>
          <w:color w:val="000000"/>
          <w:szCs w:val="24"/>
          <w:lang w:val="es-ES"/>
        </w:rPr>
        <w:t>e</w:t>
      </w:r>
      <w:r w:rsidR="00E82DFE" w:rsidRPr="005747B6">
        <w:rPr>
          <w:rFonts w:ascii="Garamond" w:eastAsia="Garamond" w:hAnsi="Garamond" w:cs="Garamond"/>
          <w:color w:val="000000"/>
          <w:szCs w:val="24"/>
          <w:lang w:val="es-ES"/>
        </w:rPr>
        <w:t xml:space="preserve">ntre las recientes reformas realizadas, la Ley Orgánica de Reforma del Código Orgánico Procesal Penal es una de las más extensas, con un total de 18 artículos modificados y uno nuevo incluido. </w:t>
      </w:r>
      <w:r w:rsidR="00E82DFE" w:rsidRPr="005747B6">
        <w:rPr>
          <w:rFonts w:ascii="Garamond" w:eastAsia="Garamond" w:hAnsi="Garamond" w:cs="Garamond"/>
          <w:color w:val="000000"/>
          <w:szCs w:val="24"/>
        </w:rPr>
        <w:t>Destaca la modificación de los artículos 122 y 124, relativos a los derechos de las víctimas, y en los cuales se reconoce el derecho a acceder al expediente del caso, aun cuando no sean parte de la causa, y el derecho de nombrar un representante en el juicio, sea a través de un abogado o “asociaciones, fundaciones y otros entes de asistencia jurídica”. Pese a que tales reconocimientos son sin duda mejoras, no pasan de una simple enunciación sin respaldo, y ponen de manifiesto el problema general de todos los cambios realizados: que se apliquen en los casos concretos.</w:t>
      </w:r>
    </w:p>
    <w:p w14:paraId="6A73F1A8" w14:textId="77777777" w:rsidR="00E66D05" w:rsidRPr="00F6525A" w:rsidRDefault="00E66D05" w:rsidP="00E66D05">
      <w:pPr>
        <w:spacing w:after="0" w:line="276" w:lineRule="auto"/>
        <w:rPr>
          <w:rFonts w:ascii="Garamond" w:eastAsia="Garamond" w:hAnsi="Garamond" w:cs="Garamond"/>
          <w:color w:val="000000"/>
          <w:szCs w:val="24"/>
          <w:lang w:val="es-ES"/>
        </w:rPr>
      </w:pPr>
    </w:p>
    <w:p w14:paraId="6BBA4F38" w14:textId="77777777" w:rsidR="00E82DFE" w:rsidRDefault="00E82DFE" w:rsidP="00E66D05">
      <w:pPr>
        <w:pStyle w:val="ListParagraph"/>
        <w:numPr>
          <w:ilvl w:val="0"/>
          <w:numId w:val="12"/>
        </w:numPr>
        <w:spacing w:after="0" w:line="276" w:lineRule="auto"/>
        <w:rPr>
          <w:rFonts w:ascii="Garamond" w:eastAsia="Garamond" w:hAnsi="Garamond" w:cs="Garamond"/>
          <w:color w:val="000000"/>
          <w:szCs w:val="24"/>
        </w:rPr>
      </w:pPr>
      <w:r w:rsidRPr="005747B6">
        <w:rPr>
          <w:rFonts w:ascii="Garamond" w:eastAsia="Garamond" w:hAnsi="Garamond" w:cs="Garamond"/>
          <w:color w:val="000000"/>
          <w:szCs w:val="24"/>
        </w:rPr>
        <w:t>En lo relativo a que la víctima tenga acceso al expediente, podemos citar el caso de la Comisión para los Derechos Humanos del Estado Zulia (CODHEZ), cuyos abogados representaron a una víctima de tortura sexual, y se les negó sistemáticamente el acceso al expediente, a pesar de ser parte en el juicio, lo que los obligó a interponer un amparo para poder acceder al mismo</w:t>
      </w:r>
      <w:r w:rsidRPr="005747B6">
        <w:rPr>
          <w:rFonts w:ascii="Garamond" w:eastAsia="Garamond" w:hAnsi="Garamond"/>
          <w:szCs w:val="24"/>
          <w:vertAlign w:val="superscript"/>
        </w:rPr>
        <w:footnoteReference w:id="49"/>
      </w:r>
      <w:r w:rsidRPr="005747B6">
        <w:rPr>
          <w:rFonts w:ascii="Garamond" w:eastAsia="Garamond" w:hAnsi="Garamond" w:cs="Garamond"/>
          <w:color w:val="000000"/>
          <w:szCs w:val="24"/>
        </w:rPr>
        <w:t>.</w:t>
      </w:r>
    </w:p>
    <w:p w14:paraId="0DC695DC" w14:textId="77777777" w:rsidR="00E66D05" w:rsidRPr="005747B6" w:rsidRDefault="00E66D05" w:rsidP="00E66D05">
      <w:pPr>
        <w:pStyle w:val="ListParagraph"/>
        <w:spacing w:line="276" w:lineRule="auto"/>
        <w:rPr>
          <w:rFonts w:ascii="Garamond" w:eastAsia="Garamond" w:hAnsi="Garamond" w:cs="Garamond"/>
          <w:color w:val="000000"/>
          <w:szCs w:val="24"/>
        </w:rPr>
      </w:pPr>
    </w:p>
    <w:p w14:paraId="36E3A709" w14:textId="5C7D193C" w:rsidR="00E66D05" w:rsidRPr="00E66D05" w:rsidRDefault="00E82DFE" w:rsidP="00E66D05">
      <w:pPr>
        <w:pStyle w:val="ListParagraph"/>
        <w:numPr>
          <w:ilvl w:val="0"/>
          <w:numId w:val="12"/>
        </w:numPr>
        <w:spacing w:after="0" w:line="276" w:lineRule="auto"/>
        <w:rPr>
          <w:rFonts w:ascii="Garamond" w:eastAsia="Garamond" w:hAnsi="Garamond" w:cs="Garamond"/>
          <w:color w:val="000000"/>
          <w:szCs w:val="24"/>
        </w:rPr>
      </w:pPr>
      <w:r w:rsidRPr="005747B6">
        <w:rPr>
          <w:rFonts w:ascii="Garamond" w:eastAsia="Garamond" w:hAnsi="Garamond" w:cs="Garamond"/>
          <w:color w:val="000000"/>
          <w:szCs w:val="24"/>
        </w:rPr>
        <w:t>Lo mismo ocurre con el caso del reconocimiento al derecho de las organizaciones de la sociedad a representar víctimas. Distintos abogados de ONGs, han denunciado que para representar a una víctima, se les ha exigido la presentación de la inscripción en el Registro Unificado de Sujetos Obligados ante la Oficina Nacional Contra la Delincuencia Organizada y Financiamiento al Terrorismo establecido en la Providencia Administrativa N° 002-2021.</w:t>
      </w:r>
      <w:r w:rsidRPr="005747B6">
        <w:rPr>
          <w:rFonts w:ascii="Garamond" w:eastAsia="Garamond" w:hAnsi="Garamond" w:cs="Garamond"/>
          <w:szCs w:val="24"/>
        </w:rPr>
        <w:t xml:space="preserve"> </w:t>
      </w:r>
      <w:r w:rsidRPr="005747B6">
        <w:rPr>
          <w:rFonts w:ascii="Garamond" w:eastAsia="Garamond" w:hAnsi="Garamond" w:cs="Garamond"/>
          <w:color w:val="000000"/>
          <w:szCs w:val="24"/>
        </w:rPr>
        <w:t xml:space="preserve">Vale recordar que dicho registro no ha sido implementado, por lo que se está solicitando un requisito de imposible cumplimento, en perjuicio de las víctimas. </w:t>
      </w:r>
    </w:p>
    <w:p w14:paraId="7135C56C" w14:textId="77777777" w:rsidR="00E66D05" w:rsidRPr="005747B6" w:rsidRDefault="00E66D05" w:rsidP="00E66D05">
      <w:pPr>
        <w:pStyle w:val="ListParagraph"/>
        <w:spacing w:after="0" w:line="276" w:lineRule="auto"/>
        <w:rPr>
          <w:rFonts w:ascii="Garamond" w:eastAsia="Garamond" w:hAnsi="Garamond" w:cs="Garamond"/>
          <w:color w:val="000000"/>
          <w:szCs w:val="24"/>
        </w:rPr>
      </w:pPr>
    </w:p>
    <w:p w14:paraId="312389FD" w14:textId="77777777" w:rsidR="00E82DFE" w:rsidRPr="005747B6" w:rsidRDefault="00E82DFE" w:rsidP="00E66D05">
      <w:pPr>
        <w:pStyle w:val="ListParagraph"/>
        <w:numPr>
          <w:ilvl w:val="0"/>
          <w:numId w:val="12"/>
        </w:numPr>
        <w:spacing w:after="0" w:line="276" w:lineRule="auto"/>
        <w:rPr>
          <w:rFonts w:ascii="Garamond" w:eastAsia="Garamond" w:hAnsi="Garamond" w:cs="Garamond"/>
          <w:szCs w:val="24"/>
        </w:rPr>
      </w:pPr>
      <w:r w:rsidRPr="005747B6">
        <w:rPr>
          <w:rFonts w:ascii="Garamond" w:eastAsia="Garamond" w:hAnsi="Garamond" w:cs="Garamond"/>
          <w:color w:val="000000"/>
          <w:szCs w:val="24"/>
        </w:rPr>
        <w:t>Sobre la mencionada providencia, vale también mencionar que la misma viola la recomendación Nro. 8 del Grupo de Acción Financiera Internacional (GAFI)</w:t>
      </w:r>
      <w:r w:rsidRPr="005747B6">
        <w:rPr>
          <w:rFonts w:ascii="Garamond" w:eastAsia="Garamond" w:hAnsi="Garamond"/>
          <w:szCs w:val="24"/>
          <w:vertAlign w:val="superscript"/>
        </w:rPr>
        <w:footnoteReference w:id="50"/>
      </w:r>
      <w:r w:rsidRPr="005747B6">
        <w:rPr>
          <w:rFonts w:ascii="Garamond" w:eastAsia="Garamond" w:hAnsi="Garamond" w:cs="Garamond"/>
          <w:color w:val="000000"/>
          <w:szCs w:val="24"/>
        </w:rPr>
        <w:t xml:space="preserve"> e impide el ejercicio del derecho de asociación. La organización intergubernamental, en los resultados de su más reciente evaluación sobre el país, determinó que </w:t>
      </w:r>
      <w:r w:rsidRPr="005747B6">
        <w:rPr>
          <w:rFonts w:ascii="Garamond" w:eastAsia="Garamond" w:hAnsi="Garamond" w:cs="Garamond"/>
          <w:szCs w:val="24"/>
        </w:rPr>
        <w:t xml:space="preserve">Venezuela designa a todas las organizaciones sin fines de lucro como sujetos obligados, y ha creado dos registros para </w:t>
      </w:r>
      <w:r w:rsidRPr="005747B6">
        <w:rPr>
          <w:rFonts w:ascii="Garamond" w:eastAsia="Garamond" w:hAnsi="Garamond" w:cs="Garamond"/>
          <w:szCs w:val="24"/>
        </w:rPr>
        <w:lastRenderedPageBreak/>
        <w:t>inscribirlas sin que se haya identificado aquellas que realmente caen dentro de la definición del GAFI de organizaciones de alto riesgo de abuso de financiamiento al terrorismo y, en consecuencia, no ha implementado medidas focalizadas y proporcionales para evitar el financiamiento al terrorismo y la legitimación de capitales</w:t>
      </w:r>
      <w:r w:rsidRPr="005747B6">
        <w:rPr>
          <w:rFonts w:ascii="Garamond" w:eastAsia="Garamond" w:hAnsi="Garamond"/>
          <w:szCs w:val="24"/>
          <w:vertAlign w:val="superscript"/>
        </w:rPr>
        <w:footnoteReference w:id="51"/>
      </w:r>
      <w:r w:rsidRPr="005747B6">
        <w:rPr>
          <w:rFonts w:ascii="Garamond" w:eastAsia="Garamond" w:hAnsi="Garamond" w:cs="Garamond"/>
          <w:szCs w:val="24"/>
        </w:rPr>
        <w:t>.</w:t>
      </w:r>
    </w:p>
    <w:p w14:paraId="7E67BEBD" w14:textId="147F5D96" w:rsidR="00601A5A" w:rsidRPr="00180BAF" w:rsidRDefault="00180BAF" w:rsidP="0007213D">
      <w:pPr>
        <w:pStyle w:val="NormalWeb"/>
        <w:ind w:left="720"/>
        <w:rPr>
          <w:rFonts w:ascii="Garamond" w:hAnsi="Garamond"/>
          <w:b/>
          <w:bCs/>
          <w:lang w:val="es-VE"/>
        </w:rPr>
      </w:pPr>
      <w:r w:rsidRPr="00180BAF">
        <w:rPr>
          <w:rFonts w:ascii="Garamond" w:hAnsi="Garamond"/>
          <w:b/>
          <w:bCs/>
          <w:lang w:val="es-ES"/>
        </w:rPr>
        <w:t>2.</w:t>
      </w:r>
      <w:r w:rsidR="00E66D05">
        <w:rPr>
          <w:rFonts w:ascii="Garamond" w:hAnsi="Garamond"/>
          <w:b/>
          <w:bCs/>
          <w:lang w:val="es-ES"/>
        </w:rPr>
        <w:t xml:space="preserve"> S</w:t>
      </w:r>
      <w:r w:rsidR="005A3D71" w:rsidRPr="00180BAF">
        <w:rPr>
          <w:rFonts w:ascii="Garamond" w:hAnsi="Garamond"/>
          <w:b/>
          <w:bCs/>
          <w:lang w:val="es-ES"/>
        </w:rPr>
        <w:t>er juzgado sin dilaciones indebidas</w:t>
      </w:r>
    </w:p>
    <w:p w14:paraId="6E7D0776" w14:textId="54EEC355" w:rsidR="00601A5A" w:rsidRPr="005747B6" w:rsidRDefault="00E66D05" w:rsidP="00E66D05">
      <w:pPr>
        <w:pStyle w:val="ListParagraph"/>
        <w:numPr>
          <w:ilvl w:val="0"/>
          <w:numId w:val="12"/>
        </w:numPr>
        <w:spacing w:after="0" w:line="276" w:lineRule="auto"/>
        <w:rPr>
          <w:rFonts w:ascii="Garamond" w:eastAsia="Garamond" w:hAnsi="Garamond" w:cs="Garamond"/>
          <w:color w:val="000000"/>
          <w:szCs w:val="24"/>
          <w:lang w:val="es-ES"/>
        </w:rPr>
      </w:pPr>
      <w:r>
        <w:rPr>
          <w:rFonts w:ascii="Garamond" w:eastAsia="Garamond" w:hAnsi="Garamond" w:cs="Garamond"/>
          <w:color w:val="000000"/>
          <w:szCs w:val="24"/>
          <w:lang w:val="es-ES"/>
        </w:rPr>
        <w:t>Otra</w:t>
      </w:r>
      <w:r w:rsidR="00601A5A" w:rsidRPr="005747B6">
        <w:rPr>
          <w:rFonts w:ascii="Garamond" w:eastAsia="Garamond" w:hAnsi="Garamond" w:cs="Garamond"/>
          <w:color w:val="000000"/>
          <w:szCs w:val="24"/>
          <w:lang w:val="es-ES"/>
        </w:rPr>
        <w:t xml:space="preserve"> de las críticas que hizo el fiscal Karim Khan en el documento de solicitud para reanudar la investigación sobre la situación en Venezuela, </w:t>
      </w:r>
      <w:r w:rsidR="00AB5275" w:rsidRPr="005747B6">
        <w:rPr>
          <w:rFonts w:ascii="Garamond" w:eastAsia="Garamond" w:hAnsi="Garamond" w:cs="Garamond"/>
          <w:color w:val="000000"/>
          <w:szCs w:val="24"/>
          <w:lang w:val="es-ES"/>
        </w:rPr>
        <w:t>referente a</w:t>
      </w:r>
      <w:r w:rsidR="00601A5A" w:rsidRPr="005747B6">
        <w:rPr>
          <w:rFonts w:ascii="Garamond" w:eastAsia="Garamond" w:hAnsi="Garamond" w:cs="Garamond"/>
          <w:color w:val="000000"/>
          <w:szCs w:val="24"/>
          <w:lang w:val="es-ES"/>
        </w:rPr>
        <w:t xml:space="preserve"> que la mayoría de los casos continúan en fase preliminar, a pesar de que han pasado casi seis años desde que algunos de ellos tuvieron lugar.</w:t>
      </w:r>
    </w:p>
    <w:p w14:paraId="4A98AE85" w14:textId="5E6BF829" w:rsidR="009449B9" w:rsidRPr="00015AE8" w:rsidRDefault="00601A5A" w:rsidP="009449B9">
      <w:pPr>
        <w:pStyle w:val="Quote"/>
        <w:spacing w:before="0" w:after="0"/>
        <w:ind w:left="1440"/>
        <w:jc w:val="both"/>
        <w:rPr>
          <w:rFonts w:ascii="Garamond" w:hAnsi="Garamond"/>
          <w:i w:val="0"/>
          <w:iCs w:val="0"/>
          <w:color w:val="auto"/>
          <w:lang w:val="es-ES"/>
        </w:rPr>
      </w:pPr>
      <w:r w:rsidRPr="00015AE8">
        <w:rPr>
          <w:rFonts w:ascii="Garamond" w:hAnsi="Garamond"/>
          <w:i w:val="0"/>
          <w:iCs w:val="0"/>
          <w:color w:val="auto"/>
          <w:lang w:val="es-ES"/>
        </w:rPr>
        <w:t>«En muchos casos las investigaciones parecen haber estado en gran medida inactivas hasta 2021 o 2022, o se iniciaron en este período, coincidiendo con las solicitudes de información de la Fiscalía (de la CPI) (…) Estos prolongados retrasos apoyan la conclusión de que se llevaron a cabo con la intención de proteger a los sospechosos de enfrentar procesos criminales»</w:t>
      </w:r>
      <w:r w:rsidRPr="00015AE8">
        <w:rPr>
          <w:rFonts w:ascii="Garamond" w:hAnsi="Garamond"/>
          <w:i w:val="0"/>
          <w:iCs w:val="0"/>
          <w:color w:val="auto"/>
          <w:vertAlign w:val="superscript"/>
        </w:rPr>
        <w:footnoteReference w:id="52"/>
      </w:r>
      <w:r w:rsidRPr="00015AE8">
        <w:rPr>
          <w:rFonts w:ascii="Garamond" w:hAnsi="Garamond"/>
          <w:i w:val="0"/>
          <w:iCs w:val="0"/>
          <w:color w:val="auto"/>
          <w:lang w:val="es-ES"/>
        </w:rPr>
        <w:t>.</w:t>
      </w:r>
    </w:p>
    <w:p w14:paraId="25198B07" w14:textId="77777777" w:rsidR="009449B9" w:rsidRPr="009449B9" w:rsidRDefault="009449B9" w:rsidP="009449B9">
      <w:pPr>
        <w:rPr>
          <w:lang w:val="es-ES"/>
        </w:rPr>
      </w:pPr>
    </w:p>
    <w:p w14:paraId="4731BC91" w14:textId="5232156D" w:rsidR="00601A5A" w:rsidRDefault="00E66D05" w:rsidP="00344693">
      <w:pPr>
        <w:pStyle w:val="ListParagraph"/>
        <w:numPr>
          <w:ilvl w:val="0"/>
          <w:numId w:val="12"/>
        </w:numPr>
        <w:spacing w:line="276" w:lineRule="auto"/>
        <w:rPr>
          <w:rFonts w:ascii="Garamond" w:eastAsia="Garamond" w:hAnsi="Garamond" w:cs="Garamond"/>
          <w:color w:val="000000"/>
          <w:szCs w:val="24"/>
          <w:lang w:val="es-ES"/>
        </w:rPr>
      </w:pPr>
      <w:r>
        <w:rPr>
          <w:rFonts w:ascii="Garamond" w:eastAsia="Garamond" w:hAnsi="Garamond" w:cs="Garamond"/>
          <w:color w:val="000000"/>
          <w:szCs w:val="24"/>
          <w:lang w:val="es-ES"/>
        </w:rPr>
        <w:t>La organización Justicia, Encuentro y Perdón (JEP)</w:t>
      </w:r>
      <w:r w:rsidR="00601A5A" w:rsidRPr="005747B6">
        <w:rPr>
          <w:rFonts w:ascii="Garamond" w:eastAsia="Garamond" w:hAnsi="Garamond" w:cs="Garamond"/>
          <w:color w:val="000000"/>
          <w:szCs w:val="24"/>
          <w:lang w:val="es-ES"/>
        </w:rPr>
        <w:t xml:space="preserve"> ha denunciado que al menos 17 presos políticos que fueron acusados entre 2019 – 2022, continúan a la espera de la celebración de la audiencia preliminar. En el resto de los casos, los jueces de control han admitido la acusación, a pesar de la información confiable y veraz que da fe de la motivación política subyacente. </w:t>
      </w:r>
      <w:r w:rsidR="009449B9">
        <w:rPr>
          <w:rFonts w:ascii="Garamond" w:eastAsia="Garamond" w:hAnsi="Garamond" w:cs="Garamond"/>
          <w:color w:val="000000"/>
          <w:szCs w:val="24"/>
          <w:lang w:val="es-ES"/>
        </w:rPr>
        <w:t xml:space="preserve">EL </w:t>
      </w:r>
      <w:r w:rsidR="00601A5A" w:rsidRPr="005747B6">
        <w:rPr>
          <w:rFonts w:ascii="Garamond" w:eastAsia="Garamond" w:hAnsi="Garamond" w:cs="Garamond"/>
          <w:color w:val="000000"/>
          <w:szCs w:val="24"/>
          <w:lang w:val="es-ES"/>
        </w:rPr>
        <w:t xml:space="preserve">juez de control se ha alejado de su función de garantizar un correcto balance entre el </w:t>
      </w:r>
      <w:r w:rsidR="00601A5A" w:rsidRPr="005747B6">
        <w:rPr>
          <w:rFonts w:ascii="Garamond" w:eastAsia="Garamond" w:hAnsi="Garamond" w:cs="Garamond"/>
          <w:i/>
          <w:color w:val="000000"/>
          <w:szCs w:val="24"/>
          <w:lang w:val="es-ES"/>
        </w:rPr>
        <w:t>ius puniendi</w:t>
      </w:r>
      <w:r w:rsidR="00601A5A" w:rsidRPr="005747B6">
        <w:rPr>
          <w:rFonts w:ascii="Garamond" w:eastAsia="Garamond" w:hAnsi="Garamond" w:cs="Garamond"/>
          <w:color w:val="000000"/>
          <w:szCs w:val="24"/>
          <w:lang w:val="es-ES"/>
        </w:rPr>
        <w:t xml:space="preserve"> del Estado y los derechos del acusado, para convertirse en un legitimador de la arbitrariedad</w:t>
      </w:r>
      <w:r w:rsidR="00601A5A" w:rsidRPr="005747B6">
        <w:rPr>
          <w:rFonts w:ascii="Garamond" w:hAnsi="Garamond"/>
          <w:szCs w:val="24"/>
          <w:vertAlign w:val="superscript"/>
        </w:rPr>
        <w:footnoteReference w:id="53"/>
      </w:r>
      <w:r w:rsidR="00601A5A" w:rsidRPr="005747B6">
        <w:rPr>
          <w:rFonts w:ascii="Garamond" w:eastAsia="Garamond" w:hAnsi="Garamond" w:cs="Garamond"/>
          <w:color w:val="000000"/>
          <w:szCs w:val="24"/>
          <w:lang w:val="es-ES"/>
        </w:rPr>
        <w:t>.</w:t>
      </w:r>
    </w:p>
    <w:p w14:paraId="1F1A9824" w14:textId="15EB2E6F" w:rsidR="004739DD" w:rsidRPr="005747B6" w:rsidRDefault="004739DD" w:rsidP="004739DD">
      <w:pPr>
        <w:pStyle w:val="ListParagraph"/>
        <w:spacing w:line="276" w:lineRule="auto"/>
        <w:rPr>
          <w:rFonts w:ascii="Garamond" w:eastAsia="Garamond" w:hAnsi="Garamond" w:cs="Garamond"/>
          <w:color w:val="000000"/>
          <w:szCs w:val="24"/>
          <w:lang w:val="es-ES"/>
        </w:rPr>
      </w:pPr>
    </w:p>
    <w:p w14:paraId="5A1BDF3D" w14:textId="74698983" w:rsidR="00601A5A" w:rsidRDefault="00601A5A" w:rsidP="00344693">
      <w:pPr>
        <w:pStyle w:val="ListParagraph"/>
        <w:numPr>
          <w:ilvl w:val="0"/>
          <w:numId w:val="12"/>
        </w:numPr>
        <w:spacing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t>Existe también otro caso de un preso político que continúa a la espera de la apertura de juicio desde el año 2019, y un total de 157 casos, representativos del 50</w:t>
      </w:r>
      <w:r w:rsidR="00015AE8">
        <w:rPr>
          <w:rFonts w:ascii="Garamond" w:eastAsia="Garamond" w:hAnsi="Garamond" w:cs="Garamond"/>
          <w:color w:val="000000"/>
          <w:szCs w:val="24"/>
          <w:lang w:val="es-ES"/>
        </w:rPr>
        <w:t>,</w:t>
      </w:r>
      <w:r w:rsidRPr="005747B6">
        <w:rPr>
          <w:rFonts w:ascii="Garamond" w:eastAsia="Garamond" w:hAnsi="Garamond" w:cs="Garamond"/>
          <w:color w:val="000000"/>
          <w:szCs w:val="24"/>
          <w:lang w:val="es-ES"/>
        </w:rPr>
        <w:t>48% del global documentado, se encuentran en fase de juicio. Aunque la mayoría de los presos políticos en esta fase fueron privados de libertad en los años 2017 al 2020, uno de los casos examinados data del 2015, lo que evidencia un retardo procesal de 8 años. En 134 casos examinados por JEP, equivalentes al 43.09% del total, los presos políticos han sido condenados por su incursión en un delito que no cometieron. Las penas impuestas varían entre 12 y 30 años</w:t>
      </w:r>
      <w:r w:rsidRPr="005747B6">
        <w:rPr>
          <w:rFonts w:ascii="Garamond" w:hAnsi="Garamond"/>
          <w:szCs w:val="24"/>
          <w:vertAlign w:val="superscript"/>
        </w:rPr>
        <w:footnoteReference w:id="54"/>
      </w:r>
      <w:r w:rsidRPr="005747B6">
        <w:rPr>
          <w:rFonts w:ascii="Garamond" w:eastAsia="Garamond" w:hAnsi="Garamond" w:cs="Garamond"/>
          <w:color w:val="000000"/>
          <w:szCs w:val="24"/>
          <w:lang w:val="es-ES"/>
        </w:rPr>
        <w:t>.</w:t>
      </w:r>
    </w:p>
    <w:p w14:paraId="308077B5" w14:textId="77777777" w:rsidR="009449B9" w:rsidRPr="005747B6" w:rsidRDefault="009449B9" w:rsidP="009449B9">
      <w:pPr>
        <w:pStyle w:val="ListParagraph"/>
        <w:spacing w:line="276" w:lineRule="auto"/>
        <w:rPr>
          <w:rFonts w:ascii="Garamond" w:eastAsia="Garamond" w:hAnsi="Garamond" w:cs="Garamond"/>
          <w:color w:val="000000"/>
          <w:szCs w:val="24"/>
          <w:lang w:val="es-ES"/>
        </w:rPr>
      </w:pPr>
    </w:p>
    <w:p w14:paraId="4E717F85" w14:textId="10E93D10" w:rsidR="00531580" w:rsidRPr="00180BAF" w:rsidRDefault="00601A5A" w:rsidP="009449B9">
      <w:pPr>
        <w:pStyle w:val="ListParagraph"/>
        <w:numPr>
          <w:ilvl w:val="0"/>
          <w:numId w:val="12"/>
        </w:numPr>
        <w:spacing w:line="276" w:lineRule="auto"/>
        <w:rPr>
          <w:rFonts w:ascii="Garamond" w:eastAsia="Garamond" w:hAnsi="Garamond" w:cs="Garamond"/>
          <w:color w:val="000000"/>
          <w:szCs w:val="24"/>
          <w:lang w:val="es-ES"/>
        </w:rPr>
      </w:pPr>
      <w:r w:rsidRPr="005747B6">
        <w:rPr>
          <w:rFonts w:ascii="Garamond" w:eastAsia="Garamond" w:hAnsi="Garamond" w:cs="Garamond"/>
          <w:color w:val="000000"/>
          <w:szCs w:val="24"/>
          <w:lang w:val="es-ES"/>
        </w:rPr>
        <w:t>Finalmente, se debe hacer mención a que entre los cambios en el Código Orgánico Procesal Penal están la reducción de los lapsos de prisión preventiva (artículo 230), pero una vez más, la práctica muestra una realidad contraria a la norma, como lo puso en evidencia la Alta Comisionada de los Derechos Humanos de Naciones Unida</w:t>
      </w:r>
      <w:r w:rsidRPr="005747B6">
        <w:rPr>
          <w:rFonts w:ascii="Garamond" w:eastAsia="Garamond" w:hAnsi="Garamond" w:cs="Garamond"/>
          <w:szCs w:val="24"/>
          <w:lang w:val="es-ES"/>
        </w:rPr>
        <w:t>s</w:t>
      </w:r>
      <w:r w:rsidRPr="005747B6">
        <w:rPr>
          <w:rFonts w:ascii="Garamond" w:eastAsia="Garamond" w:hAnsi="Garamond" w:cs="Garamond"/>
          <w:color w:val="000000"/>
          <w:szCs w:val="24"/>
          <w:lang w:val="es-ES"/>
        </w:rPr>
        <w:t xml:space="preserve"> cuando en su actualización oral </w:t>
      </w:r>
      <w:r w:rsidRPr="005747B6">
        <w:rPr>
          <w:rFonts w:ascii="Garamond" w:eastAsia="Garamond" w:hAnsi="Garamond" w:cs="Garamond"/>
          <w:color w:val="000000"/>
          <w:szCs w:val="24"/>
          <w:lang w:val="es-ES"/>
        </w:rPr>
        <w:lastRenderedPageBreak/>
        <w:t>del 17 de marzo de ese año señaló que conocía al menos 22 casos en los que los detenidos habían superado el lapso máximo de prisión preventiva</w:t>
      </w:r>
      <w:r w:rsidR="009449B9">
        <w:rPr>
          <w:rFonts w:ascii="Garamond" w:eastAsia="Garamond" w:hAnsi="Garamond" w:cs="Garamond"/>
          <w:color w:val="000000"/>
          <w:szCs w:val="24"/>
          <w:lang w:val="es-ES"/>
        </w:rPr>
        <w:t>.</w:t>
      </w:r>
      <w:r w:rsidRPr="005747B6">
        <w:rPr>
          <w:rFonts w:ascii="Garamond" w:hAnsi="Garamond"/>
          <w:szCs w:val="24"/>
          <w:vertAlign w:val="superscript"/>
        </w:rPr>
        <w:footnoteReference w:id="55"/>
      </w:r>
    </w:p>
    <w:p w14:paraId="7335E383" w14:textId="2BD85554" w:rsidR="00531580" w:rsidRPr="005747B6" w:rsidRDefault="00531580" w:rsidP="009449B9">
      <w:pPr>
        <w:pStyle w:val="Default"/>
        <w:numPr>
          <w:ilvl w:val="0"/>
          <w:numId w:val="12"/>
        </w:numPr>
        <w:jc w:val="both"/>
        <w:rPr>
          <w:rFonts w:ascii="Garamond" w:hAnsi="Garamond"/>
          <w:lang w:val="es-ES"/>
        </w:rPr>
      </w:pPr>
      <w:r w:rsidRPr="005747B6">
        <w:rPr>
          <w:rFonts w:ascii="Garamond" w:hAnsi="Garamond"/>
          <w:lang w:val="es-ES"/>
        </w:rPr>
        <w:t>Partiendo de las consideraciones presentadas en los párrafos precedentes, respetuosamente solicitamos al Comité que tome en cuenta las siguientes recomendaciones al Estado venezolano:</w:t>
      </w:r>
    </w:p>
    <w:p w14:paraId="4815676C" w14:textId="77777777" w:rsidR="00531580" w:rsidRPr="005747B6" w:rsidRDefault="00531580" w:rsidP="00531580">
      <w:pPr>
        <w:pStyle w:val="Default"/>
        <w:rPr>
          <w:rFonts w:ascii="Garamond" w:hAnsi="Garamond"/>
          <w:lang w:val="es-ES"/>
        </w:rPr>
      </w:pPr>
    </w:p>
    <w:p w14:paraId="01272176" w14:textId="4B7D2169" w:rsidR="00531580" w:rsidRDefault="00531580" w:rsidP="00015AE8">
      <w:pPr>
        <w:pStyle w:val="Default"/>
        <w:numPr>
          <w:ilvl w:val="0"/>
          <w:numId w:val="16"/>
        </w:numPr>
        <w:jc w:val="both"/>
        <w:rPr>
          <w:rFonts w:ascii="Garamond" w:hAnsi="Garamond"/>
          <w:lang w:val="es-ES"/>
        </w:rPr>
      </w:pPr>
      <w:r w:rsidRPr="004739DD">
        <w:rPr>
          <w:rFonts w:ascii="Garamond" w:hAnsi="Garamond"/>
          <w:b/>
          <w:bCs/>
          <w:lang w:val="es-ES"/>
        </w:rPr>
        <w:t>Hacer efectiva la reforma al Código Orgánico de Justicia Militar</w:t>
      </w:r>
      <w:r w:rsidRPr="005747B6">
        <w:rPr>
          <w:rFonts w:ascii="Garamond" w:hAnsi="Garamond"/>
          <w:lang w:val="es-ES"/>
        </w:rPr>
        <w:t xml:space="preserve"> y anular las decisiones recientes que ignoran los cambios sobre la jurisdicción del fuero militar sobre civiles y abren la puerta a nuevas violaciones al principio de juez natural.</w:t>
      </w:r>
    </w:p>
    <w:p w14:paraId="79F52C34" w14:textId="77777777" w:rsidR="009449B9" w:rsidRPr="005747B6" w:rsidRDefault="009449B9" w:rsidP="00015AE8">
      <w:pPr>
        <w:pStyle w:val="Default"/>
        <w:ind w:left="720"/>
        <w:jc w:val="both"/>
        <w:rPr>
          <w:rFonts w:ascii="Garamond" w:hAnsi="Garamond"/>
          <w:lang w:val="es-ES"/>
        </w:rPr>
      </w:pPr>
    </w:p>
    <w:p w14:paraId="2829516E" w14:textId="36D75BD4" w:rsidR="009449B9" w:rsidRDefault="001169B2" w:rsidP="00015AE8">
      <w:pPr>
        <w:pStyle w:val="ListParagraph"/>
        <w:numPr>
          <w:ilvl w:val="0"/>
          <w:numId w:val="16"/>
        </w:numPr>
        <w:spacing w:after="0" w:line="276" w:lineRule="auto"/>
        <w:rPr>
          <w:rFonts w:ascii="Garamond" w:hAnsi="Garamond"/>
          <w:szCs w:val="24"/>
        </w:rPr>
      </w:pPr>
      <w:r w:rsidRPr="004739DD">
        <w:rPr>
          <w:rFonts w:ascii="Garamond" w:hAnsi="Garamond"/>
          <w:b/>
          <w:bCs/>
          <w:szCs w:val="24"/>
        </w:rPr>
        <w:t>Adoptar medidas efectivas para restablecer la independencia del sistema judicial y la imparcialidad de los jueces</w:t>
      </w:r>
      <w:r w:rsidRPr="005747B6">
        <w:rPr>
          <w:rFonts w:ascii="Garamond" w:hAnsi="Garamond"/>
          <w:szCs w:val="24"/>
        </w:rPr>
        <w:t xml:space="preserve"> asegurando que la acción judicial se guíe estrictamente por los principios de legalidad, debido proceso presunción de la inocencia y otras normas nacionales e internacionales.</w:t>
      </w:r>
    </w:p>
    <w:p w14:paraId="0B4D858C" w14:textId="77777777" w:rsidR="004739DD" w:rsidRPr="00F6525A" w:rsidRDefault="004739DD" w:rsidP="00015AE8">
      <w:pPr>
        <w:spacing w:after="0" w:line="276" w:lineRule="auto"/>
        <w:jc w:val="both"/>
        <w:rPr>
          <w:rFonts w:ascii="Garamond" w:hAnsi="Garamond"/>
          <w:szCs w:val="24"/>
          <w:lang w:val="es-ES"/>
        </w:rPr>
      </w:pPr>
    </w:p>
    <w:p w14:paraId="45D52808" w14:textId="5F3A4DC5" w:rsidR="001169B2" w:rsidRPr="004739DD" w:rsidRDefault="001169B2" w:rsidP="00015AE8">
      <w:pPr>
        <w:pStyle w:val="ListParagraph"/>
        <w:numPr>
          <w:ilvl w:val="0"/>
          <w:numId w:val="16"/>
        </w:numPr>
        <w:spacing w:after="0" w:line="276" w:lineRule="auto"/>
        <w:rPr>
          <w:rFonts w:ascii="Garamond" w:hAnsi="Garamond"/>
          <w:b/>
          <w:bCs/>
          <w:szCs w:val="24"/>
        </w:rPr>
      </w:pPr>
      <w:r w:rsidRPr="004739DD">
        <w:rPr>
          <w:rFonts w:ascii="Garamond" w:hAnsi="Garamond"/>
          <w:b/>
          <w:bCs/>
          <w:szCs w:val="24"/>
        </w:rPr>
        <w:t xml:space="preserve">Eliminar la práctica de nombramiento de jueces y fiscales provisionales. </w:t>
      </w:r>
    </w:p>
    <w:p w14:paraId="31B60C4C" w14:textId="77777777" w:rsidR="009449B9" w:rsidRPr="005747B6" w:rsidRDefault="009449B9" w:rsidP="00015AE8">
      <w:pPr>
        <w:pStyle w:val="ListParagraph"/>
        <w:spacing w:after="0" w:line="276" w:lineRule="auto"/>
        <w:rPr>
          <w:rFonts w:ascii="Garamond" w:hAnsi="Garamond"/>
          <w:szCs w:val="24"/>
        </w:rPr>
      </w:pPr>
    </w:p>
    <w:p w14:paraId="6E38C8C9" w14:textId="1D472A26" w:rsidR="009449B9" w:rsidRDefault="001169B2" w:rsidP="00015AE8">
      <w:pPr>
        <w:pStyle w:val="ListParagraph"/>
        <w:numPr>
          <w:ilvl w:val="0"/>
          <w:numId w:val="16"/>
        </w:numPr>
        <w:spacing w:after="0" w:line="276" w:lineRule="auto"/>
        <w:rPr>
          <w:rFonts w:ascii="Garamond" w:hAnsi="Garamond"/>
          <w:szCs w:val="24"/>
        </w:rPr>
      </w:pPr>
      <w:r w:rsidRPr="00012668">
        <w:rPr>
          <w:rFonts w:ascii="Garamond" w:hAnsi="Garamond"/>
          <w:b/>
          <w:bCs/>
          <w:szCs w:val="24"/>
        </w:rPr>
        <w:t>Determinar la admisión a la carrera judicial sobre la base de un proceso de concurso público</w:t>
      </w:r>
      <w:r w:rsidRPr="005747B6">
        <w:rPr>
          <w:rFonts w:ascii="Garamond" w:hAnsi="Garamond"/>
          <w:szCs w:val="24"/>
        </w:rPr>
        <w:t xml:space="preserve"> para garantizar la capacidad e idoneidad de los candidatos, como lo exige la Constitución.</w:t>
      </w:r>
    </w:p>
    <w:p w14:paraId="0A2495A2" w14:textId="77777777" w:rsidR="004739DD" w:rsidRPr="00F6525A" w:rsidRDefault="004739DD" w:rsidP="00015AE8">
      <w:pPr>
        <w:spacing w:after="0" w:line="276" w:lineRule="auto"/>
        <w:jc w:val="both"/>
        <w:rPr>
          <w:rFonts w:ascii="Garamond" w:hAnsi="Garamond"/>
          <w:szCs w:val="24"/>
          <w:lang w:val="es-ES"/>
        </w:rPr>
      </w:pPr>
    </w:p>
    <w:p w14:paraId="17F73D34" w14:textId="409EB683" w:rsidR="001169B2" w:rsidRDefault="001169B2" w:rsidP="00015AE8">
      <w:pPr>
        <w:pStyle w:val="ListParagraph"/>
        <w:numPr>
          <w:ilvl w:val="0"/>
          <w:numId w:val="16"/>
        </w:numPr>
        <w:spacing w:after="0" w:line="276" w:lineRule="auto"/>
        <w:rPr>
          <w:rFonts w:ascii="Garamond" w:hAnsi="Garamond"/>
          <w:szCs w:val="24"/>
        </w:rPr>
      </w:pPr>
      <w:r w:rsidRPr="00012668">
        <w:rPr>
          <w:rFonts w:ascii="Garamond" w:hAnsi="Garamond"/>
          <w:b/>
          <w:bCs/>
          <w:szCs w:val="24"/>
        </w:rPr>
        <w:t>Garantizar que la selección de los magistrados y las magistradas para el Tribunal Supremo de Justicia se lleve a cabo mediante un proceso competitivo, de acuerdo con los requisitos establecidos en la Constitución</w:t>
      </w:r>
      <w:r w:rsidRPr="005747B6">
        <w:rPr>
          <w:rFonts w:ascii="Garamond" w:hAnsi="Garamond"/>
          <w:szCs w:val="24"/>
        </w:rPr>
        <w:t xml:space="preserve">, incluyendo los relativos a la creación del Comité de Postulaciones Judiciales. </w:t>
      </w:r>
    </w:p>
    <w:p w14:paraId="169E6689" w14:textId="77777777" w:rsidR="009449B9" w:rsidRPr="005747B6" w:rsidRDefault="009449B9" w:rsidP="00015AE8">
      <w:pPr>
        <w:pStyle w:val="ListParagraph"/>
        <w:spacing w:after="0" w:line="276" w:lineRule="auto"/>
        <w:rPr>
          <w:rFonts w:ascii="Garamond" w:hAnsi="Garamond"/>
          <w:szCs w:val="24"/>
        </w:rPr>
      </w:pPr>
    </w:p>
    <w:p w14:paraId="3537694C" w14:textId="1A920B02" w:rsidR="009449B9" w:rsidRDefault="001169B2" w:rsidP="00015AE8">
      <w:pPr>
        <w:pStyle w:val="ListParagraph"/>
        <w:numPr>
          <w:ilvl w:val="0"/>
          <w:numId w:val="16"/>
        </w:numPr>
        <w:spacing w:after="0" w:line="276" w:lineRule="auto"/>
        <w:rPr>
          <w:rFonts w:ascii="Garamond" w:hAnsi="Garamond"/>
          <w:b/>
          <w:bCs/>
          <w:szCs w:val="24"/>
        </w:rPr>
      </w:pPr>
      <w:r w:rsidRPr="00012668">
        <w:rPr>
          <w:rFonts w:ascii="Garamond" w:hAnsi="Garamond"/>
          <w:b/>
          <w:bCs/>
          <w:szCs w:val="24"/>
        </w:rPr>
        <w:t>Llevar a cabo investigaciones prontas, efectivas, exhaustivas, independientes, imparciales y transparentes de las violaciones de los derechos humanos.</w:t>
      </w:r>
    </w:p>
    <w:p w14:paraId="40860057" w14:textId="77777777" w:rsidR="00012668" w:rsidRPr="00F6525A" w:rsidRDefault="00012668" w:rsidP="00015AE8">
      <w:pPr>
        <w:spacing w:after="0" w:line="276" w:lineRule="auto"/>
        <w:jc w:val="both"/>
        <w:rPr>
          <w:rFonts w:ascii="Garamond" w:hAnsi="Garamond"/>
          <w:b/>
          <w:bCs/>
          <w:szCs w:val="24"/>
          <w:lang w:val="es-ES"/>
        </w:rPr>
      </w:pPr>
    </w:p>
    <w:p w14:paraId="6CBFCCD2" w14:textId="030D93D9" w:rsidR="001169B2" w:rsidRDefault="001169B2" w:rsidP="00015AE8">
      <w:pPr>
        <w:pStyle w:val="ListParagraph"/>
        <w:numPr>
          <w:ilvl w:val="0"/>
          <w:numId w:val="16"/>
        </w:numPr>
        <w:spacing w:after="0" w:line="276" w:lineRule="auto"/>
        <w:rPr>
          <w:rFonts w:ascii="Garamond" w:hAnsi="Garamond"/>
          <w:szCs w:val="24"/>
        </w:rPr>
      </w:pPr>
      <w:r w:rsidRPr="00012668">
        <w:rPr>
          <w:rFonts w:ascii="Garamond" w:hAnsi="Garamond"/>
          <w:b/>
          <w:bCs/>
          <w:szCs w:val="24"/>
        </w:rPr>
        <w:t>Garantizar el cumplimiento de los plazos establecidos por la ley para las distintas etapas del procedimiento en el marco del Código Procesal Penal</w:t>
      </w:r>
      <w:r w:rsidRPr="005747B6">
        <w:rPr>
          <w:rFonts w:ascii="Garamond" w:hAnsi="Garamond"/>
          <w:szCs w:val="24"/>
        </w:rPr>
        <w:t xml:space="preserve">, evitando las demoras de los procedimientos y los juicios. </w:t>
      </w:r>
    </w:p>
    <w:p w14:paraId="232D67C3" w14:textId="77777777" w:rsidR="009449B9" w:rsidRPr="005747B6" w:rsidRDefault="009449B9" w:rsidP="00015AE8">
      <w:pPr>
        <w:pStyle w:val="ListParagraph"/>
        <w:spacing w:after="160" w:line="276" w:lineRule="auto"/>
        <w:rPr>
          <w:rFonts w:ascii="Garamond" w:hAnsi="Garamond"/>
          <w:szCs w:val="24"/>
        </w:rPr>
      </w:pPr>
    </w:p>
    <w:p w14:paraId="4CF45DFE" w14:textId="68175C9E" w:rsidR="00E8149D" w:rsidRPr="00EC3849" w:rsidRDefault="001169B2" w:rsidP="00015AE8">
      <w:pPr>
        <w:pStyle w:val="ListParagraph"/>
        <w:numPr>
          <w:ilvl w:val="0"/>
          <w:numId w:val="16"/>
        </w:numPr>
        <w:spacing w:after="160" w:line="276" w:lineRule="auto"/>
        <w:rPr>
          <w:rFonts w:ascii="Garamond" w:hAnsi="Garamond"/>
          <w:szCs w:val="24"/>
        </w:rPr>
      </w:pPr>
      <w:r w:rsidRPr="00012668">
        <w:rPr>
          <w:rFonts w:ascii="Garamond" w:hAnsi="Garamond"/>
          <w:b/>
          <w:bCs/>
          <w:szCs w:val="24"/>
        </w:rPr>
        <w:t>Garanti</w:t>
      </w:r>
      <w:r w:rsidR="00012668" w:rsidRPr="00012668">
        <w:rPr>
          <w:rFonts w:ascii="Garamond" w:hAnsi="Garamond"/>
          <w:b/>
          <w:bCs/>
          <w:szCs w:val="24"/>
        </w:rPr>
        <w:t xml:space="preserve">zar </w:t>
      </w:r>
      <w:r w:rsidRPr="00012668">
        <w:rPr>
          <w:rFonts w:ascii="Garamond" w:hAnsi="Garamond"/>
          <w:b/>
          <w:bCs/>
          <w:szCs w:val="24"/>
        </w:rPr>
        <w:t>la representación legal de elección de las partes y eliminar los obstáculos actuales del derecho a la defensa</w:t>
      </w:r>
      <w:r w:rsidRPr="005747B6">
        <w:rPr>
          <w:rFonts w:ascii="Garamond" w:hAnsi="Garamond"/>
          <w:szCs w:val="24"/>
        </w:rPr>
        <w:t>, en particular asegurando que se garantice el derecho a la presunción de inocencia, se proporcione al abogado defensor los documentos judiciales esenciales, se le informe rápidamente de las audiencias y se le permita un acceso suficiente a los clientes para que los represente de manera adecuada.</w:t>
      </w:r>
    </w:p>
    <w:sectPr w:rsidR="00E8149D" w:rsidRPr="00EC384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4454D" w14:textId="77777777" w:rsidR="00F96574" w:rsidRDefault="00F96574" w:rsidP="00A11A9E">
      <w:pPr>
        <w:spacing w:after="0" w:line="240" w:lineRule="auto"/>
      </w:pPr>
      <w:r>
        <w:separator/>
      </w:r>
    </w:p>
  </w:endnote>
  <w:endnote w:type="continuationSeparator" w:id="0">
    <w:p w14:paraId="17F80FD6" w14:textId="77777777" w:rsidR="00F96574" w:rsidRDefault="00F96574" w:rsidP="00A11A9E">
      <w:pPr>
        <w:spacing w:after="0" w:line="240" w:lineRule="auto"/>
      </w:pPr>
      <w:r>
        <w:continuationSeparator/>
      </w:r>
    </w:p>
  </w:endnote>
  <w:endnote w:id="1">
    <w:p w14:paraId="1CE88D7F" w14:textId="77777777" w:rsidR="00D4045C" w:rsidRDefault="00D4045C" w:rsidP="00D4045C">
      <w:pPr>
        <w:shd w:val="clear" w:color="auto" w:fill="FFFFFF"/>
        <w:spacing w:before="100" w:beforeAutospacing="1" w:line="240" w:lineRule="auto"/>
        <w:jc w:val="both"/>
        <w:rPr>
          <w:rFonts w:ascii="Times New Roman" w:eastAsia="Times New Roman" w:hAnsi="Times New Roman" w:cs="Times New Roman"/>
          <w:color w:val="222222"/>
          <w:lang w:val="es-ES"/>
        </w:rPr>
      </w:pPr>
      <w:r>
        <w:rPr>
          <w:rStyle w:val="EndnoteReference"/>
        </w:rPr>
        <w:endnoteRef/>
      </w:r>
      <w:r w:rsidRPr="00D4045C">
        <w:rPr>
          <w:lang w:val="es-ES"/>
        </w:rPr>
        <w:t xml:space="preserve"> </w:t>
      </w:r>
      <w:r w:rsidRPr="00CF5A63">
        <w:rPr>
          <w:rFonts w:ascii="Times New Roman" w:eastAsia="Times New Roman" w:hAnsi="Times New Roman" w:cs="Times New Roman"/>
          <w:b/>
          <w:bCs/>
          <w:color w:val="000000"/>
          <w:lang w:val="es-ES"/>
        </w:rPr>
        <w:t>Acceso a la Justicia</w:t>
      </w:r>
      <w:r w:rsidRPr="00CF5A63">
        <w:rPr>
          <w:rFonts w:ascii="Times New Roman" w:eastAsia="Times New Roman" w:hAnsi="Times New Roman" w:cs="Times New Roman"/>
          <w:color w:val="000000"/>
          <w:lang w:val="es-ES"/>
        </w:rPr>
        <w:t>; </w:t>
      </w:r>
      <w:r w:rsidRPr="00CF5A63">
        <w:rPr>
          <w:rFonts w:ascii="Times New Roman" w:eastAsia="Times New Roman" w:hAnsi="Times New Roman" w:cs="Times New Roman"/>
          <w:color w:val="222222"/>
          <w:lang w:val="es-ES"/>
        </w:rPr>
        <w:t xml:space="preserve">Acceso a la Justicia es una asociación civil sin fines de lucro, privada e independiente, fundada en 2010 y registrada bajo las leyes de Venezuela, que </w:t>
      </w:r>
      <w:r w:rsidRPr="00CF5A63">
        <w:rPr>
          <w:rFonts w:ascii="Times New Roman" w:eastAsia="Times New Roman" w:hAnsi="Times New Roman" w:cs="Times New Roman"/>
          <w:color w:val="000000"/>
          <w:lang w:val="es-ES"/>
        </w:rPr>
        <w:t>tiene</w:t>
      </w:r>
      <w:r w:rsidRPr="00CF5A63">
        <w:rPr>
          <w:rFonts w:ascii="Times New Roman" w:eastAsia="Times New Roman" w:hAnsi="Times New Roman" w:cs="Times New Roman"/>
          <w:color w:val="222222"/>
          <w:lang w:val="es-ES"/>
        </w:rPr>
        <w:t xml:space="preserve"> como misión la defensa de la justicia, el Estado de derecho, la </w:t>
      </w:r>
      <w:r w:rsidRPr="00CF5A63">
        <w:rPr>
          <w:rFonts w:ascii="Times New Roman" w:eastAsia="Times New Roman" w:hAnsi="Times New Roman" w:cs="Times New Roman"/>
          <w:color w:val="000000"/>
          <w:lang w:val="es-ES"/>
        </w:rPr>
        <w:t>separación</w:t>
      </w:r>
      <w:r w:rsidRPr="00CF5A63">
        <w:rPr>
          <w:rFonts w:ascii="Times New Roman" w:eastAsia="Times New Roman" w:hAnsi="Times New Roman" w:cs="Times New Roman"/>
          <w:color w:val="222222"/>
          <w:lang w:val="es-ES"/>
        </w:rPr>
        <w:t xml:space="preserve"> de poderes, la independencia judicial, la democracia, la libertad y los derechos humanos.</w:t>
      </w:r>
    </w:p>
    <w:p w14:paraId="025AB39A" w14:textId="370562E8" w:rsidR="00D4045C" w:rsidRPr="00D4045C" w:rsidRDefault="00D4045C" w:rsidP="00D4045C">
      <w:pPr>
        <w:spacing w:line="240" w:lineRule="auto"/>
        <w:jc w:val="both"/>
        <w:rPr>
          <w:rFonts w:ascii="Times New Roman" w:hAnsi="Times New Roman" w:cs="Times New Roman"/>
        </w:rPr>
      </w:pPr>
      <w:r w:rsidRPr="00D4045C">
        <w:rPr>
          <w:rFonts w:ascii="Times New Roman" w:hAnsi="Times New Roman" w:cs="Times New Roman"/>
        </w:rPr>
        <w:t xml:space="preserve">Sitio Web: </w:t>
      </w:r>
      <w:hyperlink r:id="rId1" w:history="1">
        <w:r w:rsidRPr="007A63C9">
          <w:rPr>
            <w:rStyle w:val="Hyperlink"/>
            <w:rFonts w:ascii="Times New Roman" w:hAnsi="Times New Roman" w:cs="Times New Roman"/>
          </w:rPr>
          <w:t>https://accesoalajusticia.org/</w:t>
        </w:r>
      </w:hyperlink>
    </w:p>
  </w:endnote>
  <w:endnote w:id="2">
    <w:p w14:paraId="54E570C8" w14:textId="77777777" w:rsidR="00D4045C" w:rsidRDefault="00D4045C" w:rsidP="00D4045C">
      <w:pPr>
        <w:shd w:val="clear" w:color="auto" w:fill="FFFFFF"/>
        <w:spacing w:before="100" w:beforeAutospacing="1" w:line="240" w:lineRule="auto"/>
        <w:jc w:val="both"/>
        <w:rPr>
          <w:rFonts w:ascii="Times New Roman" w:eastAsia="Times New Roman" w:hAnsi="Times New Roman" w:cs="Times New Roman"/>
          <w:color w:val="000000"/>
          <w:lang w:val="es-ES"/>
        </w:rPr>
      </w:pPr>
      <w:r>
        <w:rPr>
          <w:rStyle w:val="EndnoteReference"/>
        </w:rPr>
        <w:endnoteRef/>
      </w:r>
      <w:r w:rsidRPr="00D4045C">
        <w:rPr>
          <w:lang w:val="es-ES"/>
        </w:rPr>
        <w:t xml:space="preserve"> </w:t>
      </w:r>
      <w:r w:rsidRPr="00CF5A63">
        <w:rPr>
          <w:rFonts w:ascii="Times New Roman" w:eastAsia="Times New Roman" w:hAnsi="Times New Roman" w:cs="Times New Roman"/>
          <w:b/>
          <w:bCs/>
          <w:color w:val="000000"/>
          <w:lang w:val="es-ES"/>
        </w:rPr>
        <w:t>Aula Abierta</w:t>
      </w:r>
      <w:r w:rsidRPr="00CF5A63">
        <w:rPr>
          <w:rFonts w:ascii="Times New Roman" w:eastAsia="Times New Roman" w:hAnsi="Times New Roman" w:cs="Times New Roman"/>
          <w:color w:val="000000"/>
          <w:lang w:val="es-ES"/>
        </w:rPr>
        <w:t>;  Aula Abierta es una organización no gubernamental que trabaja por la defensa de las universidades en Latinoamérica, a través de iniciativas de promoción y defensa de los derechos humanos en el ámbito universitario, especialmente la libertad académica, el derecho a la educación de calidad y la libertad de asociación y reunión pacífica, mediante la participación de distintos actores universitarios en redes .</w:t>
      </w:r>
    </w:p>
    <w:p w14:paraId="0BD206D7" w14:textId="5AC79E01" w:rsidR="00D4045C" w:rsidRPr="00D4045C" w:rsidRDefault="00D4045C" w:rsidP="00D4045C">
      <w:pPr>
        <w:spacing w:line="240" w:lineRule="auto"/>
        <w:jc w:val="both"/>
        <w:rPr>
          <w:rFonts w:ascii="Times New Roman" w:hAnsi="Times New Roman" w:cs="Times New Roman"/>
        </w:rPr>
      </w:pPr>
      <w:r w:rsidRPr="00D4045C">
        <w:rPr>
          <w:rFonts w:ascii="Times New Roman" w:hAnsi="Times New Roman" w:cs="Times New Roman"/>
        </w:rPr>
        <w:t xml:space="preserve">Sitio Web: </w:t>
      </w:r>
      <w:hyperlink r:id="rId2" w:history="1">
        <w:r w:rsidRPr="007A63C9">
          <w:rPr>
            <w:rStyle w:val="Hyperlink"/>
            <w:rFonts w:ascii="Times New Roman" w:hAnsi="Times New Roman" w:cs="Times New Roman"/>
          </w:rPr>
          <w:t>https://aulaabiertavenezuela.org/</w:t>
        </w:r>
      </w:hyperlink>
    </w:p>
  </w:endnote>
  <w:endnote w:id="3">
    <w:p w14:paraId="2949F6BB" w14:textId="77777777" w:rsidR="00D4045C" w:rsidRDefault="00D4045C" w:rsidP="00D4045C">
      <w:pPr>
        <w:shd w:val="clear" w:color="auto" w:fill="FFFFFF"/>
        <w:spacing w:before="100" w:beforeAutospacing="1" w:line="240" w:lineRule="auto"/>
        <w:jc w:val="both"/>
        <w:rPr>
          <w:rFonts w:ascii="Times New Roman" w:eastAsia="Times New Roman" w:hAnsi="Times New Roman" w:cs="Times New Roman"/>
          <w:color w:val="000000"/>
          <w:lang w:val="es-ES"/>
        </w:rPr>
      </w:pPr>
      <w:r>
        <w:rPr>
          <w:rStyle w:val="EndnoteReference"/>
        </w:rPr>
        <w:endnoteRef/>
      </w:r>
      <w:r w:rsidRPr="00D4045C">
        <w:rPr>
          <w:lang w:val="es-ES"/>
        </w:rPr>
        <w:t xml:space="preserve"> </w:t>
      </w:r>
      <w:r w:rsidRPr="00CF5A63">
        <w:rPr>
          <w:rFonts w:ascii="Times New Roman" w:eastAsia="Times New Roman" w:hAnsi="Times New Roman" w:cs="Times New Roman"/>
          <w:b/>
          <w:bCs/>
          <w:color w:val="000000"/>
          <w:lang w:val="es-ES"/>
        </w:rPr>
        <w:t>(Cepaz)</w:t>
      </w:r>
      <w:r w:rsidRPr="00CF5A63">
        <w:rPr>
          <w:rFonts w:ascii="Times New Roman" w:eastAsia="Times New Roman" w:hAnsi="Times New Roman" w:cs="Times New Roman"/>
          <w:color w:val="000000"/>
          <w:lang w:val="es-ES"/>
        </w:rPr>
        <w:t>; Fundada en el año 2014. Cepaz es una organización sin fines de lucro, que trabaja en la promoción y defensa de los valores democráticos, los derechos humanos y la cultura de paz en Venezuela. Busca generar propuestas alternativas de formación y promoción de paz, democracia y derechos humanos.</w:t>
      </w:r>
    </w:p>
    <w:p w14:paraId="4628E97D" w14:textId="7197756F" w:rsidR="00D4045C" w:rsidRPr="00D4045C" w:rsidRDefault="00D4045C" w:rsidP="00D4045C">
      <w:pPr>
        <w:spacing w:line="240" w:lineRule="auto"/>
        <w:jc w:val="both"/>
      </w:pPr>
      <w:r w:rsidRPr="00D4045C">
        <w:rPr>
          <w:rFonts w:ascii="Times New Roman" w:hAnsi="Times New Roman" w:cs="Times New Roman"/>
        </w:rPr>
        <w:t xml:space="preserve">Sitio Web: </w:t>
      </w:r>
      <w:hyperlink r:id="rId3" w:history="1">
        <w:r w:rsidRPr="007A63C9">
          <w:rPr>
            <w:rStyle w:val="Hyperlink"/>
          </w:rPr>
          <w:t>https://cepaz.org/</w:t>
        </w:r>
      </w:hyperlink>
    </w:p>
  </w:endnote>
  <w:endnote w:id="4">
    <w:p w14:paraId="720996FC" w14:textId="77777777" w:rsidR="00D4045C" w:rsidRPr="00D4045C" w:rsidRDefault="00D4045C" w:rsidP="00D4045C">
      <w:pPr>
        <w:shd w:val="clear" w:color="auto" w:fill="FFFFFF"/>
        <w:spacing w:before="100" w:beforeAutospacing="1" w:line="240" w:lineRule="auto"/>
        <w:jc w:val="both"/>
        <w:rPr>
          <w:rFonts w:ascii="Times New Roman" w:eastAsia="Times New Roman" w:hAnsi="Times New Roman" w:cs="Times New Roman"/>
          <w:color w:val="000000"/>
          <w:lang w:val="es-ES"/>
        </w:rPr>
      </w:pPr>
      <w:r>
        <w:rPr>
          <w:rStyle w:val="EndnoteReference"/>
        </w:rPr>
        <w:endnoteRef/>
      </w:r>
      <w:r w:rsidRPr="00D4045C">
        <w:rPr>
          <w:lang w:val="es-ES"/>
        </w:rPr>
        <w:t xml:space="preserve"> </w:t>
      </w:r>
      <w:r w:rsidRPr="00CF5A63">
        <w:rPr>
          <w:rFonts w:ascii="Times New Roman" w:eastAsia="Times New Roman" w:hAnsi="Times New Roman" w:cs="Times New Roman"/>
          <w:b/>
          <w:bCs/>
          <w:color w:val="000000"/>
          <w:lang w:val="es-ES"/>
        </w:rPr>
        <w:t>Civilis DDHH</w:t>
      </w:r>
      <w:r w:rsidRPr="00CF5A63">
        <w:rPr>
          <w:rFonts w:ascii="Times New Roman" w:eastAsia="Times New Roman" w:hAnsi="Times New Roman" w:cs="Times New Roman"/>
          <w:color w:val="000000"/>
          <w:lang w:val="es-ES"/>
        </w:rPr>
        <w:t>; </w:t>
      </w:r>
      <w:r w:rsidRPr="00D4045C">
        <w:rPr>
          <w:rFonts w:ascii="Times New Roman" w:eastAsia="Times New Roman" w:hAnsi="Times New Roman" w:cs="Times New Roman"/>
          <w:color w:val="000000"/>
          <w:lang w:val="es-ES"/>
        </w:rPr>
        <w:t>es una asociación civil sin fines de lucro, fundada en el año 2010, independiente, pluralista y autónoma, dedicada al apoyo de la labor que realizan grupos y organizaciones de la sociedad civil en el campo de los derechos humanos.</w:t>
      </w:r>
    </w:p>
    <w:p w14:paraId="791CBF48" w14:textId="3CDE9BAC" w:rsidR="00D4045C" w:rsidRPr="00E177F8" w:rsidRDefault="00D4045C" w:rsidP="00D4045C">
      <w:pPr>
        <w:spacing w:line="240" w:lineRule="auto"/>
        <w:jc w:val="both"/>
      </w:pPr>
      <w:r w:rsidRPr="00D4045C">
        <w:rPr>
          <w:rFonts w:ascii="Times New Roman" w:hAnsi="Times New Roman" w:cs="Times New Roman"/>
        </w:rPr>
        <w:t xml:space="preserve">Sitio Web: </w:t>
      </w:r>
      <w:hyperlink r:id="rId4" w:history="1">
        <w:r w:rsidRPr="00D4045C">
          <w:rPr>
            <w:rStyle w:val="Hyperlink"/>
          </w:rPr>
          <w:t>https://www.civilisac.org/</w:t>
        </w:r>
      </w:hyperlink>
    </w:p>
  </w:endnote>
  <w:endnote w:id="5">
    <w:p w14:paraId="6B8AC445" w14:textId="77777777" w:rsidR="00EC3849" w:rsidRPr="00EC3849" w:rsidRDefault="00937A7C" w:rsidP="00EC3849">
      <w:pPr>
        <w:pStyle w:val="EndnoteText"/>
        <w:jc w:val="both"/>
        <w:rPr>
          <w:rFonts w:ascii="Times New Roman" w:eastAsia="Times New Roman" w:hAnsi="Times New Roman" w:cs="Times New Roman"/>
          <w:b/>
          <w:bCs/>
          <w:color w:val="000000"/>
          <w:sz w:val="22"/>
          <w:szCs w:val="22"/>
          <w:lang w:val="es-ES"/>
        </w:rPr>
      </w:pPr>
      <w:r>
        <w:rPr>
          <w:rStyle w:val="EndnoteReference"/>
        </w:rPr>
        <w:endnoteRef/>
      </w:r>
      <w:r w:rsidRPr="00EC3849">
        <w:rPr>
          <w:lang w:val="es-ES"/>
        </w:rPr>
        <w:t xml:space="preserve"> </w:t>
      </w:r>
      <w:r w:rsidR="00EC3849" w:rsidRPr="00EC3849">
        <w:rPr>
          <w:rFonts w:ascii="Times New Roman" w:eastAsia="Times New Roman" w:hAnsi="Times New Roman" w:cs="Times New Roman"/>
          <w:b/>
          <w:bCs/>
          <w:color w:val="000000"/>
          <w:sz w:val="22"/>
          <w:szCs w:val="22"/>
          <w:lang w:val="es-ES"/>
        </w:rPr>
        <w:t xml:space="preserve">La Fundación Redes (Fundaredes), </w:t>
      </w:r>
      <w:r w:rsidR="00EC3849" w:rsidRPr="00EC3849">
        <w:rPr>
          <w:rFonts w:ascii="Times New Roman" w:eastAsia="Times New Roman" w:hAnsi="Times New Roman" w:cs="Times New Roman"/>
          <w:color w:val="000000"/>
          <w:sz w:val="22"/>
          <w:szCs w:val="22"/>
          <w:lang w:val="es-ES"/>
        </w:rPr>
        <w:t>organización no gubernamental fundada en 1998, trabaja en la construcción de tejido social para la promoción y defensa de los derechos humanos. Desde la consolidación de una red de educadores, activistas y defensores en todo el país viene desarrollando profundos esfuerzos de denuncia, registro, incidencia pública y documentación de violaciones a los derechos humanos (DDHH) en el contexto de la emergencia humanitaria compleja en Venezuela.</w:t>
      </w:r>
      <w:r w:rsidR="00EC3849" w:rsidRPr="00EC3849">
        <w:rPr>
          <w:rFonts w:ascii="Times New Roman" w:eastAsia="Times New Roman" w:hAnsi="Times New Roman" w:cs="Times New Roman"/>
          <w:b/>
          <w:bCs/>
          <w:color w:val="000000"/>
          <w:sz w:val="22"/>
          <w:szCs w:val="22"/>
          <w:lang w:val="es-ES"/>
        </w:rPr>
        <w:t xml:space="preserve"> </w:t>
      </w:r>
    </w:p>
    <w:p w14:paraId="083AA6C8" w14:textId="77777777" w:rsidR="00EC3849" w:rsidRDefault="00EC3849">
      <w:pPr>
        <w:pStyle w:val="EndnoteText"/>
        <w:rPr>
          <w:lang w:val="es-ES"/>
        </w:rPr>
      </w:pPr>
    </w:p>
    <w:p w14:paraId="1A3A5123" w14:textId="52714C05" w:rsidR="00EC3849" w:rsidRPr="00EC3849" w:rsidRDefault="00EC3849">
      <w:pPr>
        <w:pStyle w:val="EndnoteText"/>
      </w:pPr>
      <w:r w:rsidRPr="00E177F8">
        <w:rPr>
          <w:rFonts w:ascii="Times New Roman" w:hAnsi="Times New Roman" w:cs="Times New Roman"/>
        </w:rPr>
        <w:t>Sitio Web</w:t>
      </w:r>
      <w:r>
        <w:t xml:space="preserve">: </w:t>
      </w:r>
      <w:r w:rsidR="00937A7C" w:rsidRPr="00EC3849">
        <w:t>https://www.fundaredes.org/historia/</w:t>
      </w:r>
    </w:p>
  </w:endnote>
  <w:endnote w:id="6">
    <w:p w14:paraId="049396DC" w14:textId="516235C8" w:rsidR="00937A7C" w:rsidRPr="00E177F8" w:rsidRDefault="00937A7C" w:rsidP="00937A7C">
      <w:pPr>
        <w:shd w:val="clear" w:color="auto" w:fill="FFFFFF"/>
        <w:spacing w:before="100" w:beforeAutospacing="1" w:line="240" w:lineRule="auto"/>
        <w:jc w:val="both"/>
        <w:rPr>
          <w:rFonts w:ascii="Times New Roman" w:eastAsia="Times New Roman" w:hAnsi="Times New Roman" w:cs="Times New Roman"/>
          <w:color w:val="000000"/>
          <w:lang w:val="es-ES"/>
        </w:rPr>
      </w:pPr>
      <w:r>
        <w:rPr>
          <w:rStyle w:val="EndnoteReference"/>
        </w:rPr>
        <w:endnoteRef/>
      </w:r>
      <w:r w:rsidRPr="00937A7C">
        <w:rPr>
          <w:lang w:val="es-ES"/>
        </w:rPr>
        <w:t xml:space="preserve"> </w:t>
      </w:r>
      <w:r w:rsidRPr="00CF5A63">
        <w:rPr>
          <w:rFonts w:ascii="Times New Roman" w:eastAsia="Times New Roman" w:hAnsi="Times New Roman" w:cs="Times New Roman"/>
          <w:b/>
          <w:bCs/>
          <w:color w:val="000000"/>
          <w:lang w:val="es-ES"/>
        </w:rPr>
        <w:t>Observatorio de derechos humanos de la Universidad de Los Andes</w:t>
      </w:r>
      <w:r>
        <w:rPr>
          <w:rFonts w:ascii="Times New Roman" w:eastAsia="Times New Roman" w:hAnsi="Times New Roman" w:cs="Times New Roman"/>
          <w:b/>
          <w:bCs/>
          <w:color w:val="000000"/>
          <w:lang w:val="es-ES"/>
        </w:rPr>
        <w:t>,</w:t>
      </w:r>
      <w:r w:rsidRPr="00CF5A63">
        <w:rPr>
          <w:rFonts w:ascii="Times New Roman" w:eastAsia="Times New Roman" w:hAnsi="Times New Roman" w:cs="Times New Roman"/>
          <w:color w:val="000000"/>
          <w:lang w:val="es-ES"/>
        </w:rPr>
        <w:t xml:space="preserve"> desde su creación en el año 2014 se ha dedicado a la promoción y defensa de la libertad académica, autonomía universitaria, el derecho a la ciencia, acceso a la justicia e institucionalidad democrática. Además realiza actividades de documentación, monitoreo, seguimiento, asistencia jurídica y educación en derechos humanos.</w:t>
      </w:r>
    </w:p>
    <w:p w14:paraId="5D95CA8F" w14:textId="5862624E" w:rsidR="00937A7C" w:rsidRPr="00937A7C" w:rsidRDefault="00937A7C" w:rsidP="00937A7C">
      <w:pPr>
        <w:spacing w:line="240" w:lineRule="auto"/>
        <w:jc w:val="both"/>
        <w:rPr>
          <w:rFonts w:ascii="Times New Roman" w:hAnsi="Times New Roman" w:cs="Times New Roman"/>
        </w:rPr>
      </w:pPr>
      <w:r w:rsidRPr="00E177F8">
        <w:rPr>
          <w:rFonts w:ascii="Times New Roman" w:hAnsi="Times New Roman" w:cs="Times New Roman"/>
        </w:rPr>
        <w:t xml:space="preserve">Sitio Web: </w:t>
      </w:r>
      <w:hyperlink r:id="rId5" w:history="1">
        <w:r w:rsidRPr="007A63C9">
          <w:rPr>
            <w:rStyle w:val="Hyperlink"/>
            <w:rFonts w:ascii="Times New Roman" w:hAnsi="Times New Roman" w:cs="Times New Roman"/>
          </w:rPr>
          <w:t>https://www.uladdhh.org.ve/</w:t>
        </w:r>
      </w:hyperlink>
    </w:p>
  </w:endnote>
  <w:endnote w:id="7">
    <w:p w14:paraId="681A7002" w14:textId="44F011E3" w:rsidR="00937A7C" w:rsidRPr="00595FC7" w:rsidRDefault="00E177F8" w:rsidP="00937A7C">
      <w:pPr>
        <w:shd w:val="clear" w:color="auto" w:fill="FFFFFF"/>
        <w:spacing w:before="100" w:beforeAutospacing="1" w:line="240" w:lineRule="auto"/>
        <w:jc w:val="both"/>
        <w:rPr>
          <w:rFonts w:ascii="Times New Roman" w:hAnsi="Times New Roman" w:cs="Times New Roman"/>
          <w:lang w:val="es-ES"/>
        </w:rPr>
      </w:pPr>
      <w:r>
        <w:rPr>
          <w:rStyle w:val="EndnoteReference"/>
        </w:rPr>
        <w:endnoteRef/>
      </w:r>
      <w:r w:rsidR="00937A7C" w:rsidRPr="00937A7C">
        <w:rPr>
          <w:rFonts w:ascii="Times New Roman" w:hAnsi="Times New Roman" w:cs="Times New Roman"/>
          <w:lang w:val="es-ES"/>
        </w:rPr>
        <w:t xml:space="preserve"> </w:t>
      </w:r>
      <w:r w:rsidR="00937A7C" w:rsidRPr="00937A7C">
        <w:rPr>
          <w:rFonts w:ascii="Times New Roman" w:eastAsia="Times New Roman" w:hAnsi="Times New Roman" w:cs="Times New Roman"/>
          <w:b/>
          <w:bCs/>
          <w:color w:val="000000"/>
          <w:lang w:val="es-ES"/>
        </w:rPr>
        <w:t>Observator</w:t>
      </w:r>
      <w:r w:rsidR="00937A7C">
        <w:rPr>
          <w:rFonts w:ascii="Times New Roman" w:eastAsia="Times New Roman" w:hAnsi="Times New Roman" w:cs="Times New Roman"/>
          <w:b/>
          <w:bCs/>
          <w:color w:val="000000"/>
          <w:lang w:val="es-ES"/>
        </w:rPr>
        <w:t>i</w:t>
      </w:r>
      <w:r w:rsidR="00937A7C" w:rsidRPr="00937A7C">
        <w:rPr>
          <w:rFonts w:ascii="Times New Roman" w:eastAsia="Times New Roman" w:hAnsi="Times New Roman" w:cs="Times New Roman"/>
          <w:b/>
          <w:bCs/>
          <w:color w:val="000000"/>
          <w:lang w:val="es-ES"/>
        </w:rPr>
        <w:t xml:space="preserve">o Universitario de Derechos Humanos </w:t>
      </w:r>
      <w:r w:rsidR="00937A7C">
        <w:rPr>
          <w:rFonts w:ascii="Times New Roman" w:eastAsia="Times New Roman" w:hAnsi="Times New Roman" w:cs="Times New Roman"/>
          <w:b/>
          <w:bCs/>
          <w:color w:val="000000"/>
          <w:lang w:val="es-ES"/>
        </w:rPr>
        <w:t>–</w:t>
      </w:r>
      <w:r w:rsidR="00937A7C" w:rsidRPr="00937A7C">
        <w:rPr>
          <w:rFonts w:ascii="Times New Roman" w:eastAsia="Times New Roman" w:hAnsi="Times New Roman" w:cs="Times New Roman"/>
          <w:b/>
          <w:bCs/>
          <w:color w:val="000000"/>
          <w:lang w:val="es-ES"/>
        </w:rPr>
        <w:t xml:space="preserve"> </w:t>
      </w:r>
      <w:r w:rsidR="00937A7C" w:rsidRPr="00937A7C">
        <w:rPr>
          <w:rFonts w:ascii="Times New Roman" w:eastAsia="Times New Roman" w:hAnsi="Times New Roman" w:cs="Times New Roman"/>
          <w:color w:val="000000"/>
          <w:lang w:val="es-ES"/>
        </w:rPr>
        <w:t>Epikeia</w:t>
      </w:r>
      <w:r w:rsidR="00937A7C">
        <w:rPr>
          <w:rFonts w:ascii="Times New Roman" w:eastAsia="Times New Roman" w:hAnsi="Times New Roman" w:cs="Times New Roman"/>
          <w:color w:val="000000"/>
          <w:lang w:val="es-ES"/>
        </w:rPr>
        <w:t xml:space="preserve">, </w:t>
      </w:r>
      <w:r w:rsidR="00937A7C" w:rsidRPr="00937A7C">
        <w:rPr>
          <w:rFonts w:ascii="Times New Roman" w:eastAsia="Times New Roman" w:hAnsi="Times New Roman" w:cs="Times New Roman"/>
          <w:color w:val="000000"/>
          <w:lang w:val="es-ES"/>
        </w:rPr>
        <w:t>es una instancia de promoción y defensa de la libertad académica y de los derechos asociados a ella. Adscritos a la Universidad de Los Andes, nos caracterizamos por ser autónomos, independientes, plurales e imparciales. Fundamentamos nuestra acción en la Constitución Nacional y en los Tratados Internacionales sobre Derechos Humanos.</w:t>
      </w:r>
    </w:p>
    <w:p w14:paraId="462A7777" w14:textId="7156ACD9" w:rsidR="00E177F8" w:rsidRDefault="00937A7C">
      <w:pPr>
        <w:pStyle w:val="EndnoteText"/>
        <w:rPr>
          <w:rFonts w:ascii="Times New Roman" w:hAnsi="Times New Roman" w:cs="Times New Roman"/>
        </w:rPr>
      </w:pPr>
      <w:r w:rsidRPr="00E177F8">
        <w:rPr>
          <w:rFonts w:ascii="Times New Roman" w:hAnsi="Times New Roman" w:cs="Times New Roman"/>
        </w:rPr>
        <w:t>Sitio Web:</w:t>
      </w:r>
      <w:r w:rsidRPr="00937A7C">
        <w:t xml:space="preserve"> </w:t>
      </w:r>
      <w:hyperlink r:id="rId6" w:history="1">
        <w:r w:rsidRPr="007A63C9">
          <w:rPr>
            <w:rStyle w:val="Hyperlink"/>
            <w:rFonts w:ascii="Times New Roman" w:hAnsi="Times New Roman" w:cs="Times New Roman"/>
          </w:rPr>
          <w:t>http://epikeiaddhh.org/</w:t>
        </w:r>
      </w:hyperlink>
      <w:r>
        <w:rPr>
          <w:rFonts w:ascii="Times New Roman" w:hAnsi="Times New Roman" w:cs="Times New Roman"/>
        </w:rPr>
        <w:t xml:space="preserve"> </w:t>
      </w:r>
    </w:p>
    <w:p w14:paraId="2A18E3BA" w14:textId="77777777" w:rsidR="00EC3849" w:rsidRPr="00937A7C" w:rsidRDefault="00EC3849">
      <w:pPr>
        <w:pStyle w:val="EndnoteText"/>
      </w:pPr>
    </w:p>
  </w:endnote>
  <w:endnote w:id="8">
    <w:p w14:paraId="01EFEE18" w14:textId="4D36037F" w:rsidR="00EC3849" w:rsidRPr="00EC3849" w:rsidRDefault="00EC3849" w:rsidP="00EC3849">
      <w:pPr>
        <w:pStyle w:val="Heading4"/>
        <w:shd w:val="clear" w:color="auto" w:fill="FFFFFF"/>
        <w:spacing w:before="0" w:after="240" w:line="240" w:lineRule="auto"/>
        <w:jc w:val="both"/>
        <w:textAlignment w:val="baseline"/>
        <w:rPr>
          <w:rFonts w:ascii="Times New Roman" w:eastAsia="Times New Roman" w:hAnsi="Times New Roman" w:cs="Times New Roman"/>
          <w:i w:val="0"/>
          <w:iCs w:val="0"/>
          <w:color w:val="000000"/>
          <w:lang w:val="es-ES"/>
        </w:rPr>
      </w:pPr>
      <w:r w:rsidRPr="00EC3849">
        <w:rPr>
          <w:rStyle w:val="EndnoteReference"/>
          <w:rFonts w:asciiTheme="minorHAnsi" w:eastAsiaTheme="minorHAnsi" w:hAnsiTheme="minorHAnsi" w:cstheme="minorBidi"/>
          <w:i w:val="0"/>
          <w:iCs w:val="0"/>
          <w:color w:val="auto"/>
        </w:rPr>
        <w:endnoteRef/>
      </w:r>
      <w:r w:rsidRPr="00EC3849">
        <w:rPr>
          <w:lang w:val="es-ES"/>
        </w:rPr>
        <w:t xml:space="preserve"> </w:t>
      </w:r>
      <w:r w:rsidRPr="00EC3849">
        <w:rPr>
          <w:rFonts w:ascii="Times New Roman" w:eastAsia="Times New Roman" w:hAnsi="Times New Roman" w:cs="Times New Roman"/>
          <w:b/>
          <w:bCs/>
          <w:i w:val="0"/>
          <w:iCs w:val="0"/>
          <w:color w:val="000000"/>
          <w:lang w:val="es-ES"/>
        </w:rPr>
        <w:t xml:space="preserve">Transparencia Venezuela, </w:t>
      </w:r>
      <w:r w:rsidRPr="00EC3849">
        <w:rPr>
          <w:rFonts w:ascii="Times New Roman" w:eastAsia="Times New Roman" w:hAnsi="Times New Roman" w:cs="Times New Roman"/>
          <w:i w:val="0"/>
          <w:iCs w:val="0"/>
          <w:color w:val="000000"/>
          <w:lang w:val="es-ES"/>
        </w:rPr>
        <w:t>es una asociación civil sin fines de lucro, no partidista, plural y sin filiación política, dedicada a promover condiciones, procedimientos y factores para prevenir y disminuir la corrupción. El ser parte de esta red mundial de lucha anticorrupción permite que intercambiemos metodologías, herramientas y buenas prácticas para impulsar a Venezuela hacia estándares internacionales</w:t>
      </w:r>
      <w:r>
        <w:rPr>
          <w:rFonts w:ascii="Times New Roman" w:eastAsia="Times New Roman" w:hAnsi="Times New Roman" w:cs="Times New Roman"/>
          <w:i w:val="0"/>
          <w:iCs w:val="0"/>
          <w:color w:val="000000"/>
          <w:lang w:val="es-ES"/>
        </w:rPr>
        <w:t>.</w:t>
      </w:r>
    </w:p>
    <w:p w14:paraId="0EC34306" w14:textId="37F14517" w:rsidR="00EC3849" w:rsidRPr="00EC3849" w:rsidRDefault="00EC3849" w:rsidP="00EC3849">
      <w:r w:rsidRPr="00E177F8">
        <w:rPr>
          <w:rFonts w:ascii="Times New Roman" w:hAnsi="Times New Roman" w:cs="Times New Roman"/>
        </w:rPr>
        <w:t>Sitio Web:</w:t>
      </w:r>
      <w:r w:rsidRPr="00937A7C">
        <w:t xml:space="preserve"> </w:t>
      </w:r>
      <w:hyperlink r:id="rId7" w:history="1">
        <w:r w:rsidRPr="007A63C9">
          <w:rPr>
            <w:rStyle w:val="Hyperlink"/>
            <w:rFonts w:ascii="Times New Roman" w:hAnsi="Times New Roman" w:cs="Times New Roman"/>
          </w:rPr>
          <w:t>https://transparenciave.org/</w:t>
        </w:r>
      </w:hyperlink>
      <w:r>
        <w:rPr>
          <w:rFonts w:ascii="Times New Roman" w:hAnsi="Times New Roman" w:cs="Times New Roman"/>
        </w:rPr>
        <w:t xml:space="preserve"> </w:t>
      </w:r>
    </w:p>
    <w:p w14:paraId="243CD4DA" w14:textId="054C573C" w:rsidR="00EC3849" w:rsidRPr="00EC3849" w:rsidRDefault="00EC3849">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Barlow">
    <w:panose1 w:val="00000500000000000000"/>
    <w:charset w:val="00"/>
    <w:family w:val="auto"/>
    <w:pitch w:val="variable"/>
    <w:sig w:usb0="20000007" w:usb1="00000000" w:usb2="00000000" w:usb3="00000000" w:csb0="00000193" w:csb1="00000000"/>
  </w:font>
  <w:font w:name="Times">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FB537" w14:textId="77777777" w:rsidR="00F96574" w:rsidRDefault="00F96574" w:rsidP="00A11A9E">
      <w:pPr>
        <w:spacing w:after="0" w:line="240" w:lineRule="auto"/>
      </w:pPr>
      <w:r>
        <w:separator/>
      </w:r>
    </w:p>
  </w:footnote>
  <w:footnote w:type="continuationSeparator" w:id="0">
    <w:p w14:paraId="41C96F14" w14:textId="77777777" w:rsidR="00F96574" w:rsidRDefault="00F96574" w:rsidP="00A11A9E">
      <w:pPr>
        <w:spacing w:after="0" w:line="240" w:lineRule="auto"/>
      </w:pPr>
      <w:r>
        <w:continuationSeparator/>
      </w:r>
    </w:p>
  </w:footnote>
  <w:footnote w:id="1">
    <w:p w14:paraId="7DD13C08" w14:textId="77777777" w:rsidR="00601A5A" w:rsidRPr="00983C55" w:rsidRDefault="00601A5A" w:rsidP="00601A5A">
      <w:pPr>
        <w:pStyle w:val="FootnoteText"/>
        <w:rPr>
          <w:rFonts w:ascii="Garamond" w:hAnsi="Garamond"/>
          <w:sz w:val="18"/>
          <w:szCs w:val="18"/>
          <w:lang w:val="es-ES"/>
        </w:rPr>
      </w:pPr>
      <w:r>
        <w:rPr>
          <w:rStyle w:val="FootnoteReference"/>
        </w:rPr>
        <w:footnoteRef/>
      </w:r>
      <w:r>
        <w:t xml:space="preserve"> </w:t>
      </w:r>
      <w:r w:rsidRPr="00983C55">
        <w:rPr>
          <w:rFonts w:ascii="Garamond" w:hAnsi="Garamond"/>
          <w:sz w:val="18"/>
          <w:szCs w:val="18"/>
        </w:rPr>
        <w:t>CDH, CCPR/C/VEN/5 “ Quinto informe periódico que la República Bolivariana de Venezuela debía presentar en 2018 en virtud del artículo 40 del Pacto”, 7 de septiembre de 2021, párr. 123.</w:t>
      </w:r>
    </w:p>
    <w:p w14:paraId="3DCC7BD5" w14:textId="77600FB9" w:rsidR="00601A5A" w:rsidRPr="00983C55" w:rsidRDefault="00601A5A" w:rsidP="00601A5A">
      <w:pPr>
        <w:pStyle w:val="FootnoteText"/>
        <w:rPr>
          <w:rFonts w:ascii="Garamond" w:hAnsi="Garamond"/>
          <w:sz w:val="18"/>
          <w:szCs w:val="18"/>
        </w:rPr>
      </w:pPr>
      <w:r w:rsidRPr="00983C55">
        <w:rPr>
          <w:rStyle w:val="FootnoteReference"/>
          <w:rFonts w:ascii="Garamond" w:hAnsi="Garamond"/>
          <w:sz w:val="18"/>
          <w:szCs w:val="18"/>
        </w:rPr>
        <w:footnoteRef/>
      </w:r>
      <w:r w:rsidRPr="00983C55">
        <w:rPr>
          <w:rFonts w:ascii="Garamond" w:hAnsi="Garamond"/>
          <w:sz w:val="18"/>
          <w:szCs w:val="18"/>
        </w:rPr>
        <w:t xml:space="preserve"> Ibidem, párr. 133.</w:t>
      </w:r>
    </w:p>
  </w:footnote>
  <w:footnote w:id="2">
    <w:p w14:paraId="62CE0F02" w14:textId="77777777" w:rsidR="00A0140B" w:rsidRPr="00983C55" w:rsidRDefault="00A0140B" w:rsidP="00A0140B">
      <w:pPr>
        <w:spacing w:after="0"/>
        <w:rPr>
          <w:rFonts w:ascii="Garamond" w:hAnsi="Garamond"/>
          <w:sz w:val="18"/>
          <w:szCs w:val="18"/>
          <w:lang w:val="es-ES"/>
        </w:rPr>
      </w:pPr>
      <w:r w:rsidRPr="00983C55">
        <w:rPr>
          <w:rFonts w:ascii="Garamond" w:hAnsi="Garamond"/>
          <w:sz w:val="18"/>
          <w:szCs w:val="18"/>
          <w:vertAlign w:val="superscript"/>
        </w:rPr>
        <w:footnoteRef/>
      </w:r>
      <w:r w:rsidRPr="00983C55">
        <w:rPr>
          <w:rFonts w:ascii="Garamond" w:eastAsia="Garamond" w:hAnsi="Garamond" w:cs="Garamond"/>
          <w:sz w:val="18"/>
          <w:szCs w:val="18"/>
          <w:vertAlign w:val="superscript"/>
          <w:lang w:val="es-ES"/>
        </w:rPr>
        <w:t xml:space="preserve"> </w:t>
      </w:r>
      <w:r w:rsidRPr="00983C55">
        <w:rPr>
          <w:rFonts w:ascii="Garamond" w:eastAsia="Garamond" w:hAnsi="Garamond" w:cs="Garamond"/>
          <w:sz w:val="18"/>
          <w:szCs w:val="18"/>
          <w:lang w:val="es-ES"/>
        </w:rPr>
        <w:t>Acceso a la justicia, ¿Por qué el fiscal de la CPI cree que Venezuela no ha demostrado genuina voluntad de investigar los crímenes de lesa humanidad?, 15 de noviembre de 2022. Disponible en: https://accesoalajusticia.org/por-que-fiscalcpi-cree-venezuela-no-ha-demostrado-genuina-voluntad-investigar-crimenes-lesa-humanidad/</w:t>
      </w:r>
    </w:p>
  </w:footnote>
  <w:footnote w:id="3">
    <w:p w14:paraId="1622B717" w14:textId="77777777" w:rsidR="00A0140B" w:rsidRPr="00983C55" w:rsidRDefault="00A0140B" w:rsidP="00A0140B">
      <w:pPr>
        <w:spacing w:after="0"/>
        <w:rPr>
          <w:rFonts w:ascii="Garamond" w:hAnsi="Garamond"/>
          <w:sz w:val="18"/>
          <w:szCs w:val="18"/>
          <w:lang w:val="es-ES"/>
        </w:rPr>
      </w:pPr>
      <w:r w:rsidRPr="00983C55">
        <w:rPr>
          <w:rFonts w:ascii="Garamond" w:hAnsi="Garamond"/>
          <w:sz w:val="18"/>
          <w:szCs w:val="18"/>
          <w:vertAlign w:val="superscript"/>
        </w:rPr>
        <w:footnoteRef/>
      </w:r>
      <w:r w:rsidRPr="00983C55">
        <w:rPr>
          <w:rFonts w:ascii="Garamond" w:eastAsia="Garamond" w:hAnsi="Garamond" w:cs="Garamond"/>
          <w:sz w:val="18"/>
          <w:szCs w:val="18"/>
          <w:lang w:val="es-ES"/>
        </w:rPr>
        <w:t xml:space="preserve"> Ídem.</w:t>
      </w:r>
    </w:p>
  </w:footnote>
  <w:footnote w:id="4">
    <w:p w14:paraId="4CD6AE65" w14:textId="77777777" w:rsidR="00A0140B" w:rsidRPr="00A0140B" w:rsidRDefault="00A0140B" w:rsidP="00A0140B">
      <w:pPr>
        <w:spacing w:after="0"/>
        <w:rPr>
          <w:rFonts w:ascii="Garamond" w:hAnsi="Garamond"/>
          <w:sz w:val="18"/>
          <w:szCs w:val="18"/>
          <w:lang w:val="es-ES"/>
        </w:rPr>
      </w:pPr>
      <w:r w:rsidRPr="00983C55">
        <w:rPr>
          <w:rFonts w:ascii="Garamond" w:hAnsi="Garamond"/>
          <w:sz w:val="18"/>
          <w:szCs w:val="18"/>
          <w:vertAlign w:val="superscript"/>
        </w:rPr>
        <w:footnoteRef/>
      </w:r>
      <w:r w:rsidRPr="00983C55">
        <w:rPr>
          <w:rFonts w:ascii="Garamond" w:eastAsia="Garamond" w:hAnsi="Garamond" w:cs="Garamond"/>
          <w:sz w:val="18"/>
          <w:szCs w:val="18"/>
          <w:vertAlign w:val="superscript"/>
          <w:lang w:val="es-ES"/>
        </w:rPr>
        <w:t xml:space="preserve"> </w:t>
      </w:r>
      <w:r w:rsidRPr="00983C55">
        <w:rPr>
          <w:rFonts w:ascii="Garamond" w:eastAsia="Garamond" w:hAnsi="Garamond" w:cs="Garamond"/>
          <w:sz w:val="18"/>
          <w:szCs w:val="18"/>
          <w:lang w:val="es-ES"/>
        </w:rPr>
        <w:t>Ídem.</w:t>
      </w:r>
    </w:p>
  </w:footnote>
  <w:footnote w:id="5">
    <w:p w14:paraId="62ED25A4" w14:textId="77777777" w:rsidR="00A0140B" w:rsidRPr="00A0140B" w:rsidRDefault="00A0140B" w:rsidP="00A0140B">
      <w:pPr>
        <w:spacing w:after="0"/>
        <w:rPr>
          <w:rFonts w:ascii="Garamond" w:hAnsi="Garamond"/>
          <w:sz w:val="18"/>
          <w:szCs w:val="18"/>
          <w:lang w:val="es-ES"/>
        </w:rPr>
      </w:pPr>
      <w:r w:rsidRPr="00511A1C">
        <w:rPr>
          <w:rFonts w:ascii="Garamond" w:hAnsi="Garamond"/>
          <w:sz w:val="18"/>
          <w:szCs w:val="18"/>
          <w:vertAlign w:val="superscript"/>
        </w:rPr>
        <w:footnoteRef/>
      </w:r>
      <w:r w:rsidRPr="00A0140B">
        <w:rPr>
          <w:rFonts w:ascii="Garamond" w:eastAsia="Garamond" w:hAnsi="Garamond" w:cs="Garamond"/>
          <w:sz w:val="18"/>
          <w:szCs w:val="18"/>
          <w:vertAlign w:val="superscript"/>
          <w:lang w:val="es-ES"/>
        </w:rPr>
        <w:t xml:space="preserve"> </w:t>
      </w:r>
      <w:r w:rsidRPr="00A0140B">
        <w:rPr>
          <w:rFonts w:ascii="Garamond" w:eastAsia="Garamond" w:hAnsi="Garamond" w:cs="Garamond"/>
          <w:sz w:val="18"/>
          <w:szCs w:val="18"/>
          <w:lang w:val="es-ES"/>
        </w:rPr>
        <w:t>Ídem.</w:t>
      </w:r>
    </w:p>
  </w:footnote>
  <w:footnote w:id="6">
    <w:p w14:paraId="3EC9F353" w14:textId="77777777" w:rsidR="00A0140B" w:rsidRPr="00A0140B" w:rsidRDefault="00A0140B" w:rsidP="00A0140B">
      <w:pPr>
        <w:spacing w:after="0"/>
        <w:rPr>
          <w:rFonts w:ascii="Garamond" w:hAnsi="Garamond"/>
          <w:sz w:val="18"/>
          <w:szCs w:val="18"/>
          <w:lang w:val="es-ES"/>
        </w:rPr>
      </w:pPr>
      <w:r w:rsidRPr="00511A1C">
        <w:rPr>
          <w:rFonts w:ascii="Garamond" w:hAnsi="Garamond"/>
          <w:sz w:val="18"/>
          <w:szCs w:val="18"/>
          <w:vertAlign w:val="superscript"/>
        </w:rPr>
        <w:footnoteRef/>
      </w:r>
      <w:r w:rsidRPr="00A0140B">
        <w:rPr>
          <w:rFonts w:ascii="Garamond" w:eastAsia="Garamond" w:hAnsi="Garamond" w:cs="Garamond"/>
          <w:sz w:val="18"/>
          <w:szCs w:val="18"/>
          <w:vertAlign w:val="superscript"/>
          <w:lang w:val="es-ES"/>
        </w:rPr>
        <w:t xml:space="preserve"> </w:t>
      </w:r>
      <w:r w:rsidRPr="00A0140B">
        <w:rPr>
          <w:rFonts w:ascii="Garamond" w:eastAsia="Garamond" w:hAnsi="Garamond" w:cs="Garamond"/>
          <w:sz w:val="18"/>
          <w:szCs w:val="18"/>
          <w:lang w:val="es-ES"/>
        </w:rPr>
        <w:t>Ramón Cardozo Álvarez; Deutsche Welle; Impunidad, nueva exigencia de Maduro para regresar al diálogo; 28 de abril de 2023. Disponible en: https://www.dw.com/es/impunidad-nueva-exigencia-de-maduro-para-regresar-al-di%C3%A1logo/a-65464208</w:t>
      </w:r>
    </w:p>
  </w:footnote>
  <w:footnote w:id="7">
    <w:p w14:paraId="631B9561" w14:textId="77777777" w:rsidR="00A0140B" w:rsidRPr="00A0140B" w:rsidRDefault="00A0140B" w:rsidP="00A0140B">
      <w:pPr>
        <w:spacing w:after="0"/>
        <w:rPr>
          <w:rFonts w:ascii="Garamond" w:hAnsi="Garamond"/>
          <w:sz w:val="18"/>
          <w:szCs w:val="18"/>
          <w:lang w:val="es-ES"/>
        </w:rPr>
      </w:pPr>
      <w:r w:rsidRPr="00511A1C">
        <w:rPr>
          <w:rFonts w:ascii="Garamond" w:hAnsi="Garamond"/>
          <w:sz w:val="18"/>
          <w:szCs w:val="18"/>
          <w:vertAlign w:val="superscript"/>
        </w:rPr>
        <w:footnoteRef/>
      </w:r>
      <w:r w:rsidRPr="00A0140B">
        <w:rPr>
          <w:rFonts w:ascii="Garamond" w:eastAsia="Garamond" w:hAnsi="Garamond" w:cs="Garamond"/>
          <w:sz w:val="18"/>
          <w:szCs w:val="18"/>
          <w:vertAlign w:val="superscript"/>
          <w:lang w:val="es-ES"/>
        </w:rPr>
        <w:t xml:space="preserve"> </w:t>
      </w:r>
      <w:r w:rsidRPr="00A0140B">
        <w:rPr>
          <w:rFonts w:ascii="Garamond" w:eastAsia="Garamond" w:hAnsi="Garamond" w:cs="Garamond"/>
          <w:sz w:val="18"/>
          <w:szCs w:val="18"/>
          <w:lang w:val="es-ES"/>
        </w:rPr>
        <w:t>Yakari Prado, Runrunes, hace 4 semanas, A pocas horas de cumbre de Bogotá: Gobierno condiciona diálogo a suspensión de investigación en la CPI, 24 de abril de 2023. Disponible en: https://runrun.es/noticias/500041/cumbre-bogota-dialogo-investigacion-cpi/</w:t>
      </w:r>
    </w:p>
  </w:footnote>
  <w:footnote w:id="8">
    <w:p w14:paraId="343E9443" w14:textId="77777777" w:rsidR="00A0140B" w:rsidRPr="00A0140B" w:rsidRDefault="00A0140B" w:rsidP="00A0140B">
      <w:pPr>
        <w:pBdr>
          <w:top w:val="nil"/>
          <w:left w:val="nil"/>
          <w:bottom w:val="nil"/>
          <w:right w:val="nil"/>
          <w:between w:val="nil"/>
        </w:pBdr>
        <w:spacing w:after="0" w:line="240" w:lineRule="auto"/>
        <w:jc w:val="both"/>
        <w:rPr>
          <w:rFonts w:ascii="Garamond" w:eastAsia="Garamond" w:hAnsi="Garamond" w:cs="Garamond"/>
          <w:color w:val="000000"/>
          <w:sz w:val="18"/>
          <w:szCs w:val="18"/>
          <w:lang w:val="es-ES"/>
        </w:rPr>
      </w:pPr>
      <w:r w:rsidRPr="00511A1C">
        <w:rPr>
          <w:rFonts w:ascii="Garamond" w:hAnsi="Garamond"/>
          <w:sz w:val="18"/>
          <w:szCs w:val="18"/>
          <w:vertAlign w:val="superscript"/>
        </w:rPr>
        <w:footnoteRef/>
      </w:r>
      <w:r w:rsidRPr="00A0140B">
        <w:rPr>
          <w:rFonts w:ascii="Garamond" w:eastAsia="Garamond" w:hAnsi="Garamond" w:cs="Garamond"/>
          <w:color w:val="000000"/>
          <w:sz w:val="18"/>
          <w:szCs w:val="18"/>
          <w:lang w:val="es-ES"/>
        </w:rPr>
        <w:t xml:space="preserve"> https://www.icc-cpi.int/sites/default/files/RelatedRecords/0902ebd180441579.pdf</w:t>
      </w:r>
    </w:p>
  </w:footnote>
  <w:footnote w:id="9">
    <w:p w14:paraId="5FCAA900" w14:textId="42AE7C58" w:rsidR="00A0140B" w:rsidRPr="00A0140B" w:rsidRDefault="00A0140B" w:rsidP="00A0140B">
      <w:pPr>
        <w:spacing w:after="0"/>
        <w:rPr>
          <w:rFonts w:ascii="Garamond" w:hAnsi="Garamond"/>
          <w:sz w:val="18"/>
          <w:szCs w:val="18"/>
          <w:lang w:val="es-ES"/>
        </w:rPr>
      </w:pPr>
      <w:r w:rsidRPr="00511A1C">
        <w:rPr>
          <w:rFonts w:ascii="Garamond" w:hAnsi="Garamond"/>
          <w:sz w:val="18"/>
          <w:szCs w:val="18"/>
          <w:vertAlign w:val="superscript"/>
        </w:rPr>
        <w:footnoteRef/>
      </w:r>
      <w:r w:rsidRPr="00A0140B">
        <w:rPr>
          <w:rFonts w:ascii="Garamond" w:eastAsia="Garamond" w:hAnsi="Garamond" w:cs="Garamond"/>
          <w:sz w:val="18"/>
          <w:szCs w:val="18"/>
          <w:vertAlign w:val="superscript"/>
          <w:lang w:val="es-ES"/>
        </w:rPr>
        <w:t xml:space="preserve"> </w:t>
      </w:r>
      <w:r w:rsidRPr="00A0140B">
        <w:rPr>
          <w:rFonts w:ascii="Garamond" w:eastAsia="Garamond" w:hAnsi="Garamond" w:cs="Garamond"/>
          <w:sz w:val="18"/>
          <w:szCs w:val="18"/>
          <w:lang w:val="es-ES"/>
        </w:rPr>
        <w:t>Ídem</w:t>
      </w:r>
    </w:p>
  </w:footnote>
  <w:footnote w:id="10">
    <w:p w14:paraId="7CC25CF5" w14:textId="77777777" w:rsidR="00A0140B" w:rsidRPr="00A0140B" w:rsidRDefault="00A0140B" w:rsidP="00A0140B">
      <w:pPr>
        <w:spacing w:after="0"/>
        <w:rPr>
          <w:rFonts w:ascii="Garamond" w:hAnsi="Garamond"/>
          <w:sz w:val="18"/>
          <w:szCs w:val="18"/>
          <w:lang w:val="es-ES"/>
        </w:rPr>
      </w:pPr>
      <w:r w:rsidRPr="00511A1C">
        <w:rPr>
          <w:rFonts w:ascii="Garamond" w:hAnsi="Garamond"/>
          <w:sz w:val="18"/>
          <w:szCs w:val="18"/>
          <w:vertAlign w:val="superscript"/>
        </w:rPr>
        <w:footnoteRef/>
      </w:r>
      <w:r w:rsidRPr="00A0140B">
        <w:rPr>
          <w:rFonts w:ascii="Garamond" w:eastAsia="Garamond" w:hAnsi="Garamond" w:cs="Garamond"/>
          <w:sz w:val="18"/>
          <w:szCs w:val="18"/>
          <w:lang w:val="es-ES"/>
        </w:rPr>
        <w:t xml:space="preserve"> Acceso a la justicia, La justicia venezolana solo obedece al Gobierno dicen las víctimas a la CPI, 26 de abril de 2023. Disponible en: https://accesoalajusticia.org/justicia-venezolana-solo-obedece-gobierno-dicen-victimas-cpi/</w:t>
      </w:r>
    </w:p>
  </w:footnote>
  <w:footnote w:id="11">
    <w:p w14:paraId="47751BCA" w14:textId="77777777" w:rsidR="00A0140B" w:rsidRPr="00A0140B" w:rsidRDefault="00A0140B" w:rsidP="00A0140B">
      <w:pPr>
        <w:spacing w:after="0"/>
        <w:rPr>
          <w:rFonts w:ascii="Garamond" w:hAnsi="Garamond"/>
          <w:sz w:val="18"/>
          <w:szCs w:val="18"/>
          <w:lang w:val="es-ES"/>
        </w:rPr>
      </w:pPr>
      <w:r w:rsidRPr="00511A1C">
        <w:rPr>
          <w:rFonts w:ascii="Garamond" w:hAnsi="Garamond"/>
          <w:sz w:val="18"/>
          <w:szCs w:val="18"/>
          <w:vertAlign w:val="superscript"/>
        </w:rPr>
        <w:footnoteRef/>
      </w:r>
      <w:r w:rsidRPr="00A0140B">
        <w:rPr>
          <w:rFonts w:ascii="Garamond" w:eastAsia="Garamond" w:hAnsi="Garamond" w:cs="Garamond"/>
          <w:sz w:val="18"/>
          <w:szCs w:val="18"/>
          <w:lang w:val="es-ES"/>
        </w:rPr>
        <w:t xml:space="preserve"> Acceso a la justicia, ¿Por qué el fiscal de la CPI cree que Venezuela no ha demostrado genuina voluntad de investigar los crímenes de lesa humanidad?, 15 de noviembre de 2022. Disponible en: https://accesoalajusticia.org/por-que-fiscalcpi-cree-venezuela-no-ha-demostrado-genuina-voluntad-investigar-crimenes-lesa-humanidad/  </w:t>
      </w:r>
    </w:p>
  </w:footnote>
  <w:footnote w:id="12">
    <w:p w14:paraId="72B7E6BA" w14:textId="02667E80" w:rsidR="00A0140B" w:rsidRPr="00A0140B" w:rsidRDefault="00A0140B" w:rsidP="00A0140B">
      <w:pPr>
        <w:spacing w:after="0"/>
        <w:rPr>
          <w:rFonts w:ascii="Garamond" w:hAnsi="Garamond"/>
          <w:sz w:val="18"/>
          <w:szCs w:val="18"/>
          <w:lang w:val="es-ES"/>
        </w:rPr>
      </w:pPr>
      <w:r w:rsidRPr="00511A1C">
        <w:rPr>
          <w:rFonts w:ascii="Garamond" w:hAnsi="Garamond"/>
          <w:sz w:val="18"/>
          <w:szCs w:val="18"/>
          <w:vertAlign w:val="superscript"/>
        </w:rPr>
        <w:footnoteRef/>
      </w:r>
      <w:r w:rsidRPr="00A0140B">
        <w:rPr>
          <w:rFonts w:ascii="Garamond" w:eastAsia="Garamond" w:hAnsi="Garamond" w:cs="Garamond"/>
          <w:sz w:val="18"/>
          <w:szCs w:val="18"/>
          <w:vertAlign w:val="superscript"/>
          <w:lang w:val="es-ES"/>
        </w:rPr>
        <w:t xml:space="preserve"> </w:t>
      </w:r>
      <w:r w:rsidR="00F22042" w:rsidRPr="00A0140B">
        <w:rPr>
          <w:rFonts w:ascii="Garamond" w:eastAsia="Garamond" w:hAnsi="Garamond" w:cs="Garamond"/>
          <w:sz w:val="18"/>
          <w:szCs w:val="18"/>
          <w:lang w:val="es-ES"/>
        </w:rPr>
        <w:t>Ídem</w:t>
      </w:r>
    </w:p>
  </w:footnote>
  <w:footnote w:id="13">
    <w:p w14:paraId="141B5F51" w14:textId="310FB564" w:rsidR="00A0140B" w:rsidRPr="00A0140B" w:rsidRDefault="00A0140B" w:rsidP="00A0140B">
      <w:pPr>
        <w:spacing w:after="0"/>
        <w:rPr>
          <w:rFonts w:ascii="Garamond" w:hAnsi="Garamond"/>
          <w:sz w:val="18"/>
          <w:szCs w:val="18"/>
          <w:lang w:val="es-ES"/>
        </w:rPr>
      </w:pPr>
      <w:r w:rsidRPr="00511A1C">
        <w:rPr>
          <w:rFonts w:ascii="Garamond" w:hAnsi="Garamond"/>
          <w:sz w:val="18"/>
          <w:szCs w:val="18"/>
          <w:vertAlign w:val="superscript"/>
        </w:rPr>
        <w:footnoteRef/>
      </w:r>
      <w:r w:rsidRPr="00A0140B">
        <w:rPr>
          <w:rFonts w:ascii="Garamond" w:eastAsia="Garamond" w:hAnsi="Garamond" w:cs="Garamond"/>
          <w:sz w:val="18"/>
          <w:szCs w:val="18"/>
          <w:vertAlign w:val="superscript"/>
          <w:lang w:val="es-ES"/>
        </w:rPr>
        <w:t xml:space="preserve"> </w:t>
      </w:r>
      <w:r w:rsidRPr="00A0140B">
        <w:rPr>
          <w:rFonts w:ascii="Garamond" w:eastAsia="Garamond" w:hAnsi="Garamond" w:cs="Garamond"/>
          <w:sz w:val="18"/>
          <w:szCs w:val="18"/>
          <w:lang w:val="es-ES"/>
        </w:rPr>
        <w:t>Ídem</w:t>
      </w:r>
    </w:p>
  </w:footnote>
  <w:footnote w:id="14">
    <w:p w14:paraId="05757E8A" w14:textId="77777777" w:rsidR="00A0140B" w:rsidRPr="00A0140B" w:rsidRDefault="00A0140B" w:rsidP="00A0140B">
      <w:pPr>
        <w:spacing w:after="0" w:line="240" w:lineRule="auto"/>
        <w:rPr>
          <w:rFonts w:ascii="Garamond" w:hAnsi="Garamond"/>
          <w:sz w:val="18"/>
          <w:szCs w:val="18"/>
          <w:lang w:val="es-ES"/>
        </w:rPr>
      </w:pPr>
      <w:r w:rsidRPr="00511A1C">
        <w:rPr>
          <w:rFonts w:ascii="Garamond" w:hAnsi="Garamond"/>
          <w:sz w:val="18"/>
          <w:szCs w:val="18"/>
          <w:vertAlign w:val="superscript"/>
        </w:rPr>
        <w:footnoteRef/>
      </w:r>
      <w:r w:rsidRPr="00A0140B">
        <w:rPr>
          <w:rFonts w:ascii="Garamond" w:hAnsi="Garamond"/>
          <w:sz w:val="18"/>
          <w:szCs w:val="18"/>
          <w:lang w:val="es-ES"/>
        </w:rPr>
        <w:t xml:space="preserve"> </w:t>
      </w:r>
      <w:r w:rsidRPr="00A0140B">
        <w:rPr>
          <w:rFonts w:ascii="Garamond" w:eastAsia="Garamond" w:hAnsi="Garamond" w:cs="Garamond"/>
          <w:sz w:val="18"/>
          <w:szCs w:val="18"/>
          <w:lang w:val="es-ES"/>
        </w:rPr>
        <w:t>Conclusiones detalladas de la Misión internacional independiente de determinación de los hechos sobre la República Bolivariana de Venezuela. 16 de septiembre de 2021, párr. 415.</w:t>
      </w:r>
    </w:p>
  </w:footnote>
  <w:footnote w:id="15">
    <w:p w14:paraId="07841D0C" w14:textId="77777777" w:rsidR="00A0140B" w:rsidRPr="00A0140B" w:rsidRDefault="00A0140B" w:rsidP="00A0140B">
      <w:pPr>
        <w:spacing w:after="0" w:line="240" w:lineRule="auto"/>
        <w:rPr>
          <w:rFonts w:ascii="Garamond" w:eastAsia="Garamond" w:hAnsi="Garamond" w:cs="Garamond"/>
          <w:sz w:val="18"/>
          <w:szCs w:val="18"/>
          <w:lang w:val="es-ES"/>
        </w:rPr>
      </w:pPr>
      <w:r w:rsidRPr="00511A1C">
        <w:rPr>
          <w:rFonts w:ascii="Garamond" w:hAnsi="Garamond"/>
          <w:sz w:val="18"/>
          <w:szCs w:val="18"/>
          <w:vertAlign w:val="superscript"/>
        </w:rPr>
        <w:footnoteRef/>
      </w:r>
      <w:r w:rsidRPr="00A0140B">
        <w:rPr>
          <w:rFonts w:ascii="Garamond" w:eastAsia="Garamond" w:hAnsi="Garamond" w:cs="Garamond"/>
          <w:sz w:val="18"/>
          <w:szCs w:val="18"/>
          <w:lang w:val="es-ES"/>
        </w:rPr>
        <w:t xml:space="preserve"> Ídem, párr. 419, 422 y 423.</w:t>
      </w:r>
      <w:r w:rsidRPr="00A0140B">
        <w:rPr>
          <w:rFonts w:ascii="Garamond" w:hAnsi="Garamond"/>
          <w:sz w:val="18"/>
          <w:szCs w:val="18"/>
          <w:lang w:val="es-ES"/>
        </w:rPr>
        <w:t xml:space="preserve"> </w:t>
      </w:r>
    </w:p>
  </w:footnote>
  <w:footnote w:id="16">
    <w:p w14:paraId="62919204" w14:textId="77777777" w:rsidR="000A7945" w:rsidRPr="007C3FF4" w:rsidRDefault="000A7945" w:rsidP="000A7945">
      <w:pPr>
        <w:pBdr>
          <w:top w:val="nil"/>
          <w:left w:val="nil"/>
          <w:bottom w:val="nil"/>
          <w:right w:val="nil"/>
          <w:between w:val="nil"/>
        </w:pBdr>
        <w:spacing w:after="0" w:line="240" w:lineRule="auto"/>
        <w:jc w:val="both"/>
        <w:rPr>
          <w:rFonts w:ascii="Garamond" w:eastAsia="Garamond" w:hAnsi="Garamond" w:cs="Garamond"/>
          <w:color w:val="000000"/>
          <w:sz w:val="18"/>
          <w:szCs w:val="18"/>
          <w:lang w:val="es-ES"/>
        </w:rPr>
      </w:pPr>
      <w:r w:rsidRPr="00511A1C">
        <w:rPr>
          <w:rFonts w:ascii="Garamond" w:hAnsi="Garamond"/>
          <w:sz w:val="18"/>
          <w:szCs w:val="18"/>
          <w:vertAlign w:val="superscript"/>
        </w:rPr>
        <w:footnoteRef/>
      </w:r>
      <w:r w:rsidRPr="007C3FF4">
        <w:rPr>
          <w:rFonts w:ascii="Garamond" w:eastAsia="Garamond" w:hAnsi="Garamond" w:cs="Garamond"/>
          <w:color w:val="000000"/>
          <w:sz w:val="18"/>
          <w:szCs w:val="18"/>
          <w:lang w:val="es-ES"/>
        </w:rPr>
        <w:t xml:space="preserve"> Acceso a la Justicia, Decretado sobreseimiento de causa penal seguida contra civiles ante un juzgado militar, 9 de diciembre de 2021. Disponible en: https://accesoalajusticia.org/decretado-sobreseimiento-de-causa-penal-seguida-contra-civiles-ante-un-juzgado-militar/</w:t>
      </w:r>
    </w:p>
  </w:footnote>
  <w:footnote w:id="17">
    <w:p w14:paraId="7895F92D" w14:textId="43932192" w:rsidR="00AB5275" w:rsidRPr="00E66D05" w:rsidRDefault="00AB5275" w:rsidP="000A7945">
      <w:pPr>
        <w:pBdr>
          <w:top w:val="nil"/>
          <w:left w:val="nil"/>
          <w:bottom w:val="nil"/>
          <w:right w:val="nil"/>
          <w:between w:val="nil"/>
        </w:pBdr>
        <w:spacing w:after="0" w:line="240" w:lineRule="auto"/>
        <w:jc w:val="both"/>
        <w:rPr>
          <w:rFonts w:ascii="Garamond" w:eastAsia="Garamond" w:hAnsi="Garamond" w:cs="Garamond"/>
          <w:color w:val="0000FF"/>
          <w:sz w:val="18"/>
          <w:szCs w:val="18"/>
          <w:u w:val="single"/>
          <w:lang w:val="es-ES"/>
        </w:rPr>
      </w:pPr>
      <w:r>
        <w:rPr>
          <w:vertAlign w:val="superscript"/>
        </w:rPr>
        <w:footnoteRef/>
      </w:r>
      <w:r w:rsidRPr="007C3FF4">
        <w:rPr>
          <w:rFonts w:ascii="Garamond" w:eastAsia="Garamond" w:hAnsi="Garamond" w:cs="Garamond"/>
          <w:color w:val="000000"/>
          <w:sz w:val="18"/>
          <w:szCs w:val="18"/>
          <w:lang w:val="es-ES"/>
        </w:rPr>
        <w:t xml:space="preserve"> TSJ, Sala Constitucional, Sentencia Nro. 0735 de fecha 9 de diciembre de 2021. Disponible en: </w:t>
      </w:r>
      <w:hyperlink r:id="rId1">
        <w:r w:rsidRPr="007C3FF4">
          <w:rPr>
            <w:rFonts w:ascii="Garamond" w:eastAsia="Garamond" w:hAnsi="Garamond" w:cs="Garamond"/>
            <w:color w:val="0000FF"/>
            <w:sz w:val="18"/>
            <w:szCs w:val="18"/>
            <w:u w:val="single"/>
            <w:lang w:val="es-ES"/>
          </w:rPr>
          <w:t>SC-nro.-0735-09-12-2021.pdf (accesoalajusticia.org)</w:t>
        </w:r>
      </w:hyperlink>
    </w:p>
  </w:footnote>
  <w:footnote w:id="18">
    <w:p w14:paraId="059B9619" w14:textId="77777777" w:rsidR="000A7945" w:rsidRPr="000A7945" w:rsidRDefault="000A7945" w:rsidP="000A7945">
      <w:pPr>
        <w:spacing w:after="0"/>
        <w:rPr>
          <w:rFonts w:ascii="Garamond" w:hAnsi="Garamond"/>
          <w:sz w:val="18"/>
          <w:szCs w:val="18"/>
          <w:lang w:val="es-ES"/>
        </w:rPr>
      </w:pPr>
      <w:r w:rsidRPr="00511A1C">
        <w:rPr>
          <w:rFonts w:ascii="Garamond" w:hAnsi="Garamond"/>
          <w:sz w:val="18"/>
          <w:szCs w:val="18"/>
          <w:vertAlign w:val="superscript"/>
        </w:rPr>
        <w:footnoteRef/>
      </w:r>
      <w:r w:rsidRPr="000A7945">
        <w:rPr>
          <w:rFonts w:ascii="Garamond" w:hAnsi="Garamond"/>
          <w:sz w:val="18"/>
          <w:szCs w:val="18"/>
          <w:vertAlign w:val="superscript"/>
          <w:lang w:val="es-ES"/>
        </w:rPr>
        <w:t xml:space="preserve"> </w:t>
      </w:r>
      <w:r w:rsidRPr="000A7945">
        <w:rPr>
          <w:rFonts w:ascii="Garamond" w:hAnsi="Garamond"/>
          <w:sz w:val="18"/>
          <w:szCs w:val="18"/>
          <w:lang w:val="es-ES"/>
        </w:rPr>
        <w:t>Ídem.</w:t>
      </w:r>
    </w:p>
  </w:footnote>
  <w:footnote w:id="19">
    <w:p w14:paraId="27B67F57" w14:textId="77777777" w:rsidR="00A11A9E" w:rsidRPr="004739DD" w:rsidRDefault="00A11A9E" w:rsidP="00A11A9E">
      <w:pPr>
        <w:pStyle w:val="FootnoteText"/>
        <w:widowControl w:val="0"/>
        <w:rPr>
          <w:rFonts w:ascii="Garamond" w:hAnsi="Garamond"/>
          <w:sz w:val="18"/>
          <w:szCs w:val="18"/>
        </w:rPr>
      </w:pPr>
      <w:r w:rsidRPr="00C85CE2">
        <w:rPr>
          <w:rStyle w:val="FootnoteReference"/>
        </w:rPr>
        <w:footnoteRef/>
      </w:r>
      <w:r w:rsidRPr="00C85CE2">
        <w:t xml:space="preserve"> </w:t>
      </w:r>
      <w:r w:rsidRPr="004739DD">
        <w:rPr>
          <w:rFonts w:ascii="Garamond" w:hAnsi="Garamond"/>
          <w:sz w:val="18"/>
          <w:szCs w:val="18"/>
        </w:rPr>
        <w:t xml:space="preserve">CDH, </w:t>
      </w:r>
      <w:r w:rsidRPr="004739DD">
        <w:rPr>
          <w:rFonts w:ascii="Garamond" w:hAnsi="Garamond"/>
          <w:i/>
          <w:sz w:val="18"/>
          <w:szCs w:val="18"/>
        </w:rPr>
        <w:t>Observación General Nº 32</w:t>
      </w:r>
      <w:r w:rsidRPr="004739DD">
        <w:rPr>
          <w:rFonts w:ascii="Garamond" w:hAnsi="Garamond"/>
          <w:sz w:val="18"/>
          <w:szCs w:val="18"/>
        </w:rPr>
        <w:t>, 23 de agosto de 2007, párr. 19.</w:t>
      </w:r>
    </w:p>
  </w:footnote>
  <w:footnote w:id="20">
    <w:p w14:paraId="037A64B6" w14:textId="77777777" w:rsidR="008C09A0" w:rsidRPr="004739DD" w:rsidRDefault="008C09A0" w:rsidP="008C09A0">
      <w:pPr>
        <w:pStyle w:val="FootnoteText"/>
        <w:rPr>
          <w:rFonts w:ascii="Garamond" w:hAnsi="Garamond"/>
          <w:sz w:val="18"/>
          <w:szCs w:val="18"/>
        </w:rPr>
      </w:pPr>
      <w:r w:rsidRPr="004739DD">
        <w:rPr>
          <w:rStyle w:val="FootnoteReference"/>
          <w:rFonts w:ascii="Garamond" w:hAnsi="Garamond"/>
          <w:sz w:val="18"/>
          <w:szCs w:val="18"/>
        </w:rPr>
        <w:footnoteRef/>
      </w:r>
      <w:r w:rsidRPr="004739DD">
        <w:rPr>
          <w:rFonts w:ascii="Garamond" w:hAnsi="Garamond"/>
          <w:sz w:val="18"/>
          <w:szCs w:val="18"/>
        </w:rPr>
        <w:t xml:space="preserve"> CDH, </w:t>
      </w:r>
      <w:r w:rsidRPr="004739DD">
        <w:rPr>
          <w:rFonts w:ascii="Garamond" w:hAnsi="Garamond"/>
          <w:i/>
          <w:sz w:val="18"/>
          <w:szCs w:val="18"/>
        </w:rPr>
        <w:t>Caso Allan Brewer-Carías c. Venezuela</w:t>
      </w:r>
      <w:r w:rsidRPr="004739DD">
        <w:rPr>
          <w:rFonts w:ascii="Garamond" w:hAnsi="Garamond"/>
          <w:sz w:val="18"/>
          <w:szCs w:val="18"/>
        </w:rPr>
        <w:t xml:space="preserve">, (2021), párr. 9.2; Corte IDH. </w:t>
      </w:r>
      <w:r w:rsidRPr="004739DD">
        <w:rPr>
          <w:rFonts w:ascii="Garamond" w:hAnsi="Garamond"/>
          <w:i/>
          <w:iCs/>
          <w:sz w:val="18"/>
          <w:szCs w:val="18"/>
        </w:rPr>
        <w:t xml:space="preserve">Caso Martínez Esquivia vs. Colombia. </w:t>
      </w:r>
      <w:r w:rsidRPr="004739DD">
        <w:rPr>
          <w:rFonts w:ascii="Garamond" w:hAnsi="Garamond"/>
          <w:sz w:val="18"/>
          <w:szCs w:val="18"/>
        </w:rPr>
        <w:t xml:space="preserve">Excepciones preliminares, Fondo y Reparaciones. Sentencia de 06 de octubre de 2020, párrs. 94, 95 y 97; y </w:t>
      </w:r>
      <w:r w:rsidRPr="004739DD">
        <w:rPr>
          <w:rFonts w:ascii="Garamond" w:hAnsi="Garamond"/>
          <w:i/>
          <w:sz w:val="18"/>
          <w:szCs w:val="18"/>
        </w:rPr>
        <w:t xml:space="preserve">Caso Casa Nina Vs. Perú. </w:t>
      </w:r>
      <w:r w:rsidRPr="004739DD">
        <w:rPr>
          <w:rFonts w:ascii="Garamond" w:hAnsi="Garamond"/>
          <w:sz w:val="18"/>
          <w:szCs w:val="18"/>
        </w:rPr>
        <w:t>Excepciones Preliminares, Fondo, Reparaciones y Costas. Sentencia de 24 de noviembre de 2020, párrs. 78 y 79.</w:t>
      </w:r>
    </w:p>
  </w:footnote>
  <w:footnote w:id="21">
    <w:p w14:paraId="5FA2A139" w14:textId="77777777" w:rsidR="008C09A0" w:rsidRPr="004739DD" w:rsidRDefault="008C09A0" w:rsidP="008C09A0">
      <w:pPr>
        <w:pStyle w:val="FootnoteText"/>
        <w:rPr>
          <w:rFonts w:ascii="Garamond" w:hAnsi="Garamond"/>
          <w:sz w:val="18"/>
          <w:szCs w:val="18"/>
        </w:rPr>
      </w:pPr>
      <w:r w:rsidRPr="004739DD">
        <w:rPr>
          <w:rStyle w:val="FootnoteReference"/>
          <w:rFonts w:ascii="Garamond" w:hAnsi="Garamond"/>
          <w:sz w:val="18"/>
          <w:szCs w:val="18"/>
        </w:rPr>
        <w:footnoteRef/>
      </w:r>
      <w:r w:rsidRPr="004739DD">
        <w:rPr>
          <w:rFonts w:ascii="Garamond" w:hAnsi="Garamond"/>
          <w:sz w:val="18"/>
          <w:szCs w:val="18"/>
        </w:rPr>
        <w:t xml:space="preserve"> CDH, </w:t>
      </w:r>
      <w:r w:rsidRPr="004739DD">
        <w:rPr>
          <w:rFonts w:ascii="Garamond" w:hAnsi="Garamond"/>
          <w:i/>
          <w:sz w:val="18"/>
          <w:szCs w:val="18"/>
        </w:rPr>
        <w:t>Caso Allan Brewer-Carías c. Venezuela</w:t>
      </w:r>
      <w:r w:rsidRPr="004739DD">
        <w:rPr>
          <w:rFonts w:ascii="Garamond" w:hAnsi="Garamond"/>
          <w:sz w:val="18"/>
          <w:szCs w:val="18"/>
        </w:rPr>
        <w:t xml:space="preserve">, (2021), párr. 9.2; Corte IDH. </w:t>
      </w:r>
      <w:r w:rsidRPr="004739DD">
        <w:rPr>
          <w:rFonts w:ascii="Garamond" w:hAnsi="Garamond"/>
          <w:i/>
          <w:iCs/>
          <w:sz w:val="18"/>
          <w:szCs w:val="18"/>
        </w:rPr>
        <w:t xml:space="preserve">Caso Martínez Esquivia vs. Colombia. </w:t>
      </w:r>
      <w:r w:rsidRPr="004739DD">
        <w:rPr>
          <w:rFonts w:ascii="Garamond" w:hAnsi="Garamond"/>
          <w:sz w:val="18"/>
          <w:szCs w:val="18"/>
        </w:rPr>
        <w:t xml:space="preserve">Excepciones preliminares, Fondo y Reparaciones. Sentencia de 06 de octubre de 2020, párrs. 94, 95 y 97; y </w:t>
      </w:r>
      <w:r w:rsidRPr="004739DD">
        <w:rPr>
          <w:rFonts w:ascii="Garamond" w:hAnsi="Garamond"/>
          <w:i/>
          <w:sz w:val="18"/>
          <w:szCs w:val="18"/>
        </w:rPr>
        <w:t xml:space="preserve">Caso Casa Nina Vs. Perú. </w:t>
      </w:r>
      <w:r w:rsidRPr="004739DD">
        <w:rPr>
          <w:rFonts w:ascii="Garamond" w:hAnsi="Garamond"/>
          <w:sz w:val="18"/>
          <w:szCs w:val="18"/>
        </w:rPr>
        <w:t>Excepciones Preliminares, Fondo, Reparaciones y Costas. Sentencia de 24 de noviembre de 2020, párrs. 78 y 79.</w:t>
      </w:r>
    </w:p>
  </w:footnote>
  <w:footnote w:id="22">
    <w:p w14:paraId="335CB5D0" w14:textId="2502F72D" w:rsidR="008C09A0" w:rsidRPr="008C09A0" w:rsidRDefault="008C09A0">
      <w:pPr>
        <w:pStyle w:val="FootnoteText"/>
        <w:rPr>
          <w:lang w:val="es-ES"/>
        </w:rPr>
      </w:pPr>
      <w:r w:rsidRPr="004739DD">
        <w:rPr>
          <w:rStyle w:val="FootnoteReference"/>
          <w:rFonts w:ascii="Garamond" w:hAnsi="Garamond"/>
          <w:sz w:val="18"/>
          <w:szCs w:val="18"/>
        </w:rPr>
        <w:footnoteRef/>
      </w:r>
      <w:r w:rsidRPr="004739DD">
        <w:rPr>
          <w:rFonts w:ascii="Garamond" w:hAnsi="Garamond"/>
          <w:sz w:val="18"/>
          <w:szCs w:val="18"/>
        </w:rPr>
        <w:t xml:space="preserve"> Quinto informe periódico</w:t>
      </w:r>
      <w:r w:rsidR="00601A5A" w:rsidRPr="004739DD">
        <w:rPr>
          <w:rFonts w:ascii="Garamond" w:hAnsi="Garamond"/>
          <w:sz w:val="18"/>
          <w:szCs w:val="18"/>
        </w:rPr>
        <w:t xml:space="preserve">, </w:t>
      </w:r>
      <w:r w:rsidR="00601A5A" w:rsidRPr="004739DD">
        <w:rPr>
          <w:rFonts w:ascii="Garamond" w:hAnsi="Garamond"/>
          <w:i/>
          <w:iCs/>
          <w:sz w:val="18"/>
          <w:szCs w:val="18"/>
        </w:rPr>
        <w:t>supra</w:t>
      </w:r>
      <w:r w:rsidRPr="004739DD">
        <w:rPr>
          <w:rFonts w:ascii="Garamond" w:hAnsi="Garamond"/>
          <w:sz w:val="18"/>
          <w:szCs w:val="18"/>
        </w:rPr>
        <w:t>, párr. 123.</w:t>
      </w:r>
    </w:p>
  </w:footnote>
  <w:footnote w:id="23">
    <w:p w14:paraId="511862E5" w14:textId="17E5A295" w:rsidR="008C09A0" w:rsidRPr="003A212B" w:rsidRDefault="008C09A0">
      <w:pPr>
        <w:pStyle w:val="FootnoteText"/>
        <w:rPr>
          <w:rFonts w:ascii="Garamond" w:hAnsi="Garamond"/>
          <w:sz w:val="18"/>
          <w:szCs w:val="18"/>
          <w:lang w:val="es-ES"/>
        </w:rPr>
      </w:pPr>
      <w:r w:rsidRPr="003A212B">
        <w:rPr>
          <w:rStyle w:val="FootnoteReference"/>
          <w:sz w:val="18"/>
          <w:szCs w:val="18"/>
        </w:rPr>
        <w:footnoteRef/>
      </w:r>
      <w:r w:rsidRPr="003A212B">
        <w:rPr>
          <w:sz w:val="18"/>
          <w:szCs w:val="18"/>
        </w:rPr>
        <w:t xml:space="preserve"> </w:t>
      </w:r>
      <w:r w:rsidRPr="003A212B">
        <w:rPr>
          <w:rFonts w:ascii="Garamond" w:hAnsi="Garamond"/>
          <w:sz w:val="18"/>
          <w:szCs w:val="18"/>
        </w:rPr>
        <w:t>Ibidem, párr. 125.</w:t>
      </w:r>
    </w:p>
  </w:footnote>
  <w:footnote w:id="24">
    <w:p w14:paraId="7B077C5C" w14:textId="77777777" w:rsidR="00D00A9E" w:rsidRPr="00C85CE2" w:rsidRDefault="00D00A9E" w:rsidP="00D00A9E">
      <w:pPr>
        <w:pStyle w:val="FootnoteText"/>
        <w:rPr>
          <w:lang w:val="es-MX"/>
        </w:rPr>
      </w:pPr>
      <w:r w:rsidRPr="003A212B">
        <w:rPr>
          <w:rStyle w:val="FootnoteReference"/>
          <w:rFonts w:ascii="Garamond" w:hAnsi="Garamond"/>
          <w:sz w:val="18"/>
          <w:szCs w:val="18"/>
        </w:rPr>
        <w:footnoteRef/>
      </w:r>
      <w:r w:rsidRPr="003A212B">
        <w:rPr>
          <w:rFonts w:ascii="Garamond" w:hAnsi="Garamond"/>
          <w:sz w:val="18"/>
          <w:szCs w:val="18"/>
        </w:rPr>
        <w:t xml:space="preserve"> CDH, </w:t>
      </w:r>
      <w:r w:rsidRPr="003A212B">
        <w:rPr>
          <w:rFonts w:ascii="Garamond" w:hAnsi="Garamond"/>
          <w:i/>
          <w:sz w:val="18"/>
          <w:szCs w:val="18"/>
        </w:rPr>
        <w:t xml:space="preserve">Caso Allan Brewer-Carías c. Venezuela </w:t>
      </w:r>
      <w:r w:rsidRPr="003A212B">
        <w:rPr>
          <w:rFonts w:ascii="Garamond" w:hAnsi="Garamond"/>
          <w:sz w:val="18"/>
          <w:szCs w:val="18"/>
        </w:rPr>
        <w:t xml:space="preserve">(2021), párr. 9.2 y CDH, Caso </w:t>
      </w:r>
      <w:r w:rsidRPr="003A212B">
        <w:rPr>
          <w:rFonts w:ascii="Garamond" w:hAnsi="Garamond"/>
          <w:i/>
          <w:sz w:val="18"/>
          <w:szCs w:val="18"/>
        </w:rPr>
        <w:t xml:space="preserve">Osío Zamora c. Venezuela, </w:t>
      </w:r>
      <w:r w:rsidRPr="003A212B">
        <w:rPr>
          <w:rFonts w:ascii="Garamond" w:hAnsi="Garamond"/>
          <w:sz w:val="18"/>
          <w:szCs w:val="18"/>
        </w:rPr>
        <w:t>(2017),</w:t>
      </w:r>
      <w:r w:rsidRPr="003A212B">
        <w:rPr>
          <w:rFonts w:ascii="Garamond" w:hAnsi="Garamond"/>
          <w:i/>
          <w:sz w:val="18"/>
          <w:szCs w:val="18"/>
        </w:rPr>
        <w:t xml:space="preserve"> </w:t>
      </w:r>
      <w:r w:rsidRPr="003A212B">
        <w:rPr>
          <w:rFonts w:ascii="Garamond" w:hAnsi="Garamond"/>
          <w:sz w:val="18"/>
          <w:szCs w:val="18"/>
        </w:rPr>
        <w:t>párr. 9.3.</w:t>
      </w:r>
    </w:p>
  </w:footnote>
  <w:footnote w:id="25">
    <w:p w14:paraId="45768EAF" w14:textId="77777777" w:rsidR="00E41165" w:rsidRPr="00560B09" w:rsidRDefault="00E41165" w:rsidP="00E41165">
      <w:pPr>
        <w:spacing w:after="0"/>
        <w:rPr>
          <w:rFonts w:ascii="Garamond" w:eastAsia="Garamond" w:hAnsi="Garamond" w:cs="Garamond"/>
          <w:sz w:val="18"/>
          <w:szCs w:val="18"/>
          <w:lang w:val="es-ES"/>
        </w:rPr>
      </w:pPr>
      <w:r w:rsidRPr="00511A1C">
        <w:rPr>
          <w:rFonts w:ascii="Garamond" w:hAnsi="Garamond"/>
          <w:sz w:val="18"/>
          <w:szCs w:val="18"/>
          <w:vertAlign w:val="superscript"/>
        </w:rPr>
        <w:footnoteRef/>
      </w:r>
      <w:r w:rsidRPr="00560B09">
        <w:rPr>
          <w:rFonts w:ascii="Garamond" w:eastAsia="Garamond" w:hAnsi="Garamond" w:cs="Garamond"/>
          <w:sz w:val="18"/>
          <w:szCs w:val="18"/>
          <w:lang w:val="es-ES"/>
        </w:rPr>
        <w:t xml:space="preserve"> Acceso a la Justicia, El TSJ, sin rendir cuentas detalladas sobre su gestión de 2022 y con promesas etéreas para 2023, 16 de febrero de 2023. Disponible en: ttps://accesoalajusticia.org/tsj-sin-rendir-cuentas-detalladas-sobre-gestion-2022-promesas-etereas-2023/</w:t>
      </w:r>
    </w:p>
  </w:footnote>
  <w:footnote w:id="26">
    <w:p w14:paraId="2A522CAA" w14:textId="77777777" w:rsidR="00560B09" w:rsidRPr="00560B09" w:rsidRDefault="00560B09" w:rsidP="00560B09">
      <w:pPr>
        <w:pBdr>
          <w:top w:val="nil"/>
          <w:left w:val="nil"/>
          <w:bottom w:val="nil"/>
          <w:right w:val="nil"/>
          <w:between w:val="nil"/>
        </w:pBdr>
        <w:spacing w:after="0" w:line="240" w:lineRule="auto"/>
        <w:jc w:val="both"/>
        <w:rPr>
          <w:rFonts w:ascii="Garamond" w:hAnsi="Garamond"/>
          <w:color w:val="000000"/>
          <w:sz w:val="18"/>
          <w:szCs w:val="18"/>
          <w:lang w:val="es-ES"/>
        </w:rPr>
      </w:pPr>
      <w:r w:rsidRPr="00511A1C">
        <w:rPr>
          <w:rFonts w:ascii="Garamond" w:hAnsi="Garamond"/>
          <w:sz w:val="18"/>
          <w:szCs w:val="18"/>
          <w:vertAlign w:val="superscript"/>
        </w:rPr>
        <w:footnoteRef/>
      </w:r>
      <w:r w:rsidRPr="00560B09">
        <w:rPr>
          <w:rFonts w:ascii="Garamond" w:hAnsi="Garamond"/>
          <w:color w:val="000000"/>
          <w:sz w:val="18"/>
          <w:szCs w:val="18"/>
          <w:lang w:val="es-ES"/>
        </w:rPr>
        <w:t xml:space="preserve"> </w:t>
      </w:r>
      <w:r w:rsidRPr="00560B09">
        <w:rPr>
          <w:rFonts w:ascii="Garamond" w:eastAsia="Garamond" w:hAnsi="Garamond" w:cs="Garamond"/>
          <w:color w:val="000000"/>
          <w:sz w:val="18"/>
          <w:szCs w:val="18"/>
          <w:lang w:val="es-ES"/>
        </w:rPr>
        <w:t>ULA Observatorio de Derechos Humanos, EPIKEIA Observatorio Universitario de Derechos Humanos; Corrupción e Impunidad en la justicia penal venezolana con especial referencia a la región andina; agosto 2022.</w:t>
      </w:r>
    </w:p>
  </w:footnote>
  <w:footnote w:id="27">
    <w:p w14:paraId="75D14A3C" w14:textId="2306937B" w:rsidR="00D00A9E" w:rsidRPr="003A212B" w:rsidRDefault="00D00A9E">
      <w:pPr>
        <w:pStyle w:val="FootnoteText"/>
        <w:rPr>
          <w:rFonts w:ascii="Garamond" w:hAnsi="Garamond"/>
          <w:lang w:val="en-US"/>
        </w:rPr>
      </w:pPr>
      <w:r w:rsidRPr="003A212B">
        <w:rPr>
          <w:rStyle w:val="FootnoteReference"/>
          <w:rFonts w:ascii="Garamond" w:hAnsi="Garamond"/>
        </w:rPr>
        <w:footnoteRef/>
      </w:r>
      <w:r w:rsidRPr="003A212B">
        <w:rPr>
          <w:rFonts w:ascii="Garamond" w:hAnsi="Garamond" w:cs="Times New Roman"/>
          <w:szCs w:val="24"/>
          <w:lang w:val="en-US"/>
        </w:rPr>
        <w:t xml:space="preserve">A/HRC/45/CRP.11, A/HRC/48/CRP.5, A/HRC/48/CRP.5, A/HRC/19/12, A/HRC/34/6 y A/HRC/34/6/Add.1. </w:t>
      </w:r>
    </w:p>
  </w:footnote>
  <w:footnote w:id="28">
    <w:p w14:paraId="7F82D03C" w14:textId="77777777" w:rsidR="00D00A9E" w:rsidRPr="004739DD" w:rsidRDefault="00D00A9E" w:rsidP="00D00A9E">
      <w:pPr>
        <w:spacing w:after="0"/>
        <w:jc w:val="both"/>
        <w:rPr>
          <w:rFonts w:ascii="Garamond" w:hAnsi="Garamond"/>
          <w:b/>
          <w:color w:val="232323"/>
          <w:sz w:val="18"/>
          <w:szCs w:val="18"/>
          <w:lang w:val="es-ES"/>
        </w:rPr>
      </w:pPr>
      <w:r w:rsidRPr="00511A1C">
        <w:rPr>
          <w:rFonts w:ascii="Garamond" w:hAnsi="Garamond"/>
          <w:sz w:val="18"/>
          <w:szCs w:val="18"/>
          <w:vertAlign w:val="superscript"/>
        </w:rPr>
        <w:footnoteRef/>
      </w:r>
      <w:r w:rsidRPr="00D25376">
        <w:rPr>
          <w:rFonts w:ascii="Garamond" w:hAnsi="Garamond"/>
          <w:sz w:val="18"/>
          <w:szCs w:val="18"/>
          <w:lang w:val="es-ES"/>
        </w:rPr>
        <w:t xml:space="preserve"> Acceso a la Justicia, El TSJ, sin rendir cuentas detalladas sobre su gestión de 2022 y con promesas etéreas para 2023, 16 de febrero de </w:t>
      </w:r>
      <w:r w:rsidRPr="004739DD">
        <w:rPr>
          <w:rFonts w:ascii="Garamond" w:hAnsi="Garamond"/>
          <w:sz w:val="18"/>
          <w:szCs w:val="18"/>
          <w:lang w:val="es-ES"/>
        </w:rPr>
        <w:t>2023. Disponible en: https://accesoalajusticia.org/tsj-sin-rendir-cuentas-detalladas-sobre-gestion-2022-promesas-etereas-2023/</w:t>
      </w:r>
    </w:p>
  </w:footnote>
  <w:footnote w:id="29">
    <w:p w14:paraId="2EAFF7E4" w14:textId="5CC38BA9" w:rsidR="00160591" w:rsidRPr="004739DD" w:rsidRDefault="00160591">
      <w:pPr>
        <w:pStyle w:val="FootnoteText"/>
        <w:rPr>
          <w:rFonts w:ascii="Garamond" w:hAnsi="Garamond"/>
          <w:sz w:val="18"/>
          <w:szCs w:val="18"/>
        </w:rPr>
      </w:pPr>
      <w:r w:rsidRPr="004739DD">
        <w:rPr>
          <w:rStyle w:val="FootnoteReference"/>
          <w:rFonts w:ascii="Garamond" w:hAnsi="Garamond"/>
          <w:sz w:val="18"/>
          <w:szCs w:val="18"/>
        </w:rPr>
        <w:footnoteRef/>
      </w:r>
      <w:r w:rsidRPr="004739DD">
        <w:rPr>
          <w:rFonts w:ascii="Garamond" w:hAnsi="Garamond"/>
          <w:sz w:val="18"/>
          <w:szCs w:val="18"/>
        </w:rPr>
        <w:t xml:space="preserve"> Quinto Informe Periódico, </w:t>
      </w:r>
      <w:r w:rsidRPr="004739DD">
        <w:rPr>
          <w:rFonts w:ascii="Garamond" w:hAnsi="Garamond"/>
          <w:i/>
          <w:iCs/>
          <w:sz w:val="18"/>
          <w:szCs w:val="18"/>
        </w:rPr>
        <w:t>supra</w:t>
      </w:r>
      <w:r w:rsidRPr="004739DD">
        <w:rPr>
          <w:rFonts w:ascii="Garamond" w:hAnsi="Garamond"/>
          <w:sz w:val="18"/>
          <w:szCs w:val="18"/>
        </w:rPr>
        <w:t>, párr. 135.</w:t>
      </w:r>
    </w:p>
  </w:footnote>
  <w:footnote w:id="30">
    <w:p w14:paraId="7D427F58" w14:textId="77777777" w:rsidR="00160591" w:rsidRPr="004739DD" w:rsidRDefault="00160591" w:rsidP="00160591">
      <w:pPr>
        <w:pBdr>
          <w:top w:val="nil"/>
          <w:left w:val="nil"/>
          <w:bottom w:val="nil"/>
          <w:right w:val="nil"/>
          <w:between w:val="nil"/>
        </w:pBdr>
        <w:spacing w:after="0" w:line="240" w:lineRule="auto"/>
        <w:rPr>
          <w:rFonts w:ascii="Garamond" w:eastAsia="Garamond" w:hAnsi="Garamond" w:cs="Garamond"/>
          <w:color w:val="000000"/>
          <w:sz w:val="18"/>
          <w:szCs w:val="18"/>
          <w:lang w:val="es-ES"/>
        </w:rPr>
      </w:pPr>
      <w:r w:rsidRPr="004739DD">
        <w:rPr>
          <w:rFonts w:ascii="Garamond" w:hAnsi="Garamond"/>
          <w:sz w:val="18"/>
          <w:szCs w:val="18"/>
          <w:vertAlign w:val="superscript"/>
        </w:rPr>
        <w:footnoteRef/>
      </w:r>
      <w:r w:rsidRPr="004739DD">
        <w:rPr>
          <w:rFonts w:ascii="Garamond" w:eastAsia="Garamond" w:hAnsi="Garamond" w:cs="Garamond"/>
          <w:color w:val="000000"/>
          <w:sz w:val="18"/>
          <w:szCs w:val="18"/>
          <w:lang w:val="es-ES"/>
        </w:rPr>
        <w:t xml:space="preserve"> Acceso a la Justicia, La «regularización» de los fiscales provisorios del Ministerio Público no es un concurso público de oposición, 1 de junio de 2022. Disponible en: https://accesoalajusticia.org/regularizacion-fiscales-provisorios-ministerio-publico-no-es-concurso-publico-oposicion/</w:t>
      </w:r>
    </w:p>
  </w:footnote>
  <w:footnote w:id="31">
    <w:p w14:paraId="7B1C5112" w14:textId="77777777" w:rsidR="00160591" w:rsidRPr="002A0216" w:rsidRDefault="00160591" w:rsidP="00160591">
      <w:pPr>
        <w:pBdr>
          <w:top w:val="nil"/>
          <w:left w:val="nil"/>
          <w:bottom w:val="nil"/>
          <w:right w:val="nil"/>
          <w:between w:val="nil"/>
        </w:pBdr>
        <w:spacing w:after="0" w:line="240" w:lineRule="auto"/>
        <w:rPr>
          <w:rFonts w:ascii="Garamond" w:eastAsia="Garamond" w:hAnsi="Garamond" w:cs="Garamond"/>
          <w:color w:val="000000"/>
          <w:sz w:val="18"/>
          <w:szCs w:val="18"/>
          <w:lang w:val="es-ES"/>
        </w:rPr>
      </w:pPr>
      <w:r w:rsidRPr="004739DD">
        <w:rPr>
          <w:rFonts w:ascii="Garamond" w:hAnsi="Garamond"/>
          <w:sz w:val="18"/>
          <w:szCs w:val="18"/>
          <w:vertAlign w:val="superscript"/>
        </w:rPr>
        <w:footnoteRef/>
      </w:r>
      <w:r w:rsidRPr="004739DD">
        <w:rPr>
          <w:rFonts w:ascii="Garamond" w:eastAsia="Garamond" w:hAnsi="Garamond" w:cs="Garamond"/>
          <w:color w:val="000000"/>
          <w:sz w:val="18"/>
          <w:szCs w:val="18"/>
          <w:lang w:val="es-ES"/>
        </w:rPr>
        <w:t xml:space="preserve"> Ídem.</w:t>
      </w:r>
    </w:p>
  </w:footnote>
  <w:footnote w:id="32">
    <w:p w14:paraId="085F145B" w14:textId="77777777" w:rsidR="00160591" w:rsidRPr="002A0216" w:rsidRDefault="00160591" w:rsidP="00160591">
      <w:pPr>
        <w:pBdr>
          <w:top w:val="nil"/>
          <w:left w:val="nil"/>
          <w:bottom w:val="nil"/>
          <w:right w:val="nil"/>
          <w:between w:val="nil"/>
        </w:pBdr>
        <w:spacing w:after="0" w:line="240" w:lineRule="auto"/>
        <w:rPr>
          <w:rFonts w:ascii="Garamond" w:eastAsia="Garamond" w:hAnsi="Garamond" w:cs="Garamond"/>
          <w:color w:val="000000"/>
          <w:sz w:val="18"/>
          <w:szCs w:val="18"/>
          <w:lang w:val="es-ES"/>
        </w:rPr>
      </w:pPr>
      <w:r w:rsidRPr="00511A1C">
        <w:rPr>
          <w:rFonts w:ascii="Garamond" w:hAnsi="Garamond"/>
          <w:sz w:val="18"/>
          <w:szCs w:val="18"/>
          <w:vertAlign w:val="superscript"/>
        </w:rPr>
        <w:footnoteRef/>
      </w:r>
      <w:r w:rsidRPr="002A0216">
        <w:rPr>
          <w:rFonts w:ascii="Garamond" w:eastAsia="Garamond" w:hAnsi="Garamond" w:cs="Garamond"/>
          <w:color w:val="000000"/>
          <w:sz w:val="18"/>
          <w:szCs w:val="18"/>
          <w:lang w:val="es-ES"/>
        </w:rPr>
        <w:t xml:space="preserve"> Ídem.</w:t>
      </w:r>
    </w:p>
  </w:footnote>
  <w:footnote w:id="33">
    <w:p w14:paraId="429CA16E" w14:textId="77777777" w:rsidR="00160591" w:rsidRPr="002A0216" w:rsidRDefault="00160591" w:rsidP="00160591">
      <w:pPr>
        <w:pBdr>
          <w:top w:val="nil"/>
          <w:left w:val="nil"/>
          <w:bottom w:val="nil"/>
          <w:right w:val="nil"/>
          <w:between w:val="nil"/>
        </w:pBdr>
        <w:spacing w:after="0" w:line="240" w:lineRule="auto"/>
        <w:rPr>
          <w:rFonts w:ascii="Garamond" w:hAnsi="Garamond"/>
          <w:color w:val="000000"/>
          <w:sz w:val="18"/>
          <w:szCs w:val="18"/>
          <w:lang w:val="es-ES"/>
        </w:rPr>
      </w:pPr>
      <w:r w:rsidRPr="00511A1C">
        <w:rPr>
          <w:rFonts w:ascii="Garamond" w:hAnsi="Garamond"/>
          <w:sz w:val="18"/>
          <w:szCs w:val="18"/>
          <w:vertAlign w:val="superscript"/>
        </w:rPr>
        <w:footnoteRef/>
      </w:r>
      <w:r w:rsidRPr="002A0216">
        <w:rPr>
          <w:rFonts w:ascii="Garamond" w:eastAsia="Garamond" w:hAnsi="Garamond" w:cs="Garamond"/>
          <w:color w:val="000000"/>
          <w:sz w:val="18"/>
          <w:szCs w:val="18"/>
          <w:lang w:val="es-ES"/>
        </w:rPr>
        <w:t xml:space="preserve"> Ídem.</w:t>
      </w:r>
    </w:p>
  </w:footnote>
  <w:footnote w:id="34">
    <w:p w14:paraId="0DE9BF8C" w14:textId="77777777" w:rsidR="00160591" w:rsidRPr="002A0216" w:rsidRDefault="00160591" w:rsidP="00160591">
      <w:pPr>
        <w:pBdr>
          <w:top w:val="nil"/>
          <w:left w:val="nil"/>
          <w:bottom w:val="nil"/>
          <w:right w:val="nil"/>
          <w:between w:val="nil"/>
        </w:pBdr>
        <w:spacing w:after="0" w:line="240" w:lineRule="auto"/>
        <w:rPr>
          <w:rFonts w:ascii="Garamond" w:eastAsia="Garamond" w:hAnsi="Garamond" w:cs="Garamond"/>
          <w:color w:val="000000"/>
          <w:sz w:val="18"/>
          <w:szCs w:val="18"/>
          <w:lang w:val="es-ES"/>
        </w:rPr>
      </w:pPr>
      <w:r w:rsidRPr="00511A1C">
        <w:rPr>
          <w:rFonts w:ascii="Garamond" w:hAnsi="Garamond"/>
          <w:sz w:val="18"/>
          <w:szCs w:val="18"/>
          <w:vertAlign w:val="superscript"/>
        </w:rPr>
        <w:footnoteRef/>
      </w:r>
      <w:r w:rsidRPr="002A0216">
        <w:rPr>
          <w:rFonts w:ascii="Garamond" w:eastAsia="Garamond" w:hAnsi="Garamond" w:cs="Garamond"/>
          <w:color w:val="000000"/>
          <w:sz w:val="18"/>
          <w:szCs w:val="18"/>
          <w:lang w:val="es-ES"/>
        </w:rPr>
        <w:t xml:space="preserve"> Ídem.</w:t>
      </w:r>
    </w:p>
  </w:footnote>
  <w:footnote w:id="35">
    <w:p w14:paraId="5B661561" w14:textId="77777777" w:rsidR="00160591" w:rsidRPr="002A0216" w:rsidRDefault="00160591" w:rsidP="00160591">
      <w:pPr>
        <w:pBdr>
          <w:top w:val="nil"/>
          <w:left w:val="nil"/>
          <w:bottom w:val="nil"/>
          <w:right w:val="nil"/>
          <w:between w:val="nil"/>
        </w:pBdr>
        <w:spacing w:after="0"/>
        <w:rPr>
          <w:rFonts w:ascii="Garamond" w:eastAsia="Garamond" w:hAnsi="Garamond" w:cs="Garamond"/>
          <w:color w:val="000000"/>
          <w:sz w:val="18"/>
          <w:szCs w:val="18"/>
          <w:lang w:val="es-ES"/>
        </w:rPr>
      </w:pPr>
      <w:r w:rsidRPr="00511A1C">
        <w:rPr>
          <w:rFonts w:ascii="Garamond" w:hAnsi="Garamond"/>
          <w:sz w:val="18"/>
          <w:szCs w:val="18"/>
          <w:vertAlign w:val="superscript"/>
        </w:rPr>
        <w:footnoteRef/>
      </w:r>
      <w:r w:rsidRPr="002A0216">
        <w:rPr>
          <w:rFonts w:ascii="Garamond" w:eastAsia="Garamond" w:hAnsi="Garamond" w:cs="Garamond"/>
          <w:color w:val="000000"/>
          <w:sz w:val="18"/>
          <w:szCs w:val="18"/>
          <w:lang w:val="es-ES"/>
        </w:rPr>
        <w:t xml:space="preserve"> Ídem.</w:t>
      </w:r>
    </w:p>
  </w:footnote>
  <w:footnote w:id="36">
    <w:p w14:paraId="4C9EC78C" w14:textId="77777777" w:rsidR="00826566" w:rsidRPr="00085122" w:rsidRDefault="00826566" w:rsidP="00826566">
      <w:pPr>
        <w:spacing w:after="0"/>
        <w:rPr>
          <w:rFonts w:ascii="Garamond" w:hAnsi="Garamond"/>
          <w:sz w:val="18"/>
          <w:szCs w:val="18"/>
          <w:lang w:val="es-ES"/>
        </w:rPr>
      </w:pPr>
      <w:r w:rsidRPr="00511A1C">
        <w:rPr>
          <w:rFonts w:ascii="Garamond" w:hAnsi="Garamond"/>
          <w:sz w:val="18"/>
          <w:szCs w:val="18"/>
          <w:vertAlign w:val="superscript"/>
        </w:rPr>
        <w:footnoteRef/>
      </w:r>
      <w:r w:rsidRPr="00085122">
        <w:rPr>
          <w:rFonts w:ascii="Garamond" w:eastAsia="Garamond" w:hAnsi="Garamond" w:cs="Garamond"/>
          <w:sz w:val="18"/>
          <w:szCs w:val="18"/>
          <w:vertAlign w:val="superscript"/>
          <w:lang w:val="es-ES"/>
        </w:rPr>
        <w:t xml:space="preserve"> </w:t>
      </w:r>
      <w:r w:rsidRPr="00085122">
        <w:rPr>
          <w:rFonts w:ascii="Garamond" w:eastAsia="Garamond" w:hAnsi="Garamond" w:cs="Garamond"/>
          <w:sz w:val="18"/>
          <w:szCs w:val="18"/>
          <w:lang w:val="es-ES"/>
        </w:rPr>
        <w:t>Acceso a la justicia, ¿Por qué el fiscal de la CPI cree que Venezuela no ha demostrado genuina voluntad de investigar los crímenes de lesa humanidad?, 15 de noviembre de 2022. Disponible en: https://accesoalajusticia.org/por-que-fiscalcpi-cree-venezuela-no-ha-demostrado-genuina-voluntad-investigar-crimenes-lesa-humanidad/</w:t>
      </w:r>
    </w:p>
  </w:footnote>
  <w:footnote w:id="37">
    <w:p w14:paraId="025A25C6" w14:textId="77777777" w:rsidR="00826566" w:rsidRPr="00085122" w:rsidRDefault="00826566" w:rsidP="00826566">
      <w:pPr>
        <w:spacing w:after="0"/>
        <w:rPr>
          <w:rFonts w:ascii="Garamond" w:hAnsi="Garamond"/>
          <w:sz w:val="18"/>
          <w:szCs w:val="18"/>
          <w:lang w:val="es-ES"/>
        </w:rPr>
      </w:pPr>
      <w:r w:rsidRPr="00511A1C">
        <w:rPr>
          <w:rFonts w:ascii="Garamond" w:hAnsi="Garamond"/>
          <w:sz w:val="18"/>
          <w:szCs w:val="18"/>
          <w:vertAlign w:val="superscript"/>
        </w:rPr>
        <w:footnoteRef/>
      </w:r>
      <w:r w:rsidRPr="00085122">
        <w:rPr>
          <w:rFonts w:ascii="Garamond" w:eastAsia="Garamond" w:hAnsi="Garamond" w:cs="Garamond"/>
          <w:sz w:val="18"/>
          <w:szCs w:val="18"/>
          <w:vertAlign w:val="superscript"/>
          <w:lang w:val="es-ES"/>
        </w:rPr>
        <w:t xml:space="preserve"> </w:t>
      </w:r>
      <w:r w:rsidRPr="00085122">
        <w:rPr>
          <w:rFonts w:ascii="Garamond" w:eastAsia="Garamond" w:hAnsi="Garamond" w:cs="Garamond"/>
          <w:sz w:val="18"/>
          <w:szCs w:val="18"/>
          <w:lang w:val="es-ES"/>
        </w:rPr>
        <w:t>Ídem.</w:t>
      </w:r>
    </w:p>
  </w:footnote>
  <w:footnote w:id="38">
    <w:p w14:paraId="29C3771E" w14:textId="081772FA" w:rsidR="00E8149D" w:rsidRPr="004739DD" w:rsidRDefault="00E8149D">
      <w:pPr>
        <w:pStyle w:val="FootnoteText"/>
        <w:rPr>
          <w:rFonts w:ascii="Garamond" w:hAnsi="Garamond"/>
          <w:lang w:val="es-ES"/>
        </w:rPr>
      </w:pPr>
      <w:r w:rsidRPr="004739DD">
        <w:rPr>
          <w:rStyle w:val="FootnoteReference"/>
          <w:rFonts w:ascii="Garamond" w:hAnsi="Garamond"/>
          <w:sz w:val="18"/>
          <w:szCs w:val="18"/>
        </w:rPr>
        <w:footnoteRef/>
      </w:r>
      <w:r w:rsidRPr="004739DD">
        <w:rPr>
          <w:rFonts w:ascii="Garamond" w:hAnsi="Garamond"/>
          <w:sz w:val="18"/>
          <w:szCs w:val="18"/>
        </w:rPr>
        <w:t xml:space="preserve"> CDH, </w:t>
      </w:r>
      <w:r w:rsidRPr="004739DD">
        <w:rPr>
          <w:rFonts w:ascii="Garamond" w:hAnsi="Garamond"/>
          <w:i/>
          <w:sz w:val="18"/>
          <w:szCs w:val="18"/>
        </w:rPr>
        <w:t>Observación General Nº 32</w:t>
      </w:r>
      <w:r w:rsidRPr="004739DD">
        <w:rPr>
          <w:rFonts w:ascii="Garamond" w:hAnsi="Garamond"/>
          <w:sz w:val="18"/>
          <w:szCs w:val="18"/>
        </w:rPr>
        <w:t xml:space="preserve">, </w:t>
      </w:r>
      <w:r w:rsidRPr="004739DD">
        <w:rPr>
          <w:rFonts w:ascii="Garamond" w:hAnsi="Garamond"/>
          <w:i/>
          <w:iCs/>
          <w:sz w:val="18"/>
          <w:szCs w:val="18"/>
        </w:rPr>
        <w:t>supra</w:t>
      </w:r>
      <w:r w:rsidRPr="004739DD">
        <w:rPr>
          <w:rFonts w:ascii="Garamond" w:hAnsi="Garamond"/>
          <w:sz w:val="18"/>
          <w:szCs w:val="18"/>
        </w:rPr>
        <w:t>, párr. 19</w:t>
      </w:r>
    </w:p>
  </w:footnote>
  <w:footnote w:id="39">
    <w:p w14:paraId="373846C9" w14:textId="77777777" w:rsidR="006C08CF" w:rsidRPr="002A0216" w:rsidRDefault="006C08CF" w:rsidP="006C08CF">
      <w:pPr>
        <w:spacing w:after="0"/>
        <w:rPr>
          <w:rFonts w:ascii="Garamond" w:hAnsi="Garamond"/>
          <w:sz w:val="18"/>
          <w:szCs w:val="18"/>
          <w:lang w:val="es-ES"/>
        </w:rPr>
      </w:pPr>
      <w:r w:rsidRPr="00511A1C">
        <w:rPr>
          <w:rFonts w:ascii="Garamond" w:hAnsi="Garamond"/>
          <w:sz w:val="18"/>
          <w:szCs w:val="18"/>
          <w:vertAlign w:val="superscript"/>
        </w:rPr>
        <w:footnoteRef/>
      </w:r>
      <w:r w:rsidRPr="002A0216">
        <w:rPr>
          <w:rFonts w:ascii="Garamond" w:eastAsia="Garamond" w:hAnsi="Garamond" w:cs="Garamond"/>
          <w:sz w:val="18"/>
          <w:szCs w:val="18"/>
          <w:lang w:val="es-ES"/>
        </w:rPr>
        <w:t xml:space="preserve"> Acceso a la Justicia, El «nuevo» TSJ designado por la AN de 2020 no tiene nada de nuevo, 29 de abril de 2022. Disponible en: https://accesoalajusticia.org/nuevo-tsj-designado-an-2020-no-tiene-nada-nuevo/</w:t>
      </w:r>
    </w:p>
  </w:footnote>
  <w:footnote w:id="40">
    <w:p w14:paraId="050064EA" w14:textId="77777777" w:rsidR="006C08CF" w:rsidRPr="002A0216" w:rsidRDefault="006C08CF" w:rsidP="004739DD">
      <w:pPr>
        <w:spacing w:after="0"/>
        <w:rPr>
          <w:rFonts w:ascii="Garamond" w:hAnsi="Garamond"/>
          <w:sz w:val="18"/>
          <w:szCs w:val="18"/>
          <w:lang w:val="es-ES"/>
        </w:rPr>
      </w:pPr>
      <w:r w:rsidRPr="00511A1C">
        <w:rPr>
          <w:rFonts w:ascii="Garamond" w:hAnsi="Garamond"/>
          <w:sz w:val="18"/>
          <w:szCs w:val="18"/>
          <w:vertAlign w:val="superscript"/>
        </w:rPr>
        <w:footnoteRef/>
      </w:r>
      <w:r w:rsidRPr="002A0216">
        <w:rPr>
          <w:rFonts w:ascii="Garamond" w:eastAsia="Garamond" w:hAnsi="Garamond" w:cs="Garamond"/>
          <w:sz w:val="18"/>
          <w:szCs w:val="18"/>
          <w:vertAlign w:val="superscript"/>
          <w:lang w:val="es-ES"/>
        </w:rPr>
        <w:t xml:space="preserve"> </w:t>
      </w:r>
      <w:r w:rsidRPr="002A0216">
        <w:rPr>
          <w:rFonts w:ascii="Garamond" w:eastAsia="Garamond" w:hAnsi="Garamond" w:cs="Garamond"/>
          <w:sz w:val="18"/>
          <w:szCs w:val="18"/>
          <w:lang w:val="es-ES"/>
        </w:rPr>
        <w:t xml:space="preserve">Poderopedia, Caryslia Beatriz Rodríguez. Disponible en: </w:t>
      </w:r>
      <w:r w:rsidRPr="002A0216">
        <w:rPr>
          <w:rFonts w:ascii="Garamond" w:eastAsia="Garamond" w:hAnsi="Garamond" w:cs="Garamond"/>
          <w:color w:val="000000"/>
          <w:sz w:val="18"/>
          <w:szCs w:val="18"/>
          <w:lang w:val="es-ES"/>
        </w:rPr>
        <w:t>https://poderopediave.org/persona/caryslia-beatriz-rodriguez/</w:t>
      </w:r>
    </w:p>
  </w:footnote>
  <w:footnote w:id="41">
    <w:p w14:paraId="7B2C1AF4" w14:textId="77777777" w:rsidR="006C08CF" w:rsidRPr="002A0216" w:rsidRDefault="006C08CF" w:rsidP="004739DD">
      <w:pPr>
        <w:spacing w:after="0"/>
        <w:rPr>
          <w:rFonts w:ascii="Garamond" w:hAnsi="Garamond"/>
          <w:sz w:val="18"/>
          <w:szCs w:val="18"/>
          <w:lang w:val="es-ES"/>
        </w:rPr>
      </w:pPr>
      <w:r w:rsidRPr="00511A1C">
        <w:rPr>
          <w:rFonts w:ascii="Garamond" w:hAnsi="Garamond"/>
          <w:sz w:val="18"/>
          <w:szCs w:val="18"/>
          <w:vertAlign w:val="superscript"/>
        </w:rPr>
        <w:footnoteRef/>
      </w:r>
      <w:r w:rsidRPr="002A0216">
        <w:rPr>
          <w:rFonts w:ascii="Garamond" w:eastAsia="Garamond" w:hAnsi="Garamond" w:cs="Garamond"/>
          <w:sz w:val="18"/>
          <w:szCs w:val="18"/>
          <w:lang w:val="es-ES"/>
        </w:rPr>
        <w:t xml:space="preserve"> Asamblea Nacional, AN autoriza designación de nuevos embajadores, 28 de julio de 2022. Disponible en: https://www.asambleanacional.gob.ve/noticias/an-autoriza-designacion-de-nuevos-embajadores</w:t>
      </w:r>
    </w:p>
  </w:footnote>
  <w:footnote w:id="42">
    <w:p w14:paraId="6BC78EF6" w14:textId="77777777" w:rsidR="00E8149D" w:rsidRPr="002A0216" w:rsidRDefault="00E8149D" w:rsidP="004739DD">
      <w:pPr>
        <w:spacing w:after="0" w:line="240" w:lineRule="auto"/>
        <w:rPr>
          <w:rFonts w:ascii="Garamond" w:eastAsia="Garamond" w:hAnsi="Garamond" w:cs="Garamond"/>
          <w:sz w:val="18"/>
          <w:szCs w:val="18"/>
          <w:lang w:val="es-ES"/>
        </w:rPr>
      </w:pPr>
      <w:r w:rsidRPr="00511A1C">
        <w:rPr>
          <w:rFonts w:ascii="Garamond" w:hAnsi="Garamond"/>
          <w:sz w:val="18"/>
          <w:szCs w:val="18"/>
          <w:vertAlign w:val="superscript"/>
        </w:rPr>
        <w:footnoteRef/>
      </w:r>
      <w:r w:rsidRPr="00511A1C">
        <w:rPr>
          <w:rFonts w:ascii="Garamond" w:eastAsia="Garamond" w:hAnsi="Garamond" w:cs="Garamond"/>
          <w:sz w:val="18"/>
          <w:szCs w:val="18"/>
        </w:rPr>
        <w:t xml:space="preserve"> Transparency International, Corruption Perceptions Index. </w:t>
      </w:r>
      <w:r w:rsidRPr="002A0216">
        <w:rPr>
          <w:rFonts w:ascii="Garamond" w:eastAsia="Garamond" w:hAnsi="Garamond" w:cs="Garamond"/>
          <w:sz w:val="18"/>
          <w:szCs w:val="18"/>
          <w:lang w:val="es-ES"/>
        </w:rPr>
        <w:t>Disponible en: https://www.transparency.org/en/cpi/2022/index/ven</w:t>
      </w:r>
    </w:p>
  </w:footnote>
  <w:footnote w:id="43">
    <w:p w14:paraId="61C45226" w14:textId="77777777" w:rsidR="00E8149D" w:rsidRPr="002A0216" w:rsidRDefault="00E8149D" w:rsidP="00E8149D">
      <w:pPr>
        <w:spacing w:after="0"/>
        <w:jc w:val="both"/>
        <w:rPr>
          <w:rFonts w:ascii="Garamond" w:eastAsia="Garamond" w:hAnsi="Garamond" w:cs="Garamond"/>
          <w:sz w:val="18"/>
          <w:szCs w:val="18"/>
          <w:lang w:val="es-ES"/>
        </w:rPr>
      </w:pPr>
      <w:r w:rsidRPr="00511A1C">
        <w:rPr>
          <w:rFonts w:ascii="Garamond" w:hAnsi="Garamond"/>
          <w:sz w:val="18"/>
          <w:szCs w:val="18"/>
          <w:vertAlign w:val="superscript"/>
        </w:rPr>
        <w:footnoteRef/>
      </w:r>
      <w:r w:rsidRPr="002A0216">
        <w:rPr>
          <w:rFonts w:ascii="Garamond" w:eastAsia="Garamond" w:hAnsi="Garamond" w:cs="Garamond"/>
          <w:sz w:val="18"/>
          <w:szCs w:val="18"/>
          <w:lang w:val="es-ES"/>
        </w:rPr>
        <w:t xml:space="preserve"> Transparencia Venezuela, Gran Corrupción Venezolana, Derechos Humanos e Impunidad, abril 2023, pág. 32. Disponible  en:  </w:t>
      </w:r>
      <w:hyperlink r:id="rId2">
        <w:r w:rsidRPr="002A0216">
          <w:rPr>
            <w:rFonts w:ascii="Garamond" w:eastAsia="Garamond" w:hAnsi="Garamond" w:cs="Garamond"/>
            <w:color w:val="1155CC"/>
            <w:sz w:val="18"/>
            <w:szCs w:val="18"/>
            <w:u w:val="single"/>
            <w:lang w:val="es-ES"/>
          </w:rPr>
          <w:t>https://transparenciave.org/wp-content/uploads/2023/04/Gran-Corrupcion-venezolana-Derechos-Humanos-e-impunidad.pdf</w:t>
        </w:r>
      </w:hyperlink>
    </w:p>
  </w:footnote>
  <w:footnote w:id="44">
    <w:p w14:paraId="43907377" w14:textId="77777777" w:rsidR="00E8149D" w:rsidRPr="002A0216" w:rsidRDefault="00E8149D" w:rsidP="00E8149D">
      <w:pPr>
        <w:spacing w:after="0" w:line="240" w:lineRule="auto"/>
        <w:jc w:val="both"/>
        <w:rPr>
          <w:rFonts w:ascii="Garamond" w:eastAsia="Garamond" w:hAnsi="Garamond" w:cs="Garamond"/>
          <w:sz w:val="18"/>
          <w:szCs w:val="18"/>
          <w:lang w:val="es-ES"/>
        </w:rPr>
      </w:pPr>
      <w:r w:rsidRPr="00511A1C">
        <w:rPr>
          <w:rFonts w:ascii="Garamond" w:hAnsi="Garamond"/>
          <w:sz w:val="18"/>
          <w:szCs w:val="18"/>
          <w:vertAlign w:val="superscript"/>
        </w:rPr>
        <w:footnoteRef/>
      </w:r>
      <w:r w:rsidRPr="002A0216">
        <w:rPr>
          <w:rFonts w:ascii="Garamond" w:eastAsia="Garamond" w:hAnsi="Garamond" w:cs="Garamond"/>
          <w:sz w:val="18"/>
          <w:szCs w:val="18"/>
          <w:lang w:val="es-ES"/>
        </w:rPr>
        <w:t xml:space="preserve"> Países con investigaciones de corrupción proveniente de Venezuela: EE UU, Argentina, España, Colombia, Ecuador, Brasil, Italia, Portugal, Panamá, República Dominicana, Suiza, Andorra, Liechtenstein, México, Uruguay, Aruba, Bolivia, Bulgaria, Chile, El Salvador, Guatemala, Haití, Nueva Zelanda y Perú. Además, hay un proceso en Curazao, ver: Ídem.</w:t>
      </w:r>
    </w:p>
  </w:footnote>
  <w:footnote w:id="45">
    <w:p w14:paraId="17AA7925" w14:textId="77777777" w:rsidR="00E8149D" w:rsidRPr="00511A1C" w:rsidRDefault="00E8149D" w:rsidP="00E8149D">
      <w:pPr>
        <w:spacing w:after="0" w:line="240" w:lineRule="auto"/>
        <w:jc w:val="both"/>
        <w:rPr>
          <w:rFonts w:ascii="Garamond" w:hAnsi="Garamond"/>
          <w:sz w:val="18"/>
          <w:szCs w:val="18"/>
        </w:rPr>
      </w:pPr>
      <w:r w:rsidRPr="00511A1C">
        <w:rPr>
          <w:rFonts w:ascii="Garamond" w:hAnsi="Garamond"/>
          <w:sz w:val="18"/>
          <w:szCs w:val="18"/>
          <w:vertAlign w:val="superscript"/>
        </w:rPr>
        <w:footnoteRef/>
      </w:r>
      <w:r w:rsidRPr="002A0216">
        <w:rPr>
          <w:rFonts w:ascii="Garamond" w:hAnsi="Garamond"/>
          <w:sz w:val="18"/>
          <w:szCs w:val="18"/>
          <w:lang w:val="es-ES"/>
        </w:rPr>
        <w:t xml:space="preserve"> Transparencia Venezuela. (2021). “Corrupción en pandemia: la tragedia de Venezuela más allá del Covid-19”. </w:t>
      </w:r>
      <w:hyperlink r:id="rId3">
        <w:r w:rsidRPr="00511A1C">
          <w:rPr>
            <w:rFonts w:ascii="Garamond" w:hAnsi="Garamond"/>
            <w:color w:val="1155CC"/>
            <w:sz w:val="18"/>
            <w:szCs w:val="18"/>
            <w:u w:val="single"/>
          </w:rPr>
          <w:t>https://transparencia.org.ve/saludcritica/2021/05/15/corrupcion-en-pandemia-la-tragedia-de-venezuela-mas-alla-del-covid-19/</w:t>
        </w:r>
      </w:hyperlink>
      <w:r w:rsidRPr="00511A1C">
        <w:rPr>
          <w:rFonts w:ascii="Garamond" w:hAnsi="Garamond"/>
          <w:sz w:val="18"/>
          <w:szCs w:val="18"/>
        </w:rPr>
        <w:t xml:space="preserve"> </w:t>
      </w:r>
    </w:p>
  </w:footnote>
  <w:footnote w:id="46">
    <w:p w14:paraId="01F63CEA" w14:textId="77777777" w:rsidR="00E8149D" w:rsidRPr="002A0216" w:rsidRDefault="00E8149D" w:rsidP="00E8149D">
      <w:pPr>
        <w:spacing w:after="0" w:line="240" w:lineRule="auto"/>
        <w:jc w:val="both"/>
        <w:rPr>
          <w:rFonts w:ascii="Garamond" w:hAnsi="Garamond"/>
          <w:sz w:val="18"/>
          <w:szCs w:val="18"/>
          <w:lang w:val="es-ES"/>
        </w:rPr>
      </w:pPr>
      <w:r w:rsidRPr="00511A1C">
        <w:rPr>
          <w:rFonts w:ascii="Garamond" w:hAnsi="Garamond"/>
          <w:sz w:val="18"/>
          <w:szCs w:val="18"/>
          <w:vertAlign w:val="superscript"/>
        </w:rPr>
        <w:footnoteRef/>
      </w:r>
      <w:r w:rsidRPr="002A0216">
        <w:rPr>
          <w:rFonts w:ascii="Garamond" w:hAnsi="Garamond"/>
          <w:sz w:val="18"/>
          <w:szCs w:val="18"/>
          <w:lang w:val="es-ES"/>
        </w:rPr>
        <w:t xml:space="preserve"> </w:t>
      </w:r>
      <w:r w:rsidRPr="002A0216">
        <w:rPr>
          <w:rFonts w:ascii="Garamond" w:eastAsia="Garamond" w:hAnsi="Garamond" w:cs="Garamond"/>
          <w:sz w:val="18"/>
          <w:szCs w:val="18"/>
          <w:lang w:val="es-ES"/>
        </w:rPr>
        <w:t xml:space="preserve"> Transparencia Venezuela, Gran Corrupción Venezolana, Derechos Humanos e Impunidad, abril 2023, pág. 32. Disponible  en:  </w:t>
      </w:r>
      <w:hyperlink r:id="rId4">
        <w:r w:rsidRPr="002A0216">
          <w:rPr>
            <w:rFonts w:ascii="Garamond" w:eastAsia="Garamond" w:hAnsi="Garamond" w:cs="Garamond"/>
            <w:color w:val="1155CC"/>
            <w:sz w:val="18"/>
            <w:szCs w:val="18"/>
            <w:u w:val="single"/>
            <w:lang w:val="es-ES"/>
          </w:rPr>
          <w:t>https://transparenciave.org/wp-content/uploads/2023/04/Gran-Corrupcion-venezolana-Derechos-Humanos-e-impunidad.pdf</w:t>
        </w:r>
      </w:hyperlink>
    </w:p>
  </w:footnote>
  <w:footnote w:id="47">
    <w:p w14:paraId="5E8B8086" w14:textId="77777777" w:rsidR="00E8149D" w:rsidRPr="002A0216" w:rsidRDefault="00E8149D" w:rsidP="00E8149D">
      <w:pPr>
        <w:spacing w:after="0" w:line="240" w:lineRule="auto"/>
        <w:rPr>
          <w:rFonts w:ascii="Garamond" w:hAnsi="Garamond"/>
          <w:sz w:val="18"/>
          <w:szCs w:val="18"/>
          <w:lang w:val="es-ES"/>
        </w:rPr>
      </w:pPr>
      <w:r w:rsidRPr="00511A1C">
        <w:rPr>
          <w:rFonts w:ascii="Garamond" w:hAnsi="Garamond"/>
          <w:sz w:val="18"/>
          <w:szCs w:val="18"/>
          <w:vertAlign w:val="superscript"/>
        </w:rPr>
        <w:footnoteRef/>
      </w:r>
      <w:r w:rsidRPr="002A0216">
        <w:rPr>
          <w:rFonts w:ascii="Garamond" w:hAnsi="Garamond"/>
          <w:sz w:val="18"/>
          <w:szCs w:val="18"/>
          <w:lang w:val="es-ES"/>
        </w:rPr>
        <w:t xml:space="preserve"> Ídem, págs. 24-26.</w:t>
      </w:r>
    </w:p>
  </w:footnote>
  <w:footnote w:id="48">
    <w:p w14:paraId="28CE7245" w14:textId="77777777" w:rsidR="00E8149D" w:rsidRPr="002A0216" w:rsidRDefault="00E8149D" w:rsidP="00E8149D">
      <w:pPr>
        <w:spacing w:after="0" w:line="240" w:lineRule="auto"/>
        <w:rPr>
          <w:rFonts w:ascii="Garamond" w:hAnsi="Garamond"/>
          <w:sz w:val="18"/>
          <w:szCs w:val="18"/>
          <w:lang w:val="es-ES"/>
        </w:rPr>
      </w:pPr>
      <w:r w:rsidRPr="00511A1C">
        <w:rPr>
          <w:rFonts w:ascii="Garamond" w:hAnsi="Garamond"/>
          <w:sz w:val="18"/>
          <w:szCs w:val="18"/>
          <w:vertAlign w:val="superscript"/>
        </w:rPr>
        <w:footnoteRef/>
      </w:r>
      <w:r w:rsidRPr="002A0216">
        <w:rPr>
          <w:rFonts w:ascii="Garamond" w:hAnsi="Garamond"/>
          <w:sz w:val="18"/>
          <w:szCs w:val="18"/>
          <w:lang w:val="es-ES"/>
        </w:rPr>
        <w:t xml:space="preserve"> Ídem, pág. 33.</w:t>
      </w:r>
    </w:p>
  </w:footnote>
  <w:footnote w:id="49">
    <w:p w14:paraId="3B7189E0" w14:textId="77777777" w:rsidR="00E82DFE" w:rsidRPr="00E82DFE" w:rsidRDefault="00E82DFE" w:rsidP="00E82DFE">
      <w:pPr>
        <w:spacing w:after="0"/>
        <w:jc w:val="both"/>
        <w:rPr>
          <w:rFonts w:ascii="Garamond" w:hAnsi="Garamond"/>
          <w:sz w:val="18"/>
          <w:szCs w:val="18"/>
          <w:lang w:val="es-ES"/>
        </w:rPr>
      </w:pPr>
      <w:r w:rsidRPr="00511A1C">
        <w:rPr>
          <w:rFonts w:ascii="Garamond" w:hAnsi="Garamond"/>
          <w:sz w:val="18"/>
          <w:szCs w:val="18"/>
          <w:vertAlign w:val="superscript"/>
        </w:rPr>
        <w:footnoteRef/>
      </w:r>
      <w:r w:rsidRPr="00E82DFE">
        <w:rPr>
          <w:rFonts w:ascii="Garamond" w:eastAsia="Garamond" w:hAnsi="Garamond" w:cs="Garamond"/>
          <w:sz w:val="18"/>
          <w:szCs w:val="18"/>
          <w:vertAlign w:val="superscript"/>
          <w:lang w:val="es-ES"/>
        </w:rPr>
        <w:t xml:space="preserve"> </w:t>
      </w:r>
      <w:r w:rsidRPr="00E82DFE">
        <w:rPr>
          <w:rFonts w:ascii="Garamond" w:eastAsia="Garamond" w:hAnsi="Garamond" w:cs="Garamond"/>
          <w:sz w:val="18"/>
          <w:szCs w:val="18"/>
          <w:lang w:val="es-ES"/>
        </w:rPr>
        <w:t>CODHEZ, Tribunal zuliano obstaculiza la defensa legal de una víctima de tortura sexual, 5 de diciembre de 2018. Disponible en: https://codhez.org/tribunal-zuliano-obstaculiza-la-defensa-legal-de-una-victima-de-tortura-sexual/</w:t>
      </w:r>
    </w:p>
  </w:footnote>
  <w:footnote w:id="50">
    <w:p w14:paraId="0DC31D7C" w14:textId="4027D1B2" w:rsidR="00E82DFE" w:rsidRPr="00E82DFE" w:rsidRDefault="00E82DFE" w:rsidP="00E82DFE">
      <w:pPr>
        <w:spacing w:after="0"/>
        <w:jc w:val="both"/>
        <w:rPr>
          <w:rFonts w:ascii="Garamond" w:hAnsi="Garamond"/>
          <w:sz w:val="18"/>
          <w:szCs w:val="18"/>
          <w:lang w:val="es-ES"/>
        </w:rPr>
      </w:pPr>
      <w:r w:rsidRPr="00511A1C">
        <w:rPr>
          <w:rFonts w:ascii="Garamond" w:hAnsi="Garamond"/>
          <w:sz w:val="18"/>
          <w:szCs w:val="18"/>
          <w:vertAlign w:val="superscript"/>
        </w:rPr>
        <w:footnoteRef/>
      </w:r>
      <w:r w:rsidRPr="00E82DFE">
        <w:rPr>
          <w:rFonts w:ascii="Garamond" w:eastAsia="Garamond" w:hAnsi="Garamond" w:cs="Garamond"/>
          <w:sz w:val="18"/>
          <w:szCs w:val="18"/>
          <w:lang w:val="es-ES"/>
        </w:rPr>
        <w:t xml:space="preserve"> «Las medidas focalizadas adoptadas por los países para proteger a las organizaciones sin fines de lucro frente al abuso para el financiamiento del terrorismo no deben interrumpir o desalentar las actividades caritativas legítimas. Más bien estas medidas deben promover la transparencia y fomentar una mayor confianza entre las organizaciones sin fines de lucro, tanto en toda la comunidad como entre el público en general, en cuanto a que los fondos y servicios de beneficencia lleguen a los beneficiarios legítimos que se pretende» </w:t>
      </w:r>
    </w:p>
  </w:footnote>
  <w:footnote w:id="51">
    <w:p w14:paraId="114EDFFD" w14:textId="7AB86580" w:rsidR="00E82DFE" w:rsidRPr="00511A1C" w:rsidRDefault="00E82DFE" w:rsidP="00E82DFE">
      <w:pPr>
        <w:pBdr>
          <w:top w:val="nil"/>
          <w:left w:val="nil"/>
          <w:bottom w:val="nil"/>
          <w:right w:val="nil"/>
          <w:between w:val="nil"/>
        </w:pBdr>
        <w:spacing w:after="0" w:line="240" w:lineRule="auto"/>
        <w:jc w:val="both"/>
        <w:rPr>
          <w:rFonts w:ascii="Garamond" w:eastAsia="Garamond" w:hAnsi="Garamond" w:cs="Garamond"/>
          <w:color w:val="000000"/>
          <w:sz w:val="18"/>
          <w:szCs w:val="18"/>
        </w:rPr>
      </w:pPr>
      <w:r w:rsidRPr="00511A1C">
        <w:rPr>
          <w:rFonts w:ascii="Garamond" w:hAnsi="Garamond"/>
          <w:sz w:val="18"/>
          <w:szCs w:val="18"/>
          <w:vertAlign w:val="superscript"/>
        </w:rPr>
        <w:footnoteRef/>
      </w:r>
      <w:r w:rsidRPr="00511A1C">
        <w:rPr>
          <w:rFonts w:ascii="Garamond" w:eastAsia="Garamond" w:hAnsi="Garamond" w:cs="Garamond"/>
          <w:color w:val="000000"/>
          <w:sz w:val="18"/>
          <w:szCs w:val="18"/>
        </w:rPr>
        <w:t xml:space="preserve"> GAFIC, Anti-Money Laundering and Counter-Terrorist Financing Measures, Bolivarian Republic of Venezuela, March 2023, p. 158.</w:t>
      </w:r>
    </w:p>
  </w:footnote>
  <w:footnote w:id="52">
    <w:p w14:paraId="6E48405F" w14:textId="77777777" w:rsidR="00601A5A" w:rsidRPr="004D57CD" w:rsidRDefault="00601A5A" w:rsidP="00601A5A">
      <w:pPr>
        <w:spacing w:after="0"/>
        <w:rPr>
          <w:rFonts w:ascii="Garamond" w:hAnsi="Garamond"/>
          <w:sz w:val="18"/>
          <w:szCs w:val="18"/>
          <w:lang w:val="es-ES"/>
        </w:rPr>
      </w:pPr>
      <w:r w:rsidRPr="00511A1C">
        <w:rPr>
          <w:rFonts w:ascii="Garamond" w:hAnsi="Garamond"/>
          <w:sz w:val="18"/>
          <w:szCs w:val="18"/>
          <w:vertAlign w:val="superscript"/>
        </w:rPr>
        <w:footnoteRef/>
      </w:r>
      <w:r w:rsidRPr="004D57CD">
        <w:rPr>
          <w:rFonts w:ascii="Garamond" w:eastAsia="Garamond" w:hAnsi="Garamond" w:cs="Garamond"/>
          <w:sz w:val="18"/>
          <w:szCs w:val="18"/>
          <w:lang w:val="es-ES"/>
        </w:rPr>
        <w:t xml:space="preserve"> Acceso a la justicia, ¿Por qué el fiscal de la CPI cree que Venezuela no ha demostrado genuina voluntad de investigar los crímenes de lesa humanidad?, 15 de noviembre de 2022. Disponible en: https://accesoalajusticia.org/por-que-fiscalcpi-cree-venezuela-no-ha-demostrado-genuina-voluntad-investigar-crimenes-lesa-humanidad/</w:t>
      </w:r>
    </w:p>
  </w:footnote>
  <w:footnote w:id="53">
    <w:p w14:paraId="64DA6ABB" w14:textId="77777777" w:rsidR="00601A5A" w:rsidRPr="004D57CD" w:rsidRDefault="00601A5A" w:rsidP="00601A5A">
      <w:pPr>
        <w:pBdr>
          <w:top w:val="nil"/>
          <w:left w:val="nil"/>
          <w:bottom w:val="nil"/>
          <w:right w:val="nil"/>
          <w:between w:val="nil"/>
        </w:pBdr>
        <w:spacing w:after="0" w:line="240" w:lineRule="auto"/>
        <w:rPr>
          <w:rFonts w:ascii="Garamond" w:hAnsi="Garamond"/>
          <w:color w:val="000000"/>
          <w:sz w:val="18"/>
          <w:szCs w:val="18"/>
          <w:lang w:val="es-ES"/>
        </w:rPr>
      </w:pPr>
      <w:r w:rsidRPr="00511A1C">
        <w:rPr>
          <w:rFonts w:ascii="Garamond" w:hAnsi="Garamond"/>
          <w:sz w:val="18"/>
          <w:szCs w:val="18"/>
          <w:vertAlign w:val="superscript"/>
        </w:rPr>
        <w:footnoteRef/>
      </w:r>
      <w:r w:rsidRPr="004D57CD">
        <w:rPr>
          <w:rFonts w:ascii="Garamond" w:hAnsi="Garamond"/>
          <w:color w:val="000000"/>
          <w:sz w:val="18"/>
          <w:szCs w:val="18"/>
          <w:lang w:val="es-ES"/>
        </w:rPr>
        <w:t xml:space="preserve"> </w:t>
      </w:r>
      <w:r w:rsidRPr="004D57CD">
        <w:rPr>
          <w:rFonts w:ascii="Garamond" w:eastAsia="Garamond" w:hAnsi="Garamond" w:cs="Garamond"/>
          <w:color w:val="000000"/>
          <w:sz w:val="18"/>
          <w:szCs w:val="18"/>
          <w:lang w:val="es-ES"/>
        </w:rPr>
        <w:t>JEP, Balance de presos políticos en Venezuela | Cuando la disidencia se convierte en delito, 2014 - abril 2023, pág. 13. Disponible en: https://www.jepvenezuela.com/2023/05/14/jepvzla-publica-informe-sobre-el-balance-de-presos-politicos-en-venezuela/</w:t>
      </w:r>
    </w:p>
  </w:footnote>
  <w:footnote w:id="54">
    <w:p w14:paraId="2A3D6944" w14:textId="77777777" w:rsidR="00601A5A" w:rsidRPr="004D57CD" w:rsidRDefault="00601A5A" w:rsidP="00601A5A">
      <w:pPr>
        <w:spacing w:after="0"/>
        <w:rPr>
          <w:rFonts w:ascii="Garamond" w:hAnsi="Garamond"/>
          <w:sz w:val="18"/>
          <w:szCs w:val="18"/>
          <w:lang w:val="es-ES"/>
        </w:rPr>
      </w:pPr>
      <w:r w:rsidRPr="00511A1C">
        <w:rPr>
          <w:rFonts w:ascii="Garamond" w:hAnsi="Garamond"/>
          <w:sz w:val="18"/>
          <w:szCs w:val="18"/>
          <w:vertAlign w:val="superscript"/>
        </w:rPr>
        <w:footnoteRef/>
      </w:r>
      <w:r w:rsidRPr="004D57CD">
        <w:rPr>
          <w:rFonts w:ascii="Garamond" w:eastAsia="Garamond" w:hAnsi="Garamond" w:cs="Garamond"/>
          <w:sz w:val="18"/>
          <w:szCs w:val="18"/>
          <w:vertAlign w:val="superscript"/>
          <w:lang w:val="es-ES"/>
        </w:rPr>
        <w:t xml:space="preserve"> </w:t>
      </w:r>
      <w:r w:rsidRPr="004D57CD">
        <w:rPr>
          <w:rFonts w:ascii="Garamond" w:eastAsia="Garamond" w:hAnsi="Garamond" w:cs="Garamond"/>
          <w:sz w:val="18"/>
          <w:szCs w:val="18"/>
          <w:lang w:val="es-ES"/>
        </w:rPr>
        <w:t xml:space="preserve">Ídem. </w:t>
      </w:r>
    </w:p>
  </w:footnote>
  <w:footnote w:id="55">
    <w:p w14:paraId="10FC2DAC" w14:textId="77777777" w:rsidR="00601A5A" w:rsidRPr="004D57CD" w:rsidRDefault="00601A5A" w:rsidP="00601A5A">
      <w:pPr>
        <w:pBdr>
          <w:top w:val="nil"/>
          <w:left w:val="nil"/>
          <w:bottom w:val="nil"/>
          <w:right w:val="nil"/>
          <w:between w:val="nil"/>
        </w:pBdr>
        <w:spacing w:after="0" w:line="240" w:lineRule="auto"/>
        <w:jc w:val="both"/>
        <w:rPr>
          <w:rFonts w:ascii="Garamond" w:eastAsia="Garamond" w:hAnsi="Garamond" w:cs="Garamond"/>
          <w:color w:val="000000"/>
          <w:sz w:val="18"/>
          <w:szCs w:val="18"/>
          <w:lang w:val="es-ES"/>
        </w:rPr>
      </w:pPr>
      <w:r w:rsidRPr="00511A1C">
        <w:rPr>
          <w:rFonts w:ascii="Garamond" w:hAnsi="Garamond"/>
          <w:sz w:val="18"/>
          <w:szCs w:val="18"/>
          <w:vertAlign w:val="superscript"/>
        </w:rPr>
        <w:footnoteRef/>
      </w:r>
      <w:r w:rsidRPr="004D57CD">
        <w:rPr>
          <w:rFonts w:ascii="Garamond" w:eastAsia="Garamond" w:hAnsi="Garamond" w:cs="Garamond"/>
          <w:color w:val="000000"/>
          <w:sz w:val="18"/>
          <w:szCs w:val="18"/>
          <w:lang w:val="es-ES"/>
        </w:rPr>
        <w:t xml:space="preserve"> Justicia y Verdad Venezuela, Actualización de la Alta Comisionada sobre Venezuela, 17 de marzo de 2022. Disponible en: https://www.justiciayverdad.org/es/actualizacion-de-la-alta-comisionada-sobre-venezuela/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4101"/>
    <w:multiLevelType w:val="hybridMultilevel"/>
    <w:tmpl w:val="33CEEC06"/>
    <w:lvl w:ilvl="0" w:tplc="D89423D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EC2145"/>
    <w:multiLevelType w:val="hybridMultilevel"/>
    <w:tmpl w:val="7772C092"/>
    <w:lvl w:ilvl="0" w:tplc="D2C200A8">
      <w:start w:val="2"/>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7B3846"/>
    <w:multiLevelType w:val="hybridMultilevel"/>
    <w:tmpl w:val="0CEC1AFE"/>
    <w:lvl w:ilvl="0" w:tplc="D82225C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77207F"/>
    <w:multiLevelType w:val="hybridMultilevel"/>
    <w:tmpl w:val="A59E1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1E2100"/>
    <w:multiLevelType w:val="hybridMultilevel"/>
    <w:tmpl w:val="58C2647E"/>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A35D8B"/>
    <w:multiLevelType w:val="hybridMultilevel"/>
    <w:tmpl w:val="43DEEF84"/>
    <w:lvl w:ilvl="0" w:tplc="F064CB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7F37B9"/>
    <w:multiLevelType w:val="hybridMultilevel"/>
    <w:tmpl w:val="BBB49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A912AE"/>
    <w:multiLevelType w:val="hybridMultilevel"/>
    <w:tmpl w:val="146EF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AB67F5"/>
    <w:multiLevelType w:val="hybridMultilevel"/>
    <w:tmpl w:val="A5009F82"/>
    <w:lvl w:ilvl="0" w:tplc="1994A3E0">
      <w:start w:val="1"/>
      <w:numFmt w:val="upperRoman"/>
      <w:lvlText w:val="%1."/>
      <w:lvlJc w:val="left"/>
      <w:pPr>
        <w:ind w:left="1080" w:hanging="72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05D0AC9"/>
    <w:multiLevelType w:val="hybridMultilevel"/>
    <w:tmpl w:val="A9BC0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A26D40"/>
    <w:multiLevelType w:val="hybridMultilevel"/>
    <w:tmpl w:val="BC0A444C"/>
    <w:lvl w:ilvl="0" w:tplc="B7EA324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336C1D"/>
    <w:multiLevelType w:val="hybridMultilevel"/>
    <w:tmpl w:val="80302C3E"/>
    <w:lvl w:ilvl="0" w:tplc="B0A2B326">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7F18EB"/>
    <w:multiLevelType w:val="hybridMultilevel"/>
    <w:tmpl w:val="5FE2C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D73E29"/>
    <w:multiLevelType w:val="hybridMultilevel"/>
    <w:tmpl w:val="17488946"/>
    <w:lvl w:ilvl="0" w:tplc="99E8D2E4">
      <w:start w:val="1"/>
      <w:numFmt w:val="decimal"/>
      <w:lvlText w:val="%1."/>
      <w:lvlJc w:val="left"/>
      <w:pPr>
        <w:ind w:left="720" w:hanging="360"/>
      </w:pPr>
      <w:rPr>
        <w:rFonts w:hint="default"/>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04558D"/>
    <w:multiLevelType w:val="hybridMultilevel"/>
    <w:tmpl w:val="9D72A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E2141F"/>
    <w:multiLevelType w:val="hybridMultilevel"/>
    <w:tmpl w:val="8A4C1A58"/>
    <w:lvl w:ilvl="0" w:tplc="BBFC5DE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601E2E"/>
    <w:multiLevelType w:val="hybridMultilevel"/>
    <w:tmpl w:val="579C7E70"/>
    <w:lvl w:ilvl="0" w:tplc="20663AC6">
      <w:start w:val="1"/>
      <w:numFmt w:val="decimal"/>
      <w:lvlText w:val="%1."/>
      <w:lvlJc w:val="center"/>
      <w:pPr>
        <w:ind w:left="720" w:hanging="360"/>
      </w:pPr>
      <w:rPr>
        <w:rFonts w:ascii="Book Antiqua" w:hAnsi="Book Antiqua" w:hint="default"/>
        <w:b w:val="0"/>
        <w:sz w:val="24"/>
        <w:szCs w:val="24"/>
        <w:lang w:val="es-V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322C85"/>
    <w:multiLevelType w:val="hybridMultilevel"/>
    <w:tmpl w:val="829E898C"/>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857352732">
    <w:abstractNumId w:val="16"/>
  </w:num>
  <w:num w:numId="2" w16cid:durableId="770970984">
    <w:abstractNumId w:val="8"/>
  </w:num>
  <w:num w:numId="3" w16cid:durableId="1361273942">
    <w:abstractNumId w:val="5"/>
  </w:num>
  <w:num w:numId="4" w16cid:durableId="132522416">
    <w:abstractNumId w:val="7"/>
  </w:num>
  <w:num w:numId="5" w16cid:durableId="546262183">
    <w:abstractNumId w:val="6"/>
  </w:num>
  <w:num w:numId="6" w16cid:durableId="1999458598">
    <w:abstractNumId w:val="10"/>
  </w:num>
  <w:num w:numId="7" w16cid:durableId="759718077">
    <w:abstractNumId w:val="0"/>
  </w:num>
  <w:num w:numId="8" w16cid:durableId="1189834661">
    <w:abstractNumId w:val="2"/>
  </w:num>
  <w:num w:numId="9" w16cid:durableId="1224872629">
    <w:abstractNumId w:val="14"/>
  </w:num>
  <w:num w:numId="10" w16cid:durableId="1481262201">
    <w:abstractNumId w:val="3"/>
  </w:num>
  <w:num w:numId="11" w16cid:durableId="718624209">
    <w:abstractNumId w:val="12"/>
  </w:num>
  <w:num w:numId="12" w16cid:durableId="1533417458">
    <w:abstractNumId w:val="11"/>
  </w:num>
  <w:num w:numId="13" w16cid:durableId="1278679300">
    <w:abstractNumId w:val="1"/>
  </w:num>
  <w:num w:numId="14" w16cid:durableId="838231301">
    <w:abstractNumId w:val="15"/>
  </w:num>
  <w:num w:numId="15" w16cid:durableId="436608410">
    <w:abstractNumId w:val="4"/>
  </w:num>
  <w:num w:numId="16" w16cid:durableId="622611562">
    <w:abstractNumId w:val="17"/>
  </w:num>
  <w:num w:numId="17" w16cid:durableId="658726996">
    <w:abstractNumId w:val="13"/>
  </w:num>
  <w:num w:numId="18" w16cid:durableId="2546763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31"/>
    <w:rsid w:val="00012083"/>
    <w:rsid w:val="00012668"/>
    <w:rsid w:val="00015AE8"/>
    <w:rsid w:val="0007213D"/>
    <w:rsid w:val="000A7945"/>
    <w:rsid w:val="00107ABE"/>
    <w:rsid w:val="001169B2"/>
    <w:rsid w:val="001564AF"/>
    <w:rsid w:val="00160591"/>
    <w:rsid w:val="00180BAF"/>
    <w:rsid w:val="001C6631"/>
    <w:rsid w:val="001E2FC5"/>
    <w:rsid w:val="00212A41"/>
    <w:rsid w:val="0025420B"/>
    <w:rsid w:val="00255945"/>
    <w:rsid w:val="00274FE4"/>
    <w:rsid w:val="0030647B"/>
    <w:rsid w:val="00321238"/>
    <w:rsid w:val="00344693"/>
    <w:rsid w:val="00345442"/>
    <w:rsid w:val="0035596A"/>
    <w:rsid w:val="00363D92"/>
    <w:rsid w:val="00371A71"/>
    <w:rsid w:val="003A212B"/>
    <w:rsid w:val="003A696A"/>
    <w:rsid w:val="003D6021"/>
    <w:rsid w:val="003F44D7"/>
    <w:rsid w:val="004061DE"/>
    <w:rsid w:val="00434E58"/>
    <w:rsid w:val="00450922"/>
    <w:rsid w:val="004739DD"/>
    <w:rsid w:val="004D37BD"/>
    <w:rsid w:val="005251CF"/>
    <w:rsid w:val="00531580"/>
    <w:rsid w:val="00560B09"/>
    <w:rsid w:val="005747B6"/>
    <w:rsid w:val="00595FC7"/>
    <w:rsid w:val="005A3D71"/>
    <w:rsid w:val="00601A5A"/>
    <w:rsid w:val="006122F8"/>
    <w:rsid w:val="00662624"/>
    <w:rsid w:val="0068086A"/>
    <w:rsid w:val="006C08CF"/>
    <w:rsid w:val="006E4033"/>
    <w:rsid w:val="00744352"/>
    <w:rsid w:val="00816FF0"/>
    <w:rsid w:val="008244BC"/>
    <w:rsid w:val="00826566"/>
    <w:rsid w:val="00836938"/>
    <w:rsid w:val="008A763A"/>
    <w:rsid w:val="008C09A0"/>
    <w:rsid w:val="008E2B80"/>
    <w:rsid w:val="00937A7C"/>
    <w:rsid w:val="009449B9"/>
    <w:rsid w:val="00983C55"/>
    <w:rsid w:val="009C1A08"/>
    <w:rsid w:val="009C6E98"/>
    <w:rsid w:val="009E7850"/>
    <w:rsid w:val="00A0140B"/>
    <w:rsid w:val="00A0381A"/>
    <w:rsid w:val="00A11A9E"/>
    <w:rsid w:val="00A3238D"/>
    <w:rsid w:val="00A33119"/>
    <w:rsid w:val="00A7109C"/>
    <w:rsid w:val="00A73F40"/>
    <w:rsid w:val="00AB5275"/>
    <w:rsid w:val="00B0063F"/>
    <w:rsid w:val="00B3200D"/>
    <w:rsid w:val="00B40DDE"/>
    <w:rsid w:val="00B575AB"/>
    <w:rsid w:val="00BD66B6"/>
    <w:rsid w:val="00C26616"/>
    <w:rsid w:val="00C33384"/>
    <w:rsid w:val="00C36B15"/>
    <w:rsid w:val="00C431C3"/>
    <w:rsid w:val="00CF427D"/>
    <w:rsid w:val="00D00A9E"/>
    <w:rsid w:val="00D01B5A"/>
    <w:rsid w:val="00D05302"/>
    <w:rsid w:val="00D4045C"/>
    <w:rsid w:val="00E169AC"/>
    <w:rsid w:val="00E177F8"/>
    <w:rsid w:val="00E33968"/>
    <w:rsid w:val="00E41165"/>
    <w:rsid w:val="00E66D05"/>
    <w:rsid w:val="00E8149D"/>
    <w:rsid w:val="00E82DFE"/>
    <w:rsid w:val="00E93E86"/>
    <w:rsid w:val="00EB2441"/>
    <w:rsid w:val="00EC3849"/>
    <w:rsid w:val="00EF78DF"/>
    <w:rsid w:val="00F12980"/>
    <w:rsid w:val="00F21964"/>
    <w:rsid w:val="00F22042"/>
    <w:rsid w:val="00F64C29"/>
    <w:rsid w:val="00F6525A"/>
    <w:rsid w:val="00F93BF8"/>
    <w:rsid w:val="00F96574"/>
    <w:rsid w:val="00FF200A"/>
    <w:rsid w:val="00FF7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B26F7"/>
  <w15:chartTrackingRefBased/>
  <w15:docId w15:val="{7E9B45BA-6334-4125-B995-5980606CB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1E2F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1A9E"/>
    <w:pPr>
      <w:keepNext/>
      <w:keepLines/>
      <w:spacing w:before="200" w:after="0" w:line="276" w:lineRule="auto"/>
      <w:jc w:val="both"/>
      <w:outlineLvl w:val="2"/>
    </w:pPr>
    <w:rPr>
      <w:rFonts w:ascii="Book Antiqua" w:eastAsiaTheme="majorEastAsia" w:hAnsi="Book Antiqua" w:cstheme="majorBidi"/>
      <w:b/>
      <w:bCs/>
      <w:sz w:val="24"/>
      <w:lang w:val="es-VE" w:eastAsia="es-VE"/>
    </w:rPr>
  </w:style>
  <w:style w:type="paragraph" w:styleId="Heading4">
    <w:name w:val="heading 4"/>
    <w:basedOn w:val="Normal"/>
    <w:next w:val="Normal"/>
    <w:link w:val="Heading4Char"/>
    <w:uiPriority w:val="9"/>
    <w:unhideWhenUsed/>
    <w:qFormat/>
    <w:rsid w:val="00EC38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11A9E"/>
    <w:rPr>
      <w:rFonts w:ascii="Book Antiqua" w:eastAsiaTheme="majorEastAsia" w:hAnsi="Book Antiqua" w:cstheme="majorBidi"/>
      <w:b/>
      <w:bCs/>
      <w:sz w:val="24"/>
      <w:lang w:val="es-VE" w:eastAsia="es-VE"/>
    </w:rPr>
  </w:style>
  <w:style w:type="paragraph" w:styleId="ListParagraph">
    <w:name w:val="List Paragraph"/>
    <w:aliases w:val="List,List Paragraph1,Colorful List - Accent 11,List Paragraph11,List Paragraph2,Lista vistosa - Énfasis 11,Parrafos,Segundo nivel de viñetas,titulo 3,Bullets,Llista Nivell1,Ha,Párrafo de lista2,Cuadrícula clara - Énfasis 31,Dot pt"/>
    <w:basedOn w:val="Normal"/>
    <w:link w:val="ListParagraphChar"/>
    <w:uiPriority w:val="34"/>
    <w:qFormat/>
    <w:rsid w:val="00A11A9E"/>
    <w:pPr>
      <w:spacing w:after="200" w:line="240" w:lineRule="auto"/>
      <w:ind w:left="720"/>
      <w:contextualSpacing/>
      <w:jc w:val="both"/>
    </w:pPr>
    <w:rPr>
      <w:rFonts w:ascii="Book Antiqua" w:eastAsiaTheme="minorEastAsia" w:hAnsi="Book Antiqua"/>
      <w:sz w:val="24"/>
      <w:lang w:val="es-VE" w:eastAsia="es-VE"/>
    </w:rPr>
  </w:style>
  <w:style w:type="paragraph" w:styleId="FootnoteText">
    <w:name w:val="footnote text"/>
    <w:aliases w:val="Footnote Text Char Char Char Char Char,Footnote Text Char Char Char Char,footnote text,Footnote reference,FA Fu,Footnote Text Char Char Char,Footnote Text Cha,FA Fußnotentext,FA Fuﬂnotentext,Footnote Text Char Char,Ca,2. Footnote Text,C"/>
    <w:basedOn w:val="Normal"/>
    <w:link w:val="FootnoteTextChar"/>
    <w:unhideWhenUsed/>
    <w:qFormat/>
    <w:rsid w:val="00A11A9E"/>
    <w:pPr>
      <w:spacing w:after="0" w:line="240" w:lineRule="auto"/>
      <w:jc w:val="both"/>
    </w:pPr>
    <w:rPr>
      <w:rFonts w:ascii="Book Antiqua" w:eastAsiaTheme="minorEastAsia" w:hAnsi="Book Antiqua"/>
      <w:sz w:val="20"/>
      <w:szCs w:val="20"/>
      <w:lang w:val="es-VE" w:eastAsia="es-VE"/>
    </w:rPr>
  </w:style>
  <w:style w:type="character" w:customStyle="1" w:styleId="FootnoteTextChar">
    <w:name w:val="Footnote Text Char"/>
    <w:aliases w:val="Footnote Text Char Char Char Char Char Char,Footnote Text Char Char Char Char Char1,footnote text Char,Footnote reference Char,FA Fu Char,Footnote Text Char Char Char Char1,Footnote Text Cha Char,FA Fußnotentext Char,Ca Char,C Char"/>
    <w:basedOn w:val="DefaultParagraphFont"/>
    <w:link w:val="FootnoteText"/>
    <w:qFormat/>
    <w:rsid w:val="00A11A9E"/>
    <w:rPr>
      <w:rFonts w:ascii="Book Antiqua" w:eastAsiaTheme="minorEastAsia" w:hAnsi="Book Antiqua"/>
      <w:sz w:val="20"/>
      <w:szCs w:val="20"/>
      <w:lang w:val="es-VE" w:eastAsia="es-VE"/>
    </w:rPr>
  </w:style>
  <w:style w:type="character" w:styleId="FootnoteReference">
    <w:name w:val="footnote reference"/>
    <w:aliases w:val="Footnotes refss,Ref. de nota al pie.,Texto de nota al pie,Appel note de bas de page,referencia nota al pie,BVI fnr,Footnote number,f,4_G,16 Point,Superscript 6 Point,Texto nota al pie,Footnote Reference Char3,Ref. de nota al,Footnote"/>
    <w:basedOn w:val="DefaultParagraphFont"/>
    <w:link w:val="4GChar"/>
    <w:unhideWhenUsed/>
    <w:qFormat/>
    <w:rsid w:val="00A11A9E"/>
    <w:rPr>
      <w:vertAlign w:val="superscript"/>
    </w:rPr>
  </w:style>
  <w:style w:type="character" w:customStyle="1" w:styleId="ListParagraphChar">
    <w:name w:val="List Paragraph Char"/>
    <w:aliases w:val="List Char,List Paragraph1 Char,Colorful List - Accent 11 Char,List Paragraph11 Char,List Paragraph2 Char,Lista vistosa - Énfasis 11 Char,Parrafos Char,Segundo nivel de viñetas Char,titulo 3 Char,Bullets Char,Llista Nivell1 Char"/>
    <w:link w:val="ListParagraph"/>
    <w:uiPriority w:val="34"/>
    <w:locked/>
    <w:rsid w:val="00A11A9E"/>
    <w:rPr>
      <w:rFonts w:ascii="Book Antiqua" w:eastAsiaTheme="minorEastAsia" w:hAnsi="Book Antiqua"/>
      <w:sz w:val="24"/>
      <w:lang w:val="es-VE" w:eastAsia="es-V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uiPriority w:val="99"/>
    <w:qFormat/>
    <w:rsid w:val="00A11A9E"/>
    <w:pPr>
      <w:spacing w:after="0" w:line="240" w:lineRule="auto"/>
      <w:jc w:val="both"/>
    </w:pPr>
    <w:rPr>
      <w:vertAlign w:val="superscript"/>
    </w:rPr>
  </w:style>
  <w:style w:type="character" w:customStyle="1" w:styleId="apple-converted-space">
    <w:name w:val="apple-converted-space"/>
    <w:basedOn w:val="DefaultParagraphFont"/>
    <w:rsid w:val="00A11A9E"/>
  </w:style>
  <w:style w:type="character" w:styleId="Hyperlink">
    <w:name w:val="Hyperlink"/>
    <w:basedOn w:val="DefaultParagraphFont"/>
    <w:uiPriority w:val="99"/>
    <w:unhideWhenUsed/>
    <w:rsid w:val="00D05302"/>
    <w:rPr>
      <w:color w:val="0563C1" w:themeColor="hyperlink"/>
      <w:u w:val="single"/>
    </w:rPr>
  </w:style>
  <w:style w:type="paragraph" w:styleId="TOC1">
    <w:name w:val="toc 1"/>
    <w:basedOn w:val="Normal"/>
    <w:next w:val="Normal"/>
    <w:autoRedefine/>
    <w:uiPriority w:val="39"/>
    <w:unhideWhenUsed/>
    <w:rsid w:val="00D05302"/>
    <w:pPr>
      <w:tabs>
        <w:tab w:val="left" w:pos="480"/>
        <w:tab w:val="right" w:pos="8828"/>
      </w:tabs>
      <w:spacing w:after="100" w:line="240" w:lineRule="auto"/>
      <w:jc w:val="both"/>
    </w:pPr>
    <w:rPr>
      <w:rFonts w:ascii="Book Antiqua" w:eastAsiaTheme="minorEastAsia" w:hAnsi="Book Antiqua"/>
      <w:sz w:val="24"/>
      <w:lang w:val="es-VE" w:eastAsia="es-VE"/>
    </w:rPr>
  </w:style>
  <w:style w:type="paragraph" w:styleId="TOC2">
    <w:name w:val="toc 2"/>
    <w:basedOn w:val="Normal"/>
    <w:next w:val="Normal"/>
    <w:autoRedefine/>
    <w:uiPriority w:val="39"/>
    <w:unhideWhenUsed/>
    <w:rsid w:val="00D05302"/>
    <w:pPr>
      <w:tabs>
        <w:tab w:val="left" w:pos="720"/>
        <w:tab w:val="right" w:pos="8828"/>
      </w:tabs>
      <w:spacing w:after="100" w:line="240" w:lineRule="auto"/>
      <w:ind w:left="240"/>
      <w:jc w:val="both"/>
    </w:pPr>
    <w:rPr>
      <w:rFonts w:ascii="Book Antiqua" w:eastAsiaTheme="minorEastAsia" w:hAnsi="Book Antiqua"/>
      <w:sz w:val="24"/>
      <w:lang w:val="es-VE" w:eastAsia="es-VE"/>
    </w:rPr>
  </w:style>
  <w:style w:type="paragraph" w:styleId="TOC3">
    <w:name w:val="toc 3"/>
    <w:basedOn w:val="Normal"/>
    <w:next w:val="Normal"/>
    <w:autoRedefine/>
    <w:uiPriority w:val="39"/>
    <w:unhideWhenUsed/>
    <w:rsid w:val="00D05302"/>
    <w:pPr>
      <w:spacing w:after="100" w:line="240" w:lineRule="auto"/>
      <w:ind w:left="480"/>
      <w:jc w:val="both"/>
    </w:pPr>
    <w:rPr>
      <w:rFonts w:ascii="Book Antiqua" w:eastAsiaTheme="minorEastAsia" w:hAnsi="Book Antiqua"/>
      <w:sz w:val="24"/>
      <w:lang w:val="es-VE" w:eastAsia="es-VE"/>
    </w:rPr>
  </w:style>
  <w:style w:type="paragraph" w:styleId="NormalWeb">
    <w:name w:val="Normal (Web)"/>
    <w:basedOn w:val="Normal"/>
    <w:uiPriority w:val="99"/>
    <w:unhideWhenUsed/>
    <w:rsid w:val="003559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E2FC5"/>
    <w:rPr>
      <w:rFonts w:asciiTheme="majorHAnsi" w:eastAsiaTheme="majorEastAsia" w:hAnsiTheme="majorHAnsi" w:cstheme="majorBidi"/>
      <w:color w:val="2F5496" w:themeColor="accent1" w:themeShade="BF"/>
      <w:sz w:val="26"/>
      <w:szCs w:val="26"/>
    </w:rPr>
  </w:style>
  <w:style w:type="paragraph" w:customStyle="1" w:styleId="SingleTxtG">
    <w:name w:val="_ Single Txt_G"/>
    <w:basedOn w:val="Normal"/>
    <w:link w:val="SingleTxtGChar"/>
    <w:qFormat/>
    <w:rsid w:val="008C09A0"/>
    <w:pPr>
      <w:tabs>
        <w:tab w:val="left" w:pos="1701"/>
        <w:tab w:val="left" w:pos="2268"/>
        <w:tab w:val="left" w:pos="2835"/>
      </w:tabs>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rsid w:val="008C09A0"/>
    <w:rPr>
      <w:rFonts w:ascii="Times New Roman" w:eastAsia="Times New Roman" w:hAnsi="Times New Roman" w:cs="Times New Roman"/>
      <w:sz w:val="20"/>
      <w:szCs w:val="20"/>
      <w:lang w:val="es-ES" w:eastAsia="es-ES"/>
    </w:rPr>
  </w:style>
  <w:style w:type="paragraph" w:styleId="EndnoteText">
    <w:name w:val="endnote text"/>
    <w:basedOn w:val="Normal"/>
    <w:link w:val="EndnoteTextChar"/>
    <w:uiPriority w:val="99"/>
    <w:semiHidden/>
    <w:unhideWhenUsed/>
    <w:rsid w:val="008C09A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C09A0"/>
    <w:rPr>
      <w:sz w:val="20"/>
      <w:szCs w:val="20"/>
    </w:rPr>
  </w:style>
  <w:style w:type="character" w:styleId="EndnoteReference">
    <w:name w:val="endnote reference"/>
    <w:basedOn w:val="DefaultParagraphFont"/>
    <w:uiPriority w:val="99"/>
    <w:semiHidden/>
    <w:unhideWhenUsed/>
    <w:rsid w:val="008C09A0"/>
    <w:rPr>
      <w:vertAlign w:val="superscript"/>
    </w:rPr>
  </w:style>
  <w:style w:type="paragraph" w:styleId="Quote">
    <w:name w:val="Quote"/>
    <w:basedOn w:val="Normal"/>
    <w:next w:val="Normal"/>
    <w:link w:val="QuoteChar"/>
    <w:uiPriority w:val="29"/>
    <w:qFormat/>
    <w:rsid w:val="00AB5275"/>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B5275"/>
    <w:rPr>
      <w:i/>
      <w:iCs/>
      <w:color w:val="404040" w:themeColor="text1" w:themeTint="BF"/>
    </w:rPr>
  </w:style>
  <w:style w:type="paragraph" w:customStyle="1" w:styleId="Default">
    <w:name w:val="Default"/>
    <w:rsid w:val="0053158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faisal">
    <w:name w:val="Style faisal"/>
    <w:basedOn w:val="FootnoteText"/>
    <w:link w:val="StylefaisalChar"/>
    <w:uiPriority w:val="1"/>
    <w:qFormat/>
    <w:rsid w:val="001169B2"/>
    <w:pPr>
      <w:spacing w:line="259" w:lineRule="auto"/>
      <w:jc w:val="left"/>
    </w:pPr>
    <w:rPr>
      <w:rFonts w:ascii="Garamond" w:hAnsi="Garamond" w:cs="Calibri"/>
      <w:kern w:val="2"/>
    </w:rPr>
  </w:style>
  <w:style w:type="character" w:customStyle="1" w:styleId="StylefaisalChar">
    <w:name w:val="Style faisal Char"/>
    <w:basedOn w:val="FootnoteTextChar"/>
    <w:link w:val="Stylefaisal"/>
    <w:uiPriority w:val="1"/>
    <w:rsid w:val="001169B2"/>
    <w:rPr>
      <w:rFonts w:ascii="Garamond" w:eastAsiaTheme="minorEastAsia" w:hAnsi="Garamond" w:cs="Calibri"/>
      <w:kern w:val="2"/>
      <w:sz w:val="20"/>
      <w:szCs w:val="20"/>
      <w:lang w:val="es-VE" w:eastAsia="es-VE"/>
    </w:rPr>
  </w:style>
  <w:style w:type="paragraph" w:styleId="Header">
    <w:name w:val="header"/>
    <w:basedOn w:val="Normal"/>
    <w:link w:val="HeaderChar"/>
    <w:uiPriority w:val="99"/>
    <w:unhideWhenUsed/>
    <w:rsid w:val="005747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47B6"/>
  </w:style>
  <w:style w:type="paragraph" w:styleId="Footer">
    <w:name w:val="footer"/>
    <w:basedOn w:val="Normal"/>
    <w:link w:val="FooterChar"/>
    <w:uiPriority w:val="99"/>
    <w:unhideWhenUsed/>
    <w:rsid w:val="005747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47B6"/>
  </w:style>
  <w:style w:type="character" w:styleId="CommentReference">
    <w:name w:val="annotation reference"/>
    <w:basedOn w:val="DefaultParagraphFont"/>
    <w:uiPriority w:val="99"/>
    <w:semiHidden/>
    <w:unhideWhenUsed/>
    <w:rsid w:val="00983C55"/>
    <w:rPr>
      <w:sz w:val="16"/>
      <w:szCs w:val="16"/>
    </w:rPr>
  </w:style>
  <w:style w:type="paragraph" w:styleId="CommentText">
    <w:name w:val="annotation text"/>
    <w:basedOn w:val="Normal"/>
    <w:link w:val="CommentTextChar"/>
    <w:uiPriority w:val="99"/>
    <w:semiHidden/>
    <w:unhideWhenUsed/>
    <w:rsid w:val="00983C55"/>
    <w:pPr>
      <w:spacing w:line="240" w:lineRule="auto"/>
    </w:pPr>
    <w:rPr>
      <w:sz w:val="20"/>
      <w:szCs w:val="20"/>
    </w:rPr>
  </w:style>
  <w:style w:type="character" w:customStyle="1" w:styleId="CommentTextChar">
    <w:name w:val="Comment Text Char"/>
    <w:basedOn w:val="DefaultParagraphFont"/>
    <w:link w:val="CommentText"/>
    <w:uiPriority w:val="99"/>
    <w:semiHidden/>
    <w:rsid w:val="00983C55"/>
    <w:rPr>
      <w:sz w:val="20"/>
      <w:szCs w:val="20"/>
    </w:rPr>
  </w:style>
  <w:style w:type="paragraph" w:styleId="CommentSubject">
    <w:name w:val="annotation subject"/>
    <w:basedOn w:val="CommentText"/>
    <w:next w:val="CommentText"/>
    <w:link w:val="CommentSubjectChar"/>
    <w:uiPriority w:val="99"/>
    <w:semiHidden/>
    <w:unhideWhenUsed/>
    <w:rsid w:val="00983C55"/>
    <w:rPr>
      <w:b/>
      <w:bCs/>
    </w:rPr>
  </w:style>
  <w:style w:type="character" w:customStyle="1" w:styleId="CommentSubjectChar">
    <w:name w:val="Comment Subject Char"/>
    <w:basedOn w:val="CommentTextChar"/>
    <w:link w:val="CommentSubject"/>
    <w:uiPriority w:val="99"/>
    <w:semiHidden/>
    <w:rsid w:val="00983C55"/>
    <w:rPr>
      <w:b/>
      <w:bCs/>
      <w:sz w:val="20"/>
      <w:szCs w:val="20"/>
    </w:rPr>
  </w:style>
  <w:style w:type="character" w:styleId="UnresolvedMention">
    <w:name w:val="Unresolved Mention"/>
    <w:basedOn w:val="DefaultParagraphFont"/>
    <w:uiPriority w:val="99"/>
    <w:semiHidden/>
    <w:unhideWhenUsed/>
    <w:rsid w:val="00D4045C"/>
    <w:rPr>
      <w:color w:val="605E5C"/>
      <w:shd w:val="clear" w:color="auto" w:fill="E1DFDD"/>
    </w:rPr>
  </w:style>
  <w:style w:type="character" w:styleId="Emphasis">
    <w:name w:val="Emphasis"/>
    <w:basedOn w:val="DefaultParagraphFont"/>
    <w:uiPriority w:val="20"/>
    <w:qFormat/>
    <w:rsid w:val="00937A7C"/>
    <w:rPr>
      <w:i/>
      <w:iCs/>
    </w:rPr>
  </w:style>
  <w:style w:type="character" w:customStyle="1" w:styleId="Heading4Char">
    <w:name w:val="Heading 4 Char"/>
    <w:basedOn w:val="DefaultParagraphFont"/>
    <w:link w:val="Heading4"/>
    <w:uiPriority w:val="9"/>
    <w:rsid w:val="00EC3849"/>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EC38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81961">
      <w:bodyDiv w:val="1"/>
      <w:marLeft w:val="0"/>
      <w:marRight w:val="0"/>
      <w:marTop w:val="0"/>
      <w:marBottom w:val="0"/>
      <w:divBdr>
        <w:top w:val="none" w:sz="0" w:space="0" w:color="auto"/>
        <w:left w:val="none" w:sz="0" w:space="0" w:color="auto"/>
        <w:bottom w:val="none" w:sz="0" w:space="0" w:color="auto"/>
        <w:right w:val="none" w:sz="0" w:space="0" w:color="auto"/>
      </w:divBdr>
    </w:div>
    <w:div w:id="251353277">
      <w:bodyDiv w:val="1"/>
      <w:marLeft w:val="0"/>
      <w:marRight w:val="0"/>
      <w:marTop w:val="0"/>
      <w:marBottom w:val="0"/>
      <w:divBdr>
        <w:top w:val="none" w:sz="0" w:space="0" w:color="auto"/>
        <w:left w:val="none" w:sz="0" w:space="0" w:color="auto"/>
        <w:bottom w:val="none" w:sz="0" w:space="0" w:color="auto"/>
        <w:right w:val="none" w:sz="0" w:space="0" w:color="auto"/>
      </w:divBdr>
    </w:div>
    <w:div w:id="1102652615">
      <w:bodyDiv w:val="1"/>
      <w:marLeft w:val="0"/>
      <w:marRight w:val="0"/>
      <w:marTop w:val="0"/>
      <w:marBottom w:val="0"/>
      <w:divBdr>
        <w:top w:val="none" w:sz="0" w:space="0" w:color="auto"/>
        <w:left w:val="none" w:sz="0" w:space="0" w:color="auto"/>
        <w:bottom w:val="none" w:sz="0" w:space="0" w:color="auto"/>
        <w:right w:val="none" w:sz="0" w:space="0" w:color="auto"/>
      </w:divBdr>
    </w:div>
    <w:div w:id="1287001351">
      <w:bodyDiv w:val="1"/>
      <w:marLeft w:val="0"/>
      <w:marRight w:val="0"/>
      <w:marTop w:val="0"/>
      <w:marBottom w:val="0"/>
      <w:divBdr>
        <w:top w:val="none" w:sz="0" w:space="0" w:color="auto"/>
        <w:left w:val="none" w:sz="0" w:space="0" w:color="auto"/>
        <w:bottom w:val="none" w:sz="0" w:space="0" w:color="auto"/>
        <w:right w:val="none" w:sz="0" w:space="0" w:color="auto"/>
      </w:divBdr>
    </w:div>
    <w:div w:id="148289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endnotes.xml.rels><?xml version="1.0" encoding="UTF-8" standalone="yes"?>
<Relationships xmlns="http://schemas.openxmlformats.org/package/2006/relationships"><Relationship Id="rId3" Type="http://schemas.openxmlformats.org/officeDocument/2006/relationships/hyperlink" Target="https://cepaz.org/" TargetMode="External"/><Relationship Id="rId7" Type="http://schemas.openxmlformats.org/officeDocument/2006/relationships/hyperlink" Target="https://transparenciave.org/" TargetMode="External"/><Relationship Id="rId2" Type="http://schemas.openxmlformats.org/officeDocument/2006/relationships/hyperlink" Target="https://aulaabiertavenezuela.org/" TargetMode="External"/><Relationship Id="rId1" Type="http://schemas.openxmlformats.org/officeDocument/2006/relationships/hyperlink" Target="https://accesoalajusticia.org/" TargetMode="External"/><Relationship Id="rId6" Type="http://schemas.openxmlformats.org/officeDocument/2006/relationships/hyperlink" Target="http://epikeiaddhh.org/" TargetMode="External"/><Relationship Id="rId5" Type="http://schemas.openxmlformats.org/officeDocument/2006/relationships/hyperlink" Target="https://www.uladdhh.org.ve/" TargetMode="External"/><Relationship Id="rId4" Type="http://schemas.openxmlformats.org/officeDocument/2006/relationships/hyperlink" Target="https://www.civilisac.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transparencia.org.ve/saludcritica/2021/05/15/corrupcion-en-pandemia-la-tragedia-de-venezuela-mas-alla-del-covid-19/" TargetMode="External"/><Relationship Id="rId2" Type="http://schemas.openxmlformats.org/officeDocument/2006/relationships/hyperlink" Target="https://transparenciave.org/wp-content/uploads/2023/04/Gran-Corrupcion-venezolana-Derechos-Humanos-e-impunidad.pdf" TargetMode="External"/><Relationship Id="rId1" Type="http://schemas.openxmlformats.org/officeDocument/2006/relationships/hyperlink" Target="https://accesoalajusticia.org/wp-content/uploads/2022/02/SC-nro.-0735-09-12-2021.pdf" TargetMode="External"/><Relationship Id="rId4" Type="http://schemas.openxmlformats.org/officeDocument/2006/relationships/hyperlink" Target="https://transparenciave.org/wp-content/uploads/2023/04/Gran-Corrupcion-venezolana-Derechos-Humanos-e-impunida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75EBD-AEA3-4181-95AC-0D3D9224F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6724</Words>
  <Characters>38333</Characters>
  <Application>Microsoft Office Word</Application>
  <DocSecurity>0</DocSecurity>
  <Lines>319</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Word</dc:creator>
  <cp:keywords/>
  <dc:description/>
  <cp:lastModifiedBy>Daniel Fermin Alvarez</cp:lastModifiedBy>
  <cp:revision>2</cp:revision>
  <dcterms:created xsi:type="dcterms:W3CDTF">2023-09-09T21:28:00Z</dcterms:created>
  <dcterms:modified xsi:type="dcterms:W3CDTF">2023-09-09T21:28:00Z</dcterms:modified>
</cp:coreProperties>
</file>