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30EA1" w14:textId="77777777" w:rsidR="001902DF" w:rsidRDefault="001902DF">
      <w:pPr>
        <w:spacing w:line="276" w:lineRule="auto"/>
        <w:rPr>
          <w:sz w:val="20"/>
          <w:szCs w:val="20"/>
        </w:rPr>
      </w:pPr>
    </w:p>
    <w:p w14:paraId="50E4E338" w14:textId="77777777" w:rsidR="001902DF" w:rsidRDefault="001902DF">
      <w:pPr>
        <w:spacing w:line="276" w:lineRule="auto"/>
        <w:rPr>
          <w:sz w:val="20"/>
          <w:szCs w:val="20"/>
        </w:rPr>
      </w:pPr>
    </w:p>
    <w:p w14:paraId="77EDC60A" w14:textId="77777777" w:rsidR="001902DF" w:rsidRDefault="001902DF">
      <w:pPr>
        <w:spacing w:line="276" w:lineRule="auto"/>
        <w:rPr>
          <w:sz w:val="20"/>
          <w:szCs w:val="20"/>
        </w:rPr>
      </w:pPr>
    </w:p>
    <w:p w14:paraId="77D360A5" w14:textId="77777777" w:rsidR="001902DF" w:rsidRDefault="00000000">
      <w:pPr>
        <w:spacing w:line="276" w:lineRule="auto"/>
        <w:rPr>
          <w:sz w:val="20"/>
          <w:szCs w:val="20"/>
        </w:rPr>
      </w:pPr>
      <w:r>
        <w:rPr>
          <w:sz w:val="20"/>
          <w:szCs w:val="20"/>
        </w:rPr>
        <w:t>SHADOW REPORT FOR NEW ZEALAND</w:t>
      </w:r>
    </w:p>
    <w:p w14:paraId="032F9341" w14:textId="77777777" w:rsidR="001902DF" w:rsidRDefault="00000000">
      <w:pPr>
        <w:spacing w:line="276" w:lineRule="auto"/>
        <w:rPr>
          <w:sz w:val="20"/>
          <w:szCs w:val="20"/>
        </w:rPr>
      </w:pPr>
      <w:r>
        <w:rPr>
          <w:sz w:val="20"/>
          <w:szCs w:val="20"/>
        </w:rPr>
        <w:t>116TH SESSION</w:t>
      </w:r>
    </w:p>
    <w:p w14:paraId="5330DB16" w14:textId="77777777" w:rsidR="001902DF" w:rsidRDefault="00000000">
      <w:pPr>
        <w:spacing w:line="276" w:lineRule="auto"/>
        <w:rPr>
          <w:sz w:val="20"/>
          <w:szCs w:val="20"/>
        </w:rPr>
      </w:pPr>
      <w:r>
        <w:rPr>
          <w:sz w:val="20"/>
          <w:szCs w:val="20"/>
        </w:rPr>
        <w:t>COMMITTEE ON THE ELIMINATION OF RACIAL DISCRIMINATION APRIL 2025</w:t>
      </w:r>
    </w:p>
    <w:p w14:paraId="1451B6DC" w14:textId="77777777" w:rsidR="001902DF" w:rsidRDefault="001902DF">
      <w:pPr>
        <w:spacing w:line="276" w:lineRule="auto"/>
        <w:rPr>
          <w:sz w:val="20"/>
          <w:szCs w:val="20"/>
        </w:rPr>
      </w:pPr>
    </w:p>
    <w:p w14:paraId="1DE0D490" w14:textId="77777777" w:rsidR="001902DF" w:rsidRDefault="00000000">
      <w:pPr>
        <w:spacing w:line="276" w:lineRule="auto"/>
        <w:rPr>
          <w:sz w:val="20"/>
          <w:szCs w:val="20"/>
        </w:rPr>
      </w:pPr>
      <w:r>
        <w:rPr>
          <w:sz w:val="20"/>
          <w:szCs w:val="20"/>
        </w:rPr>
        <w:t>SUBMITTED BY NATIONAL IWI CHAIRS FORUM</w:t>
      </w:r>
    </w:p>
    <w:p w14:paraId="55476C75" w14:textId="77777777" w:rsidR="001902DF" w:rsidRDefault="001902DF">
      <w:pPr>
        <w:spacing w:line="276" w:lineRule="auto"/>
        <w:rPr>
          <w:sz w:val="20"/>
          <w:szCs w:val="20"/>
        </w:rPr>
      </w:pPr>
    </w:p>
    <w:p w14:paraId="30189DAB" w14:textId="77777777" w:rsidR="001902DF" w:rsidRDefault="001902DF">
      <w:pPr>
        <w:spacing w:line="276" w:lineRule="auto"/>
        <w:rPr>
          <w:sz w:val="20"/>
          <w:szCs w:val="20"/>
        </w:rPr>
      </w:pPr>
    </w:p>
    <w:p w14:paraId="3B6588CE" w14:textId="77777777" w:rsidR="001902DF" w:rsidRDefault="001902DF">
      <w:pPr>
        <w:spacing w:line="276" w:lineRule="auto"/>
        <w:rPr>
          <w:sz w:val="20"/>
          <w:szCs w:val="20"/>
        </w:rPr>
      </w:pPr>
    </w:p>
    <w:p w14:paraId="413E1EF4" w14:textId="77777777" w:rsidR="001902DF" w:rsidRDefault="00000000">
      <w:pPr>
        <w:spacing w:line="276" w:lineRule="auto"/>
        <w:rPr>
          <w:sz w:val="20"/>
          <w:szCs w:val="20"/>
        </w:rPr>
      </w:pPr>
      <w:r>
        <w:rPr>
          <w:sz w:val="20"/>
          <w:szCs w:val="20"/>
        </w:rPr>
        <w:t>IN RELATION TO AOTEAROA-NEW ZEALAND</w:t>
      </w:r>
    </w:p>
    <w:p w14:paraId="0736417F" w14:textId="77777777" w:rsidR="001902DF" w:rsidRDefault="001902DF">
      <w:pPr>
        <w:spacing w:line="276" w:lineRule="auto"/>
        <w:rPr>
          <w:sz w:val="20"/>
          <w:szCs w:val="20"/>
        </w:rPr>
      </w:pPr>
    </w:p>
    <w:p w14:paraId="477B6A38" w14:textId="77777777" w:rsidR="001902DF" w:rsidRDefault="001902DF">
      <w:pPr>
        <w:spacing w:line="276" w:lineRule="auto"/>
        <w:rPr>
          <w:sz w:val="20"/>
          <w:szCs w:val="20"/>
        </w:rPr>
      </w:pPr>
    </w:p>
    <w:p w14:paraId="64A6D250" w14:textId="77777777" w:rsidR="001902DF" w:rsidRDefault="001902DF">
      <w:pPr>
        <w:spacing w:line="276" w:lineRule="auto"/>
        <w:rPr>
          <w:sz w:val="20"/>
          <w:szCs w:val="20"/>
        </w:rPr>
      </w:pPr>
    </w:p>
    <w:p w14:paraId="6EDF3D72" w14:textId="77777777" w:rsidR="001902DF" w:rsidRDefault="001902DF">
      <w:pPr>
        <w:spacing w:line="276" w:lineRule="auto"/>
        <w:rPr>
          <w:sz w:val="20"/>
          <w:szCs w:val="20"/>
        </w:rPr>
      </w:pPr>
    </w:p>
    <w:p w14:paraId="05453E52" w14:textId="77777777" w:rsidR="001902DF" w:rsidRDefault="001902DF">
      <w:pPr>
        <w:spacing w:line="276" w:lineRule="auto"/>
        <w:rPr>
          <w:sz w:val="20"/>
          <w:szCs w:val="20"/>
        </w:rPr>
      </w:pPr>
    </w:p>
    <w:p w14:paraId="4C7485A9" w14:textId="77777777" w:rsidR="001902DF" w:rsidRDefault="001902DF">
      <w:pPr>
        <w:spacing w:line="276" w:lineRule="auto"/>
        <w:rPr>
          <w:sz w:val="20"/>
          <w:szCs w:val="20"/>
        </w:rPr>
      </w:pPr>
    </w:p>
    <w:p w14:paraId="2D38953D" w14:textId="77777777" w:rsidR="001902DF" w:rsidRDefault="001902DF">
      <w:pPr>
        <w:spacing w:line="276" w:lineRule="auto"/>
        <w:rPr>
          <w:sz w:val="20"/>
          <w:szCs w:val="20"/>
        </w:rPr>
      </w:pPr>
    </w:p>
    <w:p w14:paraId="6EC20DC3" w14:textId="77777777" w:rsidR="001902DF" w:rsidRDefault="001902DF">
      <w:pPr>
        <w:spacing w:line="276" w:lineRule="auto"/>
        <w:rPr>
          <w:sz w:val="20"/>
          <w:szCs w:val="20"/>
        </w:rPr>
      </w:pPr>
    </w:p>
    <w:p w14:paraId="2596F26B" w14:textId="77777777" w:rsidR="001902DF" w:rsidRDefault="001902DF">
      <w:pPr>
        <w:spacing w:line="276" w:lineRule="auto"/>
        <w:rPr>
          <w:sz w:val="20"/>
          <w:szCs w:val="20"/>
        </w:rPr>
      </w:pPr>
    </w:p>
    <w:p w14:paraId="2ADEC106" w14:textId="77777777" w:rsidR="001902DF" w:rsidRDefault="001902DF">
      <w:pPr>
        <w:spacing w:line="276" w:lineRule="auto"/>
        <w:rPr>
          <w:sz w:val="20"/>
          <w:szCs w:val="20"/>
        </w:rPr>
      </w:pPr>
    </w:p>
    <w:p w14:paraId="3E9FC7F7" w14:textId="77777777" w:rsidR="001902DF" w:rsidRDefault="00000000">
      <w:pPr>
        <w:spacing w:line="276" w:lineRule="auto"/>
        <w:rPr>
          <w:sz w:val="20"/>
          <w:szCs w:val="20"/>
        </w:rPr>
      </w:pPr>
      <w:r>
        <w:rPr>
          <w:sz w:val="20"/>
          <w:szCs w:val="20"/>
        </w:rPr>
        <w:t>Prepared by the National Iwi Chairs Forum</w:t>
      </w:r>
    </w:p>
    <w:p w14:paraId="12C71ED5" w14:textId="77777777" w:rsidR="001902DF" w:rsidRDefault="00000000">
      <w:pPr>
        <w:spacing w:before="0" w:after="0" w:line="276" w:lineRule="auto"/>
        <w:jc w:val="left"/>
        <w:rPr>
          <w:color w:val="366091"/>
          <w:sz w:val="20"/>
          <w:szCs w:val="20"/>
        </w:rPr>
      </w:pPr>
      <w:r>
        <w:br w:type="page"/>
      </w:r>
    </w:p>
    <w:sdt>
      <w:sdtPr>
        <w:id w:val="-2649321"/>
        <w:docPartObj>
          <w:docPartGallery w:val="Table of Contents"/>
          <w:docPartUnique/>
        </w:docPartObj>
      </w:sdtPr>
      <w:sdtContent>
        <w:p w14:paraId="7BF68B85" w14:textId="77777777" w:rsidR="001902DF" w:rsidRDefault="00000000">
          <w:pPr>
            <w:tabs>
              <w:tab w:val="right" w:leader="dot" w:pos="12000"/>
            </w:tabs>
            <w:spacing w:before="60" w:after="0" w:line="240" w:lineRule="auto"/>
            <w:jc w:val="left"/>
            <w:rPr>
              <w:b/>
              <w:color w:val="000000"/>
            </w:rPr>
          </w:pPr>
          <w:r>
            <w:fldChar w:fldCharType="begin"/>
          </w:r>
          <w:r>
            <w:instrText xml:space="preserve"> TOC \h \u \z \t "Heading 1,1,Heading 2,2,Heading 3,3,"</w:instrText>
          </w:r>
          <w:r>
            <w:fldChar w:fldCharType="separate"/>
          </w:r>
          <w:hyperlink w:anchor="_heading=h.dyqwt0unllfg">
            <w:r>
              <w:rPr>
                <w:b/>
                <w:color w:val="000000"/>
                <w:sz w:val="18"/>
                <w:szCs w:val="18"/>
              </w:rPr>
              <w:t>EXECUTIVE SUMMARY</w:t>
            </w:r>
            <w:r>
              <w:rPr>
                <w:b/>
                <w:color w:val="000000"/>
                <w:sz w:val="18"/>
                <w:szCs w:val="18"/>
              </w:rPr>
              <w:tab/>
              <w:t>1</w:t>
            </w:r>
          </w:hyperlink>
        </w:p>
        <w:p w14:paraId="3C536BB9" w14:textId="77777777" w:rsidR="001902DF" w:rsidRDefault="00000000">
          <w:pPr>
            <w:tabs>
              <w:tab w:val="right" w:leader="dot" w:pos="12000"/>
            </w:tabs>
            <w:spacing w:before="60" w:after="0" w:line="240" w:lineRule="auto"/>
            <w:jc w:val="left"/>
            <w:rPr>
              <w:b/>
              <w:color w:val="000000"/>
            </w:rPr>
          </w:pPr>
          <w:hyperlink w:anchor="_heading=h.fqfxkgvwrzau">
            <w:r>
              <w:rPr>
                <w:b/>
                <w:color w:val="000000"/>
                <w:sz w:val="18"/>
                <w:szCs w:val="18"/>
              </w:rPr>
              <w:t>NATIONAL IWI CHAIRS FORUM</w:t>
            </w:r>
            <w:r>
              <w:rPr>
                <w:b/>
                <w:color w:val="000000"/>
                <w:sz w:val="18"/>
                <w:szCs w:val="18"/>
              </w:rPr>
              <w:tab/>
              <w:t>3</w:t>
            </w:r>
          </w:hyperlink>
        </w:p>
        <w:p w14:paraId="67585C2A" w14:textId="77777777" w:rsidR="001902DF" w:rsidRDefault="00000000">
          <w:pPr>
            <w:tabs>
              <w:tab w:val="right" w:leader="dot" w:pos="12000"/>
            </w:tabs>
            <w:spacing w:before="60" w:after="0" w:line="240" w:lineRule="auto"/>
            <w:ind w:left="360"/>
            <w:jc w:val="left"/>
            <w:rPr>
              <w:color w:val="000000"/>
            </w:rPr>
          </w:pPr>
          <w:hyperlink w:anchor="_heading=h.m899glr8hk4u">
            <w:r>
              <w:rPr>
                <w:color w:val="000000"/>
                <w:sz w:val="18"/>
                <w:szCs w:val="18"/>
              </w:rPr>
              <w:t>Peoples’ Action Plan Against Racism in Aotearoa</w:t>
            </w:r>
            <w:r>
              <w:rPr>
                <w:color w:val="000000"/>
                <w:sz w:val="18"/>
                <w:szCs w:val="18"/>
              </w:rPr>
              <w:tab/>
              <w:t>3</w:t>
            </w:r>
          </w:hyperlink>
        </w:p>
        <w:p w14:paraId="43D4ADCB" w14:textId="77777777" w:rsidR="001902DF" w:rsidRDefault="00000000">
          <w:pPr>
            <w:tabs>
              <w:tab w:val="right" w:leader="dot" w:pos="12000"/>
            </w:tabs>
            <w:spacing w:before="60" w:after="0" w:line="240" w:lineRule="auto"/>
            <w:ind w:left="360"/>
            <w:jc w:val="left"/>
            <w:rPr>
              <w:color w:val="000000"/>
            </w:rPr>
          </w:pPr>
          <w:hyperlink w:anchor="_heading=h.uibtv0dmd4bu">
            <w:r>
              <w:rPr>
                <w:color w:val="000000"/>
                <w:sz w:val="18"/>
                <w:szCs w:val="18"/>
              </w:rPr>
              <w:t>Definition of Racism</w:t>
            </w:r>
            <w:r>
              <w:rPr>
                <w:color w:val="000000"/>
                <w:sz w:val="18"/>
                <w:szCs w:val="18"/>
              </w:rPr>
              <w:tab/>
              <w:t>3</w:t>
            </w:r>
          </w:hyperlink>
        </w:p>
        <w:p w14:paraId="511C2C39" w14:textId="77777777" w:rsidR="001902DF" w:rsidRDefault="00000000">
          <w:pPr>
            <w:tabs>
              <w:tab w:val="right" w:leader="dot" w:pos="12000"/>
            </w:tabs>
            <w:spacing w:before="60" w:after="0" w:line="240" w:lineRule="auto"/>
            <w:jc w:val="left"/>
            <w:rPr>
              <w:b/>
              <w:color w:val="000000"/>
            </w:rPr>
          </w:pPr>
          <w:hyperlink w:anchor="_heading=h.uo2hf18e6l20">
            <w:r>
              <w:rPr>
                <w:b/>
                <w:color w:val="000000"/>
                <w:sz w:val="18"/>
                <w:szCs w:val="18"/>
              </w:rPr>
              <w:t>PREVIOUS CERD COMMITTEE RECOMMENDATIONS</w:t>
            </w:r>
            <w:r>
              <w:rPr>
                <w:b/>
                <w:color w:val="000000"/>
                <w:sz w:val="18"/>
                <w:szCs w:val="18"/>
              </w:rPr>
              <w:tab/>
              <w:t>3</w:t>
            </w:r>
          </w:hyperlink>
        </w:p>
        <w:p w14:paraId="40D95AA1" w14:textId="77777777" w:rsidR="001902DF" w:rsidRDefault="00000000">
          <w:pPr>
            <w:tabs>
              <w:tab w:val="right" w:leader="dot" w:pos="12000"/>
            </w:tabs>
            <w:spacing w:before="60" w:after="0" w:line="240" w:lineRule="auto"/>
            <w:jc w:val="left"/>
            <w:rPr>
              <w:b/>
              <w:color w:val="000000"/>
            </w:rPr>
          </w:pPr>
          <w:hyperlink w:anchor="_heading=h.b0wojprx7zmw">
            <w:r>
              <w:rPr>
                <w:b/>
                <w:color w:val="000000"/>
                <w:sz w:val="18"/>
                <w:szCs w:val="18"/>
              </w:rPr>
              <w:t>COALITION AGREEMENTS</w:t>
            </w:r>
            <w:r>
              <w:rPr>
                <w:b/>
                <w:color w:val="000000"/>
                <w:sz w:val="18"/>
                <w:szCs w:val="18"/>
              </w:rPr>
              <w:tab/>
              <w:t>4</w:t>
            </w:r>
          </w:hyperlink>
        </w:p>
        <w:p w14:paraId="6D7696BF" w14:textId="77777777" w:rsidR="001902DF" w:rsidRDefault="00000000">
          <w:pPr>
            <w:tabs>
              <w:tab w:val="right" w:leader="dot" w:pos="12000"/>
            </w:tabs>
            <w:spacing w:before="60" w:after="0" w:line="240" w:lineRule="auto"/>
            <w:jc w:val="left"/>
            <w:rPr>
              <w:b/>
              <w:color w:val="000000"/>
            </w:rPr>
          </w:pPr>
          <w:hyperlink w:anchor="_heading=h.wjp2rb67l5v6">
            <w:r>
              <w:rPr>
                <w:b/>
                <w:color w:val="000000"/>
                <w:sz w:val="18"/>
                <w:szCs w:val="18"/>
              </w:rPr>
              <w:t>TE TIRITI O WAITANGI AND THE WAITANGI TRIBUNAL</w:t>
            </w:r>
            <w:r>
              <w:rPr>
                <w:b/>
                <w:color w:val="000000"/>
                <w:sz w:val="18"/>
                <w:szCs w:val="18"/>
              </w:rPr>
              <w:tab/>
              <w:t>5</w:t>
            </w:r>
          </w:hyperlink>
        </w:p>
        <w:p w14:paraId="7982096E" w14:textId="77777777" w:rsidR="001902DF" w:rsidRDefault="00000000">
          <w:pPr>
            <w:tabs>
              <w:tab w:val="right" w:leader="dot" w:pos="12000"/>
            </w:tabs>
            <w:spacing w:before="60" w:after="0" w:line="240" w:lineRule="auto"/>
            <w:ind w:left="360"/>
            <w:jc w:val="left"/>
            <w:rPr>
              <w:color w:val="000000"/>
            </w:rPr>
          </w:pPr>
          <w:hyperlink w:anchor="_heading=h.ocoep7sdsndf">
            <w:r>
              <w:rPr>
                <w:color w:val="000000"/>
                <w:sz w:val="18"/>
                <w:szCs w:val="18"/>
              </w:rPr>
              <w:t>Direct Assault Upon Te Tiriti o Waitangi</w:t>
            </w:r>
            <w:r>
              <w:rPr>
                <w:color w:val="000000"/>
                <w:sz w:val="18"/>
                <w:szCs w:val="18"/>
              </w:rPr>
              <w:tab/>
              <w:t>5</w:t>
            </w:r>
          </w:hyperlink>
        </w:p>
        <w:p w14:paraId="0CB0BE78" w14:textId="77777777" w:rsidR="001902DF" w:rsidRDefault="00000000">
          <w:pPr>
            <w:tabs>
              <w:tab w:val="right" w:leader="dot" w:pos="12000"/>
            </w:tabs>
            <w:spacing w:before="60" w:after="0" w:line="240" w:lineRule="auto"/>
            <w:ind w:left="360"/>
            <w:jc w:val="left"/>
            <w:rPr>
              <w:color w:val="000000"/>
            </w:rPr>
          </w:pPr>
          <w:hyperlink w:anchor="_heading=h.biynlico40f1">
            <w:r>
              <w:rPr>
                <w:color w:val="000000"/>
                <w:sz w:val="18"/>
                <w:szCs w:val="18"/>
              </w:rPr>
              <w:t>Treaty Principles Bill</w:t>
            </w:r>
            <w:r>
              <w:rPr>
                <w:color w:val="000000"/>
                <w:sz w:val="18"/>
                <w:szCs w:val="18"/>
              </w:rPr>
              <w:tab/>
              <w:t>5</w:t>
            </w:r>
          </w:hyperlink>
        </w:p>
        <w:p w14:paraId="7387BEA8" w14:textId="77777777" w:rsidR="001902DF" w:rsidRDefault="00000000">
          <w:pPr>
            <w:tabs>
              <w:tab w:val="right" w:leader="dot" w:pos="12000"/>
            </w:tabs>
            <w:spacing w:before="60" w:after="0" w:line="240" w:lineRule="auto"/>
            <w:ind w:left="360"/>
            <w:jc w:val="left"/>
            <w:rPr>
              <w:color w:val="000000"/>
            </w:rPr>
          </w:pPr>
          <w:hyperlink w:anchor="_heading=h.9ntjtf6wiurn">
            <w:r>
              <w:rPr>
                <w:color w:val="000000"/>
                <w:sz w:val="18"/>
                <w:szCs w:val="18"/>
              </w:rPr>
              <w:t>Incitement of Hate through Treaty Principles Bill</w:t>
            </w:r>
            <w:r>
              <w:rPr>
                <w:color w:val="000000"/>
                <w:sz w:val="18"/>
                <w:szCs w:val="18"/>
              </w:rPr>
              <w:tab/>
              <w:t>6</w:t>
            </w:r>
          </w:hyperlink>
        </w:p>
        <w:p w14:paraId="39AA34A8" w14:textId="77777777" w:rsidR="001902DF" w:rsidRDefault="00000000">
          <w:pPr>
            <w:tabs>
              <w:tab w:val="right" w:leader="dot" w:pos="12000"/>
            </w:tabs>
            <w:spacing w:before="60" w:after="0" w:line="240" w:lineRule="auto"/>
            <w:ind w:left="360"/>
            <w:jc w:val="left"/>
            <w:rPr>
              <w:color w:val="000000"/>
            </w:rPr>
          </w:pPr>
          <w:hyperlink w:anchor="_heading=h.fipfx0g5l8op">
            <w:r>
              <w:rPr>
                <w:color w:val="000000"/>
                <w:sz w:val="18"/>
                <w:szCs w:val="18"/>
              </w:rPr>
              <w:t>Regulatory Standards Bill</w:t>
            </w:r>
            <w:r>
              <w:rPr>
                <w:color w:val="000000"/>
                <w:sz w:val="18"/>
                <w:szCs w:val="18"/>
              </w:rPr>
              <w:tab/>
              <w:t>6</w:t>
            </w:r>
          </w:hyperlink>
        </w:p>
        <w:p w14:paraId="51B2F429" w14:textId="77777777" w:rsidR="001902DF" w:rsidRDefault="00000000">
          <w:pPr>
            <w:tabs>
              <w:tab w:val="right" w:leader="dot" w:pos="12000"/>
            </w:tabs>
            <w:spacing w:before="60" w:after="0" w:line="240" w:lineRule="auto"/>
            <w:ind w:left="360"/>
            <w:jc w:val="left"/>
            <w:rPr>
              <w:color w:val="000000"/>
            </w:rPr>
          </w:pPr>
          <w:hyperlink w:anchor="_heading=h.56vb9a5vbm8j">
            <w:r>
              <w:rPr>
                <w:color w:val="000000"/>
                <w:sz w:val="18"/>
                <w:szCs w:val="18"/>
              </w:rPr>
              <w:t>Treaty Clause Review</w:t>
            </w:r>
            <w:r>
              <w:rPr>
                <w:color w:val="000000"/>
                <w:sz w:val="18"/>
                <w:szCs w:val="18"/>
              </w:rPr>
              <w:tab/>
              <w:t>7</w:t>
            </w:r>
          </w:hyperlink>
        </w:p>
        <w:p w14:paraId="594DAEA5" w14:textId="77777777" w:rsidR="001902DF" w:rsidRDefault="00000000">
          <w:pPr>
            <w:tabs>
              <w:tab w:val="right" w:leader="dot" w:pos="12000"/>
            </w:tabs>
            <w:spacing w:before="60" w:after="0" w:line="240" w:lineRule="auto"/>
            <w:ind w:left="360"/>
            <w:jc w:val="left"/>
            <w:rPr>
              <w:color w:val="000000"/>
            </w:rPr>
          </w:pPr>
          <w:hyperlink w:anchor="_heading=h.rp0dknstmzq6">
            <w:r>
              <w:rPr>
                <w:color w:val="000000"/>
                <w:sz w:val="18"/>
                <w:szCs w:val="18"/>
              </w:rPr>
              <w:t>Waitangi Tribunal on the Treaty Principles Bill, Treaty Clause Review and Regulatory Standards Bill</w:t>
            </w:r>
            <w:r>
              <w:rPr>
                <w:color w:val="000000"/>
                <w:sz w:val="18"/>
                <w:szCs w:val="18"/>
              </w:rPr>
              <w:tab/>
              <w:t>8</w:t>
            </w:r>
          </w:hyperlink>
        </w:p>
        <w:p w14:paraId="1431E369" w14:textId="77777777" w:rsidR="001902DF" w:rsidRDefault="00000000">
          <w:pPr>
            <w:tabs>
              <w:tab w:val="right" w:leader="dot" w:pos="12000"/>
            </w:tabs>
            <w:spacing w:before="60" w:after="0" w:line="240" w:lineRule="auto"/>
            <w:ind w:left="360"/>
            <w:jc w:val="left"/>
            <w:rPr>
              <w:color w:val="000000"/>
            </w:rPr>
          </w:pPr>
          <w:hyperlink w:anchor="_heading=h.ycujp27rl6fg">
            <w:r>
              <w:rPr>
                <w:color w:val="000000"/>
                <w:sz w:val="18"/>
                <w:szCs w:val="18"/>
              </w:rPr>
              <w:t>Hostility towards the Waitangi Tribunal</w:t>
            </w:r>
            <w:r>
              <w:rPr>
                <w:color w:val="000000"/>
                <w:sz w:val="18"/>
                <w:szCs w:val="18"/>
              </w:rPr>
              <w:tab/>
              <w:t>8</w:t>
            </w:r>
          </w:hyperlink>
        </w:p>
        <w:p w14:paraId="58EDE319" w14:textId="77777777" w:rsidR="001902DF" w:rsidRDefault="00000000">
          <w:pPr>
            <w:tabs>
              <w:tab w:val="right" w:leader="dot" w:pos="12000"/>
            </w:tabs>
            <w:spacing w:before="60" w:after="0" w:line="240" w:lineRule="auto"/>
            <w:ind w:left="360"/>
            <w:jc w:val="left"/>
            <w:rPr>
              <w:color w:val="000000"/>
            </w:rPr>
          </w:pPr>
          <w:hyperlink w:anchor="_heading=h.vu7nc616efnf">
            <w:r>
              <w:rPr>
                <w:color w:val="000000"/>
                <w:sz w:val="18"/>
                <w:szCs w:val="18"/>
              </w:rPr>
              <w:t>Treaty Racism</w:t>
            </w:r>
            <w:r>
              <w:rPr>
                <w:color w:val="000000"/>
                <w:sz w:val="18"/>
                <w:szCs w:val="18"/>
              </w:rPr>
              <w:tab/>
              <w:t>9</w:t>
            </w:r>
          </w:hyperlink>
        </w:p>
        <w:p w14:paraId="392E1983" w14:textId="77777777" w:rsidR="001902DF" w:rsidRDefault="00000000">
          <w:pPr>
            <w:tabs>
              <w:tab w:val="right" w:leader="dot" w:pos="12000"/>
            </w:tabs>
            <w:spacing w:before="60" w:after="0" w:line="240" w:lineRule="auto"/>
            <w:jc w:val="left"/>
            <w:rPr>
              <w:b/>
              <w:color w:val="000000"/>
            </w:rPr>
          </w:pPr>
          <w:hyperlink w:anchor="_heading=h.lyt28bksa787">
            <w:r>
              <w:rPr>
                <w:b/>
                <w:color w:val="000000"/>
                <w:sz w:val="18"/>
                <w:szCs w:val="18"/>
              </w:rPr>
              <w:t>HEALTH</w:t>
            </w:r>
            <w:r>
              <w:rPr>
                <w:b/>
                <w:color w:val="000000"/>
                <w:sz w:val="18"/>
                <w:szCs w:val="18"/>
              </w:rPr>
              <w:tab/>
              <w:t>9</w:t>
            </w:r>
          </w:hyperlink>
        </w:p>
        <w:p w14:paraId="389591DA" w14:textId="77777777" w:rsidR="001902DF" w:rsidRDefault="00000000">
          <w:pPr>
            <w:tabs>
              <w:tab w:val="right" w:leader="dot" w:pos="12000"/>
            </w:tabs>
            <w:spacing w:before="60" w:after="0" w:line="240" w:lineRule="auto"/>
            <w:jc w:val="left"/>
            <w:rPr>
              <w:b/>
              <w:color w:val="000000"/>
            </w:rPr>
          </w:pPr>
          <w:hyperlink w:anchor="_heading=h.l6i4kfp24qbv">
            <w:r>
              <w:rPr>
                <w:b/>
                <w:color w:val="000000"/>
                <w:sz w:val="18"/>
                <w:szCs w:val="18"/>
              </w:rPr>
              <w:t>CHILDREN AND FAMILY</w:t>
            </w:r>
            <w:r>
              <w:rPr>
                <w:b/>
                <w:color w:val="000000"/>
                <w:sz w:val="18"/>
                <w:szCs w:val="18"/>
              </w:rPr>
              <w:tab/>
              <w:t>11</w:t>
            </w:r>
          </w:hyperlink>
        </w:p>
        <w:p w14:paraId="5D093B2D" w14:textId="77777777" w:rsidR="001902DF" w:rsidRDefault="00000000">
          <w:pPr>
            <w:tabs>
              <w:tab w:val="right" w:leader="dot" w:pos="12000"/>
            </w:tabs>
            <w:spacing w:before="60" w:after="0" w:line="240" w:lineRule="auto"/>
            <w:jc w:val="left"/>
            <w:rPr>
              <w:b/>
              <w:color w:val="000000"/>
            </w:rPr>
          </w:pPr>
          <w:hyperlink w:anchor="_heading=h.5nq15cbfq6dt">
            <w:r>
              <w:rPr>
                <w:b/>
                <w:color w:val="000000"/>
                <w:sz w:val="18"/>
                <w:szCs w:val="18"/>
              </w:rPr>
              <w:t>RACIALISED DEMOCRATIC CORROSION</w:t>
            </w:r>
            <w:r>
              <w:rPr>
                <w:b/>
                <w:color w:val="000000"/>
                <w:sz w:val="18"/>
                <w:szCs w:val="18"/>
              </w:rPr>
              <w:tab/>
              <w:t>13</w:t>
            </w:r>
          </w:hyperlink>
        </w:p>
        <w:p w14:paraId="4630052A" w14:textId="77777777" w:rsidR="001902DF" w:rsidRDefault="00000000">
          <w:pPr>
            <w:tabs>
              <w:tab w:val="right" w:leader="dot" w:pos="12000"/>
            </w:tabs>
            <w:spacing w:before="60" w:after="0" w:line="240" w:lineRule="auto"/>
            <w:jc w:val="left"/>
            <w:rPr>
              <w:b/>
              <w:color w:val="000000"/>
            </w:rPr>
          </w:pPr>
          <w:hyperlink w:anchor="_heading=h.rswbh8iwurh5">
            <w:r>
              <w:rPr>
                <w:b/>
                <w:color w:val="000000"/>
                <w:sz w:val="18"/>
                <w:szCs w:val="18"/>
              </w:rPr>
              <w:t>CESSATION OF RESPONSE TO RECOMMENDATIONS FROM THE ROYAL COMMISSION OF INQUIRY INTO THE MARCH 15TH TERRORIST ATTACK ON CHRISTCHURCH MOSQUES</w:t>
            </w:r>
            <w:r>
              <w:rPr>
                <w:b/>
                <w:color w:val="000000"/>
                <w:sz w:val="18"/>
                <w:szCs w:val="18"/>
              </w:rPr>
              <w:tab/>
              <w:t>13</w:t>
            </w:r>
          </w:hyperlink>
        </w:p>
        <w:p w14:paraId="3B42F19A" w14:textId="77777777" w:rsidR="001902DF" w:rsidRDefault="00000000">
          <w:pPr>
            <w:tabs>
              <w:tab w:val="right" w:leader="dot" w:pos="12000"/>
            </w:tabs>
            <w:spacing w:before="60" w:after="0" w:line="240" w:lineRule="auto"/>
            <w:jc w:val="left"/>
            <w:rPr>
              <w:b/>
              <w:color w:val="000000"/>
            </w:rPr>
          </w:pPr>
          <w:hyperlink w:anchor="_heading=h.bayx6o8zqsvw">
            <w:r>
              <w:rPr>
                <w:b/>
                <w:color w:val="000000"/>
                <w:sz w:val="18"/>
                <w:szCs w:val="18"/>
              </w:rPr>
              <w:t>PALESTINE</w:t>
            </w:r>
            <w:r>
              <w:rPr>
                <w:b/>
                <w:color w:val="000000"/>
                <w:sz w:val="18"/>
                <w:szCs w:val="18"/>
              </w:rPr>
              <w:tab/>
              <w:t>14</w:t>
            </w:r>
          </w:hyperlink>
        </w:p>
        <w:p w14:paraId="123B7684" w14:textId="77777777" w:rsidR="001902DF" w:rsidRDefault="00000000">
          <w:pPr>
            <w:tabs>
              <w:tab w:val="right" w:leader="dot" w:pos="12000"/>
            </w:tabs>
            <w:spacing w:before="60" w:after="0" w:line="240" w:lineRule="auto"/>
            <w:jc w:val="left"/>
            <w:rPr>
              <w:b/>
              <w:color w:val="000000"/>
            </w:rPr>
          </w:pPr>
          <w:hyperlink w:anchor="_heading=h.4mnh5ydkx0bc">
            <w:r>
              <w:rPr>
                <w:b/>
                <w:color w:val="000000"/>
                <w:sz w:val="18"/>
                <w:szCs w:val="18"/>
              </w:rPr>
              <w:t>RACIALISED ENVIRONMENTAL LEGISLATION</w:t>
            </w:r>
            <w:r>
              <w:rPr>
                <w:b/>
                <w:color w:val="000000"/>
                <w:sz w:val="18"/>
                <w:szCs w:val="18"/>
              </w:rPr>
              <w:tab/>
              <w:t>15</w:t>
            </w:r>
          </w:hyperlink>
        </w:p>
        <w:p w14:paraId="0E3E6A11" w14:textId="77777777" w:rsidR="001902DF" w:rsidRDefault="00000000">
          <w:pPr>
            <w:tabs>
              <w:tab w:val="right" w:leader="dot" w:pos="12000"/>
            </w:tabs>
            <w:spacing w:before="60" w:after="0" w:line="240" w:lineRule="auto"/>
            <w:ind w:left="360"/>
            <w:jc w:val="left"/>
            <w:rPr>
              <w:color w:val="000000"/>
            </w:rPr>
          </w:pPr>
          <w:hyperlink w:anchor="_heading=h.uwkykploflt1">
            <w:r>
              <w:rPr>
                <w:color w:val="000000"/>
                <w:sz w:val="18"/>
                <w:szCs w:val="18"/>
              </w:rPr>
              <w:t>Marine and Coastal Area Amendment Bill (MACA)</w:t>
            </w:r>
            <w:r>
              <w:rPr>
                <w:color w:val="000000"/>
                <w:sz w:val="18"/>
                <w:szCs w:val="18"/>
              </w:rPr>
              <w:tab/>
              <w:t>15</w:t>
            </w:r>
          </w:hyperlink>
        </w:p>
        <w:p w14:paraId="0B77C5ED" w14:textId="77777777" w:rsidR="001902DF" w:rsidRDefault="00000000">
          <w:pPr>
            <w:tabs>
              <w:tab w:val="right" w:leader="dot" w:pos="12000"/>
            </w:tabs>
            <w:spacing w:before="60" w:after="0" w:line="240" w:lineRule="auto"/>
            <w:ind w:left="360"/>
            <w:jc w:val="left"/>
            <w:rPr>
              <w:color w:val="000000"/>
            </w:rPr>
          </w:pPr>
          <w:hyperlink w:anchor="_heading=h.hssm3r2gk2x">
            <w:r>
              <w:rPr>
                <w:color w:val="000000"/>
                <w:sz w:val="18"/>
                <w:szCs w:val="18"/>
              </w:rPr>
              <w:t>Resource Management Changes</w:t>
            </w:r>
            <w:r>
              <w:rPr>
                <w:color w:val="000000"/>
                <w:sz w:val="18"/>
                <w:szCs w:val="18"/>
              </w:rPr>
              <w:tab/>
              <w:t>15</w:t>
            </w:r>
          </w:hyperlink>
        </w:p>
        <w:p w14:paraId="0CF0CDF9" w14:textId="77777777" w:rsidR="001902DF" w:rsidRDefault="00000000">
          <w:pPr>
            <w:tabs>
              <w:tab w:val="right" w:leader="dot" w:pos="12000"/>
            </w:tabs>
            <w:spacing w:before="60" w:after="0" w:line="240" w:lineRule="auto"/>
            <w:ind w:left="360"/>
            <w:jc w:val="left"/>
            <w:rPr>
              <w:color w:val="000000"/>
            </w:rPr>
          </w:pPr>
          <w:hyperlink w:anchor="_heading=h.30asa3bdon3t">
            <w:r>
              <w:rPr>
                <w:color w:val="000000"/>
                <w:sz w:val="18"/>
                <w:szCs w:val="18"/>
              </w:rPr>
              <w:t>Crown Minerals</w:t>
            </w:r>
            <w:r>
              <w:rPr>
                <w:color w:val="000000"/>
                <w:sz w:val="18"/>
                <w:szCs w:val="18"/>
              </w:rPr>
              <w:tab/>
              <w:t>16</w:t>
            </w:r>
          </w:hyperlink>
        </w:p>
        <w:p w14:paraId="0D1A77C4" w14:textId="77777777" w:rsidR="001902DF" w:rsidRDefault="00000000">
          <w:pPr>
            <w:tabs>
              <w:tab w:val="right" w:leader="dot" w:pos="12000"/>
            </w:tabs>
            <w:spacing w:before="60" w:after="0" w:line="240" w:lineRule="auto"/>
            <w:ind w:left="360"/>
            <w:jc w:val="left"/>
            <w:rPr>
              <w:color w:val="000000"/>
            </w:rPr>
          </w:pPr>
          <w:hyperlink w:anchor="_heading=h.n3ued8f6msap">
            <w:r>
              <w:rPr>
                <w:color w:val="000000"/>
                <w:sz w:val="18"/>
                <w:szCs w:val="18"/>
              </w:rPr>
              <w:t>Fast-Track Approvals</w:t>
            </w:r>
            <w:r>
              <w:rPr>
                <w:color w:val="000000"/>
                <w:sz w:val="18"/>
                <w:szCs w:val="18"/>
              </w:rPr>
              <w:tab/>
              <w:t>16</w:t>
            </w:r>
          </w:hyperlink>
        </w:p>
        <w:p w14:paraId="4B71576B" w14:textId="77777777" w:rsidR="001902DF" w:rsidRDefault="00000000">
          <w:pPr>
            <w:tabs>
              <w:tab w:val="right" w:leader="dot" w:pos="12000"/>
            </w:tabs>
            <w:spacing w:before="60" w:after="0" w:line="240" w:lineRule="auto"/>
            <w:jc w:val="left"/>
            <w:rPr>
              <w:b/>
              <w:color w:val="000000"/>
            </w:rPr>
          </w:pPr>
          <w:hyperlink w:anchor="_heading=h.j7v5u4azx1sr">
            <w:r>
              <w:rPr>
                <w:b/>
                <w:color w:val="000000"/>
                <w:sz w:val="18"/>
                <w:szCs w:val="18"/>
              </w:rPr>
              <w:t>EDUCATION AND RESEARCH</w:t>
            </w:r>
            <w:r>
              <w:rPr>
                <w:b/>
                <w:color w:val="000000"/>
                <w:sz w:val="18"/>
                <w:szCs w:val="18"/>
              </w:rPr>
              <w:tab/>
              <w:t>16</w:t>
            </w:r>
          </w:hyperlink>
        </w:p>
        <w:p w14:paraId="56338D12" w14:textId="77777777" w:rsidR="001902DF" w:rsidRDefault="00000000">
          <w:pPr>
            <w:tabs>
              <w:tab w:val="right" w:leader="dot" w:pos="12000"/>
            </w:tabs>
            <w:spacing w:before="60" w:after="0" w:line="240" w:lineRule="auto"/>
            <w:ind w:left="360"/>
            <w:jc w:val="left"/>
            <w:rPr>
              <w:color w:val="000000"/>
            </w:rPr>
          </w:pPr>
          <w:hyperlink w:anchor="_heading=h.2ywm4v4juoq0">
            <w:r>
              <w:rPr>
                <w:color w:val="000000"/>
              </w:rPr>
              <w:t>Te Reo Māori, Mātauranga Māori and Te Tiriti o Waitangi in Education</w:t>
            </w:r>
            <w:r>
              <w:rPr>
                <w:color w:val="000000"/>
              </w:rPr>
              <w:tab/>
              <w:t>16</w:t>
            </w:r>
          </w:hyperlink>
        </w:p>
        <w:p w14:paraId="12B7C648" w14:textId="77777777" w:rsidR="001902DF" w:rsidRDefault="00000000">
          <w:pPr>
            <w:tabs>
              <w:tab w:val="right" w:leader="dot" w:pos="12000"/>
            </w:tabs>
            <w:spacing w:before="60" w:after="0" w:line="240" w:lineRule="auto"/>
            <w:ind w:left="360"/>
            <w:jc w:val="left"/>
            <w:rPr>
              <w:color w:val="000000"/>
            </w:rPr>
          </w:pPr>
          <w:hyperlink w:anchor="_heading=h.218udc7xl4g8">
            <w:r>
              <w:rPr>
                <w:color w:val="000000"/>
              </w:rPr>
              <w:t>Changes to Research Funding</w:t>
            </w:r>
            <w:r>
              <w:rPr>
                <w:color w:val="000000"/>
              </w:rPr>
              <w:tab/>
              <w:t>16</w:t>
            </w:r>
          </w:hyperlink>
        </w:p>
        <w:p w14:paraId="2F3E6A5C" w14:textId="77777777" w:rsidR="001902DF" w:rsidRDefault="00000000">
          <w:pPr>
            <w:tabs>
              <w:tab w:val="right" w:leader="dot" w:pos="12000"/>
            </w:tabs>
            <w:spacing w:before="60" w:after="0" w:line="240" w:lineRule="auto"/>
            <w:jc w:val="left"/>
            <w:rPr>
              <w:b/>
              <w:color w:val="000000"/>
            </w:rPr>
          </w:pPr>
          <w:hyperlink w:anchor="_heading=h.lir8bsjewnj">
            <w:r>
              <w:rPr>
                <w:b/>
                <w:color w:val="000000"/>
                <w:sz w:val="18"/>
                <w:szCs w:val="18"/>
              </w:rPr>
              <w:t>JUSTICE</w:t>
            </w:r>
            <w:r>
              <w:rPr>
                <w:b/>
                <w:color w:val="000000"/>
                <w:sz w:val="18"/>
                <w:szCs w:val="18"/>
              </w:rPr>
              <w:tab/>
              <w:t>17</w:t>
            </w:r>
          </w:hyperlink>
        </w:p>
        <w:p w14:paraId="088319BA" w14:textId="77777777" w:rsidR="001902DF" w:rsidRDefault="00000000">
          <w:pPr>
            <w:tabs>
              <w:tab w:val="right" w:leader="dot" w:pos="12000"/>
            </w:tabs>
            <w:spacing w:before="60" w:after="0" w:line="240" w:lineRule="auto"/>
            <w:ind w:left="360"/>
            <w:jc w:val="left"/>
            <w:rPr>
              <w:color w:val="000000"/>
            </w:rPr>
          </w:pPr>
          <w:hyperlink w:anchor="_heading=h.rsfdjl9xcbqd">
            <w:r>
              <w:rPr>
                <w:color w:val="000000"/>
                <w:sz w:val="18"/>
                <w:szCs w:val="18"/>
              </w:rPr>
              <w:t>Gangs Legislation Act 2024 and Sentencing (Reform) Amendment Act 2024</w:t>
            </w:r>
            <w:r>
              <w:rPr>
                <w:color w:val="000000"/>
                <w:sz w:val="18"/>
                <w:szCs w:val="18"/>
              </w:rPr>
              <w:tab/>
              <w:t>17</w:t>
            </w:r>
          </w:hyperlink>
        </w:p>
        <w:p w14:paraId="287EA0EE" w14:textId="77777777" w:rsidR="001902DF" w:rsidRDefault="00000000">
          <w:pPr>
            <w:tabs>
              <w:tab w:val="right" w:leader="dot" w:pos="12000"/>
            </w:tabs>
            <w:spacing w:before="60" w:after="0" w:line="240" w:lineRule="auto"/>
            <w:ind w:left="360"/>
            <w:jc w:val="left"/>
            <w:rPr>
              <w:color w:val="000000"/>
            </w:rPr>
          </w:pPr>
          <w:hyperlink w:anchor="_heading=h.njsz80hsk78p">
            <w:r>
              <w:rPr>
                <w:color w:val="000000"/>
                <w:sz w:val="18"/>
                <w:szCs w:val="18"/>
              </w:rPr>
              <w:t>The Legal Services Amendment Act 2024</w:t>
            </w:r>
            <w:r>
              <w:rPr>
                <w:color w:val="000000"/>
                <w:sz w:val="18"/>
                <w:szCs w:val="18"/>
              </w:rPr>
              <w:tab/>
              <w:t>17</w:t>
            </w:r>
          </w:hyperlink>
        </w:p>
        <w:p w14:paraId="1CF09252" w14:textId="77777777" w:rsidR="001902DF" w:rsidRDefault="00000000">
          <w:pPr>
            <w:tabs>
              <w:tab w:val="right" w:leader="dot" w:pos="12000"/>
            </w:tabs>
            <w:spacing w:before="60" w:after="0" w:line="240" w:lineRule="auto"/>
            <w:jc w:val="left"/>
            <w:rPr>
              <w:b/>
              <w:color w:val="000000"/>
            </w:rPr>
          </w:pPr>
          <w:hyperlink w:anchor="_heading=h.3khaq01n4bdi">
            <w:r>
              <w:rPr>
                <w:b/>
                <w:color w:val="000000"/>
                <w:sz w:val="18"/>
                <w:szCs w:val="18"/>
              </w:rPr>
              <w:t>SUPPRESSION OF LANGUAGE AND CULTURE</w:t>
            </w:r>
            <w:r>
              <w:rPr>
                <w:b/>
                <w:color w:val="000000"/>
                <w:sz w:val="18"/>
                <w:szCs w:val="18"/>
              </w:rPr>
              <w:tab/>
              <w:t>18</w:t>
            </w:r>
          </w:hyperlink>
        </w:p>
        <w:p w14:paraId="542A0EAF" w14:textId="77777777" w:rsidR="001902DF" w:rsidRDefault="00000000">
          <w:pPr>
            <w:tabs>
              <w:tab w:val="right" w:leader="dot" w:pos="12000"/>
            </w:tabs>
            <w:spacing w:before="60" w:after="0" w:line="240" w:lineRule="auto"/>
            <w:jc w:val="left"/>
            <w:rPr>
              <w:b/>
              <w:color w:val="000000"/>
            </w:rPr>
          </w:pPr>
          <w:hyperlink w:anchor="_heading=h.f4vs6s2is6y1">
            <w:r>
              <w:rPr>
                <w:b/>
                <w:color w:val="000000"/>
                <w:sz w:val="18"/>
                <w:szCs w:val="18"/>
              </w:rPr>
              <w:t>RACIALISED MISCONDUCT BY ELECTED OFFICIALS</w:t>
            </w:r>
            <w:r>
              <w:rPr>
                <w:b/>
                <w:color w:val="000000"/>
                <w:sz w:val="18"/>
                <w:szCs w:val="18"/>
              </w:rPr>
              <w:tab/>
              <w:t>19</w:t>
            </w:r>
          </w:hyperlink>
        </w:p>
        <w:p w14:paraId="6C822092" w14:textId="77777777" w:rsidR="001902DF" w:rsidRDefault="00000000">
          <w:pPr>
            <w:tabs>
              <w:tab w:val="right" w:leader="dot" w:pos="12000"/>
            </w:tabs>
            <w:spacing w:before="60" w:after="0" w:line="240" w:lineRule="auto"/>
            <w:ind w:left="360"/>
            <w:jc w:val="left"/>
            <w:rPr>
              <w:color w:val="000000"/>
            </w:rPr>
          </w:pPr>
          <w:hyperlink w:anchor="_heading=h.yl5sot8vfh0">
            <w:r>
              <w:rPr>
                <w:color w:val="000000"/>
                <w:sz w:val="18"/>
                <w:szCs w:val="18"/>
              </w:rPr>
              <w:t>Propaganda And Abuse By Elected Officials</w:t>
            </w:r>
            <w:r>
              <w:rPr>
                <w:color w:val="000000"/>
                <w:sz w:val="18"/>
                <w:szCs w:val="18"/>
              </w:rPr>
              <w:tab/>
              <w:t>19</w:t>
            </w:r>
          </w:hyperlink>
        </w:p>
        <w:p w14:paraId="57286870" w14:textId="77777777" w:rsidR="001902DF" w:rsidRDefault="00000000">
          <w:pPr>
            <w:tabs>
              <w:tab w:val="right" w:leader="dot" w:pos="12000"/>
            </w:tabs>
            <w:spacing w:before="60" w:after="0" w:line="240" w:lineRule="auto"/>
            <w:ind w:left="360"/>
            <w:jc w:val="left"/>
            <w:rPr>
              <w:color w:val="000000"/>
            </w:rPr>
          </w:pPr>
          <w:hyperlink w:anchor="_heading=h.6e00kqb89db9">
            <w:r>
              <w:rPr>
                <w:color w:val="000000"/>
                <w:sz w:val="18"/>
                <w:szCs w:val="18"/>
              </w:rPr>
              <w:t>Weaponisation of Human Rights Language</w:t>
            </w:r>
            <w:r>
              <w:rPr>
                <w:color w:val="000000"/>
                <w:sz w:val="18"/>
                <w:szCs w:val="18"/>
              </w:rPr>
              <w:tab/>
              <w:t>19</w:t>
            </w:r>
          </w:hyperlink>
        </w:p>
        <w:p w14:paraId="443B8401" w14:textId="77777777" w:rsidR="001902DF" w:rsidRDefault="00000000">
          <w:pPr>
            <w:tabs>
              <w:tab w:val="right" w:leader="dot" w:pos="12000"/>
            </w:tabs>
            <w:spacing w:before="60" w:after="0" w:line="240" w:lineRule="auto"/>
            <w:jc w:val="left"/>
            <w:rPr>
              <w:b/>
              <w:color w:val="000000"/>
            </w:rPr>
          </w:pPr>
          <w:hyperlink w:anchor="_heading=h.7bgf143g00rc">
            <w:r>
              <w:rPr>
                <w:b/>
                <w:color w:val="000000"/>
                <w:sz w:val="18"/>
                <w:szCs w:val="18"/>
              </w:rPr>
              <w:t>RECOMMENDATIONS</w:t>
            </w:r>
            <w:r>
              <w:rPr>
                <w:b/>
                <w:color w:val="000000"/>
                <w:sz w:val="18"/>
                <w:szCs w:val="18"/>
              </w:rPr>
              <w:tab/>
              <w:t>20</w:t>
            </w:r>
          </w:hyperlink>
        </w:p>
        <w:p w14:paraId="3A43E2BF" w14:textId="77777777" w:rsidR="001902DF" w:rsidRDefault="00000000">
          <w:pPr>
            <w:tabs>
              <w:tab w:val="right" w:leader="dot" w:pos="12000"/>
            </w:tabs>
            <w:spacing w:before="60" w:after="0" w:line="240" w:lineRule="auto"/>
            <w:ind w:left="720"/>
            <w:jc w:val="left"/>
            <w:rPr>
              <w:color w:val="000000"/>
            </w:rPr>
          </w:pPr>
          <w:hyperlink w:anchor="_heading=h.qmq0m4ewr43u">
            <w:r>
              <w:rPr>
                <w:color w:val="000000"/>
                <w:sz w:val="18"/>
                <w:szCs w:val="18"/>
              </w:rPr>
              <w:t>Te Tiriti o Waitangi &amp; Constitutional Issues</w:t>
            </w:r>
            <w:r>
              <w:rPr>
                <w:color w:val="000000"/>
                <w:sz w:val="18"/>
                <w:szCs w:val="18"/>
              </w:rPr>
              <w:tab/>
              <w:t>20</w:t>
            </w:r>
          </w:hyperlink>
        </w:p>
        <w:p w14:paraId="595E7EB2" w14:textId="77777777" w:rsidR="001902DF" w:rsidRDefault="00000000">
          <w:pPr>
            <w:tabs>
              <w:tab w:val="right" w:leader="dot" w:pos="12000"/>
            </w:tabs>
            <w:spacing w:before="60" w:after="0" w:line="240" w:lineRule="auto"/>
            <w:ind w:left="720"/>
            <w:jc w:val="left"/>
            <w:rPr>
              <w:color w:val="000000"/>
            </w:rPr>
          </w:pPr>
          <w:hyperlink w:anchor="_heading=h.2bpn0bsf6zhv">
            <w:r>
              <w:rPr>
                <w:color w:val="000000"/>
                <w:sz w:val="18"/>
                <w:szCs w:val="18"/>
              </w:rPr>
              <w:t>Racism, Hate Speech &amp; Democratic Participation</w:t>
            </w:r>
            <w:r>
              <w:rPr>
                <w:color w:val="000000"/>
                <w:sz w:val="18"/>
                <w:szCs w:val="18"/>
              </w:rPr>
              <w:tab/>
              <w:t>21</w:t>
            </w:r>
          </w:hyperlink>
        </w:p>
        <w:p w14:paraId="192F4D2E" w14:textId="77777777" w:rsidR="001902DF" w:rsidRDefault="00000000">
          <w:pPr>
            <w:tabs>
              <w:tab w:val="right" w:leader="dot" w:pos="12000"/>
            </w:tabs>
            <w:spacing w:before="60" w:after="0" w:line="240" w:lineRule="auto"/>
            <w:ind w:left="720"/>
            <w:jc w:val="left"/>
            <w:rPr>
              <w:color w:val="000000"/>
            </w:rPr>
          </w:pPr>
          <w:hyperlink w:anchor="_heading=h.delbb9lwhayr">
            <w:r>
              <w:rPr>
                <w:color w:val="000000"/>
                <w:sz w:val="18"/>
                <w:szCs w:val="18"/>
              </w:rPr>
              <w:t>Health, Housing &amp; Social Rights</w:t>
            </w:r>
            <w:r>
              <w:rPr>
                <w:color w:val="000000"/>
                <w:sz w:val="18"/>
                <w:szCs w:val="18"/>
              </w:rPr>
              <w:tab/>
              <w:t>21</w:t>
            </w:r>
          </w:hyperlink>
        </w:p>
        <w:p w14:paraId="46B0A15F" w14:textId="77777777" w:rsidR="001902DF" w:rsidRDefault="00000000">
          <w:pPr>
            <w:tabs>
              <w:tab w:val="right" w:leader="dot" w:pos="12000"/>
            </w:tabs>
            <w:spacing w:before="60" w:after="0" w:line="240" w:lineRule="auto"/>
            <w:ind w:left="720"/>
            <w:jc w:val="left"/>
            <w:rPr>
              <w:color w:val="000000"/>
            </w:rPr>
          </w:pPr>
          <w:hyperlink w:anchor="_heading=h.239gsap55cda">
            <w:r>
              <w:rPr>
                <w:color w:val="000000"/>
                <w:sz w:val="18"/>
                <w:szCs w:val="18"/>
              </w:rPr>
              <w:t>Children, Families &amp; Justice</w:t>
            </w:r>
            <w:r>
              <w:rPr>
                <w:color w:val="000000"/>
                <w:sz w:val="18"/>
                <w:szCs w:val="18"/>
              </w:rPr>
              <w:tab/>
              <w:t>21</w:t>
            </w:r>
          </w:hyperlink>
        </w:p>
        <w:p w14:paraId="012B942E" w14:textId="77777777" w:rsidR="001902DF" w:rsidRDefault="00000000">
          <w:pPr>
            <w:tabs>
              <w:tab w:val="right" w:leader="dot" w:pos="12000"/>
            </w:tabs>
            <w:spacing w:before="60" w:after="0" w:line="240" w:lineRule="auto"/>
            <w:ind w:left="720"/>
            <w:jc w:val="left"/>
            <w:rPr>
              <w:color w:val="000000"/>
            </w:rPr>
          </w:pPr>
          <w:hyperlink w:anchor="_heading=h.fatn7tejnk64">
            <w:r>
              <w:rPr>
                <w:color w:val="000000"/>
                <w:sz w:val="18"/>
                <w:szCs w:val="18"/>
              </w:rPr>
              <w:t>Education, Language &amp; Culture</w:t>
            </w:r>
            <w:r>
              <w:rPr>
                <w:color w:val="000000"/>
                <w:sz w:val="18"/>
                <w:szCs w:val="18"/>
              </w:rPr>
              <w:tab/>
              <w:t>21</w:t>
            </w:r>
          </w:hyperlink>
        </w:p>
        <w:p w14:paraId="7FE053F1" w14:textId="77777777" w:rsidR="001902DF" w:rsidRDefault="00000000">
          <w:pPr>
            <w:tabs>
              <w:tab w:val="right" w:leader="dot" w:pos="12000"/>
            </w:tabs>
            <w:spacing w:before="60" w:after="0" w:line="240" w:lineRule="auto"/>
            <w:ind w:left="720"/>
            <w:jc w:val="left"/>
            <w:rPr>
              <w:color w:val="000000"/>
            </w:rPr>
          </w:pPr>
          <w:hyperlink w:anchor="_heading=h.hu6xhiljz5h2">
            <w:r>
              <w:rPr>
                <w:color w:val="000000"/>
                <w:sz w:val="18"/>
                <w:szCs w:val="18"/>
              </w:rPr>
              <w:t>Environment &amp; Climate</w:t>
            </w:r>
            <w:r>
              <w:rPr>
                <w:color w:val="000000"/>
                <w:sz w:val="18"/>
                <w:szCs w:val="18"/>
              </w:rPr>
              <w:tab/>
              <w:t>22</w:t>
            </w:r>
          </w:hyperlink>
        </w:p>
        <w:p w14:paraId="5C013D56" w14:textId="77777777" w:rsidR="001902DF" w:rsidRDefault="00000000">
          <w:pPr>
            <w:tabs>
              <w:tab w:val="right" w:leader="dot" w:pos="12000"/>
            </w:tabs>
            <w:spacing w:before="60" w:after="0" w:line="240" w:lineRule="auto"/>
            <w:ind w:left="720"/>
            <w:jc w:val="left"/>
            <w:rPr>
              <w:color w:val="000000"/>
            </w:rPr>
          </w:pPr>
          <w:hyperlink w:anchor="_heading=h.7pnwr68v9moe">
            <w:r>
              <w:rPr>
                <w:color w:val="000000"/>
                <w:sz w:val="18"/>
                <w:szCs w:val="18"/>
              </w:rPr>
              <w:t>International Obligations &amp; Foreign Policy</w:t>
            </w:r>
            <w:r>
              <w:rPr>
                <w:color w:val="000000"/>
                <w:sz w:val="18"/>
                <w:szCs w:val="18"/>
              </w:rPr>
              <w:tab/>
              <w:t>22</w:t>
            </w:r>
          </w:hyperlink>
        </w:p>
        <w:p w14:paraId="369AEA21" w14:textId="77777777" w:rsidR="001902DF" w:rsidRDefault="00000000">
          <w:pPr>
            <w:tabs>
              <w:tab w:val="right" w:leader="dot" w:pos="12000"/>
            </w:tabs>
            <w:spacing w:before="60" w:after="0" w:line="240" w:lineRule="auto"/>
            <w:jc w:val="left"/>
            <w:rPr>
              <w:b/>
              <w:color w:val="000000"/>
            </w:rPr>
          </w:pPr>
          <w:hyperlink w:anchor="_heading=h.2ywso4b5izxo">
            <w:r>
              <w:rPr>
                <w:b/>
                <w:color w:val="000000"/>
                <w:sz w:val="18"/>
                <w:szCs w:val="18"/>
              </w:rPr>
              <w:t>REFERENCES</w:t>
            </w:r>
            <w:r>
              <w:rPr>
                <w:b/>
                <w:color w:val="000000"/>
                <w:sz w:val="18"/>
                <w:szCs w:val="18"/>
              </w:rPr>
              <w:tab/>
              <w:t>23</w:t>
            </w:r>
          </w:hyperlink>
        </w:p>
        <w:p w14:paraId="7014BE51" w14:textId="77777777" w:rsidR="001902DF" w:rsidRDefault="00000000">
          <w:pPr>
            <w:tabs>
              <w:tab w:val="right" w:leader="dot" w:pos="12000"/>
            </w:tabs>
            <w:spacing w:before="60" w:after="0" w:line="240" w:lineRule="auto"/>
            <w:jc w:val="left"/>
            <w:rPr>
              <w:b/>
              <w:color w:val="000000"/>
            </w:rPr>
          </w:pPr>
          <w:hyperlink w:anchor="_heading=h.kdwvtpvmj07z">
            <w:r>
              <w:rPr>
                <w:b/>
                <w:color w:val="000000"/>
                <w:sz w:val="18"/>
                <w:szCs w:val="18"/>
              </w:rPr>
              <w:t>GLOSSARY</w:t>
            </w:r>
            <w:r>
              <w:rPr>
                <w:b/>
                <w:color w:val="000000"/>
                <w:sz w:val="18"/>
                <w:szCs w:val="18"/>
              </w:rPr>
              <w:tab/>
              <w:t>27</w:t>
            </w:r>
          </w:hyperlink>
        </w:p>
        <w:p w14:paraId="66D60A75" w14:textId="77777777" w:rsidR="001902DF" w:rsidRDefault="00000000">
          <w:pPr>
            <w:tabs>
              <w:tab w:val="right" w:leader="dot" w:pos="12000"/>
            </w:tabs>
            <w:spacing w:before="60" w:after="0" w:line="240" w:lineRule="auto"/>
            <w:jc w:val="left"/>
            <w:rPr>
              <w:b/>
              <w:color w:val="000000"/>
            </w:rPr>
          </w:pPr>
          <w:hyperlink w:anchor="_heading=h.ocjqftpr6oyx">
            <w:r>
              <w:rPr>
                <w:b/>
                <w:color w:val="000000"/>
                <w:sz w:val="18"/>
                <w:szCs w:val="18"/>
              </w:rPr>
              <w:t>APPENDIX 1 TABLE OF BREACHES</w:t>
            </w:r>
            <w:r>
              <w:rPr>
                <w:b/>
                <w:color w:val="000000"/>
                <w:sz w:val="18"/>
                <w:szCs w:val="18"/>
              </w:rPr>
              <w:tab/>
              <w:t>31</w:t>
            </w:r>
          </w:hyperlink>
          <w:r>
            <w:fldChar w:fldCharType="end"/>
          </w:r>
        </w:p>
      </w:sdtContent>
    </w:sdt>
    <w:p w14:paraId="3C5C0D09" w14:textId="77777777" w:rsidR="001902DF" w:rsidRDefault="00000000">
      <w:pPr>
        <w:pStyle w:val="Heading1"/>
        <w:spacing w:line="276" w:lineRule="auto"/>
        <w:rPr>
          <w:sz w:val="20"/>
          <w:szCs w:val="20"/>
        </w:rPr>
      </w:pPr>
      <w:bookmarkStart w:id="0" w:name="_heading=h.dyqwt0unllfg" w:colFirst="0" w:colLast="0"/>
      <w:bookmarkEnd w:id="0"/>
      <w:r>
        <w:br w:type="page"/>
      </w:r>
      <w:r>
        <w:rPr>
          <w:sz w:val="20"/>
          <w:szCs w:val="20"/>
        </w:rPr>
        <w:lastRenderedPageBreak/>
        <w:t>EXECUTIVE SUMMARY</w:t>
      </w:r>
    </w:p>
    <w:p w14:paraId="326CE6A4" w14:textId="77777777" w:rsidR="001902DF" w:rsidRDefault="00000000">
      <w:pPr>
        <w:spacing w:line="276" w:lineRule="auto"/>
        <w:rPr>
          <w:sz w:val="20"/>
          <w:szCs w:val="20"/>
        </w:rPr>
      </w:pPr>
      <w:r>
        <w:rPr>
          <w:sz w:val="20"/>
          <w:szCs w:val="20"/>
        </w:rPr>
        <w:t xml:space="preserve">New Zealand’s international human rights commitments include adherence to the International Convention on the Elimination of All Forms of Racial Discrimination (ICERD) and recommendations of the CERD committee. In November 2023, the New Zealand National Party entered into a coalition agreement with the New Zealand First Party and the ACT Party to form the 54th New Zealand Parliament. This coalition agreement included multiple commitments that could only be met through breaching the </w:t>
      </w:r>
      <w:proofErr w:type="gramStart"/>
      <w:r>
        <w:rPr>
          <w:sz w:val="20"/>
          <w:szCs w:val="20"/>
        </w:rPr>
        <w:t>aforementioned international</w:t>
      </w:r>
      <w:proofErr w:type="gramEnd"/>
      <w:r>
        <w:rPr>
          <w:sz w:val="20"/>
          <w:szCs w:val="20"/>
        </w:rPr>
        <w:t xml:space="preserve"> human rights obligations under the International Convention on the Elimination of Racial Discrimination (ICERD), the Human Rights Charter, and the Covenant on Civil and Political Rights. </w:t>
      </w:r>
    </w:p>
    <w:p w14:paraId="16D8E94A" w14:textId="77777777" w:rsidR="001902DF" w:rsidRDefault="00000000">
      <w:pPr>
        <w:spacing w:line="276" w:lineRule="auto"/>
        <w:rPr>
          <w:sz w:val="20"/>
          <w:szCs w:val="20"/>
        </w:rPr>
      </w:pPr>
      <w:r>
        <w:rPr>
          <w:sz w:val="20"/>
          <w:szCs w:val="20"/>
        </w:rPr>
        <w:t xml:space="preserve">These actions include: measures include: attempts to redefine or remove Treaty clauses; weakening of the Waitangi Tribunal; suppression of Te Reo Māori and tikanga; disestablishment of Māori-led health institutions; punitive justice reforms that disproportionately target Māori; rollbacks in housing, disability, education and child protection rights; environmental law changes that undermine Māori authority; abandonment of hate speech reforms; and electoral changes that erode Māori democratic participation. The collective impact of these actions </w:t>
      </w:r>
      <w:proofErr w:type="gramStart"/>
      <w:r>
        <w:rPr>
          <w:sz w:val="20"/>
          <w:szCs w:val="20"/>
        </w:rPr>
        <w:t>have</w:t>
      </w:r>
      <w:proofErr w:type="gramEnd"/>
      <w:r>
        <w:rPr>
          <w:sz w:val="20"/>
          <w:szCs w:val="20"/>
        </w:rPr>
        <w:t xml:space="preserve"> serious and ongoing consequences for Māori and other racially </w:t>
      </w:r>
      <w:proofErr w:type="spellStart"/>
      <w:r>
        <w:rPr>
          <w:sz w:val="20"/>
          <w:szCs w:val="20"/>
        </w:rPr>
        <w:t>minoritised</w:t>
      </w:r>
      <w:proofErr w:type="spellEnd"/>
      <w:r>
        <w:rPr>
          <w:sz w:val="20"/>
          <w:szCs w:val="20"/>
        </w:rPr>
        <w:t xml:space="preserve"> groups in Aotearoa. The rapid, successive nature of the legislative and policy changes that directly impact Māori, in addition to procedural rights violations by elected officials, have exhausted Māori advocacy efforts, have largely taken place without free, prior, and informed consent, and any consultative processes to date are undermined by the fact that many of the outcomes are pre-supposed in the 2023 Coalition Agreements. </w:t>
      </w:r>
    </w:p>
    <w:p w14:paraId="1A7A68D8" w14:textId="77777777" w:rsidR="001902DF" w:rsidRDefault="00000000">
      <w:pPr>
        <w:spacing w:line="276" w:lineRule="auto"/>
        <w:rPr>
          <w:sz w:val="20"/>
          <w:szCs w:val="20"/>
        </w:rPr>
      </w:pPr>
      <w:r>
        <w:rPr>
          <w:sz w:val="20"/>
          <w:szCs w:val="20"/>
        </w:rPr>
        <w:t xml:space="preserve">These legal and policy shifts are accompanied by escalating </w:t>
      </w:r>
      <w:proofErr w:type="spellStart"/>
      <w:r>
        <w:rPr>
          <w:sz w:val="20"/>
          <w:szCs w:val="20"/>
        </w:rPr>
        <w:t>racialised</w:t>
      </w:r>
      <w:proofErr w:type="spellEnd"/>
      <w:r>
        <w:rPr>
          <w:sz w:val="20"/>
          <w:szCs w:val="20"/>
        </w:rPr>
        <w:t xml:space="preserve"> rhetoric from elected officials, including xenophobic statements, disinformation, and the </w:t>
      </w:r>
      <w:proofErr w:type="spellStart"/>
      <w:r>
        <w:rPr>
          <w:sz w:val="20"/>
          <w:szCs w:val="20"/>
        </w:rPr>
        <w:t>weaponisation</w:t>
      </w:r>
      <w:proofErr w:type="spellEnd"/>
      <w:r>
        <w:rPr>
          <w:sz w:val="20"/>
          <w:szCs w:val="20"/>
        </w:rPr>
        <w:t xml:space="preserve"> of human rights language to portray Te </w:t>
      </w:r>
      <w:proofErr w:type="spellStart"/>
      <w:r>
        <w:rPr>
          <w:sz w:val="20"/>
          <w:szCs w:val="20"/>
        </w:rPr>
        <w:t>Tiriti</w:t>
      </w:r>
      <w:proofErr w:type="spellEnd"/>
      <w:r>
        <w:rPr>
          <w:sz w:val="20"/>
          <w:szCs w:val="20"/>
        </w:rPr>
        <w:t xml:space="preserve"> justice and affirmative action as “racism.” This has emboldened racial hostility and </w:t>
      </w:r>
      <w:proofErr w:type="spellStart"/>
      <w:r>
        <w:rPr>
          <w:sz w:val="20"/>
          <w:szCs w:val="20"/>
        </w:rPr>
        <w:t>normalised</w:t>
      </w:r>
      <w:proofErr w:type="spellEnd"/>
      <w:r>
        <w:rPr>
          <w:sz w:val="20"/>
          <w:szCs w:val="20"/>
        </w:rPr>
        <w:t xml:space="preserve"> impunity for hate speech targeting Māori, Muslim and transgender communities.</w:t>
      </w:r>
    </w:p>
    <w:p w14:paraId="6514D958" w14:textId="77777777" w:rsidR="001902DF" w:rsidRDefault="00000000">
      <w:pPr>
        <w:spacing w:line="276" w:lineRule="auto"/>
        <w:rPr>
          <w:sz w:val="20"/>
          <w:szCs w:val="20"/>
        </w:rPr>
      </w:pPr>
      <w:r>
        <w:rPr>
          <w:sz w:val="20"/>
          <w:szCs w:val="20"/>
        </w:rPr>
        <w:t xml:space="preserve">There is further a demonstrated impunity towards deeply racist and harmful speech and actions by private actors targeting Māori, Muslim and transgender communities, including the justification of violence against these communities and increasingly </w:t>
      </w:r>
      <w:proofErr w:type="spellStart"/>
      <w:r>
        <w:rPr>
          <w:sz w:val="20"/>
          <w:szCs w:val="20"/>
        </w:rPr>
        <w:t>militarised</w:t>
      </w:r>
      <w:proofErr w:type="spellEnd"/>
      <w:r>
        <w:rPr>
          <w:sz w:val="20"/>
          <w:szCs w:val="20"/>
        </w:rPr>
        <w:t xml:space="preserve"> rhetoric. </w:t>
      </w:r>
    </w:p>
    <w:p w14:paraId="6BE2EB9E" w14:textId="77777777" w:rsidR="001902DF" w:rsidRDefault="00000000">
      <w:pPr>
        <w:spacing w:line="276" w:lineRule="auto"/>
        <w:rPr>
          <w:sz w:val="20"/>
          <w:szCs w:val="20"/>
        </w:rPr>
      </w:pPr>
      <w:r>
        <w:rPr>
          <w:sz w:val="20"/>
          <w:szCs w:val="20"/>
        </w:rPr>
        <w:t xml:space="preserve">There is a serious, persistent pattern of racial discrimination being carried out by the Government, and it is almost certain that without intervention there will be further racial discrimination and </w:t>
      </w:r>
      <w:proofErr w:type="spellStart"/>
      <w:r>
        <w:rPr>
          <w:sz w:val="20"/>
          <w:szCs w:val="20"/>
        </w:rPr>
        <w:t>racialised</w:t>
      </w:r>
      <w:proofErr w:type="spellEnd"/>
      <w:r>
        <w:rPr>
          <w:sz w:val="20"/>
          <w:szCs w:val="20"/>
        </w:rPr>
        <w:t xml:space="preserve"> harm. Additionally, there is an ongoing escalation of racial hatred and violence, and repeated appeals to racial intolerance by elected officials, all of which remains unchecked by the current government.</w:t>
      </w:r>
    </w:p>
    <w:p w14:paraId="7B7606C1" w14:textId="77777777" w:rsidR="001902DF" w:rsidRDefault="00000000">
      <w:pPr>
        <w:spacing w:line="276" w:lineRule="auto"/>
        <w:rPr>
          <w:sz w:val="20"/>
          <w:szCs w:val="20"/>
        </w:rPr>
      </w:pPr>
      <w:r>
        <w:rPr>
          <w:sz w:val="20"/>
          <w:szCs w:val="20"/>
        </w:rPr>
        <w:t>Overarching Recommendations</w:t>
      </w:r>
    </w:p>
    <w:p w14:paraId="79EE0BC7" w14:textId="77777777" w:rsidR="001902DF" w:rsidRDefault="00000000">
      <w:pPr>
        <w:spacing w:line="276" w:lineRule="auto"/>
        <w:rPr>
          <w:sz w:val="20"/>
          <w:szCs w:val="20"/>
        </w:rPr>
      </w:pPr>
      <w:r>
        <w:rPr>
          <w:sz w:val="20"/>
          <w:szCs w:val="20"/>
        </w:rPr>
        <w:t>The National Iwi Chairs Forum urges the Committee to:</w:t>
      </w:r>
    </w:p>
    <w:p w14:paraId="3C46C043" w14:textId="77777777" w:rsidR="001902DF" w:rsidRDefault="00000000">
      <w:pPr>
        <w:numPr>
          <w:ilvl w:val="0"/>
          <w:numId w:val="10"/>
        </w:numPr>
        <w:spacing w:after="0" w:line="276" w:lineRule="auto"/>
        <w:rPr>
          <w:sz w:val="20"/>
          <w:szCs w:val="20"/>
        </w:rPr>
      </w:pPr>
      <w:r>
        <w:rPr>
          <w:sz w:val="20"/>
          <w:szCs w:val="20"/>
        </w:rPr>
        <w:t xml:space="preserve">Invoke the Early Warning/Urgent Action procedure </w:t>
      </w:r>
      <w:proofErr w:type="gramStart"/>
      <w:r>
        <w:rPr>
          <w:sz w:val="20"/>
          <w:szCs w:val="20"/>
        </w:rPr>
        <w:t>in light of</w:t>
      </w:r>
      <w:proofErr w:type="gramEnd"/>
      <w:r>
        <w:rPr>
          <w:sz w:val="20"/>
          <w:szCs w:val="20"/>
        </w:rPr>
        <w:t xml:space="preserve"> systemic legislative rollback and incitement of racial hatred.</w:t>
      </w:r>
    </w:p>
    <w:p w14:paraId="014AA4A2" w14:textId="77777777" w:rsidR="001902DF" w:rsidRDefault="00000000">
      <w:pPr>
        <w:numPr>
          <w:ilvl w:val="0"/>
          <w:numId w:val="10"/>
        </w:numPr>
        <w:spacing w:before="0" w:after="0" w:line="276" w:lineRule="auto"/>
        <w:rPr>
          <w:sz w:val="20"/>
          <w:szCs w:val="20"/>
        </w:rPr>
      </w:pPr>
      <w:r>
        <w:rPr>
          <w:sz w:val="20"/>
          <w:szCs w:val="20"/>
        </w:rPr>
        <w:t>Appoint a rapporteur for enhanced follow-up and request in-country consultations with Māori and affected communities.</w:t>
      </w:r>
    </w:p>
    <w:p w14:paraId="279A899C" w14:textId="77777777" w:rsidR="001902DF" w:rsidRDefault="00000000">
      <w:pPr>
        <w:numPr>
          <w:ilvl w:val="0"/>
          <w:numId w:val="10"/>
        </w:numPr>
        <w:spacing w:before="0" w:line="276" w:lineRule="auto"/>
        <w:rPr>
          <w:sz w:val="20"/>
          <w:szCs w:val="20"/>
        </w:rPr>
      </w:pPr>
      <w:r>
        <w:rPr>
          <w:sz w:val="20"/>
          <w:szCs w:val="20"/>
        </w:rPr>
        <w:t>Urge the State to issue a standing invitation to CERD members, the Special Rapporteur on Contemporary Forms of Racism, and the Special Rapporteur on the Rights of Indigenous Peoples to investigate and report on the situation.</w:t>
      </w:r>
    </w:p>
    <w:p w14:paraId="6E9DE655" w14:textId="77777777" w:rsidR="001902DF" w:rsidRDefault="00000000">
      <w:pPr>
        <w:spacing w:line="276" w:lineRule="auto"/>
        <w:rPr>
          <w:sz w:val="20"/>
          <w:szCs w:val="20"/>
        </w:rPr>
      </w:pPr>
      <w:r>
        <w:rPr>
          <w:sz w:val="20"/>
          <w:szCs w:val="20"/>
        </w:rPr>
        <w:t xml:space="preserve">Thematic recommendations addressing Te </w:t>
      </w:r>
      <w:proofErr w:type="spellStart"/>
      <w:r>
        <w:rPr>
          <w:sz w:val="20"/>
          <w:szCs w:val="20"/>
        </w:rPr>
        <w:t>Tiriti</w:t>
      </w:r>
      <w:proofErr w:type="spellEnd"/>
      <w:r>
        <w:rPr>
          <w:sz w:val="20"/>
          <w:szCs w:val="20"/>
        </w:rPr>
        <w:t xml:space="preserve"> and constitutional issues; racism, hate speech and democratic participation; health, housing, social rights; children and justice; education, language and culture; environment and climate; and international obligations follow in subsequent sections.</w:t>
      </w:r>
    </w:p>
    <w:p w14:paraId="3A9A4D38" w14:textId="77777777" w:rsidR="001902DF" w:rsidRDefault="00000000">
      <w:pPr>
        <w:pStyle w:val="Heading1"/>
        <w:spacing w:line="276" w:lineRule="auto"/>
        <w:ind w:left="0"/>
        <w:rPr>
          <w:sz w:val="20"/>
          <w:szCs w:val="20"/>
        </w:rPr>
      </w:pPr>
      <w:bookmarkStart w:id="1" w:name="_heading=h.3lr7dk6nyvj0" w:colFirst="0" w:colLast="0"/>
      <w:bookmarkEnd w:id="1"/>
      <w:r>
        <w:br w:type="page"/>
      </w:r>
    </w:p>
    <w:p w14:paraId="4C9122A7" w14:textId="77777777" w:rsidR="001902DF" w:rsidRDefault="00000000">
      <w:pPr>
        <w:pStyle w:val="Heading1"/>
        <w:spacing w:line="276" w:lineRule="auto"/>
        <w:ind w:left="0"/>
        <w:rPr>
          <w:sz w:val="20"/>
          <w:szCs w:val="20"/>
        </w:rPr>
      </w:pPr>
      <w:bookmarkStart w:id="2" w:name="_heading=h.fqfxkgvwrzau" w:colFirst="0" w:colLast="0"/>
      <w:bookmarkEnd w:id="2"/>
      <w:r>
        <w:rPr>
          <w:sz w:val="20"/>
          <w:szCs w:val="20"/>
        </w:rPr>
        <w:lastRenderedPageBreak/>
        <w:t>NATIONAL IWI CHAIRS FORUM</w:t>
      </w:r>
    </w:p>
    <w:p w14:paraId="76EB3B2E" w14:textId="77777777" w:rsidR="001902DF" w:rsidRDefault="00000000">
      <w:pPr>
        <w:spacing w:line="276" w:lineRule="auto"/>
        <w:rPr>
          <w:sz w:val="20"/>
          <w:szCs w:val="20"/>
        </w:rPr>
      </w:pPr>
      <w:r>
        <w:rPr>
          <w:sz w:val="20"/>
          <w:szCs w:val="20"/>
        </w:rPr>
        <w:t xml:space="preserve">The National Iwi Chairs Forum (NICF) is an entity founded in 2005 made up of the chairpersons of 71 iwi groups in New Zealand, facilitating the sharing of information among iwi leaders. The Forum holds meetings four times a year at different marae throughout the country and brings together Māori leaders around strategic topics. The NICF functions in accordance with tikanga (Māori law) and </w:t>
      </w:r>
      <w:proofErr w:type="gramStart"/>
      <w:r>
        <w:rPr>
          <w:sz w:val="20"/>
          <w:szCs w:val="20"/>
        </w:rPr>
        <w:t>on the basis of</w:t>
      </w:r>
      <w:proofErr w:type="gramEnd"/>
      <w:r>
        <w:rPr>
          <w:sz w:val="20"/>
          <w:szCs w:val="20"/>
        </w:rPr>
        <w:t xml:space="preserve"> </w:t>
      </w:r>
      <w:proofErr w:type="spellStart"/>
      <w:r>
        <w:rPr>
          <w:sz w:val="20"/>
          <w:szCs w:val="20"/>
        </w:rPr>
        <w:t>He</w:t>
      </w:r>
      <w:proofErr w:type="spellEnd"/>
      <w:r>
        <w:rPr>
          <w:sz w:val="20"/>
          <w:szCs w:val="20"/>
        </w:rPr>
        <w:t xml:space="preserve"> </w:t>
      </w:r>
      <w:proofErr w:type="spellStart"/>
      <w:r>
        <w:rPr>
          <w:sz w:val="20"/>
          <w:szCs w:val="20"/>
        </w:rPr>
        <w:t>Whakaputanga</w:t>
      </w:r>
      <w:proofErr w:type="spellEnd"/>
      <w:r>
        <w:rPr>
          <w:sz w:val="20"/>
          <w:szCs w:val="20"/>
        </w:rPr>
        <w:t xml:space="preserve"> o </w:t>
      </w:r>
      <w:proofErr w:type="spellStart"/>
      <w:r>
        <w:rPr>
          <w:sz w:val="20"/>
          <w:szCs w:val="20"/>
        </w:rPr>
        <w:t>te</w:t>
      </w:r>
      <w:proofErr w:type="spellEnd"/>
      <w:r>
        <w:rPr>
          <w:sz w:val="20"/>
          <w:szCs w:val="20"/>
        </w:rPr>
        <w:t xml:space="preserve"> Rangatiratanga o Nu </w:t>
      </w:r>
      <w:proofErr w:type="spellStart"/>
      <w:r>
        <w:rPr>
          <w:sz w:val="20"/>
          <w:szCs w:val="20"/>
        </w:rPr>
        <w:t>Tireni</w:t>
      </w:r>
      <w:proofErr w:type="spellEnd"/>
      <w:r>
        <w:rPr>
          <w:sz w:val="20"/>
          <w:szCs w:val="20"/>
        </w:rPr>
        <w:t xml:space="preserve"> (He </w:t>
      </w:r>
      <w:proofErr w:type="spellStart"/>
      <w:r>
        <w:rPr>
          <w:sz w:val="20"/>
          <w:szCs w:val="20"/>
        </w:rPr>
        <w:t>Whakaputanga</w:t>
      </w:r>
      <w:proofErr w:type="spellEnd"/>
      <w:r>
        <w:rPr>
          <w:sz w:val="20"/>
          <w:szCs w:val="20"/>
        </w:rPr>
        <w:t xml:space="preserve">), </w:t>
      </w:r>
      <w:proofErr w:type="spellStart"/>
      <w:r>
        <w:rPr>
          <w:sz w:val="20"/>
          <w:szCs w:val="20"/>
        </w:rPr>
        <w:t>te</w:t>
      </w:r>
      <w:proofErr w:type="spellEnd"/>
      <w:r>
        <w:rPr>
          <w:sz w:val="20"/>
          <w:szCs w:val="20"/>
        </w:rPr>
        <w:t xml:space="preserve"> </w:t>
      </w:r>
      <w:proofErr w:type="spellStart"/>
      <w:r>
        <w:rPr>
          <w:sz w:val="20"/>
          <w:szCs w:val="20"/>
        </w:rPr>
        <w:t>Tiriti</w:t>
      </w:r>
      <w:proofErr w:type="spellEnd"/>
      <w:r>
        <w:rPr>
          <w:sz w:val="20"/>
          <w:szCs w:val="20"/>
        </w:rPr>
        <w:t xml:space="preserve"> o Waitangi (</w:t>
      </w:r>
      <w:proofErr w:type="spellStart"/>
      <w:r>
        <w:rPr>
          <w:sz w:val="20"/>
          <w:szCs w:val="20"/>
        </w:rPr>
        <w:t>te</w:t>
      </w:r>
      <w:proofErr w:type="spellEnd"/>
      <w:r>
        <w:rPr>
          <w:sz w:val="20"/>
          <w:szCs w:val="20"/>
        </w:rPr>
        <w:t xml:space="preserve"> </w:t>
      </w:r>
      <w:proofErr w:type="spellStart"/>
      <w:r>
        <w:rPr>
          <w:sz w:val="20"/>
          <w:szCs w:val="20"/>
        </w:rPr>
        <w:t>Tiriti</w:t>
      </w:r>
      <w:proofErr w:type="spellEnd"/>
      <w:r>
        <w:rPr>
          <w:sz w:val="20"/>
          <w:szCs w:val="20"/>
        </w:rPr>
        <w:t>), and the United Nations Declaration on the Rights of Indigenous Peoples (UNDRIP). It meets regularly to discuss and act collectively on issues ranging from Treaty justice and constitutional transformation, resource protection, climate change, to implementation of UNDRIP and economic development. The Forum also addresses government policy and practice as it impacts on Māori, engaging in regular dialogue with government representatives on priorities, issues and projects.</w:t>
      </w:r>
    </w:p>
    <w:p w14:paraId="394A3DBC" w14:textId="77777777" w:rsidR="001902DF" w:rsidRDefault="00000000">
      <w:pPr>
        <w:pStyle w:val="Heading2"/>
        <w:spacing w:line="276" w:lineRule="auto"/>
        <w:ind w:left="0" w:firstLine="0"/>
        <w:rPr>
          <w:sz w:val="20"/>
          <w:szCs w:val="20"/>
        </w:rPr>
      </w:pPr>
      <w:bookmarkStart w:id="3" w:name="_heading=h.m899glr8hk4u" w:colFirst="0" w:colLast="0"/>
      <w:bookmarkEnd w:id="3"/>
      <w:r>
        <w:rPr>
          <w:sz w:val="20"/>
          <w:szCs w:val="20"/>
        </w:rPr>
        <w:t>Peoples’ Action Plan Against Racism in Aotearoa</w:t>
      </w:r>
    </w:p>
    <w:p w14:paraId="702F3008" w14:textId="77777777" w:rsidR="001902DF" w:rsidRDefault="00000000">
      <w:pPr>
        <w:spacing w:line="276" w:lineRule="auto"/>
        <w:rPr>
          <w:sz w:val="20"/>
          <w:szCs w:val="20"/>
        </w:rPr>
      </w:pPr>
      <w:r>
        <w:rPr>
          <w:sz w:val="20"/>
          <w:szCs w:val="20"/>
        </w:rPr>
        <w:t xml:space="preserve">In 2023, the NICF appointed a </w:t>
      </w:r>
      <w:proofErr w:type="spellStart"/>
      <w:r>
        <w:rPr>
          <w:sz w:val="20"/>
          <w:szCs w:val="20"/>
        </w:rPr>
        <w:t>Tangata</w:t>
      </w:r>
      <w:proofErr w:type="spellEnd"/>
      <w:r>
        <w:rPr>
          <w:sz w:val="20"/>
          <w:szCs w:val="20"/>
        </w:rPr>
        <w:t xml:space="preserve"> Whenua (Indigenous) Caucus to work in partnership with the Ministry of Justice towards a </w:t>
      </w:r>
      <w:r>
        <w:rPr>
          <w:i/>
          <w:sz w:val="20"/>
          <w:szCs w:val="20"/>
        </w:rPr>
        <w:t xml:space="preserve">National Action Plan Against Racism </w:t>
      </w:r>
      <w:r>
        <w:rPr>
          <w:sz w:val="20"/>
          <w:szCs w:val="20"/>
        </w:rPr>
        <w:t xml:space="preserve">(in alignment with previous CERD recommendations). A draft action plan was produced over the following 24 months. Throughout this process the </w:t>
      </w:r>
      <w:proofErr w:type="spellStart"/>
      <w:r>
        <w:rPr>
          <w:sz w:val="20"/>
          <w:szCs w:val="20"/>
        </w:rPr>
        <w:t>Tangata</w:t>
      </w:r>
      <w:proofErr w:type="spellEnd"/>
      <w:r>
        <w:rPr>
          <w:sz w:val="20"/>
          <w:szCs w:val="20"/>
        </w:rPr>
        <w:t xml:space="preserve"> Whenua caucus held two clear positions: that colonial racism against Māori formed the bedrock of racism in Aotearoa; and that the dominant form of racism experienced in Aotearoa is institutional racism, the ultimate responsibility for which rests with the Crown government. In March 2024, following indications from the Minister for Justice Paul Goldsmith that he wanted to reduce the focus on colonial racism against Māori and reduce the focus on institutional racism, it was collectively decided by the </w:t>
      </w:r>
      <w:proofErr w:type="spellStart"/>
      <w:r>
        <w:rPr>
          <w:sz w:val="20"/>
          <w:szCs w:val="20"/>
        </w:rPr>
        <w:t>Tangata</w:t>
      </w:r>
      <w:proofErr w:type="spellEnd"/>
      <w:r>
        <w:rPr>
          <w:sz w:val="20"/>
          <w:szCs w:val="20"/>
        </w:rPr>
        <w:t xml:space="preserve"> Whenua caucus to withdraw from the government’s national action plan against racism. The NICF are now progressing the Independent </w:t>
      </w:r>
      <w:r>
        <w:rPr>
          <w:b/>
          <w:i/>
          <w:sz w:val="20"/>
          <w:szCs w:val="20"/>
        </w:rPr>
        <w:t>People’s Action Plan Against Racism</w:t>
      </w:r>
      <w:r>
        <w:rPr>
          <w:sz w:val="20"/>
          <w:szCs w:val="20"/>
        </w:rPr>
        <w:t>, independent of the New Zealand government.</w:t>
      </w:r>
    </w:p>
    <w:p w14:paraId="5D52A1D5" w14:textId="77777777" w:rsidR="001902DF" w:rsidRDefault="00000000">
      <w:pPr>
        <w:pStyle w:val="Heading2"/>
        <w:spacing w:line="276" w:lineRule="auto"/>
        <w:ind w:left="0" w:firstLine="0"/>
        <w:rPr>
          <w:sz w:val="20"/>
          <w:szCs w:val="20"/>
        </w:rPr>
      </w:pPr>
      <w:bookmarkStart w:id="4" w:name="_heading=h.uibtv0dmd4bu" w:colFirst="0" w:colLast="0"/>
      <w:bookmarkEnd w:id="4"/>
      <w:r>
        <w:rPr>
          <w:sz w:val="20"/>
          <w:szCs w:val="20"/>
        </w:rPr>
        <w:t>Definition of Racism</w:t>
      </w:r>
    </w:p>
    <w:p w14:paraId="46175D31" w14:textId="77777777" w:rsidR="001902DF" w:rsidRDefault="00000000">
      <w:pPr>
        <w:spacing w:line="276" w:lineRule="auto"/>
        <w:rPr>
          <w:sz w:val="20"/>
          <w:szCs w:val="20"/>
        </w:rPr>
      </w:pPr>
      <w:r>
        <w:rPr>
          <w:sz w:val="20"/>
          <w:szCs w:val="20"/>
        </w:rPr>
        <w:t xml:space="preserve">The working definition of racism adopted by the National Iwi Chairs Forum is as follows: </w:t>
      </w:r>
    </w:p>
    <w:p w14:paraId="095F0176" w14:textId="77777777" w:rsidR="001902DF" w:rsidRDefault="00000000">
      <w:pPr>
        <w:spacing w:line="276" w:lineRule="auto"/>
        <w:ind w:left="450"/>
        <w:rPr>
          <w:b/>
          <w:sz w:val="20"/>
          <w:szCs w:val="20"/>
        </w:rPr>
      </w:pPr>
      <w:r>
        <w:rPr>
          <w:i/>
          <w:sz w:val="20"/>
          <w:szCs w:val="20"/>
        </w:rPr>
        <w:t xml:space="preserve">Racism is a collection of ideas, actions, and institutional practices, backed by institutional and social power, that produce, maintain and </w:t>
      </w:r>
      <w:proofErr w:type="spellStart"/>
      <w:r>
        <w:rPr>
          <w:i/>
          <w:sz w:val="20"/>
          <w:szCs w:val="20"/>
        </w:rPr>
        <w:t>normalise</w:t>
      </w:r>
      <w:proofErr w:type="spellEnd"/>
      <w:r>
        <w:rPr>
          <w:i/>
          <w:sz w:val="20"/>
          <w:szCs w:val="20"/>
        </w:rPr>
        <w:t xml:space="preserve"> inequity and inequality for </w:t>
      </w:r>
      <w:proofErr w:type="spellStart"/>
      <w:r>
        <w:rPr>
          <w:i/>
          <w:sz w:val="20"/>
          <w:szCs w:val="20"/>
        </w:rPr>
        <w:t>Tangata</w:t>
      </w:r>
      <w:proofErr w:type="spellEnd"/>
      <w:r>
        <w:rPr>
          <w:i/>
          <w:sz w:val="20"/>
          <w:szCs w:val="20"/>
        </w:rPr>
        <w:t xml:space="preserve"> Whenua and other </w:t>
      </w:r>
      <w:proofErr w:type="spellStart"/>
      <w:r>
        <w:rPr>
          <w:i/>
          <w:sz w:val="20"/>
          <w:szCs w:val="20"/>
        </w:rPr>
        <w:t>racialised</w:t>
      </w:r>
      <w:proofErr w:type="spellEnd"/>
      <w:r>
        <w:rPr>
          <w:i/>
          <w:sz w:val="20"/>
          <w:szCs w:val="20"/>
        </w:rPr>
        <w:t xml:space="preserve"> groups.</w:t>
      </w:r>
    </w:p>
    <w:p w14:paraId="1CC7CB7C" w14:textId="77777777" w:rsidR="001902DF" w:rsidRDefault="00000000">
      <w:pPr>
        <w:pStyle w:val="Heading1"/>
        <w:spacing w:line="276" w:lineRule="auto"/>
        <w:rPr>
          <w:sz w:val="20"/>
          <w:szCs w:val="20"/>
        </w:rPr>
      </w:pPr>
      <w:bookmarkStart w:id="5" w:name="_heading=h.uo2hf18e6l20" w:colFirst="0" w:colLast="0"/>
      <w:bookmarkEnd w:id="5"/>
      <w:r>
        <w:rPr>
          <w:sz w:val="20"/>
          <w:szCs w:val="20"/>
        </w:rPr>
        <w:t>PREVIOUS CERD COMMITTEE RECOMMENDATIONS</w:t>
      </w:r>
    </w:p>
    <w:p w14:paraId="37D60FB1" w14:textId="77777777" w:rsidR="001902DF" w:rsidRDefault="00000000">
      <w:pPr>
        <w:spacing w:line="276" w:lineRule="auto"/>
        <w:rPr>
          <w:sz w:val="20"/>
          <w:szCs w:val="20"/>
        </w:rPr>
      </w:pPr>
      <w:r>
        <w:rPr>
          <w:sz w:val="20"/>
          <w:szCs w:val="20"/>
        </w:rPr>
        <w:t>The following direct instructions have been made by the CERD Committee to the New Zealand Crown Government:</w:t>
      </w:r>
      <w:r>
        <w:rPr>
          <w:sz w:val="20"/>
          <w:szCs w:val="20"/>
          <w:vertAlign w:val="superscript"/>
        </w:rPr>
        <w:t>(1)</w:t>
      </w:r>
      <w:r>
        <w:rPr>
          <w:sz w:val="20"/>
          <w:szCs w:val="20"/>
        </w:rPr>
        <w:t xml:space="preserve"> </w:t>
      </w:r>
    </w:p>
    <w:p w14:paraId="2A24C342"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Develop a National Action Plan Against </w:t>
      </w:r>
      <w:proofErr w:type="gramStart"/>
      <w:r>
        <w:rPr>
          <w:color w:val="000000"/>
          <w:sz w:val="20"/>
          <w:szCs w:val="20"/>
        </w:rPr>
        <w:t>Racism;</w:t>
      </w:r>
      <w:proofErr w:type="gramEnd"/>
    </w:p>
    <w:p w14:paraId="5F63792A"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To work in partnership with Maori towards resolving the recommendations of the Constitutional Advisory Panel regarding the role of the Treaty of Waitangi within its constitutional arrangements, along with the proposals contained in the report of Matike Mai Aotearoa and all </w:t>
      </w:r>
      <w:proofErr w:type="gramStart"/>
      <w:r>
        <w:rPr>
          <w:color w:val="000000"/>
          <w:sz w:val="20"/>
          <w:szCs w:val="20"/>
        </w:rPr>
        <w:t>stakeholders</w:t>
      </w:r>
      <w:r>
        <w:rPr>
          <w:sz w:val="20"/>
          <w:szCs w:val="20"/>
        </w:rPr>
        <w:t>;</w:t>
      </w:r>
      <w:proofErr w:type="gramEnd"/>
    </w:p>
    <w:p w14:paraId="062C3753"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Ensure that its public policy and legislative initiatives comply with the participation principle of article 2 of the Treaty of </w:t>
      </w:r>
      <w:proofErr w:type="gramStart"/>
      <w:r>
        <w:rPr>
          <w:color w:val="000000"/>
          <w:sz w:val="20"/>
          <w:szCs w:val="20"/>
        </w:rPr>
        <w:t>Waitangi;</w:t>
      </w:r>
      <w:proofErr w:type="gramEnd"/>
    </w:p>
    <w:p w14:paraId="69531051"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Give greater assurance that the State party </w:t>
      </w:r>
      <w:proofErr w:type="spellStart"/>
      <w:r>
        <w:rPr>
          <w:color w:val="000000"/>
          <w:sz w:val="20"/>
          <w:szCs w:val="20"/>
        </w:rPr>
        <w:t>recognises</w:t>
      </w:r>
      <w:proofErr w:type="spellEnd"/>
      <w:r>
        <w:rPr>
          <w:color w:val="000000"/>
          <w:sz w:val="20"/>
          <w:szCs w:val="20"/>
        </w:rPr>
        <w:t xml:space="preserve"> the fundamental right to self-determination of Maori and the obligation to establish shared governance with </w:t>
      </w:r>
      <w:proofErr w:type="gramStart"/>
      <w:r>
        <w:rPr>
          <w:color w:val="000000"/>
          <w:sz w:val="20"/>
          <w:szCs w:val="20"/>
        </w:rPr>
        <w:t>hapu;</w:t>
      </w:r>
      <w:proofErr w:type="gramEnd"/>
    </w:p>
    <w:p w14:paraId="32A5D0DD"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Provide adequate resources for the Waitangi </w:t>
      </w:r>
      <w:proofErr w:type="gramStart"/>
      <w:r>
        <w:rPr>
          <w:color w:val="000000"/>
          <w:sz w:val="20"/>
          <w:szCs w:val="20"/>
        </w:rPr>
        <w:t>Tribunal;</w:t>
      </w:r>
      <w:proofErr w:type="gramEnd"/>
    </w:p>
    <w:p w14:paraId="1E4A752B"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Strengthen its efforts to address the root causes leading to disproportionate incarceration rates of </w:t>
      </w:r>
      <w:proofErr w:type="gramStart"/>
      <w:r>
        <w:rPr>
          <w:color w:val="000000"/>
          <w:sz w:val="20"/>
          <w:szCs w:val="20"/>
        </w:rPr>
        <w:t>Maori;</w:t>
      </w:r>
      <w:proofErr w:type="gramEnd"/>
    </w:p>
    <w:p w14:paraId="297DC605"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Ensure Māori and Pasifika are equally represented and empowered in decision-making processes concerning health and disability policy planning and in service delivery and </w:t>
      </w:r>
      <w:proofErr w:type="gramStart"/>
      <w:r>
        <w:rPr>
          <w:color w:val="000000"/>
          <w:sz w:val="20"/>
          <w:szCs w:val="20"/>
        </w:rPr>
        <w:t>evaluation</w:t>
      </w:r>
      <w:r>
        <w:rPr>
          <w:sz w:val="20"/>
          <w:szCs w:val="20"/>
        </w:rPr>
        <w:t>;</w:t>
      </w:r>
      <w:proofErr w:type="gramEnd"/>
    </w:p>
    <w:p w14:paraId="592267A9"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lastRenderedPageBreak/>
        <w:t xml:space="preserve">Increase representation of Maori, Pasifika and other minorities in corporate governance and senior management in the public </w:t>
      </w:r>
      <w:proofErr w:type="gramStart"/>
      <w:r>
        <w:rPr>
          <w:color w:val="000000"/>
          <w:sz w:val="20"/>
          <w:szCs w:val="20"/>
        </w:rPr>
        <w:t>sector;</w:t>
      </w:r>
      <w:proofErr w:type="gramEnd"/>
    </w:p>
    <w:p w14:paraId="17EFA0EE"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Take effective steps to reduce the number of Maori and Pasifika children in State care, including through the policy of “whanau-first” placement for Maori </w:t>
      </w:r>
      <w:proofErr w:type="gramStart"/>
      <w:r>
        <w:rPr>
          <w:color w:val="000000"/>
          <w:sz w:val="20"/>
          <w:szCs w:val="20"/>
        </w:rPr>
        <w:t>children;</w:t>
      </w:r>
      <w:proofErr w:type="gramEnd"/>
    </w:p>
    <w:p w14:paraId="5EFD7877" w14:textId="77777777" w:rsidR="001902DF" w:rsidRDefault="00000000">
      <w:pPr>
        <w:numPr>
          <w:ilvl w:val="0"/>
          <w:numId w:val="5"/>
        </w:numPr>
        <w:pBdr>
          <w:top w:val="nil"/>
          <w:left w:val="nil"/>
          <w:bottom w:val="nil"/>
          <w:right w:val="nil"/>
          <w:between w:val="nil"/>
        </w:pBdr>
        <w:spacing w:line="276" w:lineRule="auto"/>
        <w:ind w:left="450"/>
        <w:rPr>
          <w:sz w:val="20"/>
          <w:szCs w:val="20"/>
        </w:rPr>
      </w:pPr>
      <w:r>
        <w:rPr>
          <w:color w:val="000000"/>
          <w:sz w:val="20"/>
          <w:szCs w:val="20"/>
        </w:rPr>
        <w:t xml:space="preserve">Strengthen the inclusion of Te Reo Maori instruction in its core educational curriculum for all New Zealand </w:t>
      </w:r>
      <w:proofErr w:type="gramStart"/>
      <w:r>
        <w:rPr>
          <w:color w:val="000000"/>
          <w:sz w:val="20"/>
          <w:szCs w:val="20"/>
        </w:rPr>
        <w:t>students, and</w:t>
      </w:r>
      <w:proofErr w:type="gramEnd"/>
      <w:r>
        <w:rPr>
          <w:color w:val="000000"/>
          <w:sz w:val="20"/>
          <w:szCs w:val="20"/>
        </w:rPr>
        <w:t xml:space="preserve"> increase its efforts to mainstream the use of the Maori language throughout the country.</w:t>
      </w:r>
    </w:p>
    <w:p w14:paraId="3D035B4D" w14:textId="77777777" w:rsidR="001902DF" w:rsidRDefault="00000000">
      <w:pPr>
        <w:pStyle w:val="Heading1"/>
        <w:spacing w:line="276" w:lineRule="auto"/>
        <w:rPr>
          <w:sz w:val="20"/>
          <w:szCs w:val="20"/>
        </w:rPr>
      </w:pPr>
      <w:bookmarkStart w:id="6" w:name="_heading=h.b0wojprx7zmw" w:colFirst="0" w:colLast="0"/>
      <w:bookmarkEnd w:id="6"/>
      <w:r>
        <w:rPr>
          <w:sz w:val="20"/>
          <w:szCs w:val="20"/>
        </w:rPr>
        <w:t>COALITION AGREEMENTS</w:t>
      </w:r>
    </w:p>
    <w:p w14:paraId="44D26C4B" w14:textId="77777777" w:rsidR="001902DF" w:rsidRDefault="00000000">
      <w:pPr>
        <w:spacing w:line="276" w:lineRule="auto"/>
        <w:rPr>
          <w:sz w:val="20"/>
          <w:szCs w:val="20"/>
        </w:rPr>
      </w:pPr>
      <w:r>
        <w:rPr>
          <w:sz w:val="20"/>
          <w:szCs w:val="20"/>
        </w:rPr>
        <w:t>In November 2023, the New Zealand National Party signed coalition agreements with the New Zealand First Party and the ACT Party to form the 54th New Zealand Parliament.</w:t>
      </w:r>
      <w:r>
        <w:rPr>
          <w:sz w:val="20"/>
          <w:szCs w:val="20"/>
          <w:vertAlign w:val="superscript"/>
        </w:rPr>
        <w:t>(2,3)</w:t>
      </w:r>
      <w:r>
        <w:rPr>
          <w:sz w:val="20"/>
          <w:szCs w:val="20"/>
        </w:rPr>
        <w:t xml:space="preserve"> The Agreements operate upon the premise that advancements in Treaty and racial justice in recent decades undermine the principle of equal citizenship, and a significant portion of the Agreements are dedicated to reversing these actions. The Agreements include: </w:t>
      </w:r>
    </w:p>
    <w:p w14:paraId="5791527C"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Provisions for the repeal of legislative references to Te </w:t>
      </w:r>
      <w:proofErr w:type="spellStart"/>
      <w:r>
        <w:rPr>
          <w:color w:val="000000"/>
          <w:sz w:val="20"/>
          <w:szCs w:val="20"/>
        </w:rPr>
        <w:t>Tiriti</w:t>
      </w:r>
      <w:proofErr w:type="spellEnd"/>
      <w:r>
        <w:rPr>
          <w:color w:val="000000"/>
          <w:sz w:val="20"/>
          <w:szCs w:val="20"/>
        </w:rPr>
        <w:t xml:space="preserve"> o </w:t>
      </w:r>
      <w:proofErr w:type="gramStart"/>
      <w:r>
        <w:rPr>
          <w:color w:val="000000"/>
          <w:sz w:val="20"/>
          <w:szCs w:val="20"/>
        </w:rPr>
        <w:t>Waitangi;</w:t>
      </w:r>
      <w:proofErr w:type="gramEnd"/>
    </w:p>
    <w:p w14:paraId="7D1645B2"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A review of the scope and function for the Waitangi </w:t>
      </w:r>
      <w:proofErr w:type="gramStart"/>
      <w:r>
        <w:rPr>
          <w:color w:val="000000"/>
          <w:sz w:val="20"/>
          <w:szCs w:val="20"/>
        </w:rPr>
        <w:t>Tribunal;</w:t>
      </w:r>
      <w:proofErr w:type="gramEnd"/>
    </w:p>
    <w:p w14:paraId="5A7CB805"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Renunciation of the United Nations Declaration for the Rights of Indigenous </w:t>
      </w:r>
      <w:proofErr w:type="gramStart"/>
      <w:r>
        <w:rPr>
          <w:color w:val="000000"/>
          <w:sz w:val="20"/>
          <w:szCs w:val="20"/>
        </w:rPr>
        <w:t>Peoples;</w:t>
      </w:r>
      <w:proofErr w:type="gramEnd"/>
    </w:p>
    <w:p w14:paraId="7DAC897B"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Introduction of a “Treaty Principles Bill” which seeks to unilaterally redefine the Crown’s treaty responsibilities in the absence of Māori as the treaty </w:t>
      </w:r>
      <w:proofErr w:type="gramStart"/>
      <w:r>
        <w:rPr>
          <w:color w:val="000000"/>
          <w:sz w:val="20"/>
          <w:szCs w:val="20"/>
        </w:rPr>
        <w:t>partner;</w:t>
      </w:r>
      <w:proofErr w:type="gramEnd"/>
    </w:p>
    <w:p w14:paraId="5F232293"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Making Māori representative seats in local councils subject to </w:t>
      </w:r>
      <w:proofErr w:type="gramStart"/>
      <w:r>
        <w:rPr>
          <w:color w:val="000000"/>
          <w:sz w:val="20"/>
          <w:szCs w:val="20"/>
        </w:rPr>
        <w:t>referendums;</w:t>
      </w:r>
      <w:proofErr w:type="gramEnd"/>
    </w:p>
    <w:p w14:paraId="61F25B02"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Reduction of Māori language use and initiatives within the public </w:t>
      </w:r>
      <w:proofErr w:type="gramStart"/>
      <w:r>
        <w:rPr>
          <w:color w:val="000000"/>
          <w:sz w:val="20"/>
          <w:szCs w:val="20"/>
        </w:rPr>
        <w:t>sector;</w:t>
      </w:r>
      <w:proofErr w:type="gramEnd"/>
    </w:p>
    <w:p w14:paraId="299A545D"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Introduction of punitive legislation with disproportionate impacts upon Māori and Pacific populations </w:t>
      </w:r>
      <w:proofErr w:type="gramStart"/>
      <w:r>
        <w:rPr>
          <w:color w:val="000000"/>
          <w:sz w:val="20"/>
          <w:szCs w:val="20"/>
        </w:rPr>
        <w:t>including:</w:t>
      </w:r>
      <w:proofErr w:type="gramEnd"/>
      <w:r>
        <w:rPr>
          <w:color w:val="000000"/>
          <w:sz w:val="20"/>
          <w:szCs w:val="20"/>
        </w:rPr>
        <w:t xml:space="preserve"> Gang Member Patch Ban; gang membership as an aggravating factor during </w:t>
      </w:r>
      <w:proofErr w:type="gramStart"/>
      <w:r>
        <w:rPr>
          <w:color w:val="000000"/>
          <w:sz w:val="20"/>
          <w:szCs w:val="20"/>
        </w:rPr>
        <w:t>sentencing;</w:t>
      </w:r>
      <w:proofErr w:type="gramEnd"/>
    </w:p>
    <w:p w14:paraId="20A33832"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Introduction of the Regulatory Standards Bill, which would replace the current human and treaty rights standards for New Zealand legislation with partisan standards </w:t>
      </w:r>
      <w:proofErr w:type="spellStart"/>
      <w:r>
        <w:rPr>
          <w:color w:val="000000"/>
          <w:sz w:val="20"/>
          <w:szCs w:val="20"/>
        </w:rPr>
        <w:t>centred</w:t>
      </w:r>
      <w:proofErr w:type="spellEnd"/>
      <w:r>
        <w:rPr>
          <w:color w:val="000000"/>
          <w:sz w:val="20"/>
          <w:szCs w:val="20"/>
        </w:rPr>
        <w:t xml:space="preserve"> on individual property rights and corporate interests, and displaces the role currently held by the New Zealand judiciary in interpretation and continuity </w:t>
      </w:r>
      <w:proofErr w:type="gramStart"/>
      <w:r>
        <w:rPr>
          <w:color w:val="000000"/>
          <w:sz w:val="20"/>
          <w:szCs w:val="20"/>
        </w:rPr>
        <w:t>oversight;</w:t>
      </w:r>
      <w:proofErr w:type="gramEnd"/>
    </w:p>
    <w:p w14:paraId="30AFA9C9"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Tenancy reforms </w:t>
      </w:r>
      <w:r>
        <w:rPr>
          <w:sz w:val="20"/>
          <w:szCs w:val="20"/>
        </w:rPr>
        <w:t>that</w:t>
      </w:r>
      <w:r>
        <w:rPr>
          <w:color w:val="000000"/>
          <w:sz w:val="20"/>
          <w:szCs w:val="20"/>
        </w:rPr>
        <w:t xml:space="preserve"> allowed for easier and more swift termination of tenancy </w:t>
      </w:r>
      <w:proofErr w:type="gramStart"/>
      <w:r>
        <w:rPr>
          <w:color w:val="000000"/>
          <w:sz w:val="20"/>
          <w:szCs w:val="20"/>
        </w:rPr>
        <w:t>agreements;</w:t>
      </w:r>
      <w:proofErr w:type="gramEnd"/>
    </w:p>
    <w:p w14:paraId="5E1152C5"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Disestablishment of Te Aka </w:t>
      </w:r>
      <w:proofErr w:type="spellStart"/>
      <w:r>
        <w:rPr>
          <w:color w:val="000000"/>
          <w:sz w:val="20"/>
          <w:szCs w:val="20"/>
        </w:rPr>
        <w:t>Whaiora</w:t>
      </w:r>
      <w:proofErr w:type="spellEnd"/>
      <w:r>
        <w:rPr>
          <w:color w:val="000000"/>
          <w:sz w:val="20"/>
          <w:szCs w:val="20"/>
        </w:rPr>
        <w:t xml:space="preserve"> (the Māori Health Authority</w:t>
      </w:r>
      <w:proofErr w:type="gramStart"/>
      <w:r>
        <w:rPr>
          <w:color w:val="000000"/>
          <w:sz w:val="20"/>
          <w:szCs w:val="20"/>
        </w:rPr>
        <w:t>);</w:t>
      </w:r>
      <w:proofErr w:type="gramEnd"/>
    </w:p>
    <w:p w14:paraId="59A125BC"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Repealing legislation aimed at smoking reduction and </w:t>
      </w:r>
      <w:proofErr w:type="gramStart"/>
      <w:r>
        <w:rPr>
          <w:color w:val="000000"/>
          <w:sz w:val="20"/>
          <w:szCs w:val="20"/>
        </w:rPr>
        <w:t>cessation;</w:t>
      </w:r>
      <w:proofErr w:type="gramEnd"/>
    </w:p>
    <w:p w14:paraId="163172CB"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Repealing legislative sections designed to support culturally appropriate placements for children under state </w:t>
      </w:r>
      <w:proofErr w:type="gramStart"/>
      <w:r>
        <w:rPr>
          <w:color w:val="000000"/>
          <w:sz w:val="20"/>
          <w:szCs w:val="20"/>
        </w:rPr>
        <w:t>custody;</w:t>
      </w:r>
      <w:proofErr w:type="gramEnd"/>
    </w:p>
    <w:p w14:paraId="020D92E4"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Removal of co-governance from public </w:t>
      </w:r>
      <w:proofErr w:type="gramStart"/>
      <w:r>
        <w:rPr>
          <w:color w:val="000000"/>
          <w:sz w:val="20"/>
          <w:szCs w:val="20"/>
        </w:rPr>
        <w:t>services;</w:t>
      </w:r>
      <w:proofErr w:type="gramEnd"/>
    </w:p>
    <w:p w14:paraId="5DC8F0B2" w14:textId="77777777" w:rsidR="001902DF" w:rsidRDefault="00000000">
      <w:pPr>
        <w:numPr>
          <w:ilvl w:val="0"/>
          <w:numId w:val="6"/>
        </w:numPr>
        <w:pBdr>
          <w:top w:val="nil"/>
          <w:left w:val="nil"/>
          <w:bottom w:val="nil"/>
          <w:right w:val="nil"/>
          <w:between w:val="nil"/>
        </w:pBdr>
        <w:spacing w:line="276" w:lineRule="auto"/>
        <w:ind w:left="450"/>
        <w:rPr>
          <w:sz w:val="20"/>
          <w:szCs w:val="20"/>
        </w:rPr>
      </w:pPr>
      <w:r>
        <w:rPr>
          <w:sz w:val="20"/>
          <w:szCs w:val="20"/>
        </w:rPr>
        <w:t xml:space="preserve">Ruling out the introduction of hate speech legislation and stopping the Law Commission's work on hate speech </w:t>
      </w:r>
      <w:proofErr w:type="gramStart"/>
      <w:r>
        <w:rPr>
          <w:sz w:val="20"/>
          <w:szCs w:val="20"/>
        </w:rPr>
        <w:t>legislation;</w:t>
      </w:r>
      <w:proofErr w:type="gramEnd"/>
    </w:p>
    <w:p w14:paraId="00C6BB88"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Repealing the Kai Tahu Representation Act </w:t>
      </w:r>
      <w:proofErr w:type="gramStart"/>
      <w:r>
        <w:rPr>
          <w:color w:val="000000"/>
          <w:sz w:val="20"/>
          <w:szCs w:val="20"/>
        </w:rPr>
        <w:t>2022;</w:t>
      </w:r>
      <w:proofErr w:type="gramEnd"/>
    </w:p>
    <w:p w14:paraId="6314F2DF"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Establishment of </w:t>
      </w:r>
      <w:proofErr w:type="spellStart"/>
      <w:r>
        <w:rPr>
          <w:color w:val="000000"/>
          <w:sz w:val="20"/>
          <w:szCs w:val="20"/>
        </w:rPr>
        <w:t>militarised</w:t>
      </w:r>
      <w:proofErr w:type="spellEnd"/>
      <w:r>
        <w:rPr>
          <w:color w:val="000000"/>
          <w:sz w:val="20"/>
          <w:szCs w:val="20"/>
        </w:rPr>
        <w:t xml:space="preserve"> bootcamps for youth </w:t>
      </w:r>
      <w:proofErr w:type="gramStart"/>
      <w:r>
        <w:rPr>
          <w:color w:val="000000"/>
          <w:sz w:val="20"/>
          <w:szCs w:val="20"/>
        </w:rPr>
        <w:t>offenders;</w:t>
      </w:r>
      <w:proofErr w:type="gramEnd"/>
    </w:p>
    <w:p w14:paraId="35B64422"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Commitment to not progress any policies that operate </w:t>
      </w:r>
      <w:proofErr w:type="gramStart"/>
      <w:r>
        <w:rPr>
          <w:color w:val="000000"/>
          <w:sz w:val="20"/>
          <w:szCs w:val="20"/>
        </w:rPr>
        <w:t>on the basis of</w:t>
      </w:r>
      <w:proofErr w:type="gramEnd"/>
      <w:r>
        <w:rPr>
          <w:color w:val="000000"/>
          <w:sz w:val="20"/>
          <w:szCs w:val="20"/>
        </w:rPr>
        <w:t xml:space="preserve"> differing ethnicities (including targeted policies to reduce racially disparate outcomes</w:t>
      </w:r>
      <w:proofErr w:type="gramStart"/>
      <w:r>
        <w:rPr>
          <w:color w:val="000000"/>
          <w:sz w:val="20"/>
          <w:szCs w:val="20"/>
        </w:rPr>
        <w:t>);</w:t>
      </w:r>
      <w:proofErr w:type="gramEnd"/>
    </w:p>
    <w:p w14:paraId="2C60999B"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lastRenderedPageBreak/>
        <w:t>Ceasing work on implementation of the UNDRIP and confirmation of UNDRIP as non-</w:t>
      </w:r>
      <w:proofErr w:type="gramStart"/>
      <w:r>
        <w:rPr>
          <w:color w:val="000000"/>
          <w:sz w:val="20"/>
          <w:szCs w:val="20"/>
        </w:rPr>
        <w:t>binding;</w:t>
      </w:r>
      <w:proofErr w:type="gramEnd"/>
    </w:p>
    <w:p w14:paraId="10F18D34" w14:textId="77777777" w:rsidR="001902DF" w:rsidRDefault="00000000">
      <w:pPr>
        <w:numPr>
          <w:ilvl w:val="0"/>
          <w:numId w:val="6"/>
        </w:numPr>
        <w:pBdr>
          <w:top w:val="nil"/>
          <w:left w:val="nil"/>
          <w:bottom w:val="nil"/>
          <w:right w:val="nil"/>
          <w:between w:val="nil"/>
        </w:pBdr>
        <w:spacing w:line="276" w:lineRule="auto"/>
        <w:ind w:left="450"/>
        <w:rPr>
          <w:color w:val="000000"/>
          <w:sz w:val="20"/>
          <w:szCs w:val="20"/>
        </w:rPr>
      </w:pPr>
      <w:r>
        <w:rPr>
          <w:color w:val="000000"/>
          <w:sz w:val="20"/>
          <w:szCs w:val="20"/>
        </w:rPr>
        <w:t xml:space="preserve">Limiting the scope and powers of the Waitangi </w:t>
      </w:r>
      <w:proofErr w:type="gramStart"/>
      <w:r>
        <w:rPr>
          <w:color w:val="000000"/>
          <w:sz w:val="20"/>
          <w:szCs w:val="20"/>
        </w:rPr>
        <w:t>Tribunal;</w:t>
      </w:r>
      <w:proofErr w:type="gramEnd"/>
    </w:p>
    <w:p w14:paraId="1DC2B8B8" w14:textId="77777777" w:rsidR="001902DF" w:rsidRDefault="00000000">
      <w:pPr>
        <w:spacing w:line="276" w:lineRule="auto"/>
        <w:rPr>
          <w:sz w:val="20"/>
          <w:szCs w:val="20"/>
        </w:rPr>
      </w:pPr>
      <w:r>
        <w:rPr>
          <w:sz w:val="20"/>
          <w:szCs w:val="20"/>
        </w:rPr>
        <w:t xml:space="preserve">The National Iwi Chairs Forum submit that the coalition agreements upon which the current government is based contain multiple contraventions of ICERD obligations and CERD recommendations, resulting in multiple, successive and enduring </w:t>
      </w:r>
      <w:proofErr w:type="spellStart"/>
      <w:r>
        <w:rPr>
          <w:sz w:val="20"/>
          <w:szCs w:val="20"/>
        </w:rPr>
        <w:t>racialised</w:t>
      </w:r>
      <w:proofErr w:type="spellEnd"/>
      <w:r>
        <w:rPr>
          <w:sz w:val="20"/>
          <w:szCs w:val="20"/>
        </w:rPr>
        <w:t xml:space="preserve"> human rights violations.</w:t>
      </w:r>
    </w:p>
    <w:p w14:paraId="5235207E" w14:textId="77777777" w:rsidR="001902DF" w:rsidRDefault="00000000">
      <w:pPr>
        <w:pStyle w:val="Heading1"/>
        <w:spacing w:line="276" w:lineRule="auto"/>
        <w:rPr>
          <w:sz w:val="20"/>
          <w:szCs w:val="20"/>
        </w:rPr>
      </w:pPr>
      <w:bookmarkStart w:id="7" w:name="_heading=h.wjp2rb67l5v6" w:colFirst="0" w:colLast="0"/>
      <w:bookmarkEnd w:id="7"/>
      <w:r>
        <w:rPr>
          <w:sz w:val="20"/>
          <w:szCs w:val="20"/>
        </w:rPr>
        <w:t>TE TIRITI O WAITANGI AND THE WAITANGI TRIBUNAL</w:t>
      </w:r>
      <w:r>
        <w:rPr>
          <w:sz w:val="20"/>
          <w:szCs w:val="20"/>
          <w:vertAlign w:val="superscript"/>
        </w:rPr>
        <w:footnoteReference w:id="1"/>
      </w:r>
    </w:p>
    <w:p w14:paraId="5B2C5DB6" w14:textId="77777777" w:rsidR="001902DF" w:rsidRDefault="00000000">
      <w:pPr>
        <w:pStyle w:val="Heading2"/>
        <w:spacing w:line="276" w:lineRule="auto"/>
        <w:ind w:left="0" w:firstLine="0"/>
        <w:rPr>
          <w:sz w:val="20"/>
          <w:szCs w:val="20"/>
        </w:rPr>
      </w:pPr>
      <w:bookmarkStart w:id="8" w:name="_heading=h.ocoep7sdsndf" w:colFirst="0" w:colLast="0"/>
      <w:bookmarkEnd w:id="8"/>
      <w:r>
        <w:rPr>
          <w:sz w:val="20"/>
          <w:szCs w:val="20"/>
        </w:rPr>
        <w:t xml:space="preserve">Direct Assault Upon Te </w:t>
      </w:r>
      <w:proofErr w:type="spellStart"/>
      <w:r>
        <w:rPr>
          <w:sz w:val="20"/>
          <w:szCs w:val="20"/>
        </w:rPr>
        <w:t>Tiriti</w:t>
      </w:r>
      <w:proofErr w:type="spellEnd"/>
      <w:r>
        <w:rPr>
          <w:sz w:val="20"/>
          <w:szCs w:val="20"/>
        </w:rPr>
        <w:t xml:space="preserve"> o Waitangi</w:t>
      </w:r>
    </w:p>
    <w:p w14:paraId="5013E416" w14:textId="77777777" w:rsidR="001902DF" w:rsidRDefault="00000000">
      <w:pPr>
        <w:spacing w:line="276" w:lineRule="auto"/>
        <w:rPr>
          <w:sz w:val="20"/>
          <w:szCs w:val="20"/>
        </w:rPr>
      </w:pPr>
      <w:r>
        <w:rPr>
          <w:sz w:val="20"/>
          <w:szCs w:val="20"/>
        </w:rPr>
        <w:t xml:space="preserve">While </w:t>
      </w:r>
      <w:proofErr w:type="gramStart"/>
      <w:r>
        <w:rPr>
          <w:sz w:val="20"/>
          <w:szCs w:val="20"/>
        </w:rPr>
        <w:t>all of</w:t>
      </w:r>
      <w:proofErr w:type="gramEnd"/>
      <w:r>
        <w:rPr>
          <w:sz w:val="20"/>
          <w:szCs w:val="20"/>
        </w:rPr>
        <w:t xml:space="preserve"> the legislative and policy actions of the current New Zealand Government may be </w:t>
      </w:r>
      <w:proofErr w:type="spellStart"/>
      <w:r>
        <w:rPr>
          <w:sz w:val="20"/>
          <w:szCs w:val="20"/>
        </w:rPr>
        <w:t>characterised</w:t>
      </w:r>
      <w:proofErr w:type="spellEnd"/>
      <w:r>
        <w:rPr>
          <w:sz w:val="20"/>
          <w:szCs w:val="20"/>
        </w:rPr>
        <w:t xml:space="preserve"> as disrespectful of Te </w:t>
      </w:r>
      <w:proofErr w:type="spellStart"/>
      <w:r>
        <w:rPr>
          <w:sz w:val="20"/>
          <w:szCs w:val="20"/>
        </w:rPr>
        <w:t>Tiriti</w:t>
      </w:r>
      <w:proofErr w:type="spellEnd"/>
      <w:r>
        <w:rPr>
          <w:sz w:val="20"/>
          <w:szCs w:val="20"/>
        </w:rPr>
        <w:t xml:space="preserve"> o Waitangi, there are </w:t>
      </w:r>
      <w:proofErr w:type="gramStart"/>
      <w:r>
        <w:rPr>
          <w:sz w:val="20"/>
          <w:szCs w:val="20"/>
        </w:rPr>
        <w:t>a number of</w:t>
      </w:r>
      <w:proofErr w:type="gramEnd"/>
      <w:r>
        <w:rPr>
          <w:sz w:val="20"/>
          <w:szCs w:val="20"/>
        </w:rPr>
        <w:t xml:space="preserve"> actions </w:t>
      </w:r>
      <w:proofErr w:type="gramStart"/>
      <w:r>
        <w:rPr>
          <w:sz w:val="20"/>
          <w:szCs w:val="20"/>
        </w:rPr>
        <w:t>in particular that</w:t>
      </w:r>
      <w:proofErr w:type="gramEnd"/>
      <w:r>
        <w:rPr>
          <w:sz w:val="20"/>
          <w:szCs w:val="20"/>
        </w:rPr>
        <w:t xml:space="preserve"> comprise what NICF submit to be the boldest attack upon the political status of Te </w:t>
      </w:r>
      <w:proofErr w:type="spellStart"/>
      <w:r>
        <w:rPr>
          <w:sz w:val="20"/>
          <w:szCs w:val="20"/>
        </w:rPr>
        <w:t>Tiriti</w:t>
      </w:r>
      <w:proofErr w:type="spellEnd"/>
      <w:r>
        <w:rPr>
          <w:sz w:val="20"/>
          <w:szCs w:val="20"/>
        </w:rPr>
        <w:t xml:space="preserve"> o Waitangi in living </w:t>
      </w:r>
      <w:proofErr w:type="gramStart"/>
      <w:r>
        <w:rPr>
          <w:sz w:val="20"/>
          <w:szCs w:val="20"/>
        </w:rPr>
        <w:t>memory, and</w:t>
      </w:r>
      <w:proofErr w:type="gramEnd"/>
      <w:r>
        <w:rPr>
          <w:sz w:val="20"/>
          <w:szCs w:val="20"/>
        </w:rPr>
        <w:t xml:space="preserve"> constitute what we describe below as “Treaty Racism”.</w:t>
      </w:r>
    </w:p>
    <w:p w14:paraId="2621F915" w14:textId="77777777" w:rsidR="001902DF" w:rsidRDefault="00000000">
      <w:pPr>
        <w:pStyle w:val="Heading2"/>
        <w:spacing w:line="276" w:lineRule="auto"/>
        <w:ind w:left="0" w:firstLine="0"/>
        <w:rPr>
          <w:sz w:val="20"/>
          <w:szCs w:val="20"/>
        </w:rPr>
      </w:pPr>
      <w:bookmarkStart w:id="9" w:name="_heading=h.biynlico40f1" w:colFirst="0" w:colLast="0"/>
      <w:bookmarkEnd w:id="9"/>
      <w:r>
        <w:rPr>
          <w:sz w:val="20"/>
          <w:szCs w:val="20"/>
        </w:rPr>
        <w:t>Treaty Principles Bill</w:t>
      </w:r>
    </w:p>
    <w:p w14:paraId="005D7359" w14:textId="77777777" w:rsidR="001902DF" w:rsidRDefault="00000000">
      <w:pPr>
        <w:spacing w:line="276" w:lineRule="auto"/>
        <w:rPr>
          <w:sz w:val="20"/>
          <w:szCs w:val="20"/>
          <w:vertAlign w:val="superscript"/>
        </w:rPr>
      </w:pPr>
      <w:r>
        <w:rPr>
          <w:sz w:val="20"/>
          <w:szCs w:val="20"/>
        </w:rPr>
        <w:t xml:space="preserve">The Treaty Principles </w:t>
      </w:r>
      <w:proofErr w:type="gramStart"/>
      <w:r>
        <w:rPr>
          <w:sz w:val="20"/>
          <w:szCs w:val="20"/>
        </w:rPr>
        <w:t>Bil</w:t>
      </w:r>
      <w:r>
        <w:rPr>
          <w:sz w:val="20"/>
          <w:szCs w:val="20"/>
          <w:vertAlign w:val="superscript"/>
        </w:rPr>
        <w:t>(</w:t>
      </w:r>
      <w:proofErr w:type="gramEnd"/>
      <w:r>
        <w:rPr>
          <w:sz w:val="20"/>
          <w:szCs w:val="20"/>
          <w:vertAlign w:val="superscript"/>
        </w:rPr>
        <w:t>4)</w:t>
      </w:r>
      <w:r>
        <w:rPr>
          <w:sz w:val="20"/>
          <w:szCs w:val="20"/>
        </w:rPr>
        <w:t xml:space="preserve"> sought to replace the current principles of Te </w:t>
      </w:r>
      <w:proofErr w:type="spellStart"/>
      <w:r>
        <w:rPr>
          <w:sz w:val="20"/>
          <w:szCs w:val="20"/>
        </w:rPr>
        <w:t>Tiriti</w:t>
      </w:r>
      <w:proofErr w:type="spellEnd"/>
      <w:r>
        <w:rPr>
          <w:sz w:val="20"/>
          <w:szCs w:val="20"/>
        </w:rPr>
        <w:t xml:space="preserve"> o Waitangi with three new principles that have unilaterally been developed without Māori </w:t>
      </w:r>
      <w:proofErr w:type="gramStart"/>
      <w:r>
        <w:rPr>
          <w:sz w:val="20"/>
          <w:szCs w:val="20"/>
        </w:rPr>
        <w:t>input.</w:t>
      </w:r>
      <w:r>
        <w:rPr>
          <w:sz w:val="20"/>
          <w:szCs w:val="20"/>
          <w:vertAlign w:val="superscript"/>
        </w:rPr>
        <w:t>(</w:t>
      </w:r>
      <w:proofErr w:type="gramEnd"/>
      <w:r>
        <w:rPr>
          <w:sz w:val="20"/>
          <w:szCs w:val="20"/>
          <w:vertAlign w:val="superscript"/>
        </w:rPr>
        <w:t>5)</w:t>
      </w:r>
    </w:p>
    <w:p w14:paraId="1C1ED335" w14:textId="77777777" w:rsidR="001902DF" w:rsidRDefault="00000000">
      <w:pPr>
        <w:numPr>
          <w:ilvl w:val="0"/>
          <w:numId w:val="7"/>
        </w:numPr>
        <w:pBdr>
          <w:top w:val="nil"/>
          <w:left w:val="nil"/>
          <w:bottom w:val="nil"/>
          <w:right w:val="nil"/>
          <w:between w:val="nil"/>
        </w:pBdr>
        <w:spacing w:line="276" w:lineRule="auto"/>
        <w:ind w:left="450"/>
        <w:rPr>
          <w:color w:val="000000"/>
          <w:sz w:val="20"/>
          <w:szCs w:val="20"/>
        </w:rPr>
      </w:pPr>
      <w:r>
        <w:rPr>
          <w:color w:val="000000"/>
          <w:sz w:val="20"/>
          <w:szCs w:val="20"/>
        </w:rPr>
        <w:t>Governmental authority: Affirms the government's full authority to govern and Parliament's power to legislate in the best interests of all citizens, upholding the rule of law and democratic values.​</w:t>
      </w:r>
    </w:p>
    <w:p w14:paraId="659962BB" w14:textId="77777777" w:rsidR="001902DF" w:rsidRDefault="00000000">
      <w:pPr>
        <w:numPr>
          <w:ilvl w:val="0"/>
          <w:numId w:val="7"/>
        </w:numPr>
        <w:pBdr>
          <w:top w:val="nil"/>
          <w:left w:val="nil"/>
          <w:bottom w:val="nil"/>
          <w:right w:val="nil"/>
          <w:between w:val="nil"/>
        </w:pBdr>
        <w:spacing w:line="276" w:lineRule="auto"/>
        <w:ind w:left="450"/>
        <w:rPr>
          <w:color w:val="000000"/>
          <w:sz w:val="20"/>
          <w:szCs w:val="20"/>
        </w:rPr>
      </w:pPr>
      <w:r>
        <w:rPr>
          <w:color w:val="000000"/>
          <w:sz w:val="20"/>
          <w:szCs w:val="20"/>
        </w:rPr>
        <w:t xml:space="preserve">Rights of Hapū and Iwi Māori: </w:t>
      </w:r>
      <w:r>
        <w:rPr>
          <w:sz w:val="20"/>
          <w:szCs w:val="20"/>
        </w:rPr>
        <w:t>“</w:t>
      </w:r>
      <w:r>
        <w:rPr>
          <w:color w:val="000000"/>
          <w:sz w:val="20"/>
          <w:szCs w:val="20"/>
        </w:rPr>
        <w:t xml:space="preserve">The Crown </w:t>
      </w:r>
      <w:proofErr w:type="spellStart"/>
      <w:r>
        <w:rPr>
          <w:color w:val="000000"/>
          <w:sz w:val="20"/>
          <w:szCs w:val="20"/>
        </w:rPr>
        <w:t>recognises</w:t>
      </w:r>
      <w:proofErr w:type="spellEnd"/>
      <w:r>
        <w:rPr>
          <w:color w:val="000000"/>
          <w:sz w:val="20"/>
          <w:szCs w:val="20"/>
        </w:rPr>
        <w:t xml:space="preserve"> the rights that hapū and iwi had when they signed the Treaty/</w:t>
      </w:r>
      <w:proofErr w:type="spellStart"/>
      <w:r>
        <w:rPr>
          <w:color w:val="000000"/>
          <w:sz w:val="20"/>
          <w:szCs w:val="20"/>
        </w:rPr>
        <w:t>te</w:t>
      </w:r>
      <w:proofErr w:type="spellEnd"/>
      <w:r>
        <w:rPr>
          <w:color w:val="000000"/>
          <w:sz w:val="20"/>
          <w:szCs w:val="20"/>
        </w:rPr>
        <w:t xml:space="preserve"> </w:t>
      </w:r>
      <w:proofErr w:type="spellStart"/>
      <w:r>
        <w:rPr>
          <w:color w:val="000000"/>
          <w:sz w:val="20"/>
          <w:szCs w:val="20"/>
        </w:rPr>
        <w:t>Tiriti</w:t>
      </w:r>
      <w:proofErr w:type="spellEnd"/>
      <w:r>
        <w:rPr>
          <w:color w:val="000000"/>
          <w:sz w:val="20"/>
          <w:szCs w:val="20"/>
        </w:rPr>
        <w:t>. The Crown will respect and protect those rights</w:t>
      </w:r>
      <w:r>
        <w:rPr>
          <w:sz w:val="20"/>
          <w:szCs w:val="20"/>
        </w:rPr>
        <w:t>”</w:t>
      </w:r>
      <w:r>
        <w:rPr>
          <w:color w:val="000000"/>
          <w:sz w:val="20"/>
          <w:szCs w:val="20"/>
        </w:rPr>
        <w:t xml:space="preserve">. However, if those rights differ from the rights of everyone, then they will only be </w:t>
      </w:r>
      <w:proofErr w:type="spellStart"/>
      <w:r>
        <w:rPr>
          <w:color w:val="000000"/>
          <w:sz w:val="20"/>
          <w:szCs w:val="20"/>
        </w:rPr>
        <w:t>recognised</w:t>
      </w:r>
      <w:proofErr w:type="spellEnd"/>
      <w:r>
        <w:rPr>
          <w:color w:val="000000"/>
          <w:sz w:val="20"/>
          <w:szCs w:val="20"/>
        </w:rPr>
        <w:t xml:space="preserve"> if they are agreed in the settlement of a historical treaty claim under the Treaty of Waitangi Act 1975.</w:t>
      </w:r>
    </w:p>
    <w:p w14:paraId="486D9D4A" w14:textId="77777777" w:rsidR="001902DF" w:rsidRDefault="00000000">
      <w:pPr>
        <w:numPr>
          <w:ilvl w:val="0"/>
          <w:numId w:val="7"/>
        </w:numPr>
        <w:pBdr>
          <w:top w:val="nil"/>
          <w:left w:val="nil"/>
          <w:bottom w:val="nil"/>
          <w:right w:val="nil"/>
          <w:between w:val="nil"/>
        </w:pBdr>
        <w:spacing w:line="276" w:lineRule="auto"/>
        <w:ind w:left="450"/>
        <w:rPr>
          <w:color w:val="000000"/>
          <w:sz w:val="20"/>
          <w:szCs w:val="20"/>
        </w:rPr>
      </w:pPr>
      <w:r>
        <w:rPr>
          <w:color w:val="000000"/>
          <w:sz w:val="20"/>
          <w:szCs w:val="20"/>
        </w:rPr>
        <w:t xml:space="preserve">Right to </w:t>
      </w:r>
      <w:r>
        <w:rPr>
          <w:sz w:val="20"/>
          <w:szCs w:val="20"/>
        </w:rPr>
        <w:t>e</w:t>
      </w:r>
      <w:r>
        <w:rPr>
          <w:color w:val="000000"/>
          <w:sz w:val="20"/>
          <w:szCs w:val="20"/>
        </w:rPr>
        <w:t xml:space="preserve">quality: </w:t>
      </w:r>
      <w:r>
        <w:rPr>
          <w:sz w:val="20"/>
          <w:szCs w:val="20"/>
        </w:rPr>
        <w:t>“</w:t>
      </w:r>
      <w:r>
        <w:rPr>
          <w:color w:val="000000"/>
          <w:sz w:val="20"/>
          <w:szCs w:val="20"/>
        </w:rPr>
        <w:t>Everyone is equal before the law and is entitled to the equal protection and equal benefit of the law without discrimination. Everyone is entitled to the equal enjoyment of the same fundamental human rights without discrimination</w:t>
      </w:r>
      <w:proofErr w:type="gramStart"/>
      <w:r>
        <w:rPr>
          <w:sz w:val="20"/>
          <w:szCs w:val="20"/>
        </w:rPr>
        <w:t>”</w:t>
      </w:r>
      <w:r>
        <w:rPr>
          <w:color w:val="000000"/>
          <w:sz w:val="20"/>
          <w:szCs w:val="20"/>
        </w:rPr>
        <w:t>.</w:t>
      </w:r>
      <w:r>
        <w:rPr>
          <w:color w:val="000000"/>
          <w:sz w:val="20"/>
          <w:szCs w:val="20"/>
          <w:vertAlign w:val="superscript"/>
        </w:rPr>
        <w:t>(</w:t>
      </w:r>
      <w:proofErr w:type="gramEnd"/>
      <w:r>
        <w:rPr>
          <w:color w:val="000000"/>
          <w:sz w:val="20"/>
          <w:szCs w:val="20"/>
          <w:vertAlign w:val="superscript"/>
        </w:rPr>
        <w:t>4)</w:t>
      </w:r>
      <w:r>
        <w:rPr>
          <w:color w:val="000000"/>
          <w:sz w:val="20"/>
          <w:szCs w:val="20"/>
        </w:rPr>
        <w:t xml:space="preserve"> </w:t>
      </w:r>
    </w:p>
    <w:p w14:paraId="3037F54D" w14:textId="77777777" w:rsidR="001902DF" w:rsidRDefault="00000000">
      <w:pPr>
        <w:spacing w:line="276" w:lineRule="auto"/>
        <w:rPr>
          <w:sz w:val="20"/>
          <w:szCs w:val="20"/>
        </w:rPr>
      </w:pPr>
      <w:r>
        <w:rPr>
          <w:sz w:val="20"/>
          <w:szCs w:val="20"/>
        </w:rPr>
        <w:t xml:space="preserve">The Bill underwent its first reading on November 14, </w:t>
      </w:r>
      <w:proofErr w:type="gramStart"/>
      <w:r>
        <w:rPr>
          <w:sz w:val="20"/>
          <w:szCs w:val="20"/>
        </w:rPr>
        <w:t>2024</w:t>
      </w:r>
      <w:proofErr w:type="gramEnd"/>
      <w:r>
        <w:rPr>
          <w:sz w:val="20"/>
          <w:szCs w:val="20"/>
        </w:rPr>
        <w:t xml:space="preserve"> and was referred to Parliament's Justice Committee for further consideration. Throughout the submission process, concerns were raised regarding the racism within the Bill and generated by the bill. Public debates and commentary by elected officials led to heightened racial hostilities towards Māori, largely </w:t>
      </w:r>
      <w:proofErr w:type="spellStart"/>
      <w:r>
        <w:rPr>
          <w:sz w:val="20"/>
          <w:szCs w:val="20"/>
        </w:rPr>
        <w:t>characterised</w:t>
      </w:r>
      <w:proofErr w:type="spellEnd"/>
      <w:r>
        <w:rPr>
          <w:sz w:val="20"/>
          <w:szCs w:val="20"/>
        </w:rPr>
        <w:t xml:space="preserve"> by a lack of understanding about Te </w:t>
      </w:r>
      <w:proofErr w:type="spellStart"/>
      <w:r>
        <w:rPr>
          <w:sz w:val="20"/>
          <w:szCs w:val="20"/>
        </w:rPr>
        <w:t>Tiriti</w:t>
      </w:r>
      <w:proofErr w:type="spellEnd"/>
      <w:r>
        <w:rPr>
          <w:sz w:val="20"/>
          <w:szCs w:val="20"/>
        </w:rPr>
        <w:t xml:space="preserve"> o Waitangi. The Bill was voted down at the second reading, however within 24 hours commitments were made by the leader of the ACT Party that suggested an intention to continue to pursue the bill’s outcomes, saying to “watch this space</w:t>
      </w:r>
      <w:proofErr w:type="gramStart"/>
      <w:r>
        <w:rPr>
          <w:sz w:val="20"/>
          <w:szCs w:val="20"/>
        </w:rPr>
        <w:t>”.</w:t>
      </w:r>
      <w:r>
        <w:rPr>
          <w:sz w:val="20"/>
          <w:szCs w:val="20"/>
          <w:vertAlign w:val="superscript"/>
        </w:rPr>
        <w:t>(</w:t>
      </w:r>
      <w:proofErr w:type="gramEnd"/>
      <w:r>
        <w:rPr>
          <w:sz w:val="20"/>
          <w:szCs w:val="20"/>
          <w:vertAlign w:val="superscript"/>
        </w:rPr>
        <w:t>6)</w:t>
      </w:r>
      <w:r>
        <w:rPr>
          <w:sz w:val="20"/>
          <w:szCs w:val="20"/>
        </w:rPr>
        <w:t xml:space="preserve"> </w:t>
      </w:r>
    </w:p>
    <w:p w14:paraId="6DCA6782" w14:textId="77777777" w:rsidR="001902DF" w:rsidRDefault="00000000">
      <w:pPr>
        <w:spacing w:before="240" w:after="240" w:line="276" w:lineRule="auto"/>
        <w:rPr>
          <w:sz w:val="20"/>
          <w:szCs w:val="20"/>
        </w:rPr>
      </w:pPr>
      <w:r>
        <w:rPr>
          <w:sz w:val="20"/>
          <w:szCs w:val="20"/>
        </w:rPr>
        <w:lastRenderedPageBreak/>
        <w:t xml:space="preserve">Throughout the </w:t>
      </w:r>
      <w:r>
        <w:rPr>
          <w:i/>
          <w:sz w:val="20"/>
          <w:szCs w:val="20"/>
        </w:rPr>
        <w:t>Treaty Principles Bill</w:t>
      </w:r>
      <w:r>
        <w:rPr>
          <w:sz w:val="20"/>
          <w:szCs w:val="20"/>
        </w:rPr>
        <w:t xml:space="preserve"> process, Minister Seymour consistently mis-framed legislative and policy recognition of Treaty obligations as divisive, inequitable, and even a form of “racial supremacy”, stating in his oral submission:</w:t>
      </w:r>
    </w:p>
    <w:p w14:paraId="08F1CC95" w14:textId="77777777" w:rsidR="001902DF" w:rsidRDefault="00000000">
      <w:pPr>
        <w:spacing w:before="240" w:after="240" w:line="276" w:lineRule="auto"/>
        <w:ind w:left="720"/>
        <w:rPr>
          <w:b/>
          <w:sz w:val="20"/>
          <w:szCs w:val="20"/>
          <w:vertAlign w:val="superscript"/>
        </w:rPr>
      </w:pPr>
      <w:r>
        <w:rPr>
          <w:i/>
          <w:sz w:val="20"/>
          <w:szCs w:val="20"/>
        </w:rPr>
        <w:t xml:space="preserve">We see consultation on resource management consents, the structure of local government and some central government departments taking this divisive approach. Dividing people into racial groups is the definition of racism. Just as sexism is to judge a person first by their sex and then by their other characteristics. Their belief that roles in society should be preserved with race as the primary qualifier is the definition of racism, something we abhor, should give nothing to, and should all do everything in our power to expunge from our society. When you see people as a member of a group first and an individual second, you miss interesting things about </w:t>
      </w:r>
      <w:proofErr w:type="gramStart"/>
      <w:r>
        <w:rPr>
          <w:i/>
          <w:sz w:val="20"/>
          <w:szCs w:val="20"/>
        </w:rPr>
        <w:t>them.</w:t>
      </w:r>
      <w:r>
        <w:rPr>
          <w:sz w:val="20"/>
          <w:szCs w:val="20"/>
          <w:vertAlign w:val="superscript"/>
        </w:rPr>
        <w:t>(</w:t>
      </w:r>
      <w:proofErr w:type="gramEnd"/>
      <w:r>
        <w:rPr>
          <w:sz w:val="20"/>
          <w:szCs w:val="20"/>
          <w:vertAlign w:val="superscript"/>
        </w:rPr>
        <w:t>8)</w:t>
      </w:r>
    </w:p>
    <w:p w14:paraId="3F422867" w14:textId="77777777" w:rsidR="001902DF" w:rsidRDefault="00000000">
      <w:pPr>
        <w:spacing w:before="240" w:after="240" w:line="276" w:lineRule="auto"/>
        <w:rPr>
          <w:sz w:val="20"/>
          <w:szCs w:val="20"/>
        </w:rPr>
      </w:pPr>
      <w:r>
        <w:rPr>
          <w:sz w:val="20"/>
          <w:szCs w:val="20"/>
        </w:rPr>
        <w:t>The National Iwi Chairs Forum notes with further concern the use of human rights and anti-racist terminology, divorced from its context and meaning, to direct hate towards Treaty justice initiatives for Māori.</w:t>
      </w:r>
    </w:p>
    <w:p w14:paraId="6814BAB4" w14:textId="77777777" w:rsidR="001902DF" w:rsidRDefault="00000000">
      <w:pPr>
        <w:pStyle w:val="Heading2"/>
        <w:pBdr>
          <w:top w:val="nil"/>
          <w:left w:val="nil"/>
          <w:bottom w:val="nil"/>
          <w:right w:val="nil"/>
          <w:between w:val="nil"/>
        </w:pBdr>
        <w:spacing w:line="276" w:lineRule="auto"/>
        <w:ind w:left="0" w:firstLine="0"/>
        <w:rPr>
          <w:sz w:val="20"/>
          <w:szCs w:val="20"/>
        </w:rPr>
      </w:pPr>
      <w:bookmarkStart w:id="10" w:name="_heading=h.9ntjtf6wiurn" w:colFirst="0" w:colLast="0"/>
      <w:bookmarkEnd w:id="10"/>
      <w:r>
        <w:rPr>
          <w:sz w:val="20"/>
          <w:szCs w:val="20"/>
        </w:rPr>
        <w:t>Incitement of Hate through Treaty Principles Bill</w:t>
      </w:r>
    </w:p>
    <w:p w14:paraId="7E4B6992" w14:textId="77777777" w:rsidR="001902DF" w:rsidRDefault="00000000">
      <w:pPr>
        <w:spacing w:line="276" w:lineRule="auto"/>
      </w:pPr>
      <w:r>
        <w:rPr>
          <w:sz w:val="20"/>
          <w:szCs w:val="20"/>
        </w:rPr>
        <w:t xml:space="preserve">In his Treaty Principles Bill submission, Dr Sanjana Hattotuwa, independent researcher </w:t>
      </w:r>
      <w:proofErr w:type="spellStart"/>
      <w:r>
        <w:rPr>
          <w:sz w:val="20"/>
          <w:szCs w:val="20"/>
        </w:rPr>
        <w:t>focussing</w:t>
      </w:r>
      <w:proofErr w:type="spellEnd"/>
      <w:r>
        <w:rPr>
          <w:sz w:val="20"/>
          <w:szCs w:val="20"/>
        </w:rPr>
        <w:t xml:space="preserve"> on online harms stated the following:</w:t>
      </w:r>
    </w:p>
    <w:p w14:paraId="2E1E129B" w14:textId="77777777" w:rsidR="001902DF" w:rsidRDefault="00000000">
      <w:pPr>
        <w:spacing w:before="240" w:after="240" w:line="276" w:lineRule="auto"/>
        <w:ind w:left="720"/>
        <w:rPr>
          <w:i/>
          <w:sz w:val="20"/>
          <w:szCs w:val="20"/>
        </w:rPr>
      </w:pPr>
      <w:r>
        <w:rPr>
          <w:i/>
          <w:sz w:val="20"/>
          <w:szCs w:val="20"/>
        </w:rPr>
        <w:t xml:space="preserve">I wish to unequivocally stress the stated intent of the Treaty Principles Bill, as presented on the Parliament website, clashes sharply with the significant rise in anti-Māori and anti-Treaty discourse observed online and on social media. While the Bill claims to promote clarity, conversation, and social cohesion, the evidence clearly indicates it has instead </w:t>
      </w:r>
      <w:proofErr w:type="spellStart"/>
      <w:r>
        <w:rPr>
          <w:i/>
          <w:sz w:val="20"/>
          <w:szCs w:val="20"/>
        </w:rPr>
        <w:t>fuelled</w:t>
      </w:r>
      <w:proofErr w:type="spellEnd"/>
      <w:r>
        <w:rPr>
          <w:i/>
          <w:sz w:val="20"/>
          <w:szCs w:val="20"/>
        </w:rPr>
        <w:t xml:space="preserve"> division, misinformation, and harmful rhetoric in Aotearoa New Zealand, growing at pace… The discourse around the Treaty Principles Bill studied is a rhetoric that prefigured significant unrest, and violence in other countries, leading to intergenerational harms aside from the more immediate loss of life, destruction of property, erosion of social cohesion, and weakening of liberal democracy. This is worrying, even (or especially) in a high-trust society like Aotearoa New Zealand with weak institutional frameworks to address the growth of </w:t>
      </w:r>
      <w:proofErr w:type="spellStart"/>
      <w:r>
        <w:rPr>
          <w:i/>
          <w:sz w:val="20"/>
          <w:szCs w:val="20"/>
        </w:rPr>
        <w:t>polarisation</w:t>
      </w:r>
      <w:proofErr w:type="spellEnd"/>
      <w:r>
        <w:rPr>
          <w:i/>
          <w:sz w:val="20"/>
          <w:szCs w:val="20"/>
        </w:rPr>
        <w:t xml:space="preserve">, division, and incitement to violence, growing at </w:t>
      </w:r>
      <w:proofErr w:type="gramStart"/>
      <w:r>
        <w:rPr>
          <w:i/>
          <w:sz w:val="20"/>
          <w:szCs w:val="20"/>
        </w:rPr>
        <w:t>pace.</w:t>
      </w:r>
      <w:r>
        <w:rPr>
          <w:sz w:val="20"/>
          <w:szCs w:val="20"/>
          <w:vertAlign w:val="superscript"/>
        </w:rPr>
        <w:t>(</w:t>
      </w:r>
      <w:proofErr w:type="gramEnd"/>
      <w:r>
        <w:rPr>
          <w:sz w:val="20"/>
          <w:szCs w:val="20"/>
          <w:vertAlign w:val="superscript"/>
        </w:rPr>
        <w:t>9)</w:t>
      </w:r>
    </w:p>
    <w:p w14:paraId="52BC94DB" w14:textId="77777777" w:rsidR="001902DF" w:rsidRDefault="00000000">
      <w:pPr>
        <w:spacing w:before="240" w:after="240" w:line="276" w:lineRule="auto"/>
        <w:rPr>
          <w:sz w:val="20"/>
          <w:szCs w:val="20"/>
        </w:rPr>
      </w:pPr>
      <w:r>
        <w:rPr>
          <w:sz w:val="20"/>
          <w:szCs w:val="20"/>
        </w:rPr>
        <w:t xml:space="preserve">While we note the strong level of support for </w:t>
      </w:r>
      <w:proofErr w:type="spellStart"/>
      <w:r>
        <w:rPr>
          <w:sz w:val="20"/>
          <w:szCs w:val="20"/>
        </w:rPr>
        <w:t>Tiriti</w:t>
      </w:r>
      <w:proofErr w:type="spellEnd"/>
      <w:r>
        <w:rPr>
          <w:sz w:val="20"/>
          <w:szCs w:val="20"/>
        </w:rPr>
        <w:t xml:space="preserve"> justice evident through the submissions, the National Iwi Chairs Forum is nonetheless gravely concerned at the continuation of </w:t>
      </w:r>
      <w:proofErr w:type="spellStart"/>
      <w:r>
        <w:rPr>
          <w:sz w:val="20"/>
          <w:szCs w:val="20"/>
        </w:rPr>
        <w:t>racialised</w:t>
      </w:r>
      <w:proofErr w:type="spellEnd"/>
      <w:r>
        <w:rPr>
          <w:sz w:val="20"/>
          <w:szCs w:val="20"/>
        </w:rPr>
        <w:t xml:space="preserve"> hate and its ongoing intensification, provoked by the </w:t>
      </w:r>
      <w:proofErr w:type="spellStart"/>
      <w:r>
        <w:rPr>
          <w:sz w:val="20"/>
          <w:szCs w:val="20"/>
        </w:rPr>
        <w:t>racialised</w:t>
      </w:r>
      <w:proofErr w:type="spellEnd"/>
      <w:r>
        <w:rPr>
          <w:sz w:val="20"/>
          <w:szCs w:val="20"/>
        </w:rPr>
        <w:t xml:space="preserve"> rhetoric of elected officials.</w:t>
      </w:r>
    </w:p>
    <w:p w14:paraId="27A77984" w14:textId="77777777" w:rsidR="001902DF" w:rsidRDefault="00000000">
      <w:pPr>
        <w:pStyle w:val="Heading2"/>
        <w:spacing w:line="276" w:lineRule="auto"/>
        <w:ind w:left="0" w:firstLine="6"/>
        <w:rPr>
          <w:sz w:val="20"/>
          <w:szCs w:val="20"/>
        </w:rPr>
      </w:pPr>
      <w:bookmarkStart w:id="11" w:name="_heading=h.fipfx0g5l8op" w:colFirst="0" w:colLast="0"/>
      <w:bookmarkEnd w:id="11"/>
      <w:r>
        <w:rPr>
          <w:sz w:val="20"/>
          <w:szCs w:val="20"/>
        </w:rPr>
        <w:t>Regulatory Standards Bill</w:t>
      </w:r>
    </w:p>
    <w:p w14:paraId="5EED7C44" w14:textId="77777777" w:rsidR="001902DF" w:rsidRDefault="00000000">
      <w:pPr>
        <w:spacing w:line="276" w:lineRule="auto"/>
        <w:rPr>
          <w:sz w:val="20"/>
          <w:szCs w:val="20"/>
        </w:rPr>
      </w:pPr>
      <w:r>
        <w:rPr>
          <w:sz w:val="20"/>
          <w:szCs w:val="20"/>
        </w:rPr>
        <w:t xml:space="preserve">The Regulatory Standards Bill seeks to create a new regulatory regime based upon a narrow set of libertarian standards for the rule of law, liberties, taking of property, taxes, fees and levies, role of courts, good law-making and regulatory stewardship. It does not include any reference to </w:t>
      </w:r>
      <w:proofErr w:type="spellStart"/>
      <w:r>
        <w:rPr>
          <w:sz w:val="20"/>
          <w:szCs w:val="20"/>
        </w:rPr>
        <w:t>te</w:t>
      </w:r>
      <w:proofErr w:type="spellEnd"/>
      <w:r>
        <w:rPr>
          <w:sz w:val="20"/>
          <w:szCs w:val="20"/>
        </w:rPr>
        <w:t xml:space="preserve"> </w:t>
      </w:r>
      <w:proofErr w:type="spellStart"/>
      <w:r>
        <w:rPr>
          <w:sz w:val="20"/>
          <w:szCs w:val="20"/>
        </w:rPr>
        <w:t>Tiriti</w:t>
      </w:r>
      <w:proofErr w:type="spellEnd"/>
      <w:r>
        <w:rPr>
          <w:sz w:val="20"/>
          <w:szCs w:val="20"/>
        </w:rPr>
        <w:t xml:space="preserve"> o Waitangi and as such is a regressive departure from the role </w:t>
      </w:r>
      <w:proofErr w:type="spellStart"/>
      <w:r>
        <w:rPr>
          <w:sz w:val="20"/>
          <w:szCs w:val="20"/>
        </w:rPr>
        <w:t>te</w:t>
      </w:r>
      <w:proofErr w:type="spellEnd"/>
      <w:r>
        <w:rPr>
          <w:sz w:val="20"/>
          <w:szCs w:val="20"/>
        </w:rPr>
        <w:t xml:space="preserve"> </w:t>
      </w:r>
      <w:proofErr w:type="spellStart"/>
      <w:r>
        <w:rPr>
          <w:sz w:val="20"/>
          <w:szCs w:val="20"/>
        </w:rPr>
        <w:t>Tiriti</w:t>
      </w:r>
      <w:proofErr w:type="spellEnd"/>
      <w:r>
        <w:rPr>
          <w:sz w:val="20"/>
          <w:szCs w:val="20"/>
        </w:rPr>
        <w:t xml:space="preserve"> o Waitangi has grown to play in New Zealand’s legislative process. The bill proposes a mechanism for assessing whether new laws are consistent with the proposed standards, and where they are not, whether the departure is justified. The New Zealand Bill of Rights Act, which protects fundamental human rights such as the right to life and liberty, is also </w:t>
      </w:r>
      <w:proofErr w:type="spellStart"/>
      <w:r>
        <w:rPr>
          <w:sz w:val="20"/>
          <w:szCs w:val="20"/>
        </w:rPr>
        <w:t>marginalised</w:t>
      </w:r>
      <w:proofErr w:type="spellEnd"/>
      <w:r>
        <w:rPr>
          <w:sz w:val="20"/>
          <w:szCs w:val="20"/>
        </w:rPr>
        <w:t xml:space="preserve"> by this Bill. The Bill provides similar protections for private property rights without due regard to other matters such as public good, Indigenous, environmental and human rights or social values. </w:t>
      </w:r>
    </w:p>
    <w:p w14:paraId="57C52933" w14:textId="77777777" w:rsidR="001902DF" w:rsidRDefault="00000000">
      <w:pPr>
        <w:spacing w:line="276" w:lineRule="auto"/>
        <w:rPr>
          <w:sz w:val="20"/>
          <w:szCs w:val="20"/>
        </w:rPr>
      </w:pPr>
      <w:r>
        <w:rPr>
          <w:sz w:val="20"/>
          <w:szCs w:val="20"/>
        </w:rPr>
        <w:t xml:space="preserve">The bill received 159,000 written submissions - second in New Zealand history only to the Treaty Principles Bill that directly preceded it. Of the 159,000 written submissions, 156,882 submissions were opposed to the Bill (98.7%), 1,191 were in support of the Bill (0.7%), and the remaining 927 were either unclear or did not take a position on the Bill overall (0.6%). The government invited 200 oral submissions to be heard by select </w:t>
      </w:r>
      <w:r>
        <w:rPr>
          <w:sz w:val="20"/>
          <w:szCs w:val="20"/>
        </w:rPr>
        <w:lastRenderedPageBreak/>
        <w:t xml:space="preserve">committee regarding the Bill. Māori leaders, lawyers and legal scholars, constitutional experts, community </w:t>
      </w:r>
      <w:proofErr w:type="spellStart"/>
      <w:r>
        <w:rPr>
          <w:sz w:val="20"/>
          <w:szCs w:val="20"/>
        </w:rPr>
        <w:t>organisations</w:t>
      </w:r>
      <w:proofErr w:type="spellEnd"/>
      <w:r>
        <w:rPr>
          <w:sz w:val="20"/>
          <w:szCs w:val="20"/>
        </w:rPr>
        <w:t xml:space="preserve">, economists, social justice </w:t>
      </w:r>
      <w:proofErr w:type="spellStart"/>
      <w:r>
        <w:rPr>
          <w:sz w:val="20"/>
          <w:szCs w:val="20"/>
        </w:rPr>
        <w:t>organisations</w:t>
      </w:r>
      <w:proofErr w:type="spellEnd"/>
      <w:r>
        <w:rPr>
          <w:sz w:val="20"/>
          <w:szCs w:val="20"/>
        </w:rPr>
        <w:t xml:space="preserve"> and advocates of human, environmental, Indigenous and treaty rights strongly opposed the bill in the select committee hearings. There were 180 oral submissions made against the Bill (87%), and 19 in </w:t>
      </w:r>
      <w:proofErr w:type="spellStart"/>
      <w:r>
        <w:rPr>
          <w:sz w:val="20"/>
          <w:szCs w:val="20"/>
        </w:rPr>
        <w:t>favour</w:t>
      </w:r>
      <w:proofErr w:type="spellEnd"/>
      <w:r>
        <w:rPr>
          <w:sz w:val="20"/>
          <w:szCs w:val="20"/>
        </w:rPr>
        <w:t xml:space="preserve"> (9%). </w:t>
      </w:r>
    </w:p>
    <w:p w14:paraId="41CA63F7" w14:textId="77777777" w:rsidR="001902DF" w:rsidRDefault="00000000">
      <w:pPr>
        <w:spacing w:line="276" w:lineRule="auto"/>
        <w:rPr>
          <w:sz w:val="20"/>
          <w:szCs w:val="20"/>
        </w:rPr>
      </w:pPr>
      <w:r>
        <w:rPr>
          <w:sz w:val="20"/>
          <w:szCs w:val="20"/>
        </w:rPr>
        <w:t xml:space="preserve">Dominant themes of opposition included:  </w:t>
      </w:r>
    </w:p>
    <w:p w14:paraId="0C69DDCA" w14:textId="77777777" w:rsidR="001902DF" w:rsidRDefault="00000000">
      <w:pPr>
        <w:numPr>
          <w:ilvl w:val="0"/>
          <w:numId w:val="4"/>
        </w:numPr>
        <w:spacing w:after="0" w:line="276" w:lineRule="auto"/>
        <w:rPr>
          <w:sz w:val="20"/>
          <w:szCs w:val="20"/>
        </w:rPr>
      </w:pPr>
      <w:r>
        <w:rPr>
          <w:sz w:val="20"/>
          <w:szCs w:val="20"/>
        </w:rPr>
        <w:t xml:space="preserve">Omission of Te </w:t>
      </w:r>
      <w:proofErr w:type="spellStart"/>
      <w:r>
        <w:rPr>
          <w:sz w:val="20"/>
          <w:szCs w:val="20"/>
        </w:rPr>
        <w:t>Tiriti</w:t>
      </w:r>
      <w:proofErr w:type="spellEnd"/>
      <w:r>
        <w:rPr>
          <w:sz w:val="20"/>
          <w:szCs w:val="20"/>
        </w:rPr>
        <w:t xml:space="preserve"> o Waitangi and its principles,</w:t>
      </w:r>
    </w:p>
    <w:p w14:paraId="546E46CE" w14:textId="77777777" w:rsidR="001902DF" w:rsidRDefault="00000000">
      <w:pPr>
        <w:numPr>
          <w:ilvl w:val="0"/>
          <w:numId w:val="4"/>
        </w:numPr>
        <w:spacing w:before="0" w:after="0" w:line="276" w:lineRule="auto"/>
        <w:rPr>
          <w:sz w:val="20"/>
          <w:szCs w:val="20"/>
        </w:rPr>
      </w:pPr>
      <w:r>
        <w:rPr>
          <w:sz w:val="20"/>
          <w:szCs w:val="20"/>
        </w:rPr>
        <w:t xml:space="preserve">Breach of the Crown’s obligations under Te </w:t>
      </w:r>
      <w:proofErr w:type="spellStart"/>
      <w:r>
        <w:rPr>
          <w:sz w:val="20"/>
          <w:szCs w:val="20"/>
        </w:rPr>
        <w:t>Tiriti</w:t>
      </w:r>
      <w:proofErr w:type="spellEnd"/>
      <w:r>
        <w:rPr>
          <w:sz w:val="20"/>
          <w:szCs w:val="20"/>
        </w:rPr>
        <w:t>,</w:t>
      </w:r>
    </w:p>
    <w:p w14:paraId="259F1E0F" w14:textId="77777777" w:rsidR="001902DF" w:rsidRDefault="00000000">
      <w:pPr>
        <w:numPr>
          <w:ilvl w:val="0"/>
          <w:numId w:val="4"/>
        </w:numPr>
        <w:spacing w:before="0" w:after="0" w:line="276" w:lineRule="auto"/>
        <w:rPr>
          <w:sz w:val="20"/>
          <w:szCs w:val="20"/>
        </w:rPr>
      </w:pPr>
      <w:r>
        <w:rPr>
          <w:sz w:val="20"/>
          <w:szCs w:val="20"/>
        </w:rPr>
        <w:t>The Bill’s ideological basis being unreflective of New Zealand values,</w:t>
      </w:r>
    </w:p>
    <w:p w14:paraId="6450FB64" w14:textId="77777777" w:rsidR="001902DF" w:rsidRDefault="00000000">
      <w:pPr>
        <w:numPr>
          <w:ilvl w:val="0"/>
          <w:numId w:val="4"/>
        </w:numPr>
        <w:spacing w:before="0" w:after="0" w:line="276" w:lineRule="auto"/>
        <w:rPr>
          <w:sz w:val="20"/>
          <w:szCs w:val="20"/>
        </w:rPr>
      </w:pPr>
      <w:r>
        <w:rPr>
          <w:sz w:val="20"/>
          <w:szCs w:val="20"/>
        </w:rPr>
        <w:t>Inconsistency with the New Zealand Bill of Rights Act 1990 (NZBORA),</w:t>
      </w:r>
    </w:p>
    <w:p w14:paraId="11C91248" w14:textId="77777777" w:rsidR="001902DF" w:rsidRDefault="00000000">
      <w:pPr>
        <w:numPr>
          <w:ilvl w:val="0"/>
          <w:numId w:val="4"/>
        </w:numPr>
        <w:spacing w:before="0" w:after="0" w:line="276" w:lineRule="auto"/>
        <w:rPr>
          <w:sz w:val="20"/>
          <w:szCs w:val="20"/>
        </w:rPr>
      </w:pPr>
      <w:r>
        <w:rPr>
          <w:sz w:val="20"/>
          <w:szCs w:val="20"/>
        </w:rPr>
        <w:t>Inconsistency with international human rights law and in particular CERD and ICCPR,</w:t>
      </w:r>
    </w:p>
    <w:p w14:paraId="69CF1DA9" w14:textId="77777777" w:rsidR="001902DF" w:rsidRDefault="00000000">
      <w:pPr>
        <w:numPr>
          <w:ilvl w:val="0"/>
          <w:numId w:val="4"/>
        </w:numPr>
        <w:spacing w:before="0" w:line="276" w:lineRule="auto"/>
        <w:rPr>
          <w:sz w:val="20"/>
          <w:szCs w:val="20"/>
        </w:rPr>
      </w:pPr>
      <w:r>
        <w:rPr>
          <w:sz w:val="20"/>
          <w:szCs w:val="20"/>
        </w:rPr>
        <w:t>Pre-existing legislation that can accomplish functions of what the Bill aims to achieve.</w:t>
      </w:r>
    </w:p>
    <w:p w14:paraId="49B1BD80" w14:textId="77777777" w:rsidR="001902DF" w:rsidRDefault="00000000">
      <w:pPr>
        <w:spacing w:line="276" w:lineRule="auto"/>
        <w:rPr>
          <w:sz w:val="20"/>
          <w:szCs w:val="20"/>
        </w:rPr>
      </w:pPr>
      <w:r>
        <w:rPr>
          <w:sz w:val="20"/>
          <w:szCs w:val="20"/>
        </w:rPr>
        <w:t xml:space="preserve">On 10 October 2025, the Finance and Expenditure Select Committee report was released, wherein the select committee recommended that the bill be passed with minimal amendments, </w:t>
      </w:r>
      <w:proofErr w:type="gramStart"/>
      <w:r>
        <w:rPr>
          <w:sz w:val="20"/>
          <w:szCs w:val="20"/>
        </w:rPr>
        <w:t>in spite of</w:t>
      </w:r>
      <w:proofErr w:type="gramEnd"/>
      <w:r>
        <w:rPr>
          <w:sz w:val="20"/>
          <w:szCs w:val="20"/>
        </w:rPr>
        <w:t xml:space="preserve"> the significant public opposition. The National Iwi Chairs Forum considers this to be a gross miscarriage of </w:t>
      </w:r>
      <w:proofErr w:type="gramStart"/>
      <w:r>
        <w:rPr>
          <w:sz w:val="20"/>
          <w:szCs w:val="20"/>
        </w:rPr>
        <w:t>democracy, and</w:t>
      </w:r>
      <w:proofErr w:type="gramEnd"/>
      <w:r>
        <w:rPr>
          <w:sz w:val="20"/>
          <w:szCs w:val="20"/>
        </w:rPr>
        <w:t xml:space="preserve"> </w:t>
      </w:r>
      <w:proofErr w:type="gramStart"/>
      <w:r>
        <w:rPr>
          <w:sz w:val="20"/>
          <w:szCs w:val="20"/>
        </w:rPr>
        <w:t>seek</w:t>
      </w:r>
      <w:proofErr w:type="gramEnd"/>
      <w:r>
        <w:rPr>
          <w:sz w:val="20"/>
          <w:szCs w:val="20"/>
        </w:rPr>
        <w:t xml:space="preserve"> a recommendation from the Committee that the member state abandon the bill and halt all further actions that seek to reinterpret </w:t>
      </w:r>
      <w:proofErr w:type="spellStart"/>
      <w:r>
        <w:rPr>
          <w:sz w:val="20"/>
          <w:szCs w:val="20"/>
        </w:rPr>
        <w:t>te</w:t>
      </w:r>
      <w:proofErr w:type="spellEnd"/>
      <w:r>
        <w:rPr>
          <w:sz w:val="20"/>
          <w:szCs w:val="20"/>
        </w:rPr>
        <w:t xml:space="preserve"> </w:t>
      </w:r>
      <w:proofErr w:type="spellStart"/>
      <w:r>
        <w:rPr>
          <w:sz w:val="20"/>
          <w:szCs w:val="20"/>
        </w:rPr>
        <w:t>Tiriti</w:t>
      </w:r>
      <w:proofErr w:type="spellEnd"/>
      <w:r>
        <w:rPr>
          <w:sz w:val="20"/>
          <w:szCs w:val="20"/>
        </w:rPr>
        <w:t xml:space="preserve"> o </w:t>
      </w:r>
      <w:proofErr w:type="spellStart"/>
      <w:r>
        <w:rPr>
          <w:sz w:val="20"/>
          <w:szCs w:val="20"/>
        </w:rPr>
        <w:t>Waitang</w:t>
      </w:r>
      <w:proofErr w:type="spellEnd"/>
      <w:r>
        <w:rPr>
          <w:sz w:val="20"/>
          <w:szCs w:val="20"/>
        </w:rPr>
        <w:t xml:space="preserve"> and limit its political status and application.</w:t>
      </w:r>
    </w:p>
    <w:p w14:paraId="42BFC0ED" w14:textId="77777777" w:rsidR="001902DF" w:rsidRDefault="00000000">
      <w:pPr>
        <w:pStyle w:val="Heading2"/>
        <w:spacing w:line="276" w:lineRule="auto"/>
        <w:ind w:left="0" w:firstLine="0"/>
        <w:rPr>
          <w:sz w:val="20"/>
          <w:szCs w:val="20"/>
        </w:rPr>
      </w:pPr>
      <w:bookmarkStart w:id="12" w:name="_heading=h.56vb9a5vbm8j" w:colFirst="0" w:colLast="0"/>
      <w:bookmarkEnd w:id="12"/>
      <w:r>
        <w:rPr>
          <w:sz w:val="20"/>
          <w:szCs w:val="20"/>
        </w:rPr>
        <w:t>Treaty Clause Review</w:t>
      </w:r>
    </w:p>
    <w:p w14:paraId="51590D60" w14:textId="77777777" w:rsidR="001902DF" w:rsidRDefault="00000000">
      <w:pPr>
        <w:spacing w:line="276" w:lineRule="auto"/>
        <w:rPr>
          <w:sz w:val="20"/>
          <w:szCs w:val="20"/>
        </w:rPr>
      </w:pPr>
      <w:r>
        <w:rPr>
          <w:sz w:val="20"/>
          <w:szCs w:val="20"/>
        </w:rPr>
        <w:t xml:space="preserve">The 1975 Treaty of Waitangi Act created the Waitangi Tribunal </w:t>
      </w:r>
      <w:proofErr w:type="gramStart"/>
      <w:r>
        <w:rPr>
          <w:sz w:val="20"/>
          <w:szCs w:val="20"/>
        </w:rPr>
        <w:t>and also</w:t>
      </w:r>
      <w:proofErr w:type="gramEnd"/>
      <w:r>
        <w:rPr>
          <w:sz w:val="20"/>
          <w:szCs w:val="20"/>
        </w:rPr>
        <w:t xml:space="preserve"> provided the context for legislative references to the principles of the Treaty of Waitangi. These Treaty clauses require the Crown and other decision-makers, such as local governments, to uphold, respect, consider, or act in accordance with the Treaty’s principles within legal frameworks. The decision to review all Treaty clauses stems from the 2023 coalition agreement, and has taken place without the free, prior and informed consent of Māori. The Treaty Clause Review includes a thorough review of legislation containing references to the Treaty’s </w:t>
      </w:r>
      <w:proofErr w:type="gramStart"/>
      <w:r>
        <w:rPr>
          <w:sz w:val="20"/>
          <w:szCs w:val="20"/>
        </w:rPr>
        <w:t>principles—</w:t>
      </w:r>
      <w:proofErr w:type="gramEnd"/>
      <w:r>
        <w:rPr>
          <w:sz w:val="20"/>
          <w:szCs w:val="20"/>
        </w:rPr>
        <w:t>excluding those related to full and final Treaty settlements—with the aim of either replacing such references with specific wording on the Treaty’s relevance and application or removing them altogether.</w:t>
      </w:r>
    </w:p>
    <w:p w14:paraId="60630E70" w14:textId="77777777" w:rsidR="001902DF" w:rsidRDefault="00000000">
      <w:pPr>
        <w:spacing w:line="276" w:lineRule="auto"/>
        <w:rPr>
          <w:sz w:val="20"/>
          <w:szCs w:val="20"/>
        </w:rPr>
      </w:pPr>
      <w:r>
        <w:rPr>
          <w:sz w:val="20"/>
          <w:szCs w:val="20"/>
        </w:rPr>
        <w:t xml:space="preserve">To date, the Government has announced 28 pieces of legislation under review: </w:t>
      </w:r>
    </w:p>
    <w:p w14:paraId="532DD479"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Climate Change Response Act 2002</w:t>
      </w:r>
    </w:p>
    <w:p w14:paraId="203D147B"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Conservation Act 1987</w:t>
      </w:r>
    </w:p>
    <w:p w14:paraId="62476316"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Criminal Cases Review Commission Act 2019</w:t>
      </w:r>
    </w:p>
    <w:p w14:paraId="67B129DE"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Crown Minerals Act 1991</w:t>
      </w:r>
    </w:p>
    <w:p w14:paraId="12A0128D"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Crown Pastoral Land Act 1998</w:t>
      </w:r>
    </w:p>
    <w:p w14:paraId="21F46A17"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Crown Research Institutes Act 1992</w:t>
      </w:r>
    </w:p>
    <w:p w14:paraId="3896B70B"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Data and Statistics Act 2022</w:t>
      </w:r>
    </w:p>
    <w:p w14:paraId="08F8EDCD"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Digital Identity Services Trust Framework Act 2023</w:t>
      </w:r>
    </w:p>
    <w:p w14:paraId="50C78BEB"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Education and Training Act 2020</w:t>
      </w:r>
    </w:p>
    <w:p w14:paraId="124F83ED"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Energy Efficiency and Conservation Act 2000</w:t>
      </w:r>
    </w:p>
    <w:p w14:paraId="0F84CE80"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Environment Act 1986</w:t>
      </w:r>
    </w:p>
    <w:p w14:paraId="74F2CF33"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Exclusive Economic Zone and Continental Shelf (Environmental Effects) Act 2012</w:t>
      </w:r>
    </w:p>
    <w:p w14:paraId="2203DB67" w14:textId="77777777" w:rsidR="001902DF" w:rsidRDefault="00000000">
      <w:pPr>
        <w:numPr>
          <w:ilvl w:val="0"/>
          <w:numId w:val="8"/>
        </w:numPr>
        <w:pBdr>
          <w:top w:val="nil"/>
          <w:left w:val="nil"/>
          <w:bottom w:val="nil"/>
          <w:right w:val="nil"/>
          <w:between w:val="nil"/>
        </w:pBdr>
        <w:spacing w:line="276" w:lineRule="auto"/>
        <w:rPr>
          <w:color w:val="000000"/>
          <w:sz w:val="20"/>
          <w:szCs w:val="20"/>
        </w:rPr>
      </w:pPr>
      <w:proofErr w:type="spellStart"/>
      <w:r>
        <w:rPr>
          <w:color w:val="000000"/>
          <w:sz w:val="20"/>
          <w:szCs w:val="20"/>
        </w:rPr>
        <w:t>Harbour</w:t>
      </w:r>
      <w:proofErr w:type="spellEnd"/>
      <w:r>
        <w:rPr>
          <w:color w:val="000000"/>
          <w:sz w:val="20"/>
          <w:szCs w:val="20"/>
        </w:rPr>
        <w:t xml:space="preserve"> Boards Dry Land Endowment Revesting Act 1991</w:t>
      </w:r>
    </w:p>
    <w:p w14:paraId="0904CC46"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lastRenderedPageBreak/>
        <w:t>Hauraki Gulf Marine Park Act 2000</w:t>
      </w:r>
    </w:p>
    <w:p w14:paraId="181D4258"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Hazardous Substances and New Organisms Act 1996</w:t>
      </w:r>
    </w:p>
    <w:p w14:paraId="3586E430" w14:textId="77777777" w:rsidR="001902DF" w:rsidRDefault="00000000">
      <w:pPr>
        <w:numPr>
          <w:ilvl w:val="0"/>
          <w:numId w:val="8"/>
        </w:numPr>
        <w:pBdr>
          <w:top w:val="nil"/>
          <w:left w:val="nil"/>
          <w:bottom w:val="nil"/>
          <w:right w:val="nil"/>
          <w:between w:val="nil"/>
        </w:pBdr>
        <w:spacing w:line="276" w:lineRule="auto"/>
        <w:rPr>
          <w:color w:val="000000"/>
          <w:sz w:val="20"/>
          <w:szCs w:val="20"/>
        </w:rPr>
      </w:pPr>
      <w:proofErr w:type="spellStart"/>
      <w:r>
        <w:rPr>
          <w:color w:val="000000"/>
          <w:sz w:val="20"/>
          <w:szCs w:val="20"/>
        </w:rPr>
        <w:t>Kāinga</w:t>
      </w:r>
      <w:proofErr w:type="spellEnd"/>
      <w:r>
        <w:rPr>
          <w:color w:val="000000"/>
          <w:sz w:val="20"/>
          <w:szCs w:val="20"/>
        </w:rPr>
        <w:t xml:space="preserve"> Ora–Homes and Communities Act 2019</w:t>
      </w:r>
    </w:p>
    <w:p w14:paraId="12ECE473"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Land Transport Management Act 2003</w:t>
      </w:r>
    </w:p>
    <w:p w14:paraId="2504CF8B"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Local Government Act 2002</w:t>
      </w:r>
    </w:p>
    <w:p w14:paraId="449AD113"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Mental Health and Wellbeing Commission Act 2020</w:t>
      </w:r>
    </w:p>
    <w:p w14:paraId="0253ADFB" w14:textId="77777777" w:rsidR="001902DF" w:rsidRDefault="00000000">
      <w:pPr>
        <w:numPr>
          <w:ilvl w:val="0"/>
          <w:numId w:val="8"/>
        </w:numPr>
        <w:pBdr>
          <w:top w:val="nil"/>
          <w:left w:val="nil"/>
          <w:bottom w:val="nil"/>
          <w:right w:val="nil"/>
          <w:between w:val="nil"/>
        </w:pBdr>
        <w:spacing w:line="276" w:lineRule="auto"/>
        <w:rPr>
          <w:color w:val="000000"/>
          <w:sz w:val="20"/>
          <w:szCs w:val="20"/>
        </w:rPr>
      </w:pPr>
      <w:proofErr w:type="spellStart"/>
      <w:r>
        <w:rPr>
          <w:color w:val="000000"/>
          <w:sz w:val="20"/>
          <w:szCs w:val="20"/>
        </w:rPr>
        <w:t>Oranga</w:t>
      </w:r>
      <w:proofErr w:type="spellEnd"/>
      <w:r>
        <w:rPr>
          <w:color w:val="000000"/>
          <w:sz w:val="20"/>
          <w:szCs w:val="20"/>
        </w:rPr>
        <w:t xml:space="preserve"> Tamariki Act 1989</w:t>
      </w:r>
    </w:p>
    <w:p w14:paraId="5F46351F"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Organic Products and Production Act 2023</w:t>
      </w:r>
    </w:p>
    <w:p w14:paraId="2370D649"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Pae Ora (Healthy Futures) Act 2022</w:t>
      </w:r>
    </w:p>
    <w:p w14:paraId="3AD967D7"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Plant Variety Rights Act 2022</w:t>
      </w:r>
    </w:p>
    <w:p w14:paraId="41717B39"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Resource Management Act 1991</w:t>
      </w:r>
    </w:p>
    <w:p w14:paraId="39910490"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Smokefree Environments and Regulated Products Act 1990</w:t>
      </w:r>
    </w:p>
    <w:p w14:paraId="0B68CD66" w14:textId="77777777" w:rsidR="001902DF" w:rsidRDefault="00000000">
      <w:pPr>
        <w:numPr>
          <w:ilvl w:val="0"/>
          <w:numId w:val="8"/>
        </w:numPr>
        <w:pBdr>
          <w:top w:val="nil"/>
          <w:left w:val="nil"/>
          <w:bottom w:val="nil"/>
          <w:right w:val="nil"/>
          <w:between w:val="nil"/>
        </w:pBdr>
        <w:spacing w:line="276" w:lineRule="auto"/>
        <w:rPr>
          <w:color w:val="000000"/>
          <w:sz w:val="20"/>
          <w:szCs w:val="20"/>
        </w:rPr>
      </w:pPr>
      <w:proofErr w:type="spellStart"/>
      <w:r>
        <w:rPr>
          <w:color w:val="000000"/>
          <w:sz w:val="20"/>
          <w:szCs w:val="20"/>
        </w:rPr>
        <w:t>Taumata</w:t>
      </w:r>
      <w:proofErr w:type="spellEnd"/>
      <w:r>
        <w:rPr>
          <w:color w:val="000000"/>
          <w:sz w:val="20"/>
          <w:szCs w:val="20"/>
        </w:rPr>
        <w:t xml:space="preserve"> </w:t>
      </w:r>
      <w:proofErr w:type="spellStart"/>
      <w:r>
        <w:rPr>
          <w:color w:val="000000"/>
          <w:sz w:val="20"/>
          <w:szCs w:val="20"/>
        </w:rPr>
        <w:t>Arowai</w:t>
      </w:r>
      <w:proofErr w:type="spellEnd"/>
      <w:r>
        <w:rPr>
          <w:color w:val="000000"/>
          <w:sz w:val="20"/>
          <w:szCs w:val="20"/>
        </w:rPr>
        <w:t>–The Water Services Regulator Act 2020</w:t>
      </w:r>
    </w:p>
    <w:p w14:paraId="4E9C87AA"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Therapeutic Products Act 2023</w:t>
      </w:r>
    </w:p>
    <w:p w14:paraId="660D54C7" w14:textId="77777777" w:rsidR="001902DF" w:rsidRDefault="00000000">
      <w:pPr>
        <w:numPr>
          <w:ilvl w:val="0"/>
          <w:numId w:val="8"/>
        </w:numPr>
        <w:pBdr>
          <w:top w:val="nil"/>
          <w:left w:val="nil"/>
          <w:bottom w:val="nil"/>
          <w:right w:val="nil"/>
          <w:between w:val="nil"/>
        </w:pBdr>
        <w:spacing w:line="276" w:lineRule="auto"/>
        <w:rPr>
          <w:color w:val="000000"/>
          <w:sz w:val="20"/>
          <w:szCs w:val="20"/>
        </w:rPr>
      </w:pPr>
      <w:r>
        <w:rPr>
          <w:color w:val="000000"/>
          <w:sz w:val="20"/>
          <w:szCs w:val="20"/>
        </w:rPr>
        <w:t>Urban Development Act 2020</w:t>
      </w:r>
    </w:p>
    <w:p w14:paraId="287A5633" w14:textId="77777777" w:rsidR="001902DF" w:rsidRDefault="00000000">
      <w:pPr>
        <w:spacing w:line="276" w:lineRule="auto"/>
        <w:rPr>
          <w:sz w:val="20"/>
          <w:szCs w:val="20"/>
        </w:rPr>
      </w:pPr>
      <w:r>
        <w:rPr>
          <w:sz w:val="20"/>
          <w:szCs w:val="20"/>
        </w:rPr>
        <w:t>The National Iwi Chairs Forum opposes the removal of treaty clauses from legislation, and reiterates the importance of free, prior and informed consent, and working in partnership with Māori as the treaty partner on all matters pertaining to the Treaty of Waitangi.</w:t>
      </w:r>
    </w:p>
    <w:p w14:paraId="78499853" w14:textId="77777777" w:rsidR="001902DF" w:rsidRDefault="00000000">
      <w:pPr>
        <w:pStyle w:val="Heading2"/>
        <w:spacing w:line="276" w:lineRule="auto"/>
        <w:ind w:left="0" w:firstLine="0"/>
        <w:rPr>
          <w:sz w:val="20"/>
          <w:szCs w:val="20"/>
        </w:rPr>
      </w:pPr>
      <w:bookmarkStart w:id="13" w:name="_heading=h.rp0dknstmzq6" w:colFirst="0" w:colLast="0"/>
      <w:bookmarkEnd w:id="13"/>
      <w:r>
        <w:rPr>
          <w:sz w:val="20"/>
          <w:szCs w:val="20"/>
        </w:rPr>
        <w:t>Waitangi Tribunal on the Treaty Principles Bill, Treaty Clause Review and Regulatory Standards Bill</w:t>
      </w:r>
    </w:p>
    <w:p w14:paraId="3A659207" w14:textId="77777777" w:rsidR="001902DF" w:rsidRDefault="00000000">
      <w:pPr>
        <w:spacing w:line="276" w:lineRule="auto"/>
        <w:rPr>
          <w:sz w:val="20"/>
          <w:szCs w:val="20"/>
        </w:rPr>
      </w:pPr>
      <w:r>
        <w:rPr>
          <w:sz w:val="20"/>
          <w:szCs w:val="20"/>
        </w:rPr>
        <w:t xml:space="preserve">​The Waitangi Tribunal’s </w:t>
      </w:r>
      <w:proofErr w:type="spellStart"/>
      <w:r>
        <w:rPr>
          <w:sz w:val="20"/>
          <w:szCs w:val="20"/>
        </w:rPr>
        <w:t>Ngā</w:t>
      </w:r>
      <w:proofErr w:type="spellEnd"/>
      <w:r>
        <w:rPr>
          <w:sz w:val="20"/>
          <w:szCs w:val="20"/>
        </w:rPr>
        <w:t xml:space="preserve"> </w:t>
      </w:r>
      <w:proofErr w:type="spellStart"/>
      <w:r>
        <w:rPr>
          <w:sz w:val="20"/>
          <w:szCs w:val="20"/>
        </w:rPr>
        <w:t>Mātāpono</w:t>
      </w:r>
      <w:proofErr w:type="spellEnd"/>
      <w:r>
        <w:rPr>
          <w:sz w:val="20"/>
          <w:szCs w:val="20"/>
        </w:rPr>
        <w:t xml:space="preserve"> report on the Crown’s Treaty Principles Bill and associated Treaty Clause Review found the policy to be unfair, discriminatory and inconsistent with core Treaty principles (partnership/reciprocity, active protection, equity and redress), and pursued without proper consultation in breach of the Crown’s duty of good faith; it concluded the proposed statutory “principles” would, in effect, reinterpret </w:t>
      </w:r>
      <w:proofErr w:type="spellStart"/>
      <w:r>
        <w:rPr>
          <w:sz w:val="20"/>
          <w:szCs w:val="20"/>
        </w:rPr>
        <w:t>te</w:t>
      </w:r>
      <w:proofErr w:type="spellEnd"/>
      <w:r>
        <w:rPr>
          <w:sz w:val="20"/>
          <w:szCs w:val="20"/>
        </w:rPr>
        <w:t xml:space="preserve"> </w:t>
      </w:r>
      <w:proofErr w:type="spellStart"/>
      <w:r>
        <w:rPr>
          <w:sz w:val="20"/>
          <w:szCs w:val="20"/>
        </w:rPr>
        <w:t>Tiriti</w:t>
      </w:r>
      <w:proofErr w:type="spellEnd"/>
      <w:r>
        <w:rPr>
          <w:sz w:val="20"/>
          <w:szCs w:val="20"/>
        </w:rPr>
        <w:t xml:space="preserve"> o Waitangi, advance assimilationist agendas, extinguish </w:t>
      </w:r>
      <w:proofErr w:type="spellStart"/>
      <w:r>
        <w:rPr>
          <w:sz w:val="20"/>
          <w:szCs w:val="20"/>
        </w:rPr>
        <w:t>tino</w:t>
      </w:r>
      <w:proofErr w:type="spellEnd"/>
      <w:r>
        <w:rPr>
          <w:sz w:val="20"/>
          <w:szCs w:val="20"/>
        </w:rPr>
        <w:t xml:space="preserve"> rangatiratanga in law, and misstate “equality” in ways that negate legitimate Māori rights, warning that enactment would constitute the worst, most comprehensive modern breach of the Treaty and recommending that the Bill be abandoned.</w:t>
      </w:r>
    </w:p>
    <w:p w14:paraId="659FE358" w14:textId="77777777" w:rsidR="001902DF" w:rsidRDefault="00000000">
      <w:pPr>
        <w:pBdr>
          <w:top w:val="nil"/>
          <w:left w:val="nil"/>
          <w:bottom w:val="nil"/>
          <w:right w:val="nil"/>
          <w:between w:val="nil"/>
        </w:pBdr>
        <w:spacing w:line="276" w:lineRule="auto"/>
        <w:rPr>
          <w:color w:val="000000"/>
          <w:sz w:val="20"/>
          <w:szCs w:val="20"/>
        </w:rPr>
      </w:pPr>
      <w:r>
        <w:rPr>
          <w:sz w:val="20"/>
          <w:szCs w:val="20"/>
        </w:rPr>
        <w:t xml:space="preserve">For the Regulatory Standards Bill, the Tribunal’s interim urgent report found the Crown had already breached the partnership obligation by failing to meaningfully consult Māori and recommended an immediate halt to further progression of the Bill pending targeted engagement with Māori, given its potential to constrain the fulfilment of Te </w:t>
      </w:r>
      <w:proofErr w:type="spellStart"/>
      <w:r>
        <w:rPr>
          <w:sz w:val="20"/>
          <w:szCs w:val="20"/>
        </w:rPr>
        <w:t>Tiriti</w:t>
      </w:r>
      <w:proofErr w:type="spellEnd"/>
      <w:r>
        <w:rPr>
          <w:sz w:val="20"/>
          <w:szCs w:val="20"/>
        </w:rPr>
        <w:t xml:space="preserve"> obligations across the statute book</w:t>
      </w:r>
    </w:p>
    <w:p w14:paraId="41E187C7" w14:textId="77777777" w:rsidR="001902DF" w:rsidRDefault="00000000">
      <w:pPr>
        <w:pStyle w:val="Heading2"/>
        <w:spacing w:line="276" w:lineRule="auto"/>
        <w:ind w:left="0" w:firstLine="0"/>
        <w:rPr>
          <w:sz w:val="20"/>
          <w:szCs w:val="20"/>
        </w:rPr>
      </w:pPr>
      <w:bookmarkStart w:id="14" w:name="_heading=h.ycujp27rl6fg" w:colFirst="0" w:colLast="0"/>
      <w:bookmarkEnd w:id="14"/>
      <w:r>
        <w:rPr>
          <w:sz w:val="20"/>
          <w:szCs w:val="20"/>
        </w:rPr>
        <w:t>Hostility towards the Waitangi Tribunal</w:t>
      </w:r>
    </w:p>
    <w:p w14:paraId="0422AAD9" w14:textId="77777777" w:rsidR="001902DF" w:rsidRDefault="00000000">
      <w:pPr>
        <w:spacing w:line="276" w:lineRule="auto"/>
        <w:rPr>
          <w:sz w:val="20"/>
          <w:szCs w:val="20"/>
        </w:rPr>
      </w:pPr>
      <w:r>
        <w:rPr>
          <w:sz w:val="20"/>
          <w:szCs w:val="20"/>
        </w:rPr>
        <w:t>The Waitangi Tribunal itself has also been pulled into disrepute by actions of the current government and statements by elected officials. A review of the Tribunal and an inferred reduction in scope is included in the coalition agreement. Senior elected officials have made repeated disparaging statements regarding the Tribunal, including Hon. Shane Jones who repeatedly referred to the Tribunal as a “star chamber”</w:t>
      </w:r>
      <w:r>
        <w:rPr>
          <w:sz w:val="20"/>
          <w:szCs w:val="20"/>
          <w:vertAlign w:val="superscript"/>
        </w:rPr>
        <w:footnoteReference w:id="2"/>
      </w:r>
      <w:r>
        <w:rPr>
          <w:sz w:val="20"/>
          <w:szCs w:val="20"/>
        </w:rPr>
        <w:t xml:space="preserve"> and saying he looked forward to the review,</w:t>
      </w:r>
      <w:r>
        <w:rPr>
          <w:sz w:val="20"/>
          <w:szCs w:val="20"/>
          <w:vertAlign w:val="superscript"/>
        </w:rPr>
        <w:t>(10)</w:t>
      </w:r>
      <w:r>
        <w:rPr>
          <w:sz w:val="20"/>
          <w:szCs w:val="20"/>
        </w:rPr>
        <w:t xml:space="preserve"> and ACT Party leader Hon. David Seymour, who has suggested it is no </w:t>
      </w:r>
      <w:r>
        <w:rPr>
          <w:sz w:val="20"/>
          <w:szCs w:val="20"/>
        </w:rPr>
        <w:lastRenderedPageBreak/>
        <w:t xml:space="preserve">longer useful, is separatist, “increasingly activist” and biased towards Māori. ACT MP Karen Chhour has also repeatedly </w:t>
      </w:r>
      <w:proofErr w:type="spellStart"/>
      <w:r>
        <w:rPr>
          <w:sz w:val="20"/>
          <w:szCs w:val="20"/>
        </w:rPr>
        <w:t>criticised</w:t>
      </w:r>
      <w:proofErr w:type="spellEnd"/>
      <w:r>
        <w:rPr>
          <w:sz w:val="20"/>
          <w:szCs w:val="20"/>
        </w:rPr>
        <w:t xml:space="preserve"> the role of the Tribunal, suggesting it should not make any recommendations regarding Crown legislation and policy. </w:t>
      </w:r>
    </w:p>
    <w:p w14:paraId="4100FA3C" w14:textId="77777777" w:rsidR="001902DF" w:rsidRDefault="00000000">
      <w:pPr>
        <w:spacing w:line="276" w:lineRule="auto"/>
        <w:rPr>
          <w:sz w:val="20"/>
          <w:szCs w:val="20"/>
        </w:rPr>
      </w:pPr>
      <w:r>
        <w:rPr>
          <w:sz w:val="20"/>
          <w:szCs w:val="20"/>
        </w:rPr>
        <w:t xml:space="preserve">In 2024, MP Tama </w:t>
      </w:r>
      <w:proofErr w:type="spellStart"/>
      <w:r>
        <w:rPr>
          <w:sz w:val="20"/>
          <w:szCs w:val="20"/>
        </w:rPr>
        <w:t>Potaka</w:t>
      </w:r>
      <w:proofErr w:type="spellEnd"/>
      <w:r>
        <w:rPr>
          <w:sz w:val="20"/>
          <w:szCs w:val="20"/>
        </w:rPr>
        <w:t xml:space="preserve"> controversially appointed Richard Prebble to the Waitangi Tribunal.</w:t>
      </w:r>
      <w:r>
        <w:rPr>
          <w:sz w:val="20"/>
          <w:szCs w:val="20"/>
          <w:vertAlign w:val="superscript"/>
        </w:rPr>
        <w:t>(11)</w:t>
      </w:r>
      <w:r>
        <w:rPr>
          <w:sz w:val="20"/>
          <w:szCs w:val="20"/>
        </w:rPr>
        <w:t xml:space="preserve"> Prebble, a previous leader of the ACT Party, has been vocally critical of Māori, Te </w:t>
      </w:r>
      <w:proofErr w:type="spellStart"/>
      <w:r>
        <w:rPr>
          <w:sz w:val="20"/>
          <w:szCs w:val="20"/>
        </w:rPr>
        <w:t>Tiriti</w:t>
      </w:r>
      <w:proofErr w:type="spellEnd"/>
      <w:r>
        <w:rPr>
          <w:sz w:val="20"/>
          <w:szCs w:val="20"/>
        </w:rPr>
        <w:t xml:space="preserve"> o Waitangi, and the Tribunal, </w:t>
      </w:r>
      <w:proofErr w:type="spellStart"/>
      <w:r>
        <w:rPr>
          <w:sz w:val="20"/>
          <w:szCs w:val="20"/>
        </w:rPr>
        <w:t>characterising</w:t>
      </w:r>
      <w:proofErr w:type="spellEnd"/>
      <w:r>
        <w:rPr>
          <w:sz w:val="20"/>
          <w:szCs w:val="20"/>
        </w:rPr>
        <w:t xml:space="preserve"> settlements as barriers to economic progress, and arguing that Treaty-based policies created “special privileges” for Māori rather than addressing historical injustice. </w:t>
      </w:r>
      <w:proofErr w:type="spellStart"/>
      <w:r>
        <w:rPr>
          <w:sz w:val="20"/>
          <w:szCs w:val="20"/>
        </w:rPr>
        <w:t>Mr</w:t>
      </w:r>
      <w:proofErr w:type="spellEnd"/>
      <w:r>
        <w:rPr>
          <w:sz w:val="20"/>
          <w:szCs w:val="20"/>
        </w:rPr>
        <w:t xml:space="preserve"> Prebble resigned from the Tribunal in 2025, claiming that it was a biased institution. </w:t>
      </w:r>
    </w:p>
    <w:p w14:paraId="5D8C9A80" w14:textId="77777777" w:rsidR="001902DF" w:rsidRDefault="00000000">
      <w:pPr>
        <w:spacing w:before="240" w:after="240" w:line="276" w:lineRule="auto"/>
        <w:rPr>
          <w:sz w:val="20"/>
          <w:szCs w:val="20"/>
        </w:rPr>
      </w:pPr>
      <w:r>
        <w:rPr>
          <w:sz w:val="20"/>
          <w:szCs w:val="20"/>
        </w:rPr>
        <w:t xml:space="preserve">The </w:t>
      </w:r>
      <w:proofErr w:type="spellStart"/>
      <w:r>
        <w:rPr>
          <w:sz w:val="20"/>
          <w:szCs w:val="20"/>
        </w:rPr>
        <w:t>mischaracterisation</w:t>
      </w:r>
      <w:proofErr w:type="spellEnd"/>
      <w:r>
        <w:rPr>
          <w:sz w:val="20"/>
          <w:szCs w:val="20"/>
        </w:rPr>
        <w:t xml:space="preserve"> of the Tribunal in this instance functions to call the Tribunal into disrepute and diminishes public trust in the Tribunal as a standing commission of inquiry. The hostility towards the Tribunal was continued by ACT Party Leader (and Deputy Prime Minister) David Seymour who accused the Tribunal of “race </w:t>
      </w:r>
      <w:proofErr w:type="spellStart"/>
      <w:r>
        <w:rPr>
          <w:sz w:val="20"/>
          <w:szCs w:val="20"/>
        </w:rPr>
        <w:t>fanaticism”and</w:t>
      </w:r>
      <w:proofErr w:type="spellEnd"/>
      <w:r>
        <w:rPr>
          <w:sz w:val="20"/>
          <w:szCs w:val="20"/>
        </w:rPr>
        <w:t xml:space="preserve"> then going on to say: </w:t>
      </w:r>
      <w:r>
        <w:rPr>
          <w:i/>
          <w:sz w:val="20"/>
          <w:szCs w:val="20"/>
        </w:rPr>
        <w:t>“No wonder some people think they’re past their use-by date. Perhaps they should be wound up for their own good</w:t>
      </w:r>
      <w:proofErr w:type="gramStart"/>
      <w:r>
        <w:rPr>
          <w:i/>
          <w:sz w:val="20"/>
          <w:szCs w:val="20"/>
        </w:rPr>
        <w:t>.”</w:t>
      </w:r>
      <w:r>
        <w:rPr>
          <w:sz w:val="20"/>
          <w:szCs w:val="20"/>
          <w:vertAlign w:val="superscript"/>
        </w:rPr>
        <w:t>(</w:t>
      </w:r>
      <w:proofErr w:type="gramEnd"/>
      <w:r>
        <w:rPr>
          <w:sz w:val="20"/>
          <w:szCs w:val="20"/>
          <w:vertAlign w:val="superscript"/>
        </w:rPr>
        <w:t>12)</w:t>
      </w:r>
    </w:p>
    <w:p w14:paraId="760FFE02" w14:textId="77777777" w:rsidR="001902DF" w:rsidRDefault="00000000">
      <w:pPr>
        <w:pStyle w:val="Heading2"/>
        <w:spacing w:line="276" w:lineRule="auto"/>
        <w:ind w:left="0" w:firstLine="0"/>
        <w:rPr>
          <w:sz w:val="20"/>
          <w:szCs w:val="20"/>
        </w:rPr>
      </w:pPr>
      <w:bookmarkStart w:id="15" w:name="_heading=h.vu7nc616efnf" w:colFirst="0" w:colLast="0"/>
      <w:bookmarkEnd w:id="15"/>
      <w:r>
        <w:rPr>
          <w:sz w:val="20"/>
          <w:szCs w:val="20"/>
        </w:rPr>
        <w:t>Treaty Racism</w:t>
      </w:r>
    </w:p>
    <w:p w14:paraId="5E9086F0" w14:textId="77777777" w:rsidR="001902DF" w:rsidRDefault="00000000">
      <w:pPr>
        <w:spacing w:line="276" w:lineRule="auto"/>
        <w:rPr>
          <w:sz w:val="20"/>
          <w:szCs w:val="20"/>
        </w:rPr>
      </w:pPr>
      <w:r>
        <w:rPr>
          <w:sz w:val="20"/>
          <w:szCs w:val="20"/>
        </w:rPr>
        <w:t xml:space="preserve">The National Iwi Chairs Forum posit that the dismissive treatment, disregard and hostility reserved for Te </w:t>
      </w:r>
      <w:proofErr w:type="spellStart"/>
      <w:r>
        <w:rPr>
          <w:sz w:val="20"/>
          <w:szCs w:val="20"/>
        </w:rPr>
        <w:t>Tiriti</w:t>
      </w:r>
      <w:proofErr w:type="spellEnd"/>
      <w:r>
        <w:rPr>
          <w:sz w:val="20"/>
          <w:szCs w:val="20"/>
        </w:rPr>
        <w:t xml:space="preserve"> o Waitangi, and for Māori as the Treaty partner, amounts to a form of racism expressed through treaty policy and practice. We submit that “Treaty Racism” may be defined as: </w:t>
      </w:r>
    </w:p>
    <w:p w14:paraId="69959AE6" w14:textId="77777777" w:rsidR="001902DF" w:rsidRDefault="00000000">
      <w:pPr>
        <w:spacing w:line="276" w:lineRule="auto"/>
        <w:ind w:left="720"/>
        <w:rPr>
          <w:i/>
          <w:sz w:val="20"/>
          <w:szCs w:val="20"/>
        </w:rPr>
      </w:pPr>
      <w:r>
        <w:rPr>
          <w:i/>
          <w:sz w:val="20"/>
          <w:szCs w:val="20"/>
        </w:rPr>
        <w:t xml:space="preserve">A set of ideas, actions and institutional practices in relation to treaties which are rooted in an assumed racial superiority, and which produces, maintains and </w:t>
      </w:r>
      <w:proofErr w:type="spellStart"/>
      <w:r>
        <w:rPr>
          <w:i/>
          <w:sz w:val="20"/>
          <w:szCs w:val="20"/>
        </w:rPr>
        <w:t>normalises</w:t>
      </w:r>
      <w:proofErr w:type="spellEnd"/>
      <w:r>
        <w:rPr>
          <w:i/>
          <w:sz w:val="20"/>
          <w:szCs w:val="20"/>
        </w:rPr>
        <w:t xml:space="preserve"> inequity between treaty partners.</w:t>
      </w:r>
    </w:p>
    <w:p w14:paraId="2B64511B" w14:textId="77777777" w:rsidR="001902DF" w:rsidRDefault="00000000">
      <w:pPr>
        <w:spacing w:line="276" w:lineRule="auto"/>
        <w:rPr>
          <w:sz w:val="20"/>
          <w:szCs w:val="20"/>
        </w:rPr>
      </w:pPr>
      <w:r>
        <w:rPr>
          <w:sz w:val="20"/>
          <w:szCs w:val="20"/>
        </w:rPr>
        <w:t xml:space="preserve">New Zealand is party to some 1,900 treaties. While compliance issues can arise across a range of agreements, we are not aware of any other context in which the Crown has, over decades, simultaneously sought to redefine a treaty’s meaning, narrow its obligations through domestic legislation and policy, and contest the standing of the treaty partner itself. This assessment is based on publicly available government records, findings of the Waitangi Tribunal, and observations from UN human rights bodies. On that evidence, the pattern surrounding Te </w:t>
      </w:r>
      <w:proofErr w:type="spellStart"/>
      <w:r>
        <w:rPr>
          <w:sz w:val="20"/>
          <w:szCs w:val="20"/>
        </w:rPr>
        <w:t>Tiriti</w:t>
      </w:r>
      <w:proofErr w:type="spellEnd"/>
      <w:r>
        <w:rPr>
          <w:sz w:val="20"/>
          <w:szCs w:val="20"/>
        </w:rPr>
        <w:t xml:space="preserve"> o Waitangi is singular in scale and </w:t>
      </w:r>
      <w:proofErr w:type="gramStart"/>
      <w:r>
        <w:rPr>
          <w:sz w:val="20"/>
          <w:szCs w:val="20"/>
        </w:rPr>
        <w:t>persistence, and</w:t>
      </w:r>
      <w:proofErr w:type="gramEnd"/>
      <w:r>
        <w:rPr>
          <w:sz w:val="20"/>
          <w:szCs w:val="20"/>
        </w:rPr>
        <w:t xml:space="preserve"> is appropriately described as ‘Treaty Racism’.</w:t>
      </w:r>
    </w:p>
    <w:p w14:paraId="428853B2" w14:textId="77777777" w:rsidR="001902DF" w:rsidRDefault="00000000">
      <w:pPr>
        <w:pStyle w:val="Heading1"/>
        <w:spacing w:line="276" w:lineRule="auto"/>
        <w:ind w:left="0"/>
        <w:rPr>
          <w:sz w:val="20"/>
          <w:szCs w:val="20"/>
        </w:rPr>
      </w:pPr>
      <w:bookmarkStart w:id="16" w:name="_heading=h.lyt28bksa787" w:colFirst="0" w:colLast="0"/>
      <w:bookmarkEnd w:id="16"/>
      <w:r>
        <w:rPr>
          <w:sz w:val="20"/>
          <w:szCs w:val="20"/>
        </w:rPr>
        <w:t>HEALTH</w:t>
      </w:r>
    </w:p>
    <w:p w14:paraId="02FFBA2C" w14:textId="77777777" w:rsidR="001902DF" w:rsidRDefault="00000000">
      <w:pPr>
        <w:spacing w:line="276" w:lineRule="auto"/>
        <w:rPr>
          <w:sz w:val="20"/>
          <w:szCs w:val="20"/>
        </w:rPr>
      </w:pPr>
      <w:r>
        <w:rPr>
          <w:sz w:val="20"/>
          <w:szCs w:val="20"/>
        </w:rPr>
        <w:t xml:space="preserve">There are long-standing, well-documented ethnic inequities in health experiences, access and outcomes for Māori and other racially </w:t>
      </w:r>
      <w:proofErr w:type="spellStart"/>
      <w:r>
        <w:rPr>
          <w:sz w:val="20"/>
          <w:szCs w:val="20"/>
        </w:rPr>
        <w:t>minoritised</w:t>
      </w:r>
      <w:proofErr w:type="spellEnd"/>
      <w:r>
        <w:rPr>
          <w:sz w:val="20"/>
          <w:szCs w:val="20"/>
        </w:rPr>
        <w:t xml:space="preserve"> groups, relative to NZ European/Pākehā in New Zealand.</w:t>
      </w:r>
      <w:r>
        <w:rPr>
          <w:sz w:val="20"/>
          <w:szCs w:val="20"/>
          <w:vertAlign w:val="superscript"/>
        </w:rPr>
        <w:t>(13,14)</w:t>
      </w:r>
      <w:r>
        <w:rPr>
          <w:sz w:val="20"/>
          <w:szCs w:val="20"/>
        </w:rPr>
        <w:t xml:space="preserve"> Recent proposed or actual changes to policies, regulations and legislation are likely to, or have already had, racially discriminatory impacts on health, have been largely carried out without consultation or meaningful engagement with Māori as Treaty partners, and have been implemented with an awareness by the government of the discriminatory impacts for Māori. </w:t>
      </w:r>
    </w:p>
    <w:p w14:paraId="2795C9AE" w14:textId="77777777" w:rsidR="001902DF" w:rsidRDefault="00000000">
      <w:pPr>
        <w:spacing w:line="276" w:lineRule="auto"/>
        <w:rPr>
          <w:sz w:val="20"/>
          <w:szCs w:val="20"/>
        </w:rPr>
      </w:pPr>
      <w:r>
        <w:rPr>
          <w:sz w:val="20"/>
          <w:szCs w:val="20"/>
        </w:rPr>
        <w:t xml:space="preserve">This includes the </w:t>
      </w:r>
      <w:r>
        <w:rPr>
          <w:b/>
          <w:sz w:val="20"/>
          <w:szCs w:val="20"/>
        </w:rPr>
        <w:t xml:space="preserve">disestablishment of Te Aka </w:t>
      </w:r>
      <w:proofErr w:type="spellStart"/>
      <w:r>
        <w:rPr>
          <w:b/>
          <w:sz w:val="20"/>
          <w:szCs w:val="20"/>
        </w:rPr>
        <w:t>Whaiora</w:t>
      </w:r>
      <w:proofErr w:type="spellEnd"/>
      <w:r>
        <w:rPr>
          <w:b/>
          <w:sz w:val="20"/>
          <w:szCs w:val="20"/>
        </w:rPr>
        <w:t xml:space="preserve"> Māori Health Authority (MHA)</w:t>
      </w:r>
      <w:r>
        <w:rPr>
          <w:sz w:val="20"/>
          <w:szCs w:val="20"/>
        </w:rPr>
        <w:t xml:space="preserve"> that was set up in 2022 as a direct response to the recommendations of the Waitangi Tribunal in the Hauora (Wai 2575) claim, which found that the Crown has systematically failed to uphold its Treaty of Waitangi obligations in relation to Māori health.</w:t>
      </w:r>
      <w:r>
        <w:rPr>
          <w:sz w:val="20"/>
          <w:szCs w:val="20"/>
          <w:vertAlign w:val="superscript"/>
        </w:rPr>
        <w:t>(14)</w:t>
      </w:r>
      <w:r>
        <w:rPr>
          <w:sz w:val="20"/>
          <w:szCs w:val="20"/>
        </w:rPr>
        <w:t xml:space="preserve"> The Tribunal highlighted institutional racism within the health system, persistent health inequities, and the need for a Māori-led approach to healthcare to address these inequities.</w:t>
      </w:r>
      <w:r>
        <w:rPr>
          <w:sz w:val="20"/>
          <w:szCs w:val="20"/>
          <w:vertAlign w:val="superscript"/>
        </w:rPr>
        <w:t>(10)</w:t>
      </w:r>
      <w:r>
        <w:rPr>
          <w:sz w:val="20"/>
          <w:szCs w:val="20"/>
        </w:rPr>
        <w:t xml:space="preserve"> The government's decision to disestablish the MHA without providing a viable alternative constitutes a regression in the </w:t>
      </w:r>
      <w:proofErr w:type="spellStart"/>
      <w:r>
        <w:rPr>
          <w:sz w:val="20"/>
          <w:szCs w:val="20"/>
        </w:rPr>
        <w:t>realisation</w:t>
      </w:r>
      <w:proofErr w:type="spellEnd"/>
      <w:r>
        <w:rPr>
          <w:sz w:val="20"/>
          <w:szCs w:val="20"/>
        </w:rPr>
        <w:t xml:space="preserve"> of Māori health rights.</w:t>
      </w:r>
      <w:r>
        <w:rPr>
          <w:sz w:val="20"/>
          <w:szCs w:val="20"/>
          <w:vertAlign w:val="superscript"/>
        </w:rPr>
        <w:t xml:space="preserve">(15) </w:t>
      </w:r>
      <w:r>
        <w:rPr>
          <w:sz w:val="20"/>
          <w:szCs w:val="20"/>
        </w:rPr>
        <w:t xml:space="preserve">No sufficient replacement mechanism has been implemented to ensure that Māori health needs are met. </w:t>
      </w:r>
      <w:proofErr w:type="spellStart"/>
      <w:r>
        <w:rPr>
          <w:sz w:val="20"/>
          <w:szCs w:val="20"/>
        </w:rPr>
        <w:t>Racialised</w:t>
      </w:r>
      <w:proofErr w:type="spellEnd"/>
      <w:r>
        <w:rPr>
          <w:sz w:val="20"/>
          <w:szCs w:val="20"/>
        </w:rPr>
        <w:t xml:space="preserve"> health experiences and outcomes for Māori persist and, in some areas, are </w:t>
      </w:r>
      <w:proofErr w:type="gramStart"/>
      <w:r>
        <w:rPr>
          <w:sz w:val="20"/>
          <w:szCs w:val="20"/>
        </w:rPr>
        <w:t>worsening.</w:t>
      </w:r>
      <w:r>
        <w:rPr>
          <w:sz w:val="20"/>
          <w:szCs w:val="20"/>
          <w:vertAlign w:val="superscript"/>
        </w:rPr>
        <w:t>(</w:t>
      </w:r>
      <w:proofErr w:type="gramEnd"/>
      <w:r>
        <w:rPr>
          <w:sz w:val="20"/>
          <w:szCs w:val="20"/>
          <w:vertAlign w:val="superscript"/>
        </w:rPr>
        <w:t>13,16)</w:t>
      </w:r>
    </w:p>
    <w:p w14:paraId="3866EBAF" w14:textId="77777777" w:rsidR="001902DF" w:rsidRDefault="00000000">
      <w:pPr>
        <w:spacing w:line="276" w:lineRule="auto"/>
        <w:rPr>
          <w:sz w:val="20"/>
          <w:szCs w:val="20"/>
        </w:rPr>
      </w:pPr>
      <w:r>
        <w:rPr>
          <w:sz w:val="20"/>
          <w:szCs w:val="20"/>
        </w:rPr>
        <w:t xml:space="preserve">Establishment of the MHA aligned with recommendations from the CERD that consistently </w:t>
      </w:r>
      <w:proofErr w:type="spellStart"/>
      <w:r>
        <w:rPr>
          <w:sz w:val="20"/>
          <w:szCs w:val="20"/>
        </w:rPr>
        <w:t>emphasise</w:t>
      </w:r>
      <w:proofErr w:type="spellEnd"/>
      <w:r>
        <w:rPr>
          <w:sz w:val="20"/>
          <w:szCs w:val="20"/>
        </w:rPr>
        <w:t xml:space="preserve"> the </w:t>
      </w:r>
      <w:r>
        <w:rPr>
          <w:sz w:val="20"/>
          <w:szCs w:val="20"/>
        </w:rPr>
        <w:lastRenderedPageBreak/>
        <w:t xml:space="preserve">need to ensure Indigenous peoples' rights to health through self-determined governance structures. Greater decision-making power over health policies, funding allocations, and service delivery is an essential mechanism to support fulfillment of rights outlined in Article 5 of the ICERD. Disestablishing the MHA undermines not only the Waitangi Tribunal but also breaches international rights under Article 23 of UNDRIP, that reaffirms Indigenous peoples’ right to be actively involved in developing and determining health, housing and other economic and social </w:t>
      </w:r>
      <w:proofErr w:type="spellStart"/>
      <w:r>
        <w:rPr>
          <w:sz w:val="20"/>
          <w:szCs w:val="20"/>
        </w:rPr>
        <w:t>programmes</w:t>
      </w:r>
      <w:proofErr w:type="spellEnd"/>
      <w:r>
        <w:rPr>
          <w:sz w:val="20"/>
          <w:szCs w:val="20"/>
        </w:rPr>
        <w:t xml:space="preserve"> affecting them and, as far as possible, to administer such </w:t>
      </w:r>
      <w:proofErr w:type="spellStart"/>
      <w:r>
        <w:rPr>
          <w:sz w:val="20"/>
          <w:szCs w:val="20"/>
        </w:rPr>
        <w:t>programmes</w:t>
      </w:r>
      <w:proofErr w:type="spellEnd"/>
      <w:r>
        <w:rPr>
          <w:sz w:val="20"/>
          <w:szCs w:val="20"/>
        </w:rPr>
        <w:t xml:space="preserve"> through their own institutions. </w:t>
      </w:r>
      <w:proofErr w:type="gramStart"/>
      <w:r>
        <w:rPr>
          <w:sz w:val="20"/>
          <w:szCs w:val="20"/>
        </w:rPr>
        <w:t>As a consequence</w:t>
      </w:r>
      <w:proofErr w:type="gramEnd"/>
      <w:r>
        <w:rPr>
          <w:sz w:val="20"/>
          <w:szCs w:val="20"/>
        </w:rPr>
        <w:t>, this also further contravenes recommendations of ICERD, which called upon member states to refrain from imposing restrictions on the permanent rights of Indigenous Peoples and endangering their self-determination, traditional livelihoods and cultural rights, in accordance with the standards of UNDRIP.</w:t>
      </w:r>
    </w:p>
    <w:p w14:paraId="5F6C7063" w14:textId="77777777" w:rsidR="001902DF" w:rsidRDefault="00000000">
      <w:pPr>
        <w:spacing w:line="276" w:lineRule="auto"/>
        <w:rPr>
          <w:sz w:val="20"/>
          <w:szCs w:val="20"/>
        </w:rPr>
      </w:pPr>
      <w:r>
        <w:rPr>
          <w:sz w:val="20"/>
          <w:szCs w:val="20"/>
        </w:rPr>
        <w:t xml:space="preserve">Recent changes to </w:t>
      </w:r>
      <w:r>
        <w:rPr>
          <w:b/>
          <w:sz w:val="20"/>
          <w:szCs w:val="20"/>
        </w:rPr>
        <w:t>funding of disability services</w:t>
      </w:r>
      <w:r>
        <w:rPr>
          <w:sz w:val="20"/>
          <w:szCs w:val="20"/>
        </w:rPr>
        <w:t xml:space="preserve"> also have a differential, </w:t>
      </w:r>
      <w:proofErr w:type="spellStart"/>
      <w:r>
        <w:rPr>
          <w:sz w:val="20"/>
          <w:szCs w:val="20"/>
        </w:rPr>
        <w:t>racialised</w:t>
      </w:r>
      <w:proofErr w:type="spellEnd"/>
      <w:r>
        <w:rPr>
          <w:sz w:val="20"/>
          <w:szCs w:val="20"/>
        </w:rPr>
        <w:t xml:space="preserve"> impact for Māori and took place without consulting disabled peoples and their families, the caregiver workforce, or Māori as the Treaty partner. Māori have higher rates of disability compared with NZ European/Pākehā and the total population</w:t>
      </w:r>
      <w:r>
        <w:rPr>
          <w:sz w:val="20"/>
          <w:szCs w:val="20"/>
          <w:vertAlign w:val="superscript"/>
        </w:rPr>
        <w:footnoteReference w:id="3"/>
      </w:r>
      <w:r>
        <w:rPr>
          <w:sz w:val="20"/>
          <w:szCs w:val="20"/>
        </w:rPr>
        <w:t>.</w:t>
      </w:r>
      <w:r>
        <w:rPr>
          <w:sz w:val="20"/>
          <w:szCs w:val="20"/>
          <w:vertAlign w:val="superscript"/>
        </w:rPr>
        <w:t>(13,17)</w:t>
      </w:r>
      <w:r>
        <w:rPr>
          <w:sz w:val="20"/>
          <w:szCs w:val="20"/>
        </w:rPr>
        <w:t xml:space="preserve"> While the NICF acknowledges the government announcement of an additional $1.1 billion into disability support services over five years, much of that $1.1 billion is subject to the results of an independent review, and it is currently unclear how allocation of that funding will be determined. In the interim, the government has narrowed criteria for access to existing funding, leading to decreased flexibility in how disabled persons and their families can use allocated </w:t>
      </w:r>
      <w:proofErr w:type="gramStart"/>
      <w:r>
        <w:rPr>
          <w:sz w:val="20"/>
          <w:szCs w:val="20"/>
        </w:rPr>
        <w:t>funds.</w:t>
      </w:r>
      <w:r>
        <w:rPr>
          <w:sz w:val="20"/>
          <w:szCs w:val="20"/>
          <w:vertAlign w:val="superscript"/>
        </w:rPr>
        <w:t>(</w:t>
      </w:r>
      <w:proofErr w:type="gramEnd"/>
      <w:r>
        <w:rPr>
          <w:sz w:val="20"/>
          <w:szCs w:val="20"/>
          <w:vertAlign w:val="superscript"/>
        </w:rPr>
        <w:t>18)</w:t>
      </w:r>
      <w:r>
        <w:rPr>
          <w:sz w:val="20"/>
          <w:szCs w:val="20"/>
        </w:rPr>
        <w:t xml:space="preserve"> </w:t>
      </w:r>
    </w:p>
    <w:p w14:paraId="5E2081AC" w14:textId="77777777" w:rsidR="001902DF" w:rsidRDefault="00000000">
      <w:pPr>
        <w:spacing w:line="276" w:lineRule="auto"/>
        <w:rPr>
          <w:sz w:val="20"/>
          <w:szCs w:val="20"/>
        </w:rPr>
      </w:pPr>
      <w:r>
        <w:rPr>
          <w:sz w:val="20"/>
          <w:szCs w:val="20"/>
        </w:rPr>
        <w:t xml:space="preserve">The government has decided to </w:t>
      </w:r>
      <w:r>
        <w:rPr>
          <w:b/>
          <w:sz w:val="20"/>
          <w:szCs w:val="20"/>
        </w:rPr>
        <w:t>retain the Minimum Wage Exemption Scheme (MWES)</w:t>
      </w:r>
      <w:r>
        <w:rPr>
          <w:sz w:val="20"/>
          <w:szCs w:val="20"/>
        </w:rPr>
        <w:t xml:space="preserve">, an exploitative scheme allowing employers to pay disabled persons below the minimum wage, sometimes as low as NZ$2 per hour before </w:t>
      </w:r>
      <w:proofErr w:type="gramStart"/>
      <w:r>
        <w:rPr>
          <w:sz w:val="20"/>
          <w:szCs w:val="20"/>
        </w:rPr>
        <w:t>tax.</w:t>
      </w:r>
      <w:r>
        <w:rPr>
          <w:sz w:val="20"/>
          <w:szCs w:val="20"/>
          <w:vertAlign w:val="superscript"/>
        </w:rPr>
        <w:t>(</w:t>
      </w:r>
      <w:proofErr w:type="gramEnd"/>
      <w:r>
        <w:rPr>
          <w:sz w:val="20"/>
          <w:szCs w:val="20"/>
          <w:vertAlign w:val="superscript"/>
        </w:rPr>
        <w:t>19)</w:t>
      </w:r>
      <w:r>
        <w:rPr>
          <w:sz w:val="20"/>
          <w:szCs w:val="20"/>
        </w:rPr>
        <w:t xml:space="preserve"> This decision reversed the previous government's plan to abolish the scheme and implement a Wage Supplement. In addition to the </w:t>
      </w:r>
      <w:proofErr w:type="spellStart"/>
      <w:r>
        <w:rPr>
          <w:sz w:val="20"/>
          <w:szCs w:val="20"/>
        </w:rPr>
        <w:t>racialised</w:t>
      </w:r>
      <w:proofErr w:type="spellEnd"/>
      <w:r>
        <w:rPr>
          <w:sz w:val="20"/>
          <w:szCs w:val="20"/>
        </w:rPr>
        <w:t xml:space="preserve"> impact of this issue for Māori and Pacific disabled peoples and their families, the MWES is a violation of human rights, conflicting with state obligations under the United Nations Convention on the Rights of Persons with Disabilities (UNCRPD) that </w:t>
      </w:r>
      <w:proofErr w:type="spellStart"/>
      <w:r>
        <w:rPr>
          <w:sz w:val="20"/>
          <w:szCs w:val="20"/>
        </w:rPr>
        <w:t>emphasises</w:t>
      </w:r>
      <w:proofErr w:type="spellEnd"/>
      <w:r>
        <w:rPr>
          <w:sz w:val="20"/>
          <w:szCs w:val="20"/>
        </w:rPr>
        <w:t xml:space="preserve"> the rights of disabled peoples to equitable pay and work conditions. </w:t>
      </w:r>
    </w:p>
    <w:p w14:paraId="201B790E" w14:textId="77777777" w:rsidR="001902DF" w:rsidRDefault="00000000">
      <w:pPr>
        <w:spacing w:line="276" w:lineRule="auto"/>
        <w:rPr>
          <w:sz w:val="20"/>
          <w:szCs w:val="20"/>
        </w:rPr>
      </w:pPr>
      <w:r>
        <w:rPr>
          <w:sz w:val="20"/>
          <w:szCs w:val="20"/>
        </w:rPr>
        <w:t>Housing is a known determinant of health.</w:t>
      </w:r>
      <w:r>
        <w:rPr>
          <w:sz w:val="20"/>
          <w:szCs w:val="20"/>
          <w:vertAlign w:val="superscript"/>
        </w:rPr>
        <w:t xml:space="preserve">(20) </w:t>
      </w:r>
      <w:r>
        <w:rPr>
          <w:sz w:val="20"/>
          <w:szCs w:val="20"/>
        </w:rPr>
        <w:t xml:space="preserve">After a formal visit in 2020, the Special Rapporteur on Housing as a Human Right, Leilani Farha, noted that the state of housing in New Zealand is a human rights crisis, with disproportionate impacts upon Māori, Pacific and other </w:t>
      </w:r>
      <w:proofErr w:type="spellStart"/>
      <w:r>
        <w:rPr>
          <w:sz w:val="20"/>
          <w:szCs w:val="20"/>
        </w:rPr>
        <w:t>minoritised</w:t>
      </w:r>
      <w:proofErr w:type="spellEnd"/>
      <w:r>
        <w:rPr>
          <w:sz w:val="20"/>
          <w:szCs w:val="20"/>
        </w:rPr>
        <w:t xml:space="preserve"> racial groups.</w:t>
      </w:r>
      <w:r>
        <w:rPr>
          <w:sz w:val="20"/>
          <w:szCs w:val="20"/>
          <w:vertAlign w:val="superscript"/>
        </w:rPr>
        <w:t xml:space="preserve">(21) </w:t>
      </w:r>
      <w:r>
        <w:rPr>
          <w:sz w:val="20"/>
          <w:szCs w:val="20"/>
        </w:rPr>
        <w:t xml:space="preserve">The 2017 CERD concluding observations for New Zealand also noted a lack of adequate support for secure housing for asylum seekers and refugees, and </w:t>
      </w:r>
      <w:proofErr w:type="spellStart"/>
      <w:r>
        <w:rPr>
          <w:sz w:val="20"/>
          <w:szCs w:val="20"/>
        </w:rPr>
        <w:t>emphasised</w:t>
      </w:r>
      <w:proofErr w:type="spellEnd"/>
      <w:r>
        <w:rPr>
          <w:sz w:val="20"/>
          <w:szCs w:val="20"/>
        </w:rPr>
        <w:t xml:space="preserve"> the importance of a non-discriminatory approach to safe and secure housing.</w:t>
      </w:r>
      <w:r>
        <w:rPr>
          <w:sz w:val="20"/>
          <w:szCs w:val="20"/>
          <w:vertAlign w:val="superscript"/>
        </w:rPr>
        <w:t>(1)</w:t>
      </w:r>
      <w:r>
        <w:rPr>
          <w:sz w:val="20"/>
          <w:szCs w:val="20"/>
        </w:rPr>
        <w:t xml:space="preserve"> </w:t>
      </w:r>
    </w:p>
    <w:p w14:paraId="58FFD232" w14:textId="77777777" w:rsidR="001902DF" w:rsidRDefault="00000000">
      <w:pPr>
        <w:spacing w:line="276" w:lineRule="auto"/>
        <w:rPr>
          <w:sz w:val="20"/>
          <w:szCs w:val="20"/>
        </w:rPr>
      </w:pPr>
      <w:r>
        <w:rPr>
          <w:sz w:val="20"/>
          <w:szCs w:val="20"/>
        </w:rPr>
        <w:t>Housing instability for Māori has been exacerbated by climate change, with successive severe weather events disproportionately impacting upon Māori households. In some locations, more than 70 percent of cyclone and flood damaged homes were occupied by Māori, and more than 60 percent were rentals.</w:t>
      </w:r>
      <w:r>
        <w:rPr>
          <w:sz w:val="20"/>
          <w:szCs w:val="20"/>
          <w:vertAlign w:val="superscript"/>
        </w:rPr>
        <w:t xml:space="preserve">(22) </w:t>
      </w:r>
      <w:r>
        <w:rPr>
          <w:sz w:val="20"/>
          <w:szCs w:val="20"/>
          <w:highlight w:val="white"/>
        </w:rPr>
        <w:t xml:space="preserve"> M</w:t>
      </w:r>
      <w:r>
        <w:rPr>
          <w:sz w:val="20"/>
          <w:szCs w:val="20"/>
        </w:rPr>
        <w:t>āori are more likely to live in rented accommodation and have lower median incomes compared to the total population, thus any changes to tenancy law and policy will disproportionately impact Māori tenants and their families. On 12 December 2024, the government enacted the</w:t>
      </w:r>
      <w:r>
        <w:rPr>
          <w:b/>
          <w:sz w:val="20"/>
          <w:szCs w:val="20"/>
        </w:rPr>
        <w:t xml:space="preserve"> Residential Tenancies Amendment Act 2024.</w:t>
      </w:r>
      <w:r>
        <w:rPr>
          <w:sz w:val="20"/>
          <w:szCs w:val="20"/>
        </w:rPr>
        <w:t xml:space="preserve"> This Act included the reinstatement of “no-cause evictions”, where landlords </w:t>
      </w:r>
      <w:proofErr w:type="gramStart"/>
      <w:r>
        <w:rPr>
          <w:sz w:val="20"/>
          <w:szCs w:val="20"/>
        </w:rPr>
        <w:t>are able to</w:t>
      </w:r>
      <w:proofErr w:type="gramEnd"/>
      <w:r>
        <w:rPr>
          <w:sz w:val="20"/>
          <w:szCs w:val="20"/>
        </w:rPr>
        <w:t xml:space="preserve"> terminate periodic tenancies without providing a specific reason, given 90 days' notice; and a shortened notice period of 42 days for landlords if they intend to sell their property or move in themselves. The government’s own The Departmental Disclosure Statement for the Act, prepared by the Ministry of Housing and Urban Development, Te </w:t>
      </w:r>
      <w:proofErr w:type="spellStart"/>
      <w:r>
        <w:rPr>
          <w:sz w:val="20"/>
          <w:szCs w:val="20"/>
        </w:rPr>
        <w:t>Tūāpapa</w:t>
      </w:r>
      <w:proofErr w:type="spellEnd"/>
      <w:r>
        <w:rPr>
          <w:sz w:val="20"/>
          <w:szCs w:val="20"/>
        </w:rPr>
        <w:t xml:space="preserve"> Kura </w:t>
      </w:r>
      <w:proofErr w:type="spellStart"/>
      <w:r>
        <w:rPr>
          <w:sz w:val="20"/>
          <w:szCs w:val="20"/>
        </w:rPr>
        <w:t>Kāinga</w:t>
      </w:r>
      <w:proofErr w:type="spellEnd"/>
      <w:r>
        <w:rPr>
          <w:sz w:val="20"/>
          <w:szCs w:val="20"/>
        </w:rPr>
        <w:t>, stated:</w:t>
      </w:r>
    </w:p>
    <w:p w14:paraId="692FA646" w14:textId="77777777" w:rsidR="001902DF" w:rsidRDefault="00000000">
      <w:pPr>
        <w:spacing w:line="276" w:lineRule="auto"/>
        <w:ind w:left="720"/>
        <w:rPr>
          <w:i/>
          <w:sz w:val="20"/>
          <w:szCs w:val="20"/>
          <w:shd w:val="clear" w:color="auto" w:fill="FFF2CC"/>
        </w:rPr>
      </w:pPr>
      <w:r>
        <w:rPr>
          <w:i/>
          <w:sz w:val="20"/>
          <w:szCs w:val="20"/>
        </w:rPr>
        <w:t xml:space="preserve">Evidence suggests that the termination related proposals will negatively impact on actual and </w:t>
      </w:r>
      <w:r>
        <w:rPr>
          <w:i/>
          <w:sz w:val="20"/>
          <w:szCs w:val="20"/>
        </w:rPr>
        <w:lastRenderedPageBreak/>
        <w:t xml:space="preserve">perceived security of tenure for many tenants compared to the status quo. These negative impacts are likely to disproportionately affect Māori, as Māori are more likely to live in rented accommodation, have a lower overall median income, and are more likely to experience discrimination than the general </w:t>
      </w:r>
      <w:proofErr w:type="gramStart"/>
      <w:r>
        <w:rPr>
          <w:i/>
          <w:sz w:val="20"/>
          <w:szCs w:val="20"/>
        </w:rPr>
        <w:t>population.</w:t>
      </w:r>
      <w:r>
        <w:rPr>
          <w:sz w:val="20"/>
          <w:szCs w:val="20"/>
          <w:vertAlign w:val="superscript"/>
        </w:rPr>
        <w:t>(</w:t>
      </w:r>
      <w:proofErr w:type="gramEnd"/>
      <w:r>
        <w:rPr>
          <w:sz w:val="20"/>
          <w:szCs w:val="20"/>
          <w:vertAlign w:val="superscript"/>
        </w:rPr>
        <w:t>23)</w:t>
      </w:r>
    </w:p>
    <w:p w14:paraId="640AAAA9" w14:textId="77777777" w:rsidR="001902DF" w:rsidRDefault="00000000">
      <w:pPr>
        <w:spacing w:line="276" w:lineRule="auto"/>
        <w:rPr>
          <w:sz w:val="20"/>
          <w:szCs w:val="20"/>
        </w:rPr>
      </w:pPr>
      <w:r>
        <w:rPr>
          <w:sz w:val="20"/>
          <w:szCs w:val="20"/>
        </w:rPr>
        <w:t xml:space="preserve">The NICF submits that the tenancy reforms, and specifically the reintroduction of no-cause evictions, violate Articles 2 (Prohibition of Racial Discrimination) and 5 (Right to Equal Treatment) of the ICERD, in addition to being contradictory with the </w:t>
      </w:r>
      <w:proofErr w:type="gramStart"/>
      <w:r>
        <w:rPr>
          <w:sz w:val="20"/>
          <w:szCs w:val="20"/>
        </w:rPr>
        <w:t>aforementioned CERD</w:t>
      </w:r>
      <w:proofErr w:type="gramEnd"/>
      <w:r>
        <w:rPr>
          <w:sz w:val="20"/>
          <w:szCs w:val="20"/>
        </w:rPr>
        <w:t xml:space="preserve"> recommendations. </w:t>
      </w:r>
    </w:p>
    <w:p w14:paraId="0842106E" w14:textId="77777777" w:rsidR="001902DF" w:rsidRDefault="00000000">
      <w:pPr>
        <w:pStyle w:val="Heading1"/>
        <w:spacing w:line="276" w:lineRule="auto"/>
        <w:rPr>
          <w:sz w:val="20"/>
          <w:szCs w:val="20"/>
        </w:rPr>
      </w:pPr>
      <w:bookmarkStart w:id="17" w:name="_heading=h.l6i4kfp24qbv" w:colFirst="0" w:colLast="0"/>
      <w:bookmarkEnd w:id="17"/>
      <w:r>
        <w:rPr>
          <w:sz w:val="20"/>
          <w:szCs w:val="20"/>
        </w:rPr>
        <w:t>CHILDREN AND FAMILY</w:t>
      </w:r>
    </w:p>
    <w:p w14:paraId="697D092D" w14:textId="77777777" w:rsidR="001902DF" w:rsidRDefault="00000000">
      <w:pPr>
        <w:spacing w:line="276" w:lineRule="auto"/>
        <w:rPr>
          <w:b/>
          <w:sz w:val="20"/>
          <w:szCs w:val="20"/>
        </w:rPr>
      </w:pPr>
      <w:proofErr w:type="gramStart"/>
      <w:r>
        <w:rPr>
          <w:sz w:val="20"/>
          <w:szCs w:val="20"/>
        </w:rPr>
        <w:t>A number of</w:t>
      </w:r>
      <w:proofErr w:type="gramEnd"/>
      <w:r>
        <w:rPr>
          <w:sz w:val="20"/>
          <w:szCs w:val="20"/>
        </w:rPr>
        <w:t xml:space="preserve"> current and planned actions of the government disproportionately impact on Māori children, young people, and families. In addition to actions discussed in the other sections, this section identifies three specific legislative and policy examples for further attention, namely</w:t>
      </w:r>
      <w:r>
        <w:rPr>
          <w:b/>
          <w:sz w:val="20"/>
          <w:szCs w:val="20"/>
        </w:rPr>
        <w:t xml:space="preserve"> the introduction of the </w:t>
      </w:r>
      <w:proofErr w:type="spellStart"/>
      <w:r>
        <w:rPr>
          <w:b/>
          <w:sz w:val="20"/>
          <w:szCs w:val="20"/>
        </w:rPr>
        <w:t>Oranga</w:t>
      </w:r>
      <w:proofErr w:type="spellEnd"/>
      <w:r>
        <w:rPr>
          <w:b/>
          <w:sz w:val="20"/>
          <w:szCs w:val="20"/>
        </w:rPr>
        <w:t xml:space="preserve"> Tamariki (Responding to Serious Youth Offending) Amendment Bill, the </w:t>
      </w:r>
      <w:proofErr w:type="spellStart"/>
      <w:r>
        <w:rPr>
          <w:b/>
          <w:sz w:val="20"/>
          <w:szCs w:val="20"/>
        </w:rPr>
        <w:t>Oranga</w:t>
      </w:r>
      <w:proofErr w:type="spellEnd"/>
      <w:r>
        <w:rPr>
          <w:b/>
          <w:sz w:val="20"/>
          <w:szCs w:val="20"/>
        </w:rPr>
        <w:t xml:space="preserve"> Tamariki (Repeal of Section 7AA) Amendment Bill, </w:t>
      </w:r>
      <w:r>
        <w:rPr>
          <w:sz w:val="20"/>
          <w:szCs w:val="20"/>
        </w:rPr>
        <w:t xml:space="preserve">and the </w:t>
      </w:r>
      <w:r>
        <w:rPr>
          <w:b/>
          <w:sz w:val="20"/>
          <w:szCs w:val="20"/>
        </w:rPr>
        <w:t xml:space="preserve">defunding and </w:t>
      </w:r>
      <w:proofErr w:type="spellStart"/>
      <w:r>
        <w:rPr>
          <w:b/>
          <w:sz w:val="20"/>
          <w:szCs w:val="20"/>
        </w:rPr>
        <w:t>centralisation</w:t>
      </w:r>
      <w:proofErr w:type="spellEnd"/>
      <w:r>
        <w:rPr>
          <w:b/>
          <w:sz w:val="20"/>
          <w:szCs w:val="20"/>
        </w:rPr>
        <w:t xml:space="preserve"> of Ka Ora Ka Ako School Lunch </w:t>
      </w:r>
      <w:proofErr w:type="spellStart"/>
      <w:r>
        <w:rPr>
          <w:b/>
          <w:sz w:val="20"/>
          <w:szCs w:val="20"/>
        </w:rPr>
        <w:t>Programme</w:t>
      </w:r>
      <w:proofErr w:type="spellEnd"/>
      <w:r>
        <w:rPr>
          <w:b/>
          <w:sz w:val="20"/>
          <w:szCs w:val="20"/>
        </w:rPr>
        <w:t>.</w:t>
      </w:r>
    </w:p>
    <w:p w14:paraId="7CD5EC8B" w14:textId="77777777" w:rsidR="001902DF" w:rsidRDefault="00000000">
      <w:pPr>
        <w:spacing w:line="276" w:lineRule="auto"/>
        <w:rPr>
          <w:sz w:val="20"/>
          <w:szCs w:val="20"/>
        </w:rPr>
      </w:pPr>
      <w:r>
        <w:rPr>
          <w:sz w:val="20"/>
          <w:szCs w:val="20"/>
        </w:rPr>
        <w:t>The</w:t>
      </w:r>
      <w:r>
        <w:rPr>
          <w:b/>
          <w:sz w:val="20"/>
          <w:szCs w:val="20"/>
        </w:rPr>
        <w:t xml:space="preserve"> </w:t>
      </w:r>
      <w:proofErr w:type="spellStart"/>
      <w:r>
        <w:rPr>
          <w:b/>
          <w:sz w:val="20"/>
          <w:szCs w:val="20"/>
        </w:rPr>
        <w:t>Oranga</w:t>
      </w:r>
      <w:proofErr w:type="spellEnd"/>
      <w:r>
        <w:rPr>
          <w:b/>
          <w:sz w:val="20"/>
          <w:szCs w:val="20"/>
        </w:rPr>
        <w:t xml:space="preserve"> Tamariki (Responding to Serious Youth Offending) Amendment Bill </w:t>
      </w:r>
      <w:r>
        <w:rPr>
          <w:sz w:val="20"/>
          <w:szCs w:val="20"/>
        </w:rPr>
        <w:t xml:space="preserve">was introduced in November 2024, with the stated aim of addressing “serious youth offending” through establishing military-style academies (MSA) and creating a 'serious young offender' (YSO) category. The justification given for the Bill is not supported by evidence, with research instead suggesting that MSAs are not </w:t>
      </w:r>
      <w:proofErr w:type="gramStart"/>
      <w:r>
        <w:rPr>
          <w:sz w:val="20"/>
          <w:szCs w:val="20"/>
        </w:rPr>
        <w:t>effective.</w:t>
      </w:r>
      <w:r>
        <w:rPr>
          <w:sz w:val="20"/>
          <w:szCs w:val="20"/>
          <w:vertAlign w:val="superscript"/>
        </w:rPr>
        <w:t>(</w:t>
      </w:r>
      <w:proofErr w:type="gramEnd"/>
      <w:r>
        <w:rPr>
          <w:sz w:val="20"/>
          <w:szCs w:val="20"/>
          <w:vertAlign w:val="superscript"/>
        </w:rPr>
        <w:t>24)</w:t>
      </w:r>
      <w:r>
        <w:rPr>
          <w:sz w:val="20"/>
          <w:szCs w:val="20"/>
        </w:rPr>
        <w:t xml:space="preserve"> Oral hearings were conducted by the Social Services and Community Select Committee in December 2025, with the Bill expected to be passed in 2025. </w:t>
      </w:r>
    </w:p>
    <w:p w14:paraId="35E09199" w14:textId="77777777" w:rsidR="001902DF" w:rsidRDefault="00000000">
      <w:pPr>
        <w:spacing w:line="276" w:lineRule="auto"/>
        <w:rPr>
          <w:sz w:val="20"/>
          <w:szCs w:val="20"/>
        </w:rPr>
      </w:pPr>
      <w:r>
        <w:rPr>
          <w:sz w:val="20"/>
          <w:szCs w:val="20"/>
        </w:rPr>
        <w:t>The Bill was developed and introduced without the free, prior and informed consent of Māori, and without any meaningful engagement with Māori, despite the well-documented differential and racially-discriminatory experiences of youth justice systems and policies for Māori,</w:t>
      </w:r>
      <w:r>
        <w:rPr>
          <w:sz w:val="20"/>
          <w:szCs w:val="20"/>
          <w:vertAlign w:val="superscript"/>
        </w:rPr>
        <w:t xml:space="preserve">(24) </w:t>
      </w:r>
      <w:r>
        <w:rPr>
          <w:sz w:val="20"/>
          <w:szCs w:val="20"/>
        </w:rPr>
        <w:t xml:space="preserve">including Māori youth being more likely to be in the Youth Court, and evidence of racism in policing, corrections and justice sectors over many years. The Crown Regulatory Impact Statement for this </w:t>
      </w:r>
      <w:proofErr w:type="spellStart"/>
      <w:r>
        <w:rPr>
          <w:sz w:val="20"/>
          <w:szCs w:val="20"/>
        </w:rPr>
        <w:t>BiIll</w:t>
      </w:r>
      <w:proofErr w:type="spellEnd"/>
      <w:r>
        <w:rPr>
          <w:sz w:val="20"/>
          <w:szCs w:val="20"/>
        </w:rPr>
        <w:t xml:space="preserve"> acknowledged the lack of consultation with Māori as the Treaty partner and also noted that the Bill “...will come at a cost to Māori communities in particular as the proposal for a YSO declaration and MSA order are highly likely to have a disproportionate effect on </w:t>
      </w:r>
      <w:proofErr w:type="spellStart"/>
      <w:r>
        <w:rPr>
          <w:sz w:val="20"/>
          <w:szCs w:val="20"/>
        </w:rPr>
        <w:t>rangatahi</w:t>
      </w:r>
      <w:proofErr w:type="spellEnd"/>
      <w:r>
        <w:rPr>
          <w:sz w:val="20"/>
          <w:szCs w:val="20"/>
        </w:rPr>
        <w:t xml:space="preserve"> Māori and their whanau;”, further finding that “...modelling suggests that Māori will make up 80-85 percent of the young people eligible to be declared YSOs”.</w:t>
      </w:r>
      <w:r>
        <w:rPr>
          <w:sz w:val="20"/>
          <w:szCs w:val="20"/>
          <w:vertAlign w:val="superscript"/>
        </w:rPr>
        <w:t>(24)</w:t>
      </w:r>
      <w:r>
        <w:rPr>
          <w:sz w:val="20"/>
          <w:szCs w:val="20"/>
        </w:rPr>
        <w:t xml:space="preserve"> </w:t>
      </w:r>
    </w:p>
    <w:p w14:paraId="033E733A" w14:textId="77777777" w:rsidR="001902DF" w:rsidRDefault="00000000">
      <w:pPr>
        <w:spacing w:line="276" w:lineRule="auto"/>
        <w:rPr>
          <w:sz w:val="20"/>
          <w:szCs w:val="20"/>
        </w:rPr>
      </w:pPr>
      <w:r>
        <w:rPr>
          <w:sz w:val="20"/>
          <w:szCs w:val="20"/>
        </w:rPr>
        <w:t xml:space="preserve">In addition to being inconsistent with Article 6 of the ICERD, the Bill is misaligned with the recommendations of the CERD to the New Zealand Government in 2017 that the State party strengthen its efforts to address the root causes leading to disproportionate incarceration rates of </w:t>
      </w:r>
      <w:proofErr w:type="gramStart"/>
      <w:r>
        <w:rPr>
          <w:sz w:val="20"/>
          <w:szCs w:val="20"/>
        </w:rPr>
        <w:t>Maori, and</w:t>
      </w:r>
      <w:proofErr w:type="gramEnd"/>
      <w:r>
        <w:rPr>
          <w:sz w:val="20"/>
          <w:szCs w:val="20"/>
        </w:rPr>
        <w:t xml:space="preserve"> is further inconsistent with the International Covenant on the Rights of the Child.</w:t>
      </w:r>
    </w:p>
    <w:p w14:paraId="0DD726FB" w14:textId="77777777" w:rsidR="001902DF" w:rsidRDefault="00000000">
      <w:pPr>
        <w:spacing w:line="276" w:lineRule="auto"/>
        <w:rPr>
          <w:sz w:val="20"/>
          <w:szCs w:val="20"/>
        </w:rPr>
      </w:pPr>
      <w:r>
        <w:rPr>
          <w:sz w:val="20"/>
          <w:szCs w:val="20"/>
        </w:rPr>
        <w:t xml:space="preserve">The </w:t>
      </w:r>
      <w:proofErr w:type="spellStart"/>
      <w:r>
        <w:rPr>
          <w:b/>
          <w:sz w:val="20"/>
          <w:szCs w:val="20"/>
        </w:rPr>
        <w:t>Oranga</w:t>
      </w:r>
      <w:proofErr w:type="spellEnd"/>
      <w:r>
        <w:rPr>
          <w:b/>
          <w:sz w:val="20"/>
          <w:szCs w:val="20"/>
        </w:rPr>
        <w:t xml:space="preserve"> Tamariki (Repeal of Section 7AA) Amendment Bill </w:t>
      </w:r>
      <w:r>
        <w:rPr>
          <w:sz w:val="20"/>
          <w:szCs w:val="20"/>
        </w:rPr>
        <w:t xml:space="preserve">was introduced in May 2024 to remove Section 7AA from the </w:t>
      </w:r>
      <w:proofErr w:type="spellStart"/>
      <w:r>
        <w:rPr>
          <w:sz w:val="20"/>
          <w:szCs w:val="20"/>
        </w:rPr>
        <w:t>Oranga</w:t>
      </w:r>
      <w:proofErr w:type="spellEnd"/>
      <w:r>
        <w:rPr>
          <w:sz w:val="20"/>
          <w:szCs w:val="20"/>
        </w:rPr>
        <w:t xml:space="preserve"> Tamariki Act 1989. Section 7AA currently mandates the government child welfare agency, </w:t>
      </w:r>
      <w:proofErr w:type="spellStart"/>
      <w:r>
        <w:rPr>
          <w:sz w:val="20"/>
          <w:szCs w:val="20"/>
        </w:rPr>
        <w:t>Oranga</w:t>
      </w:r>
      <w:proofErr w:type="spellEnd"/>
      <w:r>
        <w:rPr>
          <w:sz w:val="20"/>
          <w:szCs w:val="20"/>
        </w:rPr>
        <w:t xml:space="preserve"> Tamariki, to honor Treaty of Waitangi obligations by ensuring the well-being of Māori children, acknowledging their cultural heritage, and collaborating with iwi (tribes) and Māori </w:t>
      </w:r>
      <w:proofErr w:type="spellStart"/>
      <w:r>
        <w:rPr>
          <w:sz w:val="20"/>
          <w:szCs w:val="20"/>
        </w:rPr>
        <w:t>organisations</w:t>
      </w:r>
      <w:proofErr w:type="spellEnd"/>
      <w:r>
        <w:rPr>
          <w:sz w:val="20"/>
          <w:szCs w:val="20"/>
        </w:rPr>
        <w:t xml:space="preserve"> to address inequities between Māori and non-Māori children in state care. In line with historical patterns, over the past decade, </w:t>
      </w:r>
      <w:proofErr w:type="spellStart"/>
      <w:r>
        <w:rPr>
          <w:sz w:val="20"/>
          <w:szCs w:val="20"/>
        </w:rPr>
        <w:t>tamariki</w:t>
      </w:r>
      <w:proofErr w:type="spellEnd"/>
      <w:r>
        <w:rPr>
          <w:sz w:val="20"/>
          <w:szCs w:val="20"/>
        </w:rPr>
        <w:t xml:space="preserve"> Māori accounted for more than half of all children entering care, and are four to five times more likely to be uplifted from their families and placed in state care than non-Māori.</w:t>
      </w:r>
      <w:r>
        <w:rPr>
          <w:sz w:val="20"/>
          <w:szCs w:val="20"/>
          <w:vertAlign w:val="superscript"/>
        </w:rPr>
        <w:t xml:space="preserve">(25) </w:t>
      </w:r>
      <w:r>
        <w:rPr>
          <w:sz w:val="20"/>
          <w:szCs w:val="20"/>
        </w:rPr>
        <w:t xml:space="preserve">This creates a </w:t>
      </w:r>
      <w:proofErr w:type="spellStart"/>
      <w:r>
        <w:rPr>
          <w:sz w:val="20"/>
          <w:szCs w:val="20"/>
        </w:rPr>
        <w:t>racialised</w:t>
      </w:r>
      <w:proofErr w:type="spellEnd"/>
      <w:r>
        <w:rPr>
          <w:sz w:val="20"/>
          <w:szCs w:val="20"/>
        </w:rPr>
        <w:t xml:space="preserve"> impact for all policies and legislation relating to children uplifted and placed in state care.</w:t>
      </w:r>
    </w:p>
    <w:p w14:paraId="11FF136D" w14:textId="77777777" w:rsidR="001902DF" w:rsidRDefault="00000000">
      <w:pPr>
        <w:spacing w:line="276" w:lineRule="auto"/>
        <w:rPr>
          <w:sz w:val="20"/>
          <w:szCs w:val="20"/>
        </w:rPr>
      </w:pPr>
      <w:r>
        <w:rPr>
          <w:sz w:val="20"/>
          <w:szCs w:val="20"/>
        </w:rPr>
        <w:t xml:space="preserve">In its report on the urgent inquiry into the Bill, the Waitangi Tribunal found that it was inconsistent with the principles of the Treaty of Waitangi, noting that: </w:t>
      </w:r>
    </w:p>
    <w:p w14:paraId="0198F579" w14:textId="77777777" w:rsidR="001902DF" w:rsidRDefault="00000000">
      <w:pPr>
        <w:spacing w:line="276" w:lineRule="auto"/>
        <w:ind w:left="720"/>
        <w:rPr>
          <w:i/>
          <w:sz w:val="20"/>
          <w:szCs w:val="20"/>
          <w:shd w:val="clear" w:color="auto" w:fill="FFF2CC"/>
        </w:rPr>
      </w:pPr>
      <w:r>
        <w:rPr>
          <w:i/>
          <w:sz w:val="20"/>
          <w:szCs w:val="20"/>
        </w:rPr>
        <w:t xml:space="preserve">A key problem we see with the government’s decision to repeal section 7AA is that it has come about </w:t>
      </w:r>
      <w:r>
        <w:rPr>
          <w:i/>
          <w:sz w:val="20"/>
          <w:szCs w:val="20"/>
        </w:rPr>
        <w:lastRenderedPageBreak/>
        <w:t xml:space="preserve">without proper regard to its obligations to Māori under the Treaty of Waitangi. The evidence suggests this is due to a belief or assumption on the part of the government that the coalition agreements that lead to its formation override or take precedence over the Crown’s obligations under the Treaty of </w:t>
      </w:r>
      <w:proofErr w:type="gramStart"/>
      <w:r>
        <w:rPr>
          <w:i/>
          <w:sz w:val="20"/>
          <w:szCs w:val="20"/>
        </w:rPr>
        <w:t>Waitangi.</w:t>
      </w:r>
      <w:r>
        <w:rPr>
          <w:sz w:val="20"/>
          <w:szCs w:val="20"/>
          <w:vertAlign w:val="superscript"/>
        </w:rPr>
        <w:t>(</w:t>
      </w:r>
      <w:proofErr w:type="gramEnd"/>
      <w:r>
        <w:rPr>
          <w:sz w:val="20"/>
          <w:szCs w:val="20"/>
          <w:vertAlign w:val="superscript"/>
        </w:rPr>
        <w:t>26)</w:t>
      </w:r>
    </w:p>
    <w:p w14:paraId="640DD143" w14:textId="77777777" w:rsidR="001902DF" w:rsidRDefault="00000000">
      <w:pPr>
        <w:spacing w:line="276" w:lineRule="auto"/>
        <w:rPr>
          <w:sz w:val="20"/>
          <w:szCs w:val="20"/>
          <w:shd w:val="clear" w:color="auto" w:fill="FFF2CC"/>
        </w:rPr>
      </w:pPr>
      <w:r>
        <w:rPr>
          <w:sz w:val="20"/>
          <w:szCs w:val="20"/>
        </w:rPr>
        <w:t>In particular, there is broad concern that removing the requirement to consider whakapapa (genealogy) and whanaungatanga (relationships) may disconnect Māori children from their cultural roots, affecting their identity and sense of belonging, and is inconsistent with CERD recommendations that New Zealand “</w:t>
      </w:r>
      <w:r>
        <w:rPr>
          <w:i/>
          <w:sz w:val="20"/>
          <w:szCs w:val="20"/>
        </w:rPr>
        <w:t xml:space="preserve">Take effective steps to reduce the number of Maori and Pasifika children in State care, including through the policy of “whanau-first” placement for Maori children”. </w:t>
      </w:r>
      <w:r>
        <w:rPr>
          <w:sz w:val="20"/>
          <w:szCs w:val="20"/>
        </w:rPr>
        <w:t>It also is inconsistent with UNDRIP (particularly Article 7, Section 2).</w:t>
      </w:r>
    </w:p>
    <w:p w14:paraId="0121DAED" w14:textId="77777777" w:rsidR="001902DF" w:rsidRDefault="00000000">
      <w:pPr>
        <w:spacing w:line="276" w:lineRule="auto"/>
        <w:rPr>
          <w:color w:val="000000"/>
          <w:sz w:val="20"/>
          <w:szCs w:val="20"/>
          <w:shd w:val="clear" w:color="auto" w:fill="FFF2CC"/>
        </w:rPr>
      </w:pPr>
      <w:r>
        <w:rPr>
          <w:sz w:val="20"/>
          <w:szCs w:val="20"/>
        </w:rPr>
        <w:t xml:space="preserve">The </w:t>
      </w:r>
      <w:r>
        <w:rPr>
          <w:b/>
          <w:sz w:val="20"/>
          <w:szCs w:val="20"/>
        </w:rPr>
        <w:t xml:space="preserve">Ka Ora Ka Ako school lunch </w:t>
      </w:r>
      <w:proofErr w:type="spellStart"/>
      <w:r>
        <w:rPr>
          <w:b/>
          <w:sz w:val="20"/>
          <w:szCs w:val="20"/>
        </w:rPr>
        <w:t>programme</w:t>
      </w:r>
      <w:proofErr w:type="spellEnd"/>
      <w:r>
        <w:rPr>
          <w:sz w:val="20"/>
          <w:szCs w:val="20"/>
        </w:rPr>
        <w:t xml:space="preserve"> was introduced in 2020 with the aim to reduce food insecurity by providing access to a nutritious lunch in school every day to approximately 235,000 students in need of the most support.</w:t>
      </w:r>
      <w:r>
        <w:rPr>
          <w:sz w:val="20"/>
          <w:szCs w:val="20"/>
          <w:vertAlign w:val="superscript"/>
        </w:rPr>
        <w:t>(27)</w:t>
      </w:r>
      <w:r>
        <w:rPr>
          <w:sz w:val="20"/>
          <w:szCs w:val="20"/>
        </w:rPr>
        <w:t xml:space="preserve"> In 2025, the coalition government led by Prime Minister Christopher Luxon and Associate Education Minister David Seymour restructured the </w:t>
      </w:r>
      <w:proofErr w:type="spellStart"/>
      <w:r>
        <w:rPr>
          <w:sz w:val="20"/>
          <w:szCs w:val="20"/>
        </w:rPr>
        <w:t>programme</w:t>
      </w:r>
      <w:proofErr w:type="spellEnd"/>
      <w:r>
        <w:rPr>
          <w:sz w:val="20"/>
          <w:szCs w:val="20"/>
        </w:rPr>
        <w:t xml:space="preserve"> to reduce spending from $8.60 to $3 per meal. The contract was removed from community providers and awarded to the School Lunch Collective, a consortium including Compass Group NZ. The revised </w:t>
      </w:r>
      <w:proofErr w:type="spellStart"/>
      <w:r>
        <w:rPr>
          <w:sz w:val="20"/>
          <w:szCs w:val="20"/>
        </w:rPr>
        <w:t>programme</w:t>
      </w:r>
      <w:proofErr w:type="spellEnd"/>
      <w:r>
        <w:rPr>
          <w:sz w:val="20"/>
          <w:szCs w:val="20"/>
        </w:rPr>
        <w:t xml:space="preserve"> has faced widespread criticism for poor food quality, unsafe conditions of food delivery, operational issues such as late or incorrect deliveries, lack of </w:t>
      </w:r>
      <w:r>
        <w:rPr>
          <w:color w:val="000000"/>
          <w:sz w:val="20"/>
          <w:szCs w:val="20"/>
        </w:rPr>
        <w:t xml:space="preserve">culturally appropriate food options (e.g. </w:t>
      </w:r>
      <w:proofErr w:type="spellStart"/>
      <w:r>
        <w:rPr>
          <w:color w:val="000000"/>
          <w:sz w:val="20"/>
          <w:szCs w:val="20"/>
        </w:rPr>
        <w:t>mislabelling</w:t>
      </w:r>
      <w:proofErr w:type="spellEnd"/>
      <w:r>
        <w:rPr>
          <w:color w:val="000000"/>
          <w:sz w:val="20"/>
          <w:szCs w:val="20"/>
        </w:rPr>
        <w:t xml:space="preserve"> of non-halal meals as halal</w:t>
      </w:r>
      <w:r>
        <w:rPr>
          <w:sz w:val="20"/>
          <w:szCs w:val="20"/>
        </w:rPr>
        <w:t>, and n</w:t>
      </w:r>
      <w:r>
        <w:rPr>
          <w:color w:val="000000"/>
          <w:sz w:val="20"/>
          <w:szCs w:val="20"/>
        </w:rPr>
        <w:t xml:space="preserve">utritional </w:t>
      </w:r>
      <w:proofErr w:type="gramStart"/>
      <w:r>
        <w:rPr>
          <w:color w:val="000000"/>
          <w:sz w:val="20"/>
          <w:szCs w:val="20"/>
        </w:rPr>
        <w:t>concerns.</w:t>
      </w:r>
      <w:r>
        <w:rPr>
          <w:color w:val="000000"/>
          <w:sz w:val="20"/>
          <w:szCs w:val="20"/>
          <w:vertAlign w:val="superscript"/>
        </w:rPr>
        <w:t>(</w:t>
      </w:r>
      <w:proofErr w:type="gramEnd"/>
      <w:r>
        <w:rPr>
          <w:color w:val="000000"/>
          <w:sz w:val="20"/>
          <w:szCs w:val="20"/>
          <w:vertAlign w:val="superscript"/>
        </w:rPr>
        <w:t>2</w:t>
      </w:r>
      <w:r>
        <w:rPr>
          <w:sz w:val="20"/>
          <w:szCs w:val="20"/>
          <w:vertAlign w:val="superscript"/>
        </w:rPr>
        <w:t>8</w:t>
      </w:r>
      <w:r>
        <w:rPr>
          <w:color w:val="000000"/>
          <w:sz w:val="20"/>
          <w:szCs w:val="20"/>
          <w:vertAlign w:val="superscript"/>
        </w:rPr>
        <w:t>, 2</w:t>
      </w:r>
      <w:r>
        <w:rPr>
          <w:sz w:val="20"/>
          <w:szCs w:val="20"/>
          <w:vertAlign w:val="superscript"/>
        </w:rPr>
        <w:t>9</w:t>
      </w:r>
      <w:r>
        <w:rPr>
          <w:color w:val="000000"/>
          <w:sz w:val="20"/>
          <w:szCs w:val="20"/>
          <w:vertAlign w:val="superscript"/>
        </w:rPr>
        <w:t>)</w:t>
      </w:r>
    </w:p>
    <w:p w14:paraId="0AD85E0A" w14:textId="77777777" w:rsidR="001902DF" w:rsidRDefault="00000000">
      <w:pPr>
        <w:spacing w:line="276" w:lineRule="auto"/>
        <w:rPr>
          <w:sz w:val="20"/>
          <w:szCs w:val="20"/>
        </w:rPr>
      </w:pPr>
      <w:r>
        <w:rPr>
          <w:sz w:val="20"/>
          <w:szCs w:val="20"/>
        </w:rPr>
        <w:t xml:space="preserve">The Ka Ora Ka Ako </w:t>
      </w:r>
      <w:proofErr w:type="spellStart"/>
      <w:r>
        <w:rPr>
          <w:sz w:val="20"/>
          <w:szCs w:val="20"/>
        </w:rPr>
        <w:t>programme</w:t>
      </w:r>
      <w:proofErr w:type="spellEnd"/>
      <w:r>
        <w:rPr>
          <w:sz w:val="20"/>
          <w:szCs w:val="20"/>
        </w:rPr>
        <w:t xml:space="preserve"> aimed to reduce inequitable food access and its impact on learning outcomes, particularly for Māori and Pacifica students who are disproportionately affected by food insecurity. Further, the original iteration of the program encouraged community involvement, including partnerships with iwi and hapū Māori, fostering community cohesion. The defunding of the </w:t>
      </w:r>
      <w:proofErr w:type="spellStart"/>
      <w:r>
        <w:rPr>
          <w:sz w:val="20"/>
          <w:szCs w:val="20"/>
        </w:rPr>
        <w:t>programme</w:t>
      </w:r>
      <w:proofErr w:type="spellEnd"/>
      <w:r>
        <w:rPr>
          <w:sz w:val="20"/>
          <w:szCs w:val="20"/>
        </w:rPr>
        <w:t xml:space="preserve"> has therefore disproportionately impacted Māori and Pacifica students, with further impacts upon the communities who previously held the contracts for providing school lunches. The decision to defund and </w:t>
      </w:r>
      <w:proofErr w:type="spellStart"/>
      <w:r>
        <w:rPr>
          <w:sz w:val="20"/>
          <w:szCs w:val="20"/>
        </w:rPr>
        <w:t>centralise</w:t>
      </w:r>
      <w:proofErr w:type="spellEnd"/>
      <w:r>
        <w:rPr>
          <w:sz w:val="20"/>
          <w:szCs w:val="20"/>
        </w:rPr>
        <w:t xml:space="preserve"> the program was carried out without the free, prior and informed consent of communities impacted by the decision. The process for defunding contravenes the recommendations of the CERD committee earlier this year in relation to the right to health, where it was held that “...(an) important aspect [of the right to health] is the participation of the population in all health-related decision-making at the community, national and international levels.”</w:t>
      </w:r>
      <w:r>
        <w:rPr>
          <w:sz w:val="20"/>
          <w:szCs w:val="20"/>
          <w:vertAlign w:val="superscript"/>
        </w:rPr>
        <w:footnoteReference w:id="4"/>
      </w:r>
      <w:r>
        <w:rPr>
          <w:sz w:val="20"/>
          <w:szCs w:val="20"/>
          <w:vertAlign w:val="superscript"/>
        </w:rPr>
        <w:t xml:space="preserve"> </w:t>
      </w:r>
    </w:p>
    <w:p w14:paraId="299C51FE" w14:textId="77777777" w:rsidR="001902DF" w:rsidRDefault="00000000">
      <w:pPr>
        <w:spacing w:line="276" w:lineRule="auto"/>
        <w:rPr>
          <w:sz w:val="20"/>
          <w:szCs w:val="20"/>
        </w:rPr>
      </w:pPr>
      <w:r>
        <w:rPr>
          <w:sz w:val="20"/>
          <w:szCs w:val="20"/>
        </w:rPr>
        <w:t>Further, CERD noted that:</w:t>
      </w:r>
    </w:p>
    <w:p w14:paraId="6D0250A1" w14:textId="77777777" w:rsidR="001902DF" w:rsidRDefault="00000000">
      <w:pPr>
        <w:spacing w:line="276" w:lineRule="auto"/>
        <w:ind w:left="720"/>
        <w:rPr>
          <w:i/>
          <w:sz w:val="20"/>
          <w:szCs w:val="20"/>
        </w:rPr>
      </w:pPr>
      <w:r>
        <w:rPr>
          <w:i/>
          <w:sz w:val="20"/>
          <w:szCs w:val="20"/>
        </w:rPr>
        <w:t xml:space="preserve">[Racial and ethnic communities] are entitled to measures that address issues such as food deserts, limited economic resources, discriminatory practices in the food industry and other barriers to accessing healthy food. Vulnerability and poverty affect their diet and health, contributing to higher rates of diet-related diseases and nutritional </w:t>
      </w:r>
      <w:proofErr w:type="gramStart"/>
      <w:r>
        <w:rPr>
          <w:i/>
          <w:sz w:val="20"/>
          <w:szCs w:val="20"/>
        </w:rPr>
        <w:t>deficiencies.</w:t>
      </w:r>
      <w:r>
        <w:rPr>
          <w:sz w:val="20"/>
          <w:szCs w:val="20"/>
          <w:vertAlign w:val="superscript"/>
        </w:rPr>
        <w:t>(</w:t>
      </w:r>
      <w:proofErr w:type="gramEnd"/>
      <w:r>
        <w:rPr>
          <w:sz w:val="20"/>
          <w:szCs w:val="20"/>
          <w:vertAlign w:val="superscript"/>
        </w:rPr>
        <w:t>1)</w:t>
      </w:r>
    </w:p>
    <w:p w14:paraId="0CDC2066" w14:textId="77777777" w:rsidR="001902DF" w:rsidRDefault="00000000">
      <w:pPr>
        <w:spacing w:line="276" w:lineRule="auto"/>
        <w:rPr>
          <w:sz w:val="20"/>
          <w:szCs w:val="20"/>
        </w:rPr>
      </w:pPr>
      <w:r>
        <w:rPr>
          <w:sz w:val="20"/>
          <w:szCs w:val="20"/>
        </w:rPr>
        <w:t xml:space="preserve">The government's handling of the Ka Ora, Ka Ako school lunch </w:t>
      </w:r>
      <w:proofErr w:type="spellStart"/>
      <w:r>
        <w:rPr>
          <w:sz w:val="20"/>
          <w:szCs w:val="20"/>
        </w:rPr>
        <w:t>programme</w:t>
      </w:r>
      <w:proofErr w:type="spellEnd"/>
      <w:r>
        <w:rPr>
          <w:sz w:val="20"/>
          <w:szCs w:val="20"/>
        </w:rPr>
        <w:t xml:space="preserve"> raises serious concerns regarding New Zealand children's rights to adequate nutrition and freedom from discrimination. The cost-cutting measures have compromised meal quality and cultural sensitivity, violating New Zealand's international obligations under ICERD and the Convention on the Rights of the Child, which </w:t>
      </w:r>
      <w:proofErr w:type="spellStart"/>
      <w:r>
        <w:rPr>
          <w:sz w:val="20"/>
          <w:szCs w:val="20"/>
        </w:rPr>
        <w:t>recognises</w:t>
      </w:r>
      <w:proofErr w:type="spellEnd"/>
      <w:r>
        <w:rPr>
          <w:sz w:val="20"/>
          <w:szCs w:val="20"/>
        </w:rPr>
        <w:t xml:space="preserve"> every child's right to a standard of living adequate for their physical, mental, spiritual, moral, and social development.</w:t>
      </w:r>
    </w:p>
    <w:p w14:paraId="73D39423" w14:textId="77777777" w:rsidR="001902DF" w:rsidRDefault="00000000">
      <w:pPr>
        <w:pStyle w:val="Heading1"/>
        <w:spacing w:line="276" w:lineRule="auto"/>
        <w:ind w:left="0"/>
        <w:rPr>
          <w:sz w:val="20"/>
          <w:szCs w:val="20"/>
        </w:rPr>
      </w:pPr>
      <w:bookmarkStart w:id="18" w:name="_heading=h.5nq15cbfq6dt" w:colFirst="0" w:colLast="0"/>
      <w:bookmarkEnd w:id="18"/>
      <w:r>
        <w:rPr>
          <w:sz w:val="20"/>
          <w:szCs w:val="20"/>
        </w:rPr>
        <w:t>RACIALISED DEMOCRATIC CORROSION</w:t>
      </w:r>
    </w:p>
    <w:p w14:paraId="16E6ED91" w14:textId="77777777" w:rsidR="001902DF" w:rsidRDefault="00000000">
      <w:pPr>
        <w:spacing w:before="240" w:after="240" w:line="276" w:lineRule="auto"/>
        <w:rPr>
          <w:color w:val="1155CC"/>
          <w:sz w:val="20"/>
          <w:szCs w:val="20"/>
          <w:u w:val="single"/>
        </w:rPr>
      </w:pPr>
      <w:r>
        <w:rPr>
          <w:sz w:val="20"/>
          <w:szCs w:val="20"/>
        </w:rPr>
        <w:t xml:space="preserve">Across multiple policy fronts, the Crown is recalibrating electoral and decision-making rules in ways that </w:t>
      </w:r>
      <w:r>
        <w:rPr>
          <w:sz w:val="20"/>
          <w:szCs w:val="20"/>
        </w:rPr>
        <w:lastRenderedPageBreak/>
        <w:t xml:space="preserve">predictably suppress Māori voice, weaken Te </w:t>
      </w:r>
      <w:proofErr w:type="spellStart"/>
      <w:r>
        <w:rPr>
          <w:sz w:val="20"/>
          <w:szCs w:val="20"/>
        </w:rPr>
        <w:t>Tiriti</w:t>
      </w:r>
      <w:proofErr w:type="spellEnd"/>
      <w:r>
        <w:rPr>
          <w:sz w:val="20"/>
          <w:szCs w:val="20"/>
        </w:rPr>
        <w:t xml:space="preserve">-based participation, and entrench executive discretion, amounting to </w:t>
      </w:r>
      <w:proofErr w:type="spellStart"/>
      <w:r>
        <w:rPr>
          <w:sz w:val="20"/>
          <w:szCs w:val="20"/>
        </w:rPr>
        <w:t>racialised</w:t>
      </w:r>
      <w:proofErr w:type="spellEnd"/>
      <w:r>
        <w:rPr>
          <w:sz w:val="20"/>
          <w:szCs w:val="20"/>
        </w:rPr>
        <w:t xml:space="preserve"> democratic corrosion. The </w:t>
      </w:r>
      <w:r>
        <w:rPr>
          <w:b/>
          <w:sz w:val="20"/>
          <w:szCs w:val="20"/>
        </w:rPr>
        <w:t>Fast-Track Approvals Act 2024</w:t>
      </w:r>
      <w:r>
        <w:rPr>
          <w:sz w:val="20"/>
          <w:szCs w:val="20"/>
        </w:rPr>
        <w:t xml:space="preserve"> </w:t>
      </w:r>
      <w:proofErr w:type="spellStart"/>
      <w:r>
        <w:rPr>
          <w:sz w:val="20"/>
          <w:szCs w:val="20"/>
        </w:rPr>
        <w:t>centralises</w:t>
      </w:r>
      <w:proofErr w:type="spellEnd"/>
      <w:r>
        <w:rPr>
          <w:sz w:val="20"/>
          <w:szCs w:val="20"/>
        </w:rPr>
        <w:t xml:space="preserve"> consenting power in Ministers, truncates consultation, enables revival of projects previously blocked on environmental/Treaty grounds, and heightens risks to wāhi </w:t>
      </w:r>
      <w:proofErr w:type="spellStart"/>
      <w:r>
        <w:rPr>
          <w:sz w:val="20"/>
          <w:szCs w:val="20"/>
        </w:rPr>
        <w:t>tapu</w:t>
      </w:r>
      <w:proofErr w:type="spellEnd"/>
      <w:r>
        <w:rPr>
          <w:sz w:val="20"/>
          <w:szCs w:val="20"/>
        </w:rPr>
        <w:t xml:space="preserve">, taonga species and customary food sources. Compressed timeframes and bypassed protections </w:t>
      </w:r>
      <w:proofErr w:type="spellStart"/>
      <w:r>
        <w:rPr>
          <w:sz w:val="20"/>
          <w:szCs w:val="20"/>
        </w:rPr>
        <w:t>marginalise</w:t>
      </w:r>
      <w:proofErr w:type="spellEnd"/>
      <w:r>
        <w:rPr>
          <w:sz w:val="20"/>
          <w:szCs w:val="20"/>
        </w:rPr>
        <w:t xml:space="preserve"> </w:t>
      </w:r>
      <w:proofErr w:type="spellStart"/>
      <w:r>
        <w:rPr>
          <w:sz w:val="20"/>
          <w:szCs w:val="20"/>
        </w:rPr>
        <w:t>kaitiakitanga</w:t>
      </w:r>
      <w:proofErr w:type="spellEnd"/>
      <w:r>
        <w:rPr>
          <w:sz w:val="20"/>
          <w:szCs w:val="20"/>
        </w:rPr>
        <w:t xml:space="preserve"> and meaningfully exclude iwi and hapū from decisions with intergenerational impacts; these settings are inconsistent with CERD guidance on environmental harms to Indigenous Peoples. The </w:t>
      </w:r>
      <w:r>
        <w:rPr>
          <w:b/>
          <w:sz w:val="20"/>
          <w:szCs w:val="20"/>
        </w:rPr>
        <w:t>Māori Ward Rollback</w:t>
      </w:r>
      <w:r>
        <w:rPr>
          <w:sz w:val="20"/>
          <w:szCs w:val="20"/>
        </w:rPr>
        <w:t xml:space="preserve"> reinstates binding polls on Māori wards/constituencies, reversing a 2021 equity safeguard and contravening CERD General Recommendation No. 32 (affirmative measures should not be weakened while disparities persist). Public rhetoric framing Māori wards as “race-based” has further chilled participation and exposed Māori representatives to hostility, undermining local-government </w:t>
      </w:r>
      <w:proofErr w:type="spellStart"/>
      <w:r>
        <w:rPr>
          <w:sz w:val="20"/>
          <w:szCs w:val="20"/>
        </w:rPr>
        <w:t>Tiriti</w:t>
      </w:r>
      <w:proofErr w:type="spellEnd"/>
      <w:r>
        <w:rPr>
          <w:sz w:val="20"/>
          <w:szCs w:val="20"/>
        </w:rPr>
        <w:t xml:space="preserve"> compliance. The subsequent local elections culminating on 11 October 2025 resulted in the removal of 25 Māori ward electorates around Aotearoa after the 2025-2028 electoral term. The </w:t>
      </w:r>
      <w:r>
        <w:rPr>
          <w:b/>
          <w:sz w:val="20"/>
          <w:szCs w:val="20"/>
        </w:rPr>
        <w:t>reinstatement of a blanket ban on prisoner voting</w:t>
      </w:r>
      <w:r>
        <w:rPr>
          <w:sz w:val="20"/>
          <w:szCs w:val="20"/>
        </w:rPr>
        <w:t>—announced 30 April 2025—directly curtails a fundamental right in circumstances long found disproportionate, and will fall most heavily on Māori given their over-representation in prisons; this reverses 2020’s partial restoration and is at odds with CERD’s 2017 recommendations and ICCPR General Comment 25.</w:t>
      </w:r>
      <w:hyperlink r:id="rId8">
        <w:r>
          <w:rPr>
            <w:sz w:val="20"/>
            <w:szCs w:val="20"/>
          </w:rPr>
          <w:t xml:space="preserve"> </w:t>
        </w:r>
      </w:hyperlink>
    </w:p>
    <w:p w14:paraId="3434880D" w14:textId="77777777" w:rsidR="001902DF" w:rsidRDefault="00000000">
      <w:pPr>
        <w:spacing w:before="240" w:after="240" w:line="276" w:lineRule="auto"/>
        <w:rPr>
          <w:sz w:val="20"/>
          <w:szCs w:val="20"/>
        </w:rPr>
      </w:pPr>
      <w:r>
        <w:rPr>
          <w:sz w:val="20"/>
          <w:szCs w:val="20"/>
        </w:rPr>
        <w:t xml:space="preserve">Compounding these trends, the </w:t>
      </w:r>
      <w:r>
        <w:rPr>
          <w:b/>
          <w:sz w:val="20"/>
          <w:szCs w:val="20"/>
        </w:rPr>
        <w:t>Electoral Amendment Bill</w:t>
      </w:r>
      <w:r>
        <w:rPr>
          <w:sz w:val="20"/>
          <w:szCs w:val="20"/>
        </w:rPr>
        <w:t xml:space="preserve"> would end same-day enrollment and require voters to be enrolled 13 days before election day, mandate 12 days of advance voting, tighten “treating” by prohibiting free food/drink/entertainment within 100 m of voting places, and adjust donation-disclosure thresholds. Each change carries disparate-impact risks for Māori: earlier cut-offs disproportionately burden younger, more mobile, and socio-economically </w:t>
      </w:r>
      <w:proofErr w:type="spellStart"/>
      <w:r>
        <w:rPr>
          <w:sz w:val="20"/>
          <w:szCs w:val="20"/>
        </w:rPr>
        <w:t>marginalised</w:t>
      </w:r>
      <w:proofErr w:type="spellEnd"/>
      <w:r>
        <w:rPr>
          <w:sz w:val="20"/>
          <w:szCs w:val="20"/>
        </w:rPr>
        <w:t xml:space="preserve"> voters (groups in which Māori are over-represented), special-vote restrictions reduce avenues commonly used by Māori voters, treating rules may constrain marae-based turnout practices that include communal sharing of food, and the prisoner-ban repeats a discriminatory impairment of political rights. The Attorney-General has warned the package appears inconsistent with the Bill of Rights (s12) and could disenfranchise very large numbers of voters; Ministry of Justice advice describes the 100m treating control as a “blunt tool.”</w:t>
      </w:r>
      <w:hyperlink r:id="rId9">
        <w:r>
          <w:rPr>
            <w:sz w:val="20"/>
            <w:szCs w:val="20"/>
          </w:rPr>
          <w:t xml:space="preserve"> </w:t>
        </w:r>
      </w:hyperlink>
      <w:r>
        <w:rPr>
          <w:sz w:val="20"/>
          <w:szCs w:val="20"/>
        </w:rPr>
        <w:t xml:space="preserve">Taken together with the fast-track and Māori-ward changes, these measures reflect a systematic re-engineering of rules and forums that denies Māori equal and effective participation in public life contrary to CERD Article 5(c). </w:t>
      </w:r>
    </w:p>
    <w:p w14:paraId="5E543349" w14:textId="77777777" w:rsidR="001902DF" w:rsidRDefault="00000000">
      <w:pPr>
        <w:pStyle w:val="Heading1"/>
        <w:spacing w:line="276" w:lineRule="auto"/>
        <w:ind w:left="0"/>
        <w:jc w:val="left"/>
        <w:rPr>
          <w:sz w:val="20"/>
          <w:szCs w:val="20"/>
        </w:rPr>
      </w:pPr>
      <w:bookmarkStart w:id="19" w:name="_heading=h.rswbh8iwurh5" w:colFirst="0" w:colLast="0"/>
      <w:bookmarkEnd w:id="19"/>
      <w:r>
        <w:rPr>
          <w:sz w:val="20"/>
          <w:szCs w:val="20"/>
        </w:rPr>
        <w:t>CESSATION OF RESPONSE TO RECOMMENDATIONS FROM THE ROYAL COMMISSION OF INQUIRY INTO THE MARCH 15TH TERRORIST ATTACK ON CHRISTCHURCH MOSQUES</w:t>
      </w:r>
    </w:p>
    <w:p w14:paraId="5F406C2E" w14:textId="77777777" w:rsidR="001902DF" w:rsidRDefault="00000000">
      <w:pPr>
        <w:spacing w:line="276" w:lineRule="auto"/>
        <w:rPr>
          <w:sz w:val="20"/>
          <w:szCs w:val="20"/>
        </w:rPr>
      </w:pPr>
      <w:r>
        <w:rPr>
          <w:sz w:val="20"/>
          <w:szCs w:val="20"/>
        </w:rPr>
        <w:t xml:space="preserve">On 2nd of August 2025, Minister </w:t>
      </w:r>
      <w:proofErr w:type="spellStart"/>
      <w:r>
        <w:rPr>
          <w:sz w:val="20"/>
          <w:szCs w:val="20"/>
        </w:rPr>
        <w:t>Juditch</w:t>
      </w:r>
      <w:proofErr w:type="spellEnd"/>
      <w:r>
        <w:rPr>
          <w:sz w:val="20"/>
          <w:szCs w:val="20"/>
        </w:rPr>
        <w:t xml:space="preserve"> Collins announced that the government is concluding its response to the recommendations of the </w:t>
      </w:r>
      <w:r>
        <w:rPr>
          <w:color w:val="3F4647"/>
          <w:sz w:val="20"/>
          <w:szCs w:val="20"/>
          <w:highlight w:val="white"/>
        </w:rPr>
        <w:t>Royal Commission of Inquiry into the Terrorist Attack on Christchurch Mosques</w:t>
      </w:r>
      <w:r>
        <w:rPr>
          <w:sz w:val="20"/>
          <w:szCs w:val="20"/>
        </w:rPr>
        <w:t xml:space="preserve">, and that the government would not be fulfilling its prior commitment to adopt all 44 recommendations. The remaining commitments that the government will no longer be adopting include: </w:t>
      </w:r>
    </w:p>
    <w:p w14:paraId="458319CC" w14:textId="77777777" w:rsidR="001902DF" w:rsidRDefault="00000000">
      <w:pPr>
        <w:numPr>
          <w:ilvl w:val="0"/>
          <w:numId w:val="2"/>
        </w:numPr>
        <w:spacing w:after="0" w:line="276" w:lineRule="auto"/>
        <w:rPr>
          <w:sz w:val="20"/>
          <w:szCs w:val="20"/>
        </w:rPr>
      </w:pPr>
      <w:r>
        <w:rPr>
          <w:sz w:val="20"/>
          <w:szCs w:val="20"/>
        </w:rPr>
        <w:t xml:space="preserve">Establish a new national intelligence and security agency. </w:t>
      </w:r>
    </w:p>
    <w:p w14:paraId="51816EF7" w14:textId="77777777" w:rsidR="001902DF" w:rsidRDefault="00000000">
      <w:pPr>
        <w:numPr>
          <w:ilvl w:val="0"/>
          <w:numId w:val="2"/>
        </w:numPr>
        <w:spacing w:before="0" w:after="0" w:line="276" w:lineRule="auto"/>
        <w:rPr>
          <w:sz w:val="20"/>
          <w:szCs w:val="20"/>
        </w:rPr>
      </w:pPr>
      <w:r>
        <w:rPr>
          <w:sz w:val="20"/>
          <w:szCs w:val="20"/>
        </w:rPr>
        <w:t xml:space="preserve">Establish an Advisory Group on </w:t>
      </w:r>
      <w:proofErr w:type="gramStart"/>
      <w:r>
        <w:rPr>
          <w:sz w:val="20"/>
          <w:szCs w:val="20"/>
        </w:rPr>
        <w:t>counter-terrorism</w:t>
      </w:r>
      <w:proofErr w:type="gramEnd"/>
      <w:r>
        <w:rPr>
          <w:sz w:val="20"/>
          <w:szCs w:val="20"/>
        </w:rPr>
        <w:t xml:space="preserve"> via legislation. </w:t>
      </w:r>
    </w:p>
    <w:p w14:paraId="6D8ADAFC" w14:textId="77777777" w:rsidR="001902DF" w:rsidRDefault="00000000">
      <w:pPr>
        <w:numPr>
          <w:ilvl w:val="0"/>
          <w:numId w:val="2"/>
        </w:numPr>
        <w:spacing w:before="0" w:after="0" w:line="276" w:lineRule="auto"/>
        <w:rPr>
          <w:sz w:val="20"/>
          <w:szCs w:val="20"/>
        </w:rPr>
      </w:pPr>
      <w:r>
        <w:rPr>
          <w:sz w:val="20"/>
          <w:szCs w:val="20"/>
        </w:rPr>
        <w:t xml:space="preserve">Include a summary of advice from the Advisory Group from the previous year, and the actions </w:t>
      </w:r>
      <w:proofErr w:type="gramStart"/>
      <w:r>
        <w:rPr>
          <w:sz w:val="20"/>
          <w:szCs w:val="20"/>
        </w:rPr>
        <w:t>taken,</w:t>
      </w:r>
      <w:proofErr w:type="gramEnd"/>
      <w:r>
        <w:rPr>
          <w:sz w:val="20"/>
          <w:szCs w:val="20"/>
        </w:rPr>
        <w:t xml:space="preserve"> in   the annual National Security Intelligence Priorities </w:t>
      </w:r>
      <w:proofErr w:type="spellStart"/>
      <w:r>
        <w:rPr>
          <w:sz w:val="20"/>
          <w:szCs w:val="20"/>
        </w:rPr>
        <w:t>threatscape</w:t>
      </w:r>
      <w:proofErr w:type="spellEnd"/>
      <w:r>
        <w:rPr>
          <w:sz w:val="20"/>
          <w:szCs w:val="20"/>
        </w:rPr>
        <w:t xml:space="preserve"> report. </w:t>
      </w:r>
    </w:p>
    <w:p w14:paraId="02FFECE9" w14:textId="77777777" w:rsidR="001902DF" w:rsidRDefault="00000000">
      <w:pPr>
        <w:numPr>
          <w:ilvl w:val="0"/>
          <w:numId w:val="2"/>
        </w:numPr>
        <w:spacing w:before="0" w:after="0" w:line="276" w:lineRule="auto"/>
        <w:rPr>
          <w:sz w:val="20"/>
          <w:szCs w:val="20"/>
        </w:rPr>
      </w:pPr>
      <w:r>
        <w:rPr>
          <w:sz w:val="20"/>
          <w:szCs w:val="20"/>
        </w:rPr>
        <w:t xml:space="preserve">Develop and promote a system allowing the public to easily and safely report concerning </w:t>
      </w:r>
      <w:proofErr w:type="spellStart"/>
      <w:r>
        <w:rPr>
          <w:sz w:val="20"/>
          <w:szCs w:val="20"/>
        </w:rPr>
        <w:t>behaviours</w:t>
      </w:r>
      <w:proofErr w:type="spellEnd"/>
      <w:r>
        <w:rPr>
          <w:sz w:val="20"/>
          <w:szCs w:val="20"/>
        </w:rPr>
        <w:t xml:space="preserve"> or incidents. </w:t>
      </w:r>
    </w:p>
    <w:p w14:paraId="2F3067C2" w14:textId="77777777" w:rsidR="001902DF" w:rsidRDefault="00000000">
      <w:pPr>
        <w:numPr>
          <w:ilvl w:val="0"/>
          <w:numId w:val="2"/>
        </w:numPr>
        <w:spacing w:before="0" w:after="0" w:line="276" w:lineRule="auto"/>
        <w:rPr>
          <w:sz w:val="20"/>
          <w:szCs w:val="20"/>
        </w:rPr>
      </w:pPr>
      <w:r>
        <w:rPr>
          <w:sz w:val="20"/>
          <w:szCs w:val="20"/>
        </w:rPr>
        <w:t xml:space="preserve">Introduce mandatory reporting of firearms injuries to police by health professionals. </w:t>
      </w:r>
    </w:p>
    <w:p w14:paraId="6F095165" w14:textId="77777777" w:rsidR="001902DF" w:rsidRDefault="00000000">
      <w:pPr>
        <w:numPr>
          <w:ilvl w:val="0"/>
          <w:numId w:val="2"/>
        </w:numPr>
        <w:spacing w:before="0" w:after="0" w:line="276" w:lineRule="auto"/>
        <w:rPr>
          <w:sz w:val="20"/>
          <w:szCs w:val="20"/>
        </w:rPr>
      </w:pPr>
      <w:r>
        <w:rPr>
          <w:sz w:val="20"/>
          <w:szCs w:val="20"/>
        </w:rPr>
        <w:t>Direct DPMC and other relevant agencies to discuss with whānau, survivors and witnesses of the March 15 attack what restorative justice processes might be desired and how these might be designed and resourced.</w:t>
      </w:r>
    </w:p>
    <w:p w14:paraId="53849151" w14:textId="77777777" w:rsidR="001902DF" w:rsidRDefault="00000000">
      <w:pPr>
        <w:numPr>
          <w:ilvl w:val="0"/>
          <w:numId w:val="2"/>
        </w:numPr>
        <w:spacing w:before="0" w:after="0" w:line="276" w:lineRule="auto"/>
        <w:rPr>
          <w:sz w:val="20"/>
          <w:szCs w:val="20"/>
        </w:rPr>
      </w:pPr>
      <w:r>
        <w:rPr>
          <w:sz w:val="20"/>
          <w:szCs w:val="20"/>
        </w:rPr>
        <w:t xml:space="preserve">Repeal section 131 of the Human Rights Act 1993 and insert a provision in the Crimes Act 1961 for an offence of inciting racial or religious disharmony, based on an intent to stir up, maintain or </w:t>
      </w:r>
      <w:proofErr w:type="spellStart"/>
      <w:r>
        <w:rPr>
          <w:sz w:val="20"/>
          <w:szCs w:val="20"/>
        </w:rPr>
        <w:lastRenderedPageBreak/>
        <w:t>normalise</w:t>
      </w:r>
      <w:proofErr w:type="spellEnd"/>
      <w:r>
        <w:rPr>
          <w:sz w:val="20"/>
          <w:szCs w:val="20"/>
        </w:rPr>
        <w:t xml:space="preserve"> hatred, through threatening, abusive, or insulting communications with protected characteristics that include religious affiliation.</w:t>
      </w:r>
    </w:p>
    <w:p w14:paraId="1FC7B38F" w14:textId="77777777" w:rsidR="001902DF" w:rsidRDefault="00000000">
      <w:pPr>
        <w:numPr>
          <w:ilvl w:val="0"/>
          <w:numId w:val="2"/>
        </w:numPr>
        <w:spacing w:before="0" w:line="276" w:lineRule="auto"/>
        <w:rPr>
          <w:sz w:val="20"/>
          <w:szCs w:val="20"/>
        </w:rPr>
      </w:pPr>
      <w:r>
        <w:rPr>
          <w:sz w:val="20"/>
          <w:szCs w:val="20"/>
        </w:rPr>
        <w:t>Amend the definition of “objectionable” in section 3 of the Films, Videos, and Publications Classification Act 1993 to include racial superiority, racial hatred and racial discrimination.</w:t>
      </w:r>
    </w:p>
    <w:p w14:paraId="4B403457" w14:textId="77777777" w:rsidR="001902DF" w:rsidRDefault="00000000">
      <w:pPr>
        <w:spacing w:line="276" w:lineRule="auto"/>
        <w:rPr>
          <w:sz w:val="20"/>
          <w:szCs w:val="20"/>
        </w:rPr>
      </w:pPr>
      <w:r>
        <w:rPr>
          <w:sz w:val="20"/>
          <w:szCs w:val="20"/>
        </w:rPr>
        <w:t xml:space="preserve">Survivors and members of the Muslim community have expressed feelings of abandonment and </w:t>
      </w:r>
      <w:proofErr w:type="gramStart"/>
      <w:r>
        <w:rPr>
          <w:sz w:val="20"/>
          <w:szCs w:val="20"/>
        </w:rPr>
        <w:t>frustration</w:t>
      </w:r>
      <w:r>
        <w:rPr>
          <w:sz w:val="20"/>
          <w:szCs w:val="20"/>
          <w:vertAlign w:val="superscript"/>
        </w:rPr>
        <w:t>(</w:t>
      </w:r>
      <w:proofErr w:type="gramEnd"/>
      <w:r>
        <w:rPr>
          <w:sz w:val="20"/>
          <w:szCs w:val="20"/>
          <w:vertAlign w:val="superscript"/>
        </w:rPr>
        <w:t>30)</w:t>
      </w:r>
      <w:r>
        <w:rPr>
          <w:sz w:val="20"/>
          <w:szCs w:val="20"/>
        </w:rPr>
        <w:t xml:space="preserve">. The government’s actions, or lack thereof, have not only undermined trust in the government's commitment to addressing the root causes of the attack but have also perpetuated a sense of vulnerability among Muslim communities in New Zealand in the face of rising </w:t>
      </w:r>
      <w:proofErr w:type="spellStart"/>
      <w:r>
        <w:rPr>
          <w:sz w:val="20"/>
          <w:szCs w:val="20"/>
        </w:rPr>
        <w:t>racialised</w:t>
      </w:r>
      <w:proofErr w:type="spellEnd"/>
      <w:r>
        <w:rPr>
          <w:sz w:val="20"/>
          <w:szCs w:val="20"/>
        </w:rPr>
        <w:t xml:space="preserve"> tensions. We further echo the stated concerns of the Muslim community that the Minister has cancelled the only two recommendations that were for Muslims (Restorative Justice and Wrap-Around One-Stop Service) out of the 44 recommendations. Compounding matters further, the government has also embarked upon a rollback of post-Christchurch safeguards and gun reforms. The tight timeframes within which these were pushed through, in addition to the lack of transparent, inclusive consultation processes have led to fears that these changes compromise the safety and trust of communities most affected by gun violence.</w:t>
      </w:r>
    </w:p>
    <w:p w14:paraId="7924BAB4" w14:textId="77777777" w:rsidR="001902DF" w:rsidRDefault="00000000">
      <w:pPr>
        <w:spacing w:line="276" w:lineRule="auto"/>
        <w:rPr>
          <w:sz w:val="20"/>
          <w:szCs w:val="20"/>
        </w:rPr>
      </w:pPr>
      <w:r>
        <w:rPr>
          <w:sz w:val="20"/>
          <w:szCs w:val="20"/>
        </w:rPr>
        <w:t xml:space="preserve">This sense of vulnerability has been tragically underscored by the recent revelation of an intended knife </w:t>
      </w:r>
      <w:proofErr w:type="gramStart"/>
      <w:r>
        <w:rPr>
          <w:sz w:val="20"/>
          <w:szCs w:val="20"/>
        </w:rPr>
        <w:t>attack</w:t>
      </w:r>
      <w:r>
        <w:rPr>
          <w:sz w:val="20"/>
          <w:szCs w:val="20"/>
          <w:vertAlign w:val="superscript"/>
        </w:rPr>
        <w:t>(</w:t>
      </w:r>
      <w:proofErr w:type="gramEnd"/>
      <w:r>
        <w:rPr>
          <w:sz w:val="20"/>
          <w:szCs w:val="20"/>
          <w:vertAlign w:val="superscript"/>
        </w:rPr>
        <w:t>31)</w:t>
      </w:r>
      <w:r>
        <w:rPr>
          <w:sz w:val="20"/>
          <w:szCs w:val="20"/>
        </w:rPr>
        <w:t xml:space="preserve"> targeting a mosque in Hawke’s Bay, which was narrowly averted following a tip-off to New Zealand Police. The muted public and political response to this incident stands in stark contrast to the gravity of the threat. We join the Federation of Islamic Associations of New Zealand (FIANZ) in condemning the attack and echoing their call for urgent, systemic action to address white supremacist and Islamophobic threats in Aotearoa. As FIANZ </w:t>
      </w:r>
      <w:proofErr w:type="gramStart"/>
      <w:r>
        <w:rPr>
          <w:sz w:val="20"/>
          <w:szCs w:val="20"/>
        </w:rPr>
        <w:t>stated</w:t>
      </w:r>
      <w:r>
        <w:rPr>
          <w:sz w:val="20"/>
          <w:szCs w:val="20"/>
          <w:vertAlign w:val="superscript"/>
        </w:rPr>
        <w:t>(</w:t>
      </w:r>
      <w:proofErr w:type="gramEnd"/>
      <w:r>
        <w:rPr>
          <w:sz w:val="20"/>
          <w:szCs w:val="20"/>
          <w:vertAlign w:val="superscript"/>
        </w:rPr>
        <w:t>32)</w:t>
      </w:r>
      <w:r>
        <w:rPr>
          <w:sz w:val="20"/>
          <w:szCs w:val="20"/>
        </w:rPr>
        <w:t>, Muslim communities continue to face escalating dangers while the Crown retreats from the Royal Commission’s recommendations, leaving critical gaps in national security and community protection. This incident highlights both the ongoing risks faced by Muslim communities and the consequences of government inaction in addressing racially motivated violence.</w:t>
      </w:r>
    </w:p>
    <w:p w14:paraId="111B8813" w14:textId="77777777" w:rsidR="001902DF" w:rsidRDefault="00000000">
      <w:pPr>
        <w:spacing w:line="276" w:lineRule="auto"/>
        <w:rPr>
          <w:sz w:val="20"/>
          <w:szCs w:val="20"/>
        </w:rPr>
      </w:pPr>
      <w:r>
        <w:rPr>
          <w:sz w:val="20"/>
          <w:szCs w:val="20"/>
        </w:rPr>
        <w:t xml:space="preserve">In October 2024, the government announced that they would be defunding the Whenua </w:t>
      </w:r>
      <w:proofErr w:type="spellStart"/>
      <w:r>
        <w:rPr>
          <w:sz w:val="20"/>
          <w:szCs w:val="20"/>
        </w:rPr>
        <w:t>Taurikura</w:t>
      </w:r>
      <w:proofErr w:type="spellEnd"/>
      <w:r>
        <w:rPr>
          <w:sz w:val="20"/>
          <w:szCs w:val="20"/>
        </w:rPr>
        <w:t xml:space="preserve"> - a national center of research excellence dedicated to countering and preventing terrorism and violent extremism in </w:t>
      </w:r>
      <w:proofErr w:type="gramStart"/>
      <w:r>
        <w:rPr>
          <w:sz w:val="20"/>
          <w:szCs w:val="20"/>
        </w:rPr>
        <w:t>Aotearoa New Zealand, and</w:t>
      </w:r>
      <w:proofErr w:type="gramEnd"/>
      <w:r>
        <w:rPr>
          <w:sz w:val="20"/>
          <w:szCs w:val="20"/>
        </w:rPr>
        <w:t xml:space="preserve"> established in response to the March 15 attacks. This has raised major concerns for the ability of the government to access Aotearoa-specific research on the nature of extreme violence and </w:t>
      </w:r>
      <w:proofErr w:type="gramStart"/>
      <w:r>
        <w:rPr>
          <w:sz w:val="20"/>
          <w:szCs w:val="20"/>
        </w:rPr>
        <w:t>terrorism, and</w:t>
      </w:r>
      <w:proofErr w:type="gramEnd"/>
      <w:r>
        <w:rPr>
          <w:sz w:val="20"/>
          <w:szCs w:val="20"/>
        </w:rPr>
        <w:t xml:space="preserve"> has exacerbated the sense of insecurity for those at the highest risk of extreme violence.</w:t>
      </w:r>
    </w:p>
    <w:p w14:paraId="683FFDF7" w14:textId="77777777" w:rsidR="001902DF" w:rsidRDefault="00000000">
      <w:pPr>
        <w:spacing w:line="276" w:lineRule="auto"/>
        <w:rPr>
          <w:sz w:val="20"/>
          <w:szCs w:val="20"/>
        </w:rPr>
      </w:pPr>
      <w:r>
        <w:rPr>
          <w:sz w:val="20"/>
          <w:szCs w:val="20"/>
        </w:rPr>
        <w:t xml:space="preserve">The NICF strongly submits that the Muslim community in Aotearoa must be centered and listened to, and prior commitments to adopt all 44 recommendations must be met, in collaboration with the Muslim community and iwi Māori as the Treaty partner. It is an affront to our role as the Treaty partner and customary custodians of Aotearoa that the security of </w:t>
      </w:r>
      <w:proofErr w:type="spellStart"/>
      <w:r>
        <w:rPr>
          <w:sz w:val="20"/>
          <w:szCs w:val="20"/>
        </w:rPr>
        <w:t>marginalised</w:t>
      </w:r>
      <w:proofErr w:type="spellEnd"/>
      <w:r>
        <w:rPr>
          <w:sz w:val="20"/>
          <w:szCs w:val="20"/>
        </w:rPr>
        <w:t xml:space="preserve"> groups is being compromised through government actions and inaction. We note </w:t>
      </w:r>
      <w:proofErr w:type="gramStart"/>
      <w:r>
        <w:rPr>
          <w:sz w:val="20"/>
          <w:szCs w:val="20"/>
        </w:rPr>
        <w:t>in particular that</w:t>
      </w:r>
      <w:proofErr w:type="gramEnd"/>
      <w:r>
        <w:rPr>
          <w:sz w:val="20"/>
          <w:szCs w:val="20"/>
        </w:rPr>
        <w:t xml:space="preserve"> the rationale for abandoning recommendations 40 and 41 stem from commitments made through the coalition agreement to abandon all work on hate speech legislation, a further contravention of recommendations made by the CERD committee. </w:t>
      </w:r>
    </w:p>
    <w:p w14:paraId="79FEEE5A" w14:textId="77777777" w:rsidR="001902DF" w:rsidRDefault="00000000">
      <w:pPr>
        <w:pStyle w:val="Heading1"/>
        <w:spacing w:line="276" w:lineRule="auto"/>
      </w:pPr>
      <w:bookmarkStart w:id="20" w:name="_heading=h.bayx6o8zqsvw" w:colFirst="0" w:colLast="0"/>
      <w:bookmarkEnd w:id="20"/>
      <w:r>
        <w:rPr>
          <w:sz w:val="20"/>
          <w:szCs w:val="20"/>
        </w:rPr>
        <w:t>PALESTINE</w:t>
      </w:r>
    </w:p>
    <w:p w14:paraId="440AFC0A" w14:textId="77777777" w:rsidR="001902DF" w:rsidRDefault="00000000">
      <w:pPr>
        <w:spacing w:line="276" w:lineRule="auto"/>
        <w:rPr>
          <w:sz w:val="20"/>
          <w:szCs w:val="20"/>
        </w:rPr>
      </w:pPr>
      <w:r>
        <w:rPr>
          <w:sz w:val="20"/>
          <w:szCs w:val="20"/>
        </w:rPr>
        <w:t>CERD’s Early Warning/Urgent Action decisions on Israel/Palestine expressly address “all States” and require due-diligence measures, including “ceasing any military assistance if there is a clear risk” it could be used in violation of international law.</w:t>
      </w:r>
      <w:r>
        <w:rPr>
          <w:sz w:val="20"/>
          <w:szCs w:val="20"/>
          <w:vertAlign w:val="superscript"/>
        </w:rPr>
        <w:t xml:space="preserve">(33) </w:t>
      </w:r>
      <w:r>
        <w:rPr>
          <w:sz w:val="20"/>
          <w:szCs w:val="20"/>
        </w:rPr>
        <w:t>This sits alongside General Recommendation 19 (States must prevent, prohibit and eradicate apartheid/segregation)</w:t>
      </w:r>
      <w:r>
        <w:rPr>
          <w:sz w:val="20"/>
          <w:szCs w:val="20"/>
          <w:vertAlign w:val="superscript"/>
        </w:rPr>
        <w:t xml:space="preserve">(34) </w:t>
      </w:r>
      <w:r>
        <w:rPr>
          <w:sz w:val="20"/>
          <w:szCs w:val="20"/>
        </w:rPr>
        <w:t>and the International Court of Justice’s 19 Jul 2024 Advisory Opinion,</w:t>
      </w:r>
      <w:r>
        <w:rPr>
          <w:sz w:val="20"/>
          <w:szCs w:val="20"/>
          <w:vertAlign w:val="superscript"/>
        </w:rPr>
        <w:t>(35)</w:t>
      </w:r>
      <w:r>
        <w:rPr>
          <w:sz w:val="20"/>
          <w:szCs w:val="20"/>
        </w:rPr>
        <w:t xml:space="preserve"> which relied on CERD Art. 3 and reminded all States not to recognize, aid or assist the unlawful situation. While the Crown Government has taken some steps (West Bank settler travel bans; sanctions on two Israeli ministers; UN votes endorsing the ICJ opinion; continued humanitarian and UNRWA support), it has not adopted a presumption of denial for military-relevant exports to Israel nor imposed broader measures commensurate with CERD’s EWUA standard for all States. Concurrently, there have been continued concerns expressed over the use of Aotearoa-located rocket launch sites for the purposes of aiding Israeli </w:t>
      </w:r>
      <w:proofErr w:type="spellStart"/>
      <w:r>
        <w:rPr>
          <w:sz w:val="20"/>
          <w:szCs w:val="20"/>
        </w:rPr>
        <w:lastRenderedPageBreak/>
        <w:t>Defence</w:t>
      </w:r>
      <w:proofErr w:type="spellEnd"/>
      <w:r>
        <w:rPr>
          <w:sz w:val="20"/>
          <w:szCs w:val="20"/>
        </w:rPr>
        <w:t xml:space="preserve"> Forces.</w:t>
      </w:r>
      <w:r>
        <w:rPr>
          <w:sz w:val="20"/>
          <w:szCs w:val="20"/>
          <w:vertAlign w:val="superscript"/>
        </w:rPr>
        <w:t>(36,37)</w:t>
      </w:r>
      <w:r>
        <w:rPr>
          <w:sz w:val="20"/>
          <w:szCs w:val="20"/>
        </w:rPr>
        <w:t xml:space="preserve"> In September 2025, Minister for Foreign Affairs, Hon. Winston Peters MP confirmed that the New Zealand Crown Government does not </w:t>
      </w:r>
      <w:proofErr w:type="spellStart"/>
      <w:r>
        <w:rPr>
          <w:sz w:val="20"/>
          <w:szCs w:val="20"/>
        </w:rPr>
        <w:t>recognise</w:t>
      </w:r>
      <w:proofErr w:type="spellEnd"/>
      <w:r>
        <w:rPr>
          <w:sz w:val="20"/>
          <w:szCs w:val="20"/>
        </w:rPr>
        <w:t xml:space="preserve"> Palestinian statehood.</w:t>
      </w:r>
      <w:r>
        <w:rPr>
          <w:sz w:val="20"/>
          <w:szCs w:val="20"/>
          <w:vertAlign w:val="superscript"/>
        </w:rPr>
        <w:t>(38)</w:t>
      </w:r>
      <w:r>
        <w:rPr>
          <w:sz w:val="20"/>
          <w:szCs w:val="20"/>
        </w:rPr>
        <w:t xml:space="preserve"> The recognition of statehood provides an important lever of accountability within international systems which could prevent state violence by Israel, and has been </w:t>
      </w:r>
      <w:proofErr w:type="spellStart"/>
      <w:r>
        <w:rPr>
          <w:sz w:val="20"/>
          <w:szCs w:val="20"/>
        </w:rPr>
        <w:t>recognised</w:t>
      </w:r>
      <w:proofErr w:type="spellEnd"/>
      <w:r>
        <w:rPr>
          <w:sz w:val="20"/>
          <w:szCs w:val="20"/>
        </w:rPr>
        <w:t xml:space="preserve"> by the United Nations as being a crucial step for securing peace and stability.</w:t>
      </w:r>
      <w:r>
        <w:rPr>
          <w:sz w:val="20"/>
          <w:szCs w:val="20"/>
          <w:vertAlign w:val="superscript"/>
        </w:rPr>
        <w:t>(39)</w:t>
      </w:r>
    </w:p>
    <w:p w14:paraId="7473E385" w14:textId="77777777" w:rsidR="001902DF" w:rsidRDefault="00000000">
      <w:pPr>
        <w:spacing w:line="276" w:lineRule="auto"/>
        <w:rPr>
          <w:sz w:val="20"/>
          <w:szCs w:val="20"/>
        </w:rPr>
      </w:pPr>
      <w:r>
        <w:rPr>
          <w:sz w:val="20"/>
          <w:szCs w:val="20"/>
        </w:rPr>
        <w:t>It is the NICF position that the limited scope of sanctions upon Israel; the failure to announce an Israel-specific embargo on all arms and activities that support the Israeli military; and the failure to acknowledge Palestinian statehood collectively fall short of duties under ICERD arts. 2(1)(b) and 3 to avoid aiding serious racial discrimination and to act to prevent/eradicate segregation/apartheid in situations beyond its borders, as well as the more recent recommendations to cease military assistance that poses a risk of being used in violation of international law.</w:t>
      </w:r>
    </w:p>
    <w:p w14:paraId="1CEC67FE" w14:textId="77777777" w:rsidR="001902DF" w:rsidRDefault="00000000">
      <w:pPr>
        <w:spacing w:line="276" w:lineRule="auto"/>
        <w:rPr>
          <w:sz w:val="20"/>
          <w:szCs w:val="20"/>
        </w:rPr>
      </w:pPr>
      <w:r>
        <w:rPr>
          <w:sz w:val="20"/>
          <w:szCs w:val="20"/>
        </w:rPr>
        <w:t>Further, the lack of acknowledgement, action and clear condemnation from the Crown government towards Israel’s acts as extreme colonial violence, in the face of significantly stronger stands by the majority of the member state community, risks communicating tacit support for colonial violence, contributing further to the emboldening of ideologies of colonial and white supremacist violence towards Palestinian, Arab, Muslim and Māori communities in Aotearoa.</w:t>
      </w:r>
    </w:p>
    <w:p w14:paraId="345E4CB9" w14:textId="77777777" w:rsidR="001902DF" w:rsidRDefault="00000000">
      <w:pPr>
        <w:pStyle w:val="Heading1"/>
        <w:spacing w:line="276" w:lineRule="auto"/>
        <w:jc w:val="left"/>
        <w:rPr>
          <w:sz w:val="20"/>
          <w:szCs w:val="20"/>
        </w:rPr>
      </w:pPr>
      <w:bookmarkStart w:id="21" w:name="_heading=h.4mnh5ydkx0bc" w:colFirst="0" w:colLast="0"/>
      <w:bookmarkEnd w:id="21"/>
      <w:r>
        <w:rPr>
          <w:sz w:val="20"/>
          <w:szCs w:val="20"/>
        </w:rPr>
        <w:t>RACIALISED ENVIRONMENTAL LEGISLATION</w:t>
      </w:r>
    </w:p>
    <w:p w14:paraId="20B219B2" w14:textId="77777777" w:rsidR="001902DF" w:rsidRDefault="00000000">
      <w:pPr>
        <w:spacing w:line="276" w:lineRule="auto"/>
        <w:rPr>
          <w:sz w:val="20"/>
          <w:szCs w:val="20"/>
        </w:rPr>
      </w:pPr>
      <w:r>
        <w:rPr>
          <w:sz w:val="20"/>
          <w:szCs w:val="20"/>
        </w:rPr>
        <w:t xml:space="preserve">Across the environmental sector, the Crown is re-engineering standards and processes in ways that foreseeably diminish Māori authority, voice and environmental protections, producing racially disparate burdens and contravening Te </w:t>
      </w:r>
      <w:proofErr w:type="spellStart"/>
      <w:r>
        <w:rPr>
          <w:sz w:val="20"/>
          <w:szCs w:val="20"/>
        </w:rPr>
        <w:t>Tiriti</w:t>
      </w:r>
      <w:proofErr w:type="spellEnd"/>
      <w:r>
        <w:rPr>
          <w:sz w:val="20"/>
          <w:szCs w:val="20"/>
        </w:rPr>
        <w:t xml:space="preserve"> obligations and CERD Article 5(c) (equal participation in public life).</w:t>
      </w:r>
    </w:p>
    <w:p w14:paraId="6B9075E3" w14:textId="77777777" w:rsidR="001902DF" w:rsidRDefault="00000000">
      <w:pPr>
        <w:pStyle w:val="Heading2"/>
        <w:spacing w:line="276" w:lineRule="auto"/>
        <w:ind w:left="0" w:firstLine="0"/>
        <w:rPr>
          <w:sz w:val="20"/>
          <w:szCs w:val="20"/>
        </w:rPr>
      </w:pPr>
      <w:bookmarkStart w:id="22" w:name="_heading=h.uwkykploflt1" w:colFirst="0" w:colLast="0"/>
      <w:bookmarkEnd w:id="22"/>
      <w:r>
        <w:rPr>
          <w:sz w:val="20"/>
          <w:szCs w:val="20"/>
        </w:rPr>
        <w:t xml:space="preserve">Marine and Coastal Area Amendment Bill (MACA) </w:t>
      </w:r>
    </w:p>
    <w:p w14:paraId="20077675" w14:textId="77777777" w:rsidR="001902DF" w:rsidRDefault="00000000">
      <w:pPr>
        <w:spacing w:line="276" w:lineRule="auto"/>
        <w:rPr>
          <w:sz w:val="20"/>
          <w:szCs w:val="20"/>
        </w:rPr>
      </w:pPr>
      <w:r>
        <w:rPr>
          <w:sz w:val="20"/>
          <w:szCs w:val="20"/>
        </w:rPr>
        <w:t xml:space="preserve">The Bill, introduced in September 2024, would substantially raise the threshold for customary marine title (e.g., proof of “exclusive use and occupation” across the whole period) that was established through the Court of Appeal in 2011.  Parts of the change will apply retrospectively, forcing re-hearings and disruption that would create legal and financial burdens specifically for Māori communities. The Crown government consulted with commercial fishing interests but not with Māori as the treaty partner. The Waitangi Tribunal’s urgent inquiry found the policy breached partnership, </w:t>
      </w:r>
      <w:proofErr w:type="spellStart"/>
      <w:r>
        <w:rPr>
          <w:sz w:val="20"/>
          <w:szCs w:val="20"/>
        </w:rPr>
        <w:t>tino</w:t>
      </w:r>
      <w:proofErr w:type="spellEnd"/>
      <w:r>
        <w:rPr>
          <w:sz w:val="20"/>
          <w:szCs w:val="20"/>
        </w:rPr>
        <w:t xml:space="preserve"> rangatiratanga, active protection and good-government duties, including for lack of consultation and retrospective effects. The Bill passed its second reading on 9 October 2025. It has been described by Māori leaders as a major act of </w:t>
      </w:r>
      <w:proofErr w:type="spellStart"/>
      <w:r>
        <w:rPr>
          <w:i/>
          <w:sz w:val="20"/>
          <w:szCs w:val="20"/>
        </w:rPr>
        <w:t>raupatu</w:t>
      </w:r>
      <w:proofErr w:type="spellEnd"/>
      <w:r>
        <w:rPr>
          <w:sz w:val="20"/>
          <w:szCs w:val="20"/>
        </w:rPr>
        <w:t xml:space="preserve"> (territorial confiscation</w:t>
      </w:r>
      <w:proofErr w:type="gramStart"/>
      <w:r>
        <w:rPr>
          <w:sz w:val="20"/>
          <w:szCs w:val="20"/>
        </w:rPr>
        <w:t>), and</w:t>
      </w:r>
      <w:proofErr w:type="gramEnd"/>
      <w:r>
        <w:rPr>
          <w:sz w:val="20"/>
          <w:szCs w:val="20"/>
        </w:rPr>
        <w:t xml:space="preserve"> continues a long history of the Crown government legislating over the top of established court findings which were protective of Māori proprietary interests (particularly in relation to the foreshore and seabed) and treaty obligations.</w:t>
      </w:r>
    </w:p>
    <w:p w14:paraId="59583D0B" w14:textId="77777777" w:rsidR="001902DF" w:rsidRDefault="00000000">
      <w:pPr>
        <w:pStyle w:val="Heading2"/>
        <w:spacing w:line="276" w:lineRule="auto"/>
        <w:ind w:left="0" w:firstLine="0"/>
        <w:rPr>
          <w:sz w:val="20"/>
          <w:szCs w:val="20"/>
        </w:rPr>
      </w:pPr>
      <w:bookmarkStart w:id="23" w:name="_heading=h.hssm3r2gk2x" w:colFirst="0" w:colLast="0"/>
      <w:bookmarkEnd w:id="23"/>
      <w:r>
        <w:rPr>
          <w:sz w:val="20"/>
          <w:szCs w:val="20"/>
        </w:rPr>
        <w:t xml:space="preserve">Resource Management Changes  </w:t>
      </w:r>
    </w:p>
    <w:p w14:paraId="292AC755" w14:textId="77777777" w:rsidR="001902DF" w:rsidRDefault="00000000">
      <w:pPr>
        <w:spacing w:line="276" w:lineRule="auto"/>
        <w:rPr>
          <w:sz w:val="20"/>
          <w:szCs w:val="20"/>
        </w:rPr>
      </w:pPr>
      <w:r>
        <w:rPr>
          <w:sz w:val="20"/>
          <w:szCs w:val="20"/>
        </w:rPr>
        <w:t xml:space="preserve">In 2024, the Resource Management (Freshwater and Other Matters) Amendment Act excluded key Te Mana o </w:t>
      </w:r>
      <w:proofErr w:type="spellStart"/>
      <w:r>
        <w:rPr>
          <w:sz w:val="20"/>
          <w:szCs w:val="20"/>
        </w:rPr>
        <w:t>te</w:t>
      </w:r>
      <w:proofErr w:type="spellEnd"/>
      <w:r>
        <w:rPr>
          <w:sz w:val="20"/>
          <w:szCs w:val="20"/>
        </w:rPr>
        <w:t xml:space="preserve"> Wai hierarchy provisions from consent decision-making (while leaving the concept in plans), weakening freshwater protections co-developed with iwi and undermining </w:t>
      </w:r>
      <w:proofErr w:type="spellStart"/>
      <w:r>
        <w:rPr>
          <w:sz w:val="20"/>
          <w:szCs w:val="20"/>
        </w:rPr>
        <w:t>mahinga</w:t>
      </w:r>
      <w:proofErr w:type="spellEnd"/>
      <w:r>
        <w:rPr>
          <w:sz w:val="20"/>
          <w:szCs w:val="20"/>
        </w:rPr>
        <w:t xml:space="preserve"> kai and health-related rights. In 2025, the Resource Management (Consenting and Other System Changes) Amendment Bill advanced through committee with significant late amendments; debate recorded concerns that new section-70 settings could allow permitted discharges that worsen water quality (e.g., conspicuous clarity changes, water unfit for stock), entrenching environmental inequities for Māori communities already disproportionately affected by degraded waterways. </w:t>
      </w:r>
    </w:p>
    <w:p w14:paraId="692DD6C7" w14:textId="77777777" w:rsidR="001902DF" w:rsidRDefault="00000000">
      <w:pPr>
        <w:pStyle w:val="Heading2"/>
        <w:spacing w:line="276" w:lineRule="auto"/>
        <w:ind w:left="0" w:firstLine="0"/>
        <w:rPr>
          <w:sz w:val="20"/>
          <w:szCs w:val="20"/>
        </w:rPr>
      </w:pPr>
      <w:bookmarkStart w:id="24" w:name="_heading=h.30asa3bdon3t" w:colFirst="0" w:colLast="0"/>
      <w:bookmarkEnd w:id="24"/>
      <w:r>
        <w:rPr>
          <w:sz w:val="20"/>
          <w:szCs w:val="20"/>
        </w:rPr>
        <w:t xml:space="preserve">Crown Minerals </w:t>
      </w:r>
    </w:p>
    <w:p w14:paraId="1E957466" w14:textId="77777777" w:rsidR="001902DF" w:rsidRDefault="00000000">
      <w:pPr>
        <w:spacing w:line="276" w:lineRule="auto"/>
        <w:rPr>
          <w:sz w:val="20"/>
          <w:szCs w:val="20"/>
        </w:rPr>
      </w:pPr>
      <w:r>
        <w:rPr>
          <w:sz w:val="20"/>
          <w:szCs w:val="20"/>
        </w:rPr>
        <w:t xml:space="preserve">Parliament enacted the Crown Minerals Amendment Act 2025 (5 Aug 2025), reversing the 2018 ban on new offshore oil and gas exploration and changing the purpose back to “promote prospecting, exploration and </w:t>
      </w:r>
      <w:r>
        <w:rPr>
          <w:sz w:val="20"/>
          <w:szCs w:val="20"/>
        </w:rPr>
        <w:lastRenderedPageBreak/>
        <w:t>mining,” alongside a more flexible (</w:t>
      </w:r>
      <w:proofErr w:type="gramStart"/>
      <w:r>
        <w:rPr>
          <w:sz w:val="20"/>
          <w:szCs w:val="20"/>
        </w:rPr>
        <w:t>ministerial-discretion</w:t>
      </w:r>
      <w:proofErr w:type="gramEnd"/>
      <w:r>
        <w:rPr>
          <w:sz w:val="20"/>
          <w:szCs w:val="20"/>
        </w:rPr>
        <w:t>) decommissioning</w:t>
      </w:r>
      <w:proofErr w:type="gramStart"/>
      <w:r>
        <w:rPr>
          <w:sz w:val="20"/>
          <w:szCs w:val="20"/>
        </w:rPr>
        <w:t>/“</w:t>
      </w:r>
      <w:proofErr w:type="gramEnd"/>
      <w:r>
        <w:rPr>
          <w:sz w:val="20"/>
          <w:szCs w:val="20"/>
        </w:rPr>
        <w:t xml:space="preserve">trailing liability” regime. These shifts predictably heighten climate and marine risks borne disproportionately by Māori and Pacific communities, and were advanced without guarantees of free, prior and informed consent. </w:t>
      </w:r>
    </w:p>
    <w:p w14:paraId="669F3A4E" w14:textId="77777777" w:rsidR="001902DF" w:rsidRDefault="00000000">
      <w:pPr>
        <w:pStyle w:val="Heading2"/>
        <w:spacing w:line="276" w:lineRule="auto"/>
        <w:ind w:left="0" w:firstLine="0"/>
        <w:rPr>
          <w:sz w:val="20"/>
          <w:szCs w:val="20"/>
        </w:rPr>
      </w:pPr>
      <w:bookmarkStart w:id="25" w:name="_heading=h.n3ued8f6msap" w:colFirst="0" w:colLast="0"/>
      <w:bookmarkEnd w:id="25"/>
      <w:r>
        <w:rPr>
          <w:sz w:val="20"/>
          <w:szCs w:val="20"/>
        </w:rPr>
        <w:t xml:space="preserve">Fast-Track Approvals </w:t>
      </w:r>
    </w:p>
    <w:p w14:paraId="058CA698" w14:textId="77777777" w:rsidR="001902DF" w:rsidRDefault="00000000">
      <w:pPr>
        <w:spacing w:line="276" w:lineRule="auto"/>
        <w:rPr>
          <w:sz w:val="20"/>
          <w:szCs w:val="20"/>
        </w:rPr>
      </w:pPr>
      <w:r>
        <w:rPr>
          <w:sz w:val="20"/>
          <w:szCs w:val="20"/>
        </w:rPr>
        <w:t xml:space="preserve">The Fast-Track regime </w:t>
      </w:r>
      <w:proofErr w:type="spellStart"/>
      <w:r>
        <w:rPr>
          <w:sz w:val="20"/>
          <w:szCs w:val="20"/>
        </w:rPr>
        <w:t>centralises</w:t>
      </w:r>
      <w:proofErr w:type="spellEnd"/>
      <w:r>
        <w:rPr>
          <w:sz w:val="20"/>
          <w:szCs w:val="20"/>
        </w:rPr>
        <w:t xml:space="preserve"> decisions, compresses timeframes and can revive projects with significant effects on taonga species, wāhi </w:t>
      </w:r>
      <w:proofErr w:type="spellStart"/>
      <w:r>
        <w:rPr>
          <w:sz w:val="20"/>
          <w:szCs w:val="20"/>
        </w:rPr>
        <w:t>tapu</w:t>
      </w:r>
      <w:proofErr w:type="spellEnd"/>
      <w:r>
        <w:rPr>
          <w:sz w:val="20"/>
          <w:szCs w:val="20"/>
        </w:rPr>
        <w:t xml:space="preserve"> and customary fisheries, curtailing effective Māori participation. A current example is the </w:t>
      </w:r>
      <w:proofErr w:type="spellStart"/>
      <w:r>
        <w:rPr>
          <w:sz w:val="20"/>
          <w:szCs w:val="20"/>
        </w:rPr>
        <w:t>Waipiro</w:t>
      </w:r>
      <w:proofErr w:type="spellEnd"/>
      <w:r>
        <w:rPr>
          <w:sz w:val="20"/>
          <w:szCs w:val="20"/>
        </w:rPr>
        <w:t xml:space="preserve"> Bay Marina (Bay of Islands): on 4 Aug 2025 the Minister accepted referral of a 250-berth commercial marina (with dredging, reclamation, fuels, hospitality), sending it to a panel under the Fast-Track Approvals Act 2024. While some iwi/hapū engagement steps are directed, the pathway still bypasses ordinary RMA checks and lengthier consultation, intensifying distributional and cultural risks for </w:t>
      </w:r>
      <w:proofErr w:type="spellStart"/>
      <w:r>
        <w:rPr>
          <w:sz w:val="20"/>
          <w:szCs w:val="20"/>
        </w:rPr>
        <w:t>tangata</w:t>
      </w:r>
      <w:proofErr w:type="spellEnd"/>
      <w:r>
        <w:rPr>
          <w:sz w:val="20"/>
          <w:szCs w:val="20"/>
        </w:rPr>
        <w:t xml:space="preserve"> whenua. </w:t>
      </w:r>
    </w:p>
    <w:p w14:paraId="7FDFCA0A" w14:textId="77777777" w:rsidR="001902DF" w:rsidRDefault="00000000">
      <w:pPr>
        <w:pStyle w:val="Heading1"/>
        <w:spacing w:line="276" w:lineRule="auto"/>
        <w:rPr>
          <w:sz w:val="20"/>
          <w:szCs w:val="20"/>
        </w:rPr>
      </w:pPr>
      <w:bookmarkStart w:id="26" w:name="_heading=h.j7v5u4azx1sr" w:colFirst="0" w:colLast="0"/>
      <w:bookmarkEnd w:id="26"/>
      <w:r>
        <w:rPr>
          <w:sz w:val="20"/>
          <w:szCs w:val="20"/>
        </w:rPr>
        <w:t>EDUCATION AND RESEARCH</w:t>
      </w:r>
    </w:p>
    <w:p w14:paraId="4756E402" w14:textId="77777777" w:rsidR="001902DF" w:rsidRDefault="00000000">
      <w:pPr>
        <w:pStyle w:val="Heading2"/>
        <w:spacing w:line="276" w:lineRule="auto"/>
      </w:pPr>
      <w:bookmarkStart w:id="27" w:name="_heading=h.2ywm4v4juoq0" w:colFirst="0" w:colLast="0"/>
      <w:bookmarkEnd w:id="27"/>
      <w:r>
        <w:rPr>
          <w:sz w:val="20"/>
          <w:szCs w:val="20"/>
        </w:rPr>
        <w:t xml:space="preserve">Te Reo Māori, Mātauranga Māori and Te </w:t>
      </w:r>
      <w:proofErr w:type="spellStart"/>
      <w:r>
        <w:rPr>
          <w:sz w:val="20"/>
          <w:szCs w:val="20"/>
        </w:rPr>
        <w:t>Tiriti</w:t>
      </w:r>
      <w:proofErr w:type="spellEnd"/>
      <w:r>
        <w:rPr>
          <w:sz w:val="20"/>
          <w:szCs w:val="20"/>
        </w:rPr>
        <w:t xml:space="preserve"> o Waitangi in Education</w:t>
      </w:r>
    </w:p>
    <w:p w14:paraId="6B75FCA9" w14:textId="77777777" w:rsidR="001902DF" w:rsidRDefault="00000000">
      <w:pPr>
        <w:spacing w:line="276" w:lineRule="auto"/>
        <w:rPr>
          <w:sz w:val="20"/>
          <w:szCs w:val="20"/>
        </w:rPr>
      </w:pPr>
      <w:r>
        <w:rPr>
          <w:sz w:val="20"/>
          <w:szCs w:val="20"/>
        </w:rPr>
        <w:t>In March 2025 the Minister for Education proposed that the Government stop funding 174 roles in resource education for literacy and Māori from next year, in addition to</w:t>
      </w:r>
      <w:r>
        <w:rPr>
          <w:b/>
          <w:sz w:val="20"/>
          <w:szCs w:val="20"/>
        </w:rPr>
        <w:t xml:space="preserve"> cutting over $30 million in funding</w:t>
      </w:r>
      <w:r>
        <w:rPr>
          <w:sz w:val="20"/>
          <w:szCs w:val="20"/>
        </w:rPr>
        <w:t xml:space="preserve"> to Te Ahu o </w:t>
      </w:r>
      <w:proofErr w:type="spellStart"/>
      <w:r>
        <w:rPr>
          <w:sz w:val="20"/>
          <w:szCs w:val="20"/>
        </w:rPr>
        <w:t>te</w:t>
      </w:r>
      <w:proofErr w:type="spellEnd"/>
      <w:r>
        <w:rPr>
          <w:sz w:val="20"/>
          <w:szCs w:val="20"/>
        </w:rPr>
        <w:t xml:space="preserve"> Reo, a program aimed to increase </w:t>
      </w:r>
      <w:proofErr w:type="spellStart"/>
      <w:r>
        <w:rPr>
          <w:sz w:val="20"/>
          <w:szCs w:val="20"/>
        </w:rPr>
        <w:t>reo</w:t>
      </w:r>
      <w:proofErr w:type="spellEnd"/>
      <w:r>
        <w:rPr>
          <w:sz w:val="20"/>
          <w:szCs w:val="20"/>
        </w:rPr>
        <w:t xml:space="preserve"> Māori proficiency amongst teachers. This is further layered upon </w:t>
      </w:r>
      <w:r>
        <w:rPr>
          <w:b/>
          <w:sz w:val="20"/>
          <w:szCs w:val="20"/>
        </w:rPr>
        <w:t xml:space="preserve">removal of resources that include </w:t>
      </w:r>
      <w:proofErr w:type="spellStart"/>
      <w:r>
        <w:rPr>
          <w:b/>
          <w:sz w:val="20"/>
          <w:szCs w:val="20"/>
        </w:rPr>
        <w:t>te</w:t>
      </w:r>
      <w:proofErr w:type="spellEnd"/>
      <w:r>
        <w:rPr>
          <w:b/>
          <w:sz w:val="20"/>
          <w:szCs w:val="20"/>
        </w:rPr>
        <w:t xml:space="preserve"> </w:t>
      </w:r>
      <w:proofErr w:type="spellStart"/>
      <w:r>
        <w:rPr>
          <w:b/>
          <w:sz w:val="20"/>
          <w:szCs w:val="20"/>
        </w:rPr>
        <w:t>reo</w:t>
      </w:r>
      <w:proofErr w:type="spellEnd"/>
      <w:r>
        <w:rPr>
          <w:b/>
          <w:sz w:val="20"/>
          <w:szCs w:val="20"/>
        </w:rPr>
        <w:t xml:space="preserve"> Māori</w:t>
      </w:r>
      <w:r>
        <w:rPr>
          <w:sz w:val="20"/>
          <w:szCs w:val="20"/>
        </w:rPr>
        <w:t xml:space="preserve"> for use in structured </w:t>
      </w:r>
      <w:proofErr w:type="gramStart"/>
      <w:r>
        <w:rPr>
          <w:sz w:val="20"/>
          <w:szCs w:val="20"/>
        </w:rPr>
        <w:t>literacy</w:t>
      </w:r>
      <w:r>
        <w:rPr>
          <w:sz w:val="20"/>
          <w:szCs w:val="20"/>
          <w:vertAlign w:val="superscript"/>
        </w:rPr>
        <w:t>(</w:t>
      </w:r>
      <w:proofErr w:type="gramEnd"/>
      <w:r>
        <w:rPr>
          <w:sz w:val="20"/>
          <w:szCs w:val="20"/>
          <w:vertAlign w:val="superscript"/>
        </w:rPr>
        <w:t>40)</w:t>
      </w:r>
      <w:r>
        <w:rPr>
          <w:sz w:val="20"/>
          <w:szCs w:val="20"/>
        </w:rPr>
        <w:t xml:space="preserve">, and a review of the New Zealand curriculum that has been highly </w:t>
      </w:r>
      <w:proofErr w:type="spellStart"/>
      <w:r>
        <w:rPr>
          <w:sz w:val="20"/>
          <w:szCs w:val="20"/>
        </w:rPr>
        <w:t>criticised</w:t>
      </w:r>
      <w:proofErr w:type="spellEnd"/>
      <w:r>
        <w:rPr>
          <w:sz w:val="20"/>
          <w:szCs w:val="20"/>
        </w:rPr>
        <w:t xml:space="preserve"> as assimilative and exclusionary of </w:t>
      </w:r>
      <w:proofErr w:type="spellStart"/>
      <w:r>
        <w:rPr>
          <w:sz w:val="20"/>
          <w:szCs w:val="20"/>
        </w:rPr>
        <w:t>mātauranga</w:t>
      </w:r>
      <w:proofErr w:type="spellEnd"/>
      <w:r>
        <w:rPr>
          <w:sz w:val="20"/>
          <w:szCs w:val="20"/>
        </w:rPr>
        <w:t xml:space="preserve"> Māori and Te </w:t>
      </w:r>
      <w:proofErr w:type="spellStart"/>
      <w:r>
        <w:rPr>
          <w:sz w:val="20"/>
          <w:szCs w:val="20"/>
        </w:rPr>
        <w:t>Tiriti</w:t>
      </w:r>
      <w:proofErr w:type="spellEnd"/>
      <w:r>
        <w:rPr>
          <w:sz w:val="20"/>
          <w:szCs w:val="20"/>
        </w:rPr>
        <w:t xml:space="preserve"> o </w:t>
      </w:r>
      <w:proofErr w:type="gramStart"/>
      <w:r>
        <w:rPr>
          <w:sz w:val="20"/>
          <w:szCs w:val="20"/>
        </w:rPr>
        <w:t>Waitangi</w:t>
      </w:r>
      <w:r>
        <w:rPr>
          <w:sz w:val="20"/>
          <w:szCs w:val="20"/>
          <w:vertAlign w:val="superscript"/>
        </w:rPr>
        <w:t>(</w:t>
      </w:r>
      <w:proofErr w:type="gramEnd"/>
      <w:r>
        <w:rPr>
          <w:sz w:val="20"/>
          <w:szCs w:val="20"/>
          <w:vertAlign w:val="superscript"/>
        </w:rPr>
        <w:t>41)</w:t>
      </w:r>
      <w:r>
        <w:rPr>
          <w:sz w:val="20"/>
          <w:szCs w:val="20"/>
        </w:rPr>
        <w:t xml:space="preserve">. The retrogressive </w:t>
      </w:r>
      <w:r>
        <w:rPr>
          <w:b/>
          <w:sz w:val="20"/>
          <w:szCs w:val="20"/>
        </w:rPr>
        <w:t>“curriculum reset”</w:t>
      </w:r>
      <w:r>
        <w:rPr>
          <w:sz w:val="20"/>
          <w:szCs w:val="20"/>
        </w:rPr>
        <w:t xml:space="preserve"> removes important special measures designed to address generations of assimilative education in Aotearoa as the basis for enduring racism throughout society.</w:t>
      </w:r>
    </w:p>
    <w:p w14:paraId="286ADABA" w14:textId="77777777" w:rsidR="001902DF" w:rsidRDefault="00000000">
      <w:pPr>
        <w:pStyle w:val="Heading2"/>
        <w:spacing w:line="276" w:lineRule="auto"/>
      </w:pPr>
      <w:bookmarkStart w:id="28" w:name="_heading=h.218udc7xl4g8" w:colFirst="0" w:colLast="0"/>
      <w:bookmarkEnd w:id="28"/>
      <w:r>
        <w:rPr>
          <w:sz w:val="20"/>
          <w:szCs w:val="20"/>
        </w:rPr>
        <w:t>Changes to Research Funding</w:t>
      </w:r>
    </w:p>
    <w:p w14:paraId="2655EAD0" w14:textId="77777777" w:rsidR="001902DF" w:rsidRDefault="00000000">
      <w:pPr>
        <w:spacing w:line="276" w:lineRule="auto"/>
        <w:rPr>
          <w:sz w:val="20"/>
          <w:szCs w:val="20"/>
        </w:rPr>
      </w:pPr>
      <w:r>
        <w:rPr>
          <w:sz w:val="20"/>
          <w:szCs w:val="20"/>
        </w:rPr>
        <w:t>In 2024, the Minister for Science, Innovation, and Technology, Hon Judith Collins KC, issued new directives targeting spending within her portfolio to specific sciences. Changes to the terms of the Marsden Fund, a major source of science and research funding in Aotearoa-New Zealand, “</w:t>
      </w:r>
      <w:r>
        <w:rPr>
          <w:b/>
          <w:sz w:val="20"/>
          <w:szCs w:val="20"/>
        </w:rPr>
        <w:t>explicitly exclude research areas in the social sciences and humanities</w:t>
      </w:r>
      <w:r>
        <w:rPr>
          <w:sz w:val="20"/>
          <w:szCs w:val="20"/>
        </w:rPr>
        <w:t xml:space="preserve"> that were previously eligible”, resulting in an estimated loss of $16.4 million annually to social science research funding.</w:t>
      </w:r>
      <w:r>
        <w:rPr>
          <w:sz w:val="20"/>
          <w:szCs w:val="20"/>
          <w:vertAlign w:val="superscript"/>
        </w:rPr>
        <w:t>(42)</w:t>
      </w:r>
      <w:r>
        <w:rPr>
          <w:sz w:val="20"/>
          <w:szCs w:val="20"/>
        </w:rPr>
        <w:t xml:space="preserve"> While the Minister has stated that the fund will continue to resource research relating to health, many projects funded under the social science and humanities directly contribute to health and wellbeing, and it is expected that the loss of research in this area will result in a </w:t>
      </w:r>
      <w:proofErr w:type="spellStart"/>
      <w:r>
        <w:rPr>
          <w:sz w:val="20"/>
          <w:szCs w:val="20"/>
        </w:rPr>
        <w:t>racialised</w:t>
      </w:r>
      <w:proofErr w:type="spellEnd"/>
      <w:r>
        <w:rPr>
          <w:sz w:val="20"/>
          <w:szCs w:val="20"/>
        </w:rPr>
        <w:t xml:space="preserve"> stagnation of progress towards health and wellbeing goals. This is likely compounded by recent </w:t>
      </w:r>
      <w:r>
        <w:rPr>
          <w:b/>
          <w:sz w:val="20"/>
          <w:szCs w:val="20"/>
        </w:rPr>
        <w:t>changes to health research funding</w:t>
      </w:r>
      <w:r>
        <w:rPr>
          <w:sz w:val="20"/>
          <w:szCs w:val="20"/>
        </w:rPr>
        <w:t xml:space="preserve">, that include a reduction in budget and changes to funding guidelines for the Health Research </w:t>
      </w:r>
      <w:proofErr w:type="gramStart"/>
      <w:r>
        <w:rPr>
          <w:sz w:val="20"/>
          <w:szCs w:val="20"/>
        </w:rPr>
        <w:t>Council.</w:t>
      </w:r>
      <w:r>
        <w:rPr>
          <w:sz w:val="20"/>
          <w:szCs w:val="20"/>
          <w:vertAlign w:val="superscript"/>
        </w:rPr>
        <w:t>(</w:t>
      </w:r>
      <w:proofErr w:type="gramEnd"/>
      <w:r>
        <w:rPr>
          <w:sz w:val="20"/>
          <w:szCs w:val="20"/>
          <w:vertAlign w:val="superscript"/>
        </w:rPr>
        <w:t xml:space="preserve">43) </w:t>
      </w:r>
    </w:p>
    <w:p w14:paraId="491DEDDA" w14:textId="77777777" w:rsidR="001902DF" w:rsidRDefault="00000000">
      <w:pPr>
        <w:spacing w:line="276" w:lineRule="auto"/>
        <w:rPr>
          <w:sz w:val="20"/>
          <w:szCs w:val="20"/>
        </w:rPr>
      </w:pPr>
      <w:r>
        <w:rPr>
          <w:sz w:val="20"/>
          <w:szCs w:val="20"/>
        </w:rPr>
        <w:t xml:space="preserve">It is further expected that these funding changes will have disproportionate impacts for research that incorporates Mātauranga Māori (Māori science and knowledge frameworks), which still, within the science sector, experiences racist exclusionary attitudes and policies. It will also diminish Aotearoa-New Zealand’s ability to </w:t>
      </w:r>
      <w:proofErr w:type="spellStart"/>
      <w:r>
        <w:rPr>
          <w:sz w:val="20"/>
          <w:szCs w:val="20"/>
        </w:rPr>
        <w:t>honour</w:t>
      </w:r>
      <w:proofErr w:type="spellEnd"/>
      <w:r>
        <w:rPr>
          <w:sz w:val="20"/>
          <w:szCs w:val="20"/>
        </w:rPr>
        <w:t xml:space="preserve"> its commitments under Te </w:t>
      </w:r>
      <w:proofErr w:type="spellStart"/>
      <w:r>
        <w:rPr>
          <w:sz w:val="20"/>
          <w:szCs w:val="20"/>
        </w:rPr>
        <w:t>Tiriti</w:t>
      </w:r>
      <w:proofErr w:type="spellEnd"/>
      <w:r>
        <w:rPr>
          <w:sz w:val="20"/>
          <w:szCs w:val="20"/>
        </w:rPr>
        <w:t xml:space="preserve"> o Waitangi, alongside the important work done within the science sector towards meaningful partnership and redressing harms caused by </w:t>
      </w:r>
      <w:proofErr w:type="spellStart"/>
      <w:r>
        <w:rPr>
          <w:sz w:val="20"/>
          <w:szCs w:val="20"/>
        </w:rPr>
        <w:t>colonisation</w:t>
      </w:r>
      <w:proofErr w:type="spellEnd"/>
      <w:r>
        <w:rPr>
          <w:sz w:val="20"/>
          <w:szCs w:val="20"/>
        </w:rPr>
        <w:t xml:space="preserve">. </w:t>
      </w:r>
    </w:p>
    <w:p w14:paraId="1C3A9831" w14:textId="77777777" w:rsidR="001902DF" w:rsidRDefault="00000000">
      <w:pPr>
        <w:spacing w:line="276" w:lineRule="auto"/>
        <w:rPr>
          <w:sz w:val="20"/>
          <w:szCs w:val="20"/>
        </w:rPr>
      </w:pPr>
      <w:r>
        <w:rPr>
          <w:sz w:val="20"/>
          <w:szCs w:val="20"/>
        </w:rPr>
        <w:t xml:space="preserve">These changes are likely to result in the loss of researchers, with a disproportionate impact on Māori and Pacific researchers, a significant number of whom are engaged in social </w:t>
      </w:r>
      <w:proofErr w:type="gramStart"/>
      <w:r>
        <w:rPr>
          <w:sz w:val="20"/>
          <w:szCs w:val="20"/>
        </w:rPr>
        <w:t>science,  humanities</w:t>
      </w:r>
      <w:proofErr w:type="gramEnd"/>
      <w:r>
        <w:rPr>
          <w:sz w:val="20"/>
          <w:szCs w:val="20"/>
        </w:rPr>
        <w:t xml:space="preserve"> and health research. For example, in 2024 Māori researchers represented 13 percent of funded </w:t>
      </w:r>
      <w:proofErr w:type="gramStart"/>
      <w:r>
        <w:rPr>
          <w:sz w:val="20"/>
          <w:szCs w:val="20"/>
        </w:rPr>
        <w:t>investigators.</w:t>
      </w:r>
      <w:r>
        <w:rPr>
          <w:sz w:val="20"/>
          <w:szCs w:val="20"/>
          <w:vertAlign w:val="superscript"/>
        </w:rPr>
        <w:t>(</w:t>
      </w:r>
      <w:proofErr w:type="gramEnd"/>
      <w:r>
        <w:rPr>
          <w:sz w:val="20"/>
          <w:szCs w:val="20"/>
          <w:vertAlign w:val="superscript"/>
        </w:rPr>
        <w:t>44)</w:t>
      </w:r>
      <w:r>
        <w:rPr>
          <w:sz w:val="20"/>
          <w:szCs w:val="20"/>
        </w:rPr>
        <w:t xml:space="preserve"> However, without the social sciences and humanities funding, that number would have dropped to only 5.5 percent. As noted by Victoria University scholars, </w:t>
      </w:r>
      <w:r>
        <w:rPr>
          <w:i/>
          <w:sz w:val="20"/>
          <w:szCs w:val="20"/>
        </w:rPr>
        <w:t>“Such policies reflect coded attacks on Indigenous scholarship, devaluing methodologies that do not conform to Western paradigms and research interests that do not align with political priorities</w:t>
      </w:r>
      <w:proofErr w:type="gramStart"/>
      <w:r>
        <w:rPr>
          <w:i/>
          <w:sz w:val="20"/>
          <w:szCs w:val="20"/>
        </w:rPr>
        <w:t>”.</w:t>
      </w:r>
      <w:r>
        <w:rPr>
          <w:sz w:val="20"/>
          <w:szCs w:val="20"/>
          <w:vertAlign w:val="superscript"/>
        </w:rPr>
        <w:t>(</w:t>
      </w:r>
      <w:proofErr w:type="gramEnd"/>
      <w:r>
        <w:rPr>
          <w:sz w:val="20"/>
          <w:szCs w:val="20"/>
          <w:vertAlign w:val="superscript"/>
        </w:rPr>
        <w:t>44)</w:t>
      </w:r>
    </w:p>
    <w:p w14:paraId="0EED5B08" w14:textId="77777777" w:rsidR="001902DF" w:rsidRDefault="00000000">
      <w:pPr>
        <w:spacing w:line="276" w:lineRule="auto"/>
        <w:rPr>
          <w:sz w:val="20"/>
          <w:szCs w:val="20"/>
        </w:rPr>
      </w:pPr>
      <w:r>
        <w:rPr>
          <w:sz w:val="20"/>
          <w:szCs w:val="20"/>
        </w:rPr>
        <w:lastRenderedPageBreak/>
        <w:t>Research is critical to achieving New Zealand’s commitments to human rights, including the elimination of racism. The National Iwi Chairs Forum submits that these changes in priority and funding directly contravene Article 7 of ICERD, which recommends that “States Parties undertake to adopt immediate and effective measures, particularly in the fields of teaching, education, culture and information, with a view to combating prejudices which lead to racial discrimination”.</w:t>
      </w:r>
    </w:p>
    <w:p w14:paraId="42CA0378" w14:textId="77777777" w:rsidR="001902DF" w:rsidRDefault="00000000">
      <w:pPr>
        <w:pStyle w:val="Heading1"/>
        <w:spacing w:line="276" w:lineRule="auto"/>
        <w:rPr>
          <w:sz w:val="20"/>
          <w:szCs w:val="20"/>
        </w:rPr>
      </w:pPr>
      <w:bookmarkStart w:id="29" w:name="_heading=h.lir8bsjewnj" w:colFirst="0" w:colLast="0"/>
      <w:bookmarkEnd w:id="29"/>
      <w:r>
        <w:rPr>
          <w:sz w:val="20"/>
          <w:szCs w:val="20"/>
        </w:rPr>
        <w:t>JUSTICE</w:t>
      </w:r>
    </w:p>
    <w:p w14:paraId="5AF3E9F5" w14:textId="77777777" w:rsidR="001902DF" w:rsidRDefault="00000000">
      <w:pPr>
        <w:pStyle w:val="Heading2"/>
        <w:spacing w:line="276" w:lineRule="auto"/>
        <w:ind w:left="0" w:firstLine="0"/>
        <w:rPr>
          <w:sz w:val="20"/>
          <w:szCs w:val="20"/>
        </w:rPr>
      </w:pPr>
      <w:bookmarkStart w:id="30" w:name="_heading=h.rsfdjl9xcbqd" w:colFirst="0" w:colLast="0"/>
      <w:bookmarkEnd w:id="30"/>
      <w:r>
        <w:rPr>
          <w:sz w:val="20"/>
          <w:szCs w:val="20"/>
        </w:rPr>
        <w:t>Gangs Legislation Act 2024 and Sentencing (Reform) Amendment Act 2024</w:t>
      </w:r>
    </w:p>
    <w:p w14:paraId="5A635443" w14:textId="77777777" w:rsidR="001902DF" w:rsidRDefault="00000000">
      <w:pPr>
        <w:spacing w:line="276" w:lineRule="auto"/>
        <w:rPr>
          <w:sz w:val="20"/>
          <w:szCs w:val="20"/>
        </w:rPr>
      </w:pPr>
      <w:r>
        <w:rPr>
          <w:sz w:val="20"/>
          <w:szCs w:val="20"/>
        </w:rPr>
        <w:t xml:space="preserve">New Zealand’s incarceration rate is among the highest in the OECD, with Māori disproportionately affected at every stage of the system. In 2017 the CERD expressed concern that Māori remain overrepresented in arrest, prosecution, conviction, imprisonment and re-imprisonment, recommending that New Zealand address root causes and ensure justice and social initiatives are built on transparent, Māori-led partnerships. In 2024, the government passed the Gangs Legislation Act and Sentencing Amendment Act, intensifying punitive measures instead of tackling systemic causes of hyper-incarceration. </w:t>
      </w:r>
    </w:p>
    <w:p w14:paraId="2FA47CA3" w14:textId="77777777" w:rsidR="001902DF" w:rsidRDefault="00000000">
      <w:pPr>
        <w:spacing w:line="276" w:lineRule="auto"/>
        <w:rPr>
          <w:sz w:val="20"/>
          <w:szCs w:val="20"/>
        </w:rPr>
      </w:pPr>
      <w:r>
        <w:rPr>
          <w:sz w:val="20"/>
          <w:szCs w:val="20"/>
        </w:rPr>
        <w:t>Key provisions in the Gangs Legislation Act 2024 include:</w:t>
      </w:r>
    </w:p>
    <w:p w14:paraId="544E3B13" w14:textId="77777777" w:rsidR="001902DF" w:rsidRDefault="00000000">
      <w:pPr>
        <w:numPr>
          <w:ilvl w:val="0"/>
          <w:numId w:val="1"/>
        </w:numPr>
        <w:spacing w:after="0" w:line="276" w:lineRule="auto"/>
        <w:ind w:left="360"/>
        <w:rPr>
          <w:sz w:val="20"/>
          <w:szCs w:val="20"/>
        </w:rPr>
      </w:pPr>
      <w:r>
        <w:rPr>
          <w:sz w:val="20"/>
          <w:szCs w:val="20"/>
        </w:rPr>
        <w:t>Prohibition on gang insignia in public, punishable by up to six months imprisonment or a $5,000 fine.</w:t>
      </w:r>
    </w:p>
    <w:p w14:paraId="583D3B24" w14:textId="77777777" w:rsidR="001902DF" w:rsidRDefault="00000000">
      <w:pPr>
        <w:numPr>
          <w:ilvl w:val="0"/>
          <w:numId w:val="1"/>
        </w:numPr>
        <w:spacing w:before="0" w:after="0" w:line="276" w:lineRule="auto"/>
        <w:ind w:left="360"/>
        <w:rPr>
          <w:sz w:val="20"/>
          <w:szCs w:val="20"/>
        </w:rPr>
      </w:pPr>
      <w:r>
        <w:rPr>
          <w:sz w:val="20"/>
          <w:szCs w:val="20"/>
        </w:rPr>
        <w:t>Police power to issue dispersal notices to gatherings of three or more suspected gang members.</w:t>
      </w:r>
    </w:p>
    <w:p w14:paraId="4012BBDB" w14:textId="77777777" w:rsidR="001902DF" w:rsidRDefault="00000000">
      <w:pPr>
        <w:numPr>
          <w:ilvl w:val="0"/>
          <w:numId w:val="1"/>
        </w:numPr>
        <w:spacing w:before="0" w:after="0" w:line="276" w:lineRule="auto"/>
        <w:ind w:left="360"/>
        <w:rPr>
          <w:sz w:val="20"/>
          <w:szCs w:val="20"/>
        </w:rPr>
      </w:pPr>
      <w:r>
        <w:rPr>
          <w:sz w:val="20"/>
          <w:szCs w:val="20"/>
        </w:rPr>
        <w:t xml:space="preserve">Non-consorting orders </w:t>
      </w:r>
      <w:proofErr w:type="gramStart"/>
      <w:r>
        <w:rPr>
          <w:sz w:val="20"/>
          <w:szCs w:val="20"/>
        </w:rPr>
        <w:t>preventing</w:t>
      </w:r>
      <w:proofErr w:type="gramEnd"/>
      <w:r>
        <w:rPr>
          <w:sz w:val="20"/>
          <w:szCs w:val="20"/>
        </w:rPr>
        <w:t xml:space="preserve"> association or communication between specified offenders for up to three years (breach punishable by five years’ imprisonment or $15,000 fine).</w:t>
      </w:r>
    </w:p>
    <w:p w14:paraId="29BD89FD" w14:textId="77777777" w:rsidR="001902DF" w:rsidRDefault="00000000">
      <w:pPr>
        <w:numPr>
          <w:ilvl w:val="0"/>
          <w:numId w:val="1"/>
        </w:numPr>
        <w:spacing w:before="0" w:after="0" w:line="276" w:lineRule="auto"/>
        <w:ind w:left="360"/>
        <w:rPr>
          <w:sz w:val="20"/>
          <w:szCs w:val="20"/>
        </w:rPr>
      </w:pPr>
      <w:r>
        <w:rPr>
          <w:sz w:val="20"/>
          <w:szCs w:val="20"/>
        </w:rPr>
        <w:t>Gang membership as an aggravating factor in sentencing.</w:t>
      </w:r>
    </w:p>
    <w:p w14:paraId="6763890C" w14:textId="77777777" w:rsidR="001902DF" w:rsidRDefault="00000000">
      <w:pPr>
        <w:numPr>
          <w:ilvl w:val="0"/>
          <w:numId w:val="1"/>
        </w:numPr>
        <w:spacing w:before="0" w:line="276" w:lineRule="auto"/>
        <w:ind w:left="360"/>
        <w:rPr>
          <w:sz w:val="20"/>
          <w:szCs w:val="20"/>
        </w:rPr>
      </w:pPr>
      <w:r>
        <w:rPr>
          <w:sz w:val="20"/>
          <w:szCs w:val="20"/>
        </w:rPr>
        <w:t xml:space="preserve">Gang Insignia Prohibition Orders (GIPOs), allowing searches </w:t>
      </w:r>
      <w:proofErr w:type="gramStart"/>
      <w:r>
        <w:rPr>
          <w:sz w:val="20"/>
          <w:szCs w:val="20"/>
        </w:rPr>
        <w:t>of</w:t>
      </w:r>
      <w:proofErr w:type="gramEnd"/>
      <w:r>
        <w:rPr>
          <w:sz w:val="20"/>
          <w:szCs w:val="20"/>
        </w:rPr>
        <w:t xml:space="preserve"> private residences.</w:t>
      </w:r>
    </w:p>
    <w:p w14:paraId="708D7EE7" w14:textId="77777777" w:rsidR="001902DF" w:rsidRDefault="00000000">
      <w:pPr>
        <w:spacing w:line="276" w:lineRule="auto"/>
        <w:rPr>
          <w:sz w:val="20"/>
          <w:szCs w:val="20"/>
        </w:rPr>
      </w:pPr>
      <w:r>
        <w:rPr>
          <w:sz w:val="20"/>
          <w:szCs w:val="20"/>
        </w:rPr>
        <w:t xml:space="preserve">Māori make up an estimated 70–80% of gang membership and 83% of those charged under these laws, reflecting systemic legacies such as the state care system and </w:t>
      </w:r>
      <w:proofErr w:type="spellStart"/>
      <w:r>
        <w:rPr>
          <w:sz w:val="20"/>
          <w:szCs w:val="20"/>
        </w:rPr>
        <w:t>they</w:t>
      </w:r>
      <w:proofErr w:type="spellEnd"/>
      <w:r>
        <w:rPr>
          <w:sz w:val="20"/>
          <w:szCs w:val="20"/>
        </w:rPr>
        <w:t xml:space="preserve"> way in which the government classifies gangs and gang membership. The Attorney-General found the Bill inconsistent with the New Zealand Bill of Rights Act 1990, violating freedoms of expression, association and assembly. The Law Society also warned of unreasonable searches under GIPOs. These laws reinforce racial profiling of Māori and Pacific peoples, breaching UNCERD General Recommendation No. 36 (2020) on preventing racial profiling by law enforcement.</w:t>
      </w:r>
    </w:p>
    <w:p w14:paraId="7F4A532F" w14:textId="77777777" w:rsidR="001902DF" w:rsidRDefault="00000000">
      <w:pPr>
        <w:pStyle w:val="Heading2"/>
        <w:spacing w:line="276" w:lineRule="auto"/>
        <w:ind w:left="0" w:firstLine="0"/>
        <w:rPr>
          <w:sz w:val="20"/>
          <w:szCs w:val="20"/>
        </w:rPr>
      </w:pPr>
      <w:bookmarkStart w:id="31" w:name="_heading=h.njsz80hsk78p" w:colFirst="0" w:colLast="0"/>
      <w:bookmarkEnd w:id="31"/>
      <w:r>
        <w:rPr>
          <w:sz w:val="20"/>
          <w:szCs w:val="20"/>
        </w:rPr>
        <w:t>The Legal Services Amendment Act 2024</w:t>
      </w:r>
    </w:p>
    <w:p w14:paraId="6166283C" w14:textId="77777777" w:rsidR="001902DF" w:rsidRDefault="00000000">
      <w:pPr>
        <w:spacing w:line="276" w:lineRule="auto"/>
        <w:rPr>
          <w:sz w:val="20"/>
          <w:szCs w:val="20"/>
        </w:rPr>
      </w:pPr>
      <w:r>
        <w:rPr>
          <w:sz w:val="20"/>
          <w:szCs w:val="20"/>
        </w:rPr>
        <w:t>The Legal Services Amendment Act 2024 removes legal aid funding for Section 27 reports under the Sentencing Act 2002. These reports provide judges with comprehensive insights into the personal, familial, and cultural background of someone before the courts, often highlighting systemic factors contributing to alleged harm, and enabling judges to provide more targeted sentencing measures. The New Zealand Law Society stated that the Act “strikes at the rights of all to equal access to justice”, going on to note:</w:t>
      </w:r>
    </w:p>
    <w:p w14:paraId="272270DF" w14:textId="77777777" w:rsidR="001902DF" w:rsidRDefault="00000000">
      <w:pPr>
        <w:spacing w:line="276" w:lineRule="auto"/>
        <w:ind w:left="720"/>
        <w:rPr>
          <w:sz w:val="20"/>
          <w:szCs w:val="20"/>
        </w:rPr>
      </w:pPr>
      <w:r>
        <w:rPr>
          <w:i/>
          <w:sz w:val="20"/>
          <w:szCs w:val="20"/>
        </w:rPr>
        <w:t xml:space="preserve">Defunding the availability of these reports through legal aid will have a more pronounced effect on Māori, who remain overrepresented in the criminal justice system. But we must be clear here – despite common sentiment, this is not an issue of certain ethnic groups receiving more </w:t>
      </w:r>
      <w:proofErr w:type="spellStart"/>
      <w:r>
        <w:rPr>
          <w:i/>
          <w:sz w:val="20"/>
          <w:szCs w:val="20"/>
        </w:rPr>
        <w:t>favourable</w:t>
      </w:r>
      <w:proofErr w:type="spellEnd"/>
      <w:r>
        <w:rPr>
          <w:i/>
          <w:sz w:val="20"/>
          <w:szCs w:val="20"/>
        </w:rPr>
        <w:t xml:space="preserve"> sentences, and it is not about simply reducing sentences. The provision of these reports is about equitable, effective, and tailored sentencing outcomes. The reports serve a range of individuals across all ethnic groups, many of whom come from lower socio-economic </w:t>
      </w:r>
      <w:proofErr w:type="gramStart"/>
      <w:r>
        <w:rPr>
          <w:i/>
          <w:sz w:val="20"/>
          <w:szCs w:val="20"/>
        </w:rPr>
        <w:t>backgrounds</w:t>
      </w:r>
      <w:r>
        <w:rPr>
          <w:sz w:val="20"/>
          <w:szCs w:val="20"/>
        </w:rPr>
        <w:t>.</w:t>
      </w:r>
      <w:r>
        <w:rPr>
          <w:sz w:val="20"/>
          <w:szCs w:val="20"/>
          <w:vertAlign w:val="superscript"/>
        </w:rPr>
        <w:t>(</w:t>
      </w:r>
      <w:proofErr w:type="gramEnd"/>
      <w:r>
        <w:rPr>
          <w:sz w:val="20"/>
          <w:szCs w:val="20"/>
          <w:vertAlign w:val="superscript"/>
        </w:rPr>
        <w:t>45)</w:t>
      </w:r>
    </w:p>
    <w:p w14:paraId="6F50E424" w14:textId="77777777" w:rsidR="001902DF" w:rsidRDefault="00000000">
      <w:pPr>
        <w:spacing w:line="276" w:lineRule="auto"/>
        <w:rPr>
          <w:sz w:val="20"/>
          <w:szCs w:val="20"/>
        </w:rPr>
      </w:pPr>
      <w:r>
        <w:rPr>
          <w:sz w:val="20"/>
          <w:szCs w:val="20"/>
        </w:rPr>
        <w:t xml:space="preserve">Given that such reports may still be purchased by those from more advantaged socio-economic backgrounds, and the </w:t>
      </w:r>
      <w:proofErr w:type="spellStart"/>
      <w:r>
        <w:rPr>
          <w:sz w:val="20"/>
          <w:szCs w:val="20"/>
        </w:rPr>
        <w:t>racialised</w:t>
      </w:r>
      <w:proofErr w:type="spellEnd"/>
      <w:r>
        <w:rPr>
          <w:sz w:val="20"/>
          <w:szCs w:val="20"/>
        </w:rPr>
        <w:t xml:space="preserve"> nature of economic privilege, </w:t>
      </w:r>
      <w:proofErr w:type="gramStart"/>
      <w:r>
        <w:rPr>
          <w:sz w:val="20"/>
          <w:szCs w:val="20"/>
        </w:rPr>
        <w:t>significant  concerns</w:t>
      </w:r>
      <w:proofErr w:type="gramEnd"/>
      <w:r>
        <w:rPr>
          <w:sz w:val="20"/>
          <w:szCs w:val="20"/>
        </w:rPr>
        <w:t xml:space="preserve"> have been raised that the Act may drive further </w:t>
      </w:r>
      <w:proofErr w:type="spellStart"/>
      <w:r>
        <w:rPr>
          <w:sz w:val="20"/>
          <w:szCs w:val="20"/>
        </w:rPr>
        <w:t>racialised</w:t>
      </w:r>
      <w:proofErr w:type="spellEnd"/>
      <w:r>
        <w:rPr>
          <w:sz w:val="20"/>
          <w:szCs w:val="20"/>
        </w:rPr>
        <w:t xml:space="preserve"> inequity within the justice system.</w:t>
      </w:r>
    </w:p>
    <w:p w14:paraId="0D4D1DB6" w14:textId="77777777" w:rsidR="001902DF" w:rsidRDefault="00000000">
      <w:pPr>
        <w:spacing w:line="276" w:lineRule="auto"/>
        <w:rPr>
          <w:sz w:val="20"/>
          <w:szCs w:val="20"/>
        </w:rPr>
      </w:pPr>
      <w:r>
        <w:rPr>
          <w:sz w:val="20"/>
          <w:szCs w:val="20"/>
        </w:rPr>
        <w:t xml:space="preserve">In its departmental disclosure statement, the Ministry of Justice has noted: </w:t>
      </w:r>
    </w:p>
    <w:p w14:paraId="6279807E" w14:textId="77777777" w:rsidR="001902DF" w:rsidRDefault="00000000">
      <w:pPr>
        <w:spacing w:line="276" w:lineRule="auto"/>
        <w:ind w:left="720"/>
        <w:rPr>
          <w:sz w:val="20"/>
          <w:szCs w:val="20"/>
          <w:vertAlign w:val="superscript"/>
        </w:rPr>
      </w:pPr>
      <w:proofErr w:type="gramStart"/>
      <w:r>
        <w:rPr>
          <w:i/>
          <w:sz w:val="20"/>
          <w:szCs w:val="20"/>
        </w:rPr>
        <w:lastRenderedPageBreak/>
        <w:t>it</w:t>
      </w:r>
      <w:proofErr w:type="gramEnd"/>
      <w:r>
        <w:rPr>
          <w:i/>
          <w:sz w:val="20"/>
          <w:szCs w:val="20"/>
        </w:rPr>
        <w:t xml:space="preserve"> is unclear how the [act] fits with New Zealand's international commitments, such as the international convention on the elimination of all forms of racial discrimination. Māori are over-represented in the criminal justice system, and the funding change may exacerbate this disparity, as a high proportion of Māori and Pacific </w:t>
      </w:r>
      <w:proofErr w:type="gramStart"/>
      <w:r>
        <w:rPr>
          <w:i/>
          <w:sz w:val="20"/>
          <w:szCs w:val="20"/>
        </w:rPr>
        <w:t>peoples</w:t>
      </w:r>
      <w:proofErr w:type="gramEnd"/>
      <w:r>
        <w:rPr>
          <w:i/>
          <w:sz w:val="20"/>
          <w:szCs w:val="20"/>
        </w:rPr>
        <w:t xml:space="preserve"> offenders receive a </w:t>
      </w:r>
      <w:proofErr w:type="gramStart"/>
      <w:r>
        <w:rPr>
          <w:i/>
          <w:sz w:val="20"/>
          <w:szCs w:val="20"/>
        </w:rPr>
        <w:t>legally-aided</w:t>
      </w:r>
      <w:proofErr w:type="gramEnd"/>
      <w:r>
        <w:rPr>
          <w:i/>
          <w:sz w:val="20"/>
          <w:szCs w:val="20"/>
        </w:rPr>
        <w:t xml:space="preserve"> section 27 report, compared with New Zealand European and others. Due to the time constraints, though, no steps have been taken </w:t>
      </w:r>
      <w:proofErr w:type="gramStart"/>
      <w:r>
        <w:rPr>
          <w:i/>
          <w:sz w:val="20"/>
          <w:szCs w:val="20"/>
        </w:rPr>
        <w:t>to conclusively</w:t>
      </w:r>
      <w:proofErr w:type="gramEnd"/>
      <w:r>
        <w:rPr>
          <w:i/>
          <w:sz w:val="20"/>
          <w:szCs w:val="20"/>
        </w:rPr>
        <w:t xml:space="preserve"> determine the effect of this </w:t>
      </w:r>
      <w:proofErr w:type="gramStart"/>
      <w:r>
        <w:rPr>
          <w:i/>
          <w:sz w:val="20"/>
          <w:szCs w:val="20"/>
        </w:rPr>
        <w:t>bill.</w:t>
      </w:r>
      <w:r>
        <w:rPr>
          <w:sz w:val="20"/>
          <w:szCs w:val="20"/>
          <w:vertAlign w:val="superscript"/>
        </w:rPr>
        <w:t>(</w:t>
      </w:r>
      <w:proofErr w:type="gramEnd"/>
      <w:r>
        <w:rPr>
          <w:sz w:val="20"/>
          <w:szCs w:val="20"/>
          <w:vertAlign w:val="superscript"/>
        </w:rPr>
        <w:t>46)</w:t>
      </w:r>
    </w:p>
    <w:p w14:paraId="6A435682" w14:textId="77777777" w:rsidR="001902DF" w:rsidRDefault="00000000">
      <w:pPr>
        <w:spacing w:line="276" w:lineRule="auto"/>
        <w:rPr>
          <w:sz w:val="20"/>
          <w:szCs w:val="20"/>
        </w:rPr>
      </w:pPr>
      <w:r>
        <w:rPr>
          <w:sz w:val="20"/>
          <w:szCs w:val="20"/>
        </w:rPr>
        <w:t xml:space="preserve">When assessed for alignment with Te </w:t>
      </w:r>
      <w:proofErr w:type="spellStart"/>
      <w:r>
        <w:rPr>
          <w:sz w:val="20"/>
          <w:szCs w:val="20"/>
        </w:rPr>
        <w:t>Tiriti</w:t>
      </w:r>
      <w:proofErr w:type="spellEnd"/>
      <w:r>
        <w:rPr>
          <w:sz w:val="20"/>
          <w:szCs w:val="20"/>
        </w:rPr>
        <w:t xml:space="preserve"> o Waitangi, the Ministry of Justice responded that it had consulted with the Ministry for Māori Affairs, who did not support the policy, however no further consultation with Māori took place. The NICF agrees that this Act significantly undermines equitable access to justice, with </w:t>
      </w:r>
      <w:proofErr w:type="spellStart"/>
      <w:r>
        <w:rPr>
          <w:sz w:val="20"/>
          <w:szCs w:val="20"/>
        </w:rPr>
        <w:t>racialised</w:t>
      </w:r>
      <w:proofErr w:type="spellEnd"/>
      <w:r>
        <w:rPr>
          <w:sz w:val="20"/>
          <w:szCs w:val="20"/>
        </w:rPr>
        <w:t xml:space="preserve"> impacts upon Māori, Pacifica and other </w:t>
      </w:r>
      <w:proofErr w:type="spellStart"/>
      <w:r>
        <w:rPr>
          <w:sz w:val="20"/>
          <w:szCs w:val="20"/>
        </w:rPr>
        <w:t>minoritised</w:t>
      </w:r>
      <w:proofErr w:type="spellEnd"/>
      <w:r>
        <w:rPr>
          <w:sz w:val="20"/>
          <w:szCs w:val="20"/>
        </w:rPr>
        <w:t xml:space="preserve"> racial groups who experience socio-economic deprivation. </w:t>
      </w:r>
    </w:p>
    <w:p w14:paraId="345AB948" w14:textId="77777777" w:rsidR="001902DF" w:rsidRDefault="00000000">
      <w:pPr>
        <w:pStyle w:val="Heading1"/>
        <w:spacing w:before="240" w:after="240" w:line="276" w:lineRule="auto"/>
        <w:rPr>
          <w:sz w:val="20"/>
          <w:szCs w:val="20"/>
        </w:rPr>
      </w:pPr>
      <w:bookmarkStart w:id="32" w:name="_heading=h.3khaq01n4bdi" w:colFirst="0" w:colLast="0"/>
      <w:bookmarkEnd w:id="32"/>
      <w:r>
        <w:rPr>
          <w:sz w:val="20"/>
          <w:szCs w:val="20"/>
        </w:rPr>
        <w:t>SUPPRESSION OF LANGUAGE AND CULTURE</w:t>
      </w:r>
    </w:p>
    <w:p w14:paraId="1782C2E5" w14:textId="77777777" w:rsidR="001902DF" w:rsidRDefault="00000000">
      <w:pPr>
        <w:spacing w:before="240" w:after="240" w:line="276" w:lineRule="auto"/>
        <w:rPr>
          <w:sz w:val="20"/>
          <w:szCs w:val="20"/>
        </w:rPr>
      </w:pPr>
      <w:r>
        <w:rPr>
          <w:sz w:val="20"/>
          <w:szCs w:val="20"/>
        </w:rPr>
        <w:t xml:space="preserve">Since 2024–25, senior Ministers have publicly questioned the place of tikanga such as </w:t>
      </w:r>
      <w:proofErr w:type="spellStart"/>
      <w:r>
        <w:rPr>
          <w:sz w:val="20"/>
          <w:szCs w:val="20"/>
        </w:rPr>
        <w:t>karakia</w:t>
      </w:r>
      <w:proofErr w:type="spellEnd"/>
      <w:r>
        <w:rPr>
          <w:sz w:val="20"/>
          <w:szCs w:val="20"/>
        </w:rPr>
        <w:t xml:space="preserve"> in state settings, framing it as “spiritual” practice that should be dropped from public institutions and even linking cultural protocols and cultural impact processes to higher power and food bills.</w:t>
      </w:r>
      <w:r>
        <w:rPr>
          <w:sz w:val="20"/>
          <w:szCs w:val="20"/>
          <w:vertAlign w:val="superscript"/>
        </w:rPr>
        <w:t xml:space="preserve">(47) </w:t>
      </w:r>
      <w:r>
        <w:rPr>
          <w:sz w:val="20"/>
          <w:szCs w:val="20"/>
        </w:rPr>
        <w:t xml:space="preserve">These ministerial statements—delivered at national sector forums and defended in subsequent media—signal a </w:t>
      </w:r>
      <w:r>
        <w:rPr>
          <w:b/>
          <w:sz w:val="20"/>
          <w:szCs w:val="20"/>
        </w:rPr>
        <w:t>policy preference to strip tikanga from normal public-sector practice</w:t>
      </w:r>
      <w:r>
        <w:rPr>
          <w:sz w:val="20"/>
          <w:szCs w:val="20"/>
        </w:rPr>
        <w:t xml:space="preserve"> and risk a chilling effect on everyday Māori cultural expression in workplaces and meetings. </w:t>
      </w:r>
    </w:p>
    <w:p w14:paraId="0E7B8677" w14:textId="77777777" w:rsidR="001902DF" w:rsidRDefault="00000000">
      <w:pPr>
        <w:spacing w:before="240" w:after="240" w:line="276" w:lineRule="auto"/>
        <w:rPr>
          <w:b/>
          <w:sz w:val="20"/>
          <w:szCs w:val="20"/>
        </w:rPr>
      </w:pPr>
      <w:r>
        <w:rPr>
          <w:sz w:val="20"/>
          <w:szCs w:val="20"/>
        </w:rPr>
        <w:t xml:space="preserve">This is layered over recent moves by the Crown government to remove the Treaty clause from the Resource Management Act, further diminishing how Māori interests and cultural factors such as </w:t>
      </w:r>
      <w:proofErr w:type="spellStart"/>
      <w:r>
        <w:rPr>
          <w:sz w:val="20"/>
          <w:szCs w:val="20"/>
        </w:rPr>
        <w:t>kaitiakitanga</w:t>
      </w:r>
      <w:proofErr w:type="spellEnd"/>
      <w:r>
        <w:rPr>
          <w:sz w:val="20"/>
          <w:szCs w:val="20"/>
        </w:rPr>
        <w:t xml:space="preserve"> and tikanga are treated in planning law and </w:t>
      </w:r>
      <w:proofErr w:type="gramStart"/>
      <w:r>
        <w:rPr>
          <w:sz w:val="20"/>
          <w:szCs w:val="20"/>
        </w:rPr>
        <w:t>processes.</w:t>
      </w:r>
      <w:r>
        <w:rPr>
          <w:sz w:val="20"/>
          <w:szCs w:val="20"/>
          <w:vertAlign w:val="superscript"/>
        </w:rPr>
        <w:t>(</w:t>
      </w:r>
      <w:proofErr w:type="gramEnd"/>
      <w:r>
        <w:rPr>
          <w:sz w:val="20"/>
          <w:szCs w:val="20"/>
          <w:vertAlign w:val="superscript"/>
        </w:rPr>
        <w:t>48)</w:t>
      </w:r>
    </w:p>
    <w:p w14:paraId="33E22A58" w14:textId="77777777" w:rsidR="001902DF" w:rsidRDefault="00000000">
      <w:pPr>
        <w:spacing w:before="240" w:after="240" w:line="276" w:lineRule="auto"/>
        <w:rPr>
          <w:sz w:val="20"/>
          <w:szCs w:val="20"/>
        </w:rPr>
      </w:pPr>
      <w:r>
        <w:rPr>
          <w:sz w:val="20"/>
          <w:szCs w:val="20"/>
        </w:rPr>
        <w:t xml:space="preserve">Finally, in June 2025 the House adopted the Privileges Committee’s recommendation to suspend three Te </w:t>
      </w:r>
      <w:proofErr w:type="spellStart"/>
      <w:r>
        <w:rPr>
          <w:sz w:val="20"/>
          <w:szCs w:val="20"/>
        </w:rPr>
        <w:t>Pāti</w:t>
      </w:r>
      <w:proofErr w:type="spellEnd"/>
      <w:r>
        <w:rPr>
          <w:sz w:val="20"/>
          <w:szCs w:val="20"/>
        </w:rPr>
        <w:t xml:space="preserve"> Māori MPs (two for 21 days; one for 7 days) for conduct during a haka performed in the Chamber while the House was voting. Although officials stressed the penalties were for disorder and “intimidation” rather than the haka itself, the unprecedented severity has been widely read as chilling Māori cultural and political expression inside </w:t>
      </w:r>
      <w:proofErr w:type="gramStart"/>
      <w:r>
        <w:rPr>
          <w:sz w:val="20"/>
          <w:szCs w:val="20"/>
        </w:rPr>
        <w:t>Parliament.</w:t>
      </w:r>
      <w:r>
        <w:rPr>
          <w:sz w:val="20"/>
          <w:szCs w:val="20"/>
          <w:vertAlign w:val="superscript"/>
        </w:rPr>
        <w:t>(</w:t>
      </w:r>
      <w:proofErr w:type="gramEnd"/>
      <w:r>
        <w:rPr>
          <w:sz w:val="20"/>
          <w:szCs w:val="20"/>
          <w:vertAlign w:val="superscript"/>
        </w:rPr>
        <w:t>49)</w:t>
      </w:r>
    </w:p>
    <w:p w14:paraId="067F44C5" w14:textId="77777777" w:rsidR="001902DF" w:rsidRDefault="00000000">
      <w:pPr>
        <w:spacing w:line="276" w:lineRule="auto"/>
        <w:rPr>
          <w:sz w:val="20"/>
          <w:szCs w:val="20"/>
        </w:rPr>
      </w:pPr>
      <w:r>
        <w:rPr>
          <w:sz w:val="20"/>
          <w:szCs w:val="20"/>
        </w:rPr>
        <w:t xml:space="preserve">Since the 2023 general election, the coalition Government has implemented several policies that have been widely </w:t>
      </w:r>
      <w:proofErr w:type="spellStart"/>
      <w:r>
        <w:rPr>
          <w:sz w:val="20"/>
          <w:szCs w:val="20"/>
        </w:rPr>
        <w:t>criticised</w:t>
      </w:r>
      <w:proofErr w:type="spellEnd"/>
      <w:r>
        <w:rPr>
          <w:sz w:val="20"/>
          <w:szCs w:val="20"/>
        </w:rPr>
        <w:t xml:space="preserve"> as detrimental to </w:t>
      </w:r>
      <w:proofErr w:type="spellStart"/>
      <w:r>
        <w:rPr>
          <w:sz w:val="20"/>
          <w:szCs w:val="20"/>
        </w:rPr>
        <w:t>te</w:t>
      </w:r>
      <w:proofErr w:type="spellEnd"/>
      <w:r>
        <w:rPr>
          <w:sz w:val="20"/>
          <w:szCs w:val="20"/>
        </w:rPr>
        <w:t xml:space="preserve"> </w:t>
      </w:r>
      <w:proofErr w:type="spellStart"/>
      <w:r>
        <w:rPr>
          <w:sz w:val="20"/>
          <w:szCs w:val="20"/>
        </w:rPr>
        <w:t>reo</w:t>
      </w:r>
      <w:proofErr w:type="spellEnd"/>
      <w:r>
        <w:rPr>
          <w:sz w:val="20"/>
          <w:szCs w:val="20"/>
        </w:rPr>
        <w:t xml:space="preserve"> Māori. The government committed through the coalition agreement to direct public services to </w:t>
      </w:r>
      <w:proofErr w:type="spellStart"/>
      <w:r>
        <w:rPr>
          <w:sz w:val="20"/>
          <w:szCs w:val="20"/>
        </w:rPr>
        <w:t>prioritise</w:t>
      </w:r>
      <w:proofErr w:type="spellEnd"/>
      <w:r>
        <w:rPr>
          <w:sz w:val="20"/>
          <w:szCs w:val="20"/>
        </w:rPr>
        <w:t xml:space="preserve"> English in official communications, excepting services that are “specifically relevant to Māori”, and instructed all Ministries and departments to use their English names predominantly. The government further undermined visibility and </w:t>
      </w:r>
      <w:proofErr w:type="spellStart"/>
      <w:r>
        <w:rPr>
          <w:sz w:val="20"/>
          <w:szCs w:val="20"/>
        </w:rPr>
        <w:t>normalisation</w:t>
      </w:r>
      <w:proofErr w:type="spellEnd"/>
      <w:r>
        <w:rPr>
          <w:sz w:val="20"/>
          <w:szCs w:val="20"/>
        </w:rPr>
        <w:t xml:space="preserve"> of </w:t>
      </w:r>
      <w:proofErr w:type="spellStart"/>
      <w:r>
        <w:rPr>
          <w:sz w:val="20"/>
          <w:szCs w:val="20"/>
        </w:rPr>
        <w:t>te</w:t>
      </w:r>
      <w:proofErr w:type="spellEnd"/>
      <w:r>
        <w:rPr>
          <w:sz w:val="20"/>
          <w:szCs w:val="20"/>
        </w:rPr>
        <w:t xml:space="preserve"> </w:t>
      </w:r>
      <w:proofErr w:type="spellStart"/>
      <w:r>
        <w:rPr>
          <w:sz w:val="20"/>
          <w:szCs w:val="20"/>
        </w:rPr>
        <w:t>reo</w:t>
      </w:r>
      <w:proofErr w:type="spellEnd"/>
      <w:r>
        <w:rPr>
          <w:sz w:val="20"/>
          <w:szCs w:val="20"/>
        </w:rPr>
        <w:t xml:space="preserve"> Māori in public life by reducing funding by 64% to Aotearoa </w:t>
      </w:r>
      <w:proofErr w:type="spellStart"/>
      <w:r>
        <w:rPr>
          <w:sz w:val="20"/>
          <w:szCs w:val="20"/>
        </w:rPr>
        <w:t>Reorua</w:t>
      </w:r>
      <w:proofErr w:type="spellEnd"/>
      <w:r>
        <w:rPr>
          <w:sz w:val="20"/>
          <w:szCs w:val="20"/>
        </w:rPr>
        <w:t xml:space="preserve"> (Bilingual Towns and Cities), an initiative to assist councils, businesses, groups and individuals adopting bilingual or </w:t>
      </w:r>
      <w:proofErr w:type="spellStart"/>
      <w:r>
        <w:rPr>
          <w:sz w:val="20"/>
          <w:szCs w:val="20"/>
        </w:rPr>
        <w:t>te</w:t>
      </w:r>
      <w:proofErr w:type="spellEnd"/>
      <w:r>
        <w:rPr>
          <w:sz w:val="20"/>
          <w:szCs w:val="20"/>
        </w:rPr>
        <w:t xml:space="preserve"> </w:t>
      </w:r>
      <w:proofErr w:type="spellStart"/>
      <w:r>
        <w:rPr>
          <w:sz w:val="20"/>
          <w:szCs w:val="20"/>
        </w:rPr>
        <w:t>reo</w:t>
      </w:r>
      <w:proofErr w:type="spellEnd"/>
      <w:r>
        <w:rPr>
          <w:sz w:val="20"/>
          <w:szCs w:val="20"/>
        </w:rPr>
        <w:t xml:space="preserve"> Māori signage in public spaces.</w:t>
      </w:r>
    </w:p>
    <w:p w14:paraId="5B7DE207" w14:textId="77777777" w:rsidR="001902DF" w:rsidRDefault="00000000">
      <w:pPr>
        <w:spacing w:line="276" w:lineRule="auto"/>
        <w:rPr>
          <w:sz w:val="20"/>
          <w:szCs w:val="20"/>
        </w:rPr>
      </w:pPr>
      <w:r>
        <w:rPr>
          <w:sz w:val="20"/>
          <w:szCs w:val="20"/>
        </w:rPr>
        <w:t xml:space="preserve">Initiatives that support the presence and development of </w:t>
      </w:r>
      <w:proofErr w:type="spellStart"/>
      <w:r>
        <w:rPr>
          <w:sz w:val="20"/>
          <w:szCs w:val="20"/>
        </w:rPr>
        <w:t>te</w:t>
      </w:r>
      <w:proofErr w:type="spellEnd"/>
      <w:r>
        <w:rPr>
          <w:sz w:val="20"/>
          <w:szCs w:val="20"/>
        </w:rPr>
        <w:t xml:space="preserve"> Reo Māori in the public service have also been drastically reduced. In December 2023, Public Service Minister Nicola Willis announced plans to prevent the inclusion of </w:t>
      </w:r>
      <w:proofErr w:type="spellStart"/>
      <w:r>
        <w:rPr>
          <w:sz w:val="20"/>
          <w:szCs w:val="20"/>
        </w:rPr>
        <w:t>te</w:t>
      </w:r>
      <w:proofErr w:type="spellEnd"/>
      <w:r>
        <w:rPr>
          <w:sz w:val="20"/>
          <w:szCs w:val="20"/>
        </w:rPr>
        <w:t xml:space="preserve"> </w:t>
      </w:r>
      <w:proofErr w:type="spellStart"/>
      <w:r>
        <w:rPr>
          <w:sz w:val="20"/>
          <w:szCs w:val="20"/>
        </w:rPr>
        <w:t>reo</w:t>
      </w:r>
      <w:proofErr w:type="spellEnd"/>
      <w:r>
        <w:rPr>
          <w:sz w:val="20"/>
          <w:szCs w:val="20"/>
        </w:rPr>
        <w:t xml:space="preserve"> Māori proficiency bonuses in future collective employment </w:t>
      </w:r>
      <w:proofErr w:type="gramStart"/>
      <w:r>
        <w:rPr>
          <w:sz w:val="20"/>
          <w:szCs w:val="20"/>
        </w:rPr>
        <w:t>agreements.</w:t>
      </w:r>
      <w:r>
        <w:rPr>
          <w:sz w:val="20"/>
          <w:szCs w:val="20"/>
          <w:vertAlign w:val="superscript"/>
        </w:rPr>
        <w:t>(</w:t>
      </w:r>
      <w:proofErr w:type="gramEnd"/>
      <w:r>
        <w:rPr>
          <w:sz w:val="20"/>
          <w:szCs w:val="20"/>
          <w:vertAlign w:val="superscript"/>
        </w:rPr>
        <w:t>50)</w:t>
      </w:r>
    </w:p>
    <w:p w14:paraId="075503AF" w14:textId="77777777" w:rsidR="001902DF" w:rsidRDefault="00000000">
      <w:pPr>
        <w:spacing w:line="276" w:lineRule="auto"/>
        <w:rPr>
          <w:sz w:val="20"/>
          <w:szCs w:val="20"/>
        </w:rPr>
      </w:pPr>
      <w:r>
        <w:rPr>
          <w:sz w:val="20"/>
          <w:szCs w:val="20"/>
        </w:rPr>
        <w:t xml:space="preserve">Collectively, these policies have held a detrimental effect upon the </w:t>
      </w:r>
      <w:proofErr w:type="spellStart"/>
      <w:r>
        <w:rPr>
          <w:sz w:val="20"/>
          <w:szCs w:val="20"/>
        </w:rPr>
        <w:t>normalisation</w:t>
      </w:r>
      <w:proofErr w:type="spellEnd"/>
      <w:r>
        <w:rPr>
          <w:sz w:val="20"/>
          <w:szCs w:val="20"/>
        </w:rPr>
        <w:t xml:space="preserve"> and development of </w:t>
      </w:r>
      <w:proofErr w:type="spellStart"/>
      <w:r>
        <w:rPr>
          <w:sz w:val="20"/>
          <w:szCs w:val="20"/>
        </w:rPr>
        <w:t>te</w:t>
      </w:r>
      <w:proofErr w:type="spellEnd"/>
      <w:r>
        <w:rPr>
          <w:sz w:val="20"/>
          <w:szCs w:val="20"/>
        </w:rPr>
        <w:t xml:space="preserve"> Reo Māori, and amount to a regression in Māori cultural rights.</w:t>
      </w:r>
    </w:p>
    <w:p w14:paraId="637AFB95" w14:textId="77777777" w:rsidR="001902DF" w:rsidRDefault="00000000">
      <w:pPr>
        <w:pStyle w:val="Heading1"/>
        <w:spacing w:before="240" w:after="240" w:line="276" w:lineRule="auto"/>
        <w:ind w:left="0"/>
        <w:rPr>
          <w:sz w:val="20"/>
          <w:szCs w:val="20"/>
        </w:rPr>
      </w:pPr>
      <w:bookmarkStart w:id="33" w:name="_heading=h.f4vs6s2is6y1" w:colFirst="0" w:colLast="0"/>
      <w:bookmarkEnd w:id="33"/>
      <w:r>
        <w:rPr>
          <w:sz w:val="20"/>
          <w:szCs w:val="20"/>
        </w:rPr>
        <w:t xml:space="preserve">RACIALISED MISCONDUCT BY ELECTED OFFICIALS </w:t>
      </w:r>
    </w:p>
    <w:p w14:paraId="00126703" w14:textId="77777777" w:rsidR="001902DF" w:rsidRDefault="00000000">
      <w:pPr>
        <w:pStyle w:val="Heading2"/>
        <w:spacing w:before="240" w:after="240" w:line="276" w:lineRule="auto"/>
        <w:ind w:left="0"/>
        <w:rPr>
          <w:sz w:val="20"/>
          <w:szCs w:val="20"/>
        </w:rPr>
      </w:pPr>
      <w:bookmarkStart w:id="34" w:name="_heading=h.yl5sot8vfh0" w:colFirst="0" w:colLast="0"/>
      <w:bookmarkEnd w:id="34"/>
      <w:r>
        <w:rPr>
          <w:sz w:val="20"/>
          <w:szCs w:val="20"/>
        </w:rPr>
        <w:t xml:space="preserve">Propaganda And Abuse </w:t>
      </w:r>
      <w:proofErr w:type="gramStart"/>
      <w:r>
        <w:rPr>
          <w:sz w:val="20"/>
          <w:szCs w:val="20"/>
        </w:rPr>
        <w:t>By</w:t>
      </w:r>
      <w:proofErr w:type="gramEnd"/>
      <w:r>
        <w:rPr>
          <w:sz w:val="20"/>
          <w:szCs w:val="20"/>
        </w:rPr>
        <w:t xml:space="preserve"> Elected Officials</w:t>
      </w:r>
    </w:p>
    <w:p w14:paraId="5D06966F" w14:textId="77777777" w:rsidR="001902DF" w:rsidRDefault="00000000">
      <w:pPr>
        <w:spacing w:before="240" w:after="240" w:line="276" w:lineRule="auto"/>
        <w:rPr>
          <w:sz w:val="20"/>
          <w:szCs w:val="20"/>
        </w:rPr>
      </w:pPr>
      <w:r>
        <w:rPr>
          <w:sz w:val="20"/>
          <w:szCs w:val="20"/>
        </w:rPr>
        <w:lastRenderedPageBreak/>
        <w:t xml:space="preserve">Throughout this current Government’s term, elected officials have engaged in multiple instances of incitement of hate based on race, including through disinformation. In March </w:t>
      </w:r>
      <w:proofErr w:type="gramStart"/>
      <w:r>
        <w:rPr>
          <w:sz w:val="20"/>
          <w:szCs w:val="20"/>
        </w:rPr>
        <w:t>2024,  Deputy</w:t>
      </w:r>
      <w:proofErr w:type="gramEnd"/>
      <w:r>
        <w:rPr>
          <w:sz w:val="20"/>
          <w:szCs w:val="20"/>
        </w:rPr>
        <w:t xml:space="preserve"> Prime Minister Winston Peters made repeated comments that incited hate towards Treaty justice measures such as designated safe spaces for </w:t>
      </w:r>
      <w:proofErr w:type="spellStart"/>
      <w:r>
        <w:rPr>
          <w:sz w:val="20"/>
          <w:szCs w:val="20"/>
        </w:rPr>
        <w:t>minoritised</w:t>
      </w:r>
      <w:proofErr w:type="spellEnd"/>
      <w:r>
        <w:rPr>
          <w:sz w:val="20"/>
          <w:szCs w:val="20"/>
        </w:rPr>
        <w:t xml:space="preserve"> racial groups or co-governance, for example:</w:t>
      </w:r>
    </w:p>
    <w:p w14:paraId="60C610F1" w14:textId="77777777" w:rsidR="001902DF" w:rsidRDefault="00000000">
      <w:pPr>
        <w:spacing w:before="240" w:after="240" w:line="276" w:lineRule="auto"/>
        <w:ind w:left="720"/>
        <w:rPr>
          <w:b/>
          <w:i/>
          <w:sz w:val="20"/>
          <w:szCs w:val="20"/>
          <w:vertAlign w:val="superscript"/>
        </w:rPr>
      </w:pPr>
      <w:r>
        <w:rPr>
          <w:i/>
          <w:sz w:val="20"/>
          <w:szCs w:val="20"/>
        </w:rPr>
        <w:t xml:space="preserve">Some of our Universities have become a haven of 'woke cultural brainwashing' – where they teach, and clearly actively participate in, dangerous rhetoric and demonstrable race-based practices… They try to justify their actions by attributing it to some sort of ‘moral cultural crusade’ and </w:t>
      </w:r>
      <w:proofErr w:type="spellStart"/>
      <w:r>
        <w:rPr>
          <w:i/>
          <w:sz w:val="20"/>
          <w:szCs w:val="20"/>
        </w:rPr>
        <w:t>wilfully</w:t>
      </w:r>
      <w:proofErr w:type="spellEnd"/>
      <w:r>
        <w:rPr>
          <w:i/>
          <w:sz w:val="20"/>
          <w:szCs w:val="20"/>
        </w:rPr>
        <w:t xml:space="preserve"> ignore the direct comparisons to the KKK and the apartheid way of thinking where we are divided by </w:t>
      </w:r>
      <w:proofErr w:type="gramStart"/>
      <w:r>
        <w:rPr>
          <w:i/>
          <w:sz w:val="20"/>
          <w:szCs w:val="20"/>
        </w:rPr>
        <w:t>race.</w:t>
      </w:r>
      <w:r>
        <w:rPr>
          <w:sz w:val="20"/>
          <w:szCs w:val="20"/>
          <w:vertAlign w:val="superscript"/>
        </w:rPr>
        <w:t>(</w:t>
      </w:r>
      <w:proofErr w:type="gramEnd"/>
      <w:r>
        <w:rPr>
          <w:sz w:val="20"/>
          <w:szCs w:val="20"/>
          <w:vertAlign w:val="superscript"/>
        </w:rPr>
        <w:t>49)</w:t>
      </w:r>
    </w:p>
    <w:p w14:paraId="2984D541" w14:textId="77777777" w:rsidR="001902DF" w:rsidRDefault="00000000">
      <w:pPr>
        <w:spacing w:before="240" w:after="240" w:line="276" w:lineRule="auto"/>
        <w:ind w:left="720"/>
        <w:rPr>
          <w:b/>
          <w:i/>
          <w:sz w:val="20"/>
          <w:szCs w:val="20"/>
          <w:vertAlign w:val="superscript"/>
        </w:rPr>
      </w:pPr>
      <w:r>
        <w:rPr>
          <w:i/>
          <w:sz w:val="20"/>
          <w:szCs w:val="20"/>
        </w:rPr>
        <w:t xml:space="preserve">…where some people's DNA made them better than others. The left had simply run roughshod over society… And from this academic deceit and legal misconstruction have come all manner of demands based on ethnicity of race inevitably to the benefit of self-appointed Maori </w:t>
      </w:r>
      <w:proofErr w:type="gramStart"/>
      <w:r>
        <w:rPr>
          <w:i/>
          <w:sz w:val="20"/>
          <w:szCs w:val="20"/>
        </w:rPr>
        <w:t>elite.</w:t>
      </w:r>
      <w:r>
        <w:rPr>
          <w:sz w:val="20"/>
          <w:szCs w:val="20"/>
          <w:vertAlign w:val="superscript"/>
        </w:rPr>
        <w:t>(</w:t>
      </w:r>
      <w:proofErr w:type="gramEnd"/>
      <w:r>
        <w:rPr>
          <w:sz w:val="20"/>
          <w:szCs w:val="20"/>
          <w:vertAlign w:val="superscript"/>
        </w:rPr>
        <w:t>52)</w:t>
      </w:r>
    </w:p>
    <w:p w14:paraId="67F5E113" w14:textId="77777777" w:rsidR="001902DF" w:rsidRDefault="00000000">
      <w:pPr>
        <w:spacing w:before="240" w:after="240" w:line="276" w:lineRule="auto"/>
        <w:rPr>
          <w:sz w:val="20"/>
          <w:szCs w:val="20"/>
        </w:rPr>
      </w:pPr>
      <w:r>
        <w:rPr>
          <w:sz w:val="20"/>
          <w:szCs w:val="20"/>
        </w:rPr>
        <w:t xml:space="preserve">The </w:t>
      </w:r>
      <w:proofErr w:type="gramStart"/>
      <w:r>
        <w:rPr>
          <w:sz w:val="20"/>
          <w:szCs w:val="20"/>
        </w:rPr>
        <w:t>mis-</w:t>
      </w:r>
      <w:proofErr w:type="spellStart"/>
      <w:r>
        <w:rPr>
          <w:sz w:val="20"/>
          <w:szCs w:val="20"/>
        </w:rPr>
        <w:t>characterisation</w:t>
      </w:r>
      <w:proofErr w:type="spellEnd"/>
      <w:proofErr w:type="gramEnd"/>
      <w:r>
        <w:rPr>
          <w:sz w:val="20"/>
          <w:szCs w:val="20"/>
        </w:rPr>
        <w:t xml:space="preserve"> of Māori leaders as “self-appointed elite” and of co-governance as apartheid or </w:t>
      </w:r>
      <w:proofErr w:type="spellStart"/>
      <w:r>
        <w:rPr>
          <w:sz w:val="20"/>
          <w:szCs w:val="20"/>
        </w:rPr>
        <w:t>nazism</w:t>
      </w:r>
      <w:proofErr w:type="spellEnd"/>
      <w:r>
        <w:rPr>
          <w:sz w:val="20"/>
          <w:szCs w:val="20"/>
        </w:rPr>
        <w:t xml:space="preserve"> directs hate towards Māori and towards Treaty justice initiatives.</w:t>
      </w:r>
    </w:p>
    <w:p w14:paraId="5EC87429" w14:textId="77777777" w:rsidR="001902DF" w:rsidRDefault="00000000">
      <w:pPr>
        <w:spacing w:before="240" w:after="240" w:line="276" w:lineRule="auto"/>
        <w:rPr>
          <w:sz w:val="20"/>
          <w:szCs w:val="20"/>
        </w:rPr>
      </w:pPr>
      <w:r>
        <w:rPr>
          <w:sz w:val="20"/>
          <w:szCs w:val="20"/>
        </w:rPr>
        <w:t xml:space="preserve">Minister Peters has also been </w:t>
      </w:r>
      <w:proofErr w:type="spellStart"/>
      <w:r>
        <w:rPr>
          <w:sz w:val="20"/>
          <w:szCs w:val="20"/>
        </w:rPr>
        <w:t>criticised</w:t>
      </w:r>
      <w:proofErr w:type="spellEnd"/>
      <w:r>
        <w:rPr>
          <w:sz w:val="20"/>
          <w:szCs w:val="20"/>
        </w:rPr>
        <w:t xml:space="preserve"> for using racially hostile language towards Mexican and Chinese New Zealander MPs in Parliament, stating: </w:t>
      </w:r>
    </w:p>
    <w:p w14:paraId="4B1D3611" w14:textId="77777777" w:rsidR="001902DF" w:rsidRDefault="00000000">
      <w:pPr>
        <w:spacing w:before="240" w:after="240" w:line="276" w:lineRule="auto"/>
        <w:ind w:left="720"/>
        <w:rPr>
          <w:sz w:val="20"/>
          <w:szCs w:val="20"/>
        </w:rPr>
      </w:pPr>
      <w:r>
        <w:rPr>
          <w:i/>
          <w:sz w:val="20"/>
          <w:szCs w:val="20"/>
        </w:rPr>
        <w:t xml:space="preserve">The very people who are here on the very refuge that we give to them have come here with their ideas, foreign to our country, native to theirs, and they wish to impose them upon our Parliament. No, you don’t. You’re not going to succeed here. You might be laughing now, you might be laughing now, but you’ll be crying tomorrow. Come to this country, show some </w:t>
      </w:r>
      <w:proofErr w:type="gramStart"/>
      <w:r>
        <w:rPr>
          <w:i/>
          <w:sz w:val="20"/>
          <w:szCs w:val="20"/>
        </w:rPr>
        <w:t>gratitude</w:t>
      </w:r>
      <w:r>
        <w:rPr>
          <w:sz w:val="20"/>
          <w:szCs w:val="20"/>
        </w:rPr>
        <w:t>.</w:t>
      </w:r>
      <w:r>
        <w:rPr>
          <w:sz w:val="20"/>
          <w:szCs w:val="20"/>
          <w:vertAlign w:val="superscript"/>
        </w:rPr>
        <w:t>(</w:t>
      </w:r>
      <w:proofErr w:type="gramEnd"/>
      <w:r>
        <w:rPr>
          <w:sz w:val="20"/>
          <w:szCs w:val="20"/>
          <w:vertAlign w:val="superscript"/>
        </w:rPr>
        <w:t>53)</w:t>
      </w:r>
    </w:p>
    <w:p w14:paraId="3AAFF69A" w14:textId="77777777" w:rsidR="001902DF" w:rsidRDefault="00000000">
      <w:pPr>
        <w:spacing w:before="240" w:after="240" w:line="276" w:lineRule="auto"/>
        <w:rPr>
          <w:sz w:val="20"/>
          <w:szCs w:val="20"/>
        </w:rPr>
      </w:pPr>
      <w:r>
        <w:rPr>
          <w:sz w:val="20"/>
          <w:szCs w:val="20"/>
        </w:rPr>
        <w:t>Such accusations operate upon xenophobic replacement theories and are designed to frame migrants as a risk to national identity. Throughout the same debate, Minister Shane Jones also called out:</w:t>
      </w:r>
    </w:p>
    <w:p w14:paraId="0B945647" w14:textId="77777777" w:rsidR="001902DF" w:rsidRDefault="00000000">
      <w:pPr>
        <w:spacing w:before="240" w:after="240" w:line="276" w:lineRule="auto"/>
        <w:ind w:left="720"/>
        <w:rPr>
          <w:sz w:val="20"/>
          <w:szCs w:val="20"/>
        </w:rPr>
      </w:pPr>
      <w:r>
        <w:rPr>
          <w:sz w:val="20"/>
          <w:szCs w:val="20"/>
        </w:rPr>
        <w:t>“Call Mr. Trump, call Mr. Trump! Send the Mexicans home!”</w:t>
      </w:r>
    </w:p>
    <w:p w14:paraId="54BE9D96" w14:textId="77777777" w:rsidR="001902DF" w:rsidRDefault="00000000">
      <w:pPr>
        <w:spacing w:before="240" w:after="240" w:line="276" w:lineRule="auto"/>
        <w:rPr>
          <w:sz w:val="20"/>
          <w:szCs w:val="20"/>
        </w:rPr>
      </w:pPr>
      <w:r>
        <w:rPr>
          <w:sz w:val="20"/>
          <w:szCs w:val="20"/>
        </w:rPr>
        <w:t>Further xenophobic commentary from the same elected official (Minister Jones) occurred in September 2025, when he remarked to press that Indian surnames such as “Singh” and “Patel” represented a significant, “irreversible” shift in the “demography, character and the make-up of society”, inferring that the demographic shift was intentional and should be “campaigned on</w:t>
      </w:r>
      <w:proofErr w:type="gramStart"/>
      <w:r>
        <w:rPr>
          <w:sz w:val="20"/>
          <w:szCs w:val="20"/>
        </w:rPr>
        <w:t>”.</w:t>
      </w:r>
      <w:r>
        <w:rPr>
          <w:sz w:val="20"/>
          <w:szCs w:val="20"/>
          <w:vertAlign w:val="superscript"/>
        </w:rPr>
        <w:t>(</w:t>
      </w:r>
      <w:proofErr w:type="gramEnd"/>
      <w:r>
        <w:rPr>
          <w:sz w:val="20"/>
          <w:szCs w:val="20"/>
          <w:vertAlign w:val="superscript"/>
        </w:rPr>
        <w:t>54)</w:t>
      </w:r>
    </w:p>
    <w:p w14:paraId="2FB05B62" w14:textId="77777777" w:rsidR="001902DF" w:rsidRDefault="00000000">
      <w:pPr>
        <w:spacing w:before="240" w:after="240" w:line="276" w:lineRule="auto"/>
        <w:rPr>
          <w:sz w:val="20"/>
          <w:szCs w:val="20"/>
        </w:rPr>
      </w:pPr>
      <w:r>
        <w:rPr>
          <w:sz w:val="20"/>
          <w:szCs w:val="20"/>
        </w:rPr>
        <w:t xml:space="preserve">Language such as this contributes to fear-based disinformation narratives such as the “great replacement theory”, increasing hostility towards non-European migrant New Zealanders and contributing towards unprecedented levels of threats and harassment towards </w:t>
      </w:r>
      <w:proofErr w:type="spellStart"/>
      <w:r>
        <w:rPr>
          <w:sz w:val="20"/>
          <w:szCs w:val="20"/>
        </w:rPr>
        <w:t>marginalised</w:t>
      </w:r>
      <w:proofErr w:type="spellEnd"/>
      <w:r>
        <w:rPr>
          <w:sz w:val="20"/>
          <w:szCs w:val="20"/>
        </w:rPr>
        <w:t xml:space="preserve"> New Zealanders, politicians and political candidates.</w:t>
      </w:r>
    </w:p>
    <w:p w14:paraId="1BAE9AEA" w14:textId="77777777" w:rsidR="001902DF" w:rsidRDefault="00000000">
      <w:pPr>
        <w:pStyle w:val="Heading2"/>
        <w:spacing w:line="276" w:lineRule="auto"/>
        <w:ind w:left="0" w:firstLine="0"/>
        <w:rPr>
          <w:sz w:val="20"/>
          <w:szCs w:val="20"/>
        </w:rPr>
      </w:pPr>
      <w:bookmarkStart w:id="35" w:name="_heading=h.6e00kqb89db9" w:colFirst="0" w:colLast="0"/>
      <w:bookmarkEnd w:id="35"/>
      <w:proofErr w:type="spellStart"/>
      <w:r>
        <w:rPr>
          <w:sz w:val="20"/>
          <w:szCs w:val="20"/>
        </w:rPr>
        <w:t>Weaponisation</w:t>
      </w:r>
      <w:proofErr w:type="spellEnd"/>
      <w:r>
        <w:rPr>
          <w:sz w:val="20"/>
          <w:szCs w:val="20"/>
        </w:rPr>
        <w:t xml:space="preserve"> of Human Rights Language</w:t>
      </w:r>
    </w:p>
    <w:p w14:paraId="1479D475" w14:textId="77777777" w:rsidR="001902DF" w:rsidRDefault="00000000">
      <w:pPr>
        <w:spacing w:line="276" w:lineRule="auto"/>
        <w:rPr>
          <w:sz w:val="20"/>
          <w:szCs w:val="20"/>
        </w:rPr>
      </w:pPr>
      <w:r>
        <w:rPr>
          <w:sz w:val="20"/>
          <w:szCs w:val="20"/>
        </w:rPr>
        <w:t xml:space="preserve">There has been a consistent warping of human rights language by elected officials </w:t>
      </w:r>
      <w:proofErr w:type="gramStart"/>
      <w:r>
        <w:rPr>
          <w:sz w:val="20"/>
          <w:szCs w:val="20"/>
        </w:rPr>
        <w:t>in an attempt to</w:t>
      </w:r>
      <w:proofErr w:type="gramEnd"/>
      <w:r>
        <w:rPr>
          <w:sz w:val="20"/>
          <w:szCs w:val="20"/>
        </w:rPr>
        <w:t xml:space="preserve"> pass legislation that would harm human rights for </w:t>
      </w:r>
      <w:proofErr w:type="spellStart"/>
      <w:r>
        <w:rPr>
          <w:sz w:val="20"/>
          <w:szCs w:val="20"/>
        </w:rPr>
        <w:t>tangata</w:t>
      </w:r>
      <w:proofErr w:type="spellEnd"/>
      <w:r>
        <w:rPr>
          <w:sz w:val="20"/>
          <w:szCs w:val="20"/>
        </w:rPr>
        <w:t xml:space="preserve"> whenua and </w:t>
      </w:r>
      <w:proofErr w:type="spellStart"/>
      <w:r>
        <w:rPr>
          <w:sz w:val="20"/>
          <w:szCs w:val="20"/>
        </w:rPr>
        <w:t>minoritised</w:t>
      </w:r>
      <w:proofErr w:type="spellEnd"/>
      <w:r>
        <w:rPr>
          <w:sz w:val="20"/>
          <w:szCs w:val="20"/>
        </w:rPr>
        <w:t xml:space="preserve"> racial groups. As examples, both the Treaty Principles Bill and the Regulatory Standards Bill discussed above were advanced under </w:t>
      </w:r>
      <w:proofErr w:type="spellStart"/>
      <w:r>
        <w:rPr>
          <w:sz w:val="20"/>
          <w:szCs w:val="20"/>
        </w:rPr>
        <w:t>mischaracterisations</w:t>
      </w:r>
      <w:proofErr w:type="spellEnd"/>
      <w:r>
        <w:rPr>
          <w:sz w:val="20"/>
          <w:szCs w:val="20"/>
        </w:rPr>
        <w:t xml:space="preserve"> of Treaty-based provisions (often aligned with UNCERD recommendations for affirmative action) as “race-based”, “racist” and “unfair”, whilst </w:t>
      </w:r>
      <w:proofErr w:type="gramStart"/>
      <w:r>
        <w:rPr>
          <w:sz w:val="20"/>
          <w:szCs w:val="20"/>
        </w:rPr>
        <w:t>mis-aligning</w:t>
      </w:r>
      <w:proofErr w:type="gramEnd"/>
      <w:r>
        <w:rPr>
          <w:sz w:val="20"/>
          <w:szCs w:val="20"/>
        </w:rPr>
        <w:t xml:space="preserve"> “equality” with sameness. In his oral submission before the parliamentary select committee on the Treaty Principles Bill, Deputy Prime Minister David Seymour made numerous statements which </w:t>
      </w:r>
      <w:proofErr w:type="spellStart"/>
      <w:r>
        <w:rPr>
          <w:sz w:val="20"/>
          <w:szCs w:val="20"/>
        </w:rPr>
        <w:t>decontextualised</w:t>
      </w:r>
      <w:proofErr w:type="spellEnd"/>
      <w:r>
        <w:rPr>
          <w:sz w:val="20"/>
          <w:szCs w:val="20"/>
        </w:rPr>
        <w:t xml:space="preserve"> and misrepresented human rights terminology, including:</w:t>
      </w:r>
    </w:p>
    <w:p w14:paraId="20D850FE" w14:textId="77777777" w:rsidR="001902DF" w:rsidRDefault="00000000">
      <w:pPr>
        <w:spacing w:line="276" w:lineRule="auto"/>
        <w:ind w:left="720"/>
        <w:rPr>
          <w:i/>
          <w:sz w:val="20"/>
          <w:szCs w:val="20"/>
        </w:rPr>
      </w:pPr>
      <w:r>
        <w:rPr>
          <w:i/>
          <w:sz w:val="20"/>
          <w:szCs w:val="20"/>
        </w:rPr>
        <w:lastRenderedPageBreak/>
        <w:t>What we've witnessed in recent decades, as the courts in the Waitangi Tribunal have sought to define the principles of the treaty, is incompatible with freedom under the law, with a free society where each of us have equal rights…</w:t>
      </w:r>
    </w:p>
    <w:p w14:paraId="25A7D480" w14:textId="77777777" w:rsidR="001902DF" w:rsidRDefault="00000000">
      <w:pPr>
        <w:spacing w:line="276" w:lineRule="auto"/>
        <w:ind w:left="720"/>
        <w:rPr>
          <w:i/>
          <w:sz w:val="20"/>
          <w:szCs w:val="20"/>
        </w:rPr>
      </w:pPr>
      <w:r>
        <w:rPr>
          <w:i/>
          <w:sz w:val="20"/>
          <w:szCs w:val="20"/>
        </w:rPr>
        <w:t>Dividing people into racial groups is the definition of racism…</w:t>
      </w:r>
    </w:p>
    <w:p w14:paraId="328FFD21" w14:textId="77777777" w:rsidR="001902DF" w:rsidRDefault="00000000">
      <w:pPr>
        <w:spacing w:line="276" w:lineRule="auto"/>
        <w:ind w:left="720"/>
        <w:rPr>
          <w:i/>
          <w:sz w:val="20"/>
          <w:szCs w:val="20"/>
        </w:rPr>
      </w:pPr>
      <w:r>
        <w:rPr>
          <w:i/>
          <w:sz w:val="20"/>
          <w:szCs w:val="20"/>
        </w:rPr>
        <w:t>The belief that roles in society should be preserved with race as the primary qualifier is the definition of racism, something we abhor, should give nothing to, and should all do everything in our power to expunge from our society…</w:t>
      </w:r>
    </w:p>
    <w:p w14:paraId="58EEB187" w14:textId="77777777" w:rsidR="001902DF" w:rsidRDefault="00000000">
      <w:pPr>
        <w:spacing w:line="276" w:lineRule="auto"/>
        <w:ind w:left="720"/>
        <w:rPr>
          <w:sz w:val="20"/>
          <w:szCs w:val="20"/>
          <w:vertAlign w:val="superscript"/>
        </w:rPr>
      </w:pPr>
      <w:r>
        <w:rPr>
          <w:i/>
          <w:sz w:val="20"/>
          <w:szCs w:val="20"/>
        </w:rPr>
        <w:t>Using race or your ancestral background as a way of deciding who needs help is simply ineffective…</w:t>
      </w:r>
      <w:r>
        <w:rPr>
          <w:sz w:val="20"/>
          <w:szCs w:val="20"/>
        </w:rPr>
        <w:t xml:space="preserve"> </w:t>
      </w:r>
      <w:r>
        <w:rPr>
          <w:sz w:val="20"/>
          <w:szCs w:val="20"/>
          <w:vertAlign w:val="superscript"/>
        </w:rPr>
        <w:t>(55)</w:t>
      </w:r>
    </w:p>
    <w:p w14:paraId="581D8060" w14:textId="77777777" w:rsidR="001902DF" w:rsidRDefault="00000000">
      <w:pPr>
        <w:spacing w:line="276" w:lineRule="auto"/>
        <w:rPr>
          <w:sz w:val="20"/>
          <w:szCs w:val="20"/>
        </w:rPr>
      </w:pPr>
      <w:r>
        <w:rPr>
          <w:sz w:val="20"/>
          <w:szCs w:val="20"/>
        </w:rPr>
        <w:t xml:space="preserve">Similar arguments were also </w:t>
      </w:r>
      <w:proofErr w:type="spellStart"/>
      <w:r>
        <w:rPr>
          <w:sz w:val="20"/>
          <w:szCs w:val="20"/>
        </w:rPr>
        <w:t>utilised</w:t>
      </w:r>
      <w:proofErr w:type="spellEnd"/>
      <w:r>
        <w:rPr>
          <w:sz w:val="20"/>
          <w:szCs w:val="20"/>
        </w:rPr>
        <w:t xml:space="preserve"> to defend and promote the Regulatory Standards Bill, which also operates upon a conflation of equality with sameness.</w:t>
      </w:r>
    </w:p>
    <w:p w14:paraId="7ED2D822" w14:textId="77777777" w:rsidR="001902DF" w:rsidRDefault="00000000">
      <w:pPr>
        <w:spacing w:line="276" w:lineRule="auto"/>
        <w:rPr>
          <w:b/>
          <w:sz w:val="20"/>
          <w:szCs w:val="20"/>
        </w:rPr>
      </w:pPr>
      <w:r>
        <w:rPr>
          <w:sz w:val="20"/>
          <w:szCs w:val="20"/>
        </w:rPr>
        <w:t xml:space="preserve">We note that such warping of human rights has been addressed by previous CERD committees, particularly in General Recommendation No. 32 (2009) which confirms that special measures designed to correct a </w:t>
      </w:r>
      <w:proofErr w:type="spellStart"/>
      <w:r>
        <w:rPr>
          <w:sz w:val="20"/>
          <w:szCs w:val="20"/>
        </w:rPr>
        <w:t>racialised</w:t>
      </w:r>
      <w:proofErr w:type="spellEnd"/>
      <w:r>
        <w:rPr>
          <w:sz w:val="20"/>
          <w:szCs w:val="20"/>
        </w:rPr>
        <w:t xml:space="preserve"> injustice (</w:t>
      </w:r>
      <w:proofErr w:type="spellStart"/>
      <w:r>
        <w:rPr>
          <w:sz w:val="20"/>
          <w:szCs w:val="20"/>
        </w:rPr>
        <w:t>ie</w:t>
      </w:r>
      <w:proofErr w:type="spellEnd"/>
      <w:r>
        <w:rPr>
          <w:sz w:val="20"/>
          <w:szCs w:val="20"/>
        </w:rPr>
        <w:t xml:space="preserve"> affirmative action) are </w:t>
      </w:r>
      <w:r>
        <w:rPr>
          <w:i/>
          <w:sz w:val="20"/>
          <w:szCs w:val="20"/>
        </w:rPr>
        <w:t xml:space="preserve">not </w:t>
      </w:r>
      <w:r>
        <w:rPr>
          <w:sz w:val="20"/>
          <w:szCs w:val="20"/>
        </w:rPr>
        <w:t xml:space="preserve">discrimination and should not be deemed as </w:t>
      </w:r>
      <w:proofErr w:type="gramStart"/>
      <w:r>
        <w:rPr>
          <w:sz w:val="20"/>
          <w:szCs w:val="20"/>
        </w:rPr>
        <w:t>such.</w:t>
      </w:r>
      <w:r>
        <w:rPr>
          <w:sz w:val="20"/>
          <w:szCs w:val="20"/>
          <w:vertAlign w:val="superscript"/>
        </w:rPr>
        <w:t>(</w:t>
      </w:r>
      <w:proofErr w:type="gramEnd"/>
      <w:r>
        <w:rPr>
          <w:sz w:val="20"/>
          <w:szCs w:val="20"/>
          <w:vertAlign w:val="superscript"/>
        </w:rPr>
        <w:t xml:space="preserve">56) </w:t>
      </w:r>
    </w:p>
    <w:p w14:paraId="79BA9AD1" w14:textId="77777777" w:rsidR="001902DF" w:rsidRDefault="00000000">
      <w:pPr>
        <w:spacing w:line="276" w:lineRule="auto"/>
        <w:rPr>
          <w:sz w:val="20"/>
          <w:szCs w:val="20"/>
        </w:rPr>
      </w:pPr>
      <w:r>
        <w:rPr>
          <w:sz w:val="20"/>
          <w:szCs w:val="20"/>
        </w:rPr>
        <w:t xml:space="preserve">The NICF </w:t>
      </w:r>
      <w:proofErr w:type="gramStart"/>
      <w:r>
        <w:rPr>
          <w:sz w:val="20"/>
          <w:szCs w:val="20"/>
        </w:rPr>
        <w:t>reiterate</w:t>
      </w:r>
      <w:proofErr w:type="gramEnd"/>
      <w:r>
        <w:rPr>
          <w:sz w:val="20"/>
          <w:szCs w:val="20"/>
        </w:rPr>
        <w:t xml:space="preserve"> our </w:t>
      </w:r>
      <w:proofErr w:type="gramStart"/>
      <w:r>
        <w:rPr>
          <w:sz w:val="20"/>
          <w:szCs w:val="20"/>
        </w:rPr>
        <w:t>concerns</w:t>
      </w:r>
      <w:proofErr w:type="gramEnd"/>
      <w:r>
        <w:rPr>
          <w:sz w:val="20"/>
          <w:szCs w:val="20"/>
        </w:rPr>
        <w:t xml:space="preserve"> that elected officials are </w:t>
      </w:r>
      <w:proofErr w:type="spellStart"/>
      <w:r>
        <w:rPr>
          <w:sz w:val="20"/>
          <w:szCs w:val="20"/>
        </w:rPr>
        <w:t>weaponising</w:t>
      </w:r>
      <w:proofErr w:type="spellEnd"/>
      <w:r>
        <w:rPr>
          <w:sz w:val="20"/>
          <w:szCs w:val="20"/>
        </w:rPr>
        <w:t xml:space="preserve"> human rights language </w:t>
      </w:r>
      <w:proofErr w:type="gramStart"/>
      <w:r>
        <w:rPr>
          <w:sz w:val="20"/>
          <w:szCs w:val="20"/>
        </w:rPr>
        <w:t>in order to</w:t>
      </w:r>
      <w:proofErr w:type="gramEnd"/>
      <w:r>
        <w:rPr>
          <w:sz w:val="20"/>
          <w:szCs w:val="20"/>
        </w:rPr>
        <w:t xml:space="preserve"> exploit racial tensions for political advantage.</w:t>
      </w:r>
    </w:p>
    <w:p w14:paraId="06D2378B" w14:textId="77777777" w:rsidR="001902DF" w:rsidRDefault="00000000">
      <w:pPr>
        <w:pStyle w:val="Heading1"/>
        <w:spacing w:line="276" w:lineRule="auto"/>
      </w:pPr>
      <w:bookmarkStart w:id="36" w:name="_heading=h.7bgf143g00rc" w:colFirst="0" w:colLast="0"/>
      <w:bookmarkEnd w:id="36"/>
      <w:r>
        <w:t>RECOMMENDATIONS</w:t>
      </w:r>
    </w:p>
    <w:p w14:paraId="49A98D76" w14:textId="77777777" w:rsidR="001902DF" w:rsidRDefault="00000000">
      <w:pPr>
        <w:numPr>
          <w:ilvl w:val="0"/>
          <w:numId w:val="9"/>
        </w:numPr>
        <w:shd w:val="clear" w:color="auto" w:fill="FFFFFF"/>
        <w:spacing w:before="200" w:after="0" w:line="276" w:lineRule="auto"/>
        <w:jc w:val="left"/>
        <w:rPr>
          <w:sz w:val="20"/>
          <w:szCs w:val="20"/>
        </w:rPr>
      </w:pPr>
      <w:r>
        <w:rPr>
          <w:color w:val="222222"/>
          <w:sz w:val="20"/>
          <w:szCs w:val="20"/>
        </w:rPr>
        <w:t xml:space="preserve">The Committee </w:t>
      </w:r>
      <w:r>
        <w:rPr>
          <w:b/>
          <w:color w:val="222222"/>
          <w:sz w:val="20"/>
          <w:szCs w:val="20"/>
        </w:rPr>
        <w:t>invoke its Early Warning/Urgent Action procedure</w:t>
      </w:r>
      <w:r>
        <w:rPr>
          <w:color w:val="222222"/>
          <w:sz w:val="20"/>
          <w:szCs w:val="20"/>
        </w:rPr>
        <w:t xml:space="preserve"> in relation to New Zealand, </w:t>
      </w:r>
      <w:proofErr w:type="gramStart"/>
      <w:r>
        <w:rPr>
          <w:color w:val="222222"/>
          <w:sz w:val="20"/>
          <w:szCs w:val="20"/>
        </w:rPr>
        <w:t>in light of</w:t>
      </w:r>
      <w:proofErr w:type="gramEnd"/>
      <w:r>
        <w:rPr>
          <w:color w:val="222222"/>
          <w:sz w:val="20"/>
          <w:szCs w:val="20"/>
        </w:rPr>
        <w:t xml:space="preserve"> the systemic legislative rollback and incitement of racial hatred.</w:t>
      </w:r>
    </w:p>
    <w:p w14:paraId="08A4CA07"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The Committee </w:t>
      </w:r>
      <w:r>
        <w:rPr>
          <w:b/>
          <w:color w:val="222222"/>
          <w:sz w:val="20"/>
          <w:szCs w:val="20"/>
        </w:rPr>
        <w:t>appoint a rapporteur</w:t>
      </w:r>
      <w:r>
        <w:rPr>
          <w:color w:val="222222"/>
          <w:sz w:val="20"/>
          <w:szCs w:val="20"/>
        </w:rPr>
        <w:t xml:space="preserve"> for enhanced follow-up and request an</w:t>
      </w:r>
      <w:r>
        <w:rPr>
          <w:b/>
          <w:color w:val="222222"/>
          <w:sz w:val="20"/>
          <w:szCs w:val="20"/>
        </w:rPr>
        <w:t xml:space="preserve"> in-country consultation</w:t>
      </w:r>
      <w:r>
        <w:rPr>
          <w:color w:val="222222"/>
          <w:sz w:val="20"/>
          <w:szCs w:val="20"/>
        </w:rPr>
        <w:t xml:space="preserve"> with Māori and other affected communities.</w:t>
      </w:r>
    </w:p>
    <w:p w14:paraId="34E72012" w14:textId="77777777" w:rsidR="001902DF" w:rsidRDefault="00000000">
      <w:pPr>
        <w:numPr>
          <w:ilvl w:val="0"/>
          <w:numId w:val="9"/>
        </w:numPr>
        <w:shd w:val="clear" w:color="auto" w:fill="FFFFFF"/>
        <w:spacing w:before="0" w:after="200" w:line="276" w:lineRule="auto"/>
        <w:jc w:val="left"/>
        <w:rPr>
          <w:sz w:val="20"/>
          <w:szCs w:val="20"/>
        </w:rPr>
      </w:pPr>
      <w:r>
        <w:rPr>
          <w:color w:val="222222"/>
          <w:sz w:val="20"/>
          <w:szCs w:val="20"/>
        </w:rPr>
        <w:t xml:space="preserve">The Committee </w:t>
      </w:r>
      <w:r>
        <w:rPr>
          <w:b/>
          <w:color w:val="222222"/>
          <w:sz w:val="20"/>
          <w:szCs w:val="20"/>
        </w:rPr>
        <w:t>urge the State party to issue a standing invitation to CERD members, the SRRIP, and the Special Rapporteur on Contemporary Forms of Racism</w:t>
      </w:r>
      <w:r>
        <w:rPr>
          <w:color w:val="222222"/>
          <w:sz w:val="20"/>
          <w:szCs w:val="20"/>
        </w:rPr>
        <w:t>, to investigate and report on the situation in Aotearoa.</w:t>
      </w:r>
    </w:p>
    <w:p w14:paraId="21C62EDA" w14:textId="77777777" w:rsidR="001902DF" w:rsidRDefault="00000000">
      <w:pPr>
        <w:pStyle w:val="Heading3"/>
        <w:keepNext w:val="0"/>
        <w:keepLines w:val="0"/>
        <w:shd w:val="clear" w:color="auto" w:fill="FFFFFF"/>
        <w:spacing w:before="280" w:after="80" w:line="276" w:lineRule="auto"/>
        <w:rPr>
          <w:rFonts w:ascii="Arial" w:eastAsia="Arial" w:hAnsi="Arial" w:cs="Arial"/>
          <w:b/>
          <w:color w:val="222222"/>
          <w:sz w:val="20"/>
          <w:szCs w:val="20"/>
        </w:rPr>
      </w:pPr>
      <w:bookmarkStart w:id="37" w:name="_heading=h.qmq0m4ewr43u" w:colFirst="0" w:colLast="0"/>
      <w:bookmarkEnd w:id="37"/>
      <w:r>
        <w:rPr>
          <w:rFonts w:ascii="Arial" w:eastAsia="Arial" w:hAnsi="Arial" w:cs="Arial"/>
          <w:b/>
          <w:color w:val="222222"/>
          <w:sz w:val="20"/>
          <w:szCs w:val="20"/>
        </w:rPr>
        <w:t xml:space="preserve">Te </w:t>
      </w:r>
      <w:proofErr w:type="spellStart"/>
      <w:r>
        <w:rPr>
          <w:rFonts w:ascii="Arial" w:eastAsia="Arial" w:hAnsi="Arial" w:cs="Arial"/>
          <w:b/>
          <w:color w:val="222222"/>
          <w:sz w:val="20"/>
          <w:szCs w:val="20"/>
        </w:rPr>
        <w:t>Tiriti</w:t>
      </w:r>
      <w:proofErr w:type="spellEnd"/>
      <w:r>
        <w:rPr>
          <w:rFonts w:ascii="Arial" w:eastAsia="Arial" w:hAnsi="Arial" w:cs="Arial"/>
          <w:b/>
          <w:color w:val="222222"/>
          <w:sz w:val="20"/>
          <w:szCs w:val="20"/>
        </w:rPr>
        <w:t xml:space="preserve"> o Waitangi &amp; Constitutional Issues</w:t>
      </w:r>
    </w:p>
    <w:p w14:paraId="4B0032A4" w14:textId="77777777" w:rsidR="001902DF" w:rsidRDefault="00000000">
      <w:pPr>
        <w:numPr>
          <w:ilvl w:val="0"/>
          <w:numId w:val="9"/>
        </w:numPr>
        <w:shd w:val="clear" w:color="auto" w:fill="FFFFFF"/>
        <w:spacing w:before="200" w:after="0" w:line="276" w:lineRule="auto"/>
        <w:jc w:val="left"/>
        <w:rPr>
          <w:sz w:val="20"/>
          <w:szCs w:val="20"/>
        </w:rPr>
      </w:pPr>
      <w:r>
        <w:rPr>
          <w:color w:val="222222"/>
          <w:sz w:val="20"/>
          <w:szCs w:val="20"/>
        </w:rPr>
        <w:t xml:space="preserve">Urge the State party to </w:t>
      </w:r>
      <w:r>
        <w:rPr>
          <w:b/>
          <w:color w:val="222222"/>
          <w:sz w:val="20"/>
          <w:szCs w:val="20"/>
        </w:rPr>
        <w:t xml:space="preserve">abandon the Treaty Clause Review and the Regulatory </w:t>
      </w:r>
      <w:proofErr w:type="gramStart"/>
      <w:r>
        <w:rPr>
          <w:b/>
          <w:color w:val="222222"/>
          <w:sz w:val="20"/>
          <w:szCs w:val="20"/>
        </w:rPr>
        <w:t>Standards Bill</w:t>
      </w:r>
      <w:r>
        <w:rPr>
          <w:color w:val="222222"/>
          <w:sz w:val="20"/>
          <w:szCs w:val="20"/>
        </w:rPr>
        <w:t>, and</w:t>
      </w:r>
      <w:proofErr w:type="gramEnd"/>
      <w:r>
        <w:rPr>
          <w:color w:val="222222"/>
          <w:sz w:val="20"/>
          <w:szCs w:val="20"/>
        </w:rPr>
        <w:t xml:space="preserve"> cease all actions that seek to reinterpret Te </w:t>
      </w:r>
      <w:proofErr w:type="spellStart"/>
      <w:r>
        <w:rPr>
          <w:color w:val="222222"/>
          <w:sz w:val="20"/>
          <w:szCs w:val="20"/>
        </w:rPr>
        <w:t>Tiriti</w:t>
      </w:r>
      <w:proofErr w:type="spellEnd"/>
      <w:r>
        <w:rPr>
          <w:color w:val="222222"/>
          <w:sz w:val="20"/>
          <w:szCs w:val="20"/>
        </w:rPr>
        <w:t xml:space="preserve"> o Waitangi or limit its political status and application. </w:t>
      </w:r>
    </w:p>
    <w:p w14:paraId="61A3A86D"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Recommend that the Crown </w:t>
      </w:r>
      <w:r>
        <w:rPr>
          <w:b/>
          <w:color w:val="222222"/>
          <w:sz w:val="20"/>
          <w:szCs w:val="20"/>
        </w:rPr>
        <w:t xml:space="preserve">formally </w:t>
      </w:r>
      <w:proofErr w:type="spellStart"/>
      <w:r>
        <w:rPr>
          <w:b/>
          <w:color w:val="222222"/>
          <w:sz w:val="20"/>
          <w:szCs w:val="20"/>
        </w:rPr>
        <w:t>recognise</w:t>
      </w:r>
      <w:proofErr w:type="spellEnd"/>
      <w:r>
        <w:rPr>
          <w:b/>
          <w:color w:val="222222"/>
          <w:sz w:val="20"/>
          <w:szCs w:val="20"/>
        </w:rPr>
        <w:t xml:space="preserve"> Te </w:t>
      </w:r>
      <w:proofErr w:type="spellStart"/>
      <w:r>
        <w:rPr>
          <w:b/>
          <w:color w:val="222222"/>
          <w:sz w:val="20"/>
          <w:szCs w:val="20"/>
        </w:rPr>
        <w:t>Tiriti</w:t>
      </w:r>
      <w:proofErr w:type="spellEnd"/>
      <w:r>
        <w:rPr>
          <w:b/>
          <w:color w:val="222222"/>
          <w:sz w:val="20"/>
          <w:szCs w:val="20"/>
        </w:rPr>
        <w:t xml:space="preserve"> o Waitangi and He </w:t>
      </w:r>
      <w:proofErr w:type="spellStart"/>
      <w:r>
        <w:rPr>
          <w:b/>
          <w:color w:val="222222"/>
          <w:sz w:val="20"/>
          <w:szCs w:val="20"/>
        </w:rPr>
        <w:t>Whakaputanga</w:t>
      </w:r>
      <w:proofErr w:type="spellEnd"/>
      <w:r>
        <w:rPr>
          <w:b/>
          <w:color w:val="222222"/>
          <w:sz w:val="20"/>
          <w:szCs w:val="20"/>
        </w:rPr>
        <w:t xml:space="preserve"> as the authoritative constitutional foundation of </w:t>
      </w:r>
      <w:proofErr w:type="gramStart"/>
      <w:r>
        <w:rPr>
          <w:b/>
          <w:color w:val="222222"/>
          <w:sz w:val="20"/>
          <w:szCs w:val="20"/>
        </w:rPr>
        <w:t>Aotearoa New Zealand</w:t>
      </w:r>
      <w:r>
        <w:rPr>
          <w:color w:val="222222"/>
          <w:sz w:val="20"/>
          <w:szCs w:val="20"/>
        </w:rPr>
        <w:t>, and</w:t>
      </w:r>
      <w:proofErr w:type="gramEnd"/>
      <w:r>
        <w:rPr>
          <w:color w:val="222222"/>
          <w:sz w:val="20"/>
          <w:szCs w:val="20"/>
        </w:rPr>
        <w:t xml:space="preserve"> engage in genuine partnership with Matike Mai Aotearoa to progress towards constitutional justice.</w:t>
      </w:r>
    </w:p>
    <w:p w14:paraId="5E81382F" w14:textId="77777777" w:rsidR="001902DF" w:rsidRDefault="00000000">
      <w:pPr>
        <w:numPr>
          <w:ilvl w:val="0"/>
          <w:numId w:val="9"/>
        </w:numPr>
        <w:shd w:val="clear" w:color="auto" w:fill="FFFFFF"/>
        <w:spacing w:before="0" w:after="200" w:line="276" w:lineRule="auto"/>
        <w:jc w:val="left"/>
        <w:rPr>
          <w:sz w:val="20"/>
          <w:szCs w:val="20"/>
        </w:rPr>
      </w:pPr>
      <w:r>
        <w:rPr>
          <w:color w:val="222222"/>
          <w:sz w:val="20"/>
          <w:szCs w:val="20"/>
        </w:rPr>
        <w:t xml:space="preserve">Call for the State to </w:t>
      </w:r>
      <w:r>
        <w:rPr>
          <w:b/>
          <w:color w:val="222222"/>
          <w:sz w:val="20"/>
          <w:szCs w:val="20"/>
        </w:rPr>
        <w:t>cease political attacks on the Waitangi Tribunal</w:t>
      </w:r>
      <w:r>
        <w:rPr>
          <w:color w:val="222222"/>
          <w:sz w:val="20"/>
          <w:szCs w:val="20"/>
        </w:rPr>
        <w:t>, guarantee its independence, and provide it with adequate resources.</w:t>
      </w:r>
      <w:r>
        <w:rPr>
          <w:color w:val="222222"/>
          <w:sz w:val="20"/>
          <w:szCs w:val="20"/>
        </w:rPr>
        <w:br/>
      </w:r>
      <w:r>
        <w:rPr>
          <w:color w:val="222222"/>
          <w:sz w:val="20"/>
          <w:szCs w:val="20"/>
        </w:rPr>
        <w:br/>
      </w:r>
    </w:p>
    <w:p w14:paraId="1E555412" w14:textId="77777777" w:rsidR="001902DF" w:rsidRDefault="00000000">
      <w:pPr>
        <w:pStyle w:val="Heading3"/>
        <w:keepNext w:val="0"/>
        <w:keepLines w:val="0"/>
        <w:shd w:val="clear" w:color="auto" w:fill="FFFFFF"/>
        <w:spacing w:before="280" w:after="80" w:line="276" w:lineRule="auto"/>
        <w:rPr>
          <w:rFonts w:ascii="Arial" w:eastAsia="Arial" w:hAnsi="Arial" w:cs="Arial"/>
          <w:b/>
          <w:color w:val="222222"/>
          <w:sz w:val="20"/>
          <w:szCs w:val="20"/>
        </w:rPr>
      </w:pPr>
      <w:bookmarkStart w:id="38" w:name="_heading=h.2bpn0bsf6zhv" w:colFirst="0" w:colLast="0"/>
      <w:bookmarkEnd w:id="38"/>
      <w:r>
        <w:rPr>
          <w:rFonts w:ascii="Arial" w:eastAsia="Arial" w:hAnsi="Arial" w:cs="Arial"/>
          <w:b/>
          <w:color w:val="222222"/>
          <w:sz w:val="20"/>
          <w:szCs w:val="20"/>
        </w:rPr>
        <w:t>Racism, Hate Speech &amp; Democratic Participation</w:t>
      </w:r>
    </w:p>
    <w:p w14:paraId="4A86E6B8" w14:textId="77777777" w:rsidR="001902DF" w:rsidRDefault="00000000">
      <w:pPr>
        <w:numPr>
          <w:ilvl w:val="0"/>
          <w:numId w:val="9"/>
        </w:numPr>
        <w:shd w:val="clear" w:color="auto" w:fill="FFFFFF"/>
        <w:spacing w:before="200" w:after="0" w:line="276" w:lineRule="auto"/>
        <w:jc w:val="left"/>
        <w:rPr>
          <w:sz w:val="20"/>
          <w:szCs w:val="20"/>
        </w:rPr>
      </w:pPr>
      <w:r>
        <w:rPr>
          <w:color w:val="222222"/>
          <w:sz w:val="20"/>
          <w:szCs w:val="20"/>
        </w:rPr>
        <w:t xml:space="preserve">Recommend that the State </w:t>
      </w:r>
      <w:r>
        <w:rPr>
          <w:b/>
          <w:color w:val="222222"/>
          <w:sz w:val="20"/>
          <w:szCs w:val="20"/>
        </w:rPr>
        <w:t>re-establish work on hate speech legislation</w:t>
      </w:r>
      <w:r>
        <w:rPr>
          <w:color w:val="222222"/>
          <w:sz w:val="20"/>
          <w:szCs w:val="20"/>
        </w:rPr>
        <w:t>, consistent with CERD General Recommendations 35 and 36, and reverse the cessation of responses to the Christchurch Royal Commission recommendations.</w:t>
      </w:r>
    </w:p>
    <w:p w14:paraId="344DF2D1"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Call upon the State to work with the National Iwi Chairs Forum on </w:t>
      </w:r>
      <w:r>
        <w:rPr>
          <w:b/>
          <w:color w:val="222222"/>
          <w:sz w:val="20"/>
          <w:szCs w:val="20"/>
        </w:rPr>
        <w:t xml:space="preserve">recognition and </w:t>
      </w:r>
      <w:r>
        <w:rPr>
          <w:b/>
          <w:color w:val="222222"/>
          <w:sz w:val="20"/>
          <w:szCs w:val="20"/>
        </w:rPr>
        <w:lastRenderedPageBreak/>
        <w:t>implementation of the People's Action Plan Against Racism</w:t>
      </w:r>
      <w:r>
        <w:rPr>
          <w:color w:val="222222"/>
          <w:sz w:val="20"/>
          <w:szCs w:val="20"/>
        </w:rPr>
        <w:t>.</w:t>
      </w:r>
    </w:p>
    <w:p w14:paraId="2D690AD4"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Call on the State to </w:t>
      </w:r>
      <w:r>
        <w:rPr>
          <w:b/>
          <w:color w:val="222222"/>
          <w:sz w:val="20"/>
          <w:szCs w:val="20"/>
        </w:rPr>
        <w:t>prohibit incitement to racial hatred by elected officials</w:t>
      </w:r>
      <w:r>
        <w:rPr>
          <w:color w:val="222222"/>
          <w:sz w:val="20"/>
          <w:szCs w:val="20"/>
        </w:rPr>
        <w:t xml:space="preserve">, ensure accountability mechanisms for </w:t>
      </w:r>
      <w:proofErr w:type="spellStart"/>
      <w:r>
        <w:rPr>
          <w:color w:val="222222"/>
          <w:sz w:val="20"/>
          <w:szCs w:val="20"/>
        </w:rPr>
        <w:t>racialised</w:t>
      </w:r>
      <w:proofErr w:type="spellEnd"/>
      <w:r>
        <w:rPr>
          <w:color w:val="222222"/>
          <w:sz w:val="20"/>
          <w:szCs w:val="20"/>
        </w:rPr>
        <w:t xml:space="preserve"> propaganda, and adopt codes of conduct for Parliamentarians aligned with ICERD.</w:t>
      </w:r>
    </w:p>
    <w:p w14:paraId="31D124C2"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Call upon the State to </w:t>
      </w:r>
      <w:r>
        <w:rPr>
          <w:b/>
          <w:color w:val="222222"/>
          <w:sz w:val="20"/>
          <w:szCs w:val="20"/>
        </w:rPr>
        <w:t>prohibit the use of human rights language against affirmative action measures.</w:t>
      </w:r>
    </w:p>
    <w:p w14:paraId="3F7BF3BA" w14:textId="77777777" w:rsidR="001902DF" w:rsidRDefault="00000000">
      <w:pPr>
        <w:numPr>
          <w:ilvl w:val="0"/>
          <w:numId w:val="9"/>
        </w:numPr>
        <w:shd w:val="clear" w:color="auto" w:fill="FFFFFF"/>
        <w:spacing w:before="0" w:after="200" w:line="276" w:lineRule="auto"/>
        <w:jc w:val="left"/>
        <w:rPr>
          <w:sz w:val="20"/>
          <w:szCs w:val="20"/>
        </w:rPr>
      </w:pPr>
      <w:r>
        <w:rPr>
          <w:color w:val="222222"/>
          <w:sz w:val="20"/>
          <w:szCs w:val="20"/>
        </w:rPr>
        <w:t xml:space="preserve">Urge reinstatement of measures to </w:t>
      </w:r>
      <w:r>
        <w:rPr>
          <w:b/>
          <w:color w:val="222222"/>
          <w:sz w:val="20"/>
          <w:szCs w:val="20"/>
        </w:rPr>
        <w:t>protect Māori democratic participation</w:t>
      </w:r>
      <w:r>
        <w:rPr>
          <w:color w:val="222222"/>
          <w:sz w:val="20"/>
          <w:szCs w:val="20"/>
        </w:rPr>
        <w:t>, including Māori wards and prisoner voting rights, and review recent electoral reforms to ensure they do not disproportionately disenfranchise Māori.</w:t>
      </w:r>
    </w:p>
    <w:p w14:paraId="11420AD4" w14:textId="77777777" w:rsidR="001902DF" w:rsidRDefault="00000000">
      <w:pPr>
        <w:pStyle w:val="Heading3"/>
        <w:keepNext w:val="0"/>
        <w:keepLines w:val="0"/>
        <w:shd w:val="clear" w:color="auto" w:fill="FFFFFF"/>
        <w:spacing w:before="280" w:after="80" w:line="276" w:lineRule="auto"/>
        <w:rPr>
          <w:rFonts w:ascii="Arial" w:eastAsia="Arial" w:hAnsi="Arial" w:cs="Arial"/>
          <w:b/>
          <w:color w:val="222222"/>
          <w:sz w:val="20"/>
          <w:szCs w:val="20"/>
        </w:rPr>
      </w:pPr>
      <w:bookmarkStart w:id="39" w:name="_heading=h.delbb9lwhayr" w:colFirst="0" w:colLast="0"/>
      <w:bookmarkEnd w:id="39"/>
      <w:r>
        <w:rPr>
          <w:rFonts w:ascii="Arial" w:eastAsia="Arial" w:hAnsi="Arial" w:cs="Arial"/>
          <w:b/>
          <w:color w:val="222222"/>
          <w:sz w:val="20"/>
          <w:szCs w:val="20"/>
        </w:rPr>
        <w:t>Health, Housing &amp; Social Rights</w:t>
      </w:r>
    </w:p>
    <w:p w14:paraId="2DA61BD7" w14:textId="77777777" w:rsidR="001902DF" w:rsidRDefault="00000000">
      <w:pPr>
        <w:numPr>
          <w:ilvl w:val="0"/>
          <w:numId w:val="9"/>
        </w:numPr>
        <w:shd w:val="clear" w:color="auto" w:fill="FFFFFF"/>
        <w:spacing w:before="200" w:after="0" w:line="276" w:lineRule="auto"/>
        <w:jc w:val="left"/>
        <w:rPr>
          <w:sz w:val="20"/>
          <w:szCs w:val="20"/>
        </w:rPr>
      </w:pPr>
      <w:r>
        <w:rPr>
          <w:color w:val="222222"/>
          <w:sz w:val="20"/>
          <w:szCs w:val="20"/>
        </w:rPr>
        <w:t xml:space="preserve">Recommend reinstating and strengthening </w:t>
      </w:r>
      <w:r>
        <w:rPr>
          <w:b/>
          <w:color w:val="222222"/>
          <w:sz w:val="20"/>
          <w:szCs w:val="20"/>
        </w:rPr>
        <w:t xml:space="preserve">Te Aka </w:t>
      </w:r>
      <w:proofErr w:type="spellStart"/>
      <w:r>
        <w:rPr>
          <w:b/>
          <w:color w:val="222222"/>
          <w:sz w:val="20"/>
          <w:szCs w:val="20"/>
        </w:rPr>
        <w:t>Whaiora</w:t>
      </w:r>
      <w:proofErr w:type="spellEnd"/>
      <w:r>
        <w:rPr>
          <w:b/>
          <w:color w:val="222222"/>
          <w:sz w:val="20"/>
          <w:szCs w:val="20"/>
        </w:rPr>
        <w:t xml:space="preserve"> (Māori Health Authority)</w:t>
      </w:r>
      <w:r>
        <w:rPr>
          <w:color w:val="222222"/>
          <w:sz w:val="20"/>
          <w:szCs w:val="20"/>
        </w:rPr>
        <w:t xml:space="preserve"> or equivalent Māori-led institutions </w:t>
      </w:r>
      <w:r>
        <w:rPr>
          <w:b/>
          <w:i/>
          <w:color w:val="222222"/>
          <w:sz w:val="20"/>
          <w:szCs w:val="20"/>
        </w:rPr>
        <w:t>as defined by Māori</w:t>
      </w:r>
      <w:r>
        <w:rPr>
          <w:color w:val="222222"/>
          <w:sz w:val="20"/>
          <w:szCs w:val="20"/>
        </w:rPr>
        <w:t xml:space="preserve"> to uphold Māori health rights.</w:t>
      </w:r>
    </w:p>
    <w:p w14:paraId="5886E31E"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Call for the State to </w:t>
      </w:r>
      <w:r>
        <w:rPr>
          <w:b/>
          <w:color w:val="222222"/>
          <w:sz w:val="20"/>
          <w:szCs w:val="20"/>
        </w:rPr>
        <w:t>end the Minimum Wage Exemption Scheme</w:t>
      </w:r>
      <w:r>
        <w:rPr>
          <w:color w:val="222222"/>
          <w:sz w:val="20"/>
          <w:szCs w:val="20"/>
        </w:rPr>
        <w:t xml:space="preserve"> for disabled workers and ensure equitable employment rights for Tāngata </w:t>
      </w:r>
      <w:proofErr w:type="spellStart"/>
      <w:r>
        <w:rPr>
          <w:color w:val="222222"/>
          <w:sz w:val="20"/>
          <w:szCs w:val="20"/>
        </w:rPr>
        <w:t>Whaikaha</w:t>
      </w:r>
      <w:proofErr w:type="spellEnd"/>
      <w:r>
        <w:rPr>
          <w:color w:val="222222"/>
          <w:sz w:val="20"/>
          <w:szCs w:val="20"/>
        </w:rPr>
        <w:t xml:space="preserve"> Māori.</w:t>
      </w:r>
    </w:p>
    <w:p w14:paraId="49C3D1D6"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Recommend reforms to tenancy law to </w:t>
      </w:r>
      <w:r>
        <w:rPr>
          <w:b/>
          <w:color w:val="222222"/>
          <w:sz w:val="20"/>
          <w:szCs w:val="20"/>
        </w:rPr>
        <w:t>restore protections against no-cause evictions</w:t>
      </w:r>
      <w:r>
        <w:rPr>
          <w:color w:val="222222"/>
          <w:sz w:val="20"/>
          <w:szCs w:val="20"/>
        </w:rPr>
        <w:t xml:space="preserve">, with special regard to the disproportionate impacts on Māori, and </w:t>
      </w:r>
      <w:proofErr w:type="spellStart"/>
      <w:r>
        <w:rPr>
          <w:color w:val="222222"/>
          <w:sz w:val="20"/>
          <w:szCs w:val="20"/>
        </w:rPr>
        <w:t>minoritised</w:t>
      </w:r>
      <w:proofErr w:type="spellEnd"/>
      <w:r>
        <w:rPr>
          <w:color w:val="222222"/>
          <w:sz w:val="20"/>
          <w:szCs w:val="20"/>
        </w:rPr>
        <w:t xml:space="preserve"> non-Māori households.</w:t>
      </w:r>
    </w:p>
    <w:p w14:paraId="7855D3B5" w14:textId="77777777" w:rsidR="001902DF" w:rsidRDefault="00000000">
      <w:pPr>
        <w:numPr>
          <w:ilvl w:val="0"/>
          <w:numId w:val="9"/>
        </w:numPr>
        <w:shd w:val="clear" w:color="auto" w:fill="FFFFFF"/>
        <w:spacing w:before="0" w:after="200" w:line="276" w:lineRule="auto"/>
        <w:jc w:val="left"/>
        <w:rPr>
          <w:sz w:val="20"/>
          <w:szCs w:val="20"/>
        </w:rPr>
      </w:pPr>
      <w:r>
        <w:rPr>
          <w:color w:val="222222"/>
          <w:sz w:val="20"/>
          <w:szCs w:val="20"/>
        </w:rPr>
        <w:t xml:space="preserve">Ensure that food security </w:t>
      </w:r>
      <w:proofErr w:type="spellStart"/>
      <w:r>
        <w:rPr>
          <w:color w:val="222222"/>
          <w:sz w:val="20"/>
          <w:szCs w:val="20"/>
        </w:rPr>
        <w:t>programmes</w:t>
      </w:r>
      <w:proofErr w:type="spellEnd"/>
      <w:r>
        <w:rPr>
          <w:color w:val="222222"/>
          <w:sz w:val="20"/>
          <w:szCs w:val="20"/>
        </w:rPr>
        <w:t xml:space="preserve">, such as Ka Ora Ka Ako, are </w:t>
      </w:r>
      <w:r>
        <w:rPr>
          <w:b/>
          <w:color w:val="222222"/>
          <w:sz w:val="20"/>
          <w:szCs w:val="20"/>
        </w:rPr>
        <w:t>adequately funded, culturally appropriate, and delivered with community/iwi involvement</w:t>
      </w:r>
      <w:r>
        <w:rPr>
          <w:color w:val="222222"/>
          <w:sz w:val="20"/>
          <w:szCs w:val="20"/>
        </w:rPr>
        <w:t>.</w:t>
      </w:r>
    </w:p>
    <w:p w14:paraId="0FA7C636" w14:textId="77777777" w:rsidR="001902DF" w:rsidRDefault="00000000">
      <w:pPr>
        <w:pStyle w:val="Heading3"/>
        <w:keepNext w:val="0"/>
        <w:keepLines w:val="0"/>
        <w:shd w:val="clear" w:color="auto" w:fill="FFFFFF"/>
        <w:spacing w:before="280" w:after="80" w:line="276" w:lineRule="auto"/>
        <w:rPr>
          <w:rFonts w:ascii="Arial" w:eastAsia="Arial" w:hAnsi="Arial" w:cs="Arial"/>
          <w:b/>
          <w:color w:val="222222"/>
          <w:sz w:val="20"/>
          <w:szCs w:val="20"/>
        </w:rPr>
      </w:pPr>
      <w:bookmarkStart w:id="40" w:name="_heading=h.239gsap55cda" w:colFirst="0" w:colLast="0"/>
      <w:bookmarkEnd w:id="40"/>
      <w:r>
        <w:rPr>
          <w:rFonts w:ascii="Arial" w:eastAsia="Arial" w:hAnsi="Arial" w:cs="Arial"/>
          <w:b/>
          <w:color w:val="222222"/>
          <w:sz w:val="20"/>
          <w:szCs w:val="20"/>
        </w:rPr>
        <w:t>Children, Families &amp; Justice</w:t>
      </w:r>
    </w:p>
    <w:p w14:paraId="326BB80C" w14:textId="77777777" w:rsidR="001902DF" w:rsidRDefault="00000000">
      <w:pPr>
        <w:numPr>
          <w:ilvl w:val="0"/>
          <w:numId w:val="9"/>
        </w:numPr>
        <w:shd w:val="clear" w:color="auto" w:fill="FFFFFF"/>
        <w:spacing w:before="200" w:after="0" w:line="276" w:lineRule="auto"/>
        <w:jc w:val="left"/>
        <w:rPr>
          <w:sz w:val="20"/>
          <w:szCs w:val="20"/>
        </w:rPr>
      </w:pPr>
      <w:r>
        <w:rPr>
          <w:color w:val="222222"/>
          <w:sz w:val="20"/>
          <w:szCs w:val="20"/>
        </w:rPr>
        <w:t xml:space="preserve">Urge the State to </w:t>
      </w:r>
      <w:r>
        <w:rPr>
          <w:b/>
          <w:color w:val="222222"/>
          <w:sz w:val="20"/>
          <w:szCs w:val="20"/>
        </w:rPr>
        <w:t xml:space="preserve">retain Section 7AA of the </w:t>
      </w:r>
      <w:proofErr w:type="spellStart"/>
      <w:r>
        <w:rPr>
          <w:b/>
          <w:color w:val="222222"/>
          <w:sz w:val="20"/>
          <w:szCs w:val="20"/>
        </w:rPr>
        <w:t>Oranga</w:t>
      </w:r>
      <w:proofErr w:type="spellEnd"/>
      <w:r>
        <w:rPr>
          <w:b/>
          <w:color w:val="222222"/>
          <w:sz w:val="20"/>
          <w:szCs w:val="20"/>
        </w:rPr>
        <w:t xml:space="preserve"> Tamariki Act</w:t>
      </w:r>
      <w:r>
        <w:rPr>
          <w:color w:val="222222"/>
          <w:sz w:val="20"/>
          <w:szCs w:val="20"/>
        </w:rPr>
        <w:t xml:space="preserve"> and commit to a “whānau-first” policy for Māori children in care.</w:t>
      </w:r>
    </w:p>
    <w:p w14:paraId="69806133"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Recommend withdrawal of military-style academies and punitive youth justice reforms, and instead invest in </w:t>
      </w:r>
      <w:r>
        <w:rPr>
          <w:b/>
          <w:color w:val="222222"/>
          <w:sz w:val="20"/>
          <w:szCs w:val="20"/>
        </w:rPr>
        <w:t>Māori-led, restorative and preventative initiatives</w:t>
      </w:r>
      <w:r>
        <w:rPr>
          <w:color w:val="222222"/>
          <w:sz w:val="20"/>
          <w:szCs w:val="20"/>
        </w:rPr>
        <w:t>.</w:t>
      </w:r>
    </w:p>
    <w:p w14:paraId="7D1DCE3F" w14:textId="77777777" w:rsidR="001902DF" w:rsidRDefault="00000000">
      <w:pPr>
        <w:numPr>
          <w:ilvl w:val="0"/>
          <w:numId w:val="9"/>
        </w:numPr>
        <w:shd w:val="clear" w:color="auto" w:fill="FFFFFF"/>
        <w:spacing w:before="0" w:after="200" w:line="276" w:lineRule="auto"/>
        <w:jc w:val="left"/>
        <w:rPr>
          <w:sz w:val="20"/>
          <w:szCs w:val="20"/>
        </w:rPr>
      </w:pPr>
      <w:r>
        <w:rPr>
          <w:color w:val="222222"/>
          <w:sz w:val="20"/>
          <w:szCs w:val="20"/>
        </w:rPr>
        <w:t xml:space="preserve">Call for repeal of discriminatory gang and sentencing laws that disproportionately affect Māori, and for </w:t>
      </w:r>
      <w:r>
        <w:rPr>
          <w:b/>
          <w:color w:val="222222"/>
          <w:sz w:val="20"/>
          <w:szCs w:val="20"/>
        </w:rPr>
        <w:t>restoration of funding for Section 27 reports</w:t>
      </w:r>
      <w:r>
        <w:rPr>
          <w:color w:val="222222"/>
          <w:sz w:val="20"/>
          <w:szCs w:val="20"/>
        </w:rPr>
        <w:t xml:space="preserve"> to ensure equitable sentencing.</w:t>
      </w:r>
    </w:p>
    <w:p w14:paraId="7B7E363A" w14:textId="77777777" w:rsidR="001902DF" w:rsidRDefault="00000000">
      <w:pPr>
        <w:pStyle w:val="Heading3"/>
        <w:keepNext w:val="0"/>
        <w:keepLines w:val="0"/>
        <w:shd w:val="clear" w:color="auto" w:fill="FFFFFF"/>
        <w:spacing w:before="280" w:after="80" w:line="276" w:lineRule="auto"/>
        <w:rPr>
          <w:rFonts w:ascii="Arial" w:eastAsia="Arial" w:hAnsi="Arial" w:cs="Arial"/>
          <w:b/>
          <w:color w:val="222222"/>
          <w:sz w:val="20"/>
          <w:szCs w:val="20"/>
        </w:rPr>
      </w:pPr>
      <w:bookmarkStart w:id="41" w:name="_heading=h.fatn7tejnk64" w:colFirst="0" w:colLast="0"/>
      <w:bookmarkEnd w:id="41"/>
      <w:r>
        <w:rPr>
          <w:rFonts w:ascii="Arial" w:eastAsia="Arial" w:hAnsi="Arial" w:cs="Arial"/>
          <w:b/>
          <w:color w:val="222222"/>
          <w:sz w:val="20"/>
          <w:szCs w:val="20"/>
        </w:rPr>
        <w:t>Education, Language &amp; Culture</w:t>
      </w:r>
    </w:p>
    <w:p w14:paraId="33F34C47" w14:textId="77777777" w:rsidR="001902DF" w:rsidRDefault="00000000">
      <w:pPr>
        <w:numPr>
          <w:ilvl w:val="0"/>
          <w:numId w:val="9"/>
        </w:numPr>
        <w:shd w:val="clear" w:color="auto" w:fill="FFFFFF"/>
        <w:spacing w:before="200" w:after="0" w:line="276" w:lineRule="auto"/>
        <w:jc w:val="left"/>
        <w:rPr>
          <w:sz w:val="20"/>
          <w:szCs w:val="20"/>
        </w:rPr>
      </w:pPr>
      <w:r>
        <w:rPr>
          <w:color w:val="222222"/>
          <w:sz w:val="20"/>
          <w:szCs w:val="20"/>
        </w:rPr>
        <w:t xml:space="preserve">Recommend that the State </w:t>
      </w:r>
      <w:r>
        <w:rPr>
          <w:b/>
          <w:color w:val="222222"/>
          <w:sz w:val="20"/>
          <w:szCs w:val="20"/>
        </w:rPr>
        <w:t xml:space="preserve">restore and expand funding for Te Reo Māori education and </w:t>
      </w:r>
      <w:proofErr w:type="spellStart"/>
      <w:r>
        <w:rPr>
          <w:b/>
          <w:color w:val="222222"/>
          <w:sz w:val="20"/>
          <w:szCs w:val="20"/>
        </w:rPr>
        <w:t>revitalisation</w:t>
      </w:r>
      <w:proofErr w:type="spellEnd"/>
      <w:r>
        <w:rPr>
          <w:color w:val="222222"/>
          <w:sz w:val="20"/>
          <w:szCs w:val="20"/>
        </w:rPr>
        <w:t>, including teacher training and bilingual signage initiatives.</w:t>
      </w:r>
    </w:p>
    <w:p w14:paraId="17C2075A" w14:textId="77777777" w:rsidR="001902DF" w:rsidRDefault="00000000">
      <w:pPr>
        <w:numPr>
          <w:ilvl w:val="0"/>
          <w:numId w:val="9"/>
        </w:numPr>
        <w:shd w:val="clear" w:color="auto" w:fill="FFFFFF"/>
        <w:spacing w:before="0" w:after="0" w:line="276" w:lineRule="auto"/>
        <w:jc w:val="left"/>
        <w:rPr>
          <w:sz w:val="20"/>
          <w:szCs w:val="20"/>
        </w:rPr>
      </w:pPr>
      <w:r>
        <w:rPr>
          <w:b/>
          <w:color w:val="222222"/>
          <w:sz w:val="20"/>
          <w:szCs w:val="20"/>
        </w:rPr>
        <w:t>Request detailed information</w:t>
      </w:r>
      <w:r>
        <w:rPr>
          <w:color w:val="222222"/>
          <w:sz w:val="20"/>
          <w:szCs w:val="20"/>
        </w:rPr>
        <w:t xml:space="preserve"> (within 90 days) on curriculum reforms since 2023, including how Te </w:t>
      </w:r>
      <w:proofErr w:type="spellStart"/>
      <w:r>
        <w:rPr>
          <w:color w:val="222222"/>
          <w:sz w:val="20"/>
          <w:szCs w:val="20"/>
        </w:rPr>
        <w:t>Tiriti</w:t>
      </w:r>
      <w:proofErr w:type="spellEnd"/>
      <w:r>
        <w:rPr>
          <w:color w:val="222222"/>
          <w:sz w:val="20"/>
          <w:szCs w:val="20"/>
        </w:rPr>
        <w:t xml:space="preserve"> and </w:t>
      </w:r>
      <w:proofErr w:type="spellStart"/>
      <w:r>
        <w:rPr>
          <w:color w:val="222222"/>
          <w:sz w:val="20"/>
          <w:szCs w:val="20"/>
        </w:rPr>
        <w:t>mātauranga</w:t>
      </w:r>
      <w:proofErr w:type="spellEnd"/>
      <w:r>
        <w:rPr>
          <w:color w:val="222222"/>
          <w:sz w:val="20"/>
          <w:szCs w:val="20"/>
        </w:rPr>
        <w:t xml:space="preserve"> Māori are embedded across all learning areas; evidence of Māori co-design/FPIC; and impact assessments on Māori learners.</w:t>
      </w:r>
    </w:p>
    <w:p w14:paraId="09A0CD15" w14:textId="77777777" w:rsidR="001902DF" w:rsidRDefault="00000000">
      <w:pPr>
        <w:numPr>
          <w:ilvl w:val="0"/>
          <w:numId w:val="9"/>
        </w:numPr>
        <w:shd w:val="clear" w:color="auto" w:fill="FFFFFF"/>
        <w:spacing w:before="0" w:after="0" w:line="276" w:lineRule="auto"/>
        <w:jc w:val="left"/>
        <w:rPr>
          <w:sz w:val="20"/>
          <w:szCs w:val="20"/>
        </w:rPr>
      </w:pPr>
      <w:r>
        <w:rPr>
          <w:b/>
          <w:color w:val="222222"/>
          <w:sz w:val="20"/>
          <w:szCs w:val="20"/>
        </w:rPr>
        <w:t>Urge immediate non-regression</w:t>
      </w:r>
      <w:r>
        <w:rPr>
          <w:color w:val="222222"/>
          <w:sz w:val="20"/>
          <w:szCs w:val="20"/>
        </w:rPr>
        <w:t>: restore the Treaty-</w:t>
      </w:r>
      <w:proofErr w:type="spellStart"/>
      <w:r>
        <w:rPr>
          <w:color w:val="222222"/>
          <w:sz w:val="20"/>
          <w:szCs w:val="20"/>
        </w:rPr>
        <w:t>honouring</w:t>
      </w:r>
      <w:proofErr w:type="spellEnd"/>
      <w:r>
        <w:rPr>
          <w:color w:val="222222"/>
          <w:sz w:val="20"/>
          <w:szCs w:val="20"/>
        </w:rPr>
        <w:t xml:space="preserve">, </w:t>
      </w:r>
      <w:proofErr w:type="spellStart"/>
      <w:r>
        <w:rPr>
          <w:color w:val="222222"/>
          <w:sz w:val="20"/>
          <w:szCs w:val="20"/>
        </w:rPr>
        <w:t>mātauranga-centred</w:t>
      </w:r>
      <w:proofErr w:type="spellEnd"/>
      <w:r>
        <w:rPr>
          <w:color w:val="222222"/>
          <w:sz w:val="20"/>
          <w:szCs w:val="20"/>
        </w:rPr>
        <w:t xml:space="preserve"> architecture (as in </w:t>
      </w:r>
      <w:r>
        <w:rPr>
          <w:i/>
          <w:color w:val="222222"/>
          <w:sz w:val="20"/>
          <w:szCs w:val="20"/>
        </w:rPr>
        <w:t xml:space="preserve">Te </w:t>
      </w:r>
      <w:proofErr w:type="spellStart"/>
      <w:r>
        <w:rPr>
          <w:i/>
          <w:color w:val="222222"/>
          <w:sz w:val="20"/>
          <w:szCs w:val="20"/>
        </w:rPr>
        <w:t>Mātaiaho</w:t>
      </w:r>
      <w:proofErr w:type="spellEnd"/>
      <w:r>
        <w:rPr>
          <w:color w:val="222222"/>
          <w:sz w:val="20"/>
          <w:szCs w:val="20"/>
        </w:rPr>
        <w:t xml:space="preserve"> 2021–23); ring-fence resources for </w:t>
      </w:r>
      <w:proofErr w:type="spellStart"/>
      <w:r>
        <w:rPr>
          <w:color w:val="222222"/>
          <w:sz w:val="20"/>
          <w:szCs w:val="20"/>
        </w:rPr>
        <w:t>reo</w:t>
      </w:r>
      <w:proofErr w:type="spellEnd"/>
      <w:r>
        <w:rPr>
          <w:color w:val="222222"/>
          <w:sz w:val="20"/>
          <w:szCs w:val="20"/>
        </w:rPr>
        <w:t xml:space="preserve">/tikanga integration; and publish a time-bound plan to close Māori attainment gaps consistent with </w:t>
      </w:r>
      <w:r>
        <w:rPr>
          <w:b/>
          <w:color w:val="222222"/>
          <w:sz w:val="20"/>
          <w:szCs w:val="20"/>
        </w:rPr>
        <w:t>arts. 2(2), 5(e)(v), 7</w:t>
      </w:r>
      <w:r>
        <w:rPr>
          <w:color w:val="222222"/>
          <w:sz w:val="20"/>
          <w:szCs w:val="20"/>
        </w:rPr>
        <w:t>.</w:t>
      </w:r>
    </w:p>
    <w:p w14:paraId="78E859BF"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Call for </w:t>
      </w:r>
      <w:r>
        <w:rPr>
          <w:b/>
          <w:color w:val="222222"/>
          <w:sz w:val="20"/>
          <w:szCs w:val="20"/>
        </w:rPr>
        <w:t xml:space="preserve">protection of tikanga Māori, </w:t>
      </w:r>
      <w:proofErr w:type="spellStart"/>
      <w:r>
        <w:rPr>
          <w:b/>
          <w:color w:val="222222"/>
          <w:sz w:val="20"/>
          <w:szCs w:val="20"/>
        </w:rPr>
        <w:t>te</w:t>
      </w:r>
      <w:proofErr w:type="spellEnd"/>
      <w:r>
        <w:rPr>
          <w:b/>
          <w:color w:val="222222"/>
          <w:sz w:val="20"/>
          <w:szCs w:val="20"/>
        </w:rPr>
        <w:t xml:space="preserve"> Reo Māori and Māori cultural expression</w:t>
      </w:r>
      <w:r>
        <w:rPr>
          <w:color w:val="222222"/>
          <w:sz w:val="20"/>
          <w:szCs w:val="20"/>
        </w:rPr>
        <w:t xml:space="preserve"> within Parliament and public institutions.</w:t>
      </w:r>
    </w:p>
    <w:p w14:paraId="04C7DA4B" w14:textId="77777777" w:rsidR="001902DF" w:rsidRDefault="00000000">
      <w:pPr>
        <w:numPr>
          <w:ilvl w:val="0"/>
          <w:numId w:val="9"/>
        </w:numPr>
        <w:shd w:val="clear" w:color="auto" w:fill="FFFFFF"/>
        <w:spacing w:before="0" w:after="200" w:line="276" w:lineRule="auto"/>
        <w:jc w:val="left"/>
        <w:rPr>
          <w:sz w:val="20"/>
          <w:szCs w:val="20"/>
        </w:rPr>
      </w:pPr>
      <w:r>
        <w:rPr>
          <w:color w:val="222222"/>
          <w:sz w:val="20"/>
          <w:szCs w:val="20"/>
        </w:rPr>
        <w:t xml:space="preserve">Recommend </w:t>
      </w:r>
      <w:r>
        <w:rPr>
          <w:b/>
          <w:color w:val="222222"/>
          <w:sz w:val="20"/>
          <w:szCs w:val="20"/>
        </w:rPr>
        <w:t>reinstatement of funding</w:t>
      </w:r>
      <w:r>
        <w:rPr>
          <w:color w:val="222222"/>
          <w:sz w:val="20"/>
          <w:szCs w:val="20"/>
        </w:rPr>
        <w:t xml:space="preserve"> for social science and </w:t>
      </w:r>
      <w:proofErr w:type="spellStart"/>
      <w:r>
        <w:rPr>
          <w:color w:val="222222"/>
          <w:sz w:val="20"/>
          <w:szCs w:val="20"/>
        </w:rPr>
        <w:t>mātauranga</w:t>
      </w:r>
      <w:proofErr w:type="spellEnd"/>
      <w:r>
        <w:rPr>
          <w:color w:val="222222"/>
          <w:sz w:val="20"/>
          <w:szCs w:val="20"/>
        </w:rPr>
        <w:t xml:space="preserve"> Māori research to fulfil obligations under Article 7 ICERD.</w:t>
      </w:r>
    </w:p>
    <w:p w14:paraId="020E23ED" w14:textId="77777777" w:rsidR="001902DF" w:rsidRDefault="00000000">
      <w:pPr>
        <w:pStyle w:val="Heading3"/>
        <w:keepNext w:val="0"/>
        <w:keepLines w:val="0"/>
        <w:shd w:val="clear" w:color="auto" w:fill="FFFFFF"/>
        <w:spacing w:before="280" w:after="80" w:line="276" w:lineRule="auto"/>
        <w:rPr>
          <w:rFonts w:ascii="Arial" w:eastAsia="Arial" w:hAnsi="Arial" w:cs="Arial"/>
          <w:b/>
          <w:color w:val="222222"/>
          <w:sz w:val="20"/>
          <w:szCs w:val="20"/>
        </w:rPr>
      </w:pPr>
      <w:bookmarkStart w:id="42" w:name="_heading=h.hu6xhiljz5h2" w:colFirst="0" w:colLast="0"/>
      <w:bookmarkEnd w:id="42"/>
      <w:r>
        <w:rPr>
          <w:rFonts w:ascii="Arial" w:eastAsia="Arial" w:hAnsi="Arial" w:cs="Arial"/>
          <w:b/>
          <w:color w:val="222222"/>
          <w:sz w:val="20"/>
          <w:szCs w:val="20"/>
        </w:rPr>
        <w:t>Environment &amp; Climate</w:t>
      </w:r>
    </w:p>
    <w:p w14:paraId="7384E2CF" w14:textId="77777777" w:rsidR="001902DF" w:rsidRDefault="00000000">
      <w:pPr>
        <w:numPr>
          <w:ilvl w:val="0"/>
          <w:numId w:val="9"/>
        </w:numPr>
        <w:shd w:val="clear" w:color="auto" w:fill="FFFFFF"/>
        <w:spacing w:before="200" w:after="0" w:line="276" w:lineRule="auto"/>
        <w:jc w:val="left"/>
        <w:rPr>
          <w:sz w:val="20"/>
          <w:szCs w:val="20"/>
        </w:rPr>
      </w:pPr>
      <w:r>
        <w:rPr>
          <w:color w:val="222222"/>
          <w:sz w:val="20"/>
          <w:szCs w:val="20"/>
        </w:rPr>
        <w:t xml:space="preserve">Urge </w:t>
      </w:r>
      <w:r>
        <w:rPr>
          <w:b/>
          <w:color w:val="222222"/>
          <w:sz w:val="20"/>
          <w:szCs w:val="20"/>
        </w:rPr>
        <w:t>withdrawal of the Marine and Coastal Area Amendment Bill</w:t>
      </w:r>
      <w:r>
        <w:rPr>
          <w:color w:val="222222"/>
          <w:sz w:val="20"/>
          <w:szCs w:val="20"/>
        </w:rPr>
        <w:t xml:space="preserve"> and other environmental </w:t>
      </w:r>
      <w:r>
        <w:rPr>
          <w:color w:val="222222"/>
          <w:sz w:val="20"/>
          <w:szCs w:val="20"/>
        </w:rPr>
        <w:lastRenderedPageBreak/>
        <w:t>reforms that raise barriers to Māori customary rights.</w:t>
      </w:r>
    </w:p>
    <w:p w14:paraId="4BFE0361"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Call for </w:t>
      </w:r>
      <w:r>
        <w:rPr>
          <w:b/>
          <w:color w:val="222222"/>
          <w:sz w:val="20"/>
          <w:szCs w:val="20"/>
        </w:rPr>
        <w:t>repeal or amendment of the Fast-Track Approvals Act</w:t>
      </w:r>
      <w:r>
        <w:rPr>
          <w:color w:val="222222"/>
          <w:sz w:val="20"/>
          <w:szCs w:val="20"/>
        </w:rPr>
        <w:t xml:space="preserve"> to ensure </w:t>
      </w:r>
      <w:r>
        <w:rPr>
          <w:b/>
          <w:color w:val="222222"/>
          <w:sz w:val="20"/>
          <w:szCs w:val="20"/>
        </w:rPr>
        <w:t>Māori free, prior and informed consent (FPIC)</w:t>
      </w:r>
      <w:r>
        <w:rPr>
          <w:color w:val="222222"/>
          <w:sz w:val="20"/>
          <w:szCs w:val="20"/>
        </w:rPr>
        <w:t xml:space="preserve"> in environmental decision-making.</w:t>
      </w:r>
    </w:p>
    <w:p w14:paraId="6AD48B75" w14:textId="77777777" w:rsidR="001902DF" w:rsidRDefault="00000000">
      <w:pPr>
        <w:numPr>
          <w:ilvl w:val="0"/>
          <w:numId w:val="9"/>
        </w:numPr>
        <w:shd w:val="clear" w:color="auto" w:fill="FFFFFF"/>
        <w:spacing w:before="0" w:after="200" w:line="276" w:lineRule="auto"/>
        <w:jc w:val="left"/>
        <w:rPr>
          <w:sz w:val="20"/>
          <w:szCs w:val="20"/>
        </w:rPr>
      </w:pPr>
      <w:r>
        <w:rPr>
          <w:color w:val="222222"/>
          <w:sz w:val="20"/>
          <w:szCs w:val="20"/>
        </w:rPr>
        <w:t xml:space="preserve">Recommend </w:t>
      </w:r>
      <w:r>
        <w:rPr>
          <w:b/>
          <w:color w:val="222222"/>
          <w:sz w:val="20"/>
          <w:szCs w:val="20"/>
        </w:rPr>
        <w:t xml:space="preserve">restoration of climate commitments </w:t>
      </w:r>
      <w:r>
        <w:rPr>
          <w:color w:val="222222"/>
          <w:sz w:val="20"/>
          <w:szCs w:val="20"/>
        </w:rPr>
        <w:t xml:space="preserve">consistent with UNDRIP and CERD guidance, </w:t>
      </w:r>
      <w:proofErr w:type="spellStart"/>
      <w:r>
        <w:rPr>
          <w:color w:val="222222"/>
          <w:sz w:val="20"/>
          <w:szCs w:val="20"/>
        </w:rPr>
        <w:t>recognising</w:t>
      </w:r>
      <w:proofErr w:type="spellEnd"/>
      <w:r>
        <w:rPr>
          <w:color w:val="222222"/>
          <w:sz w:val="20"/>
          <w:szCs w:val="20"/>
        </w:rPr>
        <w:t xml:space="preserve"> the disproportionate impact of climate disasters on Māori and racially </w:t>
      </w:r>
      <w:proofErr w:type="spellStart"/>
      <w:r>
        <w:rPr>
          <w:color w:val="222222"/>
          <w:sz w:val="20"/>
          <w:szCs w:val="20"/>
        </w:rPr>
        <w:t>minoritised</w:t>
      </w:r>
      <w:proofErr w:type="spellEnd"/>
      <w:r>
        <w:rPr>
          <w:color w:val="222222"/>
          <w:sz w:val="20"/>
          <w:szCs w:val="20"/>
        </w:rPr>
        <w:t xml:space="preserve"> communities.</w:t>
      </w:r>
    </w:p>
    <w:p w14:paraId="76F704EE" w14:textId="77777777" w:rsidR="001902DF" w:rsidRDefault="00000000">
      <w:pPr>
        <w:pStyle w:val="Heading3"/>
        <w:keepNext w:val="0"/>
        <w:keepLines w:val="0"/>
        <w:shd w:val="clear" w:color="auto" w:fill="FFFFFF"/>
        <w:spacing w:before="280" w:after="80" w:line="276" w:lineRule="auto"/>
        <w:rPr>
          <w:rFonts w:ascii="Arial" w:eastAsia="Arial" w:hAnsi="Arial" w:cs="Arial"/>
          <w:b/>
          <w:color w:val="222222"/>
          <w:sz w:val="20"/>
          <w:szCs w:val="20"/>
        </w:rPr>
      </w:pPr>
      <w:bookmarkStart w:id="43" w:name="_heading=h.7pnwr68v9moe" w:colFirst="0" w:colLast="0"/>
      <w:bookmarkEnd w:id="43"/>
      <w:r>
        <w:rPr>
          <w:rFonts w:ascii="Arial" w:eastAsia="Arial" w:hAnsi="Arial" w:cs="Arial"/>
          <w:b/>
          <w:color w:val="222222"/>
          <w:sz w:val="20"/>
          <w:szCs w:val="20"/>
        </w:rPr>
        <w:t>International Obligations &amp; Foreign Policy</w:t>
      </w:r>
    </w:p>
    <w:p w14:paraId="7D85215B" w14:textId="77777777" w:rsidR="001902DF" w:rsidRDefault="00000000">
      <w:pPr>
        <w:numPr>
          <w:ilvl w:val="0"/>
          <w:numId w:val="9"/>
        </w:numPr>
        <w:shd w:val="clear" w:color="auto" w:fill="FFFFFF"/>
        <w:spacing w:before="200" w:after="0" w:line="276" w:lineRule="auto"/>
        <w:jc w:val="left"/>
        <w:rPr>
          <w:sz w:val="20"/>
          <w:szCs w:val="20"/>
        </w:rPr>
      </w:pPr>
      <w:r>
        <w:rPr>
          <w:color w:val="222222"/>
          <w:sz w:val="20"/>
          <w:szCs w:val="20"/>
        </w:rPr>
        <w:t xml:space="preserve">Recommend that the State adopt a </w:t>
      </w:r>
      <w:r>
        <w:rPr>
          <w:b/>
          <w:color w:val="222222"/>
          <w:sz w:val="20"/>
          <w:szCs w:val="20"/>
        </w:rPr>
        <w:t xml:space="preserve">clear presumption against arms exports and </w:t>
      </w:r>
      <w:proofErr w:type="spellStart"/>
      <w:r>
        <w:rPr>
          <w:b/>
          <w:color w:val="222222"/>
          <w:sz w:val="20"/>
          <w:szCs w:val="20"/>
        </w:rPr>
        <w:t>defence</w:t>
      </w:r>
      <w:proofErr w:type="spellEnd"/>
      <w:r>
        <w:rPr>
          <w:b/>
          <w:color w:val="222222"/>
          <w:sz w:val="20"/>
          <w:szCs w:val="20"/>
        </w:rPr>
        <w:t xml:space="preserve"> cooperation with Israel</w:t>
      </w:r>
      <w:r>
        <w:rPr>
          <w:color w:val="222222"/>
          <w:sz w:val="20"/>
          <w:szCs w:val="20"/>
        </w:rPr>
        <w:t>, in line with CERD’s Early Warning/Urgent Action measures and the ICJ Advisory Opinion.</w:t>
      </w:r>
    </w:p>
    <w:p w14:paraId="775DACD9" w14:textId="77777777" w:rsidR="001902DF" w:rsidRDefault="00000000">
      <w:pPr>
        <w:numPr>
          <w:ilvl w:val="0"/>
          <w:numId w:val="9"/>
        </w:numPr>
        <w:shd w:val="clear" w:color="auto" w:fill="FFFFFF"/>
        <w:spacing w:before="0" w:after="0" w:line="276" w:lineRule="auto"/>
        <w:jc w:val="left"/>
        <w:rPr>
          <w:sz w:val="20"/>
          <w:szCs w:val="20"/>
        </w:rPr>
      </w:pPr>
      <w:r>
        <w:rPr>
          <w:color w:val="222222"/>
          <w:sz w:val="20"/>
          <w:szCs w:val="20"/>
        </w:rPr>
        <w:t xml:space="preserve">Call for the State to </w:t>
      </w:r>
      <w:proofErr w:type="spellStart"/>
      <w:r>
        <w:rPr>
          <w:b/>
          <w:color w:val="222222"/>
          <w:sz w:val="20"/>
          <w:szCs w:val="20"/>
        </w:rPr>
        <w:t>recognise</w:t>
      </w:r>
      <w:proofErr w:type="spellEnd"/>
      <w:r>
        <w:rPr>
          <w:b/>
          <w:color w:val="222222"/>
          <w:sz w:val="20"/>
          <w:szCs w:val="20"/>
        </w:rPr>
        <w:t xml:space="preserve"> Palestinian statehood</w:t>
      </w:r>
      <w:r>
        <w:rPr>
          <w:color w:val="222222"/>
          <w:sz w:val="20"/>
          <w:szCs w:val="20"/>
        </w:rPr>
        <w:t xml:space="preserve"> as part of its obligations under Articles 2 and 3 of ICERD to prevent complicity in apartheid and segregation.</w:t>
      </w:r>
    </w:p>
    <w:p w14:paraId="5FBCE65C" w14:textId="77777777" w:rsidR="001902DF" w:rsidRDefault="00000000">
      <w:pPr>
        <w:numPr>
          <w:ilvl w:val="0"/>
          <w:numId w:val="9"/>
        </w:numPr>
        <w:shd w:val="clear" w:color="auto" w:fill="FFFFFF"/>
        <w:spacing w:before="0" w:after="200" w:line="276" w:lineRule="auto"/>
        <w:jc w:val="left"/>
      </w:pPr>
      <w:r>
        <w:rPr>
          <w:color w:val="222222"/>
          <w:sz w:val="20"/>
          <w:szCs w:val="20"/>
        </w:rPr>
        <w:t xml:space="preserve">Recommend </w:t>
      </w:r>
      <w:r>
        <w:rPr>
          <w:b/>
          <w:color w:val="222222"/>
          <w:sz w:val="20"/>
          <w:szCs w:val="20"/>
        </w:rPr>
        <w:t>re-commitment to UNDRIP implementation</w:t>
      </w:r>
      <w:r>
        <w:rPr>
          <w:color w:val="222222"/>
          <w:sz w:val="20"/>
          <w:szCs w:val="20"/>
        </w:rPr>
        <w:t xml:space="preserve">, adopt a position that views UNDRIP and Te </w:t>
      </w:r>
      <w:proofErr w:type="spellStart"/>
      <w:r>
        <w:rPr>
          <w:color w:val="222222"/>
          <w:sz w:val="20"/>
          <w:szCs w:val="20"/>
        </w:rPr>
        <w:t>Tiriti</w:t>
      </w:r>
      <w:proofErr w:type="spellEnd"/>
      <w:r>
        <w:rPr>
          <w:color w:val="222222"/>
          <w:sz w:val="20"/>
          <w:szCs w:val="20"/>
        </w:rPr>
        <w:t xml:space="preserve"> o Waitangi as mutually complementary rather than contradictory.</w:t>
      </w:r>
      <w:r>
        <w:br w:type="page"/>
      </w:r>
    </w:p>
    <w:p w14:paraId="6CDE360E" w14:textId="77777777" w:rsidR="001902DF" w:rsidRDefault="00000000">
      <w:pPr>
        <w:pStyle w:val="Heading1"/>
        <w:shd w:val="clear" w:color="auto" w:fill="FFFFFF"/>
        <w:spacing w:before="280" w:after="80"/>
      </w:pPr>
      <w:bookmarkStart w:id="44" w:name="_heading=h.2ywso4b5izxo" w:colFirst="0" w:colLast="0"/>
      <w:bookmarkEnd w:id="44"/>
      <w:r>
        <w:lastRenderedPageBreak/>
        <w:t>REFERENCES</w:t>
      </w:r>
    </w:p>
    <w:p w14:paraId="23CCA0BD" w14:textId="77777777" w:rsidR="001902DF" w:rsidRDefault="00000000">
      <w:pPr>
        <w:numPr>
          <w:ilvl w:val="0"/>
          <w:numId w:val="3"/>
        </w:numPr>
        <w:spacing w:before="0" w:after="0" w:line="240" w:lineRule="auto"/>
        <w:ind w:left="360"/>
        <w:jc w:val="left"/>
      </w:pPr>
      <w:r>
        <w:rPr>
          <w:color w:val="222222"/>
        </w:rPr>
        <w:t xml:space="preserve">UN Committee on the Elimination of Racial Discrimination. (2017). </w:t>
      </w:r>
      <w:r>
        <w:rPr>
          <w:i/>
          <w:color w:val="222222"/>
        </w:rPr>
        <w:t xml:space="preserve">Concluding observations on the combined twenty-first and twenty-second periodic reports of New Zealand. </w:t>
      </w:r>
      <w:hyperlink r:id="rId10">
        <w:r>
          <w:rPr>
            <w:color w:val="1155CC"/>
            <w:u w:val="single"/>
          </w:rPr>
          <w:t>https://tbinternet.ohchr.org/_layouts/15/TreatyBodyExternal/Download.aspx?symbolno=CERD/C/NZL/CO/21-22&amp;Lang=En</w:t>
        </w:r>
      </w:hyperlink>
    </w:p>
    <w:p w14:paraId="7C3F2AA1" w14:textId="77777777" w:rsidR="001902DF" w:rsidRDefault="00000000">
      <w:pPr>
        <w:numPr>
          <w:ilvl w:val="0"/>
          <w:numId w:val="3"/>
        </w:numPr>
        <w:spacing w:before="0" w:after="0" w:line="240" w:lineRule="auto"/>
        <w:ind w:left="360"/>
        <w:jc w:val="left"/>
        <w:rPr>
          <w:i/>
          <w:color w:val="222222"/>
        </w:rPr>
      </w:pPr>
      <w:r>
        <w:t xml:space="preserve">National &amp; NZ First. (2023). </w:t>
      </w:r>
      <w:r>
        <w:rPr>
          <w:i/>
        </w:rPr>
        <w:t>New Zealand National Party and New Zealand First Party Coalition Agreement</w:t>
      </w:r>
      <w:r>
        <w:t xml:space="preserve">. </w:t>
      </w:r>
      <w:hyperlink r:id="rId11">
        <w:r>
          <w:rPr>
            <w:color w:val="1155CC"/>
            <w:u w:val="single"/>
          </w:rPr>
          <w:t>https://www.nzfirst.nz/coalition-agreement</w:t>
        </w:r>
      </w:hyperlink>
      <w:r>
        <w:t xml:space="preserve"> </w:t>
      </w:r>
    </w:p>
    <w:p w14:paraId="1E5356A1" w14:textId="77777777" w:rsidR="001902DF" w:rsidRDefault="00000000">
      <w:pPr>
        <w:numPr>
          <w:ilvl w:val="0"/>
          <w:numId w:val="3"/>
        </w:numPr>
        <w:spacing w:before="0" w:after="0" w:line="240" w:lineRule="auto"/>
        <w:ind w:left="360"/>
        <w:jc w:val="left"/>
      </w:pPr>
      <w:r>
        <w:t xml:space="preserve">National &amp; ACT. (2023). </w:t>
      </w:r>
      <w:r>
        <w:rPr>
          <w:i/>
        </w:rPr>
        <w:t>New Zealand National Party and ACT New Zealand Coalition Agreement</w:t>
      </w:r>
      <w:r>
        <w:t xml:space="preserve">.  </w:t>
      </w:r>
      <w:hyperlink r:id="rId12">
        <w:r>
          <w:rPr>
            <w:color w:val="1155CC"/>
            <w:u w:val="single"/>
          </w:rPr>
          <w:t>https://assets.nationbuilder.com/actnz/pages/13849/attachments/original/1715133581/National_ACT_Agreement.pdf?1715133581</w:t>
        </w:r>
      </w:hyperlink>
    </w:p>
    <w:p w14:paraId="7E2F26F1" w14:textId="77777777" w:rsidR="001902DF" w:rsidRDefault="00000000">
      <w:pPr>
        <w:numPr>
          <w:ilvl w:val="0"/>
          <w:numId w:val="3"/>
        </w:numPr>
        <w:spacing w:before="0" w:after="0" w:line="240" w:lineRule="auto"/>
        <w:ind w:left="360"/>
        <w:jc w:val="left"/>
      </w:pPr>
      <w:r>
        <w:t>Principles of the Treaty of Waitangi Bill 2024 (</w:t>
      </w:r>
      <w:proofErr w:type="gramStart"/>
      <w:r>
        <w:t>94—1</w:t>
      </w:r>
      <w:proofErr w:type="gramEnd"/>
      <w:r>
        <w:t>).</w:t>
      </w:r>
    </w:p>
    <w:p w14:paraId="71F5DE30" w14:textId="77777777" w:rsidR="001902DF" w:rsidRDefault="00000000">
      <w:pPr>
        <w:numPr>
          <w:ilvl w:val="0"/>
          <w:numId w:val="3"/>
        </w:numPr>
        <w:spacing w:before="0" w:after="0" w:line="240" w:lineRule="auto"/>
        <w:ind w:left="360"/>
        <w:jc w:val="left"/>
      </w:pPr>
      <w:r>
        <w:t xml:space="preserve">Waitangi Tribunal. (2024). </w:t>
      </w:r>
      <w:proofErr w:type="spellStart"/>
      <w:r>
        <w:rPr>
          <w:i/>
        </w:rPr>
        <w:t>Ngā</w:t>
      </w:r>
      <w:proofErr w:type="spellEnd"/>
      <w:r>
        <w:rPr>
          <w:i/>
        </w:rPr>
        <w:t xml:space="preserve"> </w:t>
      </w:r>
      <w:proofErr w:type="spellStart"/>
      <w:r>
        <w:rPr>
          <w:i/>
        </w:rPr>
        <w:t>Mātāpono</w:t>
      </w:r>
      <w:proofErr w:type="spellEnd"/>
      <w:r>
        <w:rPr>
          <w:i/>
        </w:rPr>
        <w:t xml:space="preserve">: The Principles. The Interim Report of the </w:t>
      </w:r>
      <w:proofErr w:type="spellStart"/>
      <w:r>
        <w:rPr>
          <w:i/>
        </w:rPr>
        <w:t>Tomokia</w:t>
      </w:r>
      <w:proofErr w:type="spellEnd"/>
      <w:r>
        <w:rPr>
          <w:i/>
        </w:rPr>
        <w:t xml:space="preserve"> </w:t>
      </w:r>
      <w:proofErr w:type="spellStart"/>
      <w:r>
        <w:rPr>
          <w:i/>
        </w:rPr>
        <w:t>Ngā</w:t>
      </w:r>
      <w:proofErr w:type="spellEnd"/>
      <w:r>
        <w:rPr>
          <w:i/>
        </w:rPr>
        <w:t xml:space="preserve"> Tatau o </w:t>
      </w:r>
      <w:proofErr w:type="spellStart"/>
      <w:r>
        <w:rPr>
          <w:i/>
        </w:rPr>
        <w:t>Matangireia</w:t>
      </w:r>
      <w:proofErr w:type="spellEnd"/>
      <w:r>
        <w:rPr>
          <w:i/>
        </w:rPr>
        <w:t xml:space="preserve"> – the Constitutional Kaupapa Inquiry Panel on the Crown’s Treaty Principles Bill and Treaty Clause Review Policies (Pre-publication report).</w:t>
      </w:r>
      <w:r>
        <w:t xml:space="preserve"> Wellington: Waitangi Tribunal. </w:t>
      </w:r>
      <w:hyperlink r:id="rId13">
        <w:r>
          <w:rPr>
            <w:color w:val="1155CC"/>
            <w:u w:val="single"/>
          </w:rPr>
          <w:t>https://forms.justice.govt.nz/search/Documents/WT/wt_DOC_217933408/Nga%20Matapono%20W.pdf</w:t>
        </w:r>
      </w:hyperlink>
    </w:p>
    <w:p w14:paraId="0059D459" w14:textId="77777777" w:rsidR="001902DF" w:rsidRDefault="00000000">
      <w:pPr>
        <w:numPr>
          <w:ilvl w:val="0"/>
          <w:numId w:val="3"/>
        </w:numPr>
        <w:spacing w:before="0" w:after="0" w:line="240" w:lineRule="auto"/>
        <w:ind w:left="360"/>
        <w:jc w:val="left"/>
      </w:pPr>
      <w:r>
        <w:t xml:space="preserve">RNZ. (2025, April 10). </w:t>
      </w:r>
      <w:r>
        <w:rPr>
          <w:i/>
        </w:rPr>
        <w:t xml:space="preserve">‘Watch this space’: Seymour on if voted down Treat Principles Bill will return. </w:t>
      </w:r>
      <w:hyperlink r:id="rId14">
        <w:r>
          <w:rPr>
            <w:color w:val="1155CC"/>
            <w:u w:val="single"/>
          </w:rPr>
          <w:t>https://www.rnz.co.nz/news/political/557766/watch-this-space-seymour-on-if-voted-down-treaty-principles-bill-will-return</w:t>
        </w:r>
      </w:hyperlink>
    </w:p>
    <w:p w14:paraId="11340605" w14:textId="77777777" w:rsidR="001902DF" w:rsidRDefault="00000000">
      <w:pPr>
        <w:numPr>
          <w:ilvl w:val="0"/>
          <w:numId w:val="3"/>
        </w:numPr>
        <w:spacing w:before="0" w:after="0" w:line="240" w:lineRule="auto"/>
        <w:ind w:left="360"/>
        <w:jc w:val="left"/>
      </w:pPr>
      <w:r>
        <w:t xml:space="preserve">Waitangi Tribunal. </w:t>
      </w:r>
      <w:r>
        <w:rPr>
          <w:i/>
        </w:rPr>
        <w:t xml:space="preserve">He </w:t>
      </w:r>
      <w:proofErr w:type="spellStart"/>
      <w:r>
        <w:rPr>
          <w:i/>
        </w:rPr>
        <w:t>Whakaputanga</w:t>
      </w:r>
      <w:proofErr w:type="spellEnd"/>
      <w:r>
        <w:rPr>
          <w:i/>
        </w:rPr>
        <w:t xml:space="preserve"> me </w:t>
      </w:r>
      <w:proofErr w:type="spellStart"/>
      <w:r>
        <w:rPr>
          <w:i/>
        </w:rPr>
        <w:t>te</w:t>
      </w:r>
      <w:proofErr w:type="spellEnd"/>
      <w:r>
        <w:rPr>
          <w:i/>
        </w:rPr>
        <w:t xml:space="preserve"> </w:t>
      </w:r>
      <w:proofErr w:type="spellStart"/>
      <w:r>
        <w:rPr>
          <w:i/>
        </w:rPr>
        <w:t>Tiriti</w:t>
      </w:r>
      <w:proofErr w:type="spellEnd"/>
      <w:r>
        <w:rPr>
          <w:i/>
        </w:rPr>
        <w:t xml:space="preserve">/The Declaration and the Treaty: The Report on Stage 1 of the Te </w:t>
      </w:r>
      <w:proofErr w:type="spellStart"/>
      <w:r>
        <w:rPr>
          <w:i/>
        </w:rPr>
        <w:t>Paparahi</w:t>
      </w:r>
      <w:proofErr w:type="spellEnd"/>
      <w:r>
        <w:rPr>
          <w:i/>
        </w:rPr>
        <w:t xml:space="preserve"> o </w:t>
      </w:r>
      <w:proofErr w:type="spellStart"/>
      <w:r>
        <w:rPr>
          <w:i/>
        </w:rPr>
        <w:t>te</w:t>
      </w:r>
      <w:proofErr w:type="spellEnd"/>
      <w:r>
        <w:rPr>
          <w:i/>
        </w:rPr>
        <w:t xml:space="preserve"> Raki Inquiry.</w:t>
      </w:r>
      <w:r>
        <w:t xml:space="preserve"> Wellington: Waitangi Tribunal. </w:t>
      </w:r>
      <w:hyperlink r:id="rId15">
        <w:r>
          <w:rPr>
            <w:color w:val="1155CC"/>
            <w:u w:val="single"/>
          </w:rPr>
          <w:t>https://www.disputestribunal.govt.nz/assets/WT-Part-1-Report-on-stage-1-of-the-Te-Paparahi-o-Te-Raki-inquiry.pdf</w:t>
        </w:r>
      </w:hyperlink>
    </w:p>
    <w:p w14:paraId="13D79D53" w14:textId="77777777" w:rsidR="001902DF" w:rsidRDefault="00000000">
      <w:pPr>
        <w:numPr>
          <w:ilvl w:val="0"/>
          <w:numId w:val="3"/>
        </w:numPr>
        <w:spacing w:before="0" w:after="0" w:line="240" w:lineRule="auto"/>
        <w:ind w:left="360"/>
        <w:jc w:val="left"/>
      </w:pPr>
      <w:r>
        <w:t xml:space="preserve">New Zealand Parliament Justice Committee. (2025, January 27). </w:t>
      </w:r>
      <w:r>
        <w:rPr>
          <w:i/>
        </w:rPr>
        <w:t xml:space="preserve">Principles of the Treaty of Waitangi Bill, Hearing of evidence. </w:t>
      </w:r>
      <w:r>
        <w:t xml:space="preserve">[Video]. Vimeo. </w:t>
      </w:r>
      <w:hyperlink r:id="rId16">
        <w:r>
          <w:rPr>
            <w:color w:val="1155CC"/>
            <w:u w:val="single"/>
          </w:rPr>
          <w:t>https://vimeo.com/showcase/10758261/video/1049910462</w:t>
        </w:r>
      </w:hyperlink>
    </w:p>
    <w:p w14:paraId="51BB4124" w14:textId="77777777" w:rsidR="001902DF" w:rsidRDefault="00000000">
      <w:pPr>
        <w:numPr>
          <w:ilvl w:val="0"/>
          <w:numId w:val="3"/>
        </w:numPr>
        <w:spacing w:before="0" w:after="0" w:line="240" w:lineRule="auto"/>
        <w:ind w:left="360"/>
        <w:jc w:val="left"/>
      </w:pPr>
      <w:proofErr w:type="spellStart"/>
      <w:r>
        <w:t>Hattotuwa</w:t>
      </w:r>
      <w:proofErr w:type="spellEnd"/>
      <w:r>
        <w:t xml:space="preserve"> S. (2025, January 6). </w:t>
      </w:r>
      <w:r>
        <w:rPr>
          <w:i/>
        </w:rPr>
        <w:t xml:space="preserve">Submission to New Zealand Parliament on Principles of the Treaty of Waitangi Bill. </w:t>
      </w:r>
      <w:hyperlink r:id="rId17">
        <w:r>
          <w:rPr>
            <w:color w:val="1155CC"/>
            <w:u w:val="single"/>
          </w:rPr>
          <w:t>https://sanjanah.wordpress.com/2025/01/06/submission-to-new-zealand-parliament-on-principles-of-the-treaty-of-waitangi-bill/</w:t>
        </w:r>
      </w:hyperlink>
    </w:p>
    <w:p w14:paraId="17BED2C3" w14:textId="77777777" w:rsidR="001902DF" w:rsidRDefault="00000000">
      <w:pPr>
        <w:numPr>
          <w:ilvl w:val="0"/>
          <w:numId w:val="3"/>
        </w:numPr>
        <w:spacing w:before="0" w:after="0" w:line="240" w:lineRule="auto"/>
        <w:ind w:left="360"/>
        <w:jc w:val="left"/>
      </w:pPr>
      <w:proofErr w:type="spellStart"/>
      <w:r>
        <w:t>LaHatte</w:t>
      </w:r>
      <w:proofErr w:type="spellEnd"/>
      <w:r>
        <w:t xml:space="preserve"> D. (2024, April 18). </w:t>
      </w:r>
      <w:r>
        <w:rPr>
          <w:i/>
        </w:rPr>
        <w:t xml:space="preserve">‘Māori Law Society slates Jones’ savage criticism of Waitangi Tribunal as ‘inappropriate, unconstitutional’. </w:t>
      </w:r>
      <w:hyperlink r:id="rId18">
        <w:r>
          <w:rPr>
            <w:color w:val="1155CC"/>
            <w:u w:val="single"/>
          </w:rPr>
          <w:t>https://www.teaonews.co.nz/2024/04/17/maori-law-society-slates-jones-savage-criticism-of-waitangi-tribunal-as-inappropriate-unconstitutional/</w:t>
        </w:r>
      </w:hyperlink>
    </w:p>
    <w:p w14:paraId="0EA82FE0" w14:textId="77777777" w:rsidR="001902DF" w:rsidRDefault="00000000">
      <w:pPr>
        <w:numPr>
          <w:ilvl w:val="0"/>
          <w:numId w:val="3"/>
        </w:numPr>
        <w:spacing w:before="0" w:after="0" w:line="240" w:lineRule="auto"/>
        <w:ind w:left="360"/>
        <w:jc w:val="left"/>
      </w:pPr>
      <w:r>
        <w:t xml:space="preserve">RNZ. (2025, January 23). </w:t>
      </w:r>
      <w:r>
        <w:rPr>
          <w:i/>
        </w:rPr>
        <w:t xml:space="preserve">Minister denies claim Waitangi Tribunal appointments a whitewash. </w:t>
      </w:r>
      <w:hyperlink r:id="rId19">
        <w:r>
          <w:rPr>
            <w:color w:val="1155CC"/>
            <w:u w:val="single"/>
          </w:rPr>
          <w:t>https://www.rnz.co.nz/news/national/539707/minister-denies-claim-waitangi-tribunal-appointments-a-whitewash</w:t>
        </w:r>
      </w:hyperlink>
    </w:p>
    <w:p w14:paraId="65415E38" w14:textId="77777777" w:rsidR="001902DF" w:rsidRDefault="00000000">
      <w:pPr>
        <w:numPr>
          <w:ilvl w:val="0"/>
          <w:numId w:val="3"/>
        </w:numPr>
        <w:spacing w:before="0" w:after="0" w:line="240" w:lineRule="auto"/>
        <w:ind w:left="360"/>
        <w:jc w:val="left"/>
      </w:pPr>
      <w:proofErr w:type="spellStart"/>
      <w:r>
        <w:t>Los’e</w:t>
      </w:r>
      <w:proofErr w:type="spellEnd"/>
      <w:r>
        <w:t xml:space="preserve"> J. (2024, April 19). </w:t>
      </w:r>
      <w:r>
        <w:rPr>
          <w:i/>
        </w:rPr>
        <w:t xml:space="preserve">David Seymour warns Waitangi Tribunal it has picked a scrap with the wrong MP. </w:t>
      </w:r>
      <w:r>
        <w:t xml:space="preserve"> </w:t>
      </w:r>
      <w:hyperlink r:id="rId20">
        <w:r>
          <w:rPr>
            <w:color w:val="1155CC"/>
            <w:u w:val="single"/>
          </w:rPr>
          <w:t>https://www.nzherald.co.nz/kahu/david-seymour-warns-waitangi-tribunal-it-has-picked-a-scrap-with-the-wrong-mp/L3E7EB25BFG3LCQ36GIWIX27J4/</w:t>
        </w:r>
      </w:hyperlink>
    </w:p>
    <w:p w14:paraId="17C86CE1" w14:textId="77777777" w:rsidR="001902DF" w:rsidRDefault="00000000">
      <w:pPr>
        <w:numPr>
          <w:ilvl w:val="0"/>
          <w:numId w:val="3"/>
        </w:numPr>
        <w:spacing w:before="0" w:after="0" w:line="240" w:lineRule="auto"/>
        <w:ind w:left="360"/>
        <w:jc w:val="left"/>
      </w:pPr>
      <w:r>
        <w:t xml:space="preserve">Ministry of Health. (2025). </w:t>
      </w:r>
      <w:r>
        <w:rPr>
          <w:i/>
        </w:rPr>
        <w:t>Health and Independence Report 2024</w:t>
      </w:r>
      <w:r>
        <w:t>. Wellington: Ministry of Health.</w:t>
      </w:r>
    </w:p>
    <w:p w14:paraId="7F05A1BE" w14:textId="77777777" w:rsidR="001902DF" w:rsidRDefault="00000000">
      <w:pPr>
        <w:numPr>
          <w:ilvl w:val="0"/>
          <w:numId w:val="3"/>
        </w:numPr>
        <w:spacing w:before="0" w:after="0" w:line="240" w:lineRule="auto"/>
        <w:ind w:left="360"/>
        <w:jc w:val="left"/>
      </w:pPr>
      <w:r>
        <w:t xml:space="preserve">Waitangi Tribunal. (2023). </w:t>
      </w:r>
      <w:r>
        <w:rPr>
          <w:i/>
        </w:rPr>
        <w:t>Hauora: Report on Stage One of the Kaupapa Health Services and Outcomes Inquiry</w:t>
      </w:r>
      <w:r>
        <w:t>. Wellington: Waitangi Tribunal.</w:t>
      </w:r>
    </w:p>
    <w:p w14:paraId="161AE419" w14:textId="77777777" w:rsidR="001902DF" w:rsidRDefault="00000000">
      <w:pPr>
        <w:numPr>
          <w:ilvl w:val="0"/>
          <w:numId w:val="3"/>
        </w:numPr>
        <w:spacing w:before="0" w:after="0" w:line="240" w:lineRule="auto"/>
        <w:ind w:left="360"/>
        <w:jc w:val="left"/>
      </w:pPr>
      <w:r>
        <w:t xml:space="preserve">Waitangi Tribunal. (2024). </w:t>
      </w:r>
      <w:r>
        <w:rPr>
          <w:i/>
        </w:rPr>
        <w:t>Hautupua: Te Aka Whai Ora (</w:t>
      </w:r>
      <w:proofErr w:type="spellStart"/>
      <w:r>
        <w:rPr>
          <w:i/>
        </w:rPr>
        <w:t>Maaori</w:t>
      </w:r>
      <w:proofErr w:type="spellEnd"/>
      <w:r>
        <w:rPr>
          <w:i/>
        </w:rPr>
        <w:t xml:space="preserve"> Health Authority) Priority Report</w:t>
      </w:r>
      <w:r>
        <w:t xml:space="preserve"> (Pre-publication copy). Wellington: Waitangi Tribunal.</w:t>
      </w:r>
    </w:p>
    <w:p w14:paraId="20AD401E" w14:textId="77777777" w:rsidR="001902DF" w:rsidRDefault="00000000">
      <w:pPr>
        <w:numPr>
          <w:ilvl w:val="0"/>
          <w:numId w:val="3"/>
        </w:numPr>
        <w:spacing w:before="0" w:after="0" w:line="240" w:lineRule="auto"/>
        <w:ind w:left="360"/>
        <w:jc w:val="left"/>
      </w:pPr>
      <w:r>
        <w:t xml:space="preserve">Ministry of Health. 2024. </w:t>
      </w:r>
      <w:r>
        <w:rPr>
          <w:i/>
        </w:rPr>
        <w:t>Tatau Kahukura: Māori Health Chart Book 2024</w:t>
      </w:r>
      <w:r>
        <w:t xml:space="preserve"> (4th edition). Wellington: Ministry of Health.</w:t>
      </w:r>
    </w:p>
    <w:p w14:paraId="318178BF" w14:textId="77777777" w:rsidR="001902DF" w:rsidRDefault="00000000">
      <w:pPr>
        <w:numPr>
          <w:ilvl w:val="0"/>
          <w:numId w:val="3"/>
        </w:numPr>
        <w:spacing w:before="0" w:after="0" w:line="240" w:lineRule="auto"/>
        <w:ind w:left="360"/>
        <w:jc w:val="left"/>
      </w:pPr>
      <w:r>
        <w:t xml:space="preserve">Ingham T, Jones B, Perry M, King PT, Baker G, Hickey H, </w:t>
      </w:r>
      <w:proofErr w:type="spellStart"/>
      <w:r>
        <w:t>Pouwhare</w:t>
      </w:r>
      <w:proofErr w:type="spellEnd"/>
      <w:r>
        <w:t xml:space="preserve"> R &amp; Nikora L. (2022). </w:t>
      </w:r>
      <w:r>
        <w:lastRenderedPageBreak/>
        <w:t xml:space="preserve">The multidimensional impacts of inequities for Tāngata </w:t>
      </w:r>
      <w:proofErr w:type="spellStart"/>
      <w:r>
        <w:t>Whaikaha</w:t>
      </w:r>
      <w:proofErr w:type="spellEnd"/>
      <w:r>
        <w:t xml:space="preserve"> Māori (Indigenous Māori with lived experience of disability) in Aotearoa, New Zealand. </w:t>
      </w:r>
      <w:r>
        <w:rPr>
          <w:i/>
        </w:rPr>
        <w:t>International Journal of Environmental Research and Public Health</w:t>
      </w:r>
      <w:r>
        <w:t xml:space="preserve">, </w:t>
      </w:r>
      <w:r>
        <w:rPr>
          <w:i/>
        </w:rPr>
        <w:t>19</w:t>
      </w:r>
      <w:r>
        <w:t>(20), 13558.</w:t>
      </w:r>
    </w:p>
    <w:p w14:paraId="4F01F38E" w14:textId="77777777" w:rsidR="001902DF" w:rsidRDefault="00000000">
      <w:pPr>
        <w:numPr>
          <w:ilvl w:val="0"/>
          <w:numId w:val="3"/>
        </w:numPr>
        <w:spacing w:before="0" w:after="0" w:line="240" w:lineRule="auto"/>
        <w:ind w:left="360"/>
        <w:jc w:val="left"/>
      </w:pPr>
      <w:r>
        <w:t xml:space="preserve">Porter R, Trip H, </w:t>
      </w:r>
      <w:proofErr w:type="spellStart"/>
      <w:r>
        <w:t>Daffue</w:t>
      </w:r>
      <w:proofErr w:type="spellEnd"/>
      <w:r>
        <w:t xml:space="preserve"> C, Fitzjohn J &amp; Renison P. (2025). The adverse impact of disability funding cuts on individuals with intellectual disability. </w:t>
      </w:r>
      <w:r>
        <w:rPr>
          <w:i/>
        </w:rPr>
        <w:t xml:space="preserve">NZMJ, </w:t>
      </w:r>
      <w:r>
        <w:t>138(1609).</w:t>
      </w:r>
    </w:p>
    <w:p w14:paraId="18E962F5" w14:textId="77777777" w:rsidR="001902DF" w:rsidRDefault="00000000">
      <w:pPr>
        <w:numPr>
          <w:ilvl w:val="0"/>
          <w:numId w:val="3"/>
        </w:numPr>
        <w:spacing w:before="0" w:after="0" w:line="240" w:lineRule="auto"/>
        <w:ind w:left="360"/>
        <w:jc w:val="left"/>
      </w:pPr>
      <w:r>
        <w:t xml:space="preserve">Ministry of Social Development. (2022). </w:t>
      </w:r>
      <w:r>
        <w:rPr>
          <w:i/>
        </w:rPr>
        <w:t>Disability issues: Briefing to the incoming Minister.</w:t>
      </w:r>
      <w:r>
        <w:t xml:space="preserve"> Wellington: Ministry of Social Development.</w:t>
      </w:r>
    </w:p>
    <w:p w14:paraId="4C8618B6" w14:textId="77777777" w:rsidR="001902DF" w:rsidRDefault="00000000">
      <w:pPr>
        <w:numPr>
          <w:ilvl w:val="0"/>
          <w:numId w:val="3"/>
        </w:numPr>
        <w:spacing w:before="0" w:after="0" w:line="240" w:lineRule="auto"/>
        <w:ind w:left="360"/>
        <w:jc w:val="left"/>
      </w:pPr>
      <w:r>
        <w:t xml:space="preserve">Bentley R, Mason K, Jacobs D, Blakely T, Howden-Chapmen P, Li A, Adamkiewicz G &amp; Reeves A. (2025). Housing as a social determinant of health: a contemporary framework. </w:t>
      </w:r>
      <w:r>
        <w:rPr>
          <w:i/>
        </w:rPr>
        <w:t>The Lancet Public Health</w:t>
      </w:r>
      <w:r>
        <w:t>. 10(10), e855-e864.</w:t>
      </w:r>
    </w:p>
    <w:p w14:paraId="4F6ED170" w14:textId="77777777" w:rsidR="001902DF" w:rsidRDefault="00000000">
      <w:pPr>
        <w:numPr>
          <w:ilvl w:val="0"/>
          <w:numId w:val="3"/>
        </w:numPr>
        <w:spacing w:before="0" w:after="0" w:line="240" w:lineRule="auto"/>
        <w:ind w:left="360"/>
        <w:jc w:val="left"/>
      </w:pPr>
      <w:r>
        <w:t>Farha L. (2020).</w:t>
      </w:r>
      <w:r>
        <w:rPr>
          <w:i/>
        </w:rPr>
        <w:t xml:space="preserve"> End of Mission Statement: Visit of the Special Rapporteur on the right to adequate housing to New Zealand.</w:t>
      </w:r>
      <w:r>
        <w:rPr>
          <w:i/>
        </w:rPr>
        <w:br/>
      </w:r>
      <w:r>
        <w:t>​​</w:t>
      </w:r>
      <w:hyperlink r:id="rId21">
        <w:r>
          <w:rPr>
            <w:color w:val="1155CC"/>
            <w:u w:val="single"/>
          </w:rPr>
          <w:t>https://www.ohchr.org/en/statements-and-speeches/2020/02/end-mission-statement-visit-special-rapporteur-right-adequate</w:t>
        </w:r>
      </w:hyperlink>
    </w:p>
    <w:p w14:paraId="69658EED" w14:textId="77777777" w:rsidR="001902DF" w:rsidRDefault="00000000">
      <w:pPr>
        <w:numPr>
          <w:ilvl w:val="0"/>
          <w:numId w:val="3"/>
        </w:numPr>
        <w:spacing w:before="0" w:after="0" w:line="240" w:lineRule="auto"/>
        <w:ind w:left="360"/>
        <w:jc w:val="left"/>
      </w:pPr>
      <w:r>
        <w:t xml:space="preserve">Stewart E. (2023, May 1). 'Our </w:t>
      </w:r>
      <w:proofErr w:type="spellStart"/>
      <w:r>
        <w:t>tīpuna</w:t>
      </w:r>
      <w:proofErr w:type="spellEnd"/>
      <w:r>
        <w:t xml:space="preserve"> knew when to </w:t>
      </w:r>
      <w:proofErr w:type="spellStart"/>
      <w:r>
        <w:t>move</w:t>
      </w:r>
      <w:proofErr w:type="gramStart"/>
      <w:r>
        <w:t>'.The</w:t>
      </w:r>
      <w:proofErr w:type="spellEnd"/>
      <w:proofErr w:type="gramEnd"/>
      <w:r>
        <w:t xml:space="preserve"> difficult conversations about managed retreat for Māori. </w:t>
      </w:r>
      <w:hyperlink r:id="rId22">
        <w:r>
          <w:rPr>
            <w:color w:val="1155CC"/>
            <w:u w:val="single"/>
          </w:rPr>
          <w:t>https://www.rnz.co.nz/news/in-depth/489011/our-tipuna-knew-when-to-move-the-difficult-conversations-about-managed-retreat-for-mao</w:t>
        </w:r>
      </w:hyperlink>
      <w:hyperlink r:id="rId23">
        <w:r>
          <w:rPr>
            <w:color w:val="1155CC"/>
            <w:u w:val="single"/>
          </w:rPr>
          <w:t>ri</w:t>
        </w:r>
      </w:hyperlink>
    </w:p>
    <w:p w14:paraId="782900BF" w14:textId="77777777" w:rsidR="001902DF" w:rsidRDefault="00000000">
      <w:pPr>
        <w:numPr>
          <w:ilvl w:val="0"/>
          <w:numId w:val="3"/>
        </w:numPr>
        <w:spacing w:before="0" w:after="0" w:line="240" w:lineRule="auto"/>
        <w:ind w:left="360"/>
        <w:jc w:val="left"/>
      </w:pPr>
      <w:r>
        <w:t xml:space="preserve">Ministry of Housing and Urban Development - Te </w:t>
      </w:r>
      <w:proofErr w:type="spellStart"/>
      <w:r>
        <w:t>Tūāpapa</w:t>
      </w:r>
      <w:proofErr w:type="spellEnd"/>
      <w:r>
        <w:t xml:space="preserve"> Kura </w:t>
      </w:r>
      <w:proofErr w:type="spellStart"/>
      <w:r>
        <w:t>Kāinga</w:t>
      </w:r>
      <w:proofErr w:type="spellEnd"/>
      <w:r>
        <w:t xml:space="preserve">. (2024). </w:t>
      </w:r>
      <w:r>
        <w:rPr>
          <w:i/>
        </w:rPr>
        <w:t>Departmental disclosure statement: Residential Tenancies Amendment Bill.</w:t>
      </w:r>
      <w:r>
        <w:rPr>
          <w:i/>
        </w:rPr>
        <w:br/>
      </w:r>
      <w:hyperlink r:id="rId24">
        <w:r>
          <w:rPr>
            <w:color w:val="1155CC"/>
            <w:u w:val="single"/>
          </w:rPr>
          <w:t>https://disclosure.legislation.govt.nz/assets/disclosures/bill_government_2024_45.pdf</w:t>
        </w:r>
      </w:hyperlink>
    </w:p>
    <w:p w14:paraId="580E99BE" w14:textId="77777777" w:rsidR="001902DF" w:rsidRDefault="00000000">
      <w:pPr>
        <w:numPr>
          <w:ilvl w:val="0"/>
          <w:numId w:val="3"/>
        </w:numPr>
        <w:spacing w:before="0" w:after="0" w:line="240" w:lineRule="auto"/>
        <w:ind w:left="360"/>
        <w:jc w:val="left"/>
      </w:pPr>
      <w:proofErr w:type="spellStart"/>
      <w:r>
        <w:t>Oranga</w:t>
      </w:r>
      <w:proofErr w:type="spellEnd"/>
      <w:r>
        <w:t xml:space="preserve"> Tamariki. (2024). </w:t>
      </w:r>
      <w:r>
        <w:rPr>
          <w:i/>
        </w:rPr>
        <w:t>Regulatory Impact Statement: Young serious offender declaration and military-style academies.</w:t>
      </w:r>
      <w:r>
        <w:rPr>
          <w:i/>
        </w:rPr>
        <w:br/>
      </w:r>
      <w:hyperlink r:id="rId25">
        <w:r>
          <w:rPr>
            <w:color w:val="1155CC"/>
            <w:u w:val="single"/>
          </w:rPr>
          <w:t>https://www.orangatamariki.govt.nz/assets/Uploads/Youth-justice/Military-Style-Academies/Regulatory-Impact-Statement-Serious-Youth-Offenders-and-military-style-academies-June-2024.pdf</w:t>
        </w:r>
      </w:hyperlink>
    </w:p>
    <w:p w14:paraId="432CFFB1" w14:textId="77777777" w:rsidR="001902DF" w:rsidRDefault="00000000">
      <w:pPr>
        <w:numPr>
          <w:ilvl w:val="0"/>
          <w:numId w:val="3"/>
        </w:numPr>
        <w:spacing w:before="0" w:after="0" w:line="240" w:lineRule="auto"/>
        <w:ind w:left="360"/>
        <w:jc w:val="left"/>
      </w:pPr>
      <w:r>
        <w:t xml:space="preserve">Office of the Children’s Commissioner. (2020). </w:t>
      </w:r>
      <w:r>
        <w:rPr>
          <w:i/>
        </w:rPr>
        <w:t xml:space="preserve">Te Kuku O Te Manawa - Ka puta </w:t>
      </w:r>
      <w:proofErr w:type="spellStart"/>
      <w:r>
        <w:rPr>
          <w:i/>
        </w:rPr>
        <w:t>te</w:t>
      </w:r>
      <w:proofErr w:type="spellEnd"/>
      <w:r>
        <w:rPr>
          <w:i/>
        </w:rPr>
        <w:t xml:space="preserve"> </w:t>
      </w:r>
      <w:proofErr w:type="spellStart"/>
      <w:r>
        <w:rPr>
          <w:i/>
        </w:rPr>
        <w:t>riri</w:t>
      </w:r>
      <w:proofErr w:type="spellEnd"/>
      <w:r>
        <w:rPr>
          <w:i/>
        </w:rPr>
        <w:t xml:space="preserve">, ka </w:t>
      </w:r>
      <w:proofErr w:type="spellStart"/>
      <w:r>
        <w:rPr>
          <w:i/>
        </w:rPr>
        <w:t>momori</w:t>
      </w:r>
      <w:proofErr w:type="spellEnd"/>
      <w:r>
        <w:rPr>
          <w:i/>
        </w:rPr>
        <w:t xml:space="preserve"> </w:t>
      </w:r>
      <w:proofErr w:type="spellStart"/>
      <w:r>
        <w:rPr>
          <w:i/>
        </w:rPr>
        <w:t>te</w:t>
      </w:r>
      <w:proofErr w:type="spellEnd"/>
      <w:r>
        <w:rPr>
          <w:i/>
        </w:rPr>
        <w:t xml:space="preserve"> </w:t>
      </w:r>
      <w:proofErr w:type="spellStart"/>
      <w:r>
        <w:rPr>
          <w:i/>
        </w:rPr>
        <w:t>ngākau</w:t>
      </w:r>
      <w:proofErr w:type="spellEnd"/>
      <w:r>
        <w:rPr>
          <w:i/>
        </w:rPr>
        <w:t xml:space="preserve">, ka </w:t>
      </w:r>
      <w:proofErr w:type="spellStart"/>
      <w:r>
        <w:rPr>
          <w:i/>
        </w:rPr>
        <w:t>heke</w:t>
      </w:r>
      <w:proofErr w:type="spellEnd"/>
      <w:r>
        <w:rPr>
          <w:i/>
        </w:rPr>
        <w:t xml:space="preserve"> </w:t>
      </w:r>
      <w:proofErr w:type="spellStart"/>
      <w:r>
        <w:rPr>
          <w:i/>
        </w:rPr>
        <w:t>ngā</w:t>
      </w:r>
      <w:proofErr w:type="spellEnd"/>
      <w:r>
        <w:rPr>
          <w:i/>
        </w:rPr>
        <w:t xml:space="preserve"> </w:t>
      </w:r>
      <w:proofErr w:type="spellStart"/>
      <w:r>
        <w:rPr>
          <w:i/>
        </w:rPr>
        <w:t>roimata</w:t>
      </w:r>
      <w:proofErr w:type="spellEnd"/>
      <w:r>
        <w:rPr>
          <w:i/>
        </w:rPr>
        <w:t xml:space="preserve"> </w:t>
      </w:r>
      <w:proofErr w:type="spellStart"/>
      <w:r>
        <w:rPr>
          <w:i/>
        </w:rPr>
        <w:t>mo</w:t>
      </w:r>
      <w:proofErr w:type="spellEnd"/>
      <w:r>
        <w:rPr>
          <w:i/>
        </w:rPr>
        <w:t xml:space="preserve"> </w:t>
      </w:r>
      <w:proofErr w:type="spellStart"/>
      <w:r>
        <w:rPr>
          <w:i/>
        </w:rPr>
        <w:t>tōku</w:t>
      </w:r>
      <w:proofErr w:type="spellEnd"/>
      <w:r>
        <w:rPr>
          <w:i/>
        </w:rPr>
        <w:t xml:space="preserve"> </w:t>
      </w:r>
      <w:proofErr w:type="spellStart"/>
      <w:r>
        <w:rPr>
          <w:i/>
        </w:rPr>
        <w:t>pēpi</w:t>
      </w:r>
      <w:proofErr w:type="spellEnd"/>
      <w:r>
        <w:rPr>
          <w:i/>
        </w:rPr>
        <w:t xml:space="preserve">. </w:t>
      </w:r>
      <w:r>
        <w:t>ISBN 978-0-473-51773-1,</w:t>
      </w:r>
      <w:r>
        <w:br/>
      </w:r>
      <w:hyperlink r:id="rId26">
        <w:r>
          <w:rPr>
            <w:color w:val="1155CC"/>
            <w:u w:val="single"/>
          </w:rPr>
          <w:t>www.occ.org.nz</w:t>
        </w:r>
      </w:hyperlink>
      <w:r>
        <w:t>.</w:t>
      </w:r>
    </w:p>
    <w:p w14:paraId="3059F1D5" w14:textId="77777777" w:rsidR="001902DF" w:rsidRDefault="00000000">
      <w:pPr>
        <w:numPr>
          <w:ilvl w:val="0"/>
          <w:numId w:val="3"/>
        </w:numPr>
        <w:spacing w:before="0" w:after="0" w:line="240" w:lineRule="auto"/>
        <w:ind w:left="360"/>
        <w:jc w:val="left"/>
      </w:pPr>
      <w:r>
        <w:t xml:space="preserve">Waitangi Tribunal. (2024). </w:t>
      </w:r>
      <w:r>
        <w:rPr>
          <w:i/>
        </w:rPr>
        <w:t xml:space="preserve">The </w:t>
      </w:r>
      <w:proofErr w:type="spellStart"/>
      <w:r>
        <w:rPr>
          <w:i/>
        </w:rPr>
        <w:t>Oranga</w:t>
      </w:r>
      <w:proofErr w:type="spellEnd"/>
      <w:r>
        <w:rPr>
          <w:i/>
        </w:rPr>
        <w:t xml:space="preserve"> Tamariki (Section 7AA) Urgent Inquiry 10 May 2024 Report.</w:t>
      </w:r>
      <w:r>
        <w:t xml:space="preserve"> Wellington: Waitangi Tribunal.</w:t>
      </w:r>
    </w:p>
    <w:p w14:paraId="059F4BA1" w14:textId="77777777" w:rsidR="001902DF" w:rsidRDefault="00000000">
      <w:pPr>
        <w:numPr>
          <w:ilvl w:val="0"/>
          <w:numId w:val="3"/>
        </w:numPr>
        <w:spacing w:before="0" w:after="0" w:line="240" w:lineRule="auto"/>
        <w:ind w:left="360"/>
        <w:jc w:val="left"/>
      </w:pPr>
      <w:r>
        <w:t>McKelvie-</w:t>
      </w:r>
      <w:proofErr w:type="spellStart"/>
      <w:r>
        <w:t>Sebileau</w:t>
      </w:r>
      <w:proofErr w:type="spellEnd"/>
      <w:r>
        <w:t xml:space="preserve"> P, Swinburn B, Rees D, Glassey R, Tipene-Leach D &amp; Garton K. (2024). Assessing the potential for school lunch </w:t>
      </w:r>
      <w:proofErr w:type="spellStart"/>
      <w:r>
        <w:t>programme</w:t>
      </w:r>
      <w:proofErr w:type="spellEnd"/>
      <w:r>
        <w:t xml:space="preserve"> Ka Ora, Ka Ako to enhance education, sustainability and health goals. </w:t>
      </w:r>
      <w:r>
        <w:rPr>
          <w:i/>
        </w:rPr>
        <w:t>Policy Quarterly</w:t>
      </w:r>
      <w:r>
        <w:t xml:space="preserve">, </w:t>
      </w:r>
      <w:r>
        <w:rPr>
          <w:i/>
        </w:rPr>
        <w:t>20</w:t>
      </w:r>
      <w:r>
        <w:t>(3), 39-51.</w:t>
      </w:r>
    </w:p>
    <w:p w14:paraId="4B250B65" w14:textId="77777777" w:rsidR="001902DF" w:rsidRDefault="00000000">
      <w:pPr>
        <w:numPr>
          <w:ilvl w:val="0"/>
          <w:numId w:val="3"/>
        </w:numPr>
        <w:spacing w:before="0" w:after="0" w:line="240" w:lineRule="auto"/>
        <w:ind w:left="360"/>
        <w:jc w:val="left"/>
      </w:pPr>
      <w:r>
        <w:t xml:space="preserve">RNZ Checkpoint. (2025, February 25). ‘Nutritionist finds list of issues after visiting Auckland schools delivering lunch </w:t>
      </w:r>
      <w:proofErr w:type="spellStart"/>
      <w:r>
        <w:t>programme</w:t>
      </w:r>
      <w:proofErr w:type="spellEnd"/>
      <w:r>
        <w:t>’.</w:t>
      </w:r>
      <w:r>
        <w:br/>
      </w:r>
      <w:hyperlink r:id="rId27">
        <w:r>
          <w:rPr>
            <w:color w:val="1155CC"/>
            <w:u w:val="single"/>
          </w:rPr>
          <w:t>https://www.rnz.co.nz/news/national/542843/nutritionist-finds-list-of-issues-after-visiting-auckland-schools-delivering-lunch-programme</w:t>
        </w:r>
      </w:hyperlink>
    </w:p>
    <w:p w14:paraId="67330C76" w14:textId="77777777" w:rsidR="001902DF" w:rsidRDefault="00000000">
      <w:pPr>
        <w:numPr>
          <w:ilvl w:val="0"/>
          <w:numId w:val="3"/>
        </w:numPr>
        <w:spacing w:before="0" w:after="0" w:line="240" w:lineRule="auto"/>
        <w:ind w:left="360"/>
        <w:jc w:val="left"/>
      </w:pPr>
      <w:r>
        <w:t xml:space="preserve">Seymour et al. (2025). </w:t>
      </w:r>
      <w:r>
        <w:rPr>
          <w:i/>
        </w:rPr>
        <w:t>Aotearoa’s government-funded school lunches failing nutrition standards. Public Health Communications Centre Aotearoa.</w:t>
      </w:r>
      <w:r>
        <w:rPr>
          <w:i/>
        </w:rPr>
        <w:br/>
      </w:r>
      <w:hyperlink r:id="rId28">
        <w:r>
          <w:rPr>
            <w:color w:val="1155CC"/>
            <w:u w:val="single"/>
          </w:rPr>
          <w:t>https://www.phcc.org.nz/briefing/aotearoas-government-funded-school-lunches-failing-nutrition-standards</w:t>
        </w:r>
      </w:hyperlink>
    </w:p>
    <w:p w14:paraId="2C7204DA" w14:textId="77777777" w:rsidR="001902DF" w:rsidRDefault="00000000">
      <w:pPr>
        <w:numPr>
          <w:ilvl w:val="0"/>
          <w:numId w:val="3"/>
        </w:numPr>
        <w:spacing w:before="0" w:after="0" w:line="240" w:lineRule="auto"/>
        <w:ind w:left="360"/>
        <w:jc w:val="left"/>
      </w:pPr>
      <w:proofErr w:type="spellStart"/>
      <w:r>
        <w:t>Ataçocuğu</w:t>
      </w:r>
      <w:proofErr w:type="spellEnd"/>
      <w:r>
        <w:t xml:space="preserve">, Temel (2024, March 15) </w:t>
      </w:r>
      <w:r>
        <w:rPr>
          <w:i/>
        </w:rPr>
        <w:t>I survived the Christchurch terror attack – the government is in danger of forgetting us</w:t>
      </w:r>
      <w:r>
        <w:rPr>
          <w:i/>
        </w:rPr>
        <w:br/>
      </w:r>
      <w:hyperlink r:id="rId29">
        <w:r>
          <w:rPr>
            <w:color w:val="1155CC"/>
            <w:u w:val="single"/>
          </w:rPr>
          <w:t>https://www.theguardian.com/world/2024/mar/15/christchurch-terror-attack-survivor-comment</w:t>
        </w:r>
      </w:hyperlink>
    </w:p>
    <w:p w14:paraId="2D30EDF2" w14:textId="77777777" w:rsidR="001902DF" w:rsidRDefault="00000000">
      <w:pPr>
        <w:numPr>
          <w:ilvl w:val="0"/>
          <w:numId w:val="3"/>
        </w:numPr>
        <w:spacing w:before="0" w:after="0" w:line="240" w:lineRule="auto"/>
        <w:ind w:left="360"/>
        <w:jc w:val="left"/>
      </w:pPr>
      <w:r>
        <w:t xml:space="preserve">The Indian Weekender (2025, October 4) </w:t>
      </w:r>
      <w:r>
        <w:rPr>
          <w:i/>
        </w:rPr>
        <w:t>FBI Tip-Off Helps NZ Police Prevent A 21-Year-Old’s Planned Mass Stabbing</w:t>
      </w:r>
      <w:r>
        <w:rPr>
          <w:i/>
        </w:rPr>
        <w:br/>
      </w:r>
      <w:hyperlink r:id="rId30">
        <w:r>
          <w:rPr>
            <w:color w:val="1155CC"/>
            <w:u w:val="single"/>
          </w:rPr>
          <w:t>https://www.indianweekender.co.nz/news/fbi-tip-off-helps-nz-police-stop-a-21-year-olds-planned-mass-stabbing</w:t>
        </w:r>
      </w:hyperlink>
    </w:p>
    <w:p w14:paraId="49253315" w14:textId="77777777" w:rsidR="001902DF" w:rsidRDefault="00000000">
      <w:pPr>
        <w:numPr>
          <w:ilvl w:val="0"/>
          <w:numId w:val="3"/>
        </w:numPr>
        <w:spacing w:before="0" w:after="0" w:line="240" w:lineRule="auto"/>
        <w:ind w:left="360"/>
        <w:jc w:val="left"/>
      </w:pPr>
      <w:r>
        <w:t xml:space="preserve">Federation of Islamic Associations of New Zealand. (2025, October 6). Community news </w:t>
      </w:r>
      <w:proofErr w:type="gramStart"/>
      <w:r>
        <w:t>release |</w:t>
      </w:r>
      <w:proofErr w:type="gramEnd"/>
      <w:r>
        <w:t xml:space="preserve"> Hawkes Bay terror threat | FIANZ response [Status update]. Facebook. </w:t>
      </w:r>
      <w:hyperlink r:id="rId31">
        <w:r>
          <w:rPr>
            <w:color w:val="1155CC"/>
            <w:u w:val="single"/>
          </w:rPr>
          <w:t>https://www.facebook.com/FIANZ.NZ/posts/pfbid02DC1uPFr1YVip8MYMsySEMUTwtp4KCMQ5YSLYvJhLjWLWseLUZCUJRVn3Bu5KYRfEl</w:t>
        </w:r>
      </w:hyperlink>
    </w:p>
    <w:p w14:paraId="33258220" w14:textId="77777777" w:rsidR="001902DF" w:rsidRDefault="00000000">
      <w:pPr>
        <w:numPr>
          <w:ilvl w:val="0"/>
          <w:numId w:val="3"/>
        </w:numPr>
        <w:spacing w:before="0" w:after="0" w:line="240" w:lineRule="auto"/>
        <w:ind w:left="360"/>
        <w:jc w:val="left"/>
      </w:pPr>
      <w:r>
        <w:t xml:space="preserve">Committee on the Elimination of Racial Discrimination (CERD). (2023, December 21). </w:t>
      </w:r>
      <w:r>
        <w:rPr>
          <w:i/>
        </w:rPr>
        <w:t>Decision on Israel and the State of Palestine (EWUA).</w:t>
      </w:r>
      <w:r>
        <w:t xml:space="preserve"> U.N. Doc. </w:t>
      </w:r>
      <w:hyperlink r:id="rId32">
        <w:r>
          <w:rPr>
            <w:color w:val="1155CC"/>
            <w:u w:val="single"/>
          </w:rPr>
          <w:t>INT/CERD/EWU/9942.</w:t>
        </w:r>
      </w:hyperlink>
    </w:p>
    <w:p w14:paraId="40FDC2C4" w14:textId="77777777" w:rsidR="001902DF" w:rsidRDefault="00000000">
      <w:pPr>
        <w:numPr>
          <w:ilvl w:val="0"/>
          <w:numId w:val="3"/>
        </w:numPr>
        <w:spacing w:before="0" w:after="0" w:line="240" w:lineRule="auto"/>
        <w:ind w:left="360"/>
        <w:jc w:val="left"/>
      </w:pPr>
      <w:r>
        <w:t xml:space="preserve">Committee on the Elimination of Racial Discrimination (CERD). (1995). </w:t>
      </w:r>
      <w:r>
        <w:rPr>
          <w:i/>
        </w:rPr>
        <w:t xml:space="preserve">General recommendation No. 19: The prevention, prohibition and eradication of racial segregation and apartheid (Article 3). </w:t>
      </w:r>
      <w:r>
        <w:t xml:space="preserve">U.N. Doc. A/50/18, Annex V. </w:t>
      </w:r>
      <w:hyperlink r:id="rId33">
        <w:r>
          <w:rPr>
            <w:color w:val="1155CC"/>
            <w:u w:val="single"/>
          </w:rPr>
          <w:t>https://hrlibrary.umn.edu/gencomm/onrace.htm</w:t>
        </w:r>
      </w:hyperlink>
    </w:p>
    <w:p w14:paraId="6225BB6F" w14:textId="77777777" w:rsidR="001902DF" w:rsidRDefault="00000000">
      <w:pPr>
        <w:numPr>
          <w:ilvl w:val="0"/>
          <w:numId w:val="3"/>
        </w:numPr>
        <w:spacing w:before="0" w:after="0" w:line="240" w:lineRule="auto"/>
        <w:ind w:left="360"/>
        <w:jc w:val="left"/>
      </w:pPr>
      <w:r>
        <w:t xml:space="preserve">International Court of Justice (ICJ). (2024, July 19). </w:t>
      </w:r>
      <w:r>
        <w:rPr>
          <w:i/>
        </w:rPr>
        <w:t>Legal consequences arising from the policies and practices of Israel in the Occupied Palestinian Territory, including East Jerusalem (Advisory Opinion).</w:t>
      </w:r>
      <w:r>
        <w:t xml:space="preserve"> </w:t>
      </w:r>
      <w:hyperlink r:id="rId34">
        <w:r>
          <w:rPr>
            <w:color w:val="1155CC"/>
            <w:u w:val="single"/>
          </w:rPr>
          <w:t>https://www.icj-cij.org/case/186</w:t>
        </w:r>
      </w:hyperlink>
    </w:p>
    <w:p w14:paraId="5C94702F" w14:textId="77777777" w:rsidR="001902DF" w:rsidRDefault="00000000">
      <w:pPr>
        <w:numPr>
          <w:ilvl w:val="0"/>
          <w:numId w:val="3"/>
        </w:numPr>
        <w:spacing w:before="0" w:after="0" w:line="240" w:lineRule="auto"/>
        <w:ind w:left="360"/>
        <w:jc w:val="left"/>
      </w:pPr>
      <w:r>
        <w:t xml:space="preserve">Bevin A. (2024, November 15). </w:t>
      </w:r>
      <w:r>
        <w:rPr>
          <w:i/>
        </w:rPr>
        <w:t xml:space="preserve">Rocket Lab’s </w:t>
      </w:r>
      <w:proofErr w:type="spellStart"/>
      <w:r>
        <w:rPr>
          <w:i/>
        </w:rPr>
        <w:t>Māhia</w:t>
      </w:r>
      <w:proofErr w:type="spellEnd"/>
      <w:r>
        <w:rPr>
          <w:i/>
        </w:rPr>
        <w:t xml:space="preserve"> launches linked to Israeli military intelligence. </w:t>
      </w:r>
      <w:hyperlink r:id="rId35">
        <w:r>
          <w:rPr>
            <w:color w:val="1155CC"/>
            <w:u w:val="single"/>
          </w:rPr>
          <w:t>https://newsroom.co.nz/2024/11/15/rocketlabs-mahia-launches-linked-to-israeli-military-intelligence/</w:t>
        </w:r>
      </w:hyperlink>
    </w:p>
    <w:p w14:paraId="45A09344" w14:textId="77777777" w:rsidR="001902DF" w:rsidRDefault="00000000">
      <w:pPr>
        <w:numPr>
          <w:ilvl w:val="0"/>
          <w:numId w:val="3"/>
        </w:numPr>
        <w:spacing w:before="0" w:after="0" w:line="240" w:lineRule="auto"/>
        <w:ind w:left="360"/>
        <w:jc w:val="left"/>
      </w:pPr>
      <w:r>
        <w:t xml:space="preserve">Pennington P. (2025, September 29). </w:t>
      </w:r>
      <w:r>
        <w:rPr>
          <w:i/>
        </w:rPr>
        <w:t xml:space="preserve">What is NZ’s role in Trump’s Golden Dome missile </w:t>
      </w:r>
      <w:proofErr w:type="spellStart"/>
      <w:r>
        <w:rPr>
          <w:i/>
        </w:rPr>
        <w:t>defence</w:t>
      </w:r>
      <w:proofErr w:type="spellEnd"/>
      <w:r>
        <w:rPr>
          <w:i/>
        </w:rPr>
        <w:t xml:space="preserve"> system. </w:t>
      </w:r>
      <w:hyperlink r:id="rId36">
        <w:r>
          <w:rPr>
            <w:color w:val="1155CC"/>
            <w:u w:val="single"/>
          </w:rPr>
          <w:t>https://www.rnz.co.nz/news/national/574417/what-is-nz-s-role-in-trump-s-golden-dome-missile-defence-system</w:t>
        </w:r>
      </w:hyperlink>
    </w:p>
    <w:p w14:paraId="3C3E6986" w14:textId="77777777" w:rsidR="001902DF" w:rsidRDefault="00000000">
      <w:pPr>
        <w:numPr>
          <w:ilvl w:val="0"/>
          <w:numId w:val="3"/>
        </w:numPr>
        <w:spacing w:before="0" w:after="0" w:line="240" w:lineRule="auto"/>
        <w:ind w:left="360"/>
        <w:jc w:val="left"/>
      </w:pPr>
      <w:r>
        <w:t xml:space="preserve">Peters W. (2025, September 27). </w:t>
      </w:r>
      <w:r>
        <w:rPr>
          <w:i/>
        </w:rPr>
        <w:t xml:space="preserve">NZ to maintain approach to recognition of Palestine. </w:t>
      </w:r>
      <w:hyperlink r:id="rId37">
        <w:r>
          <w:rPr>
            <w:color w:val="1155CC"/>
            <w:u w:val="single"/>
          </w:rPr>
          <w:t>https://www.beehive.govt.nz/release/nz-maintain-approach-recognition-palestine</w:t>
        </w:r>
      </w:hyperlink>
    </w:p>
    <w:p w14:paraId="41632102" w14:textId="77777777" w:rsidR="001902DF" w:rsidRDefault="00000000">
      <w:pPr>
        <w:numPr>
          <w:ilvl w:val="0"/>
          <w:numId w:val="3"/>
        </w:numPr>
        <w:spacing w:before="0" w:after="0" w:line="240" w:lineRule="auto"/>
        <w:ind w:left="360"/>
        <w:jc w:val="left"/>
      </w:pPr>
      <w:r>
        <w:t xml:space="preserve">United Nations. (2025). </w:t>
      </w:r>
      <w:r>
        <w:rPr>
          <w:i/>
        </w:rPr>
        <w:t xml:space="preserve">High-level International Conference for the Peaceful Settlement of the Question of Palestine and the Implementation of the Two-State Solution. </w:t>
      </w:r>
      <w:hyperlink r:id="rId38">
        <w:r>
          <w:rPr>
            <w:color w:val="1155CC"/>
            <w:u w:val="single"/>
          </w:rPr>
          <w:t>https://www.un.org/unispal/high-level-conference-two-state-solution-july2025/</w:t>
        </w:r>
      </w:hyperlink>
    </w:p>
    <w:p w14:paraId="12F60FB6" w14:textId="77777777" w:rsidR="001902DF" w:rsidRDefault="00000000">
      <w:pPr>
        <w:numPr>
          <w:ilvl w:val="0"/>
          <w:numId w:val="3"/>
        </w:numPr>
        <w:spacing w:before="0" w:after="0" w:line="240" w:lineRule="auto"/>
        <w:ind w:left="360"/>
        <w:jc w:val="left"/>
      </w:pPr>
      <w:r>
        <w:t>RNZ (12 August 2025)</w:t>
      </w:r>
      <w:r>
        <w:rPr>
          <w:i/>
        </w:rPr>
        <w:t xml:space="preserve"> Literacy experts say no problem with Māori words in book for learner readers </w:t>
      </w:r>
      <w:hyperlink r:id="rId39">
        <w:r>
          <w:rPr>
            <w:color w:val="1155CC"/>
            <w:u w:val="single"/>
          </w:rPr>
          <w:t>https://www.rnz.co.nz/news/te-manu-korihi/569675/literacy-experts-say-no-problem-with-maori-words-in-book-for-learner-readers</w:t>
        </w:r>
      </w:hyperlink>
    </w:p>
    <w:p w14:paraId="04C5859F" w14:textId="77777777" w:rsidR="001902DF" w:rsidRDefault="00000000">
      <w:pPr>
        <w:numPr>
          <w:ilvl w:val="0"/>
          <w:numId w:val="3"/>
        </w:numPr>
        <w:spacing w:before="0" w:after="0" w:line="240" w:lineRule="auto"/>
        <w:ind w:left="360"/>
        <w:jc w:val="left"/>
      </w:pPr>
      <w:r>
        <w:t xml:space="preserve">Ford, T., &amp; Jepsen, B. (2025, August). </w:t>
      </w:r>
      <w:r>
        <w:rPr>
          <w:i/>
        </w:rPr>
        <w:t xml:space="preserve">The </w:t>
      </w:r>
      <w:proofErr w:type="spellStart"/>
      <w:r>
        <w:rPr>
          <w:i/>
        </w:rPr>
        <w:t>recolonisation</w:t>
      </w:r>
      <w:proofErr w:type="spellEnd"/>
      <w:r>
        <w:rPr>
          <w:i/>
        </w:rPr>
        <w:t xml:space="preserve"> of the Aotearoa New Zealand curriculum in 2025</w:t>
      </w:r>
      <w:r>
        <w:t xml:space="preserve">. Te Akatea Incorporated </w:t>
      </w:r>
      <w:hyperlink r:id="rId40">
        <w:r>
          <w:rPr>
            <w:color w:val="1155CC"/>
            <w:u w:val="single"/>
          </w:rPr>
          <w:t>https://aecnz.substack.com/api/v1/file/258049ee-f9ae-48ec-a836-edff0c3b5fb8.pdf</w:t>
        </w:r>
      </w:hyperlink>
    </w:p>
    <w:p w14:paraId="28A3E9B3" w14:textId="77777777" w:rsidR="001902DF" w:rsidRDefault="00000000">
      <w:pPr>
        <w:numPr>
          <w:ilvl w:val="0"/>
          <w:numId w:val="3"/>
        </w:numPr>
        <w:spacing w:before="0" w:after="0" w:line="240" w:lineRule="auto"/>
        <w:ind w:left="360"/>
        <w:jc w:val="left"/>
      </w:pPr>
      <w:r>
        <w:t xml:space="preserve">Harding J. (2024, December 16). </w:t>
      </w:r>
      <w:r>
        <w:rPr>
          <w:i/>
        </w:rPr>
        <w:t>Open letter on importance of research in the social sciences and humanities.</w:t>
      </w:r>
      <w:r>
        <w:rPr>
          <w:i/>
        </w:rPr>
        <w:br/>
      </w:r>
      <w:hyperlink r:id="rId41">
        <w:r>
          <w:rPr>
            <w:color w:val="1155CC"/>
            <w:u w:val="single"/>
          </w:rPr>
          <w:t>https://www.royalsociety.org.nz/news/open-letter-on-importance-of-the-social-sciences-and-humanities/</w:t>
        </w:r>
      </w:hyperlink>
    </w:p>
    <w:p w14:paraId="33492FB3" w14:textId="77777777" w:rsidR="001902DF" w:rsidRDefault="00000000">
      <w:pPr>
        <w:numPr>
          <w:ilvl w:val="0"/>
          <w:numId w:val="3"/>
        </w:numPr>
        <w:spacing w:before="0" w:after="0" w:line="240" w:lineRule="auto"/>
        <w:ind w:left="360"/>
        <w:jc w:val="left"/>
      </w:pPr>
      <w:r>
        <w:t xml:space="preserve">Health Research Council. (2025). </w:t>
      </w:r>
      <w:r>
        <w:rPr>
          <w:i/>
        </w:rPr>
        <w:t xml:space="preserve">Changes to HRC funding to support new Institute. </w:t>
      </w:r>
      <w:hyperlink r:id="rId42">
        <w:r>
          <w:rPr>
            <w:color w:val="1155CC"/>
            <w:u w:val="single"/>
          </w:rPr>
          <w:t>https://www.hrc.govt.nz/news-and-events/changes-hrc-funding-support-new-institute</w:t>
        </w:r>
      </w:hyperlink>
    </w:p>
    <w:p w14:paraId="19B7BE4C" w14:textId="77777777" w:rsidR="001902DF" w:rsidRDefault="00000000">
      <w:pPr>
        <w:numPr>
          <w:ilvl w:val="0"/>
          <w:numId w:val="3"/>
        </w:numPr>
        <w:spacing w:before="0" w:after="0" w:line="240" w:lineRule="auto"/>
        <w:ind w:left="360"/>
        <w:jc w:val="left"/>
      </w:pPr>
      <w:r>
        <w:t xml:space="preserve">Schindler et al. (2025, March 15). </w:t>
      </w:r>
      <w:r>
        <w:rPr>
          <w:i/>
        </w:rPr>
        <w:t xml:space="preserve">The </w:t>
      </w:r>
      <w:proofErr w:type="spellStart"/>
      <w:r>
        <w:rPr>
          <w:i/>
        </w:rPr>
        <w:t>politicisation</w:t>
      </w:r>
      <w:proofErr w:type="spellEnd"/>
      <w:r>
        <w:rPr>
          <w:i/>
        </w:rPr>
        <w:t xml:space="preserve"> of research funding.  </w:t>
      </w:r>
      <w:hyperlink r:id="rId43">
        <w:r>
          <w:rPr>
            <w:color w:val="1155CC"/>
            <w:u w:val="single"/>
          </w:rPr>
          <w:t>https://www.wgtn.ac.nz/news/2025/03/keep-politics-out-of-research-funding</w:t>
        </w:r>
      </w:hyperlink>
    </w:p>
    <w:p w14:paraId="390C1C09" w14:textId="77777777" w:rsidR="001902DF" w:rsidRDefault="00000000">
      <w:pPr>
        <w:numPr>
          <w:ilvl w:val="0"/>
          <w:numId w:val="3"/>
        </w:numPr>
        <w:spacing w:before="0" w:after="0" w:line="240" w:lineRule="auto"/>
        <w:ind w:left="360"/>
        <w:jc w:val="left"/>
      </w:pPr>
      <w:hyperlink r:id="rId44">
        <w:r>
          <w:rPr>
            <w:color w:val="1155CC"/>
            <w:u w:val="single"/>
          </w:rPr>
          <w:t>https://www.lawsociety.org.nz/news/newsroom/advocacy-in-action/access-to-justice-impacted-by-proposed-repeal-of-sentencing-report-funding/</w:t>
        </w:r>
      </w:hyperlink>
    </w:p>
    <w:p w14:paraId="209C687A" w14:textId="77777777" w:rsidR="001902DF" w:rsidRDefault="00000000">
      <w:pPr>
        <w:numPr>
          <w:ilvl w:val="0"/>
          <w:numId w:val="3"/>
        </w:numPr>
        <w:spacing w:before="0" w:after="0" w:line="240" w:lineRule="auto"/>
        <w:ind w:left="360"/>
        <w:jc w:val="left"/>
      </w:pPr>
      <w:r>
        <w:t xml:space="preserve">New Zealand Government. (2024). </w:t>
      </w:r>
      <w:r>
        <w:rPr>
          <w:i/>
        </w:rPr>
        <w:t>Departmental disclosure statement: Legal Services Amendment</w:t>
      </w:r>
      <w:r>
        <w:t xml:space="preserve"> Bill.</w:t>
      </w:r>
      <w:r>
        <w:br/>
      </w:r>
      <w:hyperlink r:id="rId45">
        <w:r>
          <w:rPr>
            <w:color w:val="1155CC"/>
            <w:u w:val="single"/>
          </w:rPr>
          <w:t>https://disclosure.legislation.govt.nz/assets/disclosures/Bill_government_2024_12.pdf</w:t>
        </w:r>
      </w:hyperlink>
    </w:p>
    <w:p w14:paraId="2B60D6AE" w14:textId="77777777" w:rsidR="001902DF" w:rsidRDefault="00000000">
      <w:pPr>
        <w:numPr>
          <w:ilvl w:val="0"/>
          <w:numId w:val="3"/>
        </w:numPr>
        <w:spacing w:before="0" w:after="0" w:line="240" w:lineRule="auto"/>
        <w:ind w:left="360"/>
        <w:jc w:val="left"/>
      </w:pPr>
      <w:r>
        <w:t xml:space="preserve">Seymour D. (2025, July 17). </w:t>
      </w:r>
      <w:r>
        <w:rPr>
          <w:i/>
        </w:rPr>
        <w:t xml:space="preserve">Speech to the 2025 LGNZ Conference - Delivering for ratepayers together. </w:t>
      </w:r>
      <w:hyperlink r:id="rId46">
        <w:r>
          <w:rPr>
            <w:color w:val="1155CC"/>
            <w:u w:val="single"/>
          </w:rPr>
          <w:t>https://www.beehive.govt.nz/speech/speech-2025-lgnz-conference-delivering-ratepayers-together</w:t>
        </w:r>
      </w:hyperlink>
    </w:p>
    <w:p w14:paraId="3D189A31" w14:textId="77777777" w:rsidR="001902DF" w:rsidRDefault="00000000">
      <w:pPr>
        <w:numPr>
          <w:ilvl w:val="0"/>
          <w:numId w:val="3"/>
        </w:numPr>
        <w:spacing w:before="0" w:after="0" w:line="240" w:lineRule="auto"/>
        <w:ind w:left="360"/>
        <w:jc w:val="left"/>
      </w:pPr>
      <w:r>
        <w:t xml:space="preserve">Palmer R. (2025, March 25). </w:t>
      </w:r>
      <w:r>
        <w:rPr>
          <w:i/>
        </w:rPr>
        <w:t xml:space="preserve">Christopher Luxon reveals Resource Management Act reform. </w:t>
      </w:r>
      <w:hyperlink r:id="rId47">
        <w:r>
          <w:rPr>
            <w:color w:val="1155CC"/>
            <w:u w:val="single"/>
          </w:rPr>
          <w:t>https://www.rnz.co.nz/news/political/545835/christopher-luxon-reveals-resource-management-act-reform</w:t>
        </w:r>
      </w:hyperlink>
    </w:p>
    <w:p w14:paraId="73E0207D" w14:textId="77777777" w:rsidR="001902DF" w:rsidRDefault="00000000">
      <w:pPr>
        <w:numPr>
          <w:ilvl w:val="0"/>
          <w:numId w:val="3"/>
        </w:numPr>
        <w:spacing w:before="0" w:after="0" w:line="240" w:lineRule="auto"/>
        <w:ind w:left="360"/>
        <w:jc w:val="left"/>
      </w:pPr>
      <w:r>
        <w:t xml:space="preserve">RNZ Morning Report. (2025, May 20). </w:t>
      </w:r>
      <w:r>
        <w:rPr>
          <w:i/>
        </w:rPr>
        <w:t xml:space="preserve">Te </w:t>
      </w:r>
      <w:proofErr w:type="spellStart"/>
      <w:r>
        <w:rPr>
          <w:i/>
        </w:rPr>
        <w:t>Pāti</w:t>
      </w:r>
      <w:proofErr w:type="spellEnd"/>
      <w:r>
        <w:rPr>
          <w:i/>
        </w:rPr>
        <w:t xml:space="preserve"> Māori’s haka punishment labelled extreme, but </w:t>
      </w:r>
      <w:proofErr w:type="spellStart"/>
      <w:r>
        <w:rPr>
          <w:i/>
        </w:rPr>
        <w:t>labour</w:t>
      </w:r>
      <w:proofErr w:type="spellEnd"/>
      <w:r>
        <w:rPr>
          <w:i/>
        </w:rPr>
        <w:t xml:space="preserve"> unlikely to filibuster.</w:t>
      </w:r>
      <w:r>
        <w:t xml:space="preserve"> </w:t>
      </w:r>
      <w:hyperlink r:id="rId48">
        <w:r>
          <w:rPr>
            <w:color w:val="1155CC"/>
            <w:u w:val="single"/>
          </w:rPr>
          <w:t>https://www.rnz.co.nz/news/political/561537/te-pati-maori-s-haka-punishment-labelled-extreme-but-labour-unlikely-to-filibuster</w:t>
        </w:r>
      </w:hyperlink>
    </w:p>
    <w:p w14:paraId="784B61AE" w14:textId="77777777" w:rsidR="001902DF" w:rsidRDefault="00000000">
      <w:pPr>
        <w:numPr>
          <w:ilvl w:val="0"/>
          <w:numId w:val="3"/>
        </w:numPr>
        <w:spacing w:before="0" w:after="0" w:line="240" w:lineRule="auto"/>
        <w:ind w:left="360"/>
        <w:jc w:val="left"/>
      </w:pPr>
      <w:r>
        <w:lastRenderedPageBreak/>
        <w:t xml:space="preserve">Stone B. (2023, December 13). </w:t>
      </w:r>
      <w:r>
        <w:rPr>
          <w:i/>
        </w:rPr>
        <w:t xml:space="preserve">Te </w:t>
      </w:r>
      <w:proofErr w:type="spellStart"/>
      <w:r>
        <w:rPr>
          <w:i/>
        </w:rPr>
        <w:t>reo</w:t>
      </w:r>
      <w:proofErr w:type="spellEnd"/>
      <w:r>
        <w:rPr>
          <w:i/>
        </w:rPr>
        <w:t xml:space="preserve"> Māori bonuses vital in public service, Northlanders say. </w:t>
      </w:r>
      <w:hyperlink r:id="rId49">
        <w:r>
          <w:rPr>
            <w:color w:val="1155CC"/>
            <w:u w:val="single"/>
          </w:rPr>
          <w:t>https://www.nzherald.co.nz/northern-advocate/news/te-reo-maori-in-public-service-vital-northlanders-say/</w:t>
        </w:r>
      </w:hyperlink>
    </w:p>
    <w:p w14:paraId="7EEF3D3A" w14:textId="77777777" w:rsidR="001902DF" w:rsidRDefault="00000000">
      <w:pPr>
        <w:numPr>
          <w:ilvl w:val="0"/>
          <w:numId w:val="3"/>
        </w:numPr>
        <w:spacing w:before="0" w:after="0" w:line="240" w:lineRule="auto"/>
        <w:ind w:left="360"/>
        <w:jc w:val="left"/>
      </w:pPr>
      <w:r>
        <w:t>Peters W</w:t>
      </w:r>
      <w:proofErr w:type="gramStart"/>
      <w:r>
        <w:t>. [@</w:t>
      </w:r>
      <w:proofErr w:type="gramEnd"/>
      <w:r>
        <w:t xml:space="preserve">winstonpeters]. (2024, March 27). </w:t>
      </w:r>
      <w:hyperlink r:id="rId50">
        <w:r>
          <w:rPr>
            <w:color w:val="1155CC"/>
            <w:u w:val="single"/>
          </w:rPr>
          <w:t>https://x.com/winstonpeters/status/1772780870841295096</w:t>
        </w:r>
      </w:hyperlink>
    </w:p>
    <w:p w14:paraId="3B0CE55D" w14:textId="77777777" w:rsidR="001902DF" w:rsidRDefault="00000000">
      <w:pPr>
        <w:numPr>
          <w:ilvl w:val="0"/>
          <w:numId w:val="3"/>
        </w:numPr>
        <w:spacing w:before="0" w:after="0" w:line="240" w:lineRule="auto"/>
        <w:ind w:left="360"/>
        <w:jc w:val="left"/>
      </w:pPr>
      <w:r>
        <w:t xml:space="preserve">Peters W. (2024, March 17). </w:t>
      </w:r>
      <w:r>
        <w:rPr>
          <w:i/>
        </w:rPr>
        <w:t>New Zealand First leader Winston Peters’ full State of the Nation speech.</w:t>
      </w:r>
      <w:r>
        <w:t xml:space="preserve"> </w:t>
      </w:r>
      <w:hyperlink r:id="rId51">
        <w:r>
          <w:rPr>
            <w:color w:val="1155CC"/>
            <w:u w:val="single"/>
          </w:rPr>
          <w:t>https://www.stuff.co.nz/politics/350462672/new-zealand-first-leader-winston-peters-full-state-of-the-nation-speech</w:t>
        </w:r>
      </w:hyperlink>
    </w:p>
    <w:p w14:paraId="78C7EE08" w14:textId="77777777" w:rsidR="001902DF" w:rsidRDefault="00000000">
      <w:pPr>
        <w:numPr>
          <w:ilvl w:val="0"/>
          <w:numId w:val="3"/>
        </w:numPr>
        <w:spacing w:before="0" w:after="0" w:line="240" w:lineRule="auto"/>
        <w:ind w:left="360"/>
        <w:jc w:val="left"/>
      </w:pPr>
      <w:r>
        <w:t xml:space="preserve">Lyth J. </w:t>
      </w:r>
      <w:proofErr w:type="gramStart"/>
      <w:r>
        <w:t>( 2025</w:t>
      </w:r>
      <w:proofErr w:type="gramEnd"/>
      <w:r>
        <w:t xml:space="preserve">, January 30). </w:t>
      </w:r>
      <w:r>
        <w:rPr>
          <w:i/>
        </w:rPr>
        <w:t xml:space="preserve">Shane Jone labelled ‘racist’ by Greens for yelling ‘send the Mexicans home’ during Parliament debate. </w:t>
      </w:r>
      <w:hyperlink r:id="rId52">
        <w:r>
          <w:rPr>
            <w:color w:val="1155CC"/>
            <w:u w:val="single"/>
          </w:rPr>
          <w:t>https://www.nzherald.co.nz/nz/shane-jones-labelled-racist-by-greens-for-yelling-send-the-mexicans-home-during-parliament-debate</w:t>
        </w:r>
      </w:hyperlink>
    </w:p>
    <w:p w14:paraId="2903B386" w14:textId="77777777" w:rsidR="001902DF" w:rsidRDefault="00000000">
      <w:pPr>
        <w:numPr>
          <w:ilvl w:val="0"/>
          <w:numId w:val="3"/>
        </w:numPr>
        <w:spacing w:before="0" w:after="0" w:line="240" w:lineRule="auto"/>
        <w:ind w:left="360"/>
        <w:jc w:val="left"/>
      </w:pPr>
      <w:r>
        <w:t xml:space="preserve">RNZ. (2025, September 11). </w:t>
      </w:r>
      <w:r>
        <w:rPr>
          <w:i/>
        </w:rPr>
        <w:t xml:space="preserve">Indian community slams Shane Jones’ ‘Singh, Patel’ barb. </w:t>
      </w:r>
      <w:hyperlink r:id="rId53">
        <w:r>
          <w:rPr>
            <w:color w:val="1155CC"/>
            <w:u w:val="single"/>
          </w:rPr>
          <w:t>https://www.rnz.co.nz/news/indonz/572764/indian-community-slams-shane-jones-singh-patel-barb</w:t>
        </w:r>
      </w:hyperlink>
    </w:p>
    <w:p w14:paraId="0E0AF705" w14:textId="77777777" w:rsidR="001902DF" w:rsidRDefault="00000000">
      <w:pPr>
        <w:numPr>
          <w:ilvl w:val="0"/>
          <w:numId w:val="3"/>
        </w:numPr>
        <w:spacing w:before="0" w:after="0" w:line="240" w:lineRule="auto"/>
        <w:ind w:left="360"/>
        <w:jc w:val="left"/>
      </w:pPr>
      <w:r>
        <w:t xml:space="preserve">Seymour, D. (2024, January 27). Treaty Principles Bill – Select Committee hearings, Day One [Oral submission]. Parliament of New Zealand URL: </w:t>
      </w:r>
      <w:hyperlink r:id="rId54">
        <w:r>
          <w:rPr>
            <w:color w:val="1155CC"/>
            <w:u w:val="single"/>
          </w:rPr>
          <w:t>https://vimeo.com/showcase/10758261?video=1049910462</w:t>
        </w:r>
      </w:hyperlink>
    </w:p>
    <w:p w14:paraId="55B33E67" w14:textId="77777777" w:rsidR="001902DF" w:rsidRDefault="00000000">
      <w:pPr>
        <w:numPr>
          <w:ilvl w:val="0"/>
          <w:numId w:val="3"/>
        </w:numPr>
        <w:spacing w:before="0" w:after="0" w:line="240" w:lineRule="auto"/>
        <w:ind w:left="360"/>
        <w:jc w:val="left"/>
      </w:pPr>
      <w:r>
        <w:t xml:space="preserve">CERD. (2009). </w:t>
      </w:r>
      <w:r>
        <w:rPr>
          <w:i/>
        </w:rPr>
        <w:t xml:space="preserve">General recommendation No. 32: The meaning and scope of special measures in the International Convention on the Elimination of All Forms Racial Discrimination. </w:t>
      </w:r>
      <w:hyperlink r:id="rId55">
        <w:r>
          <w:rPr>
            <w:color w:val="1155CC"/>
            <w:u w:val="single"/>
          </w:rPr>
          <w:t>https://adsdatabase.ohchr.org/IssueLibrary/CERD_Recommendation%20No32.pdf</w:t>
        </w:r>
      </w:hyperlink>
    </w:p>
    <w:p w14:paraId="586DC91D" w14:textId="77777777" w:rsidR="001902DF" w:rsidRDefault="001902DF">
      <w:pPr>
        <w:spacing w:before="0" w:after="0" w:line="240" w:lineRule="auto"/>
        <w:rPr>
          <w:sz w:val="20"/>
          <w:szCs w:val="20"/>
        </w:rPr>
      </w:pPr>
    </w:p>
    <w:p w14:paraId="06C93342" w14:textId="77777777" w:rsidR="001902DF" w:rsidRDefault="001902DF">
      <w:pPr>
        <w:spacing w:before="0" w:after="0" w:line="240" w:lineRule="auto"/>
        <w:rPr>
          <w:sz w:val="20"/>
          <w:szCs w:val="20"/>
        </w:rPr>
      </w:pPr>
    </w:p>
    <w:p w14:paraId="6FC016A8" w14:textId="77777777" w:rsidR="001902DF" w:rsidRDefault="001902DF">
      <w:pPr>
        <w:spacing w:before="0" w:after="0" w:line="240" w:lineRule="auto"/>
        <w:rPr>
          <w:sz w:val="20"/>
          <w:szCs w:val="20"/>
        </w:rPr>
      </w:pPr>
    </w:p>
    <w:p w14:paraId="37322743" w14:textId="77777777" w:rsidR="001902DF" w:rsidRDefault="00000000">
      <w:pPr>
        <w:pStyle w:val="Heading1"/>
        <w:spacing w:before="0" w:after="0" w:line="240" w:lineRule="auto"/>
        <w:jc w:val="center"/>
      </w:pPr>
      <w:bookmarkStart w:id="45" w:name="_heading=h.vrt184266y35" w:colFirst="0" w:colLast="0"/>
      <w:bookmarkEnd w:id="45"/>
      <w:r>
        <w:br w:type="page"/>
      </w:r>
    </w:p>
    <w:p w14:paraId="1A19157A" w14:textId="77777777" w:rsidR="001902DF" w:rsidRDefault="00000000">
      <w:pPr>
        <w:pStyle w:val="Heading1"/>
        <w:spacing w:before="0" w:after="0" w:line="240" w:lineRule="auto"/>
        <w:jc w:val="center"/>
      </w:pPr>
      <w:bookmarkStart w:id="46" w:name="_heading=h.kdwvtpvmj07z" w:colFirst="0" w:colLast="0"/>
      <w:bookmarkEnd w:id="46"/>
      <w:r>
        <w:lastRenderedPageBreak/>
        <w:t>GLOSSARY</w:t>
      </w:r>
    </w:p>
    <w:p w14:paraId="4F599E85" w14:textId="77777777" w:rsidR="001902DF" w:rsidRDefault="001902DF"/>
    <w:tbl>
      <w:tblPr>
        <w:tblStyle w:val="a"/>
        <w:tblW w:w="9555" w:type="dxa"/>
        <w:tblBorders>
          <w:top w:val="nil"/>
          <w:left w:val="nil"/>
          <w:bottom w:val="nil"/>
          <w:right w:val="nil"/>
          <w:insideH w:val="nil"/>
          <w:insideV w:val="nil"/>
        </w:tblBorders>
        <w:tblLayout w:type="fixed"/>
        <w:tblLook w:val="0600" w:firstRow="0" w:lastRow="0" w:firstColumn="0" w:lastColumn="0" w:noHBand="1" w:noVBand="1"/>
      </w:tblPr>
      <w:tblGrid>
        <w:gridCol w:w="3285"/>
        <w:gridCol w:w="6270"/>
      </w:tblGrid>
      <w:tr w:rsidR="001902DF" w14:paraId="7D6BE03F" w14:textId="77777777">
        <w:trPr>
          <w:trHeight w:val="56"/>
        </w:trPr>
        <w:tc>
          <w:tcPr>
            <w:tcW w:w="3285" w:type="dxa"/>
            <w:tcBorders>
              <w:top w:val="single" w:sz="8" w:space="0" w:color="000000"/>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3C232CCF" w14:textId="77777777" w:rsidR="001902DF" w:rsidRDefault="00000000">
            <w:pPr>
              <w:spacing w:before="240" w:after="0" w:line="276" w:lineRule="auto"/>
              <w:jc w:val="center"/>
              <w:rPr>
                <w:b/>
                <w:sz w:val="20"/>
                <w:szCs w:val="20"/>
              </w:rPr>
            </w:pPr>
            <w:r>
              <w:rPr>
                <w:b/>
                <w:sz w:val="20"/>
                <w:szCs w:val="20"/>
              </w:rPr>
              <w:t>Māori Term / Placename</w:t>
            </w:r>
          </w:p>
        </w:tc>
        <w:tc>
          <w:tcPr>
            <w:tcW w:w="6270" w:type="dxa"/>
            <w:tcBorders>
              <w:top w:val="single" w:sz="8" w:space="0" w:color="000000"/>
              <w:left w:val="nil"/>
              <w:bottom w:val="single" w:sz="8" w:space="0" w:color="000000"/>
              <w:right w:val="single" w:sz="8" w:space="0" w:color="000000"/>
            </w:tcBorders>
            <w:tcMar>
              <w:top w:w="170" w:type="dxa"/>
              <w:left w:w="170" w:type="dxa"/>
              <w:bottom w:w="170" w:type="dxa"/>
              <w:right w:w="170" w:type="dxa"/>
            </w:tcMar>
            <w:vAlign w:val="center"/>
          </w:tcPr>
          <w:p w14:paraId="2C7AC888" w14:textId="77777777" w:rsidR="001902DF" w:rsidRDefault="00000000">
            <w:pPr>
              <w:spacing w:before="240" w:after="0" w:line="276" w:lineRule="auto"/>
              <w:jc w:val="center"/>
              <w:rPr>
                <w:b/>
                <w:sz w:val="20"/>
                <w:szCs w:val="20"/>
              </w:rPr>
            </w:pPr>
            <w:r>
              <w:rPr>
                <w:b/>
                <w:sz w:val="20"/>
                <w:szCs w:val="20"/>
              </w:rPr>
              <w:t>Explanation</w:t>
            </w:r>
          </w:p>
        </w:tc>
      </w:tr>
      <w:tr w:rsidR="001902DF" w14:paraId="4FD81B76"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2E86BEBC" w14:textId="77777777" w:rsidR="001902DF" w:rsidRDefault="00000000">
            <w:pPr>
              <w:spacing w:before="240" w:after="0" w:line="276" w:lineRule="auto"/>
              <w:rPr>
                <w:sz w:val="20"/>
                <w:szCs w:val="20"/>
              </w:rPr>
            </w:pPr>
            <w:r>
              <w:rPr>
                <w:sz w:val="20"/>
                <w:szCs w:val="20"/>
              </w:rPr>
              <w:t>Aotearoa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024FF0DE" w14:textId="77777777" w:rsidR="001902DF" w:rsidRDefault="00000000">
            <w:pPr>
              <w:spacing w:before="240" w:after="0" w:line="276" w:lineRule="auto"/>
              <w:rPr>
                <w:sz w:val="20"/>
                <w:szCs w:val="20"/>
              </w:rPr>
            </w:pPr>
            <w:r>
              <w:rPr>
                <w:sz w:val="20"/>
                <w:szCs w:val="20"/>
              </w:rPr>
              <w:t>Māori name for New Zealand. Literally “long white cloud.”</w:t>
            </w:r>
          </w:p>
        </w:tc>
      </w:tr>
      <w:tr w:rsidR="001902DF" w14:paraId="2D308A42"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30A25B28" w14:textId="77777777" w:rsidR="001902DF" w:rsidRDefault="00000000">
            <w:pPr>
              <w:spacing w:before="240" w:after="0" w:line="276" w:lineRule="auto"/>
              <w:rPr>
                <w:sz w:val="20"/>
                <w:szCs w:val="20"/>
              </w:rPr>
            </w:pPr>
            <w:r>
              <w:rPr>
                <w:sz w:val="20"/>
                <w:szCs w:val="20"/>
              </w:rPr>
              <w:t xml:space="preserve">Aotearoa </w:t>
            </w:r>
            <w:proofErr w:type="spellStart"/>
            <w:r>
              <w:rPr>
                <w:sz w:val="20"/>
                <w:szCs w:val="20"/>
              </w:rPr>
              <w:t>Reorua</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5F8FDD7A" w14:textId="77777777" w:rsidR="001902DF" w:rsidRDefault="00000000">
            <w:pPr>
              <w:spacing w:before="240" w:after="0" w:line="276" w:lineRule="auto"/>
              <w:rPr>
                <w:sz w:val="20"/>
                <w:szCs w:val="20"/>
              </w:rPr>
            </w:pPr>
            <w:r>
              <w:rPr>
                <w:sz w:val="20"/>
                <w:szCs w:val="20"/>
              </w:rPr>
              <w:t xml:space="preserve">“Bilingual Aotearoa” – initiative supporting bilingual towns and cities through </w:t>
            </w:r>
            <w:proofErr w:type="spellStart"/>
            <w:r>
              <w:rPr>
                <w:sz w:val="20"/>
                <w:szCs w:val="20"/>
              </w:rPr>
              <w:t>te</w:t>
            </w:r>
            <w:proofErr w:type="spellEnd"/>
            <w:r>
              <w:rPr>
                <w:sz w:val="20"/>
                <w:szCs w:val="20"/>
              </w:rPr>
              <w:t xml:space="preserve"> </w:t>
            </w:r>
            <w:proofErr w:type="spellStart"/>
            <w:r>
              <w:rPr>
                <w:sz w:val="20"/>
                <w:szCs w:val="20"/>
              </w:rPr>
              <w:t>reo</w:t>
            </w:r>
            <w:proofErr w:type="spellEnd"/>
            <w:r>
              <w:rPr>
                <w:sz w:val="20"/>
                <w:szCs w:val="20"/>
              </w:rPr>
              <w:t xml:space="preserve"> Māori signage and visibility.</w:t>
            </w:r>
          </w:p>
        </w:tc>
      </w:tr>
      <w:tr w:rsidR="001902DF" w14:paraId="23585F8D"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3A34BFE6" w14:textId="77777777" w:rsidR="001902DF" w:rsidRDefault="00000000">
            <w:pPr>
              <w:spacing w:before="240" w:after="0" w:line="276" w:lineRule="auto"/>
              <w:rPr>
                <w:sz w:val="20"/>
                <w:szCs w:val="20"/>
              </w:rPr>
            </w:pPr>
            <w:r>
              <w:rPr>
                <w:sz w:val="20"/>
                <w:szCs w:val="20"/>
              </w:rPr>
              <w:t>Hapū</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14B29DB2" w14:textId="77777777" w:rsidR="001902DF" w:rsidRDefault="00000000">
            <w:pPr>
              <w:spacing w:before="240" w:after="0" w:line="276" w:lineRule="auto"/>
              <w:rPr>
                <w:sz w:val="20"/>
                <w:szCs w:val="20"/>
              </w:rPr>
            </w:pPr>
            <w:r>
              <w:rPr>
                <w:sz w:val="20"/>
                <w:szCs w:val="20"/>
              </w:rPr>
              <w:t>Extended kinship group and political unit within iwi.</w:t>
            </w:r>
          </w:p>
        </w:tc>
      </w:tr>
      <w:tr w:rsidR="001902DF" w14:paraId="4B8F4F59"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10566C4F" w14:textId="77777777" w:rsidR="001902DF" w:rsidRDefault="00000000">
            <w:pPr>
              <w:spacing w:before="240" w:after="0" w:line="276" w:lineRule="auto"/>
              <w:rPr>
                <w:sz w:val="20"/>
                <w:szCs w:val="20"/>
              </w:rPr>
            </w:pPr>
            <w:r>
              <w:rPr>
                <w:sz w:val="20"/>
                <w:szCs w:val="20"/>
              </w:rPr>
              <w:t>Hauraki Gulf</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5E85BC22" w14:textId="77777777" w:rsidR="001902DF" w:rsidRDefault="00000000">
            <w:pPr>
              <w:spacing w:before="240" w:after="0" w:line="276" w:lineRule="auto"/>
              <w:rPr>
                <w:sz w:val="20"/>
                <w:szCs w:val="20"/>
              </w:rPr>
            </w:pPr>
            <w:r>
              <w:rPr>
                <w:sz w:val="20"/>
                <w:szCs w:val="20"/>
              </w:rPr>
              <w:t>A coastal area in the North Island (Hauraki Gulf Marine Park Act is referenced).</w:t>
            </w:r>
          </w:p>
        </w:tc>
      </w:tr>
      <w:tr w:rsidR="001902DF" w14:paraId="3A3678FE"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53E3F1DB" w14:textId="77777777" w:rsidR="001902DF" w:rsidRDefault="00000000">
            <w:pPr>
              <w:spacing w:before="240" w:after="0" w:line="276" w:lineRule="auto"/>
              <w:jc w:val="left"/>
              <w:rPr>
                <w:sz w:val="20"/>
                <w:szCs w:val="20"/>
              </w:rPr>
            </w:pPr>
            <w:r>
              <w:rPr>
                <w:sz w:val="20"/>
                <w:szCs w:val="20"/>
              </w:rPr>
              <w:t xml:space="preserve">He </w:t>
            </w:r>
            <w:proofErr w:type="spellStart"/>
            <w:r>
              <w:rPr>
                <w:sz w:val="20"/>
                <w:szCs w:val="20"/>
              </w:rPr>
              <w:t>Whakaputanga</w:t>
            </w:r>
            <w:proofErr w:type="spellEnd"/>
            <w:r>
              <w:rPr>
                <w:sz w:val="20"/>
                <w:szCs w:val="20"/>
              </w:rPr>
              <w:t xml:space="preserve"> o </w:t>
            </w:r>
            <w:proofErr w:type="spellStart"/>
            <w:r>
              <w:rPr>
                <w:sz w:val="20"/>
                <w:szCs w:val="20"/>
              </w:rPr>
              <w:t>te</w:t>
            </w:r>
            <w:proofErr w:type="spellEnd"/>
            <w:r>
              <w:rPr>
                <w:sz w:val="20"/>
                <w:szCs w:val="20"/>
              </w:rPr>
              <w:t xml:space="preserve"> Rangatiratanga o Nu </w:t>
            </w:r>
            <w:proofErr w:type="spellStart"/>
            <w:r>
              <w:rPr>
                <w:sz w:val="20"/>
                <w:szCs w:val="20"/>
              </w:rPr>
              <w:t>Tireni</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6AC2474E" w14:textId="77777777" w:rsidR="001902DF" w:rsidRDefault="00000000">
            <w:pPr>
              <w:spacing w:before="240" w:after="0" w:line="276" w:lineRule="auto"/>
              <w:rPr>
                <w:sz w:val="20"/>
                <w:szCs w:val="20"/>
              </w:rPr>
            </w:pPr>
            <w:r>
              <w:rPr>
                <w:sz w:val="20"/>
                <w:szCs w:val="20"/>
              </w:rPr>
              <w:t>The 1835 Declaration of Independence of the United Tribes of New Zealand, asserting Māori sovereignty.</w:t>
            </w:r>
          </w:p>
        </w:tc>
      </w:tr>
      <w:tr w:rsidR="001902DF" w14:paraId="645CCE66"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56CC7333" w14:textId="77777777" w:rsidR="001902DF" w:rsidRDefault="00000000">
            <w:pPr>
              <w:spacing w:before="240" w:after="0" w:line="276" w:lineRule="auto"/>
              <w:rPr>
                <w:sz w:val="20"/>
                <w:szCs w:val="20"/>
              </w:rPr>
            </w:pPr>
            <w:r>
              <w:rPr>
                <w:sz w:val="20"/>
                <w:szCs w:val="20"/>
              </w:rPr>
              <w:t>Iwi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7C6C5DF1" w14:textId="77777777" w:rsidR="001902DF" w:rsidRDefault="00000000">
            <w:pPr>
              <w:spacing w:before="240" w:after="0" w:line="276" w:lineRule="auto"/>
              <w:rPr>
                <w:sz w:val="20"/>
                <w:szCs w:val="20"/>
              </w:rPr>
            </w:pPr>
            <w:r>
              <w:rPr>
                <w:sz w:val="20"/>
                <w:szCs w:val="20"/>
              </w:rPr>
              <w:t xml:space="preserve">A large </w:t>
            </w:r>
            <w:proofErr w:type="gramStart"/>
            <w:r>
              <w:rPr>
                <w:sz w:val="20"/>
                <w:szCs w:val="20"/>
              </w:rPr>
              <w:t>kinship based</w:t>
            </w:r>
            <w:proofErr w:type="gramEnd"/>
            <w:r>
              <w:rPr>
                <w:sz w:val="20"/>
                <w:szCs w:val="20"/>
              </w:rPr>
              <w:t xml:space="preserve"> nation, often descended from a common ancestor.</w:t>
            </w:r>
          </w:p>
        </w:tc>
      </w:tr>
      <w:tr w:rsidR="001902DF" w14:paraId="4A028740"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576715F7" w14:textId="77777777" w:rsidR="001902DF" w:rsidRDefault="00000000">
            <w:pPr>
              <w:spacing w:before="240" w:after="0" w:line="276" w:lineRule="auto"/>
              <w:rPr>
                <w:sz w:val="20"/>
                <w:szCs w:val="20"/>
              </w:rPr>
            </w:pPr>
            <w:r>
              <w:rPr>
                <w:sz w:val="20"/>
                <w:szCs w:val="20"/>
              </w:rPr>
              <w:t>Ka Ora, Ka Ako</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28C288B0" w14:textId="77777777" w:rsidR="001902DF" w:rsidRDefault="00000000">
            <w:pPr>
              <w:spacing w:before="240" w:after="0" w:line="276" w:lineRule="auto"/>
              <w:rPr>
                <w:sz w:val="20"/>
                <w:szCs w:val="20"/>
              </w:rPr>
            </w:pPr>
            <w:r>
              <w:rPr>
                <w:sz w:val="20"/>
                <w:szCs w:val="20"/>
              </w:rPr>
              <w:t xml:space="preserve">“Healthy and Well Students Learn” — national school lunch </w:t>
            </w:r>
            <w:proofErr w:type="spellStart"/>
            <w:r>
              <w:rPr>
                <w:sz w:val="20"/>
                <w:szCs w:val="20"/>
              </w:rPr>
              <w:t>programme</w:t>
            </w:r>
            <w:proofErr w:type="spellEnd"/>
            <w:r>
              <w:rPr>
                <w:sz w:val="20"/>
                <w:szCs w:val="20"/>
              </w:rPr>
              <w:t xml:space="preserve"> established to address food insecurity.</w:t>
            </w:r>
          </w:p>
        </w:tc>
      </w:tr>
      <w:tr w:rsidR="001902DF" w14:paraId="721BF4B4"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5E0B8EBF" w14:textId="77777777" w:rsidR="001902DF" w:rsidRDefault="00000000">
            <w:pPr>
              <w:spacing w:before="240" w:after="0" w:line="276" w:lineRule="auto"/>
              <w:rPr>
                <w:sz w:val="20"/>
                <w:szCs w:val="20"/>
              </w:rPr>
            </w:pPr>
            <w:proofErr w:type="spellStart"/>
            <w:r>
              <w:rPr>
                <w:sz w:val="20"/>
                <w:szCs w:val="20"/>
              </w:rPr>
              <w:t>Kāinga</w:t>
            </w:r>
            <w:proofErr w:type="spellEnd"/>
            <w:r>
              <w:rPr>
                <w:sz w:val="20"/>
                <w:szCs w:val="20"/>
              </w:rPr>
              <w:t xml:space="preserve"> Ora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7C700FD2" w14:textId="77777777" w:rsidR="001902DF" w:rsidRDefault="00000000">
            <w:pPr>
              <w:spacing w:before="240" w:after="0" w:line="276" w:lineRule="auto"/>
              <w:rPr>
                <w:sz w:val="20"/>
                <w:szCs w:val="20"/>
              </w:rPr>
            </w:pPr>
            <w:r>
              <w:rPr>
                <w:sz w:val="20"/>
                <w:szCs w:val="20"/>
              </w:rPr>
              <w:t>Government agency for housing and urban development. Literally “living place of wellbeing.”</w:t>
            </w:r>
          </w:p>
        </w:tc>
      </w:tr>
      <w:tr w:rsidR="001902DF" w14:paraId="53C781A7"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3587A2B0" w14:textId="77777777" w:rsidR="001902DF" w:rsidRDefault="00000000">
            <w:pPr>
              <w:spacing w:before="240" w:after="0" w:line="276" w:lineRule="auto"/>
              <w:rPr>
                <w:sz w:val="20"/>
                <w:szCs w:val="20"/>
              </w:rPr>
            </w:pPr>
            <w:proofErr w:type="spellStart"/>
            <w:r>
              <w:rPr>
                <w:sz w:val="20"/>
                <w:szCs w:val="20"/>
              </w:rPr>
              <w:t>Kaitiakitanga</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2F79192C" w14:textId="77777777" w:rsidR="001902DF" w:rsidRDefault="00000000">
            <w:pPr>
              <w:spacing w:before="240" w:after="0" w:line="276" w:lineRule="auto"/>
              <w:rPr>
                <w:sz w:val="20"/>
                <w:szCs w:val="20"/>
              </w:rPr>
            </w:pPr>
            <w:r>
              <w:rPr>
                <w:sz w:val="20"/>
                <w:szCs w:val="20"/>
              </w:rPr>
              <w:t>Guardianship, stewardship — a customary Māori approach to protecting communities, the environment and resources.</w:t>
            </w:r>
          </w:p>
        </w:tc>
      </w:tr>
      <w:tr w:rsidR="001902DF" w14:paraId="7ABF17BA"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27C5C740" w14:textId="77777777" w:rsidR="001902DF" w:rsidRDefault="00000000">
            <w:pPr>
              <w:spacing w:before="240" w:after="0" w:line="276" w:lineRule="auto"/>
              <w:rPr>
                <w:sz w:val="20"/>
                <w:szCs w:val="20"/>
              </w:rPr>
            </w:pPr>
            <w:r>
              <w:rPr>
                <w:sz w:val="20"/>
                <w:szCs w:val="20"/>
              </w:rPr>
              <w:t>Karakia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6979A515" w14:textId="77777777" w:rsidR="001902DF" w:rsidRDefault="00000000">
            <w:pPr>
              <w:spacing w:before="240" w:after="0" w:line="276" w:lineRule="auto"/>
              <w:rPr>
                <w:sz w:val="20"/>
                <w:szCs w:val="20"/>
              </w:rPr>
            </w:pPr>
            <w:r>
              <w:rPr>
                <w:sz w:val="20"/>
                <w:szCs w:val="20"/>
              </w:rPr>
              <w:t>Prayer or invocation, often used to open or close gatherings.</w:t>
            </w:r>
          </w:p>
        </w:tc>
      </w:tr>
      <w:tr w:rsidR="001902DF" w14:paraId="7AE797EE"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0FFE3981" w14:textId="77777777" w:rsidR="001902DF" w:rsidRDefault="00000000">
            <w:pPr>
              <w:spacing w:before="240" w:after="0" w:line="276" w:lineRule="auto"/>
              <w:rPr>
                <w:sz w:val="20"/>
                <w:szCs w:val="20"/>
              </w:rPr>
            </w:pPr>
            <w:r>
              <w:rPr>
                <w:sz w:val="20"/>
                <w:szCs w:val="20"/>
              </w:rPr>
              <w:lastRenderedPageBreak/>
              <w:t>Mahinga kai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26F0B1F4" w14:textId="77777777" w:rsidR="001902DF" w:rsidRDefault="00000000">
            <w:pPr>
              <w:spacing w:before="240" w:after="0" w:line="276" w:lineRule="auto"/>
              <w:rPr>
                <w:sz w:val="20"/>
                <w:szCs w:val="20"/>
              </w:rPr>
            </w:pPr>
            <w:r>
              <w:rPr>
                <w:sz w:val="20"/>
                <w:szCs w:val="20"/>
              </w:rPr>
              <w:t>Customary food gathering practices.</w:t>
            </w:r>
          </w:p>
        </w:tc>
      </w:tr>
      <w:tr w:rsidR="001902DF" w14:paraId="55EFE382"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21BC91CE" w14:textId="77777777" w:rsidR="001902DF" w:rsidRDefault="00000000">
            <w:pPr>
              <w:spacing w:before="240" w:after="0" w:line="276" w:lineRule="auto"/>
              <w:rPr>
                <w:sz w:val="20"/>
                <w:szCs w:val="20"/>
              </w:rPr>
            </w:pPr>
            <w:r>
              <w:rPr>
                <w:sz w:val="20"/>
                <w:szCs w:val="20"/>
              </w:rPr>
              <w:t>Marae</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5A32478D" w14:textId="77777777" w:rsidR="001902DF" w:rsidRDefault="00000000">
            <w:pPr>
              <w:spacing w:before="240" w:after="0" w:line="276" w:lineRule="auto"/>
              <w:rPr>
                <w:sz w:val="20"/>
                <w:szCs w:val="20"/>
              </w:rPr>
            </w:pPr>
            <w:r>
              <w:rPr>
                <w:sz w:val="20"/>
                <w:szCs w:val="20"/>
              </w:rPr>
              <w:t>Communal meeting place that serves as a focal point for Māori communities.</w:t>
            </w:r>
          </w:p>
        </w:tc>
      </w:tr>
      <w:tr w:rsidR="001902DF" w14:paraId="65EFB9BF"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6EF7D2A8" w14:textId="77777777" w:rsidR="001902DF" w:rsidRDefault="00000000">
            <w:pPr>
              <w:spacing w:before="240" w:after="0" w:line="276" w:lineRule="auto"/>
              <w:rPr>
                <w:sz w:val="20"/>
                <w:szCs w:val="20"/>
              </w:rPr>
            </w:pPr>
            <w:r>
              <w:rPr>
                <w:sz w:val="20"/>
                <w:szCs w:val="20"/>
              </w:rPr>
              <w:t>Mātauranga Māori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34596E78" w14:textId="77777777" w:rsidR="001902DF" w:rsidRDefault="00000000">
            <w:pPr>
              <w:spacing w:before="240" w:after="0" w:line="276" w:lineRule="auto"/>
              <w:rPr>
                <w:sz w:val="20"/>
                <w:szCs w:val="20"/>
              </w:rPr>
            </w:pPr>
            <w:r>
              <w:rPr>
                <w:sz w:val="20"/>
                <w:szCs w:val="20"/>
              </w:rPr>
              <w:t>Māori knowledge systems, including science, philosophy, and cultural practices.</w:t>
            </w:r>
          </w:p>
        </w:tc>
      </w:tr>
      <w:tr w:rsidR="001902DF" w14:paraId="00EDFCEB"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38B5D185" w14:textId="77777777" w:rsidR="001902DF" w:rsidRDefault="00000000">
            <w:pPr>
              <w:spacing w:before="240" w:after="0" w:line="276" w:lineRule="auto"/>
              <w:rPr>
                <w:sz w:val="20"/>
                <w:szCs w:val="20"/>
              </w:rPr>
            </w:pPr>
            <w:r>
              <w:rPr>
                <w:sz w:val="20"/>
                <w:szCs w:val="20"/>
              </w:rPr>
              <w:t>Matike Mai Aotearoa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32339BD5" w14:textId="77777777" w:rsidR="001902DF" w:rsidRDefault="00000000">
            <w:pPr>
              <w:spacing w:before="240" w:after="0" w:line="276" w:lineRule="auto"/>
              <w:rPr>
                <w:sz w:val="20"/>
                <w:szCs w:val="20"/>
              </w:rPr>
            </w:pPr>
            <w:r>
              <w:rPr>
                <w:sz w:val="20"/>
                <w:szCs w:val="20"/>
              </w:rPr>
              <w:t>Independent report and movement led by Māori to explore models for constitutional transformation.</w:t>
            </w:r>
          </w:p>
        </w:tc>
      </w:tr>
      <w:tr w:rsidR="001902DF" w14:paraId="2311FD1A"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450C823C" w14:textId="77777777" w:rsidR="001902DF" w:rsidRDefault="00000000">
            <w:pPr>
              <w:spacing w:before="240" w:after="0" w:line="276" w:lineRule="auto"/>
              <w:rPr>
                <w:sz w:val="20"/>
                <w:szCs w:val="20"/>
              </w:rPr>
            </w:pPr>
            <w:proofErr w:type="spellStart"/>
            <w:r>
              <w:rPr>
                <w:sz w:val="20"/>
                <w:szCs w:val="20"/>
              </w:rPr>
              <w:t>Oranga</w:t>
            </w:r>
            <w:proofErr w:type="spellEnd"/>
            <w:r>
              <w:rPr>
                <w:sz w:val="20"/>
                <w:szCs w:val="20"/>
              </w:rPr>
              <w:t xml:space="preserve"> Tamariki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0BED20DA" w14:textId="77777777" w:rsidR="001902DF" w:rsidRDefault="00000000">
            <w:pPr>
              <w:spacing w:before="240" w:after="0" w:line="276" w:lineRule="auto"/>
              <w:rPr>
                <w:sz w:val="20"/>
                <w:szCs w:val="20"/>
              </w:rPr>
            </w:pPr>
            <w:r>
              <w:rPr>
                <w:sz w:val="20"/>
                <w:szCs w:val="20"/>
              </w:rPr>
              <w:t>Government child welfare agency. Literally “the wellbeing of children.”</w:t>
            </w:r>
          </w:p>
        </w:tc>
      </w:tr>
      <w:tr w:rsidR="001902DF" w14:paraId="46FF00B4"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042780E0" w14:textId="77777777" w:rsidR="001902DF" w:rsidRDefault="00000000">
            <w:pPr>
              <w:spacing w:before="240" w:after="0" w:line="276" w:lineRule="auto"/>
              <w:rPr>
                <w:sz w:val="20"/>
                <w:szCs w:val="20"/>
              </w:rPr>
            </w:pPr>
            <w:r>
              <w:rPr>
                <w:sz w:val="20"/>
                <w:szCs w:val="20"/>
              </w:rPr>
              <w:t>Pae Ora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7A87CE37" w14:textId="77777777" w:rsidR="001902DF" w:rsidRDefault="00000000">
            <w:pPr>
              <w:spacing w:before="240" w:after="0" w:line="276" w:lineRule="auto"/>
              <w:rPr>
                <w:sz w:val="20"/>
                <w:szCs w:val="20"/>
              </w:rPr>
            </w:pPr>
            <w:r>
              <w:rPr>
                <w:sz w:val="20"/>
                <w:szCs w:val="20"/>
              </w:rPr>
              <w:t>“Healthy Futures” — policy framework and legislation for Māori health.</w:t>
            </w:r>
          </w:p>
        </w:tc>
      </w:tr>
      <w:tr w:rsidR="001902DF" w14:paraId="6C6F4DB0"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3FCAC272" w14:textId="77777777" w:rsidR="001902DF" w:rsidRDefault="00000000">
            <w:pPr>
              <w:spacing w:before="240" w:after="0" w:line="276" w:lineRule="auto"/>
              <w:rPr>
                <w:sz w:val="20"/>
                <w:szCs w:val="20"/>
              </w:rPr>
            </w:pPr>
            <w:proofErr w:type="spellStart"/>
            <w:r>
              <w:rPr>
                <w:sz w:val="20"/>
                <w:szCs w:val="20"/>
              </w:rPr>
              <w:t>Rangatahi</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60926D13" w14:textId="77777777" w:rsidR="001902DF" w:rsidRDefault="00000000">
            <w:pPr>
              <w:spacing w:before="240" w:after="0" w:line="276" w:lineRule="auto"/>
              <w:rPr>
                <w:sz w:val="20"/>
                <w:szCs w:val="20"/>
              </w:rPr>
            </w:pPr>
            <w:r>
              <w:rPr>
                <w:sz w:val="20"/>
                <w:szCs w:val="20"/>
              </w:rPr>
              <w:t>Youth, younger generation.</w:t>
            </w:r>
          </w:p>
        </w:tc>
      </w:tr>
      <w:tr w:rsidR="001902DF" w14:paraId="12E04B96"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05044656" w14:textId="77777777" w:rsidR="001902DF" w:rsidRDefault="00000000">
            <w:pPr>
              <w:spacing w:before="240" w:after="0" w:line="276" w:lineRule="auto"/>
              <w:rPr>
                <w:sz w:val="20"/>
                <w:szCs w:val="20"/>
              </w:rPr>
            </w:pPr>
            <w:proofErr w:type="spellStart"/>
            <w:r>
              <w:rPr>
                <w:sz w:val="20"/>
                <w:szCs w:val="20"/>
              </w:rPr>
              <w:t>Raupatu</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100B0C37" w14:textId="77777777" w:rsidR="001902DF" w:rsidRDefault="00000000">
            <w:pPr>
              <w:spacing w:before="240" w:after="0" w:line="276" w:lineRule="auto"/>
              <w:rPr>
                <w:sz w:val="20"/>
                <w:szCs w:val="20"/>
              </w:rPr>
            </w:pPr>
            <w:r>
              <w:rPr>
                <w:sz w:val="20"/>
                <w:szCs w:val="20"/>
              </w:rPr>
              <w:t>Land confiscation, usually by the Crown during the colonial period.</w:t>
            </w:r>
          </w:p>
        </w:tc>
      </w:tr>
      <w:tr w:rsidR="001902DF" w14:paraId="720D51D0"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41C07669" w14:textId="77777777" w:rsidR="001902DF" w:rsidRDefault="00000000">
            <w:pPr>
              <w:spacing w:before="240" w:after="0" w:line="276" w:lineRule="auto"/>
              <w:rPr>
                <w:sz w:val="20"/>
                <w:szCs w:val="20"/>
              </w:rPr>
            </w:pPr>
            <w:proofErr w:type="spellStart"/>
            <w:r>
              <w:rPr>
                <w:sz w:val="20"/>
                <w:szCs w:val="20"/>
              </w:rPr>
              <w:t>Tangata</w:t>
            </w:r>
            <w:proofErr w:type="spellEnd"/>
            <w:r>
              <w:rPr>
                <w:sz w:val="20"/>
                <w:szCs w:val="20"/>
              </w:rPr>
              <w:t xml:space="preserve"> Whenua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0F8B6779" w14:textId="77777777" w:rsidR="001902DF" w:rsidRDefault="00000000">
            <w:pPr>
              <w:spacing w:before="240" w:after="0" w:line="276" w:lineRule="auto"/>
              <w:rPr>
                <w:sz w:val="20"/>
                <w:szCs w:val="20"/>
              </w:rPr>
            </w:pPr>
            <w:r>
              <w:rPr>
                <w:sz w:val="20"/>
                <w:szCs w:val="20"/>
              </w:rPr>
              <w:t>Indigenous people of the land — Māori.</w:t>
            </w:r>
          </w:p>
        </w:tc>
      </w:tr>
      <w:tr w:rsidR="001902DF" w14:paraId="3771A48D"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040895FF" w14:textId="77777777" w:rsidR="001902DF" w:rsidRDefault="00000000">
            <w:pPr>
              <w:spacing w:before="240" w:after="0" w:line="276" w:lineRule="auto"/>
              <w:rPr>
                <w:sz w:val="20"/>
                <w:szCs w:val="20"/>
              </w:rPr>
            </w:pPr>
            <w:r>
              <w:rPr>
                <w:sz w:val="20"/>
                <w:szCs w:val="20"/>
              </w:rPr>
              <w:t xml:space="preserve">Tāngata </w:t>
            </w:r>
            <w:proofErr w:type="spellStart"/>
            <w:r>
              <w:rPr>
                <w:sz w:val="20"/>
                <w:szCs w:val="20"/>
              </w:rPr>
              <w:t>Whaikaha</w:t>
            </w:r>
            <w:proofErr w:type="spellEnd"/>
            <w:r>
              <w:rPr>
                <w:sz w:val="20"/>
                <w:szCs w:val="20"/>
              </w:rPr>
              <w:t xml:space="preserve"> Māori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586F0DCF" w14:textId="77777777" w:rsidR="001902DF" w:rsidRDefault="00000000">
            <w:pPr>
              <w:spacing w:before="240" w:after="0" w:line="276" w:lineRule="auto"/>
              <w:rPr>
                <w:sz w:val="20"/>
                <w:szCs w:val="20"/>
              </w:rPr>
            </w:pPr>
            <w:r>
              <w:rPr>
                <w:sz w:val="20"/>
                <w:szCs w:val="20"/>
              </w:rPr>
              <w:t xml:space="preserve">Māori disabled people; “people with strength” (a </w:t>
            </w:r>
            <w:proofErr w:type="spellStart"/>
            <w:r>
              <w:rPr>
                <w:sz w:val="20"/>
                <w:szCs w:val="20"/>
              </w:rPr>
              <w:t>mana</w:t>
            </w:r>
            <w:proofErr w:type="spellEnd"/>
            <w:r>
              <w:rPr>
                <w:sz w:val="20"/>
                <w:szCs w:val="20"/>
              </w:rPr>
              <w:t>-enhancing term for disability).</w:t>
            </w:r>
          </w:p>
        </w:tc>
      </w:tr>
      <w:tr w:rsidR="001902DF" w14:paraId="193355A9"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1DC293B6" w14:textId="77777777" w:rsidR="001902DF" w:rsidRDefault="00000000">
            <w:pPr>
              <w:spacing w:before="240" w:after="0" w:line="276" w:lineRule="auto"/>
              <w:rPr>
                <w:sz w:val="20"/>
                <w:szCs w:val="20"/>
              </w:rPr>
            </w:pPr>
            <w:r>
              <w:rPr>
                <w:sz w:val="20"/>
                <w:szCs w:val="20"/>
              </w:rPr>
              <w:t>Taonga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4CA96277" w14:textId="77777777" w:rsidR="001902DF" w:rsidRDefault="00000000">
            <w:pPr>
              <w:spacing w:before="240" w:after="0" w:line="276" w:lineRule="auto"/>
              <w:rPr>
                <w:sz w:val="20"/>
                <w:szCs w:val="20"/>
              </w:rPr>
            </w:pPr>
            <w:r>
              <w:rPr>
                <w:sz w:val="20"/>
                <w:szCs w:val="20"/>
              </w:rPr>
              <w:t>Treasures — can refer to physical objects, natural resources, language, or cultural treasures.</w:t>
            </w:r>
          </w:p>
        </w:tc>
      </w:tr>
      <w:tr w:rsidR="001902DF" w14:paraId="212E5B05"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6169F37C" w14:textId="77777777" w:rsidR="001902DF" w:rsidRDefault="00000000">
            <w:pPr>
              <w:spacing w:before="240" w:after="0" w:line="276" w:lineRule="auto"/>
              <w:rPr>
                <w:sz w:val="20"/>
                <w:szCs w:val="20"/>
              </w:rPr>
            </w:pPr>
            <w:proofErr w:type="spellStart"/>
            <w:r>
              <w:rPr>
                <w:sz w:val="20"/>
                <w:szCs w:val="20"/>
              </w:rPr>
              <w:t>Tapu</w:t>
            </w:r>
            <w:proofErr w:type="spellEnd"/>
            <w:r>
              <w:rPr>
                <w:sz w:val="20"/>
                <w:szCs w:val="20"/>
              </w:rPr>
              <w:t xml:space="preserve"> / Wāhi </w:t>
            </w:r>
            <w:proofErr w:type="spellStart"/>
            <w:r>
              <w:rPr>
                <w:sz w:val="20"/>
                <w:szCs w:val="20"/>
              </w:rPr>
              <w:t>Tapu</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38AEB3A4" w14:textId="77777777" w:rsidR="001902DF" w:rsidRDefault="00000000">
            <w:pPr>
              <w:spacing w:before="240" w:after="0" w:line="276" w:lineRule="auto"/>
              <w:rPr>
                <w:sz w:val="20"/>
                <w:szCs w:val="20"/>
              </w:rPr>
            </w:pPr>
            <w:r>
              <w:rPr>
                <w:sz w:val="20"/>
                <w:szCs w:val="20"/>
              </w:rPr>
              <w:t xml:space="preserve">Sacred or spiritually significant; wāhi </w:t>
            </w:r>
            <w:proofErr w:type="spellStart"/>
            <w:r>
              <w:rPr>
                <w:sz w:val="20"/>
                <w:szCs w:val="20"/>
              </w:rPr>
              <w:t>tapu</w:t>
            </w:r>
            <w:proofErr w:type="spellEnd"/>
            <w:r>
              <w:rPr>
                <w:sz w:val="20"/>
                <w:szCs w:val="20"/>
              </w:rPr>
              <w:t xml:space="preserve"> = sacred sites.</w:t>
            </w:r>
          </w:p>
        </w:tc>
      </w:tr>
      <w:tr w:rsidR="001902DF" w14:paraId="612BE4F3"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0A668A63" w14:textId="77777777" w:rsidR="001902DF" w:rsidRDefault="00000000">
            <w:pPr>
              <w:spacing w:before="240" w:after="0" w:line="276" w:lineRule="auto"/>
              <w:rPr>
                <w:sz w:val="20"/>
                <w:szCs w:val="20"/>
              </w:rPr>
            </w:pPr>
            <w:r>
              <w:rPr>
                <w:sz w:val="20"/>
                <w:szCs w:val="20"/>
              </w:rPr>
              <w:t xml:space="preserve">Te Aka </w:t>
            </w:r>
            <w:proofErr w:type="spellStart"/>
            <w:r>
              <w:rPr>
                <w:sz w:val="20"/>
                <w:szCs w:val="20"/>
              </w:rPr>
              <w:t>Whaiora</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1AD7BAF4" w14:textId="77777777" w:rsidR="001902DF" w:rsidRDefault="00000000">
            <w:pPr>
              <w:spacing w:before="240" w:after="0" w:line="276" w:lineRule="auto"/>
              <w:rPr>
                <w:sz w:val="20"/>
                <w:szCs w:val="20"/>
              </w:rPr>
            </w:pPr>
            <w:r>
              <w:rPr>
                <w:sz w:val="20"/>
                <w:szCs w:val="20"/>
              </w:rPr>
              <w:t xml:space="preserve">The Māori Health Authority (est. 2022, later disestablished). Literally </w:t>
            </w:r>
            <w:r>
              <w:rPr>
                <w:sz w:val="20"/>
                <w:szCs w:val="20"/>
              </w:rPr>
              <w:lastRenderedPageBreak/>
              <w:t>“the vine of pursuit.”</w:t>
            </w:r>
          </w:p>
        </w:tc>
      </w:tr>
      <w:tr w:rsidR="001902DF" w14:paraId="6B0FE268"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6BFB34F6" w14:textId="77777777" w:rsidR="001902DF" w:rsidRDefault="00000000">
            <w:pPr>
              <w:spacing w:before="240" w:after="0" w:line="276" w:lineRule="auto"/>
              <w:rPr>
                <w:sz w:val="20"/>
                <w:szCs w:val="20"/>
              </w:rPr>
            </w:pPr>
            <w:r>
              <w:rPr>
                <w:sz w:val="20"/>
                <w:szCs w:val="20"/>
              </w:rPr>
              <w:lastRenderedPageBreak/>
              <w:t xml:space="preserve">Te Ahu o </w:t>
            </w:r>
            <w:proofErr w:type="spellStart"/>
            <w:r>
              <w:rPr>
                <w:sz w:val="20"/>
                <w:szCs w:val="20"/>
              </w:rPr>
              <w:t>te</w:t>
            </w:r>
            <w:proofErr w:type="spellEnd"/>
            <w:r>
              <w:rPr>
                <w:sz w:val="20"/>
                <w:szCs w:val="20"/>
              </w:rPr>
              <w:t xml:space="preserve"> Reo</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1F2BB6C8" w14:textId="77777777" w:rsidR="001902DF" w:rsidRDefault="00000000">
            <w:pPr>
              <w:spacing w:before="240" w:after="0" w:line="276" w:lineRule="auto"/>
              <w:rPr>
                <w:sz w:val="20"/>
                <w:szCs w:val="20"/>
              </w:rPr>
            </w:pPr>
            <w:r>
              <w:rPr>
                <w:sz w:val="20"/>
                <w:szCs w:val="20"/>
              </w:rPr>
              <w:t xml:space="preserve">Government </w:t>
            </w:r>
            <w:proofErr w:type="spellStart"/>
            <w:r>
              <w:rPr>
                <w:sz w:val="20"/>
                <w:szCs w:val="20"/>
              </w:rPr>
              <w:t>programme</w:t>
            </w:r>
            <w:proofErr w:type="spellEnd"/>
            <w:r>
              <w:rPr>
                <w:sz w:val="20"/>
                <w:szCs w:val="20"/>
              </w:rPr>
              <w:t xml:space="preserve"> to support teachers’ </w:t>
            </w:r>
            <w:proofErr w:type="spellStart"/>
            <w:r>
              <w:rPr>
                <w:sz w:val="20"/>
                <w:szCs w:val="20"/>
              </w:rPr>
              <w:t>te</w:t>
            </w:r>
            <w:proofErr w:type="spellEnd"/>
            <w:r>
              <w:rPr>
                <w:sz w:val="20"/>
                <w:szCs w:val="20"/>
              </w:rPr>
              <w:t xml:space="preserve"> </w:t>
            </w:r>
            <w:proofErr w:type="spellStart"/>
            <w:r>
              <w:rPr>
                <w:sz w:val="20"/>
                <w:szCs w:val="20"/>
              </w:rPr>
              <w:t>reo</w:t>
            </w:r>
            <w:proofErr w:type="spellEnd"/>
            <w:r>
              <w:rPr>
                <w:sz w:val="20"/>
                <w:szCs w:val="20"/>
              </w:rPr>
              <w:t xml:space="preserve"> Māori proficiency.</w:t>
            </w:r>
          </w:p>
        </w:tc>
      </w:tr>
      <w:tr w:rsidR="001902DF" w14:paraId="2207FFB4"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5B6DA21F" w14:textId="77777777" w:rsidR="001902DF" w:rsidRDefault="00000000">
            <w:pPr>
              <w:spacing w:before="240" w:after="0" w:line="276" w:lineRule="auto"/>
              <w:rPr>
                <w:sz w:val="20"/>
                <w:szCs w:val="20"/>
              </w:rPr>
            </w:pPr>
            <w:r>
              <w:rPr>
                <w:sz w:val="20"/>
                <w:szCs w:val="20"/>
              </w:rPr>
              <w:t>Te Kuku o Te Manawa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17F1604C" w14:textId="77777777" w:rsidR="001902DF" w:rsidRDefault="00000000">
            <w:pPr>
              <w:spacing w:before="240" w:after="0" w:line="276" w:lineRule="auto"/>
              <w:rPr>
                <w:sz w:val="20"/>
                <w:szCs w:val="20"/>
              </w:rPr>
            </w:pPr>
            <w:r>
              <w:rPr>
                <w:sz w:val="20"/>
                <w:szCs w:val="20"/>
              </w:rPr>
              <w:t>“The core of the heart” — title of a report by the Children’s Commissioner on child uplifts.</w:t>
            </w:r>
          </w:p>
        </w:tc>
      </w:tr>
      <w:tr w:rsidR="001902DF" w14:paraId="63C84659"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27E969CB" w14:textId="77777777" w:rsidR="001902DF" w:rsidRDefault="00000000">
            <w:pPr>
              <w:spacing w:before="240" w:after="0" w:line="276" w:lineRule="auto"/>
              <w:rPr>
                <w:sz w:val="20"/>
                <w:szCs w:val="20"/>
              </w:rPr>
            </w:pPr>
            <w:r>
              <w:rPr>
                <w:sz w:val="20"/>
                <w:szCs w:val="20"/>
              </w:rPr>
              <w:t xml:space="preserve">Te Mana o </w:t>
            </w:r>
            <w:proofErr w:type="spellStart"/>
            <w:r>
              <w:rPr>
                <w:sz w:val="20"/>
                <w:szCs w:val="20"/>
              </w:rPr>
              <w:t>te</w:t>
            </w:r>
            <w:proofErr w:type="spellEnd"/>
            <w:r>
              <w:rPr>
                <w:sz w:val="20"/>
                <w:szCs w:val="20"/>
              </w:rPr>
              <w:t xml:space="preserve"> Wai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408C5C93" w14:textId="77777777" w:rsidR="001902DF" w:rsidRDefault="00000000">
            <w:pPr>
              <w:spacing w:before="240" w:after="0" w:line="276" w:lineRule="auto"/>
              <w:rPr>
                <w:sz w:val="20"/>
                <w:szCs w:val="20"/>
              </w:rPr>
            </w:pPr>
            <w:proofErr w:type="gramStart"/>
            <w:r>
              <w:rPr>
                <w:sz w:val="20"/>
                <w:szCs w:val="20"/>
              </w:rPr>
              <w:t>“The authority of the water” —</w:t>
            </w:r>
            <w:proofErr w:type="gramEnd"/>
            <w:r>
              <w:rPr>
                <w:sz w:val="20"/>
                <w:szCs w:val="20"/>
              </w:rPr>
              <w:t xml:space="preserve"> freshwater management framework </w:t>
            </w:r>
            <w:proofErr w:type="gramStart"/>
            <w:r>
              <w:rPr>
                <w:sz w:val="20"/>
                <w:szCs w:val="20"/>
              </w:rPr>
              <w:t>placing</w:t>
            </w:r>
            <w:proofErr w:type="gramEnd"/>
            <w:r>
              <w:rPr>
                <w:sz w:val="20"/>
                <w:szCs w:val="20"/>
              </w:rPr>
              <w:t xml:space="preserve"> water’s health first.</w:t>
            </w:r>
          </w:p>
        </w:tc>
      </w:tr>
      <w:tr w:rsidR="001902DF" w14:paraId="281C5B29"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153FA119" w14:textId="77777777" w:rsidR="001902DF" w:rsidRDefault="00000000">
            <w:pPr>
              <w:spacing w:before="240" w:after="0" w:line="276" w:lineRule="auto"/>
              <w:rPr>
                <w:sz w:val="20"/>
                <w:szCs w:val="20"/>
              </w:rPr>
            </w:pPr>
            <w:r>
              <w:rPr>
                <w:sz w:val="20"/>
                <w:szCs w:val="20"/>
              </w:rPr>
              <w:t xml:space="preserve">Te </w:t>
            </w:r>
            <w:proofErr w:type="spellStart"/>
            <w:r>
              <w:rPr>
                <w:sz w:val="20"/>
                <w:szCs w:val="20"/>
              </w:rPr>
              <w:t>Pāti</w:t>
            </w:r>
            <w:proofErr w:type="spellEnd"/>
            <w:r>
              <w:rPr>
                <w:sz w:val="20"/>
                <w:szCs w:val="20"/>
              </w:rPr>
              <w:t xml:space="preserve"> Māori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4513EA9D" w14:textId="77777777" w:rsidR="001902DF" w:rsidRDefault="00000000">
            <w:pPr>
              <w:spacing w:before="240" w:after="0" w:line="276" w:lineRule="auto"/>
              <w:rPr>
                <w:sz w:val="20"/>
                <w:szCs w:val="20"/>
              </w:rPr>
            </w:pPr>
            <w:r>
              <w:rPr>
                <w:sz w:val="20"/>
                <w:szCs w:val="20"/>
              </w:rPr>
              <w:t xml:space="preserve">A political party founded in 2004, specifically </w:t>
            </w:r>
            <w:proofErr w:type="spellStart"/>
            <w:r>
              <w:rPr>
                <w:sz w:val="20"/>
                <w:szCs w:val="20"/>
              </w:rPr>
              <w:t>focussed</w:t>
            </w:r>
            <w:proofErr w:type="spellEnd"/>
            <w:r>
              <w:rPr>
                <w:sz w:val="20"/>
                <w:szCs w:val="20"/>
              </w:rPr>
              <w:t xml:space="preserve"> upon Māori interests.</w:t>
            </w:r>
          </w:p>
        </w:tc>
      </w:tr>
      <w:tr w:rsidR="001902DF" w14:paraId="76E5E516"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62E1EA5E" w14:textId="77777777" w:rsidR="001902DF" w:rsidRDefault="00000000">
            <w:pPr>
              <w:spacing w:before="240" w:after="0" w:line="276" w:lineRule="auto"/>
              <w:rPr>
                <w:sz w:val="20"/>
                <w:szCs w:val="20"/>
              </w:rPr>
            </w:pPr>
            <w:r>
              <w:rPr>
                <w:sz w:val="20"/>
                <w:szCs w:val="20"/>
              </w:rPr>
              <w:t>Te Reo Māori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0FE8F404" w14:textId="77777777" w:rsidR="001902DF" w:rsidRDefault="00000000">
            <w:pPr>
              <w:spacing w:before="240" w:after="0" w:line="276" w:lineRule="auto"/>
              <w:rPr>
                <w:sz w:val="20"/>
                <w:szCs w:val="20"/>
              </w:rPr>
            </w:pPr>
            <w:r>
              <w:rPr>
                <w:sz w:val="20"/>
                <w:szCs w:val="20"/>
              </w:rPr>
              <w:t>The Māori language.</w:t>
            </w:r>
          </w:p>
        </w:tc>
      </w:tr>
      <w:tr w:rsidR="001902DF" w14:paraId="7FF56048"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6C928090" w14:textId="77777777" w:rsidR="001902DF" w:rsidRDefault="00000000">
            <w:pPr>
              <w:spacing w:before="240" w:after="0" w:line="276" w:lineRule="auto"/>
              <w:rPr>
                <w:sz w:val="20"/>
                <w:szCs w:val="20"/>
              </w:rPr>
            </w:pPr>
            <w:r>
              <w:rPr>
                <w:sz w:val="20"/>
                <w:szCs w:val="20"/>
              </w:rPr>
              <w:t xml:space="preserve">Te </w:t>
            </w:r>
            <w:proofErr w:type="spellStart"/>
            <w:r>
              <w:rPr>
                <w:sz w:val="20"/>
                <w:szCs w:val="20"/>
              </w:rPr>
              <w:t>Tiriti</w:t>
            </w:r>
            <w:proofErr w:type="spellEnd"/>
            <w:r>
              <w:rPr>
                <w:sz w:val="20"/>
                <w:szCs w:val="20"/>
              </w:rPr>
              <w:t xml:space="preserve"> o Waitangi</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4B5B1304" w14:textId="77777777" w:rsidR="001902DF" w:rsidRDefault="00000000">
            <w:pPr>
              <w:spacing w:before="240" w:after="0" w:line="276" w:lineRule="auto"/>
              <w:rPr>
                <w:sz w:val="20"/>
                <w:szCs w:val="20"/>
              </w:rPr>
            </w:pPr>
            <w:r>
              <w:rPr>
                <w:sz w:val="20"/>
                <w:szCs w:val="20"/>
              </w:rPr>
              <w:t xml:space="preserve">The Māori language text of the Treaty of Waitangi, signed in 1840 between Māori </w:t>
            </w:r>
            <w:proofErr w:type="spellStart"/>
            <w:r>
              <w:rPr>
                <w:sz w:val="20"/>
                <w:szCs w:val="20"/>
              </w:rPr>
              <w:t>rangatira</w:t>
            </w:r>
            <w:proofErr w:type="spellEnd"/>
            <w:r>
              <w:rPr>
                <w:sz w:val="20"/>
                <w:szCs w:val="20"/>
              </w:rPr>
              <w:t xml:space="preserve"> and the Crown.</w:t>
            </w:r>
          </w:p>
        </w:tc>
      </w:tr>
      <w:tr w:rsidR="001902DF" w14:paraId="7C326706"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037BB693" w14:textId="77777777" w:rsidR="001902DF" w:rsidRDefault="00000000">
            <w:pPr>
              <w:spacing w:before="240" w:after="0" w:line="276" w:lineRule="auto"/>
              <w:rPr>
                <w:sz w:val="20"/>
                <w:szCs w:val="20"/>
              </w:rPr>
            </w:pPr>
            <w:r>
              <w:rPr>
                <w:sz w:val="20"/>
                <w:szCs w:val="20"/>
              </w:rPr>
              <w:t xml:space="preserve">Te </w:t>
            </w:r>
            <w:proofErr w:type="spellStart"/>
            <w:r>
              <w:rPr>
                <w:sz w:val="20"/>
                <w:szCs w:val="20"/>
              </w:rPr>
              <w:t>Tūāpapa</w:t>
            </w:r>
            <w:proofErr w:type="spellEnd"/>
            <w:r>
              <w:rPr>
                <w:sz w:val="20"/>
                <w:szCs w:val="20"/>
              </w:rPr>
              <w:t xml:space="preserve"> Kura </w:t>
            </w:r>
            <w:proofErr w:type="spellStart"/>
            <w:r>
              <w:rPr>
                <w:sz w:val="20"/>
                <w:szCs w:val="20"/>
              </w:rPr>
              <w:t>Kāinga</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3C17E82A" w14:textId="77777777" w:rsidR="001902DF" w:rsidRDefault="00000000">
            <w:pPr>
              <w:spacing w:before="240" w:after="0" w:line="276" w:lineRule="auto"/>
              <w:rPr>
                <w:sz w:val="20"/>
                <w:szCs w:val="20"/>
              </w:rPr>
            </w:pPr>
            <w:r>
              <w:rPr>
                <w:sz w:val="20"/>
                <w:szCs w:val="20"/>
              </w:rPr>
              <w:t>Ministry of Housing and Urban Development.</w:t>
            </w:r>
          </w:p>
        </w:tc>
      </w:tr>
      <w:tr w:rsidR="001902DF" w14:paraId="34DD6489"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34A7543B" w14:textId="77777777" w:rsidR="001902DF" w:rsidRDefault="00000000">
            <w:pPr>
              <w:spacing w:before="240" w:after="0" w:line="276" w:lineRule="auto"/>
              <w:rPr>
                <w:sz w:val="20"/>
                <w:szCs w:val="20"/>
              </w:rPr>
            </w:pPr>
            <w:proofErr w:type="spellStart"/>
            <w:r>
              <w:rPr>
                <w:sz w:val="20"/>
                <w:szCs w:val="20"/>
              </w:rPr>
              <w:t>Tīpuna</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12572970" w14:textId="77777777" w:rsidR="001902DF" w:rsidRDefault="00000000">
            <w:pPr>
              <w:spacing w:before="240" w:after="0" w:line="276" w:lineRule="auto"/>
              <w:rPr>
                <w:sz w:val="20"/>
                <w:szCs w:val="20"/>
              </w:rPr>
            </w:pPr>
            <w:r>
              <w:rPr>
                <w:sz w:val="20"/>
                <w:szCs w:val="20"/>
              </w:rPr>
              <w:t>Ancestors.</w:t>
            </w:r>
          </w:p>
        </w:tc>
      </w:tr>
      <w:tr w:rsidR="001902DF" w14:paraId="74710A8B"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2C66B41D" w14:textId="77777777" w:rsidR="001902DF" w:rsidRDefault="00000000">
            <w:pPr>
              <w:spacing w:before="240" w:after="0" w:line="276" w:lineRule="auto"/>
              <w:rPr>
                <w:sz w:val="20"/>
                <w:szCs w:val="20"/>
              </w:rPr>
            </w:pPr>
            <w:r>
              <w:rPr>
                <w:sz w:val="20"/>
                <w:szCs w:val="20"/>
              </w:rPr>
              <w:t>Tikanga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7B1875ED" w14:textId="77777777" w:rsidR="001902DF" w:rsidRDefault="00000000">
            <w:pPr>
              <w:spacing w:before="240" w:after="0" w:line="276" w:lineRule="auto"/>
              <w:rPr>
                <w:sz w:val="20"/>
                <w:szCs w:val="20"/>
              </w:rPr>
            </w:pPr>
            <w:r>
              <w:rPr>
                <w:sz w:val="20"/>
                <w:szCs w:val="20"/>
              </w:rPr>
              <w:t>Māori customary law, protocols, correct ways of doing things.</w:t>
            </w:r>
          </w:p>
        </w:tc>
      </w:tr>
      <w:tr w:rsidR="001902DF" w14:paraId="3824B60F"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2FAE63AB" w14:textId="77777777" w:rsidR="001902DF" w:rsidRDefault="00000000">
            <w:pPr>
              <w:spacing w:before="240" w:after="0" w:line="276" w:lineRule="auto"/>
              <w:rPr>
                <w:sz w:val="20"/>
                <w:szCs w:val="20"/>
              </w:rPr>
            </w:pPr>
            <w:r>
              <w:rPr>
                <w:sz w:val="20"/>
                <w:szCs w:val="20"/>
              </w:rPr>
              <w:t>Tino rangatiratanga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5032639F" w14:textId="77777777" w:rsidR="001902DF" w:rsidRDefault="00000000">
            <w:pPr>
              <w:spacing w:before="240" w:after="0" w:line="276" w:lineRule="auto"/>
              <w:rPr>
                <w:sz w:val="20"/>
                <w:szCs w:val="20"/>
              </w:rPr>
            </w:pPr>
            <w:r>
              <w:rPr>
                <w:sz w:val="20"/>
                <w:szCs w:val="20"/>
              </w:rPr>
              <w:t xml:space="preserve">Absolute authority, self-determination; guaranteed to Māori under Te </w:t>
            </w:r>
            <w:proofErr w:type="spellStart"/>
            <w:r>
              <w:rPr>
                <w:sz w:val="20"/>
                <w:szCs w:val="20"/>
              </w:rPr>
              <w:t>Tiriti</w:t>
            </w:r>
            <w:proofErr w:type="spellEnd"/>
            <w:r>
              <w:rPr>
                <w:sz w:val="20"/>
                <w:szCs w:val="20"/>
              </w:rPr>
              <w:t>.</w:t>
            </w:r>
          </w:p>
        </w:tc>
      </w:tr>
      <w:tr w:rsidR="001902DF" w14:paraId="72DFC200"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73693B7B" w14:textId="77777777" w:rsidR="001902DF" w:rsidRDefault="00000000">
            <w:pPr>
              <w:spacing w:before="240" w:after="0" w:line="276" w:lineRule="auto"/>
              <w:rPr>
                <w:sz w:val="20"/>
                <w:szCs w:val="20"/>
              </w:rPr>
            </w:pPr>
            <w:r>
              <w:rPr>
                <w:sz w:val="20"/>
                <w:szCs w:val="20"/>
              </w:rPr>
              <w:t xml:space="preserve">Wāhi </w:t>
            </w:r>
            <w:proofErr w:type="spellStart"/>
            <w:r>
              <w:rPr>
                <w:sz w:val="20"/>
                <w:szCs w:val="20"/>
              </w:rPr>
              <w:t>tapu</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271BDC50" w14:textId="77777777" w:rsidR="001902DF" w:rsidRDefault="00000000">
            <w:pPr>
              <w:spacing w:before="240" w:after="0" w:line="276" w:lineRule="auto"/>
              <w:rPr>
                <w:sz w:val="20"/>
                <w:szCs w:val="20"/>
              </w:rPr>
            </w:pPr>
            <w:r>
              <w:rPr>
                <w:sz w:val="20"/>
                <w:szCs w:val="20"/>
              </w:rPr>
              <w:t>Sacred sites, often associated with ancestral events or burials.</w:t>
            </w:r>
          </w:p>
        </w:tc>
      </w:tr>
      <w:tr w:rsidR="001902DF" w14:paraId="35A77F6C"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0D226B25" w14:textId="77777777" w:rsidR="001902DF" w:rsidRDefault="00000000">
            <w:pPr>
              <w:spacing w:before="240" w:after="0" w:line="276" w:lineRule="auto"/>
              <w:rPr>
                <w:sz w:val="20"/>
                <w:szCs w:val="20"/>
              </w:rPr>
            </w:pPr>
            <w:r>
              <w:rPr>
                <w:sz w:val="20"/>
                <w:szCs w:val="20"/>
              </w:rPr>
              <w:t>Whakapapa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7C7528B4" w14:textId="77777777" w:rsidR="001902DF" w:rsidRDefault="00000000">
            <w:pPr>
              <w:spacing w:before="240" w:after="0" w:line="276" w:lineRule="auto"/>
              <w:rPr>
                <w:sz w:val="20"/>
                <w:szCs w:val="20"/>
              </w:rPr>
            </w:pPr>
            <w:r>
              <w:rPr>
                <w:sz w:val="20"/>
                <w:szCs w:val="20"/>
              </w:rPr>
              <w:t>Genealogy, lineage, connections between people and the natural world.</w:t>
            </w:r>
          </w:p>
        </w:tc>
      </w:tr>
      <w:tr w:rsidR="001902DF" w14:paraId="2CE1419F"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75D019CA" w14:textId="77777777" w:rsidR="001902DF" w:rsidRDefault="00000000">
            <w:pPr>
              <w:spacing w:before="240" w:after="0" w:line="276" w:lineRule="auto"/>
              <w:rPr>
                <w:sz w:val="20"/>
                <w:szCs w:val="20"/>
              </w:rPr>
            </w:pPr>
            <w:r>
              <w:rPr>
                <w:sz w:val="20"/>
                <w:szCs w:val="20"/>
              </w:rPr>
              <w:lastRenderedPageBreak/>
              <w:t>Whānau</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4B7A4621" w14:textId="77777777" w:rsidR="001902DF" w:rsidRDefault="00000000">
            <w:pPr>
              <w:spacing w:before="240" w:after="0" w:line="276" w:lineRule="auto"/>
              <w:rPr>
                <w:sz w:val="20"/>
                <w:szCs w:val="20"/>
              </w:rPr>
            </w:pPr>
            <w:r>
              <w:rPr>
                <w:sz w:val="20"/>
                <w:szCs w:val="20"/>
              </w:rPr>
              <w:t>Extended family group.</w:t>
            </w:r>
          </w:p>
        </w:tc>
      </w:tr>
      <w:tr w:rsidR="001902DF" w14:paraId="1C7D91D5"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589F3E3D" w14:textId="77777777" w:rsidR="001902DF" w:rsidRDefault="00000000">
            <w:pPr>
              <w:spacing w:before="240" w:after="0" w:line="276" w:lineRule="auto"/>
              <w:rPr>
                <w:sz w:val="20"/>
                <w:szCs w:val="20"/>
              </w:rPr>
            </w:pPr>
            <w:r>
              <w:rPr>
                <w:sz w:val="20"/>
                <w:szCs w:val="20"/>
              </w:rPr>
              <w:t>Whanaungatanga</w:t>
            </w:r>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70237CF4" w14:textId="77777777" w:rsidR="001902DF" w:rsidRDefault="00000000">
            <w:pPr>
              <w:spacing w:before="240" w:after="0" w:line="276" w:lineRule="auto"/>
              <w:rPr>
                <w:sz w:val="20"/>
                <w:szCs w:val="20"/>
              </w:rPr>
            </w:pPr>
            <w:r>
              <w:rPr>
                <w:sz w:val="20"/>
                <w:szCs w:val="20"/>
              </w:rPr>
              <w:t>Kinship, relationships, sense of belonging and connection.</w:t>
            </w:r>
          </w:p>
        </w:tc>
      </w:tr>
      <w:tr w:rsidR="001902DF" w14:paraId="085FFE04" w14:textId="77777777">
        <w:trPr>
          <w:trHeight w:val="56"/>
        </w:trPr>
        <w:tc>
          <w:tcPr>
            <w:tcW w:w="3285" w:type="dxa"/>
            <w:tcBorders>
              <w:top w:val="nil"/>
              <w:left w:val="single" w:sz="8" w:space="0" w:color="000000"/>
              <w:bottom w:val="single" w:sz="8" w:space="0" w:color="000000"/>
              <w:right w:val="single" w:sz="8" w:space="0" w:color="000000"/>
            </w:tcBorders>
            <w:tcMar>
              <w:top w:w="170" w:type="dxa"/>
              <w:left w:w="170" w:type="dxa"/>
              <w:bottom w:w="170" w:type="dxa"/>
              <w:right w:w="170" w:type="dxa"/>
            </w:tcMar>
            <w:vAlign w:val="center"/>
          </w:tcPr>
          <w:p w14:paraId="18504F27" w14:textId="77777777" w:rsidR="001902DF" w:rsidRDefault="00000000">
            <w:pPr>
              <w:spacing w:before="240" w:after="0" w:line="276" w:lineRule="auto"/>
              <w:rPr>
                <w:sz w:val="20"/>
                <w:szCs w:val="20"/>
              </w:rPr>
            </w:pPr>
            <w:r>
              <w:rPr>
                <w:sz w:val="20"/>
                <w:szCs w:val="20"/>
              </w:rPr>
              <w:t xml:space="preserve">Whenua </w:t>
            </w:r>
            <w:proofErr w:type="spellStart"/>
            <w:r>
              <w:rPr>
                <w:sz w:val="20"/>
                <w:szCs w:val="20"/>
              </w:rPr>
              <w:t>Taurikura</w:t>
            </w:r>
            <w:proofErr w:type="spellEnd"/>
          </w:p>
        </w:tc>
        <w:tc>
          <w:tcPr>
            <w:tcW w:w="6270" w:type="dxa"/>
            <w:tcBorders>
              <w:top w:val="nil"/>
              <w:left w:val="nil"/>
              <w:bottom w:val="single" w:sz="8" w:space="0" w:color="000000"/>
              <w:right w:val="single" w:sz="8" w:space="0" w:color="000000"/>
            </w:tcBorders>
            <w:tcMar>
              <w:top w:w="170" w:type="dxa"/>
              <w:left w:w="170" w:type="dxa"/>
              <w:bottom w:w="170" w:type="dxa"/>
              <w:right w:w="170" w:type="dxa"/>
            </w:tcMar>
            <w:vAlign w:val="center"/>
          </w:tcPr>
          <w:p w14:paraId="5BF95C8A" w14:textId="77777777" w:rsidR="001902DF" w:rsidRDefault="00000000">
            <w:pPr>
              <w:spacing w:before="240" w:after="0" w:line="276" w:lineRule="auto"/>
              <w:rPr>
                <w:sz w:val="20"/>
                <w:szCs w:val="20"/>
              </w:rPr>
            </w:pPr>
            <w:r>
              <w:rPr>
                <w:sz w:val="20"/>
                <w:szCs w:val="20"/>
              </w:rPr>
              <w:t xml:space="preserve">National research </w:t>
            </w:r>
            <w:proofErr w:type="spellStart"/>
            <w:r>
              <w:rPr>
                <w:sz w:val="20"/>
                <w:szCs w:val="20"/>
              </w:rPr>
              <w:t>centre</w:t>
            </w:r>
            <w:proofErr w:type="spellEnd"/>
            <w:r>
              <w:rPr>
                <w:sz w:val="20"/>
                <w:szCs w:val="20"/>
              </w:rPr>
              <w:t xml:space="preserve"> established post-Christchurch attacks to counter terrorism. Literally “lands of peace.”</w:t>
            </w:r>
          </w:p>
        </w:tc>
      </w:tr>
    </w:tbl>
    <w:p w14:paraId="65A097CC" w14:textId="77777777" w:rsidR="001902DF" w:rsidRDefault="001902DF">
      <w:pPr>
        <w:sectPr w:rsidR="001902DF">
          <w:headerReference w:type="default" r:id="rId56"/>
          <w:footerReference w:type="default" r:id="rId57"/>
          <w:headerReference w:type="first" r:id="rId58"/>
          <w:footerReference w:type="first" r:id="rId59"/>
          <w:pgSz w:w="12240" w:h="15840"/>
          <w:pgMar w:top="1360" w:right="1320" w:bottom="1200" w:left="1417" w:header="0" w:footer="1000" w:gutter="0"/>
          <w:pgNumType w:start="0"/>
          <w:cols w:space="720"/>
          <w:titlePg/>
        </w:sectPr>
      </w:pPr>
    </w:p>
    <w:p w14:paraId="5CEC5DBA" w14:textId="77777777" w:rsidR="001902DF" w:rsidRDefault="00000000">
      <w:pPr>
        <w:pStyle w:val="Heading1"/>
      </w:pPr>
      <w:bookmarkStart w:id="47" w:name="_heading=h.ocjqftpr6oyx" w:colFirst="0" w:colLast="0"/>
      <w:bookmarkEnd w:id="47"/>
      <w:r>
        <w:lastRenderedPageBreak/>
        <w:t>APPENDIX 1 TABLE OF BREACHES</w:t>
      </w:r>
    </w:p>
    <w:tbl>
      <w:tblPr>
        <w:tblStyle w:val="a0"/>
        <w:tblW w:w="13095" w:type="dxa"/>
        <w:tblBorders>
          <w:top w:val="nil"/>
          <w:left w:val="nil"/>
          <w:bottom w:val="nil"/>
          <w:right w:val="nil"/>
          <w:insideH w:val="nil"/>
          <w:insideV w:val="nil"/>
        </w:tblBorders>
        <w:tblLayout w:type="fixed"/>
        <w:tblLook w:val="0600" w:firstRow="0" w:lastRow="0" w:firstColumn="0" w:lastColumn="0" w:noHBand="1" w:noVBand="1"/>
      </w:tblPr>
      <w:tblGrid>
        <w:gridCol w:w="4200"/>
        <w:gridCol w:w="8895"/>
      </w:tblGrid>
      <w:tr w:rsidR="001902DF" w14:paraId="0720B411" w14:textId="77777777">
        <w:trPr>
          <w:trHeight w:val="300"/>
        </w:trPr>
        <w:tc>
          <w:tcPr>
            <w:tcW w:w="4200" w:type="dxa"/>
            <w:tcBorders>
              <w:top w:val="single" w:sz="4" w:space="0" w:color="CCCCCC"/>
              <w:left w:val="single" w:sz="4" w:space="0" w:color="CCCCCC"/>
              <w:bottom w:val="single" w:sz="4" w:space="0" w:color="CCCCCC"/>
              <w:right w:val="single" w:sz="4" w:space="0" w:color="CCCCCC"/>
            </w:tcBorders>
            <w:shd w:val="clear" w:color="auto" w:fill="FFFFFF"/>
            <w:tcMar>
              <w:top w:w="0" w:type="dxa"/>
              <w:left w:w="40" w:type="dxa"/>
              <w:bottom w:w="0" w:type="dxa"/>
              <w:right w:w="40" w:type="dxa"/>
            </w:tcMar>
            <w:vAlign w:val="bottom"/>
          </w:tcPr>
          <w:p w14:paraId="72D482A2"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STATE ACTION</w:t>
            </w:r>
          </w:p>
        </w:tc>
        <w:tc>
          <w:tcPr>
            <w:tcW w:w="8895" w:type="dxa"/>
            <w:tcBorders>
              <w:top w:val="single" w:sz="4" w:space="0" w:color="CCCCCC"/>
              <w:left w:val="single" w:sz="4" w:space="0" w:color="CCCCCC"/>
              <w:bottom w:val="single" w:sz="4" w:space="0" w:color="CCCCCC"/>
              <w:right w:val="single" w:sz="4" w:space="0" w:color="CCCCCC"/>
            </w:tcBorders>
            <w:shd w:val="clear" w:color="auto" w:fill="FFFFFF"/>
            <w:tcMar>
              <w:top w:w="0" w:type="dxa"/>
              <w:left w:w="40" w:type="dxa"/>
              <w:bottom w:w="0" w:type="dxa"/>
              <w:right w:w="40" w:type="dxa"/>
            </w:tcMar>
            <w:vAlign w:val="bottom"/>
          </w:tcPr>
          <w:p w14:paraId="5DA4676D"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RELEVANT BREACH</w:t>
            </w:r>
          </w:p>
        </w:tc>
      </w:tr>
      <w:tr w:rsidR="001902DF" w14:paraId="64BAE522" w14:textId="77777777">
        <w:trPr>
          <w:trHeight w:val="73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CA8A022"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Coalition Agreement</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3C13F56B"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CERD Articles 2,5,6,7; General Recommendations No. </w:t>
            </w:r>
            <w:hyperlink r:id="rId60">
              <w:r>
                <w:rPr>
                  <w:rFonts w:ascii="Calibri" w:eastAsia="Calibri" w:hAnsi="Calibri" w:cs="Calibri"/>
                  <w:color w:val="1155CC"/>
                  <w:u w:val="single"/>
                </w:rPr>
                <w:t>23</w:t>
              </w:r>
            </w:hyperlink>
            <w:r>
              <w:rPr>
                <w:rFonts w:ascii="Calibri" w:eastAsia="Calibri" w:hAnsi="Calibri" w:cs="Calibri"/>
              </w:rPr>
              <w:t xml:space="preserve">, </w:t>
            </w:r>
            <w:hyperlink r:id="rId61">
              <w:r>
                <w:rPr>
                  <w:rFonts w:ascii="Calibri" w:eastAsia="Calibri" w:hAnsi="Calibri" w:cs="Calibri"/>
                  <w:color w:val="1155CC"/>
                  <w:u w:val="single"/>
                </w:rPr>
                <w:t>31</w:t>
              </w:r>
            </w:hyperlink>
            <w:r>
              <w:rPr>
                <w:rFonts w:ascii="Calibri" w:eastAsia="Calibri" w:hAnsi="Calibri" w:cs="Calibri"/>
              </w:rPr>
              <w:t xml:space="preserve">, </w:t>
            </w:r>
            <w:hyperlink r:id="rId62">
              <w:r>
                <w:rPr>
                  <w:rFonts w:ascii="Calibri" w:eastAsia="Calibri" w:hAnsi="Calibri" w:cs="Calibri"/>
                  <w:color w:val="1155CC"/>
                  <w:u w:val="single"/>
                </w:rPr>
                <w:t>32</w:t>
              </w:r>
            </w:hyperlink>
            <w:r>
              <w:rPr>
                <w:rFonts w:ascii="Calibri" w:eastAsia="Calibri" w:hAnsi="Calibri" w:cs="Calibri"/>
              </w:rPr>
              <w:t xml:space="preserve">, </w:t>
            </w:r>
            <w:hyperlink r:id="rId63">
              <w:r>
                <w:rPr>
                  <w:rFonts w:ascii="Calibri" w:eastAsia="Calibri" w:hAnsi="Calibri" w:cs="Calibri"/>
                  <w:color w:val="1155CC"/>
                  <w:u w:val="single"/>
                </w:rPr>
                <w:t>35</w:t>
              </w:r>
            </w:hyperlink>
            <w:r>
              <w:rPr>
                <w:rFonts w:ascii="Calibri" w:eastAsia="Calibri" w:hAnsi="Calibri" w:cs="Calibri"/>
              </w:rPr>
              <w:t xml:space="preserve">, </w:t>
            </w:r>
            <w:hyperlink r:id="rId64">
              <w:r>
                <w:rPr>
                  <w:rFonts w:ascii="Calibri" w:eastAsia="Calibri" w:hAnsi="Calibri" w:cs="Calibri"/>
                  <w:color w:val="1155CC"/>
                  <w:u w:val="single"/>
                </w:rPr>
                <w:t>37</w:t>
              </w:r>
            </w:hyperlink>
            <w:r>
              <w:rPr>
                <w:rFonts w:ascii="Calibri" w:eastAsia="Calibri" w:hAnsi="Calibri" w:cs="Calibri"/>
              </w:rPr>
              <w:t>; 2017 Concluding observations  (</w:t>
            </w:r>
            <w:hyperlink r:id="rId65">
              <w:r>
                <w:rPr>
                  <w:rFonts w:ascii="Calibri" w:eastAsia="Calibri" w:hAnsi="Calibri" w:cs="Calibri"/>
                  <w:color w:val="1155CC"/>
                  <w:u w:val="single"/>
                </w:rPr>
                <w:t>CERD/C/NZL/CO/21–22</w:t>
              </w:r>
            </w:hyperlink>
            <w:r>
              <w:rPr>
                <w:rFonts w:ascii="Calibri" w:eastAsia="Calibri" w:hAnsi="Calibri" w:cs="Calibri"/>
              </w:rPr>
              <w:t>)</w:t>
            </w:r>
          </w:p>
        </w:tc>
      </w:tr>
      <w:tr w:rsidR="001902DF" w14:paraId="4565D202" w14:textId="77777777">
        <w:trPr>
          <w:trHeight w:val="82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70F52C54"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Abandonment of National Action Plan Against Racism</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8B290B3"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7; General Recommendations No.</w:t>
            </w:r>
            <w:hyperlink r:id="rId66">
              <w:r>
                <w:rPr>
                  <w:rFonts w:ascii="Calibri" w:eastAsia="Calibri" w:hAnsi="Calibri" w:cs="Calibri"/>
                </w:rPr>
                <w:t xml:space="preserve"> </w:t>
              </w:r>
            </w:hyperlink>
            <w:hyperlink r:id="rId67">
              <w:r>
                <w:rPr>
                  <w:rFonts w:ascii="Calibri" w:eastAsia="Calibri" w:hAnsi="Calibri" w:cs="Calibri"/>
                  <w:color w:val="1155CC"/>
                  <w:u w:val="single"/>
                </w:rPr>
                <w:t>23</w:t>
              </w:r>
            </w:hyperlink>
            <w:r>
              <w:rPr>
                <w:rFonts w:ascii="Calibri" w:eastAsia="Calibri" w:hAnsi="Calibri" w:cs="Calibri"/>
              </w:rPr>
              <w:t>,</w:t>
            </w:r>
            <w:hyperlink r:id="rId68">
              <w:r>
                <w:rPr>
                  <w:rFonts w:ascii="Calibri" w:eastAsia="Calibri" w:hAnsi="Calibri" w:cs="Calibri"/>
                </w:rPr>
                <w:t xml:space="preserve"> </w:t>
              </w:r>
            </w:hyperlink>
            <w:hyperlink r:id="rId69">
              <w:r>
                <w:rPr>
                  <w:rFonts w:ascii="Calibri" w:eastAsia="Calibri" w:hAnsi="Calibri" w:cs="Calibri"/>
                  <w:color w:val="1155CC"/>
                  <w:u w:val="single"/>
                </w:rPr>
                <w:t>30</w:t>
              </w:r>
            </w:hyperlink>
            <w:r>
              <w:rPr>
                <w:rFonts w:ascii="Calibri" w:eastAsia="Calibri" w:hAnsi="Calibri" w:cs="Calibri"/>
              </w:rPr>
              <w:t>,</w:t>
            </w:r>
            <w:hyperlink r:id="rId70">
              <w:r>
                <w:rPr>
                  <w:rFonts w:ascii="Calibri" w:eastAsia="Calibri" w:hAnsi="Calibri" w:cs="Calibri"/>
                </w:rPr>
                <w:t xml:space="preserve"> </w:t>
              </w:r>
            </w:hyperlink>
            <w:hyperlink r:id="rId71">
              <w:r>
                <w:rPr>
                  <w:rFonts w:ascii="Calibri" w:eastAsia="Calibri" w:hAnsi="Calibri" w:cs="Calibri"/>
                  <w:color w:val="1155CC"/>
                  <w:u w:val="single"/>
                </w:rPr>
                <w:t>31</w:t>
              </w:r>
            </w:hyperlink>
            <w:r>
              <w:rPr>
                <w:rFonts w:ascii="Calibri" w:eastAsia="Calibri" w:hAnsi="Calibri" w:cs="Calibri"/>
              </w:rPr>
              <w:t>,</w:t>
            </w:r>
            <w:hyperlink r:id="rId72">
              <w:r>
                <w:rPr>
                  <w:rFonts w:ascii="Calibri" w:eastAsia="Calibri" w:hAnsi="Calibri" w:cs="Calibri"/>
                  <w:color w:val="1155CC"/>
                  <w:u w:val="single"/>
                </w:rPr>
                <w:t>32</w:t>
              </w:r>
            </w:hyperlink>
            <w:r>
              <w:rPr>
                <w:rFonts w:ascii="Calibri" w:eastAsia="Calibri" w:hAnsi="Calibri" w:cs="Calibri"/>
              </w:rPr>
              <w:t>,</w:t>
            </w:r>
            <w:hyperlink r:id="rId73">
              <w:r>
                <w:rPr>
                  <w:rFonts w:ascii="Calibri" w:eastAsia="Calibri" w:hAnsi="Calibri" w:cs="Calibri"/>
                </w:rPr>
                <w:t xml:space="preserve"> </w:t>
              </w:r>
            </w:hyperlink>
            <w:hyperlink r:id="rId74">
              <w:r>
                <w:rPr>
                  <w:rFonts w:ascii="Calibri" w:eastAsia="Calibri" w:hAnsi="Calibri" w:cs="Calibri"/>
                  <w:color w:val="1155CC"/>
                  <w:u w:val="single"/>
                </w:rPr>
                <w:t>34</w:t>
              </w:r>
            </w:hyperlink>
            <w:r>
              <w:rPr>
                <w:rFonts w:ascii="Calibri" w:eastAsia="Calibri" w:hAnsi="Calibri" w:cs="Calibri"/>
              </w:rPr>
              <w:t>,</w:t>
            </w:r>
            <w:hyperlink r:id="rId75">
              <w:r>
                <w:rPr>
                  <w:rFonts w:ascii="Calibri" w:eastAsia="Calibri" w:hAnsi="Calibri" w:cs="Calibri"/>
                </w:rPr>
                <w:t xml:space="preserve"> </w:t>
              </w:r>
            </w:hyperlink>
            <w:hyperlink r:id="rId76">
              <w:r>
                <w:rPr>
                  <w:rFonts w:ascii="Calibri" w:eastAsia="Calibri" w:hAnsi="Calibri" w:cs="Calibri"/>
                  <w:color w:val="1155CC"/>
                  <w:u w:val="single"/>
                </w:rPr>
                <w:t>35</w:t>
              </w:r>
            </w:hyperlink>
            <w:r>
              <w:rPr>
                <w:rFonts w:ascii="Calibri" w:eastAsia="Calibri" w:hAnsi="Calibri" w:cs="Calibri"/>
              </w:rPr>
              <w:t>,</w:t>
            </w:r>
            <w:hyperlink r:id="rId77">
              <w:r>
                <w:rPr>
                  <w:rFonts w:ascii="Calibri" w:eastAsia="Calibri" w:hAnsi="Calibri" w:cs="Calibri"/>
                </w:rPr>
                <w:t xml:space="preserve"> </w:t>
              </w:r>
            </w:hyperlink>
            <w:hyperlink r:id="rId78">
              <w:r>
                <w:rPr>
                  <w:rFonts w:ascii="Calibri" w:eastAsia="Calibri" w:hAnsi="Calibri" w:cs="Calibri"/>
                  <w:color w:val="1155CC"/>
                  <w:u w:val="single"/>
                </w:rPr>
                <w:t>36</w:t>
              </w:r>
            </w:hyperlink>
            <w:r>
              <w:rPr>
                <w:rFonts w:ascii="Calibri" w:eastAsia="Calibri" w:hAnsi="Calibri" w:cs="Calibri"/>
              </w:rPr>
              <w:t>, 2017 Concluding observations (</w:t>
            </w:r>
            <w:hyperlink r:id="rId79">
              <w:r>
                <w:rPr>
                  <w:rFonts w:ascii="Calibri" w:eastAsia="Calibri" w:hAnsi="Calibri" w:cs="Calibri"/>
                  <w:color w:val="1155CC"/>
                  <w:u w:val="single"/>
                </w:rPr>
                <w:t>CERD/C/NZL/CO/21–22</w:t>
              </w:r>
            </w:hyperlink>
            <w:r>
              <w:rPr>
                <w:rFonts w:ascii="Calibri" w:eastAsia="Calibri" w:hAnsi="Calibri" w:cs="Calibri"/>
              </w:rPr>
              <w:t>)</w:t>
            </w:r>
          </w:p>
        </w:tc>
      </w:tr>
      <w:tr w:rsidR="001902DF" w14:paraId="38E563B8"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6E366C4B"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TIRITI ASSAULT</w:t>
            </w:r>
          </w:p>
        </w:tc>
      </w:tr>
      <w:tr w:rsidR="001902DF" w14:paraId="692701EF"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32F6807"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Treaty Principles Bill</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CB6BAB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1–5; General Recommendations No.</w:t>
            </w:r>
            <w:hyperlink r:id="rId80">
              <w:r>
                <w:rPr>
                  <w:rFonts w:ascii="Calibri" w:eastAsia="Calibri" w:hAnsi="Calibri" w:cs="Calibri"/>
                </w:rPr>
                <w:t xml:space="preserve"> </w:t>
              </w:r>
            </w:hyperlink>
            <w:hyperlink r:id="rId81">
              <w:r>
                <w:rPr>
                  <w:rFonts w:ascii="Calibri" w:eastAsia="Calibri" w:hAnsi="Calibri" w:cs="Calibri"/>
                  <w:color w:val="1155CC"/>
                  <w:u w:val="single"/>
                </w:rPr>
                <w:t>23</w:t>
              </w:r>
            </w:hyperlink>
            <w:r>
              <w:rPr>
                <w:rFonts w:ascii="Calibri" w:eastAsia="Calibri" w:hAnsi="Calibri" w:cs="Calibri"/>
              </w:rPr>
              <w:t>,</w:t>
            </w:r>
            <w:hyperlink r:id="rId82">
              <w:r>
                <w:rPr>
                  <w:rFonts w:ascii="Calibri" w:eastAsia="Calibri" w:hAnsi="Calibri" w:cs="Calibri"/>
                </w:rPr>
                <w:t xml:space="preserve"> </w:t>
              </w:r>
            </w:hyperlink>
            <w:hyperlink r:id="rId83">
              <w:r>
                <w:rPr>
                  <w:rFonts w:ascii="Calibri" w:eastAsia="Calibri" w:hAnsi="Calibri" w:cs="Calibri"/>
                  <w:color w:val="1155CC"/>
                  <w:u w:val="single"/>
                </w:rPr>
                <w:t>32</w:t>
              </w:r>
            </w:hyperlink>
            <w:r>
              <w:rPr>
                <w:rFonts w:ascii="Calibri" w:eastAsia="Calibri" w:hAnsi="Calibri" w:cs="Calibri"/>
              </w:rPr>
              <w:t>; 2017 Concluding Observations (</w:t>
            </w:r>
            <w:hyperlink r:id="rId84">
              <w:r>
                <w:rPr>
                  <w:rFonts w:ascii="Calibri" w:eastAsia="Calibri" w:hAnsi="Calibri" w:cs="Calibri"/>
                  <w:color w:val="1155CC"/>
                  <w:u w:val="single"/>
                </w:rPr>
                <w:t>CERD/C/NZL/CO/21–22</w:t>
              </w:r>
            </w:hyperlink>
            <w:r>
              <w:rPr>
                <w:rFonts w:ascii="Calibri" w:eastAsia="Calibri" w:hAnsi="Calibri" w:cs="Calibri"/>
              </w:rPr>
              <w:t>)</w:t>
            </w:r>
          </w:p>
        </w:tc>
      </w:tr>
      <w:tr w:rsidR="001902DF" w14:paraId="448CEA97"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88211C8"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Regulatory Standards Bill</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0F0E4F8"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1–5; General Recommendations No.</w:t>
            </w:r>
            <w:hyperlink r:id="rId85">
              <w:r>
                <w:rPr>
                  <w:rFonts w:ascii="Calibri" w:eastAsia="Calibri" w:hAnsi="Calibri" w:cs="Calibri"/>
                </w:rPr>
                <w:t xml:space="preserve"> </w:t>
              </w:r>
            </w:hyperlink>
            <w:hyperlink r:id="rId86">
              <w:r>
                <w:rPr>
                  <w:rFonts w:ascii="Calibri" w:eastAsia="Calibri" w:hAnsi="Calibri" w:cs="Calibri"/>
                  <w:color w:val="1155CC"/>
                  <w:u w:val="single"/>
                </w:rPr>
                <w:t>23</w:t>
              </w:r>
            </w:hyperlink>
            <w:r>
              <w:rPr>
                <w:rFonts w:ascii="Calibri" w:eastAsia="Calibri" w:hAnsi="Calibri" w:cs="Calibri"/>
              </w:rPr>
              <w:t>,</w:t>
            </w:r>
            <w:hyperlink r:id="rId87">
              <w:r>
                <w:rPr>
                  <w:rFonts w:ascii="Calibri" w:eastAsia="Calibri" w:hAnsi="Calibri" w:cs="Calibri"/>
                </w:rPr>
                <w:t xml:space="preserve"> </w:t>
              </w:r>
            </w:hyperlink>
            <w:hyperlink r:id="rId88">
              <w:r>
                <w:rPr>
                  <w:rFonts w:ascii="Calibri" w:eastAsia="Calibri" w:hAnsi="Calibri" w:cs="Calibri"/>
                  <w:color w:val="1155CC"/>
                  <w:u w:val="single"/>
                </w:rPr>
                <w:t>32</w:t>
              </w:r>
            </w:hyperlink>
            <w:r>
              <w:rPr>
                <w:rFonts w:ascii="Calibri" w:eastAsia="Calibri" w:hAnsi="Calibri" w:cs="Calibri"/>
              </w:rPr>
              <w:t>; 2017 Concluding Observations (</w:t>
            </w:r>
            <w:hyperlink r:id="rId89">
              <w:r>
                <w:rPr>
                  <w:rFonts w:ascii="Calibri" w:eastAsia="Calibri" w:hAnsi="Calibri" w:cs="Calibri"/>
                  <w:color w:val="1155CC"/>
                  <w:u w:val="single"/>
                </w:rPr>
                <w:t>CERD/C/NZL/CO/21–22</w:t>
              </w:r>
            </w:hyperlink>
            <w:r>
              <w:rPr>
                <w:rFonts w:ascii="Calibri" w:eastAsia="Calibri" w:hAnsi="Calibri" w:cs="Calibri"/>
              </w:rPr>
              <w:t>)</w:t>
            </w:r>
          </w:p>
        </w:tc>
      </w:tr>
      <w:tr w:rsidR="001902DF" w14:paraId="18D72DE9"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D107D4B"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Treaty Clause Review</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CA3894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1–5; General Recommendations No.</w:t>
            </w:r>
            <w:hyperlink r:id="rId90">
              <w:r>
                <w:rPr>
                  <w:rFonts w:ascii="Calibri" w:eastAsia="Calibri" w:hAnsi="Calibri" w:cs="Calibri"/>
                </w:rPr>
                <w:t xml:space="preserve"> </w:t>
              </w:r>
            </w:hyperlink>
            <w:hyperlink r:id="rId91">
              <w:r>
                <w:rPr>
                  <w:rFonts w:ascii="Calibri" w:eastAsia="Calibri" w:hAnsi="Calibri" w:cs="Calibri"/>
                  <w:color w:val="1155CC"/>
                  <w:u w:val="single"/>
                </w:rPr>
                <w:t>23</w:t>
              </w:r>
            </w:hyperlink>
            <w:r>
              <w:rPr>
                <w:rFonts w:ascii="Calibri" w:eastAsia="Calibri" w:hAnsi="Calibri" w:cs="Calibri"/>
              </w:rPr>
              <w:t>,</w:t>
            </w:r>
            <w:hyperlink r:id="rId92">
              <w:r>
                <w:rPr>
                  <w:rFonts w:ascii="Calibri" w:eastAsia="Calibri" w:hAnsi="Calibri" w:cs="Calibri"/>
                </w:rPr>
                <w:t xml:space="preserve"> </w:t>
              </w:r>
            </w:hyperlink>
            <w:hyperlink r:id="rId93">
              <w:r>
                <w:rPr>
                  <w:rFonts w:ascii="Calibri" w:eastAsia="Calibri" w:hAnsi="Calibri" w:cs="Calibri"/>
                  <w:color w:val="1155CC"/>
                  <w:u w:val="single"/>
                </w:rPr>
                <w:t>32</w:t>
              </w:r>
            </w:hyperlink>
            <w:r>
              <w:rPr>
                <w:rFonts w:ascii="Calibri" w:eastAsia="Calibri" w:hAnsi="Calibri" w:cs="Calibri"/>
              </w:rPr>
              <w:t>; 2017 Concluding Observations (</w:t>
            </w:r>
            <w:hyperlink r:id="rId94">
              <w:r>
                <w:rPr>
                  <w:rFonts w:ascii="Calibri" w:eastAsia="Calibri" w:hAnsi="Calibri" w:cs="Calibri"/>
                  <w:color w:val="1155CC"/>
                  <w:u w:val="single"/>
                </w:rPr>
                <w:t>CERD/C/NZL/CO/21–22</w:t>
              </w:r>
            </w:hyperlink>
            <w:r>
              <w:rPr>
                <w:rFonts w:ascii="Calibri" w:eastAsia="Calibri" w:hAnsi="Calibri" w:cs="Calibri"/>
              </w:rPr>
              <w:t>)</w:t>
            </w:r>
          </w:p>
        </w:tc>
      </w:tr>
      <w:tr w:rsidR="001902DF" w14:paraId="2DF8D574" w14:textId="77777777">
        <w:trPr>
          <w:trHeight w:val="630"/>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208FC71"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Waitangi Tribunal Hostility &amp; Treaty Racism</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7DC948BF"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4,5,6 &amp; 7; General Recommendations</w:t>
            </w:r>
            <w:hyperlink r:id="rId95">
              <w:r>
                <w:rPr>
                  <w:rFonts w:ascii="Calibri" w:eastAsia="Calibri" w:hAnsi="Calibri" w:cs="Calibri"/>
                </w:rPr>
                <w:t xml:space="preserve"> </w:t>
              </w:r>
            </w:hyperlink>
            <w:hyperlink r:id="rId96">
              <w:r>
                <w:rPr>
                  <w:rFonts w:ascii="Calibri" w:eastAsia="Calibri" w:hAnsi="Calibri" w:cs="Calibri"/>
                  <w:color w:val="1155CC"/>
                  <w:u w:val="single"/>
                </w:rPr>
                <w:t>23</w:t>
              </w:r>
            </w:hyperlink>
            <w:r>
              <w:rPr>
                <w:rFonts w:ascii="Calibri" w:eastAsia="Calibri" w:hAnsi="Calibri" w:cs="Calibri"/>
              </w:rPr>
              <w:t xml:space="preserve">, </w:t>
            </w:r>
            <w:hyperlink r:id="rId97">
              <w:r>
                <w:rPr>
                  <w:rFonts w:ascii="Calibri" w:eastAsia="Calibri" w:hAnsi="Calibri" w:cs="Calibri"/>
                  <w:color w:val="1155CC"/>
                  <w:u w:val="single"/>
                </w:rPr>
                <w:t>31</w:t>
              </w:r>
            </w:hyperlink>
            <w:r>
              <w:rPr>
                <w:rFonts w:ascii="Calibri" w:eastAsia="Calibri" w:hAnsi="Calibri" w:cs="Calibri"/>
              </w:rPr>
              <w:t>,</w:t>
            </w:r>
            <w:hyperlink r:id="rId98">
              <w:r>
                <w:rPr>
                  <w:rFonts w:ascii="Calibri" w:eastAsia="Calibri" w:hAnsi="Calibri" w:cs="Calibri"/>
                  <w:color w:val="1155CC"/>
                  <w:u w:val="single"/>
                </w:rPr>
                <w:t>32</w:t>
              </w:r>
            </w:hyperlink>
            <w:r>
              <w:rPr>
                <w:rFonts w:ascii="Calibri" w:eastAsia="Calibri" w:hAnsi="Calibri" w:cs="Calibri"/>
              </w:rPr>
              <w:t>,</w:t>
            </w:r>
            <w:hyperlink r:id="rId99">
              <w:r>
                <w:rPr>
                  <w:rFonts w:ascii="Calibri" w:eastAsia="Calibri" w:hAnsi="Calibri" w:cs="Calibri"/>
                  <w:color w:val="1155CC"/>
                  <w:u w:val="single"/>
                </w:rPr>
                <w:t>35</w:t>
              </w:r>
            </w:hyperlink>
            <w:r>
              <w:rPr>
                <w:rFonts w:ascii="Calibri" w:eastAsia="Calibri" w:hAnsi="Calibri" w:cs="Calibri"/>
              </w:rPr>
              <w:t>,</w:t>
            </w:r>
            <w:hyperlink r:id="rId100">
              <w:r>
                <w:rPr>
                  <w:rFonts w:ascii="Calibri" w:eastAsia="Calibri" w:hAnsi="Calibri" w:cs="Calibri"/>
                  <w:color w:val="1155CC"/>
                  <w:u w:val="single"/>
                </w:rPr>
                <w:t>36</w:t>
              </w:r>
            </w:hyperlink>
            <w:r>
              <w:rPr>
                <w:rFonts w:ascii="Calibri" w:eastAsia="Calibri" w:hAnsi="Calibri" w:cs="Calibri"/>
              </w:rPr>
              <w:t>,</w:t>
            </w:r>
            <w:hyperlink r:id="rId101">
              <w:r>
                <w:rPr>
                  <w:rFonts w:ascii="Calibri" w:eastAsia="Calibri" w:hAnsi="Calibri" w:cs="Calibri"/>
                  <w:color w:val="1155CC"/>
                  <w:u w:val="single"/>
                </w:rPr>
                <w:t>37</w:t>
              </w:r>
            </w:hyperlink>
            <w:r>
              <w:rPr>
                <w:rFonts w:ascii="Calibri" w:eastAsia="Calibri" w:hAnsi="Calibri" w:cs="Calibri"/>
              </w:rPr>
              <w:t>; 2017 Concluding Observations (</w:t>
            </w:r>
            <w:hyperlink r:id="rId102">
              <w:r>
                <w:rPr>
                  <w:rFonts w:ascii="Calibri" w:eastAsia="Calibri" w:hAnsi="Calibri" w:cs="Calibri"/>
                  <w:color w:val="1155CC"/>
                  <w:u w:val="single"/>
                </w:rPr>
                <w:t>CERD/C/NZL/CO/21–22</w:t>
              </w:r>
            </w:hyperlink>
            <w:r>
              <w:rPr>
                <w:rFonts w:ascii="Calibri" w:eastAsia="Calibri" w:hAnsi="Calibri" w:cs="Calibri"/>
              </w:rPr>
              <w:t>)</w:t>
            </w:r>
          </w:p>
        </w:tc>
      </w:tr>
      <w:tr w:rsidR="001902DF" w14:paraId="270F4335"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3E21859A"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HEALTH &amp; DISABILITY</w:t>
            </w:r>
          </w:p>
        </w:tc>
      </w:tr>
      <w:tr w:rsidR="001902DF" w14:paraId="70C7F97D"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F920F10"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Disestablishment of Te Aka </w:t>
            </w:r>
            <w:proofErr w:type="spellStart"/>
            <w:r>
              <w:rPr>
                <w:rFonts w:ascii="Calibri" w:eastAsia="Calibri" w:hAnsi="Calibri" w:cs="Calibri"/>
              </w:rPr>
              <w:t>Whaiora</w:t>
            </w:r>
            <w:proofErr w:type="spellEnd"/>
            <w:r>
              <w:rPr>
                <w:rFonts w:ascii="Calibri" w:eastAsia="Calibri" w:hAnsi="Calibri" w:cs="Calibri"/>
              </w:rPr>
              <w:t xml:space="preserve"> Māori Health Authority</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7158A53D"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 5 (Right to Health); General Recommendation No.</w:t>
            </w:r>
            <w:hyperlink r:id="rId103">
              <w:r>
                <w:rPr>
                  <w:rFonts w:ascii="Calibri" w:eastAsia="Calibri" w:hAnsi="Calibri" w:cs="Calibri"/>
                </w:rPr>
                <w:t xml:space="preserve"> </w:t>
              </w:r>
            </w:hyperlink>
            <w:hyperlink r:id="rId104">
              <w:r>
                <w:rPr>
                  <w:rFonts w:ascii="Calibri" w:eastAsia="Calibri" w:hAnsi="Calibri" w:cs="Calibri"/>
                  <w:color w:val="1155CC"/>
                  <w:u w:val="single"/>
                </w:rPr>
                <w:t>37</w:t>
              </w:r>
            </w:hyperlink>
          </w:p>
        </w:tc>
      </w:tr>
      <w:tr w:rsidR="001902DF" w14:paraId="75D20CBF" w14:textId="77777777">
        <w:trPr>
          <w:trHeight w:val="67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42BB12A4"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Changes to Disability Funding</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DC6FC84"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6; General Recommendations Nos</w:t>
            </w:r>
            <w:hyperlink r:id="rId105">
              <w:r>
                <w:rPr>
                  <w:rFonts w:ascii="Calibri" w:eastAsia="Calibri" w:hAnsi="Calibri" w:cs="Calibri"/>
                </w:rPr>
                <w:t xml:space="preserve"> </w:t>
              </w:r>
            </w:hyperlink>
            <w:hyperlink r:id="rId106">
              <w:r>
                <w:rPr>
                  <w:rFonts w:ascii="Calibri" w:eastAsia="Calibri" w:hAnsi="Calibri" w:cs="Calibri"/>
                  <w:color w:val="1155CC"/>
                  <w:u w:val="single"/>
                </w:rPr>
                <w:t>23</w:t>
              </w:r>
            </w:hyperlink>
            <w:r>
              <w:rPr>
                <w:rFonts w:ascii="Calibri" w:eastAsia="Calibri" w:hAnsi="Calibri" w:cs="Calibri"/>
              </w:rPr>
              <w:t>,</w:t>
            </w:r>
            <w:hyperlink r:id="rId107">
              <w:r>
                <w:rPr>
                  <w:rFonts w:ascii="Calibri" w:eastAsia="Calibri" w:hAnsi="Calibri" w:cs="Calibri"/>
                </w:rPr>
                <w:t xml:space="preserve"> </w:t>
              </w:r>
            </w:hyperlink>
            <w:hyperlink r:id="rId108">
              <w:r>
                <w:rPr>
                  <w:rFonts w:ascii="Calibri" w:eastAsia="Calibri" w:hAnsi="Calibri" w:cs="Calibri"/>
                  <w:color w:val="1155CC"/>
                  <w:u w:val="single"/>
                </w:rPr>
                <w:t>32</w:t>
              </w:r>
            </w:hyperlink>
            <w:r>
              <w:rPr>
                <w:rFonts w:ascii="Calibri" w:eastAsia="Calibri" w:hAnsi="Calibri" w:cs="Calibri"/>
              </w:rPr>
              <w:t>,</w:t>
            </w:r>
            <w:hyperlink r:id="rId109">
              <w:r>
                <w:rPr>
                  <w:rFonts w:ascii="Calibri" w:eastAsia="Calibri" w:hAnsi="Calibri" w:cs="Calibri"/>
                </w:rPr>
                <w:t xml:space="preserve"> </w:t>
              </w:r>
            </w:hyperlink>
            <w:hyperlink r:id="rId110">
              <w:r>
                <w:rPr>
                  <w:rFonts w:ascii="Calibri" w:eastAsia="Calibri" w:hAnsi="Calibri" w:cs="Calibri"/>
                  <w:color w:val="1155CC"/>
                  <w:u w:val="single"/>
                </w:rPr>
                <w:t>37</w:t>
              </w:r>
            </w:hyperlink>
            <w:r>
              <w:rPr>
                <w:rFonts w:ascii="Calibri" w:eastAsia="Calibri" w:hAnsi="Calibri" w:cs="Calibri"/>
              </w:rPr>
              <w:t>; 2017 Concluding Observations (</w:t>
            </w:r>
            <w:hyperlink r:id="rId111">
              <w:r>
                <w:rPr>
                  <w:rFonts w:ascii="Calibri" w:eastAsia="Calibri" w:hAnsi="Calibri" w:cs="Calibri"/>
                  <w:color w:val="1155CC"/>
                  <w:u w:val="single"/>
                </w:rPr>
                <w:t>CERD/C/NZL/CO/21–22</w:t>
              </w:r>
            </w:hyperlink>
            <w:r>
              <w:rPr>
                <w:rFonts w:ascii="Calibri" w:eastAsia="Calibri" w:hAnsi="Calibri" w:cs="Calibri"/>
              </w:rPr>
              <w:t>)</w:t>
            </w:r>
          </w:p>
        </w:tc>
      </w:tr>
      <w:tr w:rsidR="001902DF" w14:paraId="6AEC6F03"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63FEF74"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Minimum Wage Exemption Scheme</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DD1F68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6; General Recommendations</w:t>
            </w:r>
            <w:hyperlink r:id="rId112">
              <w:r>
                <w:rPr>
                  <w:rFonts w:ascii="Calibri" w:eastAsia="Calibri" w:hAnsi="Calibri" w:cs="Calibri"/>
                </w:rPr>
                <w:t xml:space="preserve"> </w:t>
              </w:r>
            </w:hyperlink>
            <w:hyperlink r:id="rId113">
              <w:r>
                <w:rPr>
                  <w:rFonts w:ascii="Calibri" w:eastAsia="Calibri" w:hAnsi="Calibri" w:cs="Calibri"/>
                  <w:color w:val="1155CC"/>
                  <w:u w:val="single"/>
                </w:rPr>
                <w:t>23</w:t>
              </w:r>
            </w:hyperlink>
            <w:r>
              <w:rPr>
                <w:rFonts w:ascii="Calibri" w:eastAsia="Calibri" w:hAnsi="Calibri" w:cs="Calibri"/>
              </w:rPr>
              <w:t>,</w:t>
            </w:r>
            <w:hyperlink r:id="rId114">
              <w:r>
                <w:rPr>
                  <w:rFonts w:ascii="Calibri" w:eastAsia="Calibri" w:hAnsi="Calibri" w:cs="Calibri"/>
                </w:rPr>
                <w:t xml:space="preserve"> </w:t>
              </w:r>
            </w:hyperlink>
            <w:hyperlink r:id="rId115">
              <w:r>
                <w:rPr>
                  <w:rFonts w:ascii="Calibri" w:eastAsia="Calibri" w:hAnsi="Calibri" w:cs="Calibri"/>
                  <w:color w:val="1155CC"/>
                  <w:u w:val="single"/>
                </w:rPr>
                <w:t>32</w:t>
              </w:r>
            </w:hyperlink>
            <w:r>
              <w:rPr>
                <w:rFonts w:ascii="Calibri" w:eastAsia="Calibri" w:hAnsi="Calibri" w:cs="Calibri"/>
              </w:rPr>
              <w:t xml:space="preserve"> &amp;</w:t>
            </w:r>
            <w:hyperlink r:id="rId116">
              <w:r>
                <w:rPr>
                  <w:rFonts w:ascii="Calibri" w:eastAsia="Calibri" w:hAnsi="Calibri" w:cs="Calibri"/>
                </w:rPr>
                <w:t xml:space="preserve"> </w:t>
              </w:r>
            </w:hyperlink>
            <w:hyperlink r:id="rId117">
              <w:r>
                <w:rPr>
                  <w:rFonts w:ascii="Calibri" w:eastAsia="Calibri" w:hAnsi="Calibri" w:cs="Calibri"/>
                  <w:color w:val="1155CC"/>
                  <w:u w:val="single"/>
                </w:rPr>
                <w:t>37</w:t>
              </w:r>
            </w:hyperlink>
            <w:r>
              <w:rPr>
                <w:rFonts w:ascii="Calibri" w:eastAsia="Calibri" w:hAnsi="Calibri" w:cs="Calibri"/>
              </w:rPr>
              <w:t>, Concluding Observations (</w:t>
            </w:r>
            <w:hyperlink r:id="rId118">
              <w:r>
                <w:rPr>
                  <w:rFonts w:ascii="Calibri" w:eastAsia="Calibri" w:hAnsi="Calibri" w:cs="Calibri"/>
                  <w:color w:val="1155CC"/>
                  <w:u w:val="single"/>
                </w:rPr>
                <w:t>CERD/C/NZL/CO/21–22</w:t>
              </w:r>
            </w:hyperlink>
            <w:r>
              <w:rPr>
                <w:rFonts w:ascii="Calibri" w:eastAsia="Calibri" w:hAnsi="Calibri" w:cs="Calibri"/>
              </w:rPr>
              <w:t>)</w:t>
            </w:r>
          </w:p>
        </w:tc>
      </w:tr>
      <w:tr w:rsidR="001902DF" w14:paraId="0FF58AF0" w14:textId="77777777">
        <w:trPr>
          <w:trHeight w:val="794"/>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B6BC698"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Residential Tenancies Amendment Act 2024</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40AE7C7A"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6; General recommendations</w:t>
            </w:r>
            <w:hyperlink r:id="rId119">
              <w:r>
                <w:rPr>
                  <w:rFonts w:ascii="Calibri" w:eastAsia="Calibri" w:hAnsi="Calibri" w:cs="Calibri"/>
                </w:rPr>
                <w:t xml:space="preserve"> </w:t>
              </w:r>
            </w:hyperlink>
            <w:hyperlink r:id="rId120">
              <w:r>
                <w:rPr>
                  <w:rFonts w:ascii="Calibri" w:eastAsia="Calibri" w:hAnsi="Calibri" w:cs="Calibri"/>
                  <w:color w:val="1155CC"/>
                  <w:u w:val="single"/>
                </w:rPr>
                <w:t>23</w:t>
              </w:r>
            </w:hyperlink>
            <w:r>
              <w:rPr>
                <w:rFonts w:ascii="Calibri" w:eastAsia="Calibri" w:hAnsi="Calibri" w:cs="Calibri"/>
              </w:rPr>
              <w:t>,</w:t>
            </w:r>
            <w:hyperlink r:id="rId121">
              <w:r>
                <w:rPr>
                  <w:rFonts w:ascii="Calibri" w:eastAsia="Calibri" w:hAnsi="Calibri" w:cs="Calibri"/>
                </w:rPr>
                <w:t xml:space="preserve"> </w:t>
              </w:r>
            </w:hyperlink>
            <w:hyperlink r:id="rId122">
              <w:r>
                <w:rPr>
                  <w:rFonts w:ascii="Calibri" w:eastAsia="Calibri" w:hAnsi="Calibri" w:cs="Calibri"/>
                  <w:color w:val="1155CC"/>
                  <w:u w:val="single"/>
                </w:rPr>
                <w:t>37</w:t>
              </w:r>
            </w:hyperlink>
            <w:r>
              <w:rPr>
                <w:rFonts w:ascii="Calibri" w:eastAsia="Calibri" w:hAnsi="Calibri" w:cs="Calibri"/>
              </w:rPr>
              <w:t>; Concluding Observations (</w:t>
            </w:r>
            <w:hyperlink r:id="rId123">
              <w:r>
                <w:rPr>
                  <w:rFonts w:ascii="Calibri" w:eastAsia="Calibri" w:hAnsi="Calibri" w:cs="Calibri"/>
                  <w:color w:val="1155CC"/>
                  <w:u w:val="single"/>
                </w:rPr>
                <w:t>CERD/C/NZL/CO/21–22</w:t>
              </w:r>
            </w:hyperlink>
            <w:r>
              <w:rPr>
                <w:rFonts w:ascii="Calibri" w:eastAsia="Calibri" w:hAnsi="Calibri" w:cs="Calibri"/>
              </w:rPr>
              <w:t>)</w:t>
            </w:r>
          </w:p>
          <w:p w14:paraId="00EA2433" w14:textId="77777777" w:rsidR="001902DF" w:rsidRDefault="001902DF">
            <w:pPr>
              <w:spacing w:before="0" w:after="0" w:line="276" w:lineRule="auto"/>
              <w:jc w:val="left"/>
              <w:rPr>
                <w:rFonts w:ascii="Calibri" w:eastAsia="Calibri" w:hAnsi="Calibri" w:cs="Calibri"/>
              </w:rPr>
            </w:pPr>
          </w:p>
          <w:p w14:paraId="317B5DC5" w14:textId="77777777" w:rsidR="001902DF" w:rsidRDefault="001902DF">
            <w:pPr>
              <w:spacing w:before="0" w:after="0" w:line="276" w:lineRule="auto"/>
              <w:jc w:val="left"/>
              <w:rPr>
                <w:rFonts w:ascii="Calibri" w:eastAsia="Calibri" w:hAnsi="Calibri" w:cs="Calibri"/>
              </w:rPr>
            </w:pPr>
          </w:p>
          <w:p w14:paraId="64C90C9B" w14:textId="77777777" w:rsidR="001902DF" w:rsidRDefault="001902DF">
            <w:pPr>
              <w:spacing w:before="0" w:after="0" w:line="276" w:lineRule="auto"/>
              <w:jc w:val="left"/>
              <w:rPr>
                <w:rFonts w:ascii="Calibri" w:eastAsia="Calibri" w:hAnsi="Calibri" w:cs="Calibri"/>
              </w:rPr>
            </w:pPr>
          </w:p>
        </w:tc>
      </w:tr>
      <w:tr w:rsidR="001902DF" w14:paraId="7B05F88E"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59DFD547"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lastRenderedPageBreak/>
              <w:t>CHILDREN AND FAMILY</w:t>
            </w:r>
          </w:p>
        </w:tc>
      </w:tr>
      <w:tr w:rsidR="001902DF" w14:paraId="5FE38AEB" w14:textId="77777777">
        <w:trPr>
          <w:trHeight w:val="600"/>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F1D51C7" w14:textId="77777777" w:rsidR="001902DF" w:rsidRDefault="00000000">
            <w:pPr>
              <w:spacing w:before="0" w:after="0" w:line="276" w:lineRule="auto"/>
              <w:jc w:val="left"/>
              <w:rPr>
                <w:rFonts w:ascii="Calibri" w:eastAsia="Calibri" w:hAnsi="Calibri" w:cs="Calibri"/>
              </w:rPr>
            </w:pPr>
            <w:proofErr w:type="spellStart"/>
            <w:r>
              <w:rPr>
                <w:rFonts w:ascii="Calibri" w:eastAsia="Calibri" w:hAnsi="Calibri" w:cs="Calibri"/>
              </w:rPr>
              <w:t>Oranga</w:t>
            </w:r>
            <w:proofErr w:type="spellEnd"/>
            <w:r>
              <w:rPr>
                <w:rFonts w:ascii="Calibri" w:eastAsia="Calibri" w:hAnsi="Calibri" w:cs="Calibri"/>
              </w:rPr>
              <w:t xml:space="preserve"> Tamariki (Responding to Serious Youth Offending) Amendment Bill</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2D7123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 6; 2017 Concluding Observations (</w:t>
            </w:r>
            <w:hyperlink r:id="rId124">
              <w:r>
                <w:rPr>
                  <w:rFonts w:ascii="Calibri" w:eastAsia="Calibri" w:hAnsi="Calibri" w:cs="Calibri"/>
                  <w:color w:val="1155CC"/>
                  <w:u w:val="single"/>
                </w:rPr>
                <w:t>CERD/C/NZL/CO/21–22</w:t>
              </w:r>
            </w:hyperlink>
            <w:r>
              <w:rPr>
                <w:rFonts w:ascii="Calibri" w:eastAsia="Calibri" w:hAnsi="Calibri" w:cs="Calibri"/>
              </w:rPr>
              <w:t>)</w:t>
            </w:r>
          </w:p>
        </w:tc>
      </w:tr>
      <w:tr w:rsidR="001902DF" w14:paraId="107F1B83"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375554A1" w14:textId="77777777" w:rsidR="001902DF" w:rsidRDefault="00000000">
            <w:pPr>
              <w:spacing w:before="0" w:after="0" w:line="276" w:lineRule="auto"/>
              <w:jc w:val="left"/>
              <w:rPr>
                <w:rFonts w:ascii="Calibri" w:eastAsia="Calibri" w:hAnsi="Calibri" w:cs="Calibri"/>
              </w:rPr>
            </w:pPr>
            <w:proofErr w:type="spellStart"/>
            <w:r>
              <w:rPr>
                <w:rFonts w:ascii="Calibri" w:eastAsia="Calibri" w:hAnsi="Calibri" w:cs="Calibri"/>
              </w:rPr>
              <w:t>Oranga</w:t>
            </w:r>
            <w:proofErr w:type="spellEnd"/>
            <w:r>
              <w:rPr>
                <w:rFonts w:ascii="Calibri" w:eastAsia="Calibri" w:hAnsi="Calibri" w:cs="Calibri"/>
              </w:rPr>
              <w:t xml:space="preserve"> Tamariki (Repeal of Section 7AA) Amendment Bill</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F9C769C"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6. General Recommendations</w:t>
            </w:r>
            <w:hyperlink r:id="rId125">
              <w:r>
                <w:rPr>
                  <w:rFonts w:ascii="Calibri" w:eastAsia="Calibri" w:hAnsi="Calibri" w:cs="Calibri"/>
                </w:rPr>
                <w:t xml:space="preserve"> </w:t>
              </w:r>
            </w:hyperlink>
            <w:hyperlink r:id="rId126">
              <w:r>
                <w:rPr>
                  <w:rFonts w:ascii="Calibri" w:eastAsia="Calibri" w:hAnsi="Calibri" w:cs="Calibri"/>
                  <w:color w:val="1155CC"/>
                  <w:u w:val="single"/>
                </w:rPr>
                <w:t>23</w:t>
              </w:r>
            </w:hyperlink>
            <w:r>
              <w:rPr>
                <w:rFonts w:ascii="Calibri" w:eastAsia="Calibri" w:hAnsi="Calibri" w:cs="Calibri"/>
              </w:rPr>
              <w:t>,</w:t>
            </w:r>
            <w:hyperlink r:id="rId127">
              <w:r>
                <w:rPr>
                  <w:rFonts w:ascii="Calibri" w:eastAsia="Calibri" w:hAnsi="Calibri" w:cs="Calibri"/>
                  <w:color w:val="1155CC"/>
                  <w:u w:val="single"/>
                </w:rPr>
                <w:t>32</w:t>
              </w:r>
            </w:hyperlink>
            <w:r>
              <w:rPr>
                <w:rFonts w:ascii="Calibri" w:eastAsia="Calibri" w:hAnsi="Calibri" w:cs="Calibri"/>
              </w:rPr>
              <w:t>,</w:t>
            </w:r>
            <w:hyperlink r:id="rId128">
              <w:r>
                <w:rPr>
                  <w:rFonts w:ascii="Calibri" w:eastAsia="Calibri" w:hAnsi="Calibri" w:cs="Calibri"/>
                  <w:color w:val="1155CC"/>
                  <w:u w:val="single"/>
                </w:rPr>
                <w:t>31</w:t>
              </w:r>
            </w:hyperlink>
            <w:r>
              <w:rPr>
                <w:rFonts w:ascii="Calibri" w:eastAsia="Calibri" w:hAnsi="Calibri" w:cs="Calibri"/>
              </w:rPr>
              <w:t>,</w:t>
            </w:r>
            <w:hyperlink r:id="rId129">
              <w:r>
                <w:rPr>
                  <w:rFonts w:ascii="Calibri" w:eastAsia="Calibri" w:hAnsi="Calibri" w:cs="Calibri"/>
                  <w:color w:val="1155CC"/>
                  <w:u w:val="single"/>
                </w:rPr>
                <w:t>35</w:t>
              </w:r>
            </w:hyperlink>
            <w:r>
              <w:rPr>
                <w:rFonts w:ascii="Calibri" w:eastAsia="Calibri" w:hAnsi="Calibri" w:cs="Calibri"/>
              </w:rPr>
              <w:t>,</w:t>
            </w:r>
            <w:hyperlink r:id="rId130">
              <w:r>
                <w:rPr>
                  <w:rFonts w:ascii="Calibri" w:eastAsia="Calibri" w:hAnsi="Calibri" w:cs="Calibri"/>
                </w:rPr>
                <w:t xml:space="preserve"> </w:t>
              </w:r>
            </w:hyperlink>
            <w:hyperlink r:id="rId131">
              <w:r>
                <w:rPr>
                  <w:rFonts w:ascii="Calibri" w:eastAsia="Calibri" w:hAnsi="Calibri" w:cs="Calibri"/>
                  <w:color w:val="1155CC"/>
                  <w:u w:val="single"/>
                </w:rPr>
                <w:t>37</w:t>
              </w:r>
            </w:hyperlink>
            <w:r>
              <w:rPr>
                <w:rFonts w:ascii="Calibri" w:eastAsia="Calibri" w:hAnsi="Calibri" w:cs="Calibri"/>
              </w:rPr>
              <w:t>, (</w:t>
            </w:r>
            <w:hyperlink r:id="rId132">
              <w:r>
                <w:rPr>
                  <w:rFonts w:ascii="Calibri" w:eastAsia="Calibri" w:hAnsi="Calibri" w:cs="Calibri"/>
                  <w:color w:val="1155CC"/>
                  <w:u w:val="single"/>
                </w:rPr>
                <w:t>CERD/C/NZL/CO/21–22</w:t>
              </w:r>
            </w:hyperlink>
            <w:r>
              <w:rPr>
                <w:rFonts w:ascii="Calibri" w:eastAsia="Calibri" w:hAnsi="Calibri" w:cs="Calibri"/>
              </w:rPr>
              <w:t>)</w:t>
            </w:r>
          </w:p>
        </w:tc>
      </w:tr>
      <w:tr w:rsidR="001902DF" w14:paraId="4FB49658"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774F2616"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Defunding &amp; </w:t>
            </w:r>
            <w:proofErr w:type="spellStart"/>
            <w:r>
              <w:rPr>
                <w:rFonts w:ascii="Calibri" w:eastAsia="Calibri" w:hAnsi="Calibri" w:cs="Calibri"/>
              </w:rPr>
              <w:t>Centralisation</w:t>
            </w:r>
            <w:proofErr w:type="spellEnd"/>
            <w:r>
              <w:rPr>
                <w:rFonts w:ascii="Calibri" w:eastAsia="Calibri" w:hAnsi="Calibri" w:cs="Calibri"/>
              </w:rPr>
              <w:t xml:space="preserve"> of Ka Ora Ka Ako</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32750E5B"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 5 (Right to Health); General Recommendation No.</w:t>
            </w:r>
            <w:hyperlink r:id="rId133">
              <w:r>
                <w:rPr>
                  <w:rFonts w:ascii="Calibri" w:eastAsia="Calibri" w:hAnsi="Calibri" w:cs="Calibri"/>
                </w:rPr>
                <w:t xml:space="preserve"> </w:t>
              </w:r>
            </w:hyperlink>
            <w:hyperlink r:id="rId134">
              <w:r>
                <w:rPr>
                  <w:rFonts w:ascii="Calibri" w:eastAsia="Calibri" w:hAnsi="Calibri" w:cs="Calibri"/>
                  <w:color w:val="1155CC"/>
                  <w:u w:val="single"/>
                </w:rPr>
                <w:t>37</w:t>
              </w:r>
            </w:hyperlink>
          </w:p>
        </w:tc>
      </w:tr>
      <w:tr w:rsidR="001902DF" w14:paraId="2350B86F"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5DF88D47"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RACIALISED DEMOCRATIC CORROSION</w:t>
            </w:r>
          </w:p>
        </w:tc>
      </w:tr>
      <w:tr w:rsidR="001902DF" w14:paraId="041CE1A2" w14:textId="77777777">
        <w:trPr>
          <w:trHeight w:val="300"/>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AC0336B"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Māori Ward Rollback</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A817971"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5(c); General Recommendation No.</w:t>
            </w:r>
            <w:hyperlink r:id="rId135">
              <w:r>
                <w:rPr>
                  <w:rFonts w:ascii="Calibri" w:eastAsia="Calibri" w:hAnsi="Calibri" w:cs="Calibri"/>
                </w:rPr>
                <w:t xml:space="preserve"> </w:t>
              </w:r>
            </w:hyperlink>
            <w:hyperlink r:id="rId136">
              <w:r>
                <w:rPr>
                  <w:rFonts w:ascii="Calibri" w:eastAsia="Calibri" w:hAnsi="Calibri" w:cs="Calibri"/>
                  <w:color w:val="1155CC"/>
                  <w:u w:val="single"/>
                </w:rPr>
                <w:t>32</w:t>
              </w:r>
            </w:hyperlink>
          </w:p>
        </w:tc>
      </w:tr>
      <w:tr w:rsidR="001902DF" w14:paraId="373481C6"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308C7CF"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Reinstatement of Prisoner Voting Ban</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2E646BC"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General Recommendations</w:t>
            </w:r>
            <w:hyperlink r:id="rId137">
              <w:r>
                <w:rPr>
                  <w:rFonts w:ascii="Calibri" w:eastAsia="Calibri" w:hAnsi="Calibri" w:cs="Calibri"/>
                </w:rPr>
                <w:t xml:space="preserve"> </w:t>
              </w:r>
            </w:hyperlink>
            <w:hyperlink r:id="rId138">
              <w:r>
                <w:rPr>
                  <w:rFonts w:ascii="Calibri" w:eastAsia="Calibri" w:hAnsi="Calibri" w:cs="Calibri"/>
                  <w:color w:val="1155CC"/>
                  <w:u w:val="single"/>
                </w:rPr>
                <w:t>23</w:t>
              </w:r>
            </w:hyperlink>
            <w:r>
              <w:rPr>
                <w:rFonts w:ascii="Calibri" w:eastAsia="Calibri" w:hAnsi="Calibri" w:cs="Calibri"/>
              </w:rPr>
              <w:t>,</w:t>
            </w:r>
            <w:hyperlink r:id="rId139">
              <w:r>
                <w:rPr>
                  <w:rFonts w:ascii="Calibri" w:eastAsia="Calibri" w:hAnsi="Calibri" w:cs="Calibri"/>
                </w:rPr>
                <w:t xml:space="preserve"> </w:t>
              </w:r>
            </w:hyperlink>
            <w:hyperlink r:id="rId140">
              <w:r>
                <w:rPr>
                  <w:rFonts w:ascii="Calibri" w:eastAsia="Calibri" w:hAnsi="Calibri" w:cs="Calibri"/>
                  <w:color w:val="1155CC"/>
                  <w:u w:val="single"/>
                </w:rPr>
                <w:t>30</w:t>
              </w:r>
            </w:hyperlink>
            <w:r>
              <w:rPr>
                <w:rFonts w:ascii="Calibri" w:eastAsia="Calibri" w:hAnsi="Calibri" w:cs="Calibri"/>
              </w:rPr>
              <w:t>; 2017 Concluding Observations (</w:t>
            </w:r>
            <w:hyperlink r:id="rId141">
              <w:r>
                <w:rPr>
                  <w:rFonts w:ascii="Calibri" w:eastAsia="Calibri" w:hAnsi="Calibri" w:cs="Calibri"/>
                  <w:color w:val="1155CC"/>
                  <w:u w:val="single"/>
                </w:rPr>
                <w:t>CERD/C/NZL/CO/21–22</w:t>
              </w:r>
            </w:hyperlink>
            <w:r>
              <w:rPr>
                <w:rFonts w:ascii="Calibri" w:eastAsia="Calibri" w:hAnsi="Calibri" w:cs="Calibri"/>
              </w:rPr>
              <w:t>)</w:t>
            </w:r>
          </w:p>
        </w:tc>
      </w:tr>
      <w:tr w:rsidR="001902DF" w14:paraId="611D314C"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74635CD9"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Electoral Amendment Bill</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2EDDB75" w14:textId="77777777" w:rsidR="001902DF" w:rsidRDefault="00000000">
            <w:pPr>
              <w:spacing w:before="0" w:after="0" w:line="276" w:lineRule="auto"/>
              <w:jc w:val="left"/>
              <w:rPr>
                <w:rFonts w:ascii="Calibri" w:eastAsia="Calibri" w:hAnsi="Calibri" w:cs="Calibri"/>
                <w:color w:val="1155CC"/>
                <w:u w:val="single"/>
              </w:rPr>
            </w:pPr>
            <w:r>
              <w:rPr>
                <w:rFonts w:ascii="Calibri" w:eastAsia="Calibri" w:hAnsi="Calibri" w:cs="Calibri"/>
              </w:rPr>
              <w:t>CERD Articles 2, 5, 6; General Recommendations</w:t>
            </w:r>
            <w:hyperlink r:id="rId142">
              <w:r>
                <w:rPr>
                  <w:rFonts w:ascii="Calibri" w:eastAsia="Calibri" w:hAnsi="Calibri" w:cs="Calibri"/>
                </w:rPr>
                <w:t xml:space="preserve"> </w:t>
              </w:r>
            </w:hyperlink>
            <w:hyperlink r:id="rId143">
              <w:r>
                <w:rPr>
                  <w:rFonts w:ascii="Calibri" w:eastAsia="Calibri" w:hAnsi="Calibri" w:cs="Calibri"/>
                  <w:color w:val="1155CC"/>
                  <w:u w:val="single"/>
                </w:rPr>
                <w:t>23</w:t>
              </w:r>
            </w:hyperlink>
          </w:p>
          <w:p w14:paraId="1A08DD44"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w:t>
            </w:r>
            <w:hyperlink r:id="rId144">
              <w:r>
                <w:rPr>
                  <w:rFonts w:ascii="Calibri" w:eastAsia="Calibri" w:hAnsi="Calibri" w:cs="Calibri"/>
                </w:rPr>
                <w:t xml:space="preserve"> </w:t>
              </w:r>
            </w:hyperlink>
            <w:hyperlink r:id="rId145">
              <w:r>
                <w:rPr>
                  <w:rFonts w:ascii="Calibri" w:eastAsia="Calibri" w:hAnsi="Calibri" w:cs="Calibri"/>
                  <w:color w:val="1155CC"/>
                  <w:u w:val="single"/>
                </w:rPr>
                <w:t>30</w:t>
              </w:r>
            </w:hyperlink>
            <w:r>
              <w:rPr>
                <w:rFonts w:ascii="Calibri" w:eastAsia="Calibri" w:hAnsi="Calibri" w:cs="Calibri"/>
              </w:rPr>
              <w:t>; 2017 Concluding Observations (</w:t>
            </w:r>
            <w:hyperlink r:id="rId146">
              <w:r>
                <w:rPr>
                  <w:rFonts w:ascii="Calibri" w:eastAsia="Calibri" w:hAnsi="Calibri" w:cs="Calibri"/>
                  <w:color w:val="1155CC"/>
                  <w:u w:val="single"/>
                </w:rPr>
                <w:t>CERD/C/NZL/CO/21–22</w:t>
              </w:r>
            </w:hyperlink>
            <w:r>
              <w:rPr>
                <w:rFonts w:ascii="Calibri" w:eastAsia="Calibri" w:hAnsi="Calibri" w:cs="Calibri"/>
              </w:rPr>
              <w:t>)</w:t>
            </w:r>
          </w:p>
        </w:tc>
      </w:tr>
      <w:tr w:rsidR="001902DF" w14:paraId="6C8ABBFA"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37F92845"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INTERNATIONAL OBLIGATIONS &amp; FOREIGN POLICY</w:t>
            </w:r>
          </w:p>
        </w:tc>
      </w:tr>
      <w:tr w:rsidR="001902DF" w14:paraId="23CBD051" w14:textId="77777777">
        <w:trPr>
          <w:trHeight w:val="600"/>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15A48A7"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Palestine</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FA1F8A0"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CERD Articles 2, 3, 4, &amp; 7; General recommendations </w:t>
            </w:r>
            <w:hyperlink r:id="rId147">
              <w:r>
                <w:rPr>
                  <w:rFonts w:ascii="Calibri" w:eastAsia="Calibri" w:hAnsi="Calibri" w:cs="Calibri"/>
                  <w:color w:val="1155CC"/>
                  <w:u w:val="single"/>
                </w:rPr>
                <w:t>19</w:t>
              </w:r>
            </w:hyperlink>
            <w:r>
              <w:rPr>
                <w:rFonts w:ascii="Calibri" w:eastAsia="Calibri" w:hAnsi="Calibri" w:cs="Calibri"/>
              </w:rPr>
              <w:t>,</w:t>
            </w:r>
            <w:hyperlink r:id="rId148">
              <w:r>
                <w:rPr>
                  <w:rFonts w:ascii="Calibri" w:eastAsia="Calibri" w:hAnsi="Calibri" w:cs="Calibri"/>
                </w:rPr>
                <w:t xml:space="preserve"> </w:t>
              </w:r>
            </w:hyperlink>
            <w:hyperlink r:id="rId149">
              <w:r>
                <w:rPr>
                  <w:rFonts w:ascii="Calibri" w:eastAsia="Calibri" w:hAnsi="Calibri" w:cs="Calibri"/>
                  <w:color w:val="1155CC"/>
                  <w:u w:val="single"/>
                </w:rPr>
                <w:t>35</w:t>
              </w:r>
            </w:hyperlink>
            <w:r>
              <w:rPr>
                <w:rFonts w:ascii="Calibri" w:eastAsia="Calibri" w:hAnsi="Calibri" w:cs="Calibri"/>
              </w:rPr>
              <w:t>,</w:t>
            </w:r>
            <w:hyperlink r:id="rId150">
              <w:r>
                <w:rPr>
                  <w:rFonts w:ascii="Calibri" w:eastAsia="Calibri" w:hAnsi="Calibri" w:cs="Calibri"/>
                </w:rPr>
                <w:t xml:space="preserve"> </w:t>
              </w:r>
            </w:hyperlink>
            <w:hyperlink r:id="rId151">
              <w:r>
                <w:rPr>
                  <w:rFonts w:ascii="Calibri" w:eastAsia="Calibri" w:hAnsi="Calibri" w:cs="Calibri"/>
                  <w:color w:val="1155CC"/>
                  <w:u w:val="single"/>
                </w:rPr>
                <w:t>36</w:t>
              </w:r>
            </w:hyperlink>
            <w:r>
              <w:rPr>
                <w:rFonts w:ascii="Calibri" w:eastAsia="Calibri" w:hAnsi="Calibri" w:cs="Calibri"/>
              </w:rPr>
              <w:t>,</w:t>
            </w:r>
            <w:hyperlink r:id="rId152">
              <w:r>
                <w:rPr>
                  <w:rFonts w:ascii="Calibri" w:eastAsia="Calibri" w:hAnsi="Calibri" w:cs="Calibri"/>
                </w:rPr>
                <w:t xml:space="preserve"> </w:t>
              </w:r>
            </w:hyperlink>
            <w:hyperlink r:id="rId153">
              <w:r>
                <w:rPr>
                  <w:rFonts w:ascii="Calibri" w:eastAsia="Calibri" w:hAnsi="Calibri" w:cs="Calibri"/>
                  <w:color w:val="1155CC"/>
                  <w:u w:val="single"/>
                </w:rPr>
                <w:t>37</w:t>
              </w:r>
            </w:hyperlink>
            <w:r>
              <w:rPr>
                <w:rFonts w:ascii="Calibri" w:eastAsia="Calibri" w:hAnsi="Calibri" w:cs="Calibri"/>
              </w:rPr>
              <w:t xml:space="preserve">; </w:t>
            </w:r>
            <w:hyperlink r:id="rId154">
              <w:r>
                <w:rPr>
                  <w:rFonts w:ascii="Calibri" w:eastAsia="Calibri" w:hAnsi="Calibri" w:cs="Calibri"/>
                  <w:color w:val="1155CC"/>
                  <w:u w:val="single"/>
                </w:rPr>
                <w:t>CERD EWU_10086</w:t>
              </w:r>
            </w:hyperlink>
            <w:r>
              <w:rPr>
                <w:rFonts w:ascii="Calibri" w:eastAsia="Calibri" w:hAnsi="Calibri" w:cs="Calibri"/>
              </w:rPr>
              <w:t xml:space="preserve">; </w:t>
            </w:r>
            <w:hyperlink r:id="rId155">
              <w:r>
                <w:rPr>
                  <w:rFonts w:ascii="Calibri" w:eastAsia="Calibri" w:hAnsi="Calibri" w:cs="Calibri"/>
                  <w:color w:val="1155CC"/>
                  <w:u w:val="single"/>
                </w:rPr>
                <w:t>ICJ Advisory Opinion 2024</w:t>
              </w:r>
            </w:hyperlink>
          </w:p>
        </w:tc>
      </w:tr>
      <w:tr w:rsidR="001902DF" w14:paraId="2917349B" w14:textId="77777777">
        <w:trPr>
          <w:trHeight w:val="630"/>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D03841F"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UN Declaration for the Rights of Indigenous Peoples</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AF08B27"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CERD Articles 2, 5, &amp;6, General recommendations </w:t>
            </w:r>
            <w:hyperlink r:id="rId156">
              <w:r>
                <w:rPr>
                  <w:rFonts w:ascii="Calibri" w:eastAsia="Calibri" w:hAnsi="Calibri" w:cs="Calibri"/>
                  <w:color w:val="1155CC"/>
                  <w:u w:val="single"/>
                </w:rPr>
                <w:t>23</w:t>
              </w:r>
            </w:hyperlink>
            <w:r>
              <w:rPr>
                <w:rFonts w:ascii="Calibri" w:eastAsia="Calibri" w:hAnsi="Calibri" w:cs="Calibri"/>
              </w:rPr>
              <w:t xml:space="preserve">, </w:t>
            </w:r>
            <w:hyperlink r:id="rId157">
              <w:r>
                <w:rPr>
                  <w:rFonts w:ascii="Calibri" w:eastAsia="Calibri" w:hAnsi="Calibri" w:cs="Calibri"/>
                  <w:color w:val="1155CC"/>
                  <w:u w:val="single"/>
                </w:rPr>
                <w:t>32</w:t>
              </w:r>
            </w:hyperlink>
            <w:r>
              <w:rPr>
                <w:rFonts w:ascii="Calibri" w:eastAsia="Calibri" w:hAnsi="Calibri" w:cs="Calibri"/>
              </w:rPr>
              <w:t>;</w:t>
            </w:r>
            <w:hyperlink r:id="rId158">
              <w:r>
                <w:rPr>
                  <w:rFonts w:ascii="Calibri" w:eastAsia="Calibri" w:hAnsi="Calibri" w:cs="Calibri"/>
                </w:rPr>
                <w:t xml:space="preserve"> </w:t>
              </w:r>
            </w:hyperlink>
            <w:hyperlink r:id="rId159">
              <w:r>
                <w:rPr>
                  <w:rFonts w:ascii="Calibri" w:eastAsia="Calibri" w:hAnsi="Calibri" w:cs="Calibri"/>
                  <w:color w:val="1155CC"/>
                  <w:u w:val="single"/>
                </w:rPr>
                <w:t>35</w:t>
              </w:r>
            </w:hyperlink>
            <w:r>
              <w:rPr>
                <w:rFonts w:ascii="Calibri" w:eastAsia="Calibri" w:hAnsi="Calibri" w:cs="Calibri"/>
              </w:rPr>
              <w:t>;</w:t>
            </w:r>
            <w:hyperlink r:id="rId160">
              <w:r>
                <w:rPr>
                  <w:rFonts w:ascii="Calibri" w:eastAsia="Calibri" w:hAnsi="Calibri" w:cs="Calibri"/>
                </w:rPr>
                <w:t xml:space="preserve"> </w:t>
              </w:r>
            </w:hyperlink>
            <w:hyperlink r:id="rId161">
              <w:r>
                <w:rPr>
                  <w:rFonts w:ascii="Calibri" w:eastAsia="Calibri" w:hAnsi="Calibri" w:cs="Calibri"/>
                  <w:color w:val="1155CC"/>
                  <w:u w:val="single"/>
                </w:rPr>
                <w:t>37</w:t>
              </w:r>
            </w:hyperlink>
            <w:r>
              <w:rPr>
                <w:rFonts w:ascii="Calibri" w:eastAsia="Calibri" w:hAnsi="Calibri" w:cs="Calibri"/>
              </w:rPr>
              <w:t>; 2017 (</w:t>
            </w:r>
            <w:hyperlink r:id="rId162">
              <w:r>
                <w:rPr>
                  <w:rFonts w:ascii="Calibri" w:eastAsia="Calibri" w:hAnsi="Calibri" w:cs="Calibri"/>
                  <w:color w:val="1155CC"/>
                  <w:u w:val="single"/>
                </w:rPr>
                <w:t>CERD/C/NZL/CO/21–22</w:t>
              </w:r>
            </w:hyperlink>
            <w:r>
              <w:rPr>
                <w:rFonts w:ascii="Calibri" w:eastAsia="Calibri" w:hAnsi="Calibri" w:cs="Calibri"/>
              </w:rPr>
              <w:t>)</w:t>
            </w:r>
          </w:p>
        </w:tc>
      </w:tr>
      <w:tr w:rsidR="001902DF" w14:paraId="7FED3C10"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7A49E543"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RACIALISED ENVIRONMENTAL LEGISLATION</w:t>
            </w:r>
          </w:p>
        </w:tc>
      </w:tr>
      <w:tr w:rsidR="001902DF" w14:paraId="378AE263"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4B26346A"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Crown Minerals Amendment Bill 2024</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3B59111"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6; General Recommendations</w:t>
            </w:r>
            <w:hyperlink r:id="rId163">
              <w:r>
                <w:rPr>
                  <w:rFonts w:ascii="Calibri" w:eastAsia="Calibri" w:hAnsi="Calibri" w:cs="Calibri"/>
                </w:rPr>
                <w:t xml:space="preserve"> </w:t>
              </w:r>
            </w:hyperlink>
            <w:hyperlink r:id="rId164">
              <w:r>
                <w:rPr>
                  <w:rFonts w:ascii="Calibri" w:eastAsia="Calibri" w:hAnsi="Calibri" w:cs="Calibri"/>
                  <w:color w:val="1155CC"/>
                  <w:u w:val="single"/>
                </w:rPr>
                <w:t>23</w:t>
              </w:r>
            </w:hyperlink>
            <w:r>
              <w:rPr>
                <w:rFonts w:ascii="Calibri" w:eastAsia="Calibri" w:hAnsi="Calibri" w:cs="Calibri"/>
              </w:rPr>
              <w:t>,</w:t>
            </w:r>
            <w:hyperlink r:id="rId165">
              <w:r>
                <w:rPr>
                  <w:rFonts w:ascii="Calibri" w:eastAsia="Calibri" w:hAnsi="Calibri" w:cs="Calibri"/>
                </w:rPr>
                <w:t xml:space="preserve"> </w:t>
              </w:r>
            </w:hyperlink>
            <w:hyperlink r:id="rId166">
              <w:r>
                <w:rPr>
                  <w:rFonts w:ascii="Calibri" w:eastAsia="Calibri" w:hAnsi="Calibri" w:cs="Calibri"/>
                  <w:color w:val="1155CC"/>
                  <w:u w:val="single"/>
                </w:rPr>
                <w:t>32</w:t>
              </w:r>
            </w:hyperlink>
            <w:r>
              <w:rPr>
                <w:rFonts w:ascii="Calibri" w:eastAsia="Calibri" w:hAnsi="Calibri" w:cs="Calibri"/>
              </w:rPr>
              <w:t>;</w:t>
            </w:r>
            <w:hyperlink r:id="rId167">
              <w:r>
                <w:rPr>
                  <w:rFonts w:ascii="Calibri" w:eastAsia="Calibri" w:hAnsi="Calibri" w:cs="Calibri"/>
                </w:rPr>
                <w:t xml:space="preserve"> </w:t>
              </w:r>
            </w:hyperlink>
            <w:hyperlink r:id="rId168">
              <w:r>
                <w:rPr>
                  <w:rFonts w:ascii="Calibri" w:eastAsia="Calibri" w:hAnsi="Calibri" w:cs="Calibri"/>
                  <w:color w:val="1155CC"/>
                  <w:u w:val="single"/>
                </w:rPr>
                <w:t>35</w:t>
              </w:r>
            </w:hyperlink>
            <w:r>
              <w:rPr>
                <w:rFonts w:ascii="Calibri" w:eastAsia="Calibri" w:hAnsi="Calibri" w:cs="Calibri"/>
              </w:rPr>
              <w:t>;</w:t>
            </w:r>
            <w:hyperlink r:id="rId169">
              <w:r>
                <w:rPr>
                  <w:rFonts w:ascii="Calibri" w:eastAsia="Calibri" w:hAnsi="Calibri" w:cs="Calibri"/>
                </w:rPr>
                <w:t xml:space="preserve"> </w:t>
              </w:r>
            </w:hyperlink>
            <w:hyperlink r:id="rId170">
              <w:r>
                <w:rPr>
                  <w:rFonts w:ascii="Calibri" w:eastAsia="Calibri" w:hAnsi="Calibri" w:cs="Calibri"/>
                  <w:color w:val="1155CC"/>
                  <w:u w:val="single"/>
                </w:rPr>
                <w:t>37</w:t>
              </w:r>
            </w:hyperlink>
            <w:r>
              <w:rPr>
                <w:rFonts w:ascii="Calibri" w:eastAsia="Calibri" w:hAnsi="Calibri" w:cs="Calibri"/>
              </w:rPr>
              <w:t>; 2017 (</w:t>
            </w:r>
            <w:hyperlink r:id="rId171">
              <w:r>
                <w:rPr>
                  <w:rFonts w:ascii="Calibri" w:eastAsia="Calibri" w:hAnsi="Calibri" w:cs="Calibri"/>
                  <w:color w:val="1155CC"/>
                  <w:u w:val="single"/>
                </w:rPr>
                <w:t>CERD/C/NZL/CO/21–22</w:t>
              </w:r>
            </w:hyperlink>
            <w:r>
              <w:rPr>
                <w:rFonts w:ascii="Calibri" w:eastAsia="Calibri" w:hAnsi="Calibri" w:cs="Calibri"/>
              </w:rPr>
              <w:t>)</w:t>
            </w:r>
          </w:p>
        </w:tc>
      </w:tr>
      <w:tr w:rsidR="001902DF" w14:paraId="12946716" w14:textId="77777777">
        <w:trPr>
          <w:trHeight w:val="100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61BC60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Marine and Coastal Areas Act Amendments</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289FBF9"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Urgent Procedures 2005–2007; Articles 2, 5 &amp; 6; General Recommendation</w:t>
            </w:r>
            <w:hyperlink r:id="rId172">
              <w:r>
                <w:rPr>
                  <w:rFonts w:ascii="Calibri" w:eastAsia="Calibri" w:hAnsi="Calibri" w:cs="Calibri"/>
                </w:rPr>
                <w:t xml:space="preserve"> </w:t>
              </w:r>
            </w:hyperlink>
            <w:hyperlink r:id="rId173">
              <w:r>
                <w:rPr>
                  <w:rFonts w:ascii="Calibri" w:eastAsia="Calibri" w:hAnsi="Calibri" w:cs="Calibri"/>
                  <w:color w:val="1155CC"/>
                  <w:u w:val="single"/>
                </w:rPr>
                <w:t>23</w:t>
              </w:r>
            </w:hyperlink>
            <w:r>
              <w:t>,</w:t>
            </w:r>
            <w:hyperlink r:id="rId174">
              <w:r>
                <w:rPr>
                  <w:rFonts w:ascii="Calibri" w:eastAsia="Calibri" w:hAnsi="Calibri" w:cs="Calibri"/>
                </w:rPr>
                <w:t xml:space="preserve"> </w:t>
              </w:r>
            </w:hyperlink>
            <w:hyperlink r:id="rId175">
              <w:r>
                <w:rPr>
                  <w:rFonts w:ascii="Calibri" w:eastAsia="Calibri" w:hAnsi="Calibri" w:cs="Calibri"/>
                  <w:color w:val="1155CC"/>
                  <w:u w:val="single"/>
                </w:rPr>
                <w:t>32</w:t>
              </w:r>
            </w:hyperlink>
            <w:r>
              <w:rPr>
                <w:rFonts w:ascii="Calibri" w:eastAsia="Calibri" w:hAnsi="Calibri" w:cs="Calibri"/>
              </w:rPr>
              <w:t xml:space="preserve"> &amp;</w:t>
            </w:r>
            <w:hyperlink r:id="rId176">
              <w:r>
                <w:rPr>
                  <w:rFonts w:ascii="Calibri" w:eastAsia="Calibri" w:hAnsi="Calibri" w:cs="Calibri"/>
                </w:rPr>
                <w:t xml:space="preserve"> </w:t>
              </w:r>
            </w:hyperlink>
            <w:hyperlink r:id="rId177">
              <w:r>
                <w:rPr>
                  <w:rFonts w:ascii="Calibri" w:eastAsia="Calibri" w:hAnsi="Calibri" w:cs="Calibri"/>
                  <w:color w:val="1155CC"/>
                  <w:u w:val="single"/>
                </w:rPr>
                <w:t>37</w:t>
              </w:r>
            </w:hyperlink>
            <w:r>
              <w:rPr>
                <w:rFonts w:ascii="Calibri" w:eastAsia="Calibri" w:hAnsi="Calibri" w:cs="Calibri"/>
              </w:rPr>
              <w:t>; Concluding observations/decisions: CERD Decision 1(66) (2005) &amp; Decision 1(67) (2007) — Foreshore and Seabed; 2017 (</w:t>
            </w:r>
            <w:hyperlink r:id="rId178">
              <w:r>
                <w:rPr>
                  <w:rFonts w:ascii="Calibri" w:eastAsia="Calibri" w:hAnsi="Calibri" w:cs="Calibri"/>
                  <w:color w:val="1155CC"/>
                  <w:u w:val="single"/>
                </w:rPr>
                <w:t>CERD/C/NZL/CO/21–22</w:t>
              </w:r>
            </w:hyperlink>
            <w:r>
              <w:rPr>
                <w:rFonts w:ascii="Calibri" w:eastAsia="Calibri" w:hAnsi="Calibri" w:cs="Calibri"/>
              </w:rPr>
              <w:t>)</w:t>
            </w:r>
          </w:p>
        </w:tc>
      </w:tr>
      <w:tr w:rsidR="001902DF" w14:paraId="2153FF65" w14:textId="77777777">
        <w:trPr>
          <w:trHeight w:val="103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243727C"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Resource Management Changes</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08BE16D"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6; General Recommendations</w:t>
            </w:r>
            <w:hyperlink r:id="rId179">
              <w:r>
                <w:rPr>
                  <w:rFonts w:ascii="Calibri" w:eastAsia="Calibri" w:hAnsi="Calibri" w:cs="Calibri"/>
                </w:rPr>
                <w:t xml:space="preserve"> </w:t>
              </w:r>
            </w:hyperlink>
            <w:hyperlink r:id="rId180">
              <w:r>
                <w:rPr>
                  <w:rFonts w:ascii="Calibri" w:eastAsia="Calibri" w:hAnsi="Calibri" w:cs="Calibri"/>
                  <w:color w:val="1155CC"/>
                  <w:u w:val="single"/>
                </w:rPr>
                <w:t>23</w:t>
              </w:r>
            </w:hyperlink>
            <w:r>
              <w:rPr>
                <w:rFonts w:ascii="Calibri" w:eastAsia="Calibri" w:hAnsi="Calibri" w:cs="Calibri"/>
              </w:rPr>
              <w:t>,</w:t>
            </w:r>
            <w:hyperlink r:id="rId181">
              <w:r>
                <w:rPr>
                  <w:rFonts w:ascii="Calibri" w:eastAsia="Calibri" w:hAnsi="Calibri" w:cs="Calibri"/>
                </w:rPr>
                <w:t xml:space="preserve"> </w:t>
              </w:r>
            </w:hyperlink>
            <w:hyperlink r:id="rId182">
              <w:r>
                <w:rPr>
                  <w:rFonts w:ascii="Calibri" w:eastAsia="Calibri" w:hAnsi="Calibri" w:cs="Calibri"/>
                  <w:color w:val="1155CC"/>
                  <w:u w:val="single"/>
                </w:rPr>
                <w:t>32</w:t>
              </w:r>
            </w:hyperlink>
            <w:r>
              <w:rPr>
                <w:rFonts w:ascii="Calibri" w:eastAsia="Calibri" w:hAnsi="Calibri" w:cs="Calibri"/>
              </w:rPr>
              <w:t>,</w:t>
            </w:r>
            <w:hyperlink r:id="rId183">
              <w:r>
                <w:rPr>
                  <w:rFonts w:ascii="Calibri" w:eastAsia="Calibri" w:hAnsi="Calibri" w:cs="Calibri"/>
                </w:rPr>
                <w:t xml:space="preserve"> </w:t>
              </w:r>
            </w:hyperlink>
            <w:hyperlink r:id="rId184">
              <w:r>
                <w:rPr>
                  <w:rFonts w:ascii="Calibri" w:eastAsia="Calibri" w:hAnsi="Calibri" w:cs="Calibri"/>
                  <w:color w:val="1155CC"/>
                  <w:u w:val="single"/>
                </w:rPr>
                <w:t>37</w:t>
              </w:r>
            </w:hyperlink>
            <w:r>
              <w:rPr>
                <w:rFonts w:ascii="Calibri" w:eastAsia="Calibri" w:hAnsi="Calibri" w:cs="Calibri"/>
              </w:rPr>
              <w:t>; 2013 Report of the Independent Expert on the issue of human rights obligations relating to the enjoyment of a safe, clean, healthy and sustainable environment, John H. Knox A/HRC/25/53; 2017 (</w:t>
            </w:r>
            <w:hyperlink r:id="rId185">
              <w:r>
                <w:rPr>
                  <w:rFonts w:ascii="Calibri" w:eastAsia="Calibri" w:hAnsi="Calibri" w:cs="Calibri"/>
                  <w:color w:val="1155CC"/>
                  <w:u w:val="single"/>
                </w:rPr>
                <w:t>CERD/C/NZL/CO/21–22</w:t>
              </w:r>
            </w:hyperlink>
            <w:r>
              <w:rPr>
                <w:rFonts w:ascii="Calibri" w:eastAsia="Calibri" w:hAnsi="Calibri" w:cs="Calibri"/>
              </w:rPr>
              <w:t>)</w:t>
            </w:r>
          </w:p>
        </w:tc>
      </w:tr>
      <w:tr w:rsidR="001902DF" w14:paraId="70439D16"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E7995A4"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Fast Track Approvals Act 2024</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96E8727"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6; General Recommendations No.</w:t>
            </w:r>
            <w:hyperlink r:id="rId186">
              <w:r>
                <w:rPr>
                  <w:rFonts w:ascii="Calibri" w:eastAsia="Calibri" w:hAnsi="Calibri" w:cs="Calibri"/>
                </w:rPr>
                <w:t xml:space="preserve"> </w:t>
              </w:r>
            </w:hyperlink>
            <w:hyperlink r:id="rId187">
              <w:r>
                <w:rPr>
                  <w:rFonts w:ascii="Calibri" w:eastAsia="Calibri" w:hAnsi="Calibri" w:cs="Calibri"/>
                  <w:color w:val="1155CC"/>
                  <w:u w:val="single"/>
                </w:rPr>
                <w:t>23</w:t>
              </w:r>
            </w:hyperlink>
            <w:r>
              <w:rPr>
                <w:rFonts w:ascii="Calibri" w:eastAsia="Calibri" w:hAnsi="Calibri" w:cs="Calibri"/>
              </w:rPr>
              <w:t>,</w:t>
            </w:r>
            <w:hyperlink r:id="rId188">
              <w:r>
                <w:rPr>
                  <w:rFonts w:ascii="Calibri" w:eastAsia="Calibri" w:hAnsi="Calibri" w:cs="Calibri"/>
                </w:rPr>
                <w:t xml:space="preserve"> </w:t>
              </w:r>
            </w:hyperlink>
            <w:hyperlink r:id="rId189">
              <w:r>
                <w:rPr>
                  <w:rFonts w:ascii="Calibri" w:eastAsia="Calibri" w:hAnsi="Calibri" w:cs="Calibri"/>
                  <w:color w:val="1155CC"/>
                  <w:u w:val="single"/>
                </w:rPr>
                <w:t>32</w:t>
              </w:r>
            </w:hyperlink>
            <w:r>
              <w:rPr>
                <w:rFonts w:ascii="Calibri" w:eastAsia="Calibri" w:hAnsi="Calibri" w:cs="Calibri"/>
              </w:rPr>
              <w:t>;</w:t>
            </w:r>
            <w:hyperlink r:id="rId190">
              <w:r>
                <w:rPr>
                  <w:rFonts w:ascii="Calibri" w:eastAsia="Calibri" w:hAnsi="Calibri" w:cs="Calibri"/>
                </w:rPr>
                <w:t xml:space="preserve"> </w:t>
              </w:r>
            </w:hyperlink>
            <w:hyperlink r:id="rId191">
              <w:r>
                <w:rPr>
                  <w:rFonts w:ascii="Calibri" w:eastAsia="Calibri" w:hAnsi="Calibri" w:cs="Calibri"/>
                  <w:color w:val="1155CC"/>
                  <w:u w:val="single"/>
                </w:rPr>
                <w:t>35</w:t>
              </w:r>
            </w:hyperlink>
            <w:r>
              <w:rPr>
                <w:rFonts w:ascii="Calibri" w:eastAsia="Calibri" w:hAnsi="Calibri" w:cs="Calibri"/>
              </w:rPr>
              <w:t>;</w:t>
            </w:r>
            <w:hyperlink r:id="rId192">
              <w:r>
                <w:rPr>
                  <w:rFonts w:ascii="Calibri" w:eastAsia="Calibri" w:hAnsi="Calibri" w:cs="Calibri"/>
                </w:rPr>
                <w:t xml:space="preserve"> </w:t>
              </w:r>
            </w:hyperlink>
            <w:hyperlink r:id="rId193">
              <w:r>
                <w:rPr>
                  <w:rFonts w:ascii="Calibri" w:eastAsia="Calibri" w:hAnsi="Calibri" w:cs="Calibri"/>
                  <w:color w:val="1155CC"/>
                  <w:u w:val="single"/>
                </w:rPr>
                <w:t>37</w:t>
              </w:r>
            </w:hyperlink>
            <w:r>
              <w:rPr>
                <w:rFonts w:ascii="Calibri" w:eastAsia="Calibri" w:hAnsi="Calibri" w:cs="Calibri"/>
              </w:rPr>
              <w:t>, 2017 Concluding Observations (</w:t>
            </w:r>
            <w:hyperlink r:id="rId194">
              <w:r>
                <w:rPr>
                  <w:rFonts w:ascii="Calibri" w:eastAsia="Calibri" w:hAnsi="Calibri" w:cs="Calibri"/>
                  <w:color w:val="1155CC"/>
                  <w:u w:val="single"/>
                </w:rPr>
                <w:t>CERD/C/NZL/CO/21–22</w:t>
              </w:r>
            </w:hyperlink>
            <w:r>
              <w:rPr>
                <w:rFonts w:ascii="Calibri" w:eastAsia="Calibri" w:hAnsi="Calibri" w:cs="Calibri"/>
              </w:rPr>
              <w:t>)</w:t>
            </w:r>
          </w:p>
        </w:tc>
      </w:tr>
      <w:tr w:rsidR="001902DF" w14:paraId="0AE03806"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6CEE3E7D"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lastRenderedPageBreak/>
              <w:t>JUSTICE</w:t>
            </w:r>
          </w:p>
        </w:tc>
      </w:tr>
      <w:tr w:rsidR="001902DF" w14:paraId="78567B9A" w14:textId="77777777">
        <w:trPr>
          <w:trHeight w:val="82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6D20656"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Gangs Legislation Act 2024 &amp; Sentencing (Reform) Amendment Act 2024</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249E802"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6; General Recommendation No.</w:t>
            </w:r>
            <w:hyperlink r:id="rId195">
              <w:r>
                <w:rPr>
                  <w:rFonts w:ascii="Calibri" w:eastAsia="Calibri" w:hAnsi="Calibri" w:cs="Calibri"/>
                </w:rPr>
                <w:t xml:space="preserve"> </w:t>
              </w:r>
            </w:hyperlink>
            <w:hyperlink r:id="rId196">
              <w:r>
                <w:rPr>
                  <w:rFonts w:ascii="Calibri" w:eastAsia="Calibri" w:hAnsi="Calibri" w:cs="Calibri"/>
                  <w:color w:val="1155CC"/>
                  <w:u w:val="single"/>
                </w:rPr>
                <w:t>36</w:t>
              </w:r>
            </w:hyperlink>
            <w:r>
              <w:rPr>
                <w:rFonts w:ascii="Calibri" w:eastAsia="Calibri" w:hAnsi="Calibri" w:cs="Calibri"/>
              </w:rPr>
              <w:t>; Concluding Observations (</w:t>
            </w:r>
            <w:hyperlink r:id="rId197">
              <w:r>
                <w:rPr>
                  <w:rFonts w:ascii="Calibri" w:eastAsia="Calibri" w:hAnsi="Calibri" w:cs="Calibri"/>
                  <w:color w:val="1155CC"/>
                  <w:u w:val="single"/>
                </w:rPr>
                <w:t>CERD/C/NZL/CO/21–22</w:t>
              </w:r>
            </w:hyperlink>
            <w:r>
              <w:rPr>
                <w:rFonts w:ascii="Calibri" w:eastAsia="Calibri" w:hAnsi="Calibri" w:cs="Calibri"/>
              </w:rPr>
              <w:t>)</w:t>
            </w:r>
          </w:p>
        </w:tc>
      </w:tr>
      <w:tr w:rsidR="001902DF" w14:paraId="61A02FB6"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8D0ABD9"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Legal Services Amendment Act 2024</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85D62B2"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5 &amp; 6; General Recommendations</w:t>
            </w:r>
            <w:hyperlink r:id="rId198">
              <w:r>
                <w:rPr>
                  <w:rFonts w:ascii="Calibri" w:eastAsia="Calibri" w:hAnsi="Calibri" w:cs="Calibri"/>
                </w:rPr>
                <w:t xml:space="preserve"> </w:t>
              </w:r>
            </w:hyperlink>
            <w:hyperlink r:id="rId199">
              <w:r>
                <w:rPr>
                  <w:rFonts w:ascii="Calibri" w:eastAsia="Calibri" w:hAnsi="Calibri" w:cs="Calibri"/>
                  <w:color w:val="1155CC"/>
                  <w:u w:val="single"/>
                </w:rPr>
                <w:t>31</w:t>
              </w:r>
            </w:hyperlink>
            <w:r>
              <w:rPr>
                <w:rFonts w:ascii="Calibri" w:eastAsia="Calibri" w:hAnsi="Calibri" w:cs="Calibri"/>
              </w:rPr>
              <w:t xml:space="preserve"> &amp;</w:t>
            </w:r>
            <w:hyperlink r:id="rId200">
              <w:r>
                <w:rPr>
                  <w:rFonts w:ascii="Calibri" w:eastAsia="Calibri" w:hAnsi="Calibri" w:cs="Calibri"/>
                </w:rPr>
                <w:t xml:space="preserve"> </w:t>
              </w:r>
            </w:hyperlink>
            <w:hyperlink r:id="rId201">
              <w:r>
                <w:rPr>
                  <w:rFonts w:ascii="Calibri" w:eastAsia="Calibri" w:hAnsi="Calibri" w:cs="Calibri"/>
                  <w:color w:val="1155CC"/>
                  <w:u w:val="single"/>
                </w:rPr>
                <w:t>32</w:t>
              </w:r>
            </w:hyperlink>
            <w:r>
              <w:rPr>
                <w:rFonts w:ascii="Calibri" w:eastAsia="Calibri" w:hAnsi="Calibri" w:cs="Calibri"/>
              </w:rPr>
              <w:t>; 2017 Concluding Observations (</w:t>
            </w:r>
            <w:hyperlink r:id="rId202">
              <w:r>
                <w:rPr>
                  <w:rFonts w:ascii="Calibri" w:eastAsia="Calibri" w:hAnsi="Calibri" w:cs="Calibri"/>
                  <w:color w:val="1155CC"/>
                  <w:u w:val="single"/>
                </w:rPr>
                <w:t>CERD/C/NZL/CO/21–22</w:t>
              </w:r>
            </w:hyperlink>
            <w:r>
              <w:rPr>
                <w:rFonts w:ascii="Calibri" w:eastAsia="Calibri" w:hAnsi="Calibri" w:cs="Calibri"/>
              </w:rPr>
              <w:t>)</w:t>
            </w:r>
          </w:p>
        </w:tc>
      </w:tr>
      <w:tr w:rsidR="001902DF" w14:paraId="6BA246F6"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9D9D9"/>
            <w:tcMar>
              <w:top w:w="0" w:type="dxa"/>
              <w:left w:w="40" w:type="dxa"/>
              <w:bottom w:w="0" w:type="dxa"/>
              <w:right w:w="40" w:type="dxa"/>
            </w:tcMar>
          </w:tcPr>
          <w:p w14:paraId="59534C48" w14:textId="77777777" w:rsidR="001902DF" w:rsidRDefault="00000000">
            <w:pPr>
              <w:pBdr>
                <w:top w:val="nil"/>
                <w:left w:val="nil"/>
                <w:bottom w:val="nil"/>
                <w:right w:val="nil"/>
                <w:between w:val="nil"/>
              </w:pBdr>
              <w:spacing w:before="0" w:after="0" w:line="276" w:lineRule="auto"/>
              <w:jc w:val="center"/>
              <w:rPr>
                <w:rFonts w:ascii="Calibri" w:eastAsia="Calibri" w:hAnsi="Calibri" w:cs="Calibri"/>
                <w:b/>
              </w:rPr>
            </w:pPr>
            <w:r>
              <w:rPr>
                <w:rFonts w:ascii="Calibri" w:eastAsia="Calibri" w:hAnsi="Calibri" w:cs="Calibri"/>
                <w:b/>
              </w:rPr>
              <w:t>EDUCATION AND RESEARCH</w:t>
            </w:r>
          </w:p>
        </w:tc>
      </w:tr>
      <w:tr w:rsidR="001902DF" w14:paraId="1840B650" w14:textId="77777777">
        <w:trPr>
          <w:trHeight w:val="61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4B893F48"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Te Reo Maōri, Mātauranga Māori and Te </w:t>
            </w:r>
            <w:proofErr w:type="spellStart"/>
            <w:r>
              <w:rPr>
                <w:rFonts w:ascii="Calibri" w:eastAsia="Calibri" w:hAnsi="Calibri" w:cs="Calibri"/>
              </w:rPr>
              <w:t>Tiriti</w:t>
            </w:r>
            <w:proofErr w:type="spellEnd"/>
            <w:r>
              <w:rPr>
                <w:rFonts w:ascii="Calibri" w:eastAsia="Calibri" w:hAnsi="Calibri" w:cs="Calibri"/>
              </w:rPr>
              <w:t xml:space="preserve"> o Waitangi in Education</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B4D86F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CERD Articles 2, 5 &amp; 7; General Recommendations </w:t>
            </w:r>
            <w:hyperlink r:id="rId203">
              <w:r>
                <w:rPr>
                  <w:rFonts w:ascii="Calibri" w:eastAsia="Calibri" w:hAnsi="Calibri" w:cs="Calibri"/>
                </w:rPr>
                <w:t xml:space="preserve"> </w:t>
              </w:r>
            </w:hyperlink>
            <w:hyperlink r:id="rId204">
              <w:r>
                <w:rPr>
                  <w:rFonts w:ascii="Calibri" w:eastAsia="Calibri" w:hAnsi="Calibri" w:cs="Calibri"/>
                  <w:color w:val="1155CC"/>
                  <w:u w:val="single"/>
                </w:rPr>
                <w:t>23</w:t>
              </w:r>
            </w:hyperlink>
            <w:r>
              <w:rPr>
                <w:rFonts w:ascii="Calibri" w:eastAsia="Calibri" w:hAnsi="Calibri" w:cs="Calibri"/>
              </w:rPr>
              <w:t>,</w:t>
            </w:r>
            <w:hyperlink r:id="rId205">
              <w:r>
                <w:rPr>
                  <w:rFonts w:ascii="Calibri" w:eastAsia="Calibri" w:hAnsi="Calibri" w:cs="Calibri"/>
                </w:rPr>
                <w:t xml:space="preserve"> </w:t>
              </w:r>
            </w:hyperlink>
            <w:hyperlink r:id="rId206">
              <w:r>
                <w:rPr>
                  <w:rFonts w:ascii="Calibri" w:eastAsia="Calibri" w:hAnsi="Calibri" w:cs="Calibri"/>
                  <w:color w:val="1155CC"/>
                  <w:u w:val="single"/>
                </w:rPr>
                <w:t>32</w:t>
              </w:r>
            </w:hyperlink>
            <w:r>
              <w:rPr>
                <w:rFonts w:ascii="Calibri" w:eastAsia="Calibri" w:hAnsi="Calibri" w:cs="Calibri"/>
              </w:rPr>
              <w:t>;</w:t>
            </w:r>
            <w:hyperlink r:id="rId207">
              <w:r>
                <w:rPr>
                  <w:rFonts w:ascii="Calibri" w:eastAsia="Calibri" w:hAnsi="Calibri" w:cs="Calibri"/>
                </w:rPr>
                <w:t xml:space="preserve"> </w:t>
              </w:r>
            </w:hyperlink>
            <w:hyperlink r:id="rId208">
              <w:r>
                <w:rPr>
                  <w:rFonts w:ascii="Calibri" w:eastAsia="Calibri" w:hAnsi="Calibri" w:cs="Calibri"/>
                  <w:color w:val="1155CC"/>
                  <w:u w:val="single"/>
                </w:rPr>
                <w:t>37</w:t>
              </w:r>
            </w:hyperlink>
            <w:r>
              <w:rPr>
                <w:rFonts w:ascii="Calibri" w:eastAsia="Calibri" w:hAnsi="Calibri" w:cs="Calibri"/>
              </w:rPr>
              <w:t>, 2017 Concluding Observations (</w:t>
            </w:r>
            <w:hyperlink r:id="rId209">
              <w:r>
                <w:rPr>
                  <w:rFonts w:ascii="Calibri" w:eastAsia="Calibri" w:hAnsi="Calibri" w:cs="Calibri"/>
                  <w:color w:val="1155CC"/>
                  <w:u w:val="single"/>
                </w:rPr>
                <w:t>CERD/C/NZL/CO/21–22</w:t>
              </w:r>
            </w:hyperlink>
            <w:r>
              <w:rPr>
                <w:rFonts w:ascii="Calibri" w:eastAsia="Calibri" w:hAnsi="Calibri" w:cs="Calibri"/>
              </w:rPr>
              <w:t>)</w:t>
            </w:r>
          </w:p>
        </w:tc>
      </w:tr>
      <w:tr w:rsidR="001902DF" w14:paraId="0FDCF1AA" w14:textId="77777777">
        <w:trPr>
          <w:trHeight w:val="61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59ECE3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Changes to Science Funding</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385AD653"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7 &amp; 5; General Recommendations</w:t>
            </w:r>
            <w:hyperlink r:id="rId210">
              <w:r>
                <w:rPr>
                  <w:rFonts w:ascii="Calibri" w:eastAsia="Calibri" w:hAnsi="Calibri" w:cs="Calibri"/>
                </w:rPr>
                <w:t xml:space="preserve"> </w:t>
              </w:r>
            </w:hyperlink>
            <w:hyperlink r:id="rId211">
              <w:r>
                <w:rPr>
                  <w:rFonts w:ascii="Calibri" w:eastAsia="Calibri" w:hAnsi="Calibri" w:cs="Calibri"/>
                  <w:color w:val="1155CC"/>
                  <w:u w:val="single"/>
                </w:rPr>
                <w:t>23</w:t>
              </w:r>
            </w:hyperlink>
            <w:r>
              <w:rPr>
                <w:rFonts w:ascii="Calibri" w:eastAsia="Calibri" w:hAnsi="Calibri" w:cs="Calibri"/>
              </w:rPr>
              <w:t>,</w:t>
            </w:r>
            <w:hyperlink r:id="rId212">
              <w:r>
                <w:rPr>
                  <w:rFonts w:ascii="Calibri" w:eastAsia="Calibri" w:hAnsi="Calibri" w:cs="Calibri"/>
                </w:rPr>
                <w:t xml:space="preserve"> </w:t>
              </w:r>
            </w:hyperlink>
            <w:hyperlink r:id="rId213">
              <w:r>
                <w:rPr>
                  <w:rFonts w:ascii="Calibri" w:eastAsia="Calibri" w:hAnsi="Calibri" w:cs="Calibri"/>
                  <w:color w:val="1155CC"/>
                  <w:u w:val="single"/>
                </w:rPr>
                <w:t>32</w:t>
              </w:r>
            </w:hyperlink>
            <w:r>
              <w:rPr>
                <w:rFonts w:ascii="Calibri" w:eastAsia="Calibri" w:hAnsi="Calibri" w:cs="Calibri"/>
              </w:rPr>
              <w:t>, &amp;</w:t>
            </w:r>
            <w:hyperlink r:id="rId214">
              <w:r>
                <w:rPr>
                  <w:rFonts w:ascii="Calibri" w:eastAsia="Calibri" w:hAnsi="Calibri" w:cs="Calibri"/>
                </w:rPr>
                <w:t xml:space="preserve"> </w:t>
              </w:r>
            </w:hyperlink>
            <w:hyperlink r:id="rId215">
              <w:r>
                <w:rPr>
                  <w:rFonts w:ascii="Calibri" w:eastAsia="Calibri" w:hAnsi="Calibri" w:cs="Calibri"/>
                  <w:color w:val="1155CC"/>
                  <w:u w:val="single"/>
                </w:rPr>
                <w:t>37</w:t>
              </w:r>
            </w:hyperlink>
            <w:r>
              <w:rPr>
                <w:rFonts w:ascii="Calibri" w:eastAsia="Calibri" w:hAnsi="Calibri" w:cs="Calibri"/>
              </w:rPr>
              <w:t>; 2017 Concluding Observations (</w:t>
            </w:r>
            <w:hyperlink r:id="rId216">
              <w:r>
                <w:rPr>
                  <w:rFonts w:ascii="Calibri" w:eastAsia="Calibri" w:hAnsi="Calibri" w:cs="Calibri"/>
                  <w:color w:val="1155CC"/>
                  <w:u w:val="single"/>
                </w:rPr>
                <w:t>CERD/C/NZL/CO/21–22</w:t>
              </w:r>
            </w:hyperlink>
            <w:r>
              <w:rPr>
                <w:rFonts w:ascii="Calibri" w:eastAsia="Calibri" w:hAnsi="Calibri" w:cs="Calibri"/>
              </w:rPr>
              <w:t>)</w:t>
            </w:r>
          </w:p>
        </w:tc>
      </w:tr>
      <w:tr w:rsidR="001902DF" w14:paraId="7B417722" w14:textId="77777777">
        <w:trPr>
          <w:trHeight w:val="70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A2FD37C"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Defunding of Te Ahu o Te Reo</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7D115E4"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2,5, &amp; 7, General Recommendations</w:t>
            </w:r>
            <w:hyperlink r:id="rId217">
              <w:r>
                <w:rPr>
                  <w:rFonts w:ascii="Calibri" w:eastAsia="Calibri" w:hAnsi="Calibri" w:cs="Calibri"/>
                </w:rPr>
                <w:t xml:space="preserve"> </w:t>
              </w:r>
            </w:hyperlink>
            <w:hyperlink r:id="rId218">
              <w:r>
                <w:rPr>
                  <w:rFonts w:ascii="Calibri" w:eastAsia="Calibri" w:hAnsi="Calibri" w:cs="Calibri"/>
                  <w:color w:val="1155CC"/>
                  <w:u w:val="single"/>
                </w:rPr>
                <w:t>23</w:t>
              </w:r>
            </w:hyperlink>
            <w:r>
              <w:rPr>
                <w:rFonts w:ascii="Calibri" w:eastAsia="Calibri" w:hAnsi="Calibri" w:cs="Calibri"/>
              </w:rPr>
              <w:t>,</w:t>
            </w:r>
            <w:hyperlink r:id="rId219">
              <w:r>
                <w:rPr>
                  <w:rFonts w:ascii="Calibri" w:eastAsia="Calibri" w:hAnsi="Calibri" w:cs="Calibri"/>
                </w:rPr>
                <w:t xml:space="preserve"> </w:t>
              </w:r>
            </w:hyperlink>
            <w:hyperlink r:id="rId220">
              <w:r>
                <w:rPr>
                  <w:rFonts w:ascii="Calibri" w:eastAsia="Calibri" w:hAnsi="Calibri" w:cs="Calibri"/>
                  <w:color w:val="1155CC"/>
                  <w:u w:val="single"/>
                </w:rPr>
                <w:t>31</w:t>
              </w:r>
            </w:hyperlink>
            <w:r>
              <w:rPr>
                <w:rFonts w:ascii="Calibri" w:eastAsia="Calibri" w:hAnsi="Calibri" w:cs="Calibri"/>
              </w:rPr>
              <w:t>,</w:t>
            </w:r>
            <w:hyperlink r:id="rId221">
              <w:r>
                <w:rPr>
                  <w:rFonts w:ascii="Calibri" w:eastAsia="Calibri" w:hAnsi="Calibri" w:cs="Calibri"/>
                </w:rPr>
                <w:t xml:space="preserve"> </w:t>
              </w:r>
            </w:hyperlink>
            <w:hyperlink r:id="rId222">
              <w:r>
                <w:rPr>
                  <w:rFonts w:ascii="Calibri" w:eastAsia="Calibri" w:hAnsi="Calibri" w:cs="Calibri"/>
                  <w:color w:val="1155CC"/>
                  <w:u w:val="single"/>
                </w:rPr>
                <w:t>32</w:t>
              </w:r>
            </w:hyperlink>
            <w:r>
              <w:rPr>
                <w:rFonts w:ascii="Calibri" w:eastAsia="Calibri" w:hAnsi="Calibri" w:cs="Calibri"/>
              </w:rPr>
              <w:t>,</w:t>
            </w:r>
            <w:hyperlink r:id="rId223">
              <w:r>
                <w:rPr>
                  <w:rFonts w:ascii="Calibri" w:eastAsia="Calibri" w:hAnsi="Calibri" w:cs="Calibri"/>
                </w:rPr>
                <w:t xml:space="preserve"> </w:t>
              </w:r>
            </w:hyperlink>
            <w:hyperlink r:id="rId224">
              <w:r>
                <w:rPr>
                  <w:rFonts w:ascii="Calibri" w:eastAsia="Calibri" w:hAnsi="Calibri" w:cs="Calibri"/>
                  <w:color w:val="1155CC"/>
                  <w:u w:val="single"/>
                </w:rPr>
                <w:t>37</w:t>
              </w:r>
            </w:hyperlink>
            <w:r>
              <w:rPr>
                <w:rFonts w:ascii="Calibri" w:eastAsia="Calibri" w:hAnsi="Calibri" w:cs="Calibri"/>
              </w:rPr>
              <w:t>; Concluding Observations (</w:t>
            </w:r>
            <w:hyperlink r:id="rId225">
              <w:r>
                <w:rPr>
                  <w:rFonts w:ascii="Calibri" w:eastAsia="Calibri" w:hAnsi="Calibri" w:cs="Calibri"/>
                  <w:color w:val="1155CC"/>
                  <w:u w:val="single"/>
                </w:rPr>
                <w:t>CERD/C/NZL/CO/21–22</w:t>
              </w:r>
            </w:hyperlink>
            <w:r>
              <w:rPr>
                <w:rFonts w:ascii="Calibri" w:eastAsia="Calibri" w:hAnsi="Calibri" w:cs="Calibri"/>
              </w:rPr>
              <w:t>)</w:t>
            </w:r>
          </w:p>
        </w:tc>
      </w:tr>
      <w:tr w:rsidR="001902DF" w14:paraId="0475011D"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1984531B"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SUPPRESSION OF LANGUAGE AND CULTURE</w:t>
            </w:r>
          </w:p>
        </w:tc>
      </w:tr>
      <w:tr w:rsidR="001902DF" w14:paraId="1741EB9E"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7B861E5"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Stripping tikanga and </w:t>
            </w:r>
            <w:proofErr w:type="spellStart"/>
            <w:r>
              <w:rPr>
                <w:rFonts w:ascii="Calibri" w:eastAsia="Calibri" w:hAnsi="Calibri" w:cs="Calibri"/>
              </w:rPr>
              <w:t>reo</w:t>
            </w:r>
            <w:proofErr w:type="spellEnd"/>
            <w:r>
              <w:rPr>
                <w:rFonts w:ascii="Calibri" w:eastAsia="Calibri" w:hAnsi="Calibri" w:cs="Calibri"/>
              </w:rPr>
              <w:t xml:space="preserve"> from public services</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790560D"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2,5, &amp; 7, General Recommendations</w:t>
            </w:r>
            <w:hyperlink r:id="rId226">
              <w:r>
                <w:rPr>
                  <w:rFonts w:ascii="Calibri" w:eastAsia="Calibri" w:hAnsi="Calibri" w:cs="Calibri"/>
                </w:rPr>
                <w:t xml:space="preserve"> </w:t>
              </w:r>
            </w:hyperlink>
            <w:hyperlink r:id="rId227">
              <w:r>
                <w:rPr>
                  <w:rFonts w:ascii="Calibri" w:eastAsia="Calibri" w:hAnsi="Calibri" w:cs="Calibri"/>
                  <w:color w:val="1155CC"/>
                  <w:u w:val="single"/>
                </w:rPr>
                <w:t>23</w:t>
              </w:r>
            </w:hyperlink>
            <w:r>
              <w:rPr>
                <w:rFonts w:ascii="Calibri" w:eastAsia="Calibri" w:hAnsi="Calibri" w:cs="Calibri"/>
              </w:rPr>
              <w:t>,</w:t>
            </w:r>
            <w:hyperlink r:id="rId228">
              <w:r>
                <w:rPr>
                  <w:rFonts w:ascii="Calibri" w:eastAsia="Calibri" w:hAnsi="Calibri" w:cs="Calibri"/>
                </w:rPr>
                <w:t xml:space="preserve"> </w:t>
              </w:r>
            </w:hyperlink>
            <w:hyperlink r:id="rId229">
              <w:r>
                <w:rPr>
                  <w:rFonts w:ascii="Calibri" w:eastAsia="Calibri" w:hAnsi="Calibri" w:cs="Calibri"/>
                  <w:color w:val="1155CC"/>
                  <w:u w:val="single"/>
                </w:rPr>
                <w:t>32</w:t>
              </w:r>
            </w:hyperlink>
            <w:r>
              <w:rPr>
                <w:rFonts w:ascii="Calibri" w:eastAsia="Calibri" w:hAnsi="Calibri" w:cs="Calibri"/>
              </w:rPr>
              <w:t>,</w:t>
            </w:r>
            <w:hyperlink r:id="rId230">
              <w:r>
                <w:rPr>
                  <w:rFonts w:ascii="Calibri" w:eastAsia="Calibri" w:hAnsi="Calibri" w:cs="Calibri"/>
                </w:rPr>
                <w:t xml:space="preserve"> </w:t>
              </w:r>
            </w:hyperlink>
            <w:hyperlink r:id="rId231">
              <w:r>
                <w:rPr>
                  <w:rFonts w:ascii="Calibri" w:eastAsia="Calibri" w:hAnsi="Calibri" w:cs="Calibri"/>
                  <w:color w:val="1155CC"/>
                  <w:u w:val="single"/>
                </w:rPr>
                <w:t>37</w:t>
              </w:r>
            </w:hyperlink>
            <w:r>
              <w:rPr>
                <w:rFonts w:ascii="Calibri" w:eastAsia="Calibri" w:hAnsi="Calibri" w:cs="Calibri"/>
              </w:rPr>
              <w:t>; Concluding Observations (</w:t>
            </w:r>
            <w:hyperlink r:id="rId232">
              <w:r>
                <w:rPr>
                  <w:rFonts w:ascii="Calibri" w:eastAsia="Calibri" w:hAnsi="Calibri" w:cs="Calibri"/>
                  <w:color w:val="1155CC"/>
                  <w:u w:val="single"/>
                </w:rPr>
                <w:t>CERD/C/NZL/CO/21–22</w:t>
              </w:r>
            </w:hyperlink>
            <w:r>
              <w:rPr>
                <w:rFonts w:ascii="Calibri" w:eastAsia="Calibri" w:hAnsi="Calibri" w:cs="Calibri"/>
              </w:rPr>
              <w:t>)</w:t>
            </w:r>
          </w:p>
        </w:tc>
      </w:tr>
      <w:tr w:rsidR="001902DF" w14:paraId="054A8CAD" w14:textId="77777777">
        <w:trPr>
          <w:trHeight w:val="660"/>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6F8DD65"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Suspension of </w:t>
            </w:r>
            <w:proofErr w:type="spellStart"/>
            <w:r>
              <w:rPr>
                <w:rFonts w:ascii="Calibri" w:eastAsia="Calibri" w:hAnsi="Calibri" w:cs="Calibri"/>
              </w:rPr>
              <w:t>Maōri</w:t>
            </w:r>
            <w:proofErr w:type="spellEnd"/>
            <w:r>
              <w:rPr>
                <w:rFonts w:ascii="Calibri" w:eastAsia="Calibri" w:hAnsi="Calibri" w:cs="Calibri"/>
              </w:rPr>
              <w:t xml:space="preserve"> MPs for haka</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24525318"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2,5, &amp; 7, General Recommendations</w:t>
            </w:r>
            <w:hyperlink r:id="rId233">
              <w:r>
                <w:rPr>
                  <w:rFonts w:ascii="Calibri" w:eastAsia="Calibri" w:hAnsi="Calibri" w:cs="Calibri"/>
                </w:rPr>
                <w:t xml:space="preserve"> </w:t>
              </w:r>
            </w:hyperlink>
            <w:hyperlink r:id="rId234">
              <w:r>
                <w:rPr>
                  <w:rFonts w:ascii="Calibri" w:eastAsia="Calibri" w:hAnsi="Calibri" w:cs="Calibri"/>
                  <w:color w:val="1155CC"/>
                  <w:u w:val="single"/>
                </w:rPr>
                <w:t>23</w:t>
              </w:r>
            </w:hyperlink>
            <w:r>
              <w:rPr>
                <w:rFonts w:ascii="Calibri" w:eastAsia="Calibri" w:hAnsi="Calibri" w:cs="Calibri"/>
              </w:rPr>
              <w:t>,</w:t>
            </w:r>
            <w:hyperlink r:id="rId235">
              <w:r>
                <w:rPr>
                  <w:rFonts w:ascii="Calibri" w:eastAsia="Calibri" w:hAnsi="Calibri" w:cs="Calibri"/>
                </w:rPr>
                <w:t xml:space="preserve"> </w:t>
              </w:r>
            </w:hyperlink>
            <w:hyperlink r:id="rId236">
              <w:r>
                <w:rPr>
                  <w:rFonts w:ascii="Calibri" w:eastAsia="Calibri" w:hAnsi="Calibri" w:cs="Calibri"/>
                  <w:color w:val="1155CC"/>
                  <w:u w:val="single"/>
                </w:rPr>
                <w:t>31</w:t>
              </w:r>
            </w:hyperlink>
            <w:r>
              <w:rPr>
                <w:rFonts w:ascii="Calibri" w:eastAsia="Calibri" w:hAnsi="Calibri" w:cs="Calibri"/>
              </w:rPr>
              <w:t>,</w:t>
            </w:r>
            <w:hyperlink r:id="rId237">
              <w:r>
                <w:rPr>
                  <w:rFonts w:ascii="Calibri" w:eastAsia="Calibri" w:hAnsi="Calibri" w:cs="Calibri"/>
                </w:rPr>
                <w:t xml:space="preserve"> </w:t>
              </w:r>
            </w:hyperlink>
            <w:hyperlink r:id="rId238">
              <w:r>
                <w:rPr>
                  <w:rFonts w:ascii="Calibri" w:eastAsia="Calibri" w:hAnsi="Calibri" w:cs="Calibri"/>
                  <w:color w:val="1155CC"/>
                  <w:u w:val="single"/>
                </w:rPr>
                <w:t>32</w:t>
              </w:r>
            </w:hyperlink>
            <w:r>
              <w:rPr>
                <w:rFonts w:ascii="Calibri" w:eastAsia="Calibri" w:hAnsi="Calibri" w:cs="Calibri"/>
              </w:rPr>
              <w:t>,</w:t>
            </w:r>
            <w:hyperlink r:id="rId239">
              <w:r>
                <w:rPr>
                  <w:rFonts w:ascii="Calibri" w:eastAsia="Calibri" w:hAnsi="Calibri" w:cs="Calibri"/>
                </w:rPr>
                <w:t xml:space="preserve"> </w:t>
              </w:r>
            </w:hyperlink>
            <w:hyperlink r:id="rId240">
              <w:r>
                <w:rPr>
                  <w:rFonts w:ascii="Calibri" w:eastAsia="Calibri" w:hAnsi="Calibri" w:cs="Calibri"/>
                  <w:color w:val="1155CC"/>
                  <w:u w:val="single"/>
                </w:rPr>
                <w:t>35</w:t>
              </w:r>
            </w:hyperlink>
            <w:r>
              <w:rPr>
                <w:rFonts w:ascii="Calibri" w:eastAsia="Calibri" w:hAnsi="Calibri" w:cs="Calibri"/>
              </w:rPr>
              <w:t>,</w:t>
            </w:r>
            <w:hyperlink r:id="rId241">
              <w:r>
                <w:rPr>
                  <w:rFonts w:ascii="Calibri" w:eastAsia="Calibri" w:hAnsi="Calibri" w:cs="Calibri"/>
                </w:rPr>
                <w:t xml:space="preserve"> </w:t>
              </w:r>
            </w:hyperlink>
            <w:hyperlink r:id="rId242">
              <w:r>
                <w:rPr>
                  <w:rFonts w:ascii="Calibri" w:eastAsia="Calibri" w:hAnsi="Calibri" w:cs="Calibri"/>
                  <w:color w:val="1155CC"/>
                  <w:u w:val="single"/>
                </w:rPr>
                <w:t>37</w:t>
              </w:r>
            </w:hyperlink>
            <w:r>
              <w:rPr>
                <w:rFonts w:ascii="Calibri" w:eastAsia="Calibri" w:hAnsi="Calibri" w:cs="Calibri"/>
              </w:rPr>
              <w:t>; Concluding Observations (</w:t>
            </w:r>
            <w:hyperlink r:id="rId243">
              <w:r>
                <w:rPr>
                  <w:rFonts w:ascii="Calibri" w:eastAsia="Calibri" w:hAnsi="Calibri" w:cs="Calibri"/>
                  <w:color w:val="1155CC"/>
                  <w:u w:val="single"/>
                </w:rPr>
                <w:t>CERD/C/NZL/CO/21–22</w:t>
              </w:r>
            </w:hyperlink>
            <w:r>
              <w:rPr>
                <w:rFonts w:ascii="Calibri" w:eastAsia="Calibri" w:hAnsi="Calibri" w:cs="Calibri"/>
              </w:rPr>
              <w:t>)</w:t>
            </w:r>
          </w:p>
        </w:tc>
      </w:tr>
      <w:tr w:rsidR="001902DF" w14:paraId="46311084" w14:textId="77777777">
        <w:trPr>
          <w:trHeight w:val="686"/>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8036AD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Reduction of </w:t>
            </w:r>
            <w:proofErr w:type="spellStart"/>
            <w:r>
              <w:rPr>
                <w:rFonts w:ascii="Calibri" w:eastAsia="Calibri" w:hAnsi="Calibri" w:cs="Calibri"/>
              </w:rPr>
              <w:t>reo</w:t>
            </w:r>
            <w:proofErr w:type="spellEnd"/>
            <w:r>
              <w:rPr>
                <w:rFonts w:ascii="Calibri" w:eastAsia="Calibri" w:hAnsi="Calibri" w:cs="Calibri"/>
              </w:rPr>
              <w:t xml:space="preserve"> funding to Aotearoa </w:t>
            </w:r>
            <w:proofErr w:type="spellStart"/>
            <w:r>
              <w:rPr>
                <w:rFonts w:ascii="Calibri" w:eastAsia="Calibri" w:hAnsi="Calibri" w:cs="Calibri"/>
              </w:rPr>
              <w:t>Reorua</w:t>
            </w:r>
            <w:proofErr w:type="spellEnd"/>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6278BF5"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2,5, &amp; 7, General Recommendations</w:t>
            </w:r>
            <w:hyperlink r:id="rId244">
              <w:r>
                <w:rPr>
                  <w:rFonts w:ascii="Calibri" w:eastAsia="Calibri" w:hAnsi="Calibri" w:cs="Calibri"/>
                </w:rPr>
                <w:t xml:space="preserve"> </w:t>
              </w:r>
            </w:hyperlink>
            <w:hyperlink r:id="rId245">
              <w:r>
                <w:rPr>
                  <w:rFonts w:ascii="Calibri" w:eastAsia="Calibri" w:hAnsi="Calibri" w:cs="Calibri"/>
                  <w:color w:val="1155CC"/>
                  <w:u w:val="single"/>
                </w:rPr>
                <w:t>23</w:t>
              </w:r>
            </w:hyperlink>
            <w:r>
              <w:rPr>
                <w:rFonts w:ascii="Calibri" w:eastAsia="Calibri" w:hAnsi="Calibri" w:cs="Calibri"/>
              </w:rPr>
              <w:t>,</w:t>
            </w:r>
            <w:hyperlink r:id="rId246">
              <w:r>
                <w:rPr>
                  <w:rFonts w:ascii="Calibri" w:eastAsia="Calibri" w:hAnsi="Calibri" w:cs="Calibri"/>
                </w:rPr>
                <w:t xml:space="preserve"> </w:t>
              </w:r>
            </w:hyperlink>
            <w:hyperlink r:id="rId247">
              <w:r>
                <w:rPr>
                  <w:rFonts w:ascii="Calibri" w:eastAsia="Calibri" w:hAnsi="Calibri" w:cs="Calibri"/>
                  <w:color w:val="1155CC"/>
                  <w:u w:val="single"/>
                </w:rPr>
                <w:t>31</w:t>
              </w:r>
            </w:hyperlink>
            <w:r>
              <w:rPr>
                <w:rFonts w:ascii="Calibri" w:eastAsia="Calibri" w:hAnsi="Calibri" w:cs="Calibri"/>
              </w:rPr>
              <w:t>,</w:t>
            </w:r>
            <w:hyperlink r:id="rId248">
              <w:r>
                <w:rPr>
                  <w:rFonts w:ascii="Calibri" w:eastAsia="Calibri" w:hAnsi="Calibri" w:cs="Calibri"/>
                </w:rPr>
                <w:t xml:space="preserve"> </w:t>
              </w:r>
            </w:hyperlink>
            <w:hyperlink r:id="rId249">
              <w:r>
                <w:rPr>
                  <w:rFonts w:ascii="Calibri" w:eastAsia="Calibri" w:hAnsi="Calibri" w:cs="Calibri"/>
                  <w:color w:val="1155CC"/>
                  <w:u w:val="single"/>
                </w:rPr>
                <w:t>32</w:t>
              </w:r>
            </w:hyperlink>
            <w:r>
              <w:rPr>
                <w:rFonts w:ascii="Calibri" w:eastAsia="Calibri" w:hAnsi="Calibri" w:cs="Calibri"/>
              </w:rPr>
              <w:t>,</w:t>
            </w:r>
            <w:hyperlink r:id="rId250">
              <w:r>
                <w:rPr>
                  <w:rFonts w:ascii="Calibri" w:eastAsia="Calibri" w:hAnsi="Calibri" w:cs="Calibri"/>
                </w:rPr>
                <w:t xml:space="preserve"> </w:t>
              </w:r>
            </w:hyperlink>
            <w:hyperlink r:id="rId251">
              <w:r>
                <w:rPr>
                  <w:rFonts w:ascii="Calibri" w:eastAsia="Calibri" w:hAnsi="Calibri" w:cs="Calibri"/>
                  <w:color w:val="1155CC"/>
                  <w:u w:val="single"/>
                </w:rPr>
                <w:t>37</w:t>
              </w:r>
            </w:hyperlink>
            <w:r>
              <w:rPr>
                <w:rFonts w:ascii="Calibri" w:eastAsia="Calibri" w:hAnsi="Calibri" w:cs="Calibri"/>
              </w:rPr>
              <w:t>; Concluding Observations (</w:t>
            </w:r>
            <w:hyperlink r:id="rId252">
              <w:r>
                <w:rPr>
                  <w:rFonts w:ascii="Calibri" w:eastAsia="Calibri" w:hAnsi="Calibri" w:cs="Calibri"/>
                  <w:color w:val="1155CC"/>
                  <w:u w:val="single"/>
                </w:rPr>
                <w:t>CERD/C/NZL/CO/21–22</w:t>
              </w:r>
            </w:hyperlink>
            <w:r>
              <w:rPr>
                <w:rFonts w:ascii="Calibri" w:eastAsia="Calibri" w:hAnsi="Calibri" w:cs="Calibri"/>
              </w:rPr>
              <w:t>)</w:t>
            </w:r>
          </w:p>
        </w:tc>
      </w:tr>
      <w:tr w:rsidR="001902DF" w14:paraId="15AE2E7D" w14:textId="77777777">
        <w:trPr>
          <w:trHeight w:val="300"/>
        </w:trPr>
        <w:tc>
          <w:tcPr>
            <w:tcW w:w="13095" w:type="dxa"/>
            <w:gridSpan w:val="2"/>
            <w:tcBorders>
              <w:top w:val="single" w:sz="4" w:space="0" w:color="CCCCCC"/>
              <w:left w:val="single" w:sz="4" w:space="0" w:color="CCCCCC"/>
              <w:bottom w:val="single" w:sz="4" w:space="0" w:color="CCCCCC"/>
              <w:right w:val="single" w:sz="4" w:space="0" w:color="CCCCCC"/>
            </w:tcBorders>
            <w:shd w:val="clear" w:color="auto" w:fill="D0CECE"/>
            <w:tcMar>
              <w:top w:w="0" w:type="dxa"/>
              <w:left w:w="40" w:type="dxa"/>
              <w:bottom w:w="0" w:type="dxa"/>
              <w:right w:w="40" w:type="dxa"/>
            </w:tcMar>
          </w:tcPr>
          <w:p w14:paraId="635381FA" w14:textId="77777777" w:rsidR="001902DF" w:rsidRDefault="00000000">
            <w:pPr>
              <w:spacing w:before="0" w:after="0" w:line="276" w:lineRule="auto"/>
              <w:jc w:val="center"/>
              <w:rPr>
                <w:rFonts w:ascii="Calibri" w:eastAsia="Calibri" w:hAnsi="Calibri" w:cs="Calibri"/>
              </w:rPr>
            </w:pPr>
            <w:r>
              <w:rPr>
                <w:rFonts w:ascii="Calibri" w:eastAsia="Calibri" w:hAnsi="Calibri" w:cs="Calibri"/>
                <w:b/>
              </w:rPr>
              <w:t>HATE SPEECH AND HATE CRIMES</w:t>
            </w:r>
          </w:p>
        </w:tc>
      </w:tr>
      <w:tr w:rsidR="001902DF" w14:paraId="08D29A23"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563A1CA5" w14:textId="77777777" w:rsidR="001902DF" w:rsidRDefault="00000000">
            <w:pPr>
              <w:spacing w:before="0" w:after="0" w:line="276" w:lineRule="auto"/>
              <w:jc w:val="left"/>
              <w:rPr>
                <w:rFonts w:ascii="Calibri" w:eastAsia="Calibri" w:hAnsi="Calibri" w:cs="Calibri"/>
              </w:rPr>
            </w:pPr>
            <w:proofErr w:type="spellStart"/>
            <w:r>
              <w:rPr>
                <w:rFonts w:ascii="Calibri" w:eastAsia="Calibri" w:hAnsi="Calibri" w:cs="Calibri"/>
              </w:rPr>
              <w:t>Racialised</w:t>
            </w:r>
            <w:proofErr w:type="spellEnd"/>
            <w:r>
              <w:rPr>
                <w:rFonts w:ascii="Calibri" w:eastAsia="Calibri" w:hAnsi="Calibri" w:cs="Calibri"/>
              </w:rPr>
              <w:t xml:space="preserve"> Propaganda and Abuse by Elected Officials</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E69B85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4, 5 &amp; 7, General Recommendations</w:t>
            </w:r>
            <w:hyperlink r:id="rId253">
              <w:r>
                <w:rPr>
                  <w:rFonts w:ascii="Calibri" w:eastAsia="Calibri" w:hAnsi="Calibri" w:cs="Calibri"/>
                </w:rPr>
                <w:t xml:space="preserve"> </w:t>
              </w:r>
            </w:hyperlink>
            <w:hyperlink r:id="rId254">
              <w:r>
                <w:rPr>
                  <w:rFonts w:ascii="Calibri" w:eastAsia="Calibri" w:hAnsi="Calibri" w:cs="Calibri"/>
                  <w:color w:val="1155CC"/>
                  <w:u w:val="single"/>
                </w:rPr>
                <w:t>15</w:t>
              </w:r>
            </w:hyperlink>
            <w:r>
              <w:rPr>
                <w:rFonts w:ascii="Calibri" w:eastAsia="Calibri" w:hAnsi="Calibri" w:cs="Calibri"/>
              </w:rPr>
              <w:t>,</w:t>
            </w:r>
            <w:hyperlink r:id="rId255">
              <w:r>
                <w:rPr>
                  <w:rFonts w:ascii="Calibri" w:eastAsia="Calibri" w:hAnsi="Calibri" w:cs="Calibri"/>
                </w:rPr>
                <w:t xml:space="preserve"> </w:t>
              </w:r>
            </w:hyperlink>
            <w:hyperlink r:id="rId256">
              <w:r>
                <w:rPr>
                  <w:rFonts w:ascii="Calibri" w:eastAsia="Calibri" w:hAnsi="Calibri" w:cs="Calibri"/>
                  <w:color w:val="1155CC"/>
                  <w:u w:val="single"/>
                </w:rPr>
                <w:t>30</w:t>
              </w:r>
            </w:hyperlink>
            <w:r>
              <w:rPr>
                <w:rFonts w:ascii="Calibri" w:eastAsia="Calibri" w:hAnsi="Calibri" w:cs="Calibri"/>
              </w:rPr>
              <w:t>,</w:t>
            </w:r>
            <w:hyperlink r:id="rId257">
              <w:r>
                <w:rPr>
                  <w:rFonts w:ascii="Calibri" w:eastAsia="Calibri" w:hAnsi="Calibri" w:cs="Calibri"/>
                </w:rPr>
                <w:t xml:space="preserve"> </w:t>
              </w:r>
            </w:hyperlink>
            <w:hyperlink r:id="rId258">
              <w:r>
                <w:rPr>
                  <w:rFonts w:ascii="Calibri" w:eastAsia="Calibri" w:hAnsi="Calibri" w:cs="Calibri"/>
                  <w:color w:val="1155CC"/>
                  <w:u w:val="single"/>
                </w:rPr>
                <w:t>35</w:t>
              </w:r>
            </w:hyperlink>
            <w:r>
              <w:rPr>
                <w:rFonts w:ascii="Calibri" w:eastAsia="Calibri" w:hAnsi="Calibri" w:cs="Calibri"/>
              </w:rPr>
              <w:t>,</w:t>
            </w:r>
            <w:hyperlink r:id="rId259">
              <w:r>
                <w:rPr>
                  <w:rFonts w:ascii="Calibri" w:eastAsia="Calibri" w:hAnsi="Calibri" w:cs="Calibri"/>
                </w:rPr>
                <w:t xml:space="preserve"> </w:t>
              </w:r>
            </w:hyperlink>
            <w:hyperlink r:id="rId260">
              <w:r>
                <w:rPr>
                  <w:rFonts w:ascii="Calibri" w:eastAsia="Calibri" w:hAnsi="Calibri" w:cs="Calibri"/>
                  <w:color w:val="1155CC"/>
                  <w:u w:val="single"/>
                </w:rPr>
                <w:t>36</w:t>
              </w:r>
            </w:hyperlink>
            <w:r>
              <w:rPr>
                <w:rFonts w:ascii="Calibri" w:eastAsia="Calibri" w:hAnsi="Calibri" w:cs="Calibri"/>
              </w:rPr>
              <w:t>,</w:t>
            </w:r>
            <w:hyperlink r:id="rId261">
              <w:r>
                <w:rPr>
                  <w:rFonts w:ascii="Calibri" w:eastAsia="Calibri" w:hAnsi="Calibri" w:cs="Calibri"/>
                </w:rPr>
                <w:t xml:space="preserve"> </w:t>
              </w:r>
            </w:hyperlink>
            <w:hyperlink r:id="rId262">
              <w:r>
                <w:rPr>
                  <w:rFonts w:ascii="Calibri" w:eastAsia="Calibri" w:hAnsi="Calibri" w:cs="Calibri"/>
                  <w:color w:val="1155CC"/>
                  <w:u w:val="single"/>
                </w:rPr>
                <w:t>37</w:t>
              </w:r>
            </w:hyperlink>
            <w:r>
              <w:rPr>
                <w:rFonts w:ascii="Calibri" w:eastAsia="Calibri" w:hAnsi="Calibri" w:cs="Calibri"/>
              </w:rPr>
              <w:t>; Concluding Observations (</w:t>
            </w:r>
            <w:hyperlink r:id="rId263">
              <w:r>
                <w:rPr>
                  <w:rFonts w:ascii="Calibri" w:eastAsia="Calibri" w:hAnsi="Calibri" w:cs="Calibri"/>
                  <w:color w:val="1155CC"/>
                  <w:u w:val="single"/>
                </w:rPr>
                <w:t>CERD/C/NZL/CO/21–22</w:t>
              </w:r>
            </w:hyperlink>
            <w:r>
              <w:rPr>
                <w:rFonts w:ascii="Calibri" w:eastAsia="Calibri" w:hAnsi="Calibri" w:cs="Calibri"/>
              </w:rPr>
              <w:t>)</w:t>
            </w:r>
          </w:p>
        </w:tc>
      </w:tr>
      <w:tr w:rsidR="001902DF" w14:paraId="7DA00F72" w14:textId="77777777">
        <w:trPr>
          <w:trHeight w:val="555"/>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126FD5BC" w14:textId="77777777" w:rsidR="001902DF" w:rsidRDefault="00000000">
            <w:pPr>
              <w:spacing w:before="0" w:after="0" w:line="276" w:lineRule="auto"/>
              <w:jc w:val="left"/>
              <w:rPr>
                <w:rFonts w:ascii="Calibri" w:eastAsia="Calibri" w:hAnsi="Calibri" w:cs="Calibri"/>
              </w:rPr>
            </w:pPr>
            <w:proofErr w:type="spellStart"/>
            <w:r>
              <w:rPr>
                <w:rFonts w:ascii="Calibri" w:eastAsia="Calibri" w:hAnsi="Calibri" w:cs="Calibri"/>
              </w:rPr>
              <w:t>Weaponisation</w:t>
            </w:r>
            <w:proofErr w:type="spellEnd"/>
            <w:r>
              <w:rPr>
                <w:rFonts w:ascii="Calibri" w:eastAsia="Calibri" w:hAnsi="Calibri" w:cs="Calibri"/>
              </w:rPr>
              <w:t xml:space="preserve"> of Human Rights Language</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767366E"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CERD Articles 2, 4, 5 &amp; 7, General Recommendations</w:t>
            </w:r>
            <w:hyperlink r:id="rId264">
              <w:r>
                <w:rPr>
                  <w:rFonts w:ascii="Calibri" w:eastAsia="Calibri" w:hAnsi="Calibri" w:cs="Calibri"/>
                </w:rPr>
                <w:t xml:space="preserve"> </w:t>
              </w:r>
            </w:hyperlink>
            <w:hyperlink r:id="rId265">
              <w:r>
                <w:rPr>
                  <w:rFonts w:ascii="Calibri" w:eastAsia="Calibri" w:hAnsi="Calibri" w:cs="Calibri"/>
                  <w:color w:val="1155CC"/>
                  <w:u w:val="single"/>
                </w:rPr>
                <w:t>32</w:t>
              </w:r>
            </w:hyperlink>
            <w:r>
              <w:rPr>
                <w:rFonts w:ascii="Calibri" w:eastAsia="Calibri" w:hAnsi="Calibri" w:cs="Calibri"/>
              </w:rPr>
              <w:t>,</w:t>
            </w:r>
            <w:hyperlink r:id="rId266">
              <w:r>
                <w:rPr>
                  <w:rFonts w:ascii="Calibri" w:eastAsia="Calibri" w:hAnsi="Calibri" w:cs="Calibri"/>
                </w:rPr>
                <w:t xml:space="preserve"> </w:t>
              </w:r>
            </w:hyperlink>
            <w:hyperlink r:id="rId267">
              <w:r>
                <w:rPr>
                  <w:rFonts w:ascii="Calibri" w:eastAsia="Calibri" w:hAnsi="Calibri" w:cs="Calibri"/>
                  <w:color w:val="1155CC"/>
                  <w:u w:val="single"/>
                </w:rPr>
                <w:t>35</w:t>
              </w:r>
            </w:hyperlink>
            <w:r>
              <w:rPr>
                <w:rFonts w:ascii="Calibri" w:eastAsia="Calibri" w:hAnsi="Calibri" w:cs="Calibri"/>
              </w:rPr>
              <w:t>,</w:t>
            </w:r>
            <w:hyperlink r:id="rId268">
              <w:r>
                <w:rPr>
                  <w:rFonts w:ascii="Calibri" w:eastAsia="Calibri" w:hAnsi="Calibri" w:cs="Calibri"/>
                </w:rPr>
                <w:t xml:space="preserve"> </w:t>
              </w:r>
            </w:hyperlink>
            <w:hyperlink r:id="rId269">
              <w:r>
                <w:rPr>
                  <w:rFonts w:ascii="Calibri" w:eastAsia="Calibri" w:hAnsi="Calibri" w:cs="Calibri"/>
                  <w:color w:val="1155CC"/>
                  <w:u w:val="single"/>
                </w:rPr>
                <w:t>23</w:t>
              </w:r>
            </w:hyperlink>
            <w:r>
              <w:rPr>
                <w:rFonts w:ascii="Calibri" w:eastAsia="Calibri" w:hAnsi="Calibri" w:cs="Calibri"/>
              </w:rPr>
              <w:t>,</w:t>
            </w:r>
            <w:hyperlink r:id="rId270">
              <w:r>
                <w:rPr>
                  <w:rFonts w:ascii="Calibri" w:eastAsia="Calibri" w:hAnsi="Calibri" w:cs="Calibri"/>
                </w:rPr>
                <w:t xml:space="preserve"> </w:t>
              </w:r>
            </w:hyperlink>
            <w:hyperlink r:id="rId271">
              <w:r>
                <w:rPr>
                  <w:rFonts w:ascii="Calibri" w:eastAsia="Calibri" w:hAnsi="Calibri" w:cs="Calibri"/>
                  <w:color w:val="1155CC"/>
                  <w:u w:val="single"/>
                </w:rPr>
                <w:t>37</w:t>
              </w:r>
            </w:hyperlink>
            <w:r>
              <w:rPr>
                <w:rFonts w:ascii="Calibri" w:eastAsia="Calibri" w:hAnsi="Calibri" w:cs="Calibri"/>
              </w:rPr>
              <w:t>; Concluding Observations (</w:t>
            </w:r>
            <w:hyperlink r:id="rId272">
              <w:r>
                <w:rPr>
                  <w:rFonts w:ascii="Calibri" w:eastAsia="Calibri" w:hAnsi="Calibri" w:cs="Calibri"/>
                  <w:color w:val="1155CC"/>
                  <w:u w:val="single"/>
                </w:rPr>
                <w:t>CERD/C/NZL/CO/21–22</w:t>
              </w:r>
            </w:hyperlink>
          </w:p>
        </w:tc>
      </w:tr>
      <w:tr w:rsidR="001902DF" w14:paraId="0FBEA14D" w14:textId="77777777">
        <w:trPr>
          <w:trHeight w:val="638"/>
        </w:trPr>
        <w:tc>
          <w:tcPr>
            <w:tcW w:w="4200"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007D816D"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Cessation of Christchurch Royal Commission Recommendations</w:t>
            </w:r>
          </w:p>
        </w:tc>
        <w:tc>
          <w:tcPr>
            <w:tcW w:w="8895" w:type="dxa"/>
            <w:tcBorders>
              <w:top w:val="single" w:sz="4" w:space="0" w:color="CCCCCC"/>
              <w:left w:val="single" w:sz="4" w:space="0" w:color="CCCCCC"/>
              <w:bottom w:val="single" w:sz="4" w:space="0" w:color="CCCCCC"/>
              <w:right w:val="single" w:sz="4" w:space="0" w:color="CCCCCC"/>
            </w:tcBorders>
            <w:tcMar>
              <w:top w:w="0" w:type="dxa"/>
              <w:left w:w="40" w:type="dxa"/>
              <w:bottom w:w="0" w:type="dxa"/>
              <w:right w:w="40" w:type="dxa"/>
            </w:tcMar>
          </w:tcPr>
          <w:p w14:paraId="69DAF38F" w14:textId="77777777" w:rsidR="001902DF" w:rsidRDefault="00000000">
            <w:pPr>
              <w:spacing w:before="0" w:after="0" w:line="276" w:lineRule="auto"/>
              <w:jc w:val="left"/>
              <w:rPr>
                <w:rFonts w:ascii="Calibri" w:eastAsia="Calibri" w:hAnsi="Calibri" w:cs="Calibri"/>
              </w:rPr>
            </w:pPr>
            <w:r>
              <w:rPr>
                <w:rFonts w:ascii="Calibri" w:eastAsia="Calibri" w:hAnsi="Calibri" w:cs="Calibri"/>
              </w:rPr>
              <w:t xml:space="preserve">CERD Articles 2, 4, 5, 6 &amp; 7; General recommendation </w:t>
            </w:r>
            <w:proofErr w:type="spellStart"/>
            <w:r>
              <w:rPr>
                <w:rFonts w:ascii="Calibri" w:eastAsia="Calibri" w:hAnsi="Calibri" w:cs="Calibri"/>
              </w:rPr>
              <w:t>No.s</w:t>
            </w:r>
            <w:proofErr w:type="spellEnd"/>
            <w:hyperlink r:id="rId273">
              <w:r>
                <w:rPr>
                  <w:rFonts w:ascii="Calibri" w:eastAsia="Calibri" w:hAnsi="Calibri" w:cs="Calibri"/>
                </w:rPr>
                <w:t xml:space="preserve"> </w:t>
              </w:r>
            </w:hyperlink>
            <w:hyperlink r:id="rId274">
              <w:r>
                <w:rPr>
                  <w:rFonts w:ascii="Calibri" w:eastAsia="Calibri" w:hAnsi="Calibri" w:cs="Calibri"/>
                  <w:color w:val="1155CC"/>
                  <w:u w:val="single"/>
                </w:rPr>
                <w:t>30</w:t>
              </w:r>
            </w:hyperlink>
            <w:r>
              <w:rPr>
                <w:rFonts w:ascii="Calibri" w:eastAsia="Calibri" w:hAnsi="Calibri" w:cs="Calibri"/>
              </w:rPr>
              <w:t>,</w:t>
            </w:r>
            <w:hyperlink r:id="rId275">
              <w:r>
                <w:rPr>
                  <w:rFonts w:ascii="Calibri" w:eastAsia="Calibri" w:hAnsi="Calibri" w:cs="Calibri"/>
                </w:rPr>
                <w:t xml:space="preserve"> </w:t>
              </w:r>
            </w:hyperlink>
            <w:hyperlink r:id="rId276">
              <w:r>
                <w:rPr>
                  <w:rFonts w:ascii="Calibri" w:eastAsia="Calibri" w:hAnsi="Calibri" w:cs="Calibri"/>
                  <w:color w:val="1155CC"/>
                  <w:u w:val="single"/>
                </w:rPr>
                <w:t>31</w:t>
              </w:r>
            </w:hyperlink>
            <w:r>
              <w:rPr>
                <w:rFonts w:ascii="Calibri" w:eastAsia="Calibri" w:hAnsi="Calibri" w:cs="Calibri"/>
              </w:rPr>
              <w:t>,</w:t>
            </w:r>
            <w:hyperlink r:id="rId277">
              <w:r>
                <w:rPr>
                  <w:rFonts w:ascii="Calibri" w:eastAsia="Calibri" w:hAnsi="Calibri" w:cs="Calibri"/>
                </w:rPr>
                <w:t xml:space="preserve"> </w:t>
              </w:r>
            </w:hyperlink>
            <w:hyperlink r:id="rId278">
              <w:r>
                <w:rPr>
                  <w:rFonts w:ascii="Calibri" w:eastAsia="Calibri" w:hAnsi="Calibri" w:cs="Calibri"/>
                  <w:color w:val="1155CC"/>
                  <w:u w:val="single"/>
                </w:rPr>
                <w:t>35</w:t>
              </w:r>
            </w:hyperlink>
            <w:r>
              <w:rPr>
                <w:rFonts w:ascii="Calibri" w:eastAsia="Calibri" w:hAnsi="Calibri" w:cs="Calibri"/>
              </w:rPr>
              <w:t>,</w:t>
            </w:r>
            <w:hyperlink r:id="rId279">
              <w:r>
                <w:rPr>
                  <w:rFonts w:ascii="Calibri" w:eastAsia="Calibri" w:hAnsi="Calibri" w:cs="Calibri"/>
                </w:rPr>
                <w:t xml:space="preserve"> </w:t>
              </w:r>
            </w:hyperlink>
            <w:hyperlink r:id="rId280">
              <w:r>
                <w:rPr>
                  <w:rFonts w:ascii="Calibri" w:eastAsia="Calibri" w:hAnsi="Calibri" w:cs="Calibri"/>
                  <w:color w:val="1155CC"/>
                  <w:u w:val="single"/>
                </w:rPr>
                <w:t>36</w:t>
              </w:r>
            </w:hyperlink>
            <w:r>
              <w:rPr>
                <w:rFonts w:ascii="Calibri" w:eastAsia="Calibri" w:hAnsi="Calibri" w:cs="Calibri"/>
              </w:rPr>
              <w:t>,</w:t>
            </w:r>
            <w:hyperlink r:id="rId281">
              <w:r>
                <w:rPr>
                  <w:rFonts w:ascii="Calibri" w:eastAsia="Calibri" w:hAnsi="Calibri" w:cs="Calibri"/>
                </w:rPr>
                <w:t xml:space="preserve"> </w:t>
              </w:r>
            </w:hyperlink>
            <w:hyperlink r:id="rId282">
              <w:r>
                <w:rPr>
                  <w:rFonts w:ascii="Calibri" w:eastAsia="Calibri" w:hAnsi="Calibri" w:cs="Calibri"/>
                  <w:color w:val="1155CC"/>
                  <w:u w:val="single"/>
                </w:rPr>
                <w:t>37</w:t>
              </w:r>
            </w:hyperlink>
            <w:r>
              <w:rPr>
                <w:rFonts w:ascii="Calibri" w:eastAsia="Calibri" w:hAnsi="Calibri" w:cs="Calibri"/>
              </w:rPr>
              <w:t>; 2017 Concluding Observations (</w:t>
            </w:r>
            <w:hyperlink r:id="rId283">
              <w:r>
                <w:rPr>
                  <w:rFonts w:ascii="Calibri" w:eastAsia="Calibri" w:hAnsi="Calibri" w:cs="Calibri"/>
                  <w:color w:val="1155CC"/>
                  <w:u w:val="single"/>
                </w:rPr>
                <w:t>CERD/C/NZL/CO/21–22</w:t>
              </w:r>
            </w:hyperlink>
            <w:r>
              <w:rPr>
                <w:rFonts w:ascii="Calibri" w:eastAsia="Calibri" w:hAnsi="Calibri" w:cs="Calibri"/>
              </w:rPr>
              <w:t>); 2023 CERD Early Dialogue;</w:t>
            </w:r>
            <w:hyperlink r:id="rId284" w:anchor=":~:text=1.,risks%20around%20COVID%2D19).">
              <w:r>
                <w:rPr>
                  <w:rFonts w:ascii="Calibri" w:eastAsia="Calibri" w:hAnsi="Calibri" w:cs="Calibri"/>
                </w:rPr>
                <w:t xml:space="preserve"> </w:t>
              </w:r>
            </w:hyperlink>
            <w:hyperlink r:id="rId285" w:anchor=":~:text=1.,risks%20around%20COVID%2D19).">
              <w:r>
                <w:rPr>
                  <w:rFonts w:ascii="Calibri" w:eastAsia="Calibri" w:hAnsi="Calibri" w:cs="Calibri"/>
                  <w:color w:val="1155CC"/>
                  <w:u w:val="single"/>
                </w:rPr>
                <w:t>CERD follow-up procedure 2022</w:t>
              </w:r>
            </w:hyperlink>
          </w:p>
        </w:tc>
      </w:tr>
    </w:tbl>
    <w:p w14:paraId="1F3EB894" w14:textId="77777777" w:rsidR="001902DF" w:rsidRDefault="001902DF"/>
    <w:sectPr w:rsidR="001902DF">
      <w:pgSz w:w="15840" w:h="12240" w:orient="landscape"/>
      <w:pgMar w:top="1360" w:right="1320" w:bottom="1201" w:left="1417"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95F46" w14:textId="77777777" w:rsidR="002951B3" w:rsidRDefault="002951B3">
      <w:pPr>
        <w:spacing w:before="0" w:after="0" w:line="240" w:lineRule="auto"/>
      </w:pPr>
      <w:r>
        <w:separator/>
      </w:r>
    </w:p>
  </w:endnote>
  <w:endnote w:type="continuationSeparator" w:id="0">
    <w:p w14:paraId="5218842E" w14:textId="77777777" w:rsidR="002951B3" w:rsidRDefault="002951B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C248CECA-4873-4FE4-9375-8AE7CE45A89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787E5F82-A153-48ED-AD01-8E98527F2E3E}"/>
  </w:font>
  <w:font w:name="Calibri">
    <w:panose1 w:val="020F0502020204030204"/>
    <w:charset w:val="00"/>
    <w:family w:val="swiss"/>
    <w:pitch w:val="variable"/>
    <w:sig w:usb0="E4002EFF" w:usb1="C200247B" w:usb2="00000009" w:usb3="00000000" w:csb0="000001FF" w:csb1="00000000"/>
    <w:embedRegular r:id="rId3" w:fontKey="{755A933A-5148-4027-AA57-39A9391B8E8E}"/>
    <w:embedBold r:id="rId4" w:fontKey="{41355A02-307D-4CD0-B3FB-E25A1ABBC5B7}"/>
  </w:font>
  <w:font w:name="Georgia">
    <w:panose1 w:val="02040502050405020303"/>
    <w:charset w:val="00"/>
    <w:family w:val="roman"/>
    <w:pitch w:val="variable"/>
    <w:sig w:usb0="00000287" w:usb1="00000000" w:usb2="00000000" w:usb3="00000000" w:csb0="0000009F" w:csb1="00000000"/>
    <w:embedRegular r:id="rId5" w:fontKey="{8D792D92-DEEE-4C44-8753-02604CFFB210}"/>
    <w:embedItalic r:id="rId6" w:fontKey="{33F06D45-A207-41AB-9110-775D8BC08F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1D94A" w14:textId="77777777" w:rsidR="001902DF" w:rsidRDefault="00000000">
    <w:pPr>
      <w:jc w:val="right"/>
      <w:rPr>
        <w:color w:val="000000"/>
        <w:sz w:val="20"/>
        <w:szCs w:val="20"/>
      </w:rPr>
    </w:pPr>
    <w:r>
      <w:rPr>
        <w:sz w:val="20"/>
        <w:szCs w:val="20"/>
      </w:rPr>
      <w:fldChar w:fldCharType="begin"/>
    </w:r>
    <w:r>
      <w:rPr>
        <w:sz w:val="20"/>
        <w:szCs w:val="20"/>
      </w:rPr>
      <w:instrText>PAGE</w:instrText>
    </w:r>
    <w:r>
      <w:rPr>
        <w:sz w:val="20"/>
        <w:szCs w:val="20"/>
      </w:rPr>
      <w:fldChar w:fldCharType="separate"/>
    </w:r>
    <w:r w:rsidR="00C12521">
      <w:rPr>
        <w:noProof/>
        <w:sz w:val="20"/>
        <w:szCs w:val="20"/>
      </w:rPr>
      <w:t>1</w:t>
    </w:r>
    <w:r>
      <w:rPr>
        <w:sz w:val="20"/>
        <w:szCs w:val="20"/>
      </w:rPr>
      <w:fldChar w:fldCharType="end"/>
    </w:r>
    <w:r>
      <w:rPr>
        <w:noProof/>
      </w:rPr>
      <mc:AlternateContent>
        <mc:Choice Requires="wpg">
          <w:drawing>
            <wp:anchor distT="0" distB="0" distL="0" distR="0" simplePos="0" relativeHeight="251658240" behindDoc="1" locked="0" layoutInCell="1" hidden="0" allowOverlap="1" wp14:anchorId="2364C05B" wp14:editId="6B34169B">
              <wp:simplePos x="0" y="0"/>
              <wp:positionH relativeFrom="column">
                <wp:posOffset>5892800</wp:posOffset>
              </wp:positionH>
              <wp:positionV relativeFrom="paragraph">
                <wp:posOffset>9271000</wp:posOffset>
              </wp:positionV>
              <wp:extent cx="169545" cy="175260"/>
              <wp:effectExtent l="0" t="0" r="0" b="0"/>
              <wp:wrapNone/>
              <wp:docPr id="2029506130" name="Rectangle 2029506130"/>
              <wp:cNvGraphicFramePr/>
              <a:graphic xmlns:a="http://schemas.openxmlformats.org/drawingml/2006/main">
                <a:graphicData uri="http://schemas.microsoft.com/office/word/2010/wordprocessingShape">
                  <wps:wsp>
                    <wps:cNvSpPr/>
                    <wps:spPr>
                      <a:xfrm>
                        <a:off x="5265990" y="3697133"/>
                        <a:ext cx="160020" cy="165735"/>
                      </a:xfrm>
                      <a:prstGeom prst="rect">
                        <a:avLst/>
                      </a:prstGeom>
                      <a:noFill/>
                      <a:ln>
                        <a:noFill/>
                      </a:ln>
                    </wps:spPr>
                    <wps:txbx>
                      <w:txbxContent>
                        <w:p w14:paraId="564CDE4B" w14:textId="77777777" w:rsidR="001902DF" w:rsidRDefault="00000000">
                          <w:pPr>
                            <w:spacing w:line="245" w:lineRule="auto"/>
                            <w:ind w:left="60" w:firstLine="60"/>
                            <w:textDirection w:val="btLr"/>
                          </w:pPr>
                          <w:r>
                            <w:rPr>
                              <w:rFonts w:ascii="Calibri" w:eastAsia="Calibri" w:hAnsi="Calibri" w:cs="Calibri"/>
                              <w:color w:val="000000"/>
                            </w:rPr>
                            <w:t xml:space="preserve"> PAGE 1</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5892800</wp:posOffset>
              </wp:positionH>
              <wp:positionV relativeFrom="paragraph">
                <wp:posOffset>9271000</wp:posOffset>
              </wp:positionV>
              <wp:extent cx="169545" cy="175260"/>
              <wp:effectExtent b="0" l="0" r="0" t="0"/>
              <wp:wrapNone/>
              <wp:docPr id="2029506130"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169545" cy="175260"/>
                      </a:xfrm>
                      <a:prstGeom prst="rect"/>
                      <a:ln/>
                    </pic:spPr>
                  </pic:pic>
                </a:graphicData>
              </a:graphic>
            </wp:anchor>
          </w:drawing>
        </mc:Fallback>
      </mc:AlternateContent>
    </w:r>
    <w:r>
      <w:rPr>
        <w:noProof/>
      </w:rPr>
      <mc:AlternateContent>
        <mc:Choice Requires="wpg">
          <w:drawing>
            <wp:anchor distT="0" distB="0" distL="0" distR="0" simplePos="0" relativeHeight="251659264" behindDoc="1" locked="0" layoutInCell="1" hidden="0" allowOverlap="1" wp14:anchorId="48543750" wp14:editId="61DACD67">
              <wp:simplePos x="0" y="0"/>
              <wp:positionH relativeFrom="column">
                <wp:posOffset>-371474</wp:posOffset>
              </wp:positionH>
              <wp:positionV relativeFrom="paragraph">
                <wp:posOffset>1066800</wp:posOffset>
              </wp:positionV>
              <wp:extent cx="3725863" cy="3938335"/>
              <wp:effectExtent l="0" t="0" r="0" b="0"/>
              <wp:wrapNone/>
              <wp:docPr id="2029506131" name="Freeform: Shape 2029506131"/>
              <wp:cNvGraphicFramePr/>
              <a:graphic xmlns:a="http://schemas.openxmlformats.org/drawingml/2006/main">
                <a:graphicData uri="http://schemas.microsoft.com/office/word/2010/wordprocessingShape">
                  <wps:wsp>
                    <wps:cNvSpPr/>
                    <wps:spPr>
                      <a:xfrm>
                        <a:off x="3010470" y="1313025"/>
                        <a:ext cx="4671060" cy="4933950"/>
                      </a:xfrm>
                      <a:custGeom>
                        <a:avLst/>
                        <a:gdLst/>
                        <a:ahLst/>
                        <a:cxnLst/>
                        <a:rect l="l" t="t" r="r" b="b"/>
                        <a:pathLst>
                          <a:path w="4671060" h="4933950" extrusionOk="0">
                            <a:moveTo>
                              <a:pt x="1768576" y="4341165"/>
                            </a:moveTo>
                            <a:lnTo>
                              <a:pt x="1763433" y="4285246"/>
                            </a:lnTo>
                            <a:lnTo>
                              <a:pt x="1752358" y="4227957"/>
                            </a:lnTo>
                            <a:lnTo>
                              <a:pt x="1740890" y="4186199"/>
                            </a:lnTo>
                            <a:lnTo>
                              <a:pt x="1726628" y="4143641"/>
                            </a:lnTo>
                            <a:lnTo>
                              <a:pt x="1709470" y="4100271"/>
                            </a:lnTo>
                            <a:lnTo>
                              <a:pt x="1689366" y="4056037"/>
                            </a:lnTo>
                            <a:lnTo>
                              <a:pt x="1666252" y="4010952"/>
                            </a:lnTo>
                            <a:lnTo>
                              <a:pt x="1640078" y="3964978"/>
                            </a:lnTo>
                            <a:lnTo>
                              <a:pt x="1610753" y="3918077"/>
                            </a:lnTo>
                            <a:lnTo>
                              <a:pt x="1586179" y="3881386"/>
                            </a:lnTo>
                            <a:lnTo>
                              <a:pt x="1570266" y="3859047"/>
                            </a:lnTo>
                            <a:lnTo>
                              <a:pt x="1570266" y="4303115"/>
                            </a:lnTo>
                            <a:lnTo>
                              <a:pt x="1568462" y="4351655"/>
                            </a:lnTo>
                            <a:lnTo>
                              <a:pt x="1560207" y="4398391"/>
                            </a:lnTo>
                            <a:lnTo>
                              <a:pt x="1544929" y="4443666"/>
                            </a:lnTo>
                            <a:lnTo>
                              <a:pt x="1521891" y="4487646"/>
                            </a:lnTo>
                            <a:lnTo>
                              <a:pt x="1491208" y="4530623"/>
                            </a:lnTo>
                            <a:lnTo>
                              <a:pt x="1453019" y="4572889"/>
                            </a:lnTo>
                            <a:lnTo>
                              <a:pt x="1333639" y="4692142"/>
                            </a:lnTo>
                            <a:lnTo>
                              <a:pt x="241058" y="3599561"/>
                            </a:lnTo>
                            <a:lnTo>
                              <a:pt x="359029" y="3481578"/>
                            </a:lnTo>
                            <a:lnTo>
                              <a:pt x="404418" y="3441001"/>
                            </a:lnTo>
                            <a:lnTo>
                              <a:pt x="450748" y="3409378"/>
                            </a:lnTo>
                            <a:lnTo>
                              <a:pt x="498144" y="3387001"/>
                            </a:lnTo>
                            <a:lnTo>
                              <a:pt x="546747" y="3374136"/>
                            </a:lnTo>
                            <a:lnTo>
                              <a:pt x="596544" y="3368979"/>
                            </a:lnTo>
                            <a:lnTo>
                              <a:pt x="647547" y="3369754"/>
                            </a:lnTo>
                            <a:lnTo>
                              <a:pt x="699833" y="3376930"/>
                            </a:lnTo>
                            <a:lnTo>
                              <a:pt x="753503" y="3390900"/>
                            </a:lnTo>
                            <a:lnTo>
                              <a:pt x="797293" y="3406686"/>
                            </a:lnTo>
                            <a:lnTo>
                              <a:pt x="841616" y="3425914"/>
                            </a:lnTo>
                            <a:lnTo>
                              <a:pt x="886447" y="3448723"/>
                            </a:lnTo>
                            <a:lnTo>
                              <a:pt x="931710" y="3475240"/>
                            </a:lnTo>
                            <a:lnTo>
                              <a:pt x="977404" y="3505581"/>
                            </a:lnTo>
                            <a:lnTo>
                              <a:pt x="1016076" y="3533864"/>
                            </a:lnTo>
                            <a:lnTo>
                              <a:pt x="1054620" y="3563759"/>
                            </a:lnTo>
                            <a:lnTo>
                              <a:pt x="1093038" y="3595332"/>
                            </a:lnTo>
                            <a:lnTo>
                              <a:pt x="1131328" y="3628644"/>
                            </a:lnTo>
                            <a:lnTo>
                              <a:pt x="1169479" y="3663772"/>
                            </a:lnTo>
                            <a:lnTo>
                              <a:pt x="1207528" y="3700780"/>
                            </a:lnTo>
                            <a:lnTo>
                              <a:pt x="1247267" y="3741293"/>
                            </a:lnTo>
                            <a:lnTo>
                              <a:pt x="1284630" y="3780980"/>
                            </a:lnTo>
                            <a:lnTo>
                              <a:pt x="1319631" y="3819829"/>
                            </a:lnTo>
                            <a:lnTo>
                              <a:pt x="1352283" y="3857866"/>
                            </a:lnTo>
                            <a:lnTo>
                              <a:pt x="1382572" y="3895077"/>
                            </a:lnTo>
                            <a:lnTo>
                              <a:pt x="1410512" y="3931488"/>
                            </a:lnTo>
                            <a:lnTo>
                              <a:pt x="1436128" y="3967099"/>
                            </a:lnTo>
                            <a:lnTo>
                              <a:pt x="1468462" y="4016273"/>
                            </a:lnTo>
                            <a:lnTo>
                              <a:pt x="1496021" y="4064101"/>
                            </a:lnTo>
                            <a:lnTo>
                              <a:pt x="1519059" y="4110596"/>
                            </a:lnTo>
                            <a:lnTo>
                              <a:pt x="1537868" y="4155783"/>
                            </a:lnTo>
                            <a:lnTo>
                              <a:pt x="1552714" y="4199636"/>
                            </a:lnTo>
                            <a:lnTo>
                              <a:pt x="1565160" y="4252519"/>
                            </a:lnTo>
                            <a:lnTo>
                              <a:pt x="1570266" y="4303115"/>
                            </a:lnTo>
                            <a:lnTo>
                              <a:pt x="1570266" y="3859047"/>
                            </a:lnTo>
                            <a:lnTo>
                              <a:pt x="1531353" y="3806571"/>
                            </a:lnTo>
                            <a:lnTo>
                              <a:pt x="1501127" y="3768458"/>
                            </a:lnTo>
                            <a:lnTo>
                              <a:pt x="1469009" y="3729901"/>
                            </a:lnTo>
                            <a:lnTo>
                              <a:pt x="1435036" y="3690886"/>
                            </a:lnTo>
                            <a:lnTo>
                              <a:pt x="1399197" y="3651427"/>
                            </a:lnTo>
                            <a:lnTo>
                              <a:pt x="1361490" y="3611549"/>
                            </a:lnTo>
                            <a:lnTo>
                              <a:pt x="1321955" y="3571240"/>
                            </a:lnTo>
                            <a:lnTo>
                              <a:pt x="1282509" y="3532657"/>
                            </a:lnTo>
                            <a:lnTo>
                              <a:pt x="1243164" y="3495878"/>
                            </a:lnTo>
                            <a:lnTo>
                              <a:pt x="1203947" y="3460915"/>
                            </a:lnTo>
                            <a:lnTo>
                              <a:pt x="1164882" y="3427780"/>
                            </a:lnTo>
                            <a:lnTo>
                              <a:pt x="1125994" y="3396500"/>
                            </a:lnTo>
                            <a:lnTo>
                              <a:pt x="1089787" y="3368979"/>
                            </a:lnTo>
                            <a:lnTo>
                              <a:pt x="1048867" y="3339566"/>
                            </a:lnTo>
                            <a:lnTo>
                              <a:pt x="1010678" y="3313938"/>
                            </a:lnTo>
                            <a:lnTo>
                              <a:pt x="960145" y="3282899"/>
                            </a:lnTo>
                            <a:lnTo>
                              <a:pt x="910082" y="3255441"/>
                            </a:lnTo>
                            <a:lnTo>
                              <a:pt x="860539" y="3231477"/>
                            </a:lnTo>
                            <a:lnTo>
                              <a:pt x="811580" y="3210852"/>
                            </a:lnTo>
                            <a:lnTo>
                              <a:pt x="763270" y="3193478"/>
                            </a:lnTo>
                            <a:lnTo>
                              <a:pt x="715657" y="3179191"/>
                            </a:lnTo>
                            <a:lnTo>
                              <a:pt x="659765" y="3167748"/>
                            </a:lnTo>
                            <a:lnTo>
                              <a:pt x="605053" y="3161792"/>
                            </a:lnTo>
                            <a:lnTo>
                              <a:pt x="551586" y="3161131"/>
                            </a:lnTo>
                            <a:lnTo>
                              <a:pt x="499402" y="3165602"/>
                            </a:lnTo>
                            <a:lnTo>
                              <a:pt x="448576" y="3175000"/>
                            </a:lnTo>
                            <a:lnTo>
                              <a:pt x="407212" y="3187319"/>
                            </a:lnTo>
                            <a:lnTo>
                              <a:pt x="366547" y="3204489"/>
                            </a:lnTo>
                            <a:lnTo>
                              <a:pt x="326567" y="3226422"/>
                            </a:lnTo>
                            <a:lnTo>
                              <a:pt x="287261" y="3253003"/>
                            </a:lnTo>
                            <a:lnTo>
                              <a:pt x="248602" y="3284118"/>
                            </a:lnTo>
                            <a:lnTo>
                              <a:pt x="210578" y="3319653"/>
                            </a:lnTo>
                            <a:lnTo>
                              <a:pt x="13093" y="3517138"/>
                            </a:lnTo>
                            <a:lnTo>
                              <a:pt x="0" y="3548456"/>
                            </a:lnTo>
                            <a:lnTo>
                              <a:pt x="393" y="3562350"/>
                            </a:lnTo>
                            <a:lnTo>
                              <a:pt x="27305" y="3615829"/>
                            </a:lnTo>
                            <a:lnTo>
                              <a:pt x="1298079" y="4888357"/>
                            </a:lnTo>
                            <a:lnTo>
                              <a:pt x="1337411" y="4920539"/>
                            </a:lnTo>
                            <a:lnTo>
                              <a:pt x="1385392" y="4933861"/>
                            </a:lnTo>
                            <a:lnTo>
                              <a:pt x="1397977" y="4932070"/>
                            </a:lnTo>
                            <a:lnTo>
                              <a:pt x="1601863" y="4736592"/>
                            </a:lnTo>
                            <a:lnTo>
                              <a:pt x="1637106" y="4698847"/>
                            </a:lnTo>
                            <a:lnTo>
                              <a:pt x="1642516" y="4692142"/>
                            </a:lnTo>
                            <a:lnTo>
                              <a:pt x="1668170" y="4660392"/>
                            </a:lnTo>
                            <a:lnTo>
                              <a:pt x="1695005" y="4621212"/>
                            </a:lnTo>
                            <a:lnTo>
                              <a:pt x="1717624" y="4581334"/>
                            </a:lnTo>
                            <a:lnTo>
                              <a:pt x="1735988" y="4540707"/>
                            </a:lnTo>
                            <a:lnTo>
                              <a:pt x="1750072" y="4499356"/>
                            </a:lnTo>
                            <a:lnTo>
                              <a:pt x="1761731" y="4448365"/>
                            </a:lnTo>
                            <a:lnTo>
                              <a:pt x="1767954" y="4395584"/>
                            </a:lnTo>
                            <a:lnTo>
                              <a:pt x="1768449" y="4351655"/>
                            </a:lnTo>
                            <a:lnTo>
                              <a:pt x="1768576" y="4341165"/>
                            </a:lnTo>
                            <a:close/>
                          </a:path>
                          <a:path w="4671060" h="4933950" extrusionOk="0">
                            <a:moveTo>
                              <a:pt x="2792996" y="3534283"/>
                            </a:moveTo>
                            <a:lnTo>
                              <a:pt x="2771660" y="3501059"/>
                            </a:lnTo>
                            <a:lnTo>
                              <a:pt x="2737955" y="3476218"/>
                            </a:lnTo>
                            <a:lnTo>
                              <a:pt x="2682379" y="3441192"/>
                            </a:lnTo>
                            <a:lnTo>
                              <a:pt x="2349500" y="3242741"/>
                            </a:lnTo>
                            <a:lnTo>
                              <a:pt x="2315743" y="3222498"/>
                            </a:lnTo>
                            <a:lnTo>
                              <a:pt x="2262314" y="3190659"/>
                            </a:lnTo>
                            <a:lnTo>
                              <a:pt x="2172474" y="3141599"/>
                            </a:lnTo>
                            <a:lnTo>
                              <a:pt x="2118995" y="3115348"/>
                            </a:lnTo>
                            <a:lnTo>
                              <a:pt x="2069350" y="3094990"/>
                            </a:lnTo>
                            <a:lnTo>
                              <a:pt x="2023160" y="3080740"/>
                            </a:lnTo>
                            <a:lnTo>
                              <a:pt x="1985175" y="3072638"/>
                            </a:lnTo>
                            <a:lnTo>
                              <a:pt x="1940394" y="3069082"/>
                            </a:lnTo>
                            <a:lnTo>
                              <a:pt x="1921268" y="3070199"/>
                            </a:lnTo>
                            <a:lnTo>
                              <a:pt x="1902853" y="3072638"/>
                            </a:lnTo>
                            <a:lnTo>
                              <a:pt x="1910168" y="3042564"/>
                            </a:lnTo>
                            <a:lnTo>
                              <a:pt x="1915261" y="3012033"/>
                            </a:lnTo>
                            <a:lnTo>
                              <a:pt x="1918208" y="2981172"/>
                            </a:lnTo>
                            <a:lnTo>
                              <a:pt x="1919109" y="2950083"/>
                            </a:lnTo>
                            <a:lnTo>
                              <a:pt x="1917763" y="2918739"/>
                            </a:lnTo>
                            <a:lnTo>
                              <a:pt x="1907133" y="2854718"/>
                            </a:lnTo>
                            <a:lnTo>
                              <a:pt x="1885899" y="2789555"/>
                            </a:lnTo>
                            <a:lnTo>
                              <a:pt x="1853958" y="2723019"/>
                            </a:lnTo>
                            <a:lnTo>
                              <a:pt x="1833130" y="2688844"/>
                            </a:lnTo>
                            <a:lnTo>
                              <a:pt x="1809356" y="2655366"/>
                            </a:lnTo>
                            <a:lnTo>
                              <a:pt x="1782394" y="2621216"/>
                            </a:lnTo>
                            <a:lnTo>
                              <a:pt x="1752130" y="2586520"/>
                            </a:lnTo>
                            <a:lnTo>
                              <a:pt x="1745500" y="2579598"/>
                            </a:lnTo>
                            <a:lnTo>
                              <a:pt x="1745500" y="2959582"/>
                            </a:lnTo>
                            <a:lnTo>
                              <a:pt x="1742440" y="2985579"/>
                            </a:lnTo>
                            <a:lnTo>
                              <a:pt x="1726895" y="3036824"/>
                            </a:lnTo>
                            <a:lnTo>
                              <a:pt x="1696275" y="3086049"/>
                            </a:lnTo>
                            <a:lnTo>
                              <a:pt x="1562112" y="3222498"/>
                            </a:lnTo>
                            <a:lnTo>
                              <a:pt x="1089037" y="2749423"/>
                            </a:lnTo>
                            <a:lnTo>
                              <a:pt x="1186700" y="2651760"/>
                            </a:lnTo>
                            <a:lnTo>
                              <a:pt x="1218831" y="2621216"/>
                            </a:lnTo>
                            <a:lnTo>
                              <a:pt x="1258062" y="2590635"/>
                            </a:lnTo>
                            <a:lnTo>
                              <a:pt x="1294523" y="2572131"/>
                            </a:lnTo>
                            <a:lnTo>
                              <a:pt x="1333703" y="2561602"/>
                            </a:lnTo>
                            <a:lnTo>
                              <a:pt x="1373162" y="2558707"/>
                            </a:lnTo>
                            <a:lnTo>
                              <a:pt x="1412849" y="2563672"/>
                            </a:lnTo>
                            <a:lnTo>
                              <a:pt x="1452765" y="2576703"/>
                            </a:lnTo>
                            <a:lnTo>
                              <a:pt x="1492910" y="2596858"/>
                            </a:lnTo>
                            <a:lnTo>
                              <a:pt x="1533398" y="2623070"/>
                            </a:lnTo>
                            <a:lnTo>
                              <a:pt x="1574279" y="2655366"/>
                            </a:lnTo>
                            <a:lnTo>
                              <a:pt x="1615579" y="2693797"/>
                            </a:lnTo>
                            <a:lnTo>
                              <a:pt x="1661833" y="2745143"/>
                            </a:lnTo>
                            <a:lnTo>
                              <a:pt x="1699907" y="2798191"/>
                            </a:lnTo>
                            <a:lnTo>
                              <a:pt x="1726793" y="2852699"/>
                            </a:lnTo>
                            <a:lnTo>
                              <a:pt x="1741690" y="2906141"/>
                            </a:lnTo>
                            <a:lnTo>
                              <a:pt x="1745424" y="2950083"/>
                            </a:lnTo>
                            <a:lnTo>
                              <a:pt x="1745500" y="2959582"/>
                            </a:lnTo>
                            <a:lnTo>
                              <a:pt x="1745500" y="2579598"/>
                            </a:lnTo>
                            <a:lnTo>
                              <a:pt x="1725536" y="2558707"/>
                            </a:lnTo>
                            <a:lnTo>
                              <a:pt x="1718703" y="2551557"/>
                            </a:lnTo>
                            <a:lnTo>
                              <a:pt x="1682127" y="2516581"/>
                            </a:lnTo>
                            <a:lnTo>
                              <a:pt x="1645551" y="2484805"/>
                            </a:lnTo>
                            <a:lnTo>
                              <a:pt x="1608975" y="2456243"/>
                            </a:lnTo>
                            <a:lnTo>
                              <a:pt x="1572399" y="2430907"/>
                            </a:lnTo>
                            <a:lnTo>
                              <a:pt x="1535874" y="2409190"/>
                            </a:lnTo>
                            <a:lnTo>
                              <a:pt x="1499412" y="2391156"/>
                            </a:lnTo>
                            <a:lnTo>
                              <a:pt x="1462938" y="2376373"/>
                            </a:lnTo>
                            <a:lnTo>
                              <a:pt x="1426349" y="2364359"/>
                            </a:lnTo>
                            <a:lnTo>
                              <a:pt x="1354480" y="2351087"/>
                            </a:lnTo>
                            <a:lnTo>
                              <a:pt x="1319377" y="2349970"/>
                            </a:lnTo>
                            <a:lnTo>
                              <a:pt x="1284617" y="2351913"/>
                            </a:lnTo>
                            <a:lnTo>
                              <a:pt x="1216266" y="2367661"/>
                            </a:lnTo>
                            <a:lnTo>
                              <a:pt x="1150505" y="2397125"/>
                            </a:lnTo>
                            <a:lnTo>
                              <a:pt x="1104912" y="2429764"/>
                            </a:lnTo>
                            <a:lnTo>
                              <a:pt x="1063612" y="2467038"/>
                            </a:lnTo>
                            <a:lnTo>
                              <a:pt x="862215" y="2668143"/>
                            </a:lnTo>
                            <a:lnTo>
                              <a:pt x="849096" y="2699461"/>
                            </a:lnTo>
                            <a:lnTo>
                              <a:pt x="849515" y="2713355"/>
                            </a:lnTo>
                            <a:lnTo>
                              <a:pt x="876350" y="2766784"/>
                            </a:lnTo>
                            <a:lnTo>
                              <a:pt x="2200287" y="4092448"/>
                            </a:lnTo>
                            <a:lnTo>
                              <a:pt x="2225179" y="4102354"/>
                            </a:lnTo>
                            <a:lnTo>
                              <a:pt x="2232037" y="4099941"/>
                            </a:lnTo>
                            <a:lnTo>
                              <a:pt x="2238083" y="4098417"/>
                            </a:lnTo>
                            <a:lnTo>
                              <a:pt x="2271572" y="4078516"/>
                            </a:lnTo>
                            <a:lnTo>
                              <a:pt x="2302522" y="4047477"/>
                            </a:lnTo>
                            <a:lnTo>
                              <a:pt x="2322245" y="4014203"/>
                            </a:lnTo>
                            <a:lnTo>
                              <a:pt x="2323604" y="4008247"/>
                            </a:lnTo>
                            <a:lnTo>
                              <a:pt x="2325509" y="4002024"/>
                            </a:lnTo>
                            <a:lnTo>
                              <a:pt x="1712861" y="3373247"/>
                            </a:lnTo>
                            <a:lnTo>
                              <a:pt x="1790331" y="3295777"/>
                            </a:lnTo>
                            <a:lnTo>
                              <a:pt x="1831911" y="3263633"/>
                            </a:lnTo>
                            <a:lnTo>
                              <a:pt x="1876945" y="3246247"/>
                            </a:lnTo>
                            <a:lnTo>
                              <a:pt x="1926221" y="3242741"/>
                            </a:lnTo>
                            <a:lnTo>
                              <a:pt x="1952193" y="3244989"/>
                            </a:lnTo>
                            <a:lnTo>
                              <a:pt x="2007412" y="3257931"/>
                            </a:lnTo>
                            <a:lnTo>
                              <a:pt x="2066353" y="3280270"/>
                            </a:lnTo>
                            <a:lnTo>
                              <a:pt x="2128710" y="3311969"/>
                            </a:lnTo>
                            <a:lnTo>
                              <a:pt x="2195296" y="3349510"/>
                            </a:lnTo>
                            <a:lnTo>
                              <a:pt x="2230259" y="3370326"/>
                            </a:lnTo>
                            <a:lnTo>
                              <a:pt x="2649156" y="3625837"/>
                            </a:lnTo>
                            <a:lnTo>
                              <a:pt x="2656535" y="3630041"/>
                            </a:lnTo>
                            <a:lnTo>
                              <a:pt x="2663431" y="3633495"/>
                            </a:lnTo>
                            <a:lnTo>
                              <a:pt x="2669806" y="3636010"/>
                            </a:lnTo>
                            <a:lnTo>
                              <a:pt x="2677172" y="3639566"/>
                            </a:lnTo>
                            <a:lnTo>
                              <a:pt x="2684919" y="3640328"/>
                            </a:lnTo>
                            <a:lnTo>
                              <a:pt x="2692920" y="3639058"/>
                            </a:lnTo>
                            <a:lnTo>
                              <a:pt x="2699550" y="3638118"/>
                            </a:lnTo>
                            <a:lnTo>
                              <a:pt x="2732798" y="3617264"/>
                            </a:lnTo>
                            <a:lnTo>
                              <a:pt x="2766707" y="3583394"/>
                            </a:lnTo>
                            <a:lnTo>
                              <a:pt x="2790164" y="3548405"/>
                            </a:lnTo>
                            <a:lnTo>
                              <a:pt x="2791726" y="3542411"/>
                            </a:lnTo>
                            <a:lnTo>
                              <a:pt x="2792996" y="3534283"/>
                            </a:lnTo>
                            <a:close/>
                          </a:path>
                          <a:path w="4671060" h="4933950" extrusionOk="0">
                            <a:moveTo>
                              <a:pt x="3621328" y="2713545"/>
                            </a:moveTo>
                            <a:lnTo>
                              <a:pt x="3603256" y="2678684"/>
                            </a:lnTo>
                            <a:lnTo>
                              <a:pt x="3559187" y="2646807"/>
                            </a:lnTo>
                            <a:lnTo>
                              <a:pt x="3386912" y="2536939"/>
                            </a:lnTo>
                            <a:lnTo>
                              <a:pt x="2884817" y="2219579"/>
                            </a:lnTo>
                            <a:lnTo>
                              <a:pt x="2884817" y="2418461"/>
                            </a:lnTo>
                            <a:lnTo>
                              <a:pt x="2581541" y="2721610"/>
                            </a:lnTo>
                            <a:lnTo>
                              <a:pt x="2059622" y="1914029"/>
                            </a:lnTo>
                            <a:lnTo>
                              <a:pt x="2032012" y="1871599"/>
                            </a:lnTo>
                            <a:lnTo>
                              <a:pt x="2032139" y="1871345"/>
                            </a:lnTo>
                            <a:lnTo>
                              <a:pt x="2032381" y="1871091"/>
                            </a:lnTo>
                            <a:lnTo>
                              <a:pt x="2032838" y="1871091"/>
                            </a:lnTo>
                            <a:lnTo>
                              <a:pt x="2884817" y="2418461"/>
                            </a:lnTo>
                            <a:lnTo>
                              <a:pt x="2884817" y="2219579"/>
                            </a:lnTo>
                            <a:lnTo>
                              <a:pt x="2333510" y="1871091"/>
                            </a:lnTo>
                            <a:lnTo>
                              <a:pt x="1962531" y="1635125"/>
                            </a:lnTo>
                            <a:lnTo>
                              <a:pt x="1955317" y="1630946"/>
                            </a:lnTo>
                            <a:lnTo>
                              <a:pt x="1948167" y="1627149"/>
                            </a:lnTo>
                            <a:lnTo>
                              <a:pt x="1941195" y="1624037"/>
                            </a:lnTo>
                            <a:lnTo>
                              <a:pt x="1934476" y="1621917"/>
                            </a:lnTo>
                            <a:lnTo>
                              <a:pt x="1928126" y="1620799"/>
                            </a:lnTo>
                            <a:lnTo>
                              <a:pt x="1921852" y="1620799"/>
                            </a:lnTo>
                            <a:lnTo>
                              <a:pt x="1879612" y="1639824"/>
                            </a:lnTo>
                            <a:lnTo>
                              <a:pt x="1842782" y="1674368"/>
                            </a:lnTo>
                            <a:lnTo>
                              <a:pt x="1810905" y="1708531"/>
                            </a:lnTo>
                            <a:lnTo>
                              <a:pt x="1794205" y="1743240"/>
                            </a:lnTo>
                            <a:lnTo>
                              <a:pt x="1793379" y="1749412"/>
                            </a:lnTo>
                            <a:lnTo>
                              <a:pt x="1793595" y="1755368"/>
                            </a:lnTo>
                            <a:lnTo>
                              <a:pt x="1889569" y="1917471"/>
                            </a:lnTo>
                            <a:lnTo>
                              <a:pt x="2818904" y="3384931"/>
                            </a:lnTo>
                            <a:lnTo>
                              <a:pt x="2844139" y="3420211"/>
                            </a:lnTo>
                            <a:lnTo>
                              <a:pt x="2878975" y="3446399"/>
                            </a:lnTo>
                            <a:lnTo>
                              <a:pt x="2885554" y="3447199"/>
                            </a:lnTo>
                            <a:lnTo>
                              <a:pt x="2891713" y="3446399"/>
                            </a:lnTo>
                            <a:lnTo>
                              <a:pt x="2892107" y="3446399"/>
                            </a:lnTo>
                            <a:lnTo>
                              <a:pt x="2931795" y="3419195"/>
                            </a:lnTo>
                            <a:lnTo>
                              <a:pt x="2964383" y="3384296"/>
                            </a:lnTo>
                            <a:lnTo>
                              <a:pt x="2981337" y="3343910"/>
                            </a:lnTo>
                            <a:lnTo>
                              <a:pt x="2981591" y="3337306"/>
                            </a:lnTo>
                            <a:lnTo>
                              <a:pt x="2978162" y="3329813"/>
                            </a:lnTo>
                            <a:lnTo>
                              <a:pt x="2975749" y="3323463"/>
                            </a:lnTo>
                            <a:lnTo>
                              <a:pt x="2972447" y="3316097"/>
                            </a:lnTo>
                            <a:lnTo>
                              <a:pt x="2967240" y="3308223"/>
                            </a:lnTo>
                            <a:lnTo>
                              <a:pt x="2727909" y="2940126"/>
                            </a:lnTo>
                            <a:lnTo>
                              <a:pt x="2701175" y="2899283"/>
                            </a:lnTo>
                            <a:lnTo>
                              <a:pt x="2878912" y="2721610"/>
                            </a:lnTo>
                            <a:lnTo>
                              <a:pt x="3063646" y="2536939"/>
                            </a:lnTo>
                            <a:lnTo>
                              <a:pt x="3063913" y="2536939"/>
                            </a:lnTo>
                            <a:lnTo>
                              <a:pt x="3480320" y="2803779"/>
                            </a:lnTo>
                            <a:lnTo>
                              <a:pt x="3488829" y="2808351"/>
                            </a:lnTo>
                            <a:lnTo>
                              <a:pt x="3496322" y="2811653"/>
                            </a:lnTo>
                            <a:lnTo>
                              <a:pt x="3502672" y="2814066"/>
                            </a:lnTo>
                            <a:lnTo>
                              <a:pt x="3509022" y="2816352"/>
                            </a:lnTo>
                            <a:lnTo>
                              <a:pt x="3514991" y="2816860"/>
                            </a:lnTo>
                            <a:lnTo>
                              <a:pt x="3521849" y="2814320"/>
                            </a:lnTo>
                            <a:lnTo>
                              <a:pt x="3527539" y="2813151"/>
                            </a:lnTo>
                            <a:lnTo>
                              <a:pt x="3562451" y="2788716"/>
                            </a:lnTo>
                            <a:lnTo>
                              <a:pt x="3591153" y="2759849"/>
                            </a:lnTo>
                            <a:lnTo>
                              <a:pt x="3617366" y="2727248"/>
                            </a:lnTo>
                            <a:lnTo>
                              <a:pt x="3620198" y="2720340"/>
                            </a:lnTo>
                            <a:lnTo>
                              <a:pt x="3621328" y="2713545"/>
                            </a:lnTo>
                            <a:close/>
                          </a:path>
                          <a:path w="4671060" h="4933950" extrusionOk="0">
                            <a:moveTo>
                              <a:pt x="3874020" y="2453513"/>
                            </a:moveTo>
                            <a:lnTo>
                              <a:pt x="3873512" y="2447544"/>
                            </a:lnTo>
                            <a:lnTo>
                              <a:pt x="3870083" y="2440178"/>
                            </a:lnTo>
                            <a:lnTo>
                              <a:pt x="3867670" y="2433828"/>
                            </a:lnTo>
                            <a:lnTo>
                              <a:pt x="3863987" y="2428748"/>
                            </a:lnTo>
                            <a:lnTo>
                              <a:pt x="3273818" y="1838579"/>
                            </a:lnTo>
                            <a:lnTo>
                              <a:pt x="3578999" y="1533271"/>
                            </a:lnTo>
                            <a:lnTo>
                              <a:pt x="3579634" y="1528445"/>
                            </a:lnTo>
                            <a:lnTo>
                              <a:pt x="3579634" y="1521841"/>
                            </a:lnTo>
                            <a:lnTo>
                              <a:pt x="3560216" y="1479486"/>
                            </a:lnTo>
                            <a:lnTo>
                              <a:pt x="3530320" y="1445729"/>
                            </a:lnTo>
                            <a:lnTo>
                              <a:pt x="3499053" y="1414970"/>
                            </a:lnTo>
                            <a:lnTo>
                              <a:pt x="3466223" y="1387792"/>
                            </a:lnTo>
                            <a:lnTo>
                              <a:pt x="3433203" y="1375283"/>
                            </a:lnTo>
                            <a:lnTo>
                              <a:pt x="3427615" y="1376426"/>
                            </a:lnTo>
                            <a:lnTo>
                              <a:pt x="3423932" y="1378077"/>
                            </a:lnTo>
                            <a:lnTo>
                              <a:pt x="3118624" y="1683385"/>
                            </a:lnTo>
                            <a:lnTo>
                              <a:pt x="2641231" y="1205992"/>
                            </a:lnTo>
                            <a:lnTo>
                              <a:pt x="2963938" y="883170"/>
                            </a:lnTo>
                            <a:lnTo>
                              <a:pt x="2955823" y="845121"/>
                            </a:lnTo>
                            <a:lnTo>
                              <a:pt x="2932607" y="814374"/>
                            </a:lnTo>
                            <a:lnTo>
                              <a:pt x="2905391" y="785495"/>
                            </a:lnTo>
                            <a:lnTo>
                              <a:pt x="2867164" y="749935"/>
                            </a:lnTo>
                            <a:lnTo>
                              <a:pt x="2828937" y="725170"/>
                            </a:lnTo>
                            <a:lnTo>
                              <a:pt x="2815983" y="723011"/>
                            </a:lnTo>
                            <a:lnTo>
                              <a:pt x="2809379" y="723011"/>
                            </a:lnTo>
                            <a:lnTo>
                              <a:pt x="2409964" y="1120267"/>
                            </a:lnTo>
                            <a:lnTo>
                              <a:pt x="2396921" y="1151585"/>
                            </a:lnTo>
                            <a:lnTo>
                              <a:pt x="2397264" y="1165479"/>
                            </a:lnTo>
                            <a:lnTo>
                              <a:pt x="2424226" y="1218958"/>
                            </a:lnTo>
                            <a:lnTo>
                              <a:pt x="3748163" y="2544699"/>
                            </a:lnTo>
                            <a:lnTo>
                              <a:pt x="3759593" y="2550668"/>
                            </a:lnTo>
                            <a:lnTo>
                              <a:pt x="3766959" y="2554097"/>
                            </a:lnTo>
                            <a:lnTo>
                              <a:pt x="3772928" y="2554605"/>
                            </a:lnTo>
                            <a:lnTo>
                              <a:pt x="3779786" y="2552065"/>
                            </a:lnTo>
                            <a:lnTo>
                              <a:pt x="3785844" y="2550541"/>
                            </a:lnTo>
                            <a:lnTo>
                              <a:pt x="3819677" y="2530411"/>
                            </a:lnTo>
                            <a:lnTo>
                              <a:pt x="3850398" y="2499715"/>
                            </a:lnTo>
                            <a:lnTo>
                              <a:pt x="3870071" y="2466327"/>
                            </a:lnTo>
                            <a:lnTo>
                              <a:pt x="3871480" y="2460371"/>
                            </a:lnTo>
                            <a:lnTo>
                              <a:pt x="3874020" y="2453513"/>
                            </a:lnTo>
                            <a:close/>
                          </a:path>
                          <a:path w="4671060" h="4933950" extrusionOk="0">
                            <a:moveTo>
                              <a:pt x="4670437" y="1657096"/>
                            </a:moveTo>
                            <a:lnTo>
                              <a:pt x="4669929" y="1651127"/>
                            </a:lnTo>
                            <a:lnTo>
                              <a:pt x="4665230" y="1638427"/>
                            </a:lnTo>
                            <a:lnTo>
                              <a:pt x="4660531" y="1632204"/>
                            </a:lnTo>
                            <a:lnTo>
                              <a:pt x="3437775" y="409448"/>
                            </a:lnTo>
                            <a:lnTo>
                              <a:pt x="3686314" y="160782"/>
                            </a:lnTo>
                            <a:lnTo>
                              <a:pt x="3688727" y="156337"/>
                            </a:lnTo>
                            <a:lnTo>
                              <a:pt x="3688727" y="149733"/>
                            </a:lnTo>
                            <a:lnTo>
                              <a:pt x="3668649" y="107988"/>
                            </a:lnTo>
                            <a:lnTo>
                              <a:pt x="3637800" y="73418"/>
                            </a:lnTo>
                            <a:lnTo>
                              <a:pt x="3607701" y="43916"/>
                            </a:lnTo>
                            <a:lnTo>
                              <a:pt x="3574275" y="15430"/>
                            </a:lnTo>
                            <a:lnTo>
                              <a:pt x="3538994" y="0"/>
                            </a:lnTo>
                            <a:lnTo>
                              <a:pt x="3532390" y="0"/>
                            </a:lnTo>
                            <a:lnTo>
                              <a:pt x="3527945" y="2286"/>
                            </a:lnTo>
                            <a:lnTo>
                              <a:pt x="2914662" y="615569"/>
                            </a:lnTo>
                            <a:lnTo>
                              <a:pt x="2912376" y="620014"/>
                            </a:lnTo>
                            <a:lnTo>
                              <a:pt x="2913011" y="625983"/>
                            </a:lnTo>
                            <a:lnTo>
                              <a:pt x="2912884" y="632587"/>
                            </a:lnTo>
                            <a:lnTo>
                              <a:pt x="2934131" y="668743"/>
                            </a:lnTo>
                            <a:lnTo>
                              <a:pt x="2965424" y="705091"/>
                            </a:lnTo>
                            <a:lnTo>
                              <a:pt x="2995511" y="734428"/>
                            </a:lnTo>
                            <a:lnTo>
                              <a:pt x="3013341" y="749173"/>
                            </a:lnTo>
                            <a:lnTo>
                              <a:pt x="3021038" y="755650"/>
                            </a:lnTo>
                            <a:lnTo>
                              <a:pt x="3028391" y="761225"/>
                            </a:lnTo>
                            <a:lnTo>
                              <a:pt x="3035160" y="765733"/>
                            </a:lnTo>
                            <a:lnTo>
                              <a:pt x="3049663" y="773557"/>
                            </a:lnTo>
                            <a:lnTo>
                              <a:pt x="3056140" y="775843"/>
                            </a:lnTo>
                            <a:lnTo>
                              <a:pt x="3062744" y="775716"/>
                            </a:lnTo>
                            <a:lnTo>
                              <a:pt x="3068713" y="776351"/>
                            </a:lnTo>
                            <a:lnTo>
                              <a:pt x="3073158" y="773938"/>
                            </a:lnTo>
                            <a:lnTo>
                              <a:pt x="3321824" y="525399"/>
                            </a:lnTo>
                            <a:lnTo>
                              <a:pt x="4544707" y="1748155"/>
                            </a:lnTo>
                            <a:lnTo>
                              <a:pt x="4550803" y="1752854"/>
                            </a:lnTo>
                            <a:lnTo>
                              <a:pt x="4563503" y="1757553"/>
                            </a:lnTo>
                            <a:lnTo>
                              <a:pt x="4569345" y="1758061"/>
                            </a:lnTo>
                            <a:lnTo>
                              <a:pt x="4576330" y="1755648"/>
                            </a:lnTo>
                            <a:lnTo>
                              <a:pt x="4582312" y="1754124"/>
                            </a:lnTo>
                            <a:lnTo>
                              <a:pt x="4616107" y="1733956"/>
                            </a:lnTo>
                            <a:lnTo>
                              <a:pt x="4646854" y="1703197"/>
                            </a:lnTo>
                            <a:lnTo>
                              <a:pt x="4666488" y="1669910"/>
                            </a:lnTo>
                            <a:lnTo>
                              <a:pt x="4667897" y="1663954"/>
                            </a:lnTo>
                            <a:lnTo>
                              <a:pt x="4670437" y="1657096"/>
                            </a:lnTo>
                            <a:close/>
                          </a:path>
                        </a:pathLst>
                      </a:custGeom>
                      <a:solidFill>
                        <a:srgbClr val="C0C0C0">
                          <a:alpha val="49803"/>
                        </a:srgbClr>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-371474</wp:posOffset>
              </wp:positionH>
              <wp:positionV relativeFrom="paragraph">
                <wp:posOffset>1066800</wp:posOffset>
              </wp:positionV>
              <wp:extent cx="3725863" cy="3938335"/>
              <wp:effectExtent b="0" l="0" r="0" t="0"/>
              <wp:wrapNone/>
              <wp:docPr id="202950613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3725863" cy="3938335"/>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694E6" w14:textId="77777777" w:rsidR="001902DF" w:rsidRDefault="001902D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E77F6" w14:textId="77777777" w:rsidR="002951B3" w:rsidRDefault="002951B3">
      <w:pPr>
        <w:spacing w:before="0" w:after="0" w:line="240" w:lineRule="auto"/>
      </w:pPr>
      <w:r>
        <w:separator/>
      </w:r>
    </w:p>
  </w:footnote>
  <w:footnote w:type="continuationSeparator" w:id="0">
    <w:p w14:paraId="401CCA15" w14:textId="77777777" w:rsidR="002951B3" w:rsidRDefault="002951B3">
      <w:pPr>
        <w:spacing w:before="0" w:after="0" w:line="240" w:lineRule="auto"/>
      </w:pPr>
      <w:r>
        <w:continuationSeparator/>
      </w:r>
    </w:p>
  </w:footnote>
  <w:footnote w:id="1">
    <w:p w14:paraId="2206E45A" w14:textId="77777777" w:rsidR="001902DF" w:rsidRDefault="00000000">
      <w:pPr>
        <w:spacing w:before="0" w:after="0" w:line="240" w:lineRule="auto"/>
        <w:jc w:val="left"/>
        <w:rPr>
          <w:sz w:val="18"/>
          <w:szCs w:val="18"/>
        </w:rPr>
      </w:pPr>
      <w:r>
        <w:rPr>
          <w:rStyle w:val="FootnoteReference"/>
        </w:rPr>
        <w:footnoteRef/>
      </w:r>
      <w:r>
        <w:rPr>
          <w:sz w:val="20"/>
          <w:szCs w:val="20"/>
        </w:rPr>
        <w:t xml:space="preserve"> </w:t>
      </w:r>
      <w:r>
        <w:rPr>
          <w:sz w:val="18"/>
          <w:szCs w:val="18"/>
        </w:rPr>
        <w:t>Since 1975, legislative clauses regarding the principles of Te Tiriti o Waitangi have guided the Crown government towards improved compliance with Te Tiriti o Waitangi. In 2014, the Waitangi Tribunal released findings which confirmed that Te Tiriti o Waitangi is the authoritative treaty document, and that it was not a treaty of cession.</w:t>
      </w:r>
      <w:r>
        <w:rPr>
          <w:sz w:val="18"/>
          <w:szCs w:val="18"/>
          <w:vertAlign w:val="superscript"/>
        </w:rPr>
        <w:t>(7)</w:t>
      </w:r>
      <w:r>
        <w:rPr>
          <w:sz w:val="18"/>
          <w:szCs w:val="18"/>
        </w:rPr>
        <w:t xml:space="preserve"> In its findings, the Tribunal noted: </w:t>
      </w:r>
    </w:p>
    <w:p w14:paraId="7D7314CD" w14:textId="77777777" w:rsidR="001902DF" w:rsidRDefault="00000000">
      <w:pPr>
        <w:spacing w:before="0" w:after="0" w:line="240" w:lineRule="auto"/>
        <w:ind w:left="720"/>
        <w:rPr>
          <w:sz w:val="18"/>
          <w:szCs w:val="18"/>
        </w:rPr>
      </w:pPr>
      <w:r>
        <w:rPr>
          <w:sz w:val="18"/>
          <w:szCs w:val="18"/>
        </w:rPr>
        <w:t>“This conclusion may seem radical. It is not. A number of New Zealand’s leading scholars who have studied the treaty – Māori and Pākehā – have been expressing similar views for a generation. In that sense, our report represents continuity rather than change. When all of the evidence is considered.. we cannot see how other conclusions can be reached.”</w:t>
      </w:r>
    </w:p>
    <w:p w14:paraId="42F200F2" w14:textId="77777777" w:rsidR="001902DF" w:rsidRDefault="00000000">
      <w:pPr>
        <w:spacing w:before="0" w:after="0" w:line="240" w:lineRule="auto"/>
        <w:rPr>
          <w:sz w:val="18"/>
          <w:szCs w:val="18"/>
        </w:rPr>
      </w:pPr>
      <w:r>
        <w:rPr>
          <w:sz w:val="18"/>
          <w:szCs w:val="18"/>
        </w:rPr>
        <w:t>These findings again raised important questions regarding the rightful extent of Crown political authority, and have yet to be addressed by the New Zealand Crown government. Since 2010 the National Iwi Chairs Forum have progressed discussions and research upon constitutional models which align with Te Tiriti o Waitangi. Recommendations have been made by the United Nations Committee for the Elimination of Racial Discrimination, as well as multiple other United Nations treaty bodies and mechanisms, to enhance the political status of Te Tiriti o Waitangi within New Zealand’s constitutional settings through a process of dialogue and partnership with Māori as the Treaty partner.</w:t>
      </w:r>
    </w:p>
  </w:footnote>
  <w:footnote w:id="2">
    <w:p w14:paraId="591B2326" w14:textId="77777777" w:rsidR="001902DF" w:rsidRDefault="00000000">
      <w:pPr>
        <w:spacing w:before="0" w:after="0" w:line="240" w:lineRule="auto"/>
        <w:rPr>
          <w:sz w:val="18"/>
          <w:szCs w:val="18"/>
        </w:rPr>
      </w:pPr>
      <w:r>
        <w:rPr>
          <w:rStyle w:val="FootnoteReference"/>
        </w:rPr>
        <w:footnoteRef/>
      </w:r>
      <w:r>
        <w:rPr>
          <w:sz w:val="18"/>
          <w:szCs w:val="18"/>
        </w:rPr>
        <w:t xml:space="preserve"> A star chamber was a medieval royal English court or tribunal known for its arbitrary judgments, and the use of torture to extract confessions. </w:t>
      </w:r>
    </w:p>
  </w:footnote>
  <w:footnote w:id="3">
    <w:p w14:paraId="01203D7A" w14:textId="77777777" w:rsidR="001902DF" w:rsidRDefault="00000000">
      <w:pPr>
        <w:spacing w:before="0" w:after="0" w:line="240" w:lineRule="auto"/>
        <w:rPr>
          <w:sz w:val="18"/>
          <w:szCs w:val="18"/>
        </w:rPr>
      </w:pPr>
      <w:r>
        <w:rPr>
          <w:rStyle w:val="FootnoteReference"/>
        </w:rPr>
        <w:footnoteRef/>
      </w:r>
      <w:r>
        <w:rPr>
          <w:sz w:val="18"/>
          <w:szCs w:val="18"/>
        </w:rPr>
        <w:t xml:space="preserve"> Research has also confirmed that Māori with disabilities experience inequitable access to the determinants of good health and wellbeing, inequitable access to health and disability services, and differential quality of health and disability care.</w:t>
      </w:r>
      <w:r>
        <w:rPr>
          <w:sz w:val="18"/>
          <w:szCs w:val="18"/>
          <w:vertAlign w:val="superscript"/>
        </w:rPr>
        <w:t>(17)</w:t>
      </w:r>
    </w:p>
  </w:footnote>
  <w:footnote w:id="4">
    <w:p w14:paraId="4CE32E89" w14:textId="77777777" w:rsidR="001902DF" w:rsidRDefault="00000000">
      <w:pPr>
        <w:pBdr>
          <w:top w:val="nil"/>
          <w:left w:val="nil"/>
          <w:bottom w:val="nil"/>
          <w:right w:val="nil"/>
          <w:between w:val="nil"/>
        </w:pBdr>
        <w:spacing w:before="0" w:after="0" w:line="276" w:lineRule="auto"/>
        <w:rPr>
          <w:color w:val="000000"/>
          <w:sz w:val="18"/>
          <w:szCs w:val="18"/>
        </w:rPr>
      </w:pPr>
      <w:r>
        <w:rPr>
          <w:rStyle w:val="FootnoteReference"/>
        </w:rPr>
        <w:footnoteRef/>
      </w:r>
      <w:r>
        <w:rPr>
          <w:color w:val="000000"/>
          <w:sz w:val="18"/>
          <w:szCs w:val="18"/>
        </w:rPr>
        <w:t xml:space="preserve"> </w:t>
      </w:r>
      <w:hyperlink r:id="rId1">
        <w:r>
          <w:rPr>
            <w:color w:val="0000FF"/>
            <w:sz w:val="18"/>
            <w:szCs w:val="18"/>
            <w:u w:val="single"/>
          </w:rPr>
          <w:t>United Nations Committee on the Elimination of Racism General recommendation No. 37 (2024) on equality and freedom from racial discrimination in the enjoyment of the right to health CERD/C/GC/37</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D3BDA" w14:textId="77777777" w:rsidR="001902DF" w:rsidRDefault="001902DF">
    <w:pPr>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BF78D" w14:textId="77777777" w:rsidR="001902DF" w:rsidRDefault="001902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7AA2"/>
    <w:multiLevelType w:val="multilevel"/>
    <w:tmpl w:val="C7B4D6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082A4E"/>
    <w:multiLevelType w:val="multilevel"/>
    <w:tmpl w:val="447E0A74"/>
    <w:lvl w:ilvl="0">
      <w:start w:val="1"/>
      <w:numFmt w:val="decimal"/>
      <w:lvlText w:val="%1."/>
      <w:lvlJc w:val="left"/>
      <w:pPr>
        <w:ind w:left="720" w:hanging="360"/>
      </w:pPr>
      <w:rPr>
        <w:rFonts w:ascii="Arial" w:eastAsia="Arial" w:hAnsi="Arial" w:cs="Arial"/>
        <w:color w:val="222222"/>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9777EE6"/>
    <w:multiLevelType w:val="multilevel"/>
    <w:tmpl w:val="04D48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A578CC"/>
    <w:multiLevelType w:val="multilevel"/>
    <w:tmpl w:val="CA720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EA322AB"/>
    <w:multiLevelType w:val="multilevel"/>
    <w:tmpl w:val="43EAF7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89676E8"/>
    <w:multiLevelType w:val="multilevel"/>
    <w:tmpl w:val="F18889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E397B07"/>
    <w:multiLevelType w:val="multilevel"/>
    <w:tmpl w:val="2A44D1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62C7FD7"/>
    <w:multiLevelType w:val="multilevel"/>
    <w:tmpl w:val="503A18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3991278"/>
    <w:multiLevelType w:val="multilevel"/>
    <w:tmpl w:val="5BDEB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E001D34"/>
    <w:multiLevelType w:val="multilevel"/>
    <w:tmpl w:val="0652E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72921706">
    <w:abstractNumId w:val="3"/>
  </w:num>
  <w:num w:numId="2" w16cid:durableId="114914041">
    <w:abstractNumId w:val="8"/>
  </w:num>
  <w:num w:numId="3" w16cid:durableId="1887252722">
    <w:abstractNumId w:val="7"/>
  </w:num>
  <w:num w:numId="4" w16cid:durableId="1753156745">
    <w:abstractNumId w:val="0"/>
  </w:num>
  <w:num w:numId="5" w16cid:durableId="1455442979">
    <w:abstractNumId w:val="9"/>
  </w:num>
  <w:num w:numId="6" w16cid:durableId="325399139">
    <w:abstractNumId w:val="6"/>
  </w:num>
  <w:num w:numId="7" w16cid:durableId="826095596">
    <w:abstractNumId w:val="4"/>
  </w:num>
  <w:num w:numId="8" w16cid:durableId="1557862616">
    <w:abstractNumId w:val="5"/>
  </w:num>
  <w:num w:numId="9" w16cid:durableId="764377619">
    <w:abstractNumId w:val="1"/>
  </w:num>
  <w:num w:numId="10" w16cid:durableId="11503201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2DF"/>
    <w:rsid w:val="000034B7"/>
    <w:rsid w:val="001902DF"/>
    <w:rsid w:val="002951B3"/>
    <w:rsid w:val="00C12521"/>
  </w:rsids>
  <m:mathPr>
    <m:mathFont m:val="Cambria Math"/>
    <m:brkBin m:val="before"/>
    <m:brkBinSub m:val="--"/>
    <m:smallFrac m:val="0"/>
    <m:dispDef/>
    <m:lMargin m:val="0"/>
    <m:rMargin m:val="0"/>
    <m:defJc m:val="centerGroup"/>
    <m:wrapIndent m:val="1440"/>
    <m:intLim m:val="subSup"/>
    <m:naryLim m:val="undOvr"/>
  </m:mathPr>
  <w:themeFontLang w:val="mi-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DABB4"/>
  <w15:docId w15:val="{2AE76BB2-2551-4A67-9BFB-6D9327FF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mi-NZ" w:bidi="ar-SA"/>
      </w:rPr>
    </w:rPrDefault>
    <w:pPrDefault>
      <w:pPr>
        <w:widowControl w:val="0"/>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9AA"/>
  </w:style>
  <w:style w:type="paragraph" w:styleId="Heading1">
    <w:name w:val="heading 1"/>
    <w:basedOn w:val="Normal"/>
    <w:link w:val="Heading1Char"/>
    <w:uiPriority w:val="9"/>
    <w:qFormat/>
    <w:pPr>
      <w:ind w:left="820"/>
      <w:outlineLvl w:val="0"/>
    </w:pPr>
    <w:rPr>
      <w:b/>
      <w:bCs/>
      <w:sz w:val="24"/>
      <w:szCs w:val="24"/>
    </w:rPr>
  </w:style>
  <w:style w:type="paragraph" w:styleId="Heading2">
    <w:name w:val="heading 2"/>
    <w:basedOn w:val="Normal"/>
    <w:link w:val="Heading2Char"/>
    <w:uiPriority w:val="9"/>
    <w:unhideWhenUsed/>
    <w:qFormat/>
    <w:pPr>
      <w:ind w:left="520" w:hanging="360"/>
      <w:outlineLvl w:val="1"/>
    </w:pPr>
    <w:rPr>
      <w:b/>
      <w:bCs/>
      <w:i/>
      <w:iCs/>
      <w:sz w:val="24"/>
      <w:szCs w:val="24"/>
    </w:rPr>
  </w:style>
  <w:style w:type="paragraph" w:styleId="Heading3">
    <w:name w:val="heading 3"/>
    <w:basedOn w:val="Normal"/>
    <w:next w:val="Normal"/>
    <w:link w:val="Heading3Char"/>
    <w:uiPriority w:val="9"/>
    <w:unhideWhenUsed/>
    <w:qFormat/>
    <w:rsid w:val="009A71B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semiHidden/>
    <w:unhideWhenUsed/>
    <w:rsid w:val="006338C9"/>
    <w:rPr>
      <w:sz w:val="16"/>
      <w:szCs w:val="16"/>
    </w:rPr>
  </w:style>
  <w:style w:type="paragraph" w:styleId="CommentText">
    <w:name w:val="annotation text"/>
    <w:basedOn w:val="Normal"/>
    <w:link w:val="CommentTextChar"/>
    <w:uiPriority w:val="99"/>
    <w:unhideWhenUsed/>
    <w:rsid w:val="006338C9"/>
    <w:rPr>
      <w:sz w:val="20"/>
      <w:szCs w:val="20"/>
    </w:rPr>
  </w:style>
  <w:style w:type="character" w:customStyle="1" w:styleId="CommentTextChar">
    <w:name w:val="Comment Text Char"/>
    <w:basedOn w:val="DefaultParagraphFont"/>
    <w:link w:val="CommentText"/>
    <w:uiPriority w:val="99"/>
    <w:rsid w:val="006338C9"/>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6338C9"/>
    <w:rPr>
      <w:b/>
      <w:bCs/>
    </w:rPr>
  </w:style>
  <w:style w:type="character" w:customStyle="1" w:styleId="CommentSubjectChar">
    <w:name w:val="Comment Subject Char"/>
    <w:basedOn w:val="CommentTextChar"/>
    <w:link w:val="CommentSubject"/>
    <w:uiPriority w:val="99"/>
    <w:semiHidden/>
    <w:rsid w:val="006338C9"/>
    <w:rPr>
      <w:rFonts w:ascii="Arial" w:eastAsia="Arial" w:hAnsi="Arial" w:cs="Arial"/>
      <w:b/>
      <w:bCs/>
      <w:sz w:val="20"/>
      <w:szCs w:val="20"/>
    </w:rPr>
  </w:style>
  <w:style w:type="paragraph" w:styleId="EndnoteText">
    <w:name w:val="endnote text"/>
    <w:basedOn w:val="Normal"/>
    <w:link w:val="EndnoteTextChar"/>
    <w:uiPriority w:val="99"/>
    <w:semiHidden/>
    <w:unhideWhenUsed/>
    <w:rsid w:val="00167D03"/>
    <w:rPr>
      <w:sz w:val="20"/>
      <w:szCs w:val="20"/>
    </w:rPr>
  </w:style>
  <w:style w:type="character" w:customStyle="1" w:styleId="EndnoteTextChar">
    <w:name w:val="Endnote Text Char"/>
    <w:basedOn w:val="DefaultParagraphFont"/>
    <w:link w:val="EndnoteText"/>
    <w:uiPriority w:val="99"/>
    <w:semiHidden/>
    <w:rsid w:val="00167D03"/>
    <w:rPr>
      <w:rFonts w:ascii="Arial" w:eastAsia="Arial" w:hAnsi="Arial" w:cs="Arial"/>
      <w:sz w:val="20"/>
      <w:szCs w:val="20"/>
    </w:rPr>
  </w:style>
  <w:style w:type="character" w:styleId="EndnoteReference">
    <w:name w:val="endnote reference"/>
    <w:basedOn w:val="DefaultParagraphFont"/>
    <w:uiPriority w:val="99"/>
    <w:semiHidden/>
    <w:unhideWhenUsed/>
    <w:rsid w:val="00167D03"/>
    <w:rPr>
      <w:vertAlign w:val="superscript"/>
    </w:rPr>
  </w:style>
  <w:style w:type="paragraph" w:styleId="FootnoteText">
    <w:name w:val="footnote text"/>
    <w:basedOn w:val="Normal"/>
    <w:link w:val="FootnoteTextChar"/>
    <w:uiPriority w:val="99"/>
    <w:semiHidden/>
    <w:unhideWhenUsed/>
    <w:rsid w:val="00167D03"/>
    <w:rPr>
      <w:sz w:val="20"/>
      <w:szCs w:val="20"/>
    </w:rPr>
  </w:style>
  <w:style w:type="character" w:customStyle="1" w:styleId="FootnoteTextChar">
    <w:name w:val="Footnote Text Char"/>
    <w:basedOn w:val="DefaultParagraphFont"/>
    <w:link w:val="FootnoteText"/>
    <w:uiPriority w:val="99"/>
    <w:semiHidden/>
    <w:rsid w:val="00167D03"/>
    <w:rPr>
      <w:rFonts w:ascii="Arial" w:eastAsia="Arial" w:hAnsi="Arial" w:cs="Arial"/>
      <w:sz w:val="20"/>
      <w:szCs w:val="20"/>
    </w:rPr>
  </w:style>
  <w:style w:type="character" w:styleId="FootnoteReference">
    <w:name w:val="footnote reference"/>
    <w:basedOn w:val="DefaultParagraphFont"/>
    <w:uiPriority w:val="99"/>
    <w:semiHidden/>
    <w:unhideWhenUsed/>
    <w:rsid w:val="00167D03"/>
    <w:rPr>
      <w:vertAlign w:val="superscript"/>
    </w:rPr>
  </w:style>
  <w:style w:type="character" w:styleId="Hyperlink">
    <w:name w:val="Hyperlink"/>
    <w:basedOn w:val="DefaultParagraphFont"/>
    <w:uiPriority w:val="99"/>
    <w:unhideWhenUsed/>
    <w:rsid w:val="00700867"/>
    <w:rPr>
      <w:color w:val="0000FF" w:themeColor="hyperlink"/>
      <w:u w:val="single"/>
    </w:rPr>
  </w:style>
  <w:style w:type="character" w:styleId="UnresolvedMention">
    <w:name w:val="Unresolved Mention"/>
    <w:basedOn w:val="DefaultParagraphFont"/>
    <w:uiPriority w:val="99"/>
    <w:semiHidden/>
    <w:unhideWhenUsed/>
    <w:rsid w:val="00700867"/>
    <w:rPr>
      <w:color w:val="605E5C"/>
      <w:shd w:val="clear" w:color="auto" w:fill="E1DFDD"/>
    </w:rPr>
  </w:style>
  <w:style w:type="character" w:styleId="FollowedHyperlink">
    <w:name w:val="FollowedHyperlink"/>
    <w:basedOn w:val="DefaultParagraphFont"/>
    <w:uiPriority w:val="99"/>
    <w:semiHidden/>
    <w:unhideWhenUsed/>
    <w:rsid w:val="00700867"/>
    <w:rPr>
      <w:color w:val="800080" w:themeColor="followedHyperlink"/>
      <w:u w:val="single"/>
    </w:rPr>
  </w:style>
  <w:style w:type="character" w:customStyle="1" w:styleId="Heading1Char">
    <w:name w:val="Heading 1 Char"/>
    <w:basedOn w:val="DefaultParagraphFont"/>
    <w:link w:val="Heading1"/>
    <w:uiPriority w:val="9"/>
    <w:rsid w:val="006A4A56"/>
    <w:rPr>
      <w:rFonts w:ascii="Arial" w:eastAsia="Arial" w:hAnsi="Arial" w:cs="Arial"/>
      <w:b/>
      <w:bCs/>
      <w:sz w:val="24"/>
      <w:szCs w:val="24"/>
    </w:rPr>
  </w:style>
  <w:style w:type="paragraph" w:styleId="Header">
    <w:name w:val="header"/>
    <w:basedOn w:val="Normal"/>
    <w:link w:val="HeaderChar"/>
    <w:uiPriority w:val="99"/>
    <w:unhideWhenUsed/>
    <w:rsid w:val="005F0AE7"/>
    <w:pPr>
      <w:tabs>
        <w:tab w:val="center" w:pos="4513"/>
        <w:tab w:val="right" w:pos="9026"/>
      </w:tabs>
    </w:pPr>
  </w:style>
  <w:style w:type="character" w:customStyle="1" w:styleId="HeaderChar">
    <w:name w:val="Header Char"/>
    <w:basedOn w:val="DefaultParagraphFont"/>
    <w:link w:val="Header"/>
    <w:uiPriority w:val="99"/>
    <w:rsid w:val="005F0AE7"/>
    <w:rPr>
      <w:rFonts w:ascii="Arial" w:eastAsia="Arial" w:hAnsi="Arial" w:cs="Arial"/>
    </w:rPr>
  </w:style>
  <w:style w:type="paragraph" w:styleId="Footer">
    <w:name w:val="footer"/>
    <w:basedOn w:val="Normal"/>
    <w:link w:val="FooterChar"/>
    <w:uiPriority w:val="99"/>
    <w:unhideWhenUsed/>
    <w:rsid w:val="005F0AE7"/>
    <w:pPr>
      <w:tabs>
        <w:tab w:val="center" w:pos="4513"/>
        <w:tab w:val="right" w:pos="9026"/>
      </w:tabs>
    </w:pPr>
  </w:style>
  <w:style w:type="character" w:customStyle="1" w:styleId="FooterChar">
    <w:name w:val="Footer Char"/>
    <w:basedOn w:val="DefaultParagraphFont"/>
    <w:link w:val="Footer"/>
    <w:uiPriority w:val="99"/>
    <w:rsid w:val="005F0AE7"/>
    <w:rPr>
      <w:rFonts w:ascii="Arial" w:eastAsia="Arial" w:hAnsi="Arial" w:cs="Arial"/>
    </w:rPr>
  </w:style>
  <w:style w:type="character" w:customStyle="1" w:styleId="Heading2Char">
    <w:name w:val="Heading 2 Char"/>
    <w:basedOn w:val="DefaultParagraphFont"/>
    <w:link w:val="Heading2"/>
    <w:uiPriority w:val="9"/>
    <w:rsid w:val="004573BB"/>
    <w:rPr>
      <w:rFonts w:ascii="Arial" w:eastAsia="Arial" w:hAnsi="Arial" w:cs="Arial"/>
      <w:b/>
      <w:bCs/>
      <w:i/>
      <w:iCs/>
      <w:sz w:val="24"/>
      <w:szCs w:val="24"/>
    </w:rPr>
  </w:style>
  <w:style w:type="paragraph" w:styleId="TOCHeading">
    <w:name w:val="TOC Heading"/>
    <w:basedOn w:val="Heading1"/>
    <w:next w:val="Normal"/>
    <w:uiPriority w:val="39"/>
    <w:unhideWhenUsed/>
    <w:qFormat/>
    <w:rsid w:val="005719AA"/>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5719AA"/>
    <w:pPr>
      <w:spacing w:after="100"/>
    </w:pPr>
  </w:style>
  <w:style w:type="paragraph" w:styleId="TOC2">
    <w:name w:val="toc 2"/>
    <w:basedOn w:val="Normal"/>
    <w:next w:val="Normal"/>
    <w:autoRedefine/>
    <w:uiPriority w:val="39"/>
    <w:unhideWhenUsed/>
    <w:rsid w:val="005719AA"/>
    <w:pPr>
      <w:spacing w:after="100"/>
      <w:ind w:left="220"/>
    </w:pPr>
  </w:style>
  <w:style w:type="paragraph" w:styleId="TOC3">
    <w:name w:val="toc 3"/>
    <w:basedOn w:val="Normal"/>
    <w:next w:val="Normal"/>
    <w:autoRedefine/>
    <w:uiPriority w:val="39"/>
    <w:unhideWhenUsed/>
    <w:rsid w:val="005719AA"/>
    <w:pPr>
      <w:widowControl/>
      <w:spacing w:after="100" w:line="278" w:lineRule="auto"/>
      <w:ind w:left="480"/>
    </w:pPr>
    <w:rPr>
      <w:rFonts w:asciiTheme="minorHAnsi" w:eastAsiaTheme="minorEastAsia" w:hAnsiTheme="minorHAnsi" w:cstheme="minorBidi"/>
      <w:kern w:val="2"/>
      <w:sz w:val="24"/>
      <w:szCs w:val="24"/>
      <w:lang w:val="en-NZ" w:eastAsia="en-NZ"/>
    </w:rPr>
  </w:style>
  <w:style w:type="paragraph" w:styleId="TOC4">
    <w:name w:val="toc 4"/>
    <w:basedOn w:val="Normal"/>
    <w:next w:val="Normal"/>
    <w:autoRedefine/>
    <w:uiPriority w:val="39"/>
    <w:unhideWhenUsed/>
    <w:rsid w:val="005719AA"/>
    <w:pPr>
      <w:widowControl/>
      <w:spacing w:after="100" w:line="278" w:lineRule="auto"/>
      <w:ind w:left="720"/>
    </w:pPr>
    <w:rPr>
      <w:rFonts w:asciiTheme="minorHAnsi" w:eastAsiaTheme="minorEastAsia" w:hAnsiTheme="minorHAnsi" w:cstheme="minorBidi"/>
      <w:kern w:val="2"/>
      <w:sz w:val="24"/>
      <w:szCs w:val="24"/>
      <w:lang w:val="en-NZ" w:eastAsia="en-NZ"/>
    </w:rPr>
  </w:style>
  <w:style w:type="paragraph" w:styleId="TOC5">
    <w:name w:val="toc 5"/>
    <w:basedOn w:val="Normal"/>
    <w:next w:val="Normal"/>
    <w:autoRedefine/>
    <w:uiPriority w:val="39"/>
    <w:unhideWhenUsed/>
    <w:rsid w:val="005719AA"/>
    <w:pPr>
      <w:widowControl/>
      <w:spacing w:after="100" w:line="278" w:lineRule="auto"/>
      <w:ind w:left="960"/>
    </w:pPr>
    <w:rPr>
      <w:rFonts w:asciiTheme="minorHAnsi" w:eastAsiaTheme="minorEastAsia" w:hAnsiTheme="minorHAnsi" w:cstheme="minorBidi"/>
      <w:kern w:val="2"/>
      <w:sz w:val="24"/>
      <w:szCs w:val="24"/>
      <w:lang w:val="en-NZ" w:eastAsia="en-NZ"/>
    </w:rPr>
  </w:style>
  <w:style w:type="paragraph" w:styleId="TOC6">
    <w:name w:val="toc 6"/>
    <w:basedOn w:val="Normal"/>
    <w:next w:val="Normal"/>
    <w:autoRedefine/>
    <w:uiPriority w:val="39"/>
    <w:unhideWhenUsed/>
    <w:rsid w:val="005719AA"/>
    <w:pPr>
      <w:widowControl/>
      <w:spacing w:after="100" w:line="278" w:lineRule="auto"/>
      <w:ind w:left="1200"/>
    </w:pPr>
    <w:rPr>
      <w:rFonts w:asciiTheme="minorHAnsi" w:eastAsiaTheme="minorEastAsia" w:hAnsiTheme="minorHAnsi" w:cstheme="minorBidi"/>
      <w:kern w:val="2"/>
      <w:sz w:val="24"/>
      <w:szCs w:val="24"/>
      <w:lang w:val="en-NZ" w:eastAsia="en-NZ"/>
    </w:rPr>
  </w:style>
  <w:style w:type="paragraph" w:styleId="TOC7">
    <w:name w:val="toc 7"/>
    <w:basedOn w:val="Normal"/>
    <w:next w:val="Normal"/>
    <w:autoRedefine/>
    <w:uiPriority w:val="39"/>
    <w:unhideWhenUsed/>
    <w:rsid w:val="005719AA"/>
    <w:pPr>
      <w:widowControl/>
      <w:spacing w:after="100" w:line="278" w:lineRule="auto"/>
      <w:ind w:left="1440"/>
    </w:pPr>
    <w:rPr>
      <w:rFonts w:asciiTheme="minorHAnsi" w:eastAsiaTheme="minorEastAsia" w:hAnsiTheme="minorHAnsi" w:cstheme="minorBidi"/>
      <w:kern w:val="2"/>
      <w:sz w:val="24"/>
      <w:szCs w:val="24"/>
      <w:lang w:val="en-NZ" w:eastAsia="en-NZ"/>
    </w:rPr>
  </w:style>
  <w:style w:type="paragraph" w:styleId="TOC8">
    <w:name w:val="toc 8"/>
    <w:basedOn w:val="Normal"/>
    <w:next w:val="Normal"/>
    <w:autoRedefine/>
    <w:uiPriority w:val="39"/>
    <w:unhideWhenUsed/>
    <w:rsid w:val="005719AA"/>
    <w:pPr>
      <w:widowControl/>
      <w:spacing w:after="100" w:line="278" w:lineRule="auto"/>
      <w:ind w:left="1680"/>
    </w:pPr>
    <w:rPr>
      <w:rFonts w:asciiTheme="minorHAnsi" w:eastAsiaTheme="minorEastAsia" w:hAnsiTheme="minorHAnsi" w:cstheme="minorBidi"/>
      <w:kern w:val="2"/>
      <w:sz w:val="24"/>
      <w:szCs w:val="24"/>
      <w:lang w:val="en-NZ" w:eastAsia="en-NZ"/>
    </w:rPr>
  </w:style>
  <w:style w:type="paragraph" w:styleId="TOC9">
    <w:name w:val="toc 9"/>
    <w:basedOn w:val="Normal"/>
    <w:next w:val="Normal"/>
    <w:autoRedefine/>
    <w:uiPriority w:val="39"/>
    <w:unhideWhenUsed/>
    <w:rsid w:val="005719AA"/>
    <w:pPr>
      <w:widowControl/>
      <w:spacing w:after="100" w:line="278" w:lineRule="auto"/>
      <w:ind w:left="1920"/>
    </w:pPr>
    <w:rPr>
      <w:rFonts w:asciiTheme="minorHAnsi" w:eastAsiaTheme="minorEastAsia" w:hAnsiTheme="minorHAnsi" w:cstheme="minorBidi"/>
      <w:kern w:val="2"/>
      <w:sz w:val="24"/>
      <w:szCs w:val="24"/>
      <w:lang w:val="en-NZ" w:eastAsia="en-NZ"/>
    </w:rPr>
  </w:style>
  <w:style w:type="character" w:customStyle="1" w:styleId="Heading3Char">
    <w:name w:val="Heading 3 Char"/>
    <w:basedOn w:val="DefaultParagraphFont"/>
    <w:link w:val="Heading3"/>
    <w:uiPriority w:val="9"/>
    <w:rsid w:val="009A71BE"/>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ohchr.org/en/documents/general-comments-and-recommendations/general-recommendation-no-37-2024-equality-and" TargetMode="External"/><Relationship Id="rId21" Type="http://schemas.openxmlformats.org/officeDocument/2006/relationships/hyperlink" Target="https://www.ohchr.org/en/statements-and-speeches/2020/02/end-mission-statement-visit-special-rapporteur-right-adequate" TargetMode="External"/><Relationship Id="rId63" Type="http://schemas.openxmlformats.org/officeDocument/2006/relationships/hyperlink" Target="https://www.ohchr.org/en/documents/general-comments-and-recommendations/general-recommendation-no-35-2013-combating-racist" TargetMode="External"/><Relationship Id="rId159" Type="http://schemas.openxmlformats.org/officeDocument/2006/relationships/hyperlink" Target="https://www.ohchr.org/en/documents/general-comments-and-recommendations/general-recommendation-no-35-2013-combating-racist" TargetMode="External"/><Relationship Id="rId170" Type="http://schemas.openxmlformats.org/officeDocument/2006/relationships/hyperlink" Target="https://www.ohchr.org/en/documents/general-comments-and-recommendations/general-recommendation-no-37-2024-equality-and" TargetMode="External"/><Relationship Id="rId226" Type="http://schemas.openxmlformats.org/officeDocument/2006/relationships/hyperlink" Target="https://tbinternet.ohchr.org/_layouts/15/TreatyBodyExternal/DownloadDraft.aspx?key=QD5YiITCSo6QbW5MMjK30pW579hb8sTW6yTrTZjnOVtDDAR3kdciQV6OzkdUrD/i" TargetMode="External"/><Relationship Id="rId268" Type="http://schemas.openxmlformats.org/officeDocument/2006/relationships/hyperlink" Target="https://tbinternet.ohchr.org/_layouts/15/TreatyBodyExternal/DownloadDraft.aspx?key=QD5YiITCSo6QbW5MMjK30pW579hb8sTW6yTrTZjnOVtDDAR3kdciQV6OzkdUrD/i" TargetMode="External"/><Relationship Id="rId32" Type="http://schemas.openxmlformats.org/officeDocument/2006/relationships/hyperlink" Target="https://tbinternet.ohchr.org/_layouts/15/TreatyBodyExternal/DownloadDraft.aspx?key=yywzH9byIdulHcfYihYJ20JkZcPW04WVQrGGfCm6XK/KC/UzN2rb4dwA5FY/iWC9" TargetMode="External"/><Relationship Id="rId74" Type="http://schemas.openxmlformats.org/officeDocument/2006/relationships/hyperlink" Target="https://www.ohchr.org/en/documents/general-comments-and-recommendations/general-recommendation-no-34-2011-racial" TargetMode="External"/><Relationship Id="rId128" Type="http://schemas.openxmlformats.org/officeDocument/2006/relationships/hyperlink" Target="https://adsdatabase.ohchr.org/IssueLibrary/CERD_Recommendation%20No31.pdf" TargetMode="External"/><Relationship Id="rId5" Type="http://schemas.openxmlformats.org/officeDocument/2006/relationships/webSettings" Target="webSettings.xml"/><Relationship Id="rId181" Type="http://schemas.openxmlformats.org/officeDocument/2006/relationships/hyperlink" Target="https://adsdatabase.ohchr.org/IssueLibrary/CERD_Recommendation%20No32.pdf" TargetMode="External"/><Relationship Id="rId237" Type="http://schemas.openxmlformats.org/officeDocument/2006/relationships/hyperlink" Target="https://adsdatabase.ohchr.org/IssueLibrary/CERD_Recommendation%20No32.pdf" TargetMode="External"/><Relationship Id="rId279" Type="http://schemas.openxmlformats.org/officeDocument/2006/relationships/hyperlink" Target="https://tbinternet.ohchr.org/_layouts/15/treatybodyexternal/Download.aspx?symbolno=CERD%2FC%2FGC%2F36&amp;Lang=en" TargetMode="External"/><Relationship Id="rId43" Type="http://schemas.openxmlformats.org/officeDocument/2006/relationships/hyperlink" Target="https://www.wgtn.ac.nz/news/2025/03/keep-politics-out-of-research-funding" TargetMode="External"/><Relationship Id="rId139" Type="http://schemas.openxmlformats.org/officeDocument/2006/relationships/hyperlink" Target="https://www2.ohchr.org/english/bodies/cerd/docs/cerd-gc30.doc" TargetMode="External"/><Relationship Id="rId290" Type="http://schemas.openxmlformats.org/officeDocument/2006/relationships/customXml" Target="../customXml/item4.xml"/><Relationship Id="rId85" Type="http://schemas.openxmlformats.org/officeDocument/2006/relationships/hyperlink" Target="https://tbinternet.ohchr.org/_layouts/15/TreatyBodyExternal/DownloadDraft.aspx?key=QD5YiITCSo6QbW5MMjK30pW579hb8sTW6yTrTZjnOVtDDAR3kdciQV6OzkdUrD/i" TargetMode="External"/><Relationship Id="rId150" Type="http://schemas.openxmlformats.org/officeDocument/2006/relationships/hyperlink" Target="https://tbinternet.ohchr.org/_layouts/15/treatybodyexternal/Download.aspx?symbolno=CERD%2FC%2FGC%2F36&amp;Lang=en" TargetMode="External"/><Relationship Id="rId192" Type="http://schemas.openxmlformats.org/officeDocument/2006/relationships/hyperlink" Target="https://www.ohchr.org/en/documents/general-comments-and-recommendations/general-recommendation-no-37-2024-equality-and" TargetMode="External"/><Relationship Id="rId206" Type="http://schemas.openxmlformats.org/officeDocument/2006/relationships/hyperlink" Target="https://adsdatabase.ohchr.org/IssueLibrary/CERD_Recommendation%20No32.pdf" TargetMode="External"/><Relationship Id="rId248" Type="http://schemas.openxmlformats.org/officeDocument/2006/relationships/hyperlink" Target="https://adsdatabase.ohchr.org/IssueLibrary/CERD_Recommendation%20No32.pdf" TargetMode="External"/><Relationship Id="rId269" Type="http://schemas.openxmlformats.org/officeDocument/2006/relationships/hyperlink" Target="https://tbinternet.ohchr.org/_layouts/15/TreatyBodyExternal/DownloadDraft.aspx?key=QD5YiITCSo6QbW5MMjK30pW579hb8sTW6yTrTZjnOVtDDAR3kdciQV6OzkdUrD/i" TargetMode="External"/><Relationship Id="rId12" Type="http://schemas.openxmlformats.org/officeDocument/2006/relationships/hyperlink" Target="https://assets.nationbuilder.com/actnz/pages/13849/attachments/original/1715133581/National_ACT_Agreement.pdf?1715133581" TargetMode="External"/><Relationship Id="rId33" Type="http://schemas.openxmlformats.org/officeDocument/2006/relationships/hyperlink" Target="https://hrlibrary.umn.edu/gencomm/onrace.htm" TargetMode="External"/><Relationship Id="rId108" Type="http://schemas.openxmlformats.org/officeDocument/2006/relationships/hyperlink" Target="https://adsdatabase.ohchr.org/IssueLibrary/CERD_Recommendation%20No32.pdf" TargetMode="External"/><Relationship Id="rId129" Type="http://schemas.openxmlformats.org/officeDocument/2006/relationships/hyperlink" Target="https://www.ohchr.org/en/documents/general-comments-and-recommendations/general-recommendation-no-35-2013-combating-racist" TargetMode="External"/><Relationship Id="rId280" Type="http://schemas.openxmlformats.org/officeDocument/2006/relationships/hyperlink" Target="https://tbinternet.ohchr.org/_layouts/15/treatybodyexternal/Download.aspx?symbolno=CERD%2FC%2FGC%2F36&amp;Lang=en" TargetMode="External"/><Relationship Id="rId54" Type="http://schemas.openxmlformats.org/officeDocument/2006/relationships/hyperlink" Target="https://vimeo.com/showcase/10758261?video=1049910462" TargetMode="External"/><Relationship Id="rId75" Type="http://schemas.openxmlformats.org/officeDocument/2006/relationships/hyperlink" Target="https://www.ohchr.org/en/documents/general-comments-and-recommendations/general-recommendation-no-35-2013-combating-racist" TargetMode="External"/><Relationship Id="rId96" Type="http://schemas.openxmlformats.org/officeDocument/2006/relationships/hyperlink" Target="https://tbinternet.ohchr.org/_layouts/15/TreatyBodyExternal/DownloadDraft.aspx?key=QD5YiITCSo6QbW5MMjK30pW579hb8sTW6yTrTZjnOVtDDAR3kdciQV6OzkdUrD/i" TargetMode="External"/><Relationship Id="rId140" Type="http://schemas.openxmlformats.org/officeDocument/2006/relationships/hyperlink" Target="https://www2.ohchr.org/english/bodies/cerd/docs/cerd-gc30.doc" TargetMode="External"/><Relationship Id="rId161" Type="http://schemas.openxmlformats.org/officeDocument/2006/relationships/hyperlink" Target="https://www.ohchr.org/en/documents/general-comments-and-recommendations/general-recommendation-no-37-2024-equality-and" TargetMode="External"/><Relationship Id="rId182" Type="http://schemas.openxmlformats.org/officeDocument/2006/relationships/hyperlink" Target="https://adsdatabase.ohchr.org/IssueLibrary/CERD_Recommendation%20No32.pdf" TargetMode="External"/><Relationship Id="rId217" Type="http://schemas.openxmlformats.org/officeDocument/2006/relationships/hyperlink" Target="https://tbinternet.ohchr.org/_layouts/15/TreatyBodyExternal/DownloadDraft.aspx?key=QD5YiITCSo6QbW5MMjK30pW579hb8sTW6yTrTZjnOVtDDAR3kdciQV6OzkdUrD/i" TargetMode="External"/><Relationship Id="rId6" Type="http://schemas.openxmlformats.org/officeDocument/2006/relationships/footnotes" Target="footnotes.xml"/><Relationship Id="rId238" Type="http://schemas.openxmlformats.org/officeDocument/2006/relationships/hyperlink" Target="https://adsdatabase.ohchr.org/IssueLibrary/CERD_Recommendation%20No32.pdf" TargetMode="External"/><Relationship Id="rId259" Type="http://schemas.openxmlformats.org/officeDocument/2006/relationships/hyperlink" Target="https://tbinternet.ohchr.org/_layouts/15/treatybodyexternal/Download.aspx?symbolno=CERD%2FC%2FGC%2F36&amp;Lang=en" TargetMode="External"/><Relationship Id="rId23" Type="http://schemas.openxmlformats.org/officeDocument/2006/relationships/hyperlink" Target="https://www.rnz.co.nz/news/in-depth/489011/our-tipuna-knew-when-to-move-the-difficult-conversations-about-managed-retreat-for-maori" TargetMode="External"/><Relationship Id="rId119" Type="http://schemas.openxmlformats.org/officeDocument/2006/relationships/hyperlink" Target="https://tbinternet.ohchr.org/_layouts/15/TreatyBodyExternal/DownloadDraft.aspx?key=QD5YiITCSo6QbW5MMjK30pW579hb8sTW6yTrTZjnOVtDDAR3kdciQV6OzkdUrD/i" TargetMode="External"/><Relationship Id="rId270" Type="http://schemas.openxmlformats.org/officeDocument/2006/relationships/hyperlink" Target="https://www.ohchr.org/en/documents/general-comments-and-recommendations/general-recommendation-no-37-2024-equality-and" TargetMode="External"/><Relationship Id="rId44" Type="http://schemas.openxmlformats.org/officeDocument/2006/relationships/hyperlink" Target="https://www.lawsociety.org.nz/news/newsroom/advocacy-in-action/access-to-justice-impacted-by-proposed-repeal-of-sentencing-report-funding/" TargetMode="External"/><Relationship Id="rId65" Type="http://schemas.openxmlformats.org/officeDocument/2006/relationships/hyperlink" Target="https://www.ohchr.org/en/documents/concluding-observations/cerdcnzlco21-22-committee-elimination-racial-discrimination" TargetMode="External"/><Relationship Id="rId86" Type="http://schemas.openxmlformats.org/officeDocument/2006/relationships/hyperlink" Target="https://tbinternet.ohchr.org/_layouts/15/TreatyBodyExternal/DownloadDraft.aspx?key=QD5YiITCSo6QbW5MMjK30pW579hb8sTW6yTrTZjnOVtDDAR3kdciQV6OzkdUrD/i" TargetMode="External"/><Relationship Id="rId130" Type="http://schemas.openxmlformats.org/officeDocument/2006/relationships/hyperlink" Target="https://www.ohchr.org/en/documents/general-comments-and-recommendations/general-recommendation-no-37-2024-equality-and" TargetMode="External"/><Relationship Id="rId151" Type="http://schemas.openxmlformats.org/officeDocument/2006/relationships/hyperlink" Target="https://tbinternet.ohchr.org/_layouts/15/treatybodyexternal/Download.aspx?symbolno=CERD%2FC%2FGC%2F36&amp;Lang=en" TargetMode="External"/><Relationship Id="rId172" Type="http://schemas.openxmlformats.org/officeDocument/2006/relationships/hyperlink" Target="https://tbinternet.ohchr.org/_layouts/15/TreatyBodyExternal/DownloadDraft.aspx?key=QD5YiITCSo6QbW5MMjK30pW579hb8sTW6yTrTZjnOVtDDAR3kdciQV6OzkdUrD/i" TargetMode="External"/><Relationship Id="rId193" Type="http://schemas.openxmlformats.org/officeDocument/2006/relationships/hyperlink" Target="https://www.ohchr.org/en/documents/general-comments-and-recommendations/general-recommendation-no-37-2024-equality-and" TargetMode="External"/><Relationship Id="rId207" Type="http://schemas.openxmlformats.org/officeDocument/2006/relationships/hyperlink" Target="https://www.ohchr.org/en/documents/general-comments-and-recommendations/general-recommendation-no-37-2024-equality-and" TargetMode="External"/><Relationship Id="rId228" Type="http://schemas.openxmlformats.org/officeDocument/2006/relationships/hyperlink" Target="https://adsdatabase.ohchr.org/IssueLibrary/CERD_Recommendation%20No32.pdf" TargetMode="External"/><Relationship Id="rId249" Type="http://schemas.openxmlformats.org/officeDocument/2006/relationships/hyperlink" Target="https://adsdatabase.ohchr.org/IssueLibrary/CERD_Recommendation%20No32.pdf" TargetMode="External"/><Relationship Id="rId13" Type="http://schemas.openxmlformats.org/officeDocument/2006/relationships/hyperlink" Target="https://forms.justice.govt.nz/search/Documents/WT/wt_DOC_217933408/Nga%20Matapono%20W.pdf" TargetMode="External"/><Relationship Id="rId109" Type="http://schemas.openxmlformats.org/officeDocument/2006/relationships/hyperlink" Target="https://www.ohchr.org/en/documents/general-comments-and-recommendations/general-recommendation-no-37-2024-equality-and" TargetMode="External"/><Relationship Id="rId260" Type="http://schemas.openxmlformats.org/officeDocument/2006/relationships/hyperlink" Target="https://tbinternet.ohchr.org/_layouts/15/treatybodyexternal/Download.aspx?symbolno=CERD%2FC%2FGC%2F36&amp;Lang=en" TargetMode="External"/><Relationship Id="rId281" Type="http://schemas.openxmlformats.org/officeDocument/2006/relationships/hyperlink" Target="https://www.ohchr.org/en/documents/general-comments-and-recommendations/general-recommendation-no-37-2024-equality-and" TargetMode="External"/><Relationship Id="rId34" Type="http://schemas.openxmlformats.org/officeDocument/2006/relationships/hyperlink" Target="https://www.icj-cij.org/case/186" TargetMode="External"/><Relationship Id="rId55" Type="http://schemas.openxmlformats.org/officeDocument/2006/relationships/hyperlink" Target="https://adsdatabase.ohchr.org/IssueLibrary/CERD_Recommendation%20No32.pdf" TargetMode="External"/><Relationship Id="rId76" Type="http://schemas.openxmlformats.org/officeDocument/2006/relationships/hyperlink" Target="https://www.ohchr.org/en/documents/general-comments-and-recommendations/general-recommendation-no-35-2013-combating-racist" TargetMode="External"/><Relationship Id="rId97" Type="http://schemas.openxmlformats.org/officeDocument/2006/relationships/hyperlink" Target="https://adsdatabase.ohchr.org/IssueLibrary/CERD_Recommendation%20No31.pdf" TargetMode="External"/><Relationship Id="rId120" Type="http://schemas.openxmlformats.org/officeDocument/2006/relationships/hyperlink" Target="https://tbinternet.ohchr.org/_layouts/15/TreatyBodyExternal/DownloadDraft.aspx?key=QD5YiITCSo6QbW5MMjK30pW579hb8sTW6yTrTZjnOVtDDAR3kdciQV6OzkdUrD/i" TargetMode="External"/><Relationship Id="rId141" Type="http://schemas.openxmlformats.org/officeDocument/2006/relationships/hyperlink" Target="https://www.ohchr.org/en/documents/concluding-observations/cerdcnzlco21-22-committee-elimination-racial-discrimination" TargetMode="External"/><Relationship Id="rId7" Type="http://schemas.openxmlformats.org/officeDocument/2006/relationships/endnotes" Target="endnotes.xml"/><Relationship Id="rId162" Type="http://schemas.openxmlformats.org/officeDocument/2006/relationships/hyperlink" Target="https://www.ohchr.org/en/documents/concluding-observations/cerdcnzlco21-22-committee-elimination-racial-discrimination" TargetMode="External"/><Relationship Id="rId183" Type="http://schemas.openxmlformats.org/officeDocument/2006/relationships/hyperlink" Target="https://www.ohchr.org/en/documents/general-comments-and-recommendations/general-recommendation-no-37-2024-equality-and" TargetMode="External"/><Relationship Id="rId218" Type="http://schemas.openxmlformats.org/officeDocument/2006/relationships/hyperlink" Target="https://tbinternet.ohchr.org/_layouts/15/TreatyBodyExternal/DownloadDraft.aspx?key=QD5YiITCSo6QbW5MMjK30pW579hb8sTW6yTrTZjnOVtDDAR3kdciQV6OzkdUrD/i" TargetMode="External"/><Relationship Id="rId239" Type="http://schemas.openxmlformats.org/officeDocument/2006/relationships/hyperlink" Target="https://www.ohchr.org/en/documents/general-comments-and-recommendations/general-recommendation-no-35-2013-combating-racist" TargetMode="External"/><Relationship Id="rId250" Type="http://schemas.openxmlformats.org/officeDocument/2006/relationships/hyperlink" Target="https://www.ohchr.org/en/documents/general-comments-and-recommendations/general-recommendation-no-37-2024-equality-and" TargetMode="External"/><Relationship Id="rId271" Type="http://schemas.openxmlformats.org/officeDocument/2006/relationships/hyperlink" Target="https://www.ohchr.org/en/documents/general-comments-and-recommendations/general-recommendation-no-37-2024-equality-and" TargetMode="External"/><Relationship Id="rId24" Type="http://schemas.openxmlformats.org/officeDocument/2006/relationships/hyperlink" Target="https://disclosure.legislation.govt.nz/assets/disclosures/bill_government_2024_45.pdf" TargetMode="External"/><Relationship Id="rId45" Type="http://schemas.openxmlformats.org/officeDocument/2006/relationships/hyperlink" Target="https://disclosure.legislation.govt.nz/assets/disclosures/Bill_government_2024_12.pdf" TargetMode="External"/><Relationship Id="rId66" Type="http://schemas.openxmlformats.org/officeDocument/2006/relationships/hyperlink" Target="https://tbinternet.ohchr.org/_layouts/15/TreatyBodyExternal/DownloadDraft.aspx?key=QD5YiITCSo6QbW5MMjK30pW579hb8sTW6yTrTZjnOVtDDAR3kdciQV6OzkdUrD/i" TargetMode="External"/><Relationship Id="rId87" Type="http://schemas.openxmlformats.org/officeDocument/2006/relationships/hyperlink" Target="https://adsdatabase.ohchr.org/IssueLibrary/CERD_Recommendation%20No32.pdf" TargetMode="External"/><Relationship Id="rId110" Type="http://schemas.openxmlformats.org/officeDocument/2006/relationships/hyperlink" Target="https://www.ohchr.org/en/documents/general-comments-and-recommendations/general-recommendation-no-37-2024-equality-and" TargetMode="External"/><Relationship Id="rId131" Type="http://schemas.openxmlformats.org/officeDocument/2006/relationships/hyperlink" Target="https://www.ohchr.org/en/documents/general-comments-and-recommendations/general-recommendation-no-37-2024-equality-and" TargetMode="External"/><Relationship Id="rId152" Type="http://schemas.openxmlformats.org/officeDocument/2006/relationships/hyperlink" Target="https://www.ohchr.org/en/documents/general-comments-and-recommendations/general-recommendation-no-37-2024-equality-and" TargetMode="External"/><Relationship Id="rId173" Type="http://schemas.openxmlformats.org/officeDocument/2006/relationships/hyperlink" Target="https://tbinternet.ohchr.org/_layouts/15/TreatyBodyExternal/DownloadDraft.aspx?key=QD5YiITCSo6QbW5MMjK30pW579hb8sTW6yTrTZjnOVtDDAR3kdciQV6OzkdUrD/i" TargetMode="External"/><Relationship Id="rId194" Type="http://schemas.openxmlformats.org/officeDocument/2006/relationships/hyperlink" Target="https://www.ohchr.org/en/documents/concluding-observations/cerdcnzlco21-22-committee-elimination-racial-discrimination" TargetMode="External"/><Relationship Id="rId208" Type="http://schemas.openxmlformats.org/officeDocument/2006/relationships/hyperlink" Target="https://www.ohchr.org/en/documents/general-comments-and-recommendations/general-recommendation-no-37-2024-equality-and" TargetMode="External"/><Relationship Id="rId229" Type="http://schemas.openxmlformats.org/officeDocument/2006/relationships/hyperlink" Target="https://adsdatabase.ohchr.org/IssueLibrary/CERD_Recommendation%20No32.pdf" TargetMode="External"/><Relationship Id="rId240" Type="http://schemas.openxmlformats.org/officeDocument/2006/relationships/hyperlink" Target="https://www.ohchr.org/en/documents/general-comments-and-recommendations/general-recommendation-no-35-2013-combating-racist" TargetMode="External"/><Relationship Id="rId261" Type="http://schemas.openxmlformats.org/officeDocument/2006/relationships/hyperlink" Target="https://www.ohchr.org/en/documents/general-comments-and-recommendations/general-recommendation-no-37-2024-equality-and" TargetMode="External"/><Relationship Id="rId14" Type="http://schemas.openxmlformats.org/officeDocument/2006/relationships/hyperlink" Target="https://www.rnz.co.nz/news/political/557766/watch-this-space-seymour-on-if-voted-down-treaty-principles-bill-will-return" TargetMode="External"/><Relationship Id="rId35" Type="http://schemas.openxmlformats.org/officeDocument/2006/relationships/hyperlink" Target="https://newsroom.co.nz/2024/11/15/rocketlabs-mahia-launches-linked-to-israeli-military-intelligence/" TargetMode="External"/><Relationship Id="rId56" Type="http://schemas.openxmlformats.org/officeDocument/2006/relationships/header" Target="header1.xml"/><Relationship Id="rId77" Type="http://schemas.openxmlformats.org/officeDocument/2006/relationships/hyperlink" Target="https://tbinternet.ohchr.org/_layouts/15/treatybodyexternal/Download.aspx?symbolno=CERD%2FC%2FGC%2F36&amp;Lang=en" TargetMode="External"/><Relationship Id="rId100" Type="http://schemas.openxmlformats.org/officeDocument/2006/relationships/hyperlink" Target="https://tbinternet.ohchr.org/_layouts/15/treatybodyexternal/Download.aspx?symbolno=CERD%2FC%2FGC%2F36&amp;Lang=en" TargetMode="External"/><Relationship Id="rId282" Type="http://schemas.openxmlformats.org/officeDocument/2006/relationships/hyperlink" Target="https://www.ohchr.org/en/documents/general-comments-and-recommendations/general-recommendation-no-37-2024-equality-and" TargetMode="External"/><Relationship Id="rId8" Type="http://schemas.openxmlformats.org/officeDocument/2006/relationships/hyperlink" Target="https://www.beehive.govt.nz/release/government-reinstate-prisoner-voting-ban?utm_source=chatgpt.com" TargetMode="External"/><Relationship Id="rId98" Type="http://schemas.openxmlformats.org/officeDocument/2006/relationships/hyperlink" Target="https://adsdatabase.ohchr.org/IssueLibrary/CERD_Recommendation%20No32.pdf" TargetMode="External"/><Relationship Id="rId121" Type="http://schemas.openxmlformats.org/officeDocument/2006/relationships/hyperlink" Target="https://www.ohchr.org/en/documents/general-comments-and-recommendations/general-recommendation-no-37-2024-equality-and" TargetMode="External"/><Relationship Id="rId142" Type="http://schemas.openxmlformats.org/officeDocument/2006/relationships/hyperlink" Target="https://tbinternet.ohchr.org/_layouts/15/TreatyBodyExternal/DownloadDraft.aspx?key=QD5YiITCSo6QbW5MMjK30pW579hb8sTW6yTrTZjnOVtDDAR3kdciQV6OzkdUrD/i" TargetMode="External"/><Relationship Id="rId163" Type="http://schemas.openxmlformats.org/officeDocument/2006/relationships/hyperlink" Target="https://tbinternet.ohchr.org/_layouts/15/TreatyBodyExternal/DownloadDraft.aspx?key=QD5YiITCSo6QbW5MMjK30pW579hb8sTW6yTrTZjnOVtDDAR3kdciQV6OzkdUrD/i" TargetMode="External"/><Relationship Id="rId184" Type="http://schemas.openxmlformats.org/officeDocument/2006/relationships/hyperlink" Target="https://www.ohchr.org/en/documents/general-comments-and-recommendations/general-recommendation-no-37-2024-equality-and" TargetMode="External"/><Relationship Id="rId219" Type="http://schemas.openxmlformats.org/officeDocument/2006/relationships/hyperlink" Target="https://adsdatabase.ohchr.org/IssueLibrary/CERD_Recommendation%20No31.pdf" TargetMode="External"/><Relationship Id="rId230" Type="http://schemas.openxmlformats.org/officeDocument/2006/relationships/hyperlink" Target="https://www.ohchr.org/en/documents/general-comments-and-recommendations/general-recommendation-no-37-2024-equality-and" TargetMode="External"/><Relationship Id="rId251" Type="http://schemas.openxmlformats.org/officeDocument/2006/relationships/hyperlink" Target="https://www.ohchr.org/en/documents/general-comments-and-recommendations/general-recommendation-no-37-2024-equality-and" TargetMode="External"/><Relationship Id="rId25" Type="http://schemas.openxmlformats.org/officeDocument/2006/relationships/hyperlink" Target="https://www.orangatamariki.govt.nz/assets/Uploads/Youth-justice/Military-Style-Academies/Regulatory-Impact-Statement-Serious-Youth-Offenders-and-military-style-academies-June-2024.pdf" TargetMode="External"/><Relationship Id="rId46" Type="http://schemas.openxmlformats.org/officeDocument/2006/relationships/hyperlink" Target="https://www.beehive.govt.nz/speech/speech-2025-lgnz-conference-delivering-ratepayers-together" TargetMode="External"/><Relationship Id="rId67" Type="http://schemas.openxmlformats.org/officeDocument/2006/relationships/hyperlink" Target="https://tbinternet.ohchr.org/_layouts/15/TreatyBodyExternal/DownloadDraft.aspx?key=QD5YiITCSo6QbW5MMjK30pW579hb8sTW6yTrTZjnOVtDDAR3kdciQV6OzkdUrD/i" TargetMode="External"/><Relationship Id="rId272" Type="http://schemas.openxmlformats.org/officeDocument/2006/relationships/hyperlink" Target="https://www.ohchr.org/en/documents/concluding-observations/cerdcnzlco21-22-committee-elimination-racial-discrimination" TargetMode="External"/><Relationship Id="rId88" Type="http://schemas.openxmlformats.org/officeDocument/2006/relationships/hyperlink" Target="https://adsdatabase.ohchr.org/IssueLibrary/CERD_Recommendation%20No32.pdf" TargetMode="External"/><Relationship Id="rId111" Type="http://schemas.openxmlformats.org/officeDocument/2006/relationships/hyperlink" Target="https://www.ohchr.org/en/documents/concluding-observations/cerdcnzlco21-22-committee-elimination-racial-discrimination" TargetMode="External"/><Relationship Id="rId132" Type="http://schemas.openxmlformats.org/officeDocument/2006/relationships/hyperlink" Target="https://www.ohchr.org/en/documents/concluding-observations/cerdcnzlco21-22-committee-elimination-racial-discrimination" TargetMode="External"/><Relationship Id="rId153" Type="http://schemas.openxmlformats.org/officeDocument/2006/relationships/hyperlink" Target="https://www.ohchr.org/en/documents/general-comments-and-recommendations/general-recommendation-no-37-2024-equality-and" TargetMode="External"/><Relationship Id="rId174" Type="http://schemas.openxmlformats.org/officeDocument/2006/relationships/hyperlink" Target="https://adsdatabase.ohchr.org/IssueLibrary/CERD_Recommendation%20No32.pdf" TargetMode="External"/><Relationship Id="rId195" Type="http://schemas.openxmlformats.org/officeDocument/2006/relationships/hyperlink" Target="https://tbinternet.ohchr.org/_layouts/15/treatybodyexternal/Download.aspx?symbolno=CERD%2FC%2FGC%2F36&amp;Lang=en" TargetMode="External"/><Relationship Id="rId209" Type="http://schemas.openxmlformats.org/officeDocument/2006/relationships/hyperlink" Target="https://www.ohchr.org/en/documents/concluding-observations/cerdcnzlco21-22-committee-elimination-racial-discrimination" TargetMode="External"/><Relationship Id="rId220" Type="http://schemas.openxmlformats.org/officeDocument/2006/relationships/hyperlink" Target="https://adsdatabase.ohchr.org/IssueLibrary/CERD_Recommendation%20No31.pdf" TargetMode="External"/><Relationship Id="rId241" Type="http://schemas.openxmlformats.org/officeDocument/2006/relationships/hyperlink" Target="https://www.ohchr.org/en/documents/general-comments-and-recommendations/general-recommendation-no-37-2024-equality-and" TargetMode="External"/><Relationship Id="rId15" Type="http://schemas.openxmlformats.org/officeDocument/2006/relationships/hyperlink" Target="https://www.disputestribunal.govt.nz/assets/WT-Part-1-Report-on-stage-1-of-the-Te-Paparahi-o-Te-Raki-inquiry.pdf" TargetMode="External"/><Relationship Id="rId36" Type="http://schemas.openxmlformats.org/officeDocument/2006/relationships/hyperlink" Target="https://www.rnz.co.nz/news/national/574417/what-is-nz-s-role-in-trump-s-golden-dome-missile-defence-system" TargetMode="External"/><Relationship Id="rId57" Type="http://schemas.openxmlformats.org/officeDocument/2006/relationships/footer" Target="footer1.xml"/><Relationship Id="rId262" Type="http://schemas.openxmlformats.org/officeDocument/2006/relationships/hyperlink" Target="https://www.ohchr.org/en/documents/general-comments-and-recommendations/general-recommendation-no-37-2024-equality-and" TargetMode="External"/><Relationship Id="rId283" Type="http://schemas.openxmlformats.org/officeDocument/2006/relationships/hyperlink" Target="https://www.ohchr.org/en/documents/concluding-observations/cerdcnzlco21-22-committee-elimination-racial-discrimination" TargetMode="External"/><Relationship Id="rId78" Type="http://schemas.openxmlformats.org/officeDocument/2006/relationships/hyperlink" Target="https://tbinternet.ohchr.org/_layouts/15/treatybodyexternal/Download.aspx?symbolno=CERD%2FC%2FGC%2F36&amp;Lang=en" TargetMode="External"/><Relationship Id="rId99" Type="http://schemas.openxmlformats.org/officeDocument/2006/relationships/hyperlink" Target="https://www.ohchr.org/en/documents/general-comments-and-recommendations/general-recommendation-no-35-2013-combating-racist" TargetMode="External"/><Relationship Id="rId101" Type="http://schemas.openxmlformats.org/officeDocument/2006/relationships/hyperlink" Target="https://www.ohchr.org/en/documents/general-comments-and-recommendations/general-recommendation-no-37-2024-equality-and" TargetMode="External"/><Relationship Id="rId122" Type="http://schemas.openxmlformats.org/officeDocument/2006/relationships/hyperlink" Target="https://www.ohchr.org/en/documents/general-comments-and-recommendations/general-recommendation-no-37-2024-equality-and" TargetMode="External"/><Relationship Id="rId143" Type="http://schemas.openxmlformats.org/officeDocument/2006/relationships/hyperlink" Target="https://tbinternet.ohchr.org/_layouts/15/TreatyBodyExternal/DownloadDraft.aspx?key=QD5YiITCSo6QbW5MMjK30pW579hb8sTW6yTrTZjnOVtDDAR3kdciQV6OzkdUrD/i" TargetMode="External"/><Relationship Id="rId164" Type="http://schemas.openxmlformats.org/officeDocument/2006/relationships/hyperlink" Target="https://tbinternet.ohchr.org/_layouts/15/TreatyBodyExternal/DownloadDraft.aspx?key=QD5YiITCSo6QbW5MMjK30pW579hb8sTW6yTrTZjnOVtDDAR3kdciQV6OzkdUrD/i" TargetMode="External"/><Relationship Id="rId185" Type="http://schemas.openxmlformats.org/officeDocument/2006/relationships/hyperlink" Target="https://www.ohchr.org/en/documents/concluding-observations/cerdcnzlco21-22-committee-elimination-racial-discrimination" TargetMode="External"/><Relationship Id="rId9" Type="http://schemas.openxmlformats.org/officeDocument/2006/relationships/hyperlink" Target="https://www.rnz.co.nz/news/political/568340/voting-reforms-prisoner-bans-and-enrolment-changes-what-you-need-to-know-about-the-electoral-amendment-bill" TargetMode="External"/><Relationship Id="rId210" Type="http://schemas.openxmlformats.org/officeDocument/2006/relationships/hyperlink" Target="https://tbinternet.ohchr.org/_layouts/15/TreatyBodyExternal/DownloadDraft.aspx?key=QD5YiITCSo6QbW5MMjK30pW579hb8sTW6yTrTZjnOVtDDAR3kdciQV6OzkdUrD/i" TargetMode="External"/><Relationship Id="rId26" Type="http://schemas.openxmlformats.org/officeDocument/2006/relationships/hyperlink" Target="http://www.occ.org.nz" TargetMode="External"/><Relationship Id="rId231" Type="http://schemas.openxmlformats.org/officeDocument/2006/relationships/hyperlink" Target="https://www.ohchr.org/en/documents/general-comments-and-recommendations/general-recommendation-no-37-2024-equality-and" TargetMode="External"/><Relationship Id="rId252" Type="http://schemas.openxmlformats.org/officeDocument/2006/relationships/hyperlink" Target="https://www.ohchr.org/en/documents/concluding-observations/cerdcnzlco21-22-committee-elimination-racial-discrimination" TargetMode="External"/><Relationship Id="rId273" Type="http://schemas.openxmlformats.org/officeDocument/2006/relationships/hyperlink" Target="https://www2.ohchr.org/english/bodies/cerd/docs/cerd-gc30.doc" TargetMode="External"/><Relationship Id="rId47" Type="http://schemas.openxmlformats.org/officeDocument/2006/relationships/hyperlink" Target="https://www.rnz.co.nz/news/political/545835/christopher-luxon-reveals-resource-management-act-reform" TargetMode="External"/><Relationship Id="rId68" Type="http://schemas.openxmlformats.org/officeDocument/2006/relationships/hyperlink" Target="https://www2.ohchr.org/english/bodies/cerd/docs/cerd-gc30.doc" TargetMode="External"/><Relationship Id="rId89" Type="http://schemas.openxmlformats.org/officeDocument/2006/relationships/hyperlink" Target="https://www.ohchr.org/en/documents/concluding-observations/cerdcnzlco21-22-committee-elimination-racial-discrimination" TargetMode="External"/><Relationship Id="rId112" Type="http://schemas.openxmlformats.org/officeDocument/2006/relationships/hyperlink" Target="https://tbinternet.ohchr.org/_layouts/15/TreatyBodyExternal/DownloadDraft.aspx?key=QD5YiITCSo6QbW5MMjK30pW579hb8sTW6yTrTZjnOVtDDAR3kdciQV6OzkdUrD/i" TargetMode="External"/><Relationship Id="rId133" Type="http://schemas.openxmlformats.org/officeDocument/2006/relationships/hyperlink" Target="https://www.ohchr.org/en/documents/general-comments-and-recommendations/general-recommendation-no-37-2024-equality-and" TargetMode="External"/><Relationship Id="rId154" Type="http://schemas.openxmlformats.org/officeDocument/2006/relationships/hyperlink" Target="https://tbinternet.ohchr.org/_layouts/15/TreatyBodyExternal/DownloadDraft.aspx?key=8J3xxGeuSQMbOZhFSK5jMvL5S38LF1IADMkCBwzng10+ONLcItRHKS+jjkz6uVEH" TargetMode="External"/><Relationship Id="rId175" Type="http://schemas.openxmlformats.org/officeDocument/2006/relationships/hyperlink" Target="https://adsdatabase.ohchr.org/IssueLibrary/CERD_Recommendation%20No32.pdf" TargetMode="External"/><Relationship Id="rId196" Type="http://schemas.openxmlformats.org/officeDocument/2006/relationships/hyperlink" Target="https://tbinternet.ohchr.org/_layouts/15/treatybodyexternal/Download.aspx?symbolno=CERD%2FC%2FGC%2F36&amp;Lang=en" TargetMode="External"/><Relationship Id="rId200" Type="http://schemas.openxmlformats.org/officeDocument/2006/relationships/hyperlink" Target="https://adsdatabase.ohchr.org/IssueLibrary/CERD_Recommendation%20No32.pdf" TargetMode="External"/><Relationship Id="rId16" Type="http://schemas.openxmlformats.org/officeDocument/2006/relationships/hyperlink" Target="https://vimeo.com/showcase/10758261/video/1049910462" TargetMode="External"/><Relationship Id="rId221" Type="http://schemas.openxmlformats.org/officeDocument/2006/relationships/hyperlink" Target="https://adsdatabase.ohchr.org/IssueLibrary/CERD_Recommendation%20No32.pdf" TargetMode="External"/><Relationship Id="rId242" Type="http://schemas.openxmlformats.org/officeDocument/2006/relationships/hyperlink" Target="https://www.ohchr.org/en/documents/general-comments-and-recommendations/general-recommendation-no-37-2024-equality-and" TargetMode="External"/><Relationship Id="rId263" Type="http://schemas.openxmlformats.org/officeDocument/2006/relationships/hyperlink" Target="https://www.ohchr.org/en/documents/concluding-observations/cerdcnzlco21-22-committee-elimination-racial-discrimination" TargetMode="External"/><Relationship Id="rId284" Type="http://schemas.openxmlformats.org/officeDocument/2006/relationships/hyperlink" Target="https://docs.un.org/en/CERD/C/NZL/23-24" TargetMode="External"/><Relationship Id="rId37" Type="http://schemas.openxmlformats.org/officeDocument/2006/relationships/hyperlink" Target="https://www.beehive.govt.nz/release/nz-maintain-approach-recognition-palestine" TargetMode="External"/><Relationship Id="rId58" Type="http://schemas.openxmlformats.org/officeDocument/2006/relationships/header" Target="header2.xml"/><Relationship Id="rId79" Type="http://schemas.openxmlformats.org/officeDocument/2006/relationships/hyperlink" Target="https://www.ohchr.org/en/documents/concluding-observations/cerdcnzlco21-22-committee-elimination-racial-discrimination" TargetMode="External"/><Relationship Id="rId102" Type="http://schemas.openxmlformats.org/officeDocument/2006/relationships/hyperlink" Target="https://www.ohchr.org/en/documents/concluding-observations/cerdcnzlco21-22-committee-elimination-racial-discrimination" TargetMode="External"/><Relationship Id="rId123" Type="http://schemas.openxmlformats.org/officeDocument/2006/relationships/hyperlink" Target="https://www.ohchr.org/en/documents/concluding-observations/cerdcnzlco21-22-committee-elimination-racial-discrimination" TargetMode="External"/><Relationship Id="rId144" Type="http://schemas.openxmlformats.org/officeDocument/2006/relationships/hyperlink" Target="https://www2.ohchr.org/english/bodies/cerd/docs/cerd-gc30.doc" TargetMode="External"/><Relationship Id="rId90" Type="http://schemas.openxmlformats.org/officeDocument/2006/relationships/hyperlink" Target="https://tbinternet.ohchr.org/_layouts/15/TreatyBodyExternal/DownloadDraft.aspx?key=QD5YiITCSo6QbW5MMjK30pW579hb8sTW6yTrTZjnOVtDDAR3kdciQV6OzkdUrD/i" TargetMode="External"/><Relationship Id="rId165" Type="http://schemas.openxmlformats.org/officeDocument/2006/relationships/hyperlink" Target="https://adsdatabase.ohchr.org/IssueLibrary/CERD_Recommendation%20No32.pdf" TargetMode="External"/><Relationship Id="rId186" Type="http://schemas.openxmlformats.org/officeDocument/2006/relationships/hyperlink" Target="https://tbinternet.ohchr.org/_layouts/15/TreatyBodyExternal/DownloadDraft.aspx?key=QD5YiITCSo6QbW5MMjK30pW579hb8sTW6yTrTZjnOVtDDAR3kdciQV6OzkdUrD/i" TargetMode="External"/><Relationship Id="rId211" Type="http://schemas.openxmlformats.org/officeDocument/2006/relationships/hyperlink" Target="https://tbinternet.ohchr.org/_layouts/15/TreatyBodyExternal/DownloadDraft.aspx?key=QD5YiITCSo6QbW5MMjK30pW579hb8sTW6yTrTZjnOVtDDAR3kdciQV6OzkdUrD/i" TargetMode="External"/><Relationship Id="rId232" Type="http://schemas.openxmlformats.org/officeDocument/2006/relationships/hyperlink" Target="https://www.ohchr.org/en/documents/concluding-observations/cerdcnzlco21-22-committee-elimination-racial-discrimination" TargetMode="External"/><Relationship Id="rId253" Type="http://schemas.openxmlformats.org/officeDocument/2006/relationships/hyperlink" Target="https://adsdatabase.ohchr.org/IssueLibrary/CERD_Recommendation%20No15.doc" TargetMode="External"/><Relationship Id="rId274" Type="http://schemas.openxmlformats.org/officeDocument/2006/relationships/hyperlink" Target="https://www2.ohchr.org/english/bodies/cerd/docs/cerd-gc30.doc" TargetMode="External"/><Relationship Id="rId27" Type="http://schemas.openxmlformats.org/officeDocument/2006/relationships/hyperlink" Target="https://www.rnz.co.nz/news/national/542843/nutritionist-finds-list-of-issues-after-visiting-auckland-schools-delivering-lunch-programme" TargetMode="External"/><Relationship Id="rId48" Type="http://schemas.openxmlformats.org/officeDocument/2006/relationships/hyperlink" Target="https://www.rnz.co.nz/news/political/561537/te-pati-maori-s-haka-punishment-labelled-extreme-but-labour-unlikely-to-filibuster" TargetMode="External"/><Relationship Id="rId69" Type="http://schemas.openxmlformats.org/officeDocument/2006/relationships/hyperlink" Target="https://www2.ohchr.org/english/bodies/cerd/docs/cerd-gc30.doc" TargetMode="External"/><Relationship Id="rId113" Type="http://schemas.openxmlformats.org/officeDocument/2006/relationships/hyperlink" Target="https://tbinternet.ohchr.org/_layouts/15/TreatyBodyExternal/DownloadDraft.aspx?key=QD5YiITCSo6QbW5MMjK30pW579hb8sTW6yTrTZjnOVtDDAR3kdciQV6OzkdUrD/i" TargetMode="External"/><Relationship Id="rId134" Type="http://schemas.openxmlformats.org/officeDocument/2006/relationships/hyperlink" Target="https://www.ohchr.org/en/documents/general-comments-and-recommendations/general-recommendation-no-37-2024-equality-and" TargetMode="External"/><Relationship Id="rId80" Type="http://schemas.openxmlformats.org/officeDocument/2006/relationships/hyperlink" Target="https://tbinternet.ohchr.org/_layouts/15/TreatyBodyExternal/DownloadDraft.aspx?key=QD5YiITCSo6QbW5MMjK30pW579hb8sTW6yTrTZjnOVtDDAR3kdciQV6OzkdUrD/i" TargetMode="External"/><Relationship Id="rId155" Type="http://schemas.openxmlformats.org/officeDocument/2006/relationships/hyperlink" Target="https://www.icj-cij.org/case/186" TargetMode="External"/><Relationship Id="rId176" Type="http://schemas.openxmlformats.org/officeDocument/2006/relationships/hyperlink" Target="https://www.ohchr.org/en/documents/general-comments-and-recommendations/general-recommendation-no-37-2024-equality-and" TargetMode="External"/><Relationship Id="rId197" Type="http://schemas.openxmlformats.org/officeDocument/2006/relationships/hyperlink" Target="https://www.ohchr.org/en/documents/concluding-observations/cerdcnzlco21-22-committee-elimination-racial-discrimination" TargetMode="External"/><Relationship Id="rId201" Type="http://schemas.openxmlformats.org/officeDocument/2006/relationships/hyperlink" Target="https://adsdatabase.ohchr.org/IssueLibrary/CERD_Recommendation%20No32.pdf" TargetMode="External"/><Relationship Id="rId222" Type="http://schemas.openxmlformats.org/officeDocument/2006/relationships/hyperlink" Target="https://adsdatabase.ohchr.org/IssueLibrary/CERD_Recommendation%20No32.pdf" TargetMode="External"/><Relationship Id="rId243" Type="http://schemas.openxmlformats.org/officeDocument/2006/relationships/hyperlink" Target="https://www.ohchr.org/en/documents/concluding-observations/cerdcnzlco21-22-committee-elimination-racial-discrimination" TargetMode="External"/><Relationship Id="rId264" Type="http://schemas.openxmlformats.org/officeDocument/2006/relationships/hyperlink" Target="https://adsdatabase.ohchr.org/IssueLibrary/CERD_Recommendation%20No32.pdf" TargetMode="External"/><Relationship Id="rId285" Type="http://schemas.openxmlformats.org/officeDocument/2006/relationships/hyperlink" Target="https://docs.un.org/en/CERD/C/NZL/23-24" TargetMode="External"/><Relationship Id="rId17" Type="http://schemas.openxmlformats.org/officeDocument/2006/relationships/hyperlink" Target="https://sanjanah.wordpress.com/2025/01/06/submission-to-new-zealand-parliament-on-principles-of-the-treaty-of-waitangi-bill/" TargetMode="External"/><Relationship Id="rId38" Type="http://schemas.openxmlformats.org/officeDocument/2006/relationships/hyperlink" Target="https://www.un.org/unispal/high-level-conference-two-state-solution-july2025/" TargetMode="External"/><Relationship Id="rId59" Type="http://schemas.openxmlformats.org/officeDocument/2006/relationships/footer" Target="footer2.xml"/><Relationship Id="rId103" Type="http://schemas.openxmlformats.org/officeDocument/2006/relationships/hyperlink" Target="https://www.ohchr.org/en/documents/general-comments-and-recommendations/general-recommendation-no-37-2024-equality-and" TargetMode="External"/><Relationship Id="rId124" Type="http://schemas.openxmlformats.org/officeDocument/2006/relationships/hyperlink" Target="https://www.ohchr.org/en/documents/concluding-observations/cerdcnzlco21-22-committee-elimination-racial-discrimination" TargetMode="External"/><Relationship Id="rId70" Type="http://schemas.openxmlformats.org/officeDocument/2006/relationships/hyperlink" Target="https://adsdatabase.ohchr.org/IssueLibrary/CERD_Recommendation%20No31.pdf" TargetMode="External"/><Relationship Id="rId91" Type="http://schemas.openxmlformats.org/officeDocument/2006/relationships/hyperlink" Target="https://tbinternet.ohchr.org/_layouts/15/TreatyBodyExternal/DownloadDraft.aspx?key=QD5YiITCSo6QbW5MMjK30pW579hb8sTW6yTrTZjnOVtDDAR3kdciQV6OzkdUrD/i" TargetMode="External"/><Relationship Id="rId145" Type="http://schemas.openxmlformats.org/officeDocument/2006/relationships/hyperlink" Target="https://www2.ohchr.org/english/bodies/cerd/docs/cerd-gc30.doc" TargetMode="External"/><Relationship Id="rId166" Type="http://schemas.openxmlformats.org/officeDocument/2006/relationships/hyperlink" Target="https://adsdatabase.ohchr.org/IssueLibrary/CERD_Recommendation%20No32.pdf" TargetMode="External"/><Relationship Id="rId187" Type="http://schemas.openxmlformats.org/officeDocument/2006/relationships/hyperlink" Target="https://tbinternet.ohchr.org/_layouts/15/TreatyBodyExternal/DownloadDraft.aspx?key=QD5YiITCSo6QbW5MMjK30pW579hb8sTW6yTrTZjnOVtDDAR3kdciQV6OzkdUrD/i" TargetMode="External"/><Relationship Id="rId1" Type="http://schemas.openxmlformats.org/officeDocument/2006/relationships/customXml" Target="../customXml/item1.xml"/><Relationship Id="rId212" Type="http://schemas.openxmlformats.org/officeDocument/2006/relationships/hyperlink" Target="https://adsdatabase.ohchr.org/IssueLibrary/CERD_Recommendation%20No32.pdf" TargetMode="External"/><Relationship Id="rId233" Type="http://schemas.openxmlformats.org/officeDocument/2006/relationships/hyperlink" Target="https://tbinternet.ohchr.org/_layouts/15/TreatyBodyExternal/DownloadDraft.aspx?key=QD5YiITCSo6QbW5MMjK30pW579hb8sTW6yTrTZjnOVtDDAR3kdciQV6OzkdUrD/i" TargetMode="External"/><Relationship Id="rId254" Type="http://schemas.openxmlformats.org/officeDocument/2006/relationships/hyperlink" Target="https://adsdatabase.ohchr.org/IssueLibrary/CERD_Recommendation%20No15.doc" TargetMode="External"/><Relationship Id="rId28" Type="http://schemas.openxmlformats.org/officeDocument/2006/relationships/hyperlink" Target="https://www.phcc.org.nz/briefing/aotearoas-government-funded-school-lunches-failing-nutrition-standards" TargetMode="External"/><Relationship Id="rId49" Type="http://schemas.openxmlformats.org/officeDocument/2006/relationships/hyperlink" Target="https://www.nzherald.co.nz/northern-advocate/news/te-reo-maori-in-public-service-vital-northlanders-say/" TargetMode="External"/><Relationship Id="rId114" Type="http://schemas.openxmlformats.org/officeDocument/2006/relationships/hyperlink" Target="https://adsdatabase.ohchr.org/IssueLibrary/CERD_Recommendation%20No32.pdf" TargetMode="External"/><Relationship Id="rId275" Type="http://schemas.openxmlformats.org/officeDocument/2006/relationships/hyperlink" Target="https://adsdatabase.ohchr.org/IssueLibrary/CERD_Recommendation%20No31.pdf" TargetMode="External"/><Relationship Id="rId60" Type="http://schemas.openxmlformats.org/officeDocument/2006/relationships/hyperlink" Target="https://tbinternet.ohchr.org/_layouts/15/TreatyBodyExternal/DownloadDraft.aspx?key=QD5YiITCSo6QbW5MMjK30pW579hb8sTW6yTrTZjnOVtDDAR3kdciQV6OzkdUrD/i" TargetMode="External"/><Relationship Id="rId81" Type="http://schemas.openxmlformats.org/officeDocument/2006/relationships/hyperlink" Target="https://tbinternet.ohchr.org/_layouts/15/TreatyBodyExternal/DownloadDraft.aspx?key=QD5YiITCSo6QbW5MMjK30pW579hb8sTW6yTrTZjnOVtDDAR3kdciQV6OzkdUrD/i" TargetMode="External"/><Relationship Id="rId135" Type="http://schemas.openxmlformats.org/officeDocument/2006/relationships/hyperlink" Target="https://adsdatabase.ohchr.org/IssueLibrary/CERD_Recommendation%20No32.pdf" TargetMode="External"/><Relationship Id="rId156" Type="http://schemas.openxmlformats.org/officeDocument/2006/relationships/hyperlink" Target="https://tbinternet.ohchr.org/_layouts/15/TreatyBodyExternal/DownloadDraft.aspx?key=QD5YiITCSo6QbW5MMjK30pW579hb8sTW6yTrTZjnOVtDDAR3kdciQV6OzkdUrD/i" TargetMode="External"/><Relationship Id="rId177" Type="http://schemas.openxmlformats.org/officeDocument/2006/relationships/hyperlink" Target="https://www.ohchr.org/en/documents/general-comments-and-recommendations/general-recommendation-no-37-2024-equality-and" TargetMode="External"/><Relationship Id="rId198" Type="http://schemas.openxmlformats.org/officeDocument/2006/relationships/hyperlink" Target="https://adsdatabase.ohchr.org/IssueLibrary/CERD_Recommendation%20No31.pdf" TargetMode="External"/><Relationship Id="rId202" Type="http://schemas.openxmlformats.org/officeDocument/2006/relationships/hyperlink" Target="https://www.ohchr.org/en/documents/concluding-observations/cerdcnzlco21-22-committee-elimination-racial-discrimination" TargetMode="External"/><Relationship Id="rId223" Type="http://schemas.openxmlformats.org/officeDocument/2006/relationships/hyperlink" Target="https://www.ohchr.org/en/documents/general-comments-and-recommendations/general-recommendation-no-37-2024-equality-and" TargetMode="External"/><Relationship Id="rId244" Type="http://schemas.openxmlformats.org/officeDocument/2006/relationships/hyperlink" Target="https://tbinternet.ohchr.org/_layouts/15/TreatyBodyExternal/DownloadDraft.aspx?key=QD5YiITCSo6QbW5MMjK30pW579hb8sTW6yTrTZjnOVtDDAR3kdciQV6OzkdUrD/i" TargetMode="External"/><Relationship Id="rId18" Type="http://schemas.openxmlformats.org/officeDocument/2006/relationships/hyperlink" Target="https://www.teaonews.co.nz/2024/04/17/maori-law-society-slates-jones-savage-criticism-of-waitangi-tribunal-as-inappropriate-unconstitutional/" TargetMode="External"/><Relationship Id="rId39" Type="http://schemas.openxmlformats.org/officeDocument/2006/relationships/hyperlink" Target="https://www.rnz.co.nz/news/te-manu-korihi/569675/literacy-experts-say-no-problem-with-maori-words-in-book-for-learner-readers" TargetMode="External"/><Relationship Id="rId265" Type="http://schemas.openxmlformats.org/officeDocument/2006/relationships/hyperlink" Target="https://adsdatabase.ohchr.org/IssueLibrary/CERD_Recommendation%20No32.pdf" TargetMode="External"/><Relationship Id="rId286" Type="http://schemas.openxmlformats.org/officeDocument/2006/relationships/fontTable" Target="fontTable.xml"/><Relationship Id="rId50" Type="http://schemas.openxmlformats.org/officeDocument/2006/relationships/hyperlink" Target="https://x.com/winstonpeters/status/1772780870841295096" TargetMode="External"/><Relationship Id="rId104" Type="http://schemas.openxmlformats.org/officeDocument/2006/relationships/hyperlink" Target="https://www.ohchr.org/en/documents/general-comments-and-recommendations/general-recommendation-no-37-2024-equality-and" TargetMode="External"/><Relationship Id="rId125" Type="http://schemas.openxmlformats.org/officeDocument/2006/relationships/hyperlink" Target="https://tbinternet.ohchr.org/_layouts/15/TreatyBodyExternal/DownloadDraft.aspx?key=QD5YiITCSo6QbW5MMjK30pW579hb8sTW6yTrTZjnOVtDDAR3kdciQV6OzkdUrD/i" TargetMode="External"/><Relationship Id="rId146" Type="http://schemas.openxmlformats.org/officeDocument/2006/relationships/hyperlink" Target="https://www.ohchr.org/en/documents/concluding-observations/cerdcnzlco21-22-committee-elimination-racial-discrimination" TargetMode="External"/><Relationship Id="rId167" Type="http://schemas.openxmlformats.org/officeDocument/2006/relationships/hyperlink" Target="https://www.ohchr.org/en/documents/general-comments-and-recommendations/general-recommendation-no-35-2013-combating-racist" TargetMode="External"/><Relationship Id="rId188" Type="http://schemas.openxmlformats.org/officeDocument/2006/relationships/hyperlink" Target="https://adsdatabase.ohchr.org/IssueLibrary/CERD_Recommendation%20No32.pdf" TargetMode="External"/><Relationship Id="rId71" Type="http://schemas.openxmlformats.org/officeDocument/2006/relationships/hyperlink" Target="https://adsdatabase.ohchr.org/IssueLibrary/CERD_Recommendation%20No31.pdf" TargetMode="External"/><Relationship Id="rId92" Type="http://schemas.openxmlformats.org/officeDocument/2006/relationships/hyperlink" Target="https://adsdatabase.ohchr.org/IssueLibrary/CERD_Recommendation%20No32.pdf" TargetMode="External"/><Relationship Id="rId213" Type="http://schemas.openxmlformats.org/officeDocument/2006/relationships/hyperlink" Target="https://adsdatabase.ohchr.org/IssueLibrary/CERD_Recommendation%20No32.pdf" TargetMode="External"/><Relationship Id="rId234" Type="http://schemas.openxmlformats.org/officeDocument/2006/relationships/hyperlink" Target="https://tbinternet.ohchr.org/_layouts/15/TreatyBodyExternal/DownloadDraft.aspx?key=QD5YiITCSo6QbW5MMjK30pW579hb8sTW6yTrTZjnOVtDDAR3kdciQV6OzkdUrD/i" TargetMode="External"/><Relationship Id="rId2" Type="http://schemas.openxmlformats.org/officeDocument/2006/relationships/numbering" Target="numbering.xml"/><Relationship Id="rId29" Type="http://schemas.openxmlformats.org/officeDocument/2006/relationships/hyperlink" Target="https://www.theguardian.com/world/2024/mar/15/christchurch-terror-attack-survivor-comment" TargetMode="External"/><Relationship Id="rId255" Type="http://schemas.openxmlformats.org/officeDocument/2006/relationships/hyperlink" Target="https://www2.ohchr.org/english/bodies/cerd/docs/cerd-gc30.doc" TargetMode="External"/><Relationship Id="rId276" Type="http://schemas.openxmlformats.org/officeDocument/2006/relationships/hyperlink" Target="https://adsdatabase.ohchr.org/IssueLibrary/CERD_Recommendation%20No31.pdf" TargetMode="External"/><Relationship Id="rId40" Type="http://schemas.openxmlformats.org/officeDocument/2006/relationships/hyperlink" Target="https://aecnz.substack.com/api/v1/file/258049ee-f9ae-48ec-a836-edff0c3b5fb8.pdf" TargetMode="External"/><Relationship Id="rId115" Type="http://schemas.openxmlformats.org/officeDocument/2006/relationships/hyperlink" Target="https://adsdatabase.ohchr.org/IssueLibrary/CERD_Recommendation%20No32.pdf" TargetMode="External"/><Relationship Id="rId136" Type="http://schemas.openxmlformats.org/officeDocument/2006/relationships/hyperlink" Target="https://adsdatabase.ohchr.org/IssueLibrary/CERD_Recommendation%20No32.pdf" TargetMode="External"/><Relationship Id="rId157" Type="http://schemas.openxmlformats.org/officeDocument/2006/relationships/hyperlink" Target="https://adsdatabase.ohchr.org/IssueLibrary/CERD_Recommendation%20No32.pdf" TargetMode="External"/><Relationship Id="rId178" Type="http://schemas.openxmlformats.org/officeDocument/2006/relationships/hyperlink" Target="https://www.ohchr.org/en/documents/concluding-observations/cerdcnzlco21-22-committee-elimination-racial-discrimination" TargetMode="External"/><Relationship Id="rId61" Type="http://schemas.openxmlformats.org/officeDocument/2006/relationships/hyperlink" Target="https://adsdatabase.ohchr.org/IssueLibrary/CERD_Recommendation%20No31.pdf" TargetMode="External"/><Relationship Id="rId82" Type="http://schemas.openxmlformats.org/officeDocument/2006/relationships/hyperlink" Target="https://adsdatabase.ohchr.org/IssueLibrary/CERD_Recommendation%20No32.pdf" TargetMode="External"/><Relationship Id="rId199" Type="http://schemas.openxmlformats.org/officeDocument/2006/relationships/hyperlink" Target="https://adsdatabase.ohchr.org/IssueLibrary/CERD_Recommendation%20No31.pdf" TargetMode="External"/><Relationship Id="rId203" Type="http://schemas.openxmlformats.org/officeDocument/2006/relationships/hyperlink" Target="https://tbinternet.ohchr.org/_layouts/15/TreatyBodyExternal/DownloadDraft.aspx?key=QD5YiITCSo6QbW5MMjK30pW579hb8sTW6yTrTZjnOVtDDAR3kdciQV6OzkdUrD/i" TargetMode="External"/><Relationship Id="rId19" Type="http://schemas.openxmlformats.org/officeDocument/2006/relationships/hyperlink" Target="https://www.rnz.co.nz/news/national/539707/minister-denies-claim-waitangi-tribunal-appointments-a-whitewash" TargetMode="External"/><Relationship Id="rId224" Type="http://schemas.openxmlformats.org/officeDocument/2006/relationships/hyperlink" Target="https://www.ohchr.org/en/documents/general-comments-and-recommendations/general-recommendation-no-37-2024-equality-and" TargetMode="External"/><Relationship Id="rId245" Type="http://schemas.openxmlformats.org/officeDocument/2006/relationships/hyperlink" Target="https://tbinternet.ohchr.org/_layouts/15/TreatyBodyExternal/DownloadDraft.aspx?key=QD5YiITCSo6QbW5MMjK30pW579hb8sTW6yTrTZjnOVtDDAR3kdciQV6OzkdUrD/i" TargetMode="External"/><Relationship Id="rId266" Type="http://schemas.openxmlformats.org/officeDocument/2006/relationships/hyperlink" Target="https://www.ohchr.org/en/documents/general-comments-and-recommendations/general-recommendation-no-35-2013-combating-racist" TargetMode="External"/><Relationship Id="rId287" Type="http://schemas.openxmlformats.org/officeDocument/2006/relationships/theme" Target="theme/theme1.xml"/><Relationship Id="rId30" Type="http://schemas.openxmlformats.org/officeDocument/2006/relationships/hyperlink" Target="https://www.indianweekender.co.nz/news/fbi-tip-off-helps-nz-police-stop-a-21-year-olds-planned-mass-stabbing" TargetMode="External"/><Relationship Id="rId105" Type="http://schemas.openxmlformats.org/officeDocument/2006/relationships/hyperlink" Target="https://tbinternet.ohchr.org/_layouts/15/TreatyBodyExternal/DownloadDraft.aspx?key=QD5YiITCSo6QbW5MMjK30pW579hb8sTW6yTrTZjnOVtDDAR3kdciQV6OzkdUrD/i" TargetMode="External"/><Relationship Id="rId126" Type="http://schemas.openxmlformats.org/officeDocument/2006/relationships/hyperlink" Target="https://tbinternet.ohchr.org/_layouts/15/TreatyBodyExternal/DownloadDraft.aspx?key=QD5YiITCSo6QbW5MMjK30pW579hb8sTW6yTrTZjnOVtDDAR3kdciQV6OzkdUrD/i" TargetMode="External"/><Relationship Id="rId147" Type="http://schemas.openxmlformats.org/officeDocument/2006/relationships/hyperlink" Target="https://tbinternet.ohchr.org/_layouts/15/TreatyBodyExternal/DownloadDraft.aspx?key=6wcdsnMol8f5V/fnOskojtwzAmG0NRX4W/qggPfkTH/BBi7X0AmnUif6EM82KIqz" TargetMode="External"/><Relationship Id="rId168" Type="http://schemas.openxmlformats.org/officeDocument/2006/relationships/hyperlink" Target="https://www.ohchr.org/en/documents/general-comments-and-recommendations/general-recommendation-no-35-2013-combating-racist" TargetMode="External"/><Relationship Id="rId51" Type="http://schemas.openxmlformats.org/officeDocument/2006/relationships/hyperlink" Target="https://www.stuff.co.nz/politics/350462672/new-zealand-first-leader-winston-peters-full-state-of-the-nation-speech" TargetMode="External"/><Relationship Id="rId72" Type="http://schemas.openxmlformats.org/officeDocument/2006/relationships/hyperlink" Target="https://adsdatabase.ohchr.org/IssueLibrary/CERD_Recommendation%20No32.pdf" TargetMode="External"/><Relationship Id="rId93" Type="http://schemas.openxmlformats.org/officeDocument/2006/relationships/hyperlink" Target="https://adsdatabase.ohchr.org/IssueLibrary/CERD_Recommendation%20No32.pdf" TargetMode="External"/><Relationship Id="rId189" Type="http://schemas.openxmlformats.org/officeDocument/2006/relationships/hyperlink" Target="https://adsdatabase.ohchr.org/IssueLibrary/CERD_Recommendation%20No32.pdf" TargetMode="External"/><Relationship Id="rId3" Type="http://schemas.openxmlformats.org/officeDocument/2006/relationships/styles" Target="styles.xml"/><Relationship Id="rId214" Type="http://schemas.openxmlformats.org/officeDocument/2006/relationships/hyperlink" Target="https://www.ohchr.org/en/documents/general-comments-and-recommendations/general-recommendation-no-37-2024-equality-and" TargetMode="External"/><Relationship Id="rId235" Type="http://schemas.openxmlformats.org/officeDocument/2006/relationships/hyperlink" Target="https://adsdatabase.ohchr.org/IssueLibrary/CERD_Recommendation%20No31.pdf" TargetMode="External"/><Relationship Id="rId256" Type="http://schemas.openxmlformats.org/officeDocument/2006/relationships/hyperlink" Target="https://www2.ohchr.org/english/bodies/cerd/docs/cerd-gc30.doc" TargetMode="External"/><Relationship Id="rId277" Type="http://schemas.openxmlformats.org/officeDocument/2006/relationships/hyperlink" Target="https://www.ohchr.org/en/documents/general-comments-and-recommendations/general-recommendation-no-35-2013-combating-racist" TargetMode="External"/><Relationship Id="rId116" Type="http://schemas.openxmlformats.org/officeDocument/2006/relationships/hyperlink" Target="https://www.ohchr.org/en/documents/general-comments-and-recommendations/general-recommendation-no-37-2024-equality-and" TargetMode="External"/><Relationship Id="rId137" Type="http://schemas.openxmlformats.org/officeDocument/2006/relationships/hyperlink" Target="https://tbinternet.ohchr.org/_layouts/15/TreatyBodyExternal/DownloadDraft.aspx?key=QD5YiITCSo6QbW5MMjK30pW579hb8sTW6yTrTZjnOVtDDAR3kdciQV6OzkdUrD/i" TargetMode="External"/><Relationship Id="rId158" Type="http://schemas.openxmlformats.org/officeDocument/2006/relationships/hyperlink" Target="https://www.ohchr.org/en/documents/general-comments-and-recommendations/general-recommendation-no-35-2013-combating-racist" TargetMode="External"/><Relationship Id="rId20" Type="http://schemas.openxmlformats.org/officeDocument/2006/relationships/hyperlink" Target="https://www.nzherald.co.nz/kahu/david-seymour-warns-waitangi-tribunal-it-has-picked-a-scrap-with-the-wrong-mp/L3E7EB25BFG3LCQ36GIWIX27J4/" TargetMode="External"/><Relationship Id="rId41" Type="http://schemas.openxmlformats.org/officeDocument/2006/relationships/hyperlink" Target="https://www.royalsociety.org.nz/news/open-letter-on-importance-of-the-social-sciences-and-humanities/" TargetMode="External"/><Relationship Id="rId62" Type="http://schemas.openxmlformats.org/officeDocument/2006/relationships/hyperlink" Target="https://adsdatabase.ohchr.org/IssueLibrary/CERD_Recommendation%20No32.pdf" TargetMode="External"/><Relationship Id="rId83" Type="http://schemas.openxmlformats.org/officeDocument/2006/relationships/hyperlink" Target="https://adsdatabase.ohchr.org/IssueLibrary/CERD_Recommendation%20No32.pdf" TargetMode="External"/><Relationship Id="rId179" Type="http://schemas.openxmlformats.org/officeDocument/2006/relationships/hyperlink" Target="https://tbinternet.ohchr.org/_layouts/15/TreatyBodyExternal/DownloadDraft.aspx?key=QD5YiITCSo6QbW5MMjK30pW579hb8sTW6yTrTZjnOVtDDAR3kdciQV6OzkdUrD/i" TargetMode="External"/><Relationship Id="rId190" Type="http://schemas.openxmlformats.org/officeDocument/2006/relationships/hyperlink" Target="https://www.ohchr.org/en/documents/general-comments-and-recommendations/general-recommendation-no-35-2013-combating-racist" TargetMode="External"/><Relationship Id="rId204" Type="http://schemas.openxmlformats.org/officeDocument/2006/relationships/hyperlink" Target="https://tbinternet.ohchr.org/_layouts/15/TreatyBodyExternal/DownloadDraft.aspx?key=QD5YiITCSo6QbW5MMjK30pW579hb8sTW6yTrTZjnOVtDDAR3kdciQV6OzkdUrD/i" TargetMode="External"/><Relationship Id="rId225" Type="http://schemas.openxmlformats.org/officeDocument/2006/relationships/hyperlink" Target="https://www.ohchr.org/en/documents/concluding-observations/cerdcnzlco21-22-committee-elimination-racial-discrimination" TargetMode="External"/><Relationship Id="rId246" Type="http://schemas.openxmlformats.org/officeDocument/2006/relationships/hyperlink" Target="https://adsdatabase.ohchr.org/IssueLibrary/CERD_Recommendation%20No31.pdf" TargetMode="External"/><Relationship Id="rId267" Type="http://schemas.openxmlformats.org/officeDocument/2006/relationships/hyperlink" Target="https://www.ohchr.org/en/documents/general-comments-and-recommendations/general-recommendation-no-35-2013-combating-racist" TargetMode="External"/><Relationship Id="rId288" Type="http://schemas.openxmlformats.org/officeDocument/2006/relationships/customXml" Target="../customXml/item2.xml"/><Relationship Id="rId106" Type="http://schemas.openxmlformats.org/officeDocument/2006/relationships/hyperlink" Target="https://tbinternet.ohchr.org/_layouts/15/TreatyBodyExternal/DownloadDraft.aspx?key=QD5YiITCSo6QbW5MMjK30pW579hb8sTW6yTrTZjnOVtDDAR3kdciQV6OzkdUrD/i" TargetMode="External"/><Relationship Id="rId127" Type="http://schemas.openxmlformats.org/officeDocument/2006/relationships/hyperlink" Target="https://adsdatabase.ohchr.org/IssueLibrary/CERD_Recommendation%20No32.pdf" TargetMode="External"/><Relationship Id="rId10" Type="http://schemas.openxmlformats.org/officeDocument/2006/relationships/hyperlink" Target="https://tbinternet.ohchr.org/_layouts/15/TreatyBodyExternal/Download.aspx?symbolno=CERD/C/NZL/CO/21-22&amp;Lang=En" TargetMode="External"/><Relationship Id="rId31" Type="http://schemas.openxmlformats.org/officeDocument/2006/relationships/hyperlink" Target="https://www.facebook.com/FIANZ.NZ/posts/pfbid02DC1uPFr1YVip8MYMsySEMUTwtp4KCMQ5YSLYvJhLjWLWseLUZCUJRVn3Bu5KYRfEl" TargetMode="External"/><Relationship Id="rId52" Type="http://schemas.openxmlformats.org/officeDocument/2006/relationships/hyperlink" Target="https://www.nzherald.co.nz/nz/shane-jones-labelled-racist-by-greens-for-yelling-send-the-mexicans-home-during-parliament-debate" TargetMode="External"/><Relationship Id="rId73" Type="http://schemas.openxmlformats.org/officeDocument/2006/relationships/hyperlink" Target="https://www.ohchr.org/en/documents/general-comments-and-recommendations/general-recommendation-no-34-2011-racial" TargetMode="External"/><Relationship Id="rId94" Type="http://schemas.openxmlformats.org/officeDocument/2006/relationships/hyperlink" Target="https://www.ohchr.org/en/documents/concluding-observations/cerdcnzlco21-22-committee-elimination-racial-discrimination" TargetMode="External"/><Relationship Id="rId148" Type="http://schemas.openxmlformats.org/officeDocument/2006/relationships/hyperlink" Target="https://www.ohchr.org/en/documents/general-comments-and-recommendations/general-recommendation-no-35-2013-combating-racist" TargetMode="External"/><Relationship Id="rId169" Type="http://schemas.openxmlformats.org/officeDocument/2006/relationships/hyperlink" Target="https://www.ohchr.org/en/documents/general-comments-and-recommendations/general-recommendation-no-37-2024-equality-and" TargetMode="External"/><Relationship Id="rId4" Type="http://schemas.openxmlformats.org/officeDocument/2006/relationships/settings" Target="settings.xml"/><Relationship Id="rId180" Type="http://schemas.openxmlformats.org/officeDocument/2006/relationships/hyperlink" Target="https://tbinternet.ohchr.org/_layouts/15/TreatyBodyExternal/DownloadDraft.aspx?key=QD5YiITCSo6QbW5MMjK30pW579hb8sTW6yTrTZjnOVtDDAR3kdciQV6OzkdUrD/i" TargetMode="External"/><Relationship Id="rId215" Type="http://schemas.openxmlformats.org/officeDocument/2006/relationships/hyperlink" Target="https://www.ohchr.org/en/documents/general-comments-and-recommendations/general-recommendation-no-37-2024-equality-and" TargetMode="External"/><Relationship Id="rId236" Type="http://schemas.openxmlformats.org/officeDocument/2006/relationships/hyperlink" Target="https://adsdatabase.ohchr.org/IssueLibrary/CERD_Recommendation%20No31.pdf" TargetMode="External"/><Relationship Id="rId257" Type="http://schemas.openxmlformats.org/officeDocument/2006/relationships/hyperlink" Target="https://www.ohchr.org/en/documents/general-comments-and-recommendations/general-recommendation-no-35-2013-combating-racist" TargetMode="External"/><Relationship Id="rId278" Type="http://schemas.openxmlformats.org/officeDocument/2006/relationships/hyperlink" Target="https://www.ohchr.org/en/documents/general-comments-and-recommendations/general-recommendation-no-35-2013-combating-racist" TargetMode="External"/><Relationship Id="rId42" Type="http://schemas.openxmlformats.org/officeDocument/2006/relationships/hyperlink" Target="https://www.hrc.govt.nz/news-and-events/changes-hrc-funding-support-new-institute" TargetMode="External"/><Relationship Id="rId84" Type="http://schemas.openxmlformats.org/officeDocument/2006/relationships/hyperlink" Target="https://www.ohchr.org/en/documents/concluding-observations/cerdcnzlco21-22-committee-elimination-racial-discrimination" TargetMode="External"/><Relationship Id="rId138" Type="http://schemas.openxmlformats.org/officeDocument/2006/relationships/hyperlink" Target="https://tbinternet.ohchr.org/_layouts/15/TreatyBodyExternal/DownloadDraft.aspx?key=QD5YiITCSo6QbW5MMjK30pW579hb8sTW6yTrTZjnOVtDDAR3kdciQV6OzkdUrD/i" TargetMode="External"/><Relationship Id="rId191" Type="http://schemas.openxmlformats.org/officeDocument/2006/relationships/hyperlink" Target="https://www.ohchr.org/en/documents/general-comments-and-recommendations/general-recommendation-no-35-2013-combating-racist" TargetMode="External"/><Relationship Id="rId205" Type="http://schemas.openxmlformats.org/officeDocument/2006/relationships/hyperlink" Target="https://adsdatabase.ohchr.org/IssueLibrary/CERD_Recommendation%20No32.pdf" TargetMode="External"/><Relationship Id="rId247" Type="http://schemas.openxmlformats.org/officeDocument/2006/relationships/hyperlink" Target="https://adsdatabase.ohchr.org/IssueLibrary/CERD_Recommendation%20No31.pdf" TargetMode="External"/><Relationship Id="rId107" Type="http://schemas.openxmlformats.org/officeDocument/2006/relationships/hyperlink" Target="https://adsdatabase.ohchr.org/IssueLibrary/CERD_Recommendation%20No32.pdf" TargetMode="External"/><Relationship Id="rId289" Type="http://schemas.openxmlformats.org/officeDocument/2006/relationships/customXml" Target="../customXml/item3.xml"/><Relationship Id="rId11" Type="http://schemas.openxmlformats.org/officeDocument/2006/relationships/hyperlink" Target="https://www.nzfirst.nz/coalition-agreement" TargetMode="External"/><Relationship Id="rId53" Type="http://schemas.openxmlformats.org/officeDocument/2006/relationships/hyperlink" Target="https://www.rnz.co.nz/news/indonz/572764/indian-community-slams-shane-jones-singh-patel-barb" TargetMode="External"/><Relationship Id="rId149" Type="http://schemas.openxmlformats.org/officeDocument/2006/relationships/hyperlink" Target="https://www.ohchr.org/en/documents/general-comments-and-recommendations/general-recommendation-no-35-2013-combating-racist" TargetMode="External"/><Relationship Id="rId95" Type="http://schemas.openxmlformats.org/officeDocument/2006/relationships/hyperlink" Target="https://tbinternet.ohchr.org/_layouts/15/TreatyBodyExternal/DownloadDraft.aspx?key=QD5YiITCSo6QbW5MMjK30pW579hb8sTW6yTrTZjnOVtDDAR3kdciQV6OzkdUrD/i" TargetMode="External"/><Relationship Id="rId160" Type="http://schemas.openxmlformats.org/officeDocument/2006/relationships/hyperlink" Target="https://www.ohchr.org/en/documents/general-comments-and-recommendations/general-recommendation-no-37-2024-equality-and" TargetMode="External"/><Relationship Id="rId216" Type="http://schemas.openxmlformats.org/officeDocument/2006/relationships/hyperlink" Target="https://www.ohchr.org/en/documents/concluding-observations/cerdcnzlco21-22-committee-elimination-racial-discrimination" TargetMode="External"/><Relationship Id="rId258" Type="http://schemas.openxmlformats.org/officeDocument/2006/relationships/hyperlink" Target="https://www.ohchr.org/en/documents/general-comments-and-recommendations/general-recommendation-no-35-2013-combating-racist" TargetMode="External"/><Relationship Id="rId22" Type="http://schemas.openxmlformats.org/officeDocument/2006/relationships/hyperlink" Target="https://www.rnz.co.nz/news/in-depth/489011/our-tipuna-knew-when-to-move-the-difficult-conversations-about-managed-retreat-for-maori" TargetMode="External"/><Relationship Id="rId64" Type="http://schemas.openxmlformats.org/officeDocument/2006/relationships/hyperlink" Target="https://www.ohchr.org/en/documents/general-comments-and-recommendations/general-recommendation-no-37-2024-equality-and" TargetMode="External"/><Relationship Id="rId118" Type="http://schemas.openxmlformats.org/officeDocument/2006/relationships/hyperlink" Target="https://www.ohchr.org/en/documents/concluding-observations/cerdcnzlco21-22-committee-elimination-racial-discrimination" TargetMode="External"/><Relationship Id="rId171" Type="http://schemas.openxmlformats.org/officeDocument/2006/relationships/hyperlink" Target="https://www.ohchr.org/en/documents/concluding-observations/cerdcnzlco21-22-committee-elimination-racial-discrimination" TargetMode="External"/><Relationship Id="rId227" Type="http://schemas.openxmlformats.org/officeDocument/2006/relationships/hyperlink" Target="https://tbinternet.ohchr.org/_layouts/15/TreatyBodyExternal/DownloadDraft.aspx?key=QD5YiITCSo6QbW5MMjK30pW579hb8sTW6yTrTZjnOVtDDAR3kdciQV6OzkdUrD/i"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ERD%2FC%2FGC%2F3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3AR8l4K7SSkp6US/0NIcRkRTfg==">CgMxLjAikQIKC0FBQUJyZEJLY2c4EtsBCgtBQUFCcmRCS2NnOBILQUFBQnJkQktjZzgaDQoJdGV4dC9odG1sEgAiDgoKdGV4dC9wbGFpbhIAKhsiFTEwMDg4MzQ3NDQyMzkwOTM5NDk3NygAOAAw2/nsz5czOPWA7c+XM0o7CiRhcHBsaWNhdGlvbi92bmQuZ29vZ2xlLWFwcHMuZG9jcy5tZHMaE8LX2uQBDRoLCgcKASIQARgAEAFaDDN6YzAxdnB1MDZ2Z3ICIAB4AIIBFHN1Z2dlc3QudnM0Zm5mcHB5NnplmgEGCAAQABgAsAEAuAEAGNv57M+XMyD1gO3PlzMwAEIUc3VnZ2VzdC52czRmbmZwcHk2emUinQIKC0FBQUJyM0t0NkU4EucBCgtBQUFCcjNLdDZFOBILQUFBQnIzS3Q2RTgaDQoJdGV4dC9odG1sEgAiDgoKdGV4dC9wbGFpbhIAKhsiFTEwMDg4MzQ3NDQyMzkwOTM5NDk3NygAOAAw7ZGLxJczOLuui8SXM0pHCiRhcHBsaWNhdGlvbi92bmQuZ29vZ2xlLWFwcHMuZG9jcy5tZHMaH8LX2uQBGRoXChMKDVNwZWNpZmljYWxseSwQARgAEAFaDGFnbngxeTh5a29lMXICIAB4AIIBFHN1Z2dlc3QuY3h3M3VtdHF5am04mgEGCAAQABgAsAEAuAEAGO2Ri8SXMyC7rovElzMwAEIUc3VnZ2VzdC5jeHczdW10cXlqbTgikQIKC0FBQUJyM0t0NkZZEtsBCgtBQUFCcjNLdDZGWRILQUFBQnIzS3Q2RlkaDQoJdGV4dC9odG1sEgAiDgoKdGV4dC9wbGFpbhIAKhsiFTEwMDg4MzQ3NDQyMzkwOTM5NDk3NygAOAAwu/qexJczOKaAn8SXM0o7CiRhcHBsaWNhdGlvbi92bmQuZ29vZ2xlLWFwcHMuZG9jcy5tZHMaE8LX2uQBDRoLCgcKASIQARgAEAFaDHV3bjVpcjd6aWFmYXICIAB4AIIBFHN1Z2dlc3Qub2QxdWNxZnYycTg4mgEGCAAQABgAsAEAuAEAGLv6nsSXMyCmgJ/ElzMwAEIUc3VnZ2VzdC5vZDF1Y3FmdjJxODgipAIKC0FBQUJyYUNMN25nEu4BCgtBQUFCcmFDTDduZxILQUFBQnJhQ0w3bmcaDQoJdGV4dC9odG1sEgAiDgoKdGV4dC9wbGFpbhIAKhsiFTEwMDg4MzQ3NDQyMzkwOTM5NDk3NygAOAAw56z2q5czOIq19quXM0pOCiRhcHBsaWNhdGlvbi92bmQuZ29vZ2xlLWFwcHMuZG9jcy5tZHMaJsLX2uQBIBIOCgoKBGhlbGQQARgAEAEaDgoKCgRoZWxkEAEYABABWgxxNDl2Y2c0YmwzZjVyAiAAeACCARRzdWdnZXN0LnV2eml0NWgwNzl2b5oBBggAEAAYALABALgBABjnrParlzMgirX2q5czMABCFHN1Z2dlc3QudXZ6aXQ1aDA3OXZvIpECCgtBQUFCcEJ6V3h5dxLbAQoLQUFBQnBCeld4eXcSC0FBQUJwQnpXeHl3Gg0KCXRleHQvaHRtbBIAIg4KCnRleHQvcGxhaW4SACobIhUxMDA4ODM0NzQ0MjM5MDkzOTQ5NzcoADgAMOWWorqIMzi1nqK6iDNKOwokYXBwbGljYXRpb24vdm5kLmdvb2dsZS1hcHBzLmRvY3MubWRzGhPC19rkAQ0aCwoHCgFXEAEYABABWgw3OXZld2prMmxzajdyAiAAeACCARRzdWdnZXN0LjE4NmMyY2VmbDQ1Z5oBBggAEAAYALABALgBABjllqK6iDMgtZ6iuogzMABCFHN1Z2dlc3QuMTg2YzJjZWZsNDVnIpECCgtBQUFCcm9UNjB1MBLbAQoLQUFBQnJvVDYwdTASC0FBQUJyb1Q2MHUwGg0KCXRleHQvaHRtbBIAIg4KCnRleHQvcGxhaW4SACobIhUxMDA4ODM0NzQ0MjM5MDkzOTQ5NzcoADgAML+q06GZMzi2sdOhmTNKOwokYXBwbGljYXRpb24vdm5kLmdvb2dsZS1hcHBzLmRvY3MubWRzGhPC19rkAQ0aCwoHCgFzEAEYABABWgxpNWx3cDV4aTBod2VyAiAAeACCARRzdWdnZXN0LmowdzZ4bnd5dDkydpoBBggAEAAYALABALgBABi/qtOhmTMgtrHToZkzMABCFHN1Z2dlc3QuajB3Nnhud3l0OTJ2IpACCgtBQUFCcmFDTDd1OBLaAQoLQUFBQnJhQ0w3dTgSC0FBQUJyYUNMN3U4Gg0KCXRleHQvaHRtbBIAIg4KCnRleHQvcGxhaW4SACobIhUxMDA4ODM0NzQ0MjM5MDkzOTQ5NzcoADgAMKfO46yXMzid1uOslzNKOgokYXBwbGljYXRpb24vdm5kLmdvb2dsZS1hcHBzLmRvY3MubWRzGhLC19rkAQwaCgoGCgAQFBgAEAFaDDZ3NmNnejYxemt5OHICIAB4AIIBFHN1Z2dlc3QuMmdxcms1bXlsbW1smgEGCAAQABgAsAEAuAEAGKfO46yXMyCd1uOslzMwAEIUc3VnZ2VzdC4yZ3FyazVteWxtbWwikQIKC0FBQUJyYUNMN3Y4EtsBCgtBQUFCcmFDTDd2OBILQUFBQnJhQ0w3djgaDQoJdGV4dC9odG1sEgAiDgoKdGV4dC9wbGFpbhIAKhsiFTEwMDg4MzQ3NDQyMzkwOTM5NDk3NygAOAAwzqvurJczOInY7qyXM0o7CiRhcHBsaWNhdGlvbi92bmQuZ29vZ2xlLWFwcHMuZG9jcy5tZHMaE8LX2uQBDRoLCgcKASwQARgAEAFaDDR2cDBjNnV3d3ZwOHICIAB4AIIBFHN1Z2dlc3QuZXZqOGxxeHo1ZzU1mgEGCAAQABgAsAEAuAEAGM6r7qyXMyCJ2O6slzMwAEIUc3VnZ2VzdC5ldmo4bHF4ejVnNTUi1AEKC0FBQUJyYUNMN3ZNEp4BCgtBQUFCcmFDTDd2TRILQUFBQnJhQ0w3dk0aDQoJdGV4dC9odG1sEgAiDgoKdGV4dC9wbGFpbhIAKhsiFTEwMDg4MzQ3NDQyMzkwOTM5NDk3NygAOAAws/bnrJczOLP256yXM1oMdXAxOG1tN3N0aGd1cgIgAHgAggEUc3VnZ2VzdC5hZTVzZHh1eWZzb2+aAQYIABAAGACwAQC4AQAYs/bnrJczILP256yXMzAAQhRzdWdnZXN0LmFlNXNkeHV5ZnNvbyKRAgoLQUFBQnJhQ0w3dWcS2wEKC0FBQUJyYUNMN3VnEgtBQUFCcmFDTDd1ZxoNCgl0ZXh0L2h0bWwSACIOCgp0ZXh0L3BsYWluEgAqGyIVMTAwODgzNDc0NDIzOTA5Mzk0OTc3KAA4ADC08smslzM4zfrJrJczSjsKJGFwcGxpY2F0aW9uL3ZuZC5nb29nbGUtYXBwcy5kb2NzLm1kcxoTwtfa5AENGgsKBwoBJxABGAAQAVoMb3ppOThrbHY2NGhlcgIgAHgAggEUc3VnZ2VzdC42MXAzaHZ1aGVwYW6aAQYIABAAGACwAQC4AQAYtPLJrJczIM36yayXMzAAQhRzdWdnZXN0LjYxcDNodnVoZXBhbiKSAgoLQUFBQnJhQ0w3dlkS3AEKC0FBQUJyYUNMN3ZZEgtBQUFCcmFDTDd2WRoNCgl0ZXh0L2h0bWwSACIOCgp0ZXh0L3BsYWluEgAqGyIVMTAwODgzNDc0NDIzOTA5Mzk0OTc3KAA4ADDst+qslzM43r/qrJczSjwKJGFwcGxpY2F0aW9uL3ZuZC5nb29nbGUtYXBwcy5kb2NzLm1kcxoUwtfa5AEOGgwKCAoCZGkQARgAEAFaDG5tMDNlczdxdHQ4N3ICIAB4AIIBFHN1Z2dlc3QuNjY1a2w1bjB6MHBwmgEGCAAQABgAsAEAuAEAGOy36qyXMyDev+qslzMwAEIUc3VnZ2VzdC42NjVrbDVuMHowcHAimQIKC0FBQUJyYUNMN3ZrEuMBCgtBQUFCcmFDTDd2axILQUFBQnJhQ0w3dmsaDQoJdGV4dC9odG1sEgAiDgoKdGV4dC9wbGFpbhIAKhsiFTEwMDg4MzQ3NDQyMzkwOTM5NDk3NygAOAAwoePrrJczOPLq66yXM0pDCiRhcHBsaWNhdGlvbi92bmQuZ29vZ2xlLWFwcHMuZG9jcy5tZHMaG8LX2uQBFRITCg8KCXRoZSBDcm93bhABGAAQAVoMb2JydG94djk2NmVjcgIgAHgAggEUc3VnZ2VzdC5wMmdienJnYzZseGSaAQYIABAAGACwAQC4AQAYoePrrJczIPLq66yXMzAAQhRzdWdnZXN0LnAyZ2J6cmdjNmx4ZDIOaC5keXF3dDB1bmxsZmcyDmguM2xyN2RrNm55dmowMg5oLmZxZnhrZ3Z3cnphdTIOaC5tODk5Z2xyOGhrNHUyDmgudWlidHYwZG1kNGJ1Mg5oLnVvMmhmMThlNmwyMDIOaC5iMHdvanByeDd6bXcyDmgud2pwMnJiNjdsNXY2Mg5oLm9jb2VwN3Nkc25kZjIOaC5iaXlubGljbzQwZjEyDmguOW50anRmNndpdXJuMg5oLmZpcGZ4MGc1bDhvcDIOaC41NnZiOWE1dmJtOGoyDmgucnAwZGtuc3RtenE2Mg5oLnljdWpwMjdybDZmZzIOaC52dTduYzYxNmVmbmYyDmgubHl0Mjhia3NhNzg3Mg5oLmw2aTRrZnAyNHFidjIOaC41bnExNWNiZnE2ZHQyDmgucnN3Ymg4aXd1cmg1Mg5oLmJheXg2bzh6cXN2dzIOaC40bW5oNXlka3gwYmMyDmgudXdreWtwbG9mbHQxMg1oLmhzc20zcjJnazJ4Mg5oLjMwYXNhM2Jkb24zdDIOaC5uM3VlZDhmNm1zYXAyDmguajd2NXU0YXp4MXNyMg5oLjJ5d200djRqdW9xMDIOaC4yMTh1ZGM3eGw0ZzgyDWgubGlyOGJzamV3bmoyDmgucnNmZGpsOXhjYnFkMg5oLm5qc3o4MGhzazc4cDIOaC4za2hhcTAxbjRiZGkyDmguZjR2czZzMmlzNnkxMg1oLnlsNXNvdDh2ZmgwMg5oLjZlMDBrcWI4OWRiOTIOaC43YmdmMTQzZzAwcmMyDmgucW1xMG00ZXdyNDN1Mg5oLjJicG4wYnNmNnpodjIOaC5kZWxiYjlsd2hheXIyDmguMjM5Z3NhcDU1Y2RhMg5oLmZhdG43dGVqbms2NDIOaC5odTZ4aGlsano1aDIyDmguN3Bud3I2OHY5bW9lMg5oLjJ5d3NvNGI1aXp4bzIOaC52cnQxODQyNjZ5MzUyDmgua2R3dnRwdm1qMDd6Mg5oLm9janFmdHByNm95eDgAaiUKFHN1Z2dlc3QuMjVzbnBmeWM5b2k4Eg1Eb25uYSBDb3JtYWNraiUKFHN1Z2dlc3QuMjFyeWR2OGt5b2FoEg1Eb25uYSBDb3JtYWNraiUKFHN1Z2dlc3QuYTIwMHY2czM0bmxyEg1Eb25uYSBDb3JtYWNraiUKFHN1Z2dlc3QubzM5aWpqb2podnV2Eg1Eb25uYSBDb3JtYWNraiUKFHN1Z2dlc3QuZmVtazU4OG16dGEwEg1Eb25uYSBDb3JtYWNraiUKFHN1Z2dlc3QuMmlyNTFoaXZxZzJhEg1Eb25uYSBDb3JtYWNraiUKFHN1Z2dlc3QudnM0Zm5mcHB5NnplEg1Eb25uYSBDb3JtYWNraiUKFHN1Z2dlc3QudjFicXRzeG00a2Z6Eg1Eb25uYSBDb3JtYWNraiUKFHN1Z2dlc3QuaGN5dHliNzlnZDJ0Eg1Eb25uYSBDb3JtYWNraiUKFHN1Z2dlc3Qudndydzk5dWtrMzIxEg1Eb25uYSBDb3JtYWNraiUKFHN1Z2dlc3QuY2Ryb3BiaDkxNmwxEg1Eb25uYSBDb3JtYWNraiUKFHN1Z2dlc3QuNzg3emNwaDRzMGw3Eg1Eb25uYSBDb3JtYWNraiUKFHN1Z2dlc3QudWxqNHV3b3RpZ3c3Eg1Eb25uYSBDb3JtYWNraiUKFHN1Z2dlc3QuZnBoZ3g3ZHZlc292Eg1Eb25uYSBDb3JtYWNraiUKFHN1Z2dlc3Quazl2M3hubjBnZmVoEg1Eb25uYSBDb3JtYWNraiUKFHN1Z2dlc3Qua25uamZybjhqd3dqEg1Eb25uYSBDb3JtYWNraiUKFHN1Z2dlc3Qudnd2cjJhYWltZTl4Eg1Eb25uYSBDb3JtYWNraiUKFHN1Z2dlc3QuMnBieTg0bzg2dTZ2Eg1Eb25uYSBDb3JtYWNraiUKFHN1Z2dlc3QubzVudWg4ZGJ4dnl0Eg1Eb25uYSBDb3JtYWNraiUKFHN1Z2dlc3QubHJsNWpyajE4Nno1Eg1Eb25uYSBDb3JtYWNraiUKFHN1Z2dlc3QucXhubGpsM3F5cGluEg1Eb25uYSBDb3JtYWNraiUKFHN1Z2dlc3QuM2dmNGU5MzVyb3pkEg1Eb25uYSBDb3JtYWNraiUKFHN1Z2dlc3QuZnhlYmd2Y2R2ajA2Eg1Eb25uYSBDb3JtYWNraiUKFHN1Z2dlc3QueDRpNzQxYWx2dzF3Eg1Eb25uYSBDb3JtYWNraiUKFHN1Z2dlc3QuaGEyZWNrbHdrNmZhEg1Eb25uYSBDb3JtYWNraiUKFHN1Z2dlc3QucGxrODFpMW5tbWxnEg1Eb25uYSBDb3JtYWNraiUKFHN1Z2dlc3QudGg2a3MwYm15b215Eg1Eb25uYSBDb3JtYWNraiUKFHN1Z2dlc3QuN2lwdDVkN3o2aXVpEg1Eb25uYSBDb3JtYWNraiUKFHN1Z2dlc3QudndkMGV2MXNiZXBuEg1Eb25uYSBDb3JtYWNraiUKFHN1Z2dlc3QuNWhqeDUwb3o1Y21pEg1Eb25uYSBDb3JtYWNraiUKFHN1Z2dlc3QuMm9qdXZtbmhwdTFxEg1Eb25uYSBDb3JtYWNraiUKFHN1Z2dlc3QubXR6ZHMzdXNic3V4Eg1Eb25uYSBDb3JtYWNraiUKFHN1Z2dlc3QuamdpeWZpYzdrMXltEg1Eb25uYSBDb3JtYWNraiUKFHN1Z2dlc3QucHdkNHM2cmV4NG9rEg1Eb25uYSBDb3JtYWNraiUKFHN1Z2dlc3QucDB5YWdyYTQ1eGV5Eg1Eb25uYSBDb3JtYWNraiUKFHN1Z2dlc3QuOGFldDE3OGhqenZzEg1Eb25uYSBDb3JtYWNraiUKFHN1Z2dlc3QueWNxOXhpcTdnZXhnEg1Eb25uYSBDb3JtYWNraiUKFHN1Z2dlc3QudGRkdWh1NmVqNnM1Eg1Eb25uYSBDb3JtYWNraiUKFHN1Z2dlc3QuY3h3M3VtdHF5am04Eg1Eb25uYSBDb3JtYWNraiUKFHN1Z2dlc3QucDBpZGNvbmRpYTl1Eg1Eb25uYSBDb3JtYWNraiUKFHN1Z2dlc3QudjVqYmFzNXA0cjcxEg1Eb25uYSBDb3JtYWNraiUKFHN1Z2dlc3QucGQ0aWZjczIxcTk1Eg1Eb25uYSBDb3JtYWNraiUKFHN1Z2dlc3QuOXc1cDV5Y3Vud3k1Eg1Eb25uYSBDb3JtYWNraiUKFHN1Z2dlc3QuM3E2eXg4MzJpbnh5Eg1Eb25uYSBDb3JtYWNraiUKFHN1Z2dlc3QubWU3czk2NXlkNWs5Eg1Eb25uYSBDb3JtYWNraiUKFHN1Z2dlc3QubTF3eTlidHBtOGJxEg1Eb25uYSBDb3JtYWNraiQKE3N1Z2dlc3QuOGNuc2RjYTIwbzgSDURvbm5hIENvcm1hY2tqJQoUc3VnZ2VzdC56N3Rjcmtya3Fua3kSDURvbm5hIENvcm1hY2tqJQoUc3VnZ2VzdC5zODFiaXQzc2Z0M3YSDURvbm5hIENvcm1hY2tqJQoUc3VnZ2VzdC42cmRqZ2Q3YnBicHcSDURvbm5hIENvcm1hY2tqJQoUc3VnZ2VzdC5oMnpka21nOHlqY2USDURvbm5hIENvcm1hY2tqJQoUc3VnZ2VzdC5wbWFnc2V0eTh3Z2MSDURvbm5hIENvcm1hY2tqJQoUc3VnZ2VzdC4xbHU2b2VqNHN6Z3oSDURvbm5hIENvcm1hY2tqJQoUc3VnZ2VzdC5xMjUxMDB4aTd2bHASDURvbm5hIENvcm1hY2tqJQoUc3VnZ2VzdC4ybnprejhoNHk5ejUSDURvbm5hIENvcm1hY2tqJQoUc3VnZ2VzdC5mNTlnaWxxMnF5ZHESDURvbm5hIENvcm1hY2tqJQoUc3VnZ2VzdC5saHFkcHpuOTd5cGcSDURvbm5hIENvcm1hY2tqJQoUc3VnZ2VzdC44czlxdmE5aTdsNWsSDURvbm5hIENvcm1hY2tqJQoUc3VnZ2VzdC4xZnpzaWQ3bW92dXUSDURvbm5hIENvcm1hY2tqJQoUc3VnZ2VzdC5xeDhibm9ncDJtemcSDURvbm5hIENvcm1hY2tqJQoUc3VnZ2VzdC5maW9zdTE1cnU4dWUSDURvbm5hIENvcm1hY2tqJQoUc3VnZ2VzdC5zM3hja2V2djJ4N2oSDURvbm5hIENvcm1hY2tqJQoUc3VnZ2VzdC5vZDF1Y3FmdjJxODgSDURvbm5hIENvcm1hY2tqJQoUc3VnZ2VzdC5ia3R2ZHVyZDVibDESDURvbm5hIENvcm1hY2tqJQoUc3VnZ2VzdC43cW9rZ3k4b244YTgSDURvbm5hIENvcm1hY2tqJQoUc3VnZ2VzdC4zZ2t5NzI1dXQ3ZjASDURvbm5hIENvcm1hY2tqJQoUc3VnZ2VzdC5odnduZzZ6ZmY3bXMSDURvbm5hIENvcm1hY2tqJAoTc3VnZ2VzdC5vODB3aDJnYXA2NBINRG9ubmEgQ29ybWFja2olChRzdWdnZXN0Lnd2M2dkbGZpd2lsNRINRG9ubmEgQ29ybWFja2olChRzdWdnZXN0LmkzYWRyZjd1ejA4aBINRG9ubmEgQ29ybWFja2olChRzdWdnZXN0Lm8yOWJmZDFtc2h5axINRG9ubmEgQ29ybWFja2olChRzdWdnZXN0Lnc4YXpzbnhoMjNlORINRG9ubmEgQ29ybWFja2olChRzdWdnZXN0LnBqdWs0ZnhhbGs5ZRINRG9ubmEgQ29ybWFja2olChRzdWdnZXN0LnlpcnhmNHBpNXFnaRINRG9ubmEgQ29ybWFja2olChRzdWdnZXN0LjRldjk3eW1sYWJodBINRG9ubmEgQ29ybWFja2olChRzdWdnZXN0Lnl0Zmxpd3l3amZ3aBINRG9ubmEgQ29ybWFja2olChRzdWdnZXN0LjczeWh4eHBvNHN1aBINRG9ubmEgQ29ybWFja2olChRzdWdnZXN0LnJ2MWN2OWM0b2d0aRINRG9ubmEgQ29ybWFja2olChRzdWdnZXN0Lmw1enN5cWV6cHpoNBINRG9ubmEgQ29ybWFja2olChRzdWdnZXN0LjRoOXo5eGJmNXB0YhINRG9ubmEgQ29ybWFja2olChRzdWdnZXN0Lm9pb2FmMmFwajNmdxINRG9ubmEgQ29ybWFja2olChRzdWdnZXN0LmgzN3B6MmZtaG95eBINRG9ubmEgQ29ybWFja2olChRzdWdnZXN0LmgyNjZxdmU0cHMzMBINRG9ubmEgQ29ybWFja2olChRzdWdnZXN0LnJtaDJreDZxbTVwaRINRG9ubmEgQ29ybWFja2olChRzdWdnZXN0LjVxdHJzaDZna2ExNxINRG9ubmEgQ29ybWFja2olChRzdWdnZXN0Ljk1NmlmbTFjajQ1cRINRG9ubmEgQ29ybWFja2olChRzdWdnZXN0Lnc0a2xuYTR1bTZvMxINRG9ubmEgQ29ybWFja2olChRzdWdnZXN0Lno5bmptZ2VnZnQ1OBINRG9ubmEgQ29ybWFja2olChRzdWdnZXN0Lno3ZG96cGNwaHAyehINRG9ubmEgQ29ybWFja2olChRzdWdnZXN0LjMwdW53N3FvaGExdxINRG9ubmEgQ29ybWFja2olChRzdWdnZXN0LmlwZW94bndwaHM5cBINRG9ubmEgQ29ybWFja2olChRzdWdnZXN0LmdlZ3ZtMTE2YjJkMBINRG9ubmEgQ29ybWFja2olChRzdWdnZXN0LnUxODUxMzNmYWRkMRINRG9ubmEgQ29ybWFja2olChRzdWdnZXN0LmphbTlyNnlnNjh0MBINRG9ubmEgQ29ybWFja2olChRzdWdnZXN0LnI2aGd2czNkdWhjcRINRG9ubmEgQ29ybWFja2olChRzdWdnZXN0LmhvdW0ydHJrcTJueRINRG9ubmEgQ29ybWFja2olChRzdWdnZXN0Lm5xN3pmZDU4Y2FycxINRG9ubmEgQ29ybWFja2olChRzdWdnZXN0LjVxb2k4NnpoZG1pbBINRG9ubmEgQ29ybWFja2olChRzdWdnZXN0Lm84NDdhbWVxM280ZhINRG9ubmEgQ29ybWFja2olChRzdWdnZXN0Lmg1eGphd2FuZW1zZRINRG9ubmEgQ29ybWFja2olChRzdWdnZXN0Ljh3amtubjJrYjdoOBINRG9ubmEgQ29ybWFja2olChRzdWdnZXN0LmF1a3RwcDc3NzlyaxINRG9ubmEgQ29ybWFja2olChRzdWdnZXN0LnV2eml0NWgwNzl2bxINRG9ubmEgQ29ybWFja2olChRzdWdnZXN0LnJ4Y2Q4dnh2eXN1ZxINRG9ubmEgQ29ybWFja2olChRzdWdnZXN0LjZhdWlueWI1MWMwaRINRG9ubmEgQ29ybWFja2olChRzdWdnZXN0LjRtMGpweXVqcHNsORINRG9ubmEgQ29ybWFja2olChRzdWdnZXN0Lmx5MmE3eDFtcWVneRINRG9ubmEgQ29ybWFja2olChRzdWdnZXN0Lmt3ZTE0YnZlOG5qeBINRG9ubmEgQ29ybWFja2olChRzdWdnZXN0LjNicGEwaXZ3Y2E1axINRG9ubmEgQ29ybWFja2olChRzdWdnZXN0LnBkOTZuYnoyYnd5cBINRG9ubmEgQ29ybWFja2olChRzdWdnZXN0LnViem4wN2M4MDI5cRINRG9ubmEgQ29ybWFja2olChRzdWdnZXN0LjV1OHY1ejFreGU3aRINRG9ubmEgQ29ybWFja2olChRzdWdnZXN0LjFhaHUwZTNqYmxkMhINRG9ubmEgQ29ybWFja2olChRzdWdnZXN0LmNqdGd4eHJqaTM5ZBINRG9ubmEgQ29ybWFja2olChRzdWdnZXN0LjdvbXRsb2x4Zmt3cBINRG9ubmEgQ29ybWFja2olChRzdWdnZXN0LmtyYTU3Y3Bub2NnZBINRG9ubmEgQ29ybWFja2olChRzdWdnZXN0LmpsZjZjd25teHIyaBINRG9ubmEgQ29ybWFja2olChRzdWdnZXN0Lmx6aGg2cGtmamVieBINRG9ubmEgQ29ybWFja2olChRzdWdnZXN0LmttdzFnNnBudWlrcRINRG9ubmEgQ29ybWFja2olChRzdWdnZXN0LmVqNWI0Ym9peXJtcBINRG9ubmEgQ29ybWFja2olChRzdWdnZXN0LmlkZnFrOTNjNHdhYxINRG9ubmEgQ29ybWFja2olChRzdWdnZXN0LjUzcTZlY3Brd3JpcBINRG9ubmEgQ29ybWFja2olChRzdWdnZXN0LnhuMjd2YW0yb3FqZBINRG9ubmEgQ29ybWFja2okChNzdWdnZXN0LjZrdGFmbm5jMGRjEg1Eb25uYSBDb3JtYWNraiUKFHN1Z2dlc3QuYnUzYmQ5Y2d4ZXl6Eg1Eb25uYSBDb3JtYWNraiUKFHN1Z2dlc3QucW85ZHhrNXFjcGJnEg1Eb25uYSBDb3JtYWNraiUKFHN1Z2dlc3QueHhqMHV0YjAyZ2V0Eg1Eb25uYSBDb3JtYWNraiUKFHN1Z2dlc3QuZnBrZ2ZhdWNzaTNmEg1Eb25uYSBDb3JtYWNraiUKFHN1Z2dlc3QubTUyYWxybTNoNWg4Eg1Eb25uYSBDb3JtYWNraiUKFHN1Z2dlc3QuOXFrZWdwb3FlODJwEg1Eb25uYSBDb3JtYWNraiUKFHN1Z2dlc3QuNGFibDV2M295Zzh4Eg1Eb25uYSBDb3JtYWNraiUKFHN1Z2dlc3QueHl6dzN2aHVia2FwEg1Eb25uYSBDb3JtYWNraiUKFHN1Z2dlc3QuOTZ4enlhbnFibm80Eg1Eb25uYSBDb3JtYWNraiUKFHN1Z2dlc3QuM2J2bzN4bjNrMWN5Eg1Eb25uYSBDb3JtYWNraiUKFHN1Z2dlc3QuMXk3N21uMjUya3h4Eg1Eb25uYSBDb3JtYWNraiUKFHN1Z2dlc3QudDcwamxtbnY4ajV6Eg1Eb25uYSBDb3JtYWNraiUKFHN1Z2dlc3QuNXQyY2ZoYzNra2t5Eg1Eb25uYSBDb3JtYWNraiUKFHN1Z2dlc3Qua2Q0OHUyZGNpbGR1Eg1Eb25uYSBDb3JtYWNraiUKFHN1Z2dlc3QuOG42anAwaGE5ZWxwEg1Eb25uYSBDb3JtYWNraiUKFHN1Z2dlc3QuNzZya3IxOWV6OWx5Eg1Eb25uYSBDb3JtYWNraiUKFHN1Z2dlc3QuYmdqMWltbGQzdWduEg1Eb25uYSBDb3JtYWNraiUKFHN1Z2dlc3Qub2N0ajM2ZW1saWk4Eg1Eb25uYSBDb3JtYWNraiUKFHN1Z2dlc3QuZjRibWpxM2VwaG5pEg1Eb25uYSBDb3JtYWNraiUKFHN1Z2dlc3QucGt6anBzZjQwYjlpEg1Eb25uYSBDb3JtYWNraiUKFHN1Z2dlc3QubmIzazZ1a3o2YmFuEg1Eb25uYSBDb3JtYWNraiUKFHN1Z2dlc3QuN25uaTFjd3BkcHEzEg1Eb25uYSBDb3JtYWNraiQKE3N1Z2dlc3QubHVsMXV6MWVxYXESDURvbm5hIENvcm1hY2tqJQoUc3VnZ2VzdC5qYWhkemE1bHpxMzESDURvbm5hIENvcm1hY2tqJQoUc3VnZ2VzdC5rOXJ3c2plaGg3bDgSDURvbm5hIENvcm1hY2tqJQoUc3VnZ2VzdC55OXRiZWR2bmo5anYSDURvbm5hIENvcm1hY2tqJQoUc3VnZ2VzdC51cGZ5ZDRxczVxanYSDURvbm5hIENvcm1hY2tqJQoUc3VnZ2VzdC54bzNtODRjdDFndm8SDURvbm5hIENvcm1hY2tqJQoUc3VnZ2VzdC5nOGdlbmoxZDI3bnkSDURvbm5hIENvcm1hY2tqJQoUc3VnZ2VzdC55ZzdyeWljbHg4b2ISDURvbm5hIENvcm1hY2tqJQoUc3VnZ2VzdC40YXplbXMydHljZDkSDURvbm5hIENvcm1hY2tqJQoUc3VnZ2VzdC4yNzQ4d2M3cHUwdjESDURvbm5hIENvcm1hY2tqJQoUc3VnZ2VzdC5tYXI3MHJscnYxYXMSDURvbm5hIENvcm1hY2tqJQoUc3VnZ2VzdC56NDA1M2gyeWlhejESDURvbm5hIENvcm1hY2tqJQoUc3VnZ2VzdC4xODZjMmNlZmw0NWcSDURvbm5hIENvcm1hY2tqJQoUc3VnZ2VzdC5tZTE5OXBuMW96MzASDURvbm5hIENvcm1hY2tqJQoUc3VnZ2VzdC5yNTl2ajdkajZ0amUSDURvbm5hIENvcm1hY2tqJQoUc3VnZ2VzdC5ueXRoMnc4ZWp5ZHcSDURvbm5hIENvcm1hY2tqJQoUc3VnZ2VzdC5leWJja2lsNGQybzASDURvbm5hIENvcm1hY2tqJQoUc3VnZ2VzdC5rdTl6Y3l5MWluYWMSDURvbm5hIENvcm1hY2tqJQoUc3VnZ2VzdC55Nzh2Y2x2Z3Y3aTcSDURvbm5hIENvcm1hY2tqJQoUc3VnZ2VzdC5tZ2pna2UzemgxbjISDURvbm5hIENvcm1hY2tqJQoUc3VnZ2VzdC43MGt3d2Nqbnl0NmwSDURvbm5hIENvcm1hY2tqJQoUc3VnZ2VzdC42dGR1YWlkeXJxZDESDURvbm5hIENvcm1hY2tqJQoUc3VnZ2VzdC4ycjl2ZmN5ZXU4NDQSDURvbm5hIENvcm1hY2tqJQoUc3VnZ2VzdC5va2FqNHE2MTd2djcSDURvbm5hIENvcm1hY2tqJQoUc3VnZ2VzdC4xMmphazIxODhiMm4SDURvbm5hIENvcm1hY2tqJQoUc3VnZ2VzdC5rZHYxdGtkNjQ3N2wSDURvbm5hIENvcm1hY2tqJQoUc3VnZ2VzdC5wNWMxa2djOTZ3dzcSDURvbm5hIENvcm1hY2tqJQoUc3VnZ2VzdC5kc3F0a2V4bDV2bnYSDURvbm5hIENvcm1hY2tqJQoUc3VnZ2VzdC5pbXZ4eWptZWxkc24SDURvbm5hIENvcm1hY2tqJQoUc3VnZ2VzdC5zdzN3cWNqYWlzODcSDURvbm5hIENvcm1hY2tqJQoUc3VnZ2VzdC4zanM1dTkxOWRkMjcSDURvbm5hIENvcm1hY2tqJAoTc3VnZ2VzdC54NXNtb3RycWducBINRG9ubmEgQ29ybWFja2olChRzdWdnZXN0LjhodHEzbTg5cTh3ORINRG9ubmEgQ29ybWFja2olChRzdWdnZXN0LmxwaDk0czEwOGo0NxINRG9ubmEgQ29ybWFja2olChRzdWdnZXN0LnJxM3Z3Zzlva3BhahINRG9ubmEgQ29ybWFja2olChRzdWdnZXN0LjI1eDd2M3Y2dWcycRINRG9ubmEgQ29ybWFja2olChRzdWdnZXN0Lmpmd2ZyeWY4cGthZBINRG9ubmEgQ29ybWFja2olChRzdWdnZXN0LjY5MHZpamg1bXduZxINRG9ubmEgQ29ybWFja2olChRzdWdnZXN0LmJtenVxbnltNGVodRINRG9ubmEgQ29ybWFja2olChRzdWdnZXN0Lml5djJmYXdkcGF4YRINRG9ubmEgQ29ybWFja2olChRzdWdnZXN0LmZqZHJ1djFkdTlnNRINRG9ubmEgQ29ybWFja2olChRzdWdnZXN0LnhlbnZydTZsbTNmdxINRG9ubmEgQ29ybWFja2olChRzdWdnZXN0Lm53ODJpbDM3N3d6OBINRG9ubmEgQ29ybWFja2olChRzdWdnZXN0LnY2b2pocTc2OWp2cBINRG9ubmEgQ29ybWFja2olChRzdWdnZXN0Lm1lbGJqejd3b3FqchINRG9ubmEgQ29ybWFja2olChRzdWdnZXN0LmczODhlaWlqZ3ZzMBINRG9ubmEgQ29ybWFja2olChRzdWdnZXN0Lm12Zm4yc2JleWcyZRINRG9ubmEgQ29ybWFja2olChRzdWdnZXN0LmVqZDJ1eTNzcTNweBINRG9ubmEgQ29ybWFja2olChRzdWdnZXN0LnV5ZzB6M243MWJ4MhINRG9ubmEgQ29ybWFja2olChRzdWdnZXN0Lml4aDQzZzRreGF1bxINRG9ubmEgQ29ybWFja2olChRzdWdnZXN0LnR0a2l5cTM5dWd1eBINRG9ubmEgQ29ybWFja2olChRzdWdnZXN0LmxkY2NscGtpaDgxYRINRG9ubmEgQ29ybWFja2olChRzdWdnZXN0LmZleXhqamRuaG41cBINRG9ubmEgQ29ybWFja2olChRzdWdnZXN0LnlxYjZuMmJpcjc5dBINRG9ubmEgQ29ybWFja2olChRzdWdnZXN0LnJwNHpiZWhxYnk3bxINRG9ubmEgQ29ybWFja2olChRzdWdnZXN0LmowdzZ4bnd5dDkydhINRG9ubmEgQ29ybWFja2olChRzdWdnZXN0LjJncXJrNW15bG1tbBINRG9ubmEgQ29ybWFja2olChRzdWdnZXN0Lmx1M2x0dG1tdHhicBINRG9ubmEgQ29ybWFja2olChRzdWdnZXN0LjMwY3ZwdDd0b3BzNxINRG9ubmEgQ29ybWFja2olChRzdWdnZXN0LmJ0NGJyZ3dvZnZhaRINRG9ubmEgQ29ybWFja2olChRzdWdnZXN0Lmg4aTZ2NnBlYTMzeBINRG9ubmEgQ29ybWFja2olChRzdWdnZXN0LmhheHZxN2txcWU4YxINRG9ubmEgQ29ybWFja2olChRzdWdnZXN0LmM1eXBsemozZzJ4ZBINRG9ubmEgQ29ybWFja2olChRzdWdnZXN0Lm5hejF2ZTl6Ym95MBINRG9ubmEgQ29ybWFja2olChRzdWdnZXN0LmV2ajhscXh6NWc1NRINRG9ubmEgQ29ybWFja2olChRzdWdnZXN0LmRxbWx0YXVoMno3dRINRG9ubmEgQ29ybWFja2olChRzdWdnZXN0LnJpcGwxdDh1ajYwYxINRG9ubmEgQ29ybWFja2olChRzdWdnZXN0Ljg3NGlsb2hka2dtdBINRG9ubmEgQ29ybWFja2olChRzdWdnZXN0LmFlNXNkeHV5ZnNvbxINRG9ubmEgQ29ybWFja2olChRzdWdnZXN0Lm55cDc3cm1hcWJpNhINRG9ubmEgQ29ybWFja2olChRzdWdnZXN0LjYxcDNodnVoZXBhbhINRG9ubmEgQ29ybWFja2olChRzdWdnZXN0LmxhMDJiemN2NmpwMRINRG9ubmEgQ29ybWFja2olChRzdWdnZXN0LnhnOTBvMnZpNmd1MxINRG9ubmEgQ29ybWFja2okChNzdWdnZXN0Lm4wNzFvaHRlaXZhEg1Eb25uYSBDb3JtYWNraiUKFHN1Z2dlc3QueGd0YnhibTJ5ODFhEg1Eb25uYSBDb3JtYWNraiUKFHN1Z2dlc3QuMnNiZnRuaTIwdmMzEg1Eb25uYSBDb3JtYWNraiUKFHN1Z2dlc3QuczllanhqYWY5eWttEg1Eb25uYSBDb3JtYWNraiUKFHN1Z2dlc3QudXFqMGpvNWZleDliEg1Eb25uYSBDb3JtYWNraiUKFHN1Z2dlc3QuM3hlNGZpOGxmNmZ6Eg1Eb25uYSBDb3JtYWNraiUKFHN1Z2dlc3QuNjY1a2w1bjB6MHBwEg1Eb25uYSBDb3JtYWNraiUKFHN1Z2dlc3QucjF1bzdna2puZ3o0Eg1Eb25uYSBDb3JtYWNraiUKFHN1Z2dlc3Qua3I4aGhlb3lxZXY4Eg1Eb25uYSBDb3JtYWNraiUKFHN1Z2dlc3QuNTNxYm1vNG1ydjdvEg1Eb25uYSBDb3JtYWNraiUKFHN1Z2dlc3QuYW14anlncnVwZzE5Eg1Eb25uYSBDb3JtYWNraiUKFHN1Z2dlc3QuZHl6OWVvMzFmazNsEg1Eb25uYSBDb3JtYWNraiUKFHN1Z2dlc3QucGw4Y3o1YWx1eXN0Eg1Eb25uYSBDb3JtYWNraiUKFHN1Z2dlc3QubjBnZXkzYzlrYnd1Eg1Eb25uYSBDb3JtYWNraiUKFHN1Z2dlc3QucDJnYnpyZ2M2bHhkEg1Eb25uYSBDb3JtYWNraiUKFHN1Z2dlc3QucXQ5dzZ1amJidGh4Eg1Eb25uYSBDb3JtYWNraiUKFHN1Z2dlc3QucGczeGtjZ28yeHFvEg1Eb25uYSBDb3JtYWNrciExZjlqTEowSmtsSnhLWG5vREFXd19KcTRTT2hONVpYZD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c8f8178ef0ce6830f31a35732635f93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0107690c0433c9f04b58edd5c7cf01f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2025-10-27T10:37:37+00:00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4BABCC-EB80-4128-A302-2557C0FD3734}"/>
</file>

<file path=customXml/itemProps3.xml><?xml version="1.0" encoding="utf-8"?>
<ds:datastoreItem xmlns:ds="http://schemas.openxmlformats.org/officeDocument/2006/customXml" ds:itemID="{71302659-3598-448D-97C6-95A138F6AE54}"/>
</file>

<file path=customXml/itemProps4.xml><?xml version="1.0" encoding="utf-8"?>
<ds:datastoreItem xmlns:ds="http://schemas.openxmlformats.org/officeDocument/2006/customXml" ds:itemID="{D2A38404-E75E-4DB9-BFF0-44D84B148CFB}"/>
</file>

<file path=docProps/app.xml><?xml version="1.0" encoding="utf-8"?>
<Properties xmlns="http://schemas.openxmlformats.org/officeDocument/2006/extended-properties" xmlns:vt="http://schemas.openxmlformats.org/officeDocument/2006/docPropsVTypes">
  <Template>Normal</Template>
  <TotalTime>0</TotalTime>
  <Pages>34</Pages>
  <Words>18587</Words>
  <Characters>113387</Characters>
  <Application>Microsoft Office Word</Application>
  <DocSecurity>0</DocSecurity>
  <Lines>1828</Lines>
  <Paragraphs>856</Paragraphs>
  <ScaleCrop>false</ScaleCrop>
  <Company/>
  <LinksUpToDate>false</LinksUpToDate>
  <CharactersWithSpaces>131118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Oldwoman Bear</dc:creator>
  <cp:lastModifiedBy>Tina Ngata</cp:lastModifiedBy>
  <cp:revision>2</cp:revision>
  <dcterms:created xsi:type="dcterms:W3CDTF">2025-10-15T02:05:00Z</dcterms:created>
  <dcterms:modified xsi:type="dcterms:W3CDTF">2025-10-15T02:05:00Z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2023-11-02T00:00:00Z</vt:filetime>
  </property>
  <property fmtid="{D5CDD505-2E9C-101B-9397-08002B2CF9AE}" pid="3" name="Creator">
    <vt:lpwstr>Microsoft® Word for Microsoft 365</vt:lpwstr>
  </property>
  <property fmtid="{D5CDD505-2E9C-101B-9397-08002B2CF9AE}" pid="4" name="LastSaved">
    <vt:filetime>2025-03-19T00:00:00Z</vt:filetime>
  </property>
  <property fmtid="{D5CDD505-2E9C-101B-9397-08002B2CF9AE}" pid="5" name="Producer">
    <vt:lpwstr>Microsoft® Word for Microsoft 365</vt:lpwstr>
  </property>
  <property fmtid="{D5CDD505-2E9C-101B-9397-08002B2CF9AE}" pid="6" name="ContentTypeId">
    <vt:lpwstr>0x0101001193CD93B399A24291B7775C5A053C9B</vt:lpwstr>
  </property>
</Properties>
</file>