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7C01F1" w14:textId="29FE9EE8" w:rsidR="5587947E" w:rsidRPr="00932CFA" w:rsidRDefault="00932CFA" w:rsidP="152F040B">
      <w:pPr>
        <w:spacing w:after="0"/>
        <w:jc w:val="center"/>
        <w:rPr>
          <w:rFonts w:ascii="Times New Roman" w:eastAsia="Times New Roman" w:hAnsi="Times New Roman" w:cs="Times New Roman"/>
          <w:color w:val="000000" w:themeColor="text1"/>
          <w:lang w:val="en-US"/>
        </w:rPr>
      </w:pPr>
      <w:r w:rsidRPr="00932CFA">
        <w:rPr>
          <w:rFonts w:ascii="Times New Roman" w:eastAsia="Times New Roman" w:hAnsi="Times New Roman" w:cs="Times New Roman"/>
          <w:color w:val="000000" w:themeColor="text1"/>
          <w:lang w:val="en-US"/>
        </w:rPr>
        <w:t>Committee for the Elimination of Racial Discrimination</w:t>
      </w:r>
      <w:r w:rsidR="5587947E" w:rsidRPr="00932CFA">
        <w:rPr>
          <w:rFonts w:ascii="Times New Roman" w:eastAsia="Times New Roman" w:hAnsi="Times New Roman" w:cs="Times New Roman"/>
          <w:color w:val="000000" w:themeColor="text1"/>
          <w:lang w:val="en-US"/>
        </w:rPr>
        <w:t xml:space="preserve"> (CERD)</w:t>
      </w:r>
    </w:p>
    <w:p w14:paraId="728FE5E1" w14:textId="7BDBA1F7" w:rsidR="152F040B" w:rsidRPr="00932CFA" w:rsidRDefault="152F040B" w:rsidP="152F040B">
      <w:pPr>
        <w:spacing w:after="0"/>
        <w:jc w:val="center"/>
        <w:rPr>
          <w:rFonts w:ascii="Times New Roman" w:eastAsia="Times New Roman" w:hAnsi="Times New Roman" w:cs="Times New Roman"/>
          <w:color w:val="000000" w:themeColor="text1"/>
          <w:lang w:val="en-US"/>
        </w:rPr>
      </w:pPr>
    </w:p>
    <w:p w14:paraId="78BDDD14" w14:textId="2BE21B15" w:rsidR="5587947E" w:rsidRPr="002C7D79" w:rsidRDefault="4BF242E1" w:rsidP="152F040B">
      <w:pPr>
        <w:spacing w:after="0"/>
        <w:jc w:val="center"/>
        <w:rPr>
          <w:rFonts w:ascii="Times New Roman" w:eastAsia="Times New Roman" w:hAnsi="Times New Roman" w:cs="Times New Roman"/>
          <w:lang w:val="en-US"/>
        </w:rPr>
      </w:pPr>
      <w:r w:rsidRPr="002C7D79">
        <w:rPr>
          <w:rFonts w:ascii="Times New Roman" w:eastAsia="Times New Roman" w:hAnsi="Times New Roman" w:cs="Times New Roman"/>
          <w:color w:val="000000" w:themeColor="text1"/>
          <w:lang w:val="en-US"/>
        </w:rPr>
        <w:t xml:space="preserve">113rd Session - </w:t>
      </w:r>
      <w:r w:rsidRPr="002C7D79">
        <w:rPr>
          <w:rFonts w:ascii="Times New Roman" w:eastAsia="Times New Roman" w:hAnsi="Times New Roman" w:cs="Times New Roman"/>
          <w:lang w:val="en-US"/>
        </w:rPr>
        <w:t>August 5 to 23, 2024</w:t>
      </w:r>
    </w:p>
    <w:p w14:paraId="22027B01" w14:textId="5A92E235" w:rsidR="683E542C" w:rsidRPr="002C7D79" w:rsidRDefault="4BF242E1" w:rsidP="152F040B">
      <w:pPr>
        <w:spacing w:before="240" w:after="240"/>
        <w:jc w:val="center"/>
        <w:rPr>
          <w:rFonts w:ascii="Times New Roman" w:eastAsia="Times New Roman" w:hAnsi="Times New Roman" w:cs="Times New Roman"/>
          <w:color w:val="000000" w:themeColor="text1"/>
          <w:lang w:val="en-US"/>
        </w:rPr>
      </w:pPr>
      <w:r w:rsidRPr="002C7D79">
        <w:rPr>
          <w:rFonts w:ascii="Times New Roman" w:eastAsia="Times New Roman" w:hAnsi="Times New Roman" w:cs="Times New Roman"/>
          <w:color w:val="000000" w:themeColor="text1"/>
          <w:lang w:val="en-US"/>
        </w:rPr>
        <w:t>Palais Wilson, Geneva, Switzerland</w:t>
      </w:r>
    </w:p>
    <w:p w14:paraId="6AC227A8" w14:textId="42DA2BFB" w:rsidR="152F040B" w:rsidRPr="002C7D79" w:rsidRDefault="152F040B" w:rsidP="152F040B">
      <w:pPr>
        <w:jc w:val="center"/>
        <w:rPr>
          <w:rFonts w:ascii="Times New Roman" w:eastAsia="Times New Roman" w:hAnsi="Times New Roman" w:cs="Times New Roman"/>
          <w:lang w:val="en-US"/>
        </w:rPr>
      </w:pPr>
    </w:p>
    <w:p w14:paraId="62540E62" w14:textId="22686673" w:rsidR="152F040B" w:rsidRPr="002C7D79" w:rsidRDefault="152F040B" w:rsidP="152F040B">
      <w:pPr>
        <w:spacing w:after="0"/>
        <w:jc w:val="center"/>
        <w:rPr>
          <w:rFonts w:ascii="Times New Roman" w:eastAsia="Times New Roman" w:hAnsi="Times New Roman" w:cs="Times New Roman"/>
          <w:lang w:val="en-US"/>
        </w:rPr>
      </w:pPr>
    </w:p>
    <w:p w14:paraId="386A84C4" w14:textId="77777777" w:rsidR="00932CFA" w:rsidRDefault="00932CFA" w:rsidP="152F040B">
      <w:pPr>
        <w:spacing w:after="0"/>
        <w:jc w:val="center"/>
        <w:rPr>
          <w:rFonts w:ascii="Times New Roman" w:eastAsia="Times New Roman" w:hAnsi="Times New Roman" w:cs="Times New Roman"/>
          <w:b/>
          <w:bCs/>
          <w:color w:val="000000" w:themeColor="text1"/>
          <w:sz w:val="30"/>
          <w:szCs w:val="30"/>
          <w:lang w:val="en-US"/>
        </w:rPr>
      </w:pPr>
      <w:r w:rsidRPr="00932CFA">
        <w:rPr>
          <w:rFonts w:ascii="Times New Roman" w:eastAsia="Times New Roman" w:hAnsi="Times New Roman" w:cs="Times New Roman"/>
          <w:b/>
          <w:bCs/>
          <w:color w:val="000000" w:themeColor="text1"/>
          <w:sz w:val="30"/>
          <w:szCs w:val="30"/>
          <w:lang w:val="en-US"/>
        </w:rPr>
        <w:t xml:space="preserve">Report on the Bolivarian Republic of Venezuela </w:t>
      </w:r>
    </w:p>
    <w:p w14:paraId="42047810" w14:textId="38809896" w:rsidR="5587947E" w:rsidRPr="00932CFA" w:rsidRDefault="00932CFA" w:rsidP="152F040B">
      <w:pPr>
        <w:spacing w:after="0"/>
        <w:jc w:val="center"/>
        <w:rPr>
          <w:rFonts w:ascii="Times New Roman" w:eastAsia="Times New Roman" w:hAnsi="Times New Roman" w:cs="Times New Roman"/>
          <w:b/>
          <w:bCs/>
          <w:color w:val="000000" w:themeColor="text1"/>
          <w:sz w:val="30"/>
          <w:szCs w:val="30"/>
          <w:lang w:val="en-US"/>
        </w:rPr>
      </w:pPr>
      <w:r w:rsidRPr="00932CFA">
        <w:rPr>
          <w:rFonts w:ascii="Times New Roman" w:eastAsia="Times New Roman" w:hAnsi="Times New Roman" w:cs="Times New Roman"/>
          <w:b/>
          <w:bCs/>
          <w:color w:val="000000" w:themeColor="text1"/>
          <w:sz w:val="30"/>
          <w:szCs w:val="30"/>
          <w:lang w:val="en-US"/>
        </w:rPr>
        <w:t>sent for consideration by CERD at its 113th session</w:t>
      </w:r>
      <w:r w:rsidR="5587947E" w:rsidRPr="152F040B">
        <w:rPr>
          <w:rStyle w:val="Refdenotaalpie"/>
          <w:rFonts w:ascii="Times New Roman" w:eastAsia="Times New Roman" w:hAnsi="Times New Roman" w:cs="Times New Roman"/>
          <w:b/>
          <w:bCs/>
          <w:color w:val="000000" w:themeColor="text1"/>
          <w:sz w:val="30"/>
          <w:szCs w:val="30"/>
        </w:rPr>
        <w:footnoteReference w:id="2"/>
      </w:r>
      <w:r w:rsidR="5587947E" w:rsidRPr="00932CFA">
        <w:rPr>
          <w:rFonts w:ascii="Times New Roman" w:eastAsia="Times New Roman" w:hAnsi="Times New Roman" w:cs="Times New Roman"/>
          <w:b/>
          <w:bCs/>
          <w:color w:val="000000" w:themeColor="text1"/>
          <w:sz w:val="30"/>
          <w:szCs w:val="30"/>
          <w:lang w:val="en-US"/>
        </w:rPr>
        <w:t>.</w:t>
      </w:r>
    </w:p>
    <w:p w14:paraId="59C43309" w14:textId="0A5683A1" w:rsidR="5587947E" w:rsidRPr="00932CFA" w:rsidRDefault="00932CFA" w:rsidP="152F040B">
      <w:pPr>
        <w:spacing w:after="0"/>
        <w:jc w:val="center"/>
        <w:rPr>
          <w:rFonts w:ascii="Times New Roman" w:eastAsia="Times New Roman" w:hAnsi="Times New Roman" w:cs="Times New Roman"/>
          <w:b/>
          <w:bCs/>
          <w:color w:val="000000" w:themeColor="text1"/>
          <w:sz w:val="30"/>
          <w:szCs w:val="30"/>
          <w:u w:val="single"/>
          <w:lang w:val="en-US"/>
        </w:rPr>
      </w:pPr>
      <w:r w:rsidRPr="00932CFA">
        <w:rPr>
          <w:rFonts w:ascii="Times New Roman" w:eastAsia="Times New Roman" w:hAnsi="Times New Roman" w:cs="Times New Roman"/>
          <w:b/>
          <w:bCs/>
          <w:color w:val="000000" w:themeColor="text1"/>
          <w:sz w:val="30"/>
          <w:szCs w:val="30"/>
          <w:u w:val="single"/>
          <w:lang w:val="en-US"/>
        </w:rPr>
        <w:t>The document can be published.</w:t>
      </w:r>
    </w:p>
    <w:p w14:paraId="2BFB8791" w14:textId="2CEA0BCC" w:rsidR="152F040B" w:rsidRPr="00932CFA" w:rsidRDefault="152F040B" w:rsidP="152F040B">
      <w:pPr>
        <w:rPr>
          <w:rFonts w:ascii="Times New Roman" w:eastAsia="Times New Roman" w:hAnsi="Times New Roman" w:cs="Times New Roman"/>
          <w:lang w:val="en-US"/>
        </w:rPr>
      </w:pPr>
    </w:p>
    <w:p w14:paraId="24408E34" w14:textId="27AC644D" w:rsidR="5587947E" w:rsidRPr="00932CFA" w:rsidRDefault="00932CFA" w:rsidP="001C17F7">
      <w:pPr>
        <w:spacing w:line="276" w:lineRule="auto"/>
        <w:jc w:val="right"/>
        <w:rPr>
          <w:rFonts w:ascii="Times New Roman" w:eastAsia="Times New Roman" w:hAnsi="Times New Roman" w:cs="Times New Roman"/>
          <w:b/>
          <w:bCs/>
          <w:color w:val="000000" w:themeColor="text1"/>
          <w:lang w:val="en-US"/>
        </w:rPr>
      </w:pPr>
      <w:r w:rsidRPr="00932CFA">
        <w:rPr>
          <w:rFonts w:ascii="Times New Roman" w:eastAsia="Times New Roman" w:hAnsi="Times New Roman" w:cs="Times New Roman"/>
          <w:color w:val="000000" w:themeColor="text1"/>
          <w:lang w:val="en-US"/>
        </w:rPr>
        <w:t>Presented by</w:t>
      </w:r>
      <w:r w:rsidR="5587947E" w:rsidRPr="00932CFA">
        <w:rPr>
          <w:rFonts w:ascii="Times New Roman" w:eastAsia="Times New Roman" w:hAnsi="Times New Roman" w:cs="Times New Roman"/>
          <w:color w:val="000000" w:themeColor="text1"/>
          <w:lang w:val="en-US"/>
        </w:rPr>
        <w:t>:</w:t>
      </w:r>
    </w:p>
    <w:p w14:paraId="3761295D" w14:textId="40B20E14" w:rsidR="291CCEF4" w:rsidRPr="00932CFA" w:rsidRDefault="4BF242E1" w:rsidP="00013651">
      <w:pPr>
        <w:shd w:val="clear" w:color="auto" w:fill="C1E4F5" w:themeFill="accent1" w:themeFillTint="33"/>
        <w:spacing w:before="140" w:after="140" w:line="276" w:lineRule="auto"/>
        <w:ind w:left="1008"/>
        <w:jc w:val="both"/>
        <w:rPr>
          <w:rFonts w:ascii="Times New Roman" w:eastAsia="Times New Roman" w:hAnsi="Times New Roman" w:cs="Times New Roman"/>
          <w:lang w:val="en-US"/>
        </w:rPr>
      </w:pPr>
      <w:r w:rsidRPr="4BF242E1">
        <w:rPr>
          <w:rFonts w:ascii="Times New Roman" w:eastAsia="Times New Roman" w:hAnsi="Times New Roman" w:cs="Times New Roman"/>
          <w:b/>
          <w:bCs/>
          <w:color w:val="000000" w:themeColor="text1"/>
          <w:lang w:val="en-US"/>
        </w:rPr>
        <w:t>Defiende Venezuela</w:t>
      </w:r>
      <w:r w:rsidRPr="4BF242E1">
        <w:rPr>
          <w:rFonts w:ascii="Times New Roman" w:eastAsia="Times New Roman" w:hAnsi="Times New Roman" w:cs="Times New Roman"/>
          <w:color w:val="000000" w:themeColor="text1"/>
          <w:lang w:val="en-US"/>
        </w:rPr>
        <w:t>: a non-governmental organization responsible for the promotion and defense of human rights. In addition, its work focuses on preparing and filing complaints about human rights violations in Venezuela with a focus on international strategic litigation before the Inter-American Human Rights System (SIDH) and the Universal System for the Protection of Human Rights (SUDH).</w:t>
      </w:r>
    </w:p>
    <w:p w14:paraId="418B5431" w14:textId="16DA16EB" w:rsidR="005C406F" w:rsidRPr="005C406F" w:rsidRDefault="4BF242E1" w:rsidP="001C17F7">
      <w:pPr>
        <w:spacing w:before="140" w:after="140" w:line="276" w:lineRule="auto"/>
        <w:jc w:val="both"/>
        <w:rPr>
          <w:rFonts w:ascii="Times New Roman" w:eastAsia="Times New Roman" w:hAnsi="Times New Roman" w:cs="Times New Roman"/>
          <w:color w:val="000000" w:themeColor="text1"/>
          <w:lang w:val="en-US"/>
        </w:rPr>
      </w:pPr>
      <w:r w:rsidRPr="4BF242E1">
        <w:rPr>
          <w:rFonts w:ascii="Times New Roman" w:eastAsia="Times New Roman" w:hAnsi="Times New Roman" w:cs="Times New Roman"/>
          <w:color w:val="000000" w:themeColor="text1"/>
          <w:lang w:val="en-US"/>
        </w:rPr>
        <w:t>Based on the recommendations previously formulated by the Committee and the responses given by the Venezuelan State to the List of Previous Issues, in this document one will be able to find information related to the following topics: (i) racial discrimination in the context of security operations in the fight against organized crime in Venezuela; (ii) failure of the State in the investigation of transfemicides of racialized people, and its measures to prevent racial discrimination in media coverage and discourse on social networks; and (iii) conclusions and recommendations suggested for the Committee's consideration.</w:t>
      </w:r>
    </w:p>
    <w:p w14:paraId="0007D3AF" w14:textId="393C5C08" w:rsidR="73185329" w:rsidRPr="005C406F" w:rsidRDefault="005C406F" w:rsidP="001C17F7">
      <w:pPr>
        <w:pStyle w:val="Prrafodelista"/>
        <w:numPr>
          <w:ilvl w:val="0"/>
          <w:numId w:val="7"/>
        </w:numPr>
        <w:spacing w:before="140" w:after="140" w:line="276" w:lineRule="auto"/>
        <w:jc w:val="both"/>
        <w:rPr>
          <w:rFonts w:ascii="Times New Roman" w:eastAsia="Times New Roman" w:hAnsi="Times New Roman" w:cs="Times New Roman"/>
          <w:b/>
          <w:bCs/>
          <w:color w:val="000000" w:themeColor="text1"/>
          <w:lang w:val="en-US"/>
        </w:rPr>
      </w:pPr>
      <w:r w:rsidRPr="005C406F">
        <w:rPr>
          <w:rFonts w:ascii="Times New Roman" w:eastAsia="Times New Roman" w:hAnsi="Times New Roman" w:cs="Times New Roman"/>
          <w:b/>
          <w:bCs/>
          <w:color w:val="000000" w:themeColor="text1"/>
          <w:lang w:val="en-US"/>
        </w:rPr>
        <w:t>RACIAL DISCRIMINATION IN THE CONTEXT OF SECURITY OPERATIONS IN THE FIGHT AGAINST ORGANIZED CRIME IN VENEZUELA.</w:t>
      </w:r>
    </w:p>
    <w:p w14:paraId="4E064F59" w14:textId="6175DFF1" w:rsidR="00330483" w:rsidRPr="005C406F" w:rsidRDefault="005C406F" w:rsidP="4BF242E1">
      <w:pPr>
        <w:spacing w:line="276" w:lineRule="auto"/>
        <w:jc w:val="both"/>
        <w:rPr>
          <w:rFonts w:ascii="Times New Roman" w:hAnsi="Times New Roman" w:cs="Times New Roman"/>
          <w:lang w:val="en-US"/>
        </w:rPr>
      </w:pPr>
      <w:r w:rsidRPr="005C406F">
        <w:rPr>
          <w:rFonts w:ascii="Times New Roman" w:eastAsia="Times New Roman" w:hAnsi="Times New Roman" w:cs="Times New Roman"/>
          <w:color w:val="000000" w:themeColor="text1"/>
          <w:lang w:val="en-US"/>
        </w:rPr>
        <w:t>The International Convention on the Elimination of All Forms of Racial Discrimination, ratified by Venezuela in 1967</w:t>
      </w:r>
      <w:r w:rsidR="00330483" w:rsidRPr="001C17F7">
        <w:rPr>
          <w:rStyle w:val="Refdenotaalpie"/>
          <w:rFonts w:ascii="Times New Roman" w:eastAsia="Times New Roman" w:hAnsi="Times New Roman" w:cs="Times New Roman"/>
          <w:color w:val="000000" w:themeColor="text1"/>
        </w:rPr>
        <w:footnoteReference w:id="3"/>
      </w:r>
      <w:r w:rsidR="00330483" w:rsidRPr="005C406F">
        <w:rPr>
          <w:rFonts w:ascii="Times New Roman" w:eastAsia="Times New Roman" w:hAnsi="Times New Roman" w:cs="Times New Roman"/>
          <w:color w:val="000000" w:themeColor="text1"/>
          <w:lang w:val="en-US"/>
        </w:rPr>
        <w:t xml:space="preserve">, </w:t>
      </w:r>
      <w:r w:rsidRPr="005C406F">
        <w:rPr>
          <w:rFonts w:ascii="Times New Roman" w:eastAsia="Times New Roman" w:hAnsi="Times New Roman" w:cs="Times New Roman"/>
          <w:color w:val="000000" w:themeColor="text1"/>
          <w:lang w:val="en-US"/>
        </w:rPr>
        <w:t xml:space="preserve">defines racial discrimination in </w:t>
      </w:r>
      <w:r w:rsidR="4BF242E1" w:rsidRPr="4BF242E1">
        <w:rPr>
          <w:rFonts w:ascii="Times New Roman" w:eastAsia="Times New Roman" w:hAnsi="Times New Roman" w:cs="Times New Roman"/>
          <w:color w:val="000000" w:themeColor="text1"/>
          <w:lang w:val="en-US"/>
        </w:rPr>
        <w:t>Article</w:t>
      </w:r>
      <w:r w:rsidRPr="005C406F">
        <w:rPr>
          <w:rFonts w:ascii="Times New Roman" w:eastAsia="Times New Roman" w:hAnsi="Times New Roman" w:cs="Times New Roman"/>
          <w:color w:val="000000" w:themeColor="text1"/>
          <w:lang w:val="en-US"/>
        </w:rPr>
        <w:t xml:space="preserve"> 1 as "</w:t>
      </w:r>
      <w:r w:rsidRPr="4BF242E1">
        <w:rPr>
          <w:rFonts w:ascii="Times New Roman" w:eastAsia="Times New Roman" w:hAnsi="Times New Roman" w:cs="Times New Roman"/>
          <w:i/>
          <w:iCs/>
          <w:color w:val="000000" w:themeColor="text1"/>
          <w:lang w:val="en-US"/>
        </w:rPr>
        <w:t xml:space="preserve">any distinction, exclusion, restriction or preference based on race, color, ancestry or national origin, or ethnic origin that has the purpose or result of nullifying or impairing the recognition, enjoyment or exercise, under </w:t>
      </w:r>
      <w:r w:rsidRPr="4BF242E1">
        <w:rPr>
          <w:rFonts w:ascii="Times New Roman" w:eastAsia="Times New Roman" w:hAnsi="Times New Roman" w:cs="Times New Roman"/>
          <w:i/>
          <w:iCs/>
          <w:color w:val="000000" w:themeColor="text1"/>
          <w:lang w:val="en-US"/>
        </w:rPr>
        <w:lastRenderedPageBreak/>
        <w:t>conditions of equality, of human rights and fundamental freedoms in the political, economic, social, cultural or any other sphere of public life</w:t>
      </w:r>
      <w:r w:rsidRPr="005C406F">
        <w:rPr>
          <w:rFonts w:ascii="Times New Roman" w:eastAsia="Times New Roman" w:hAnsi="Times New Roman" w:cs="Times New Roman"/>
          <w:color w:val="000000" w:themeColor="text1"/>
          <w:lang w:val="en-US"/>
        </w:rPr>
        <w:t>."</w:t>
      </w:r>
    </w:p>
    <w:p w14:paraId="119CF8ED" w14:textId="39B19170" w:rsidR="00330483" w:rsidRPr="00010DD1" w:rsidRDefault="00010DD1" w:rsidP="4BF242E1">
      <w:pPr>
        <w:spacing w:line="276" w:lineRule="auto"/>
        <w:jc w:val="both"/>
        <w:rPr>
          <w:rFonts w:ascii="Times New Roman" w:eastAsia="Times New Roman" w:hAnsi="Times New Roman" w:cs="Times New Roman"/>
          <w:color w:val="000000" w:themeColor="text1"/>
          <w:lang w:val="en-US"/>
        </w:rPr>
      </w:pPr>
      <w:r w:rsidRPr="00010DD1">
        <w:rPr>
          <w:rFonts w:ascii="Times New Roman" w:eastAsia="Times New Roman" w:hAnsi="Times New Roman" w:cs="Times New Roman"/>
          <w:color w:val="000000" w:themeColor="text1"/>
          <w:lang w:val="en-US"/>
        </w:rPr>
        <w:t>Furthermore, Article 2 of the Convention states that states’ parties must "condemn racial discrimination and undertake to pursue by all appropriate means and without delay a policy of eliminating racial discrimination in all its forms." In this sense, Venezuela has the Organic Law against Racial Discrimination of 2021, which typifies the crime of racial discrimination and establishes criminal and civil sanctions.</w:t>
      </w:r>
      <w:r w:rsidR="00330483" w:rsidRPr="001C17F7">
        <w:rPr>
          <w:rStyle w:val="Refdenotaalpie"/>
          <w:rFonts w:ascii="Times New Roman" w:eastAsia="Times New Roman" w:hAnsi="Times New Roman" w:cs="Times New Roman"/>
          <w:color w:val="000000" w:themeColor="text1"/>
        </w:rPr>
        <w:footnoteReference w:id="4"/>
      </w:r>
    </w:p>
    <w:p w14:paraId="2BA7653A" w14:textId="4F9301BE" w:rsidR="00014221" w:rsidRPr="00010DD1" w:rsidRDefault="00010DD1" w:rsidP="001C17F7">
      <w:pPr>
        <w:spacing w:line="276" w:lineRule="auto"/>
        <w:jc w:val="both"/>
        <w:rPr>
          <w:rFonts w:ascii="Times New Roman" w:eastAsia="Times New Roman" w:hAnsi="Times New Roman" w:cs="Times New Roman"/>
          <w:color w:val="000000" w:themeColor="text1"/>
          <w:lang w:val="en-US"/>
        </w:rPr>
      </w:pPr>
      <w:r w:rsidRPr="00010DD1">
        <w:rPr>
          <w:rFonts w:ascii="Times New Roman" w:eastAsia="Times New Roman" w:hAnsi="Times New Roman" w:cs="Times New Roman"/>
          <w:color w:val="000000" w:themeColor="text1"/>
          <w:lang w:val="en-US"/>
        </w:rPr>
        <w:t xml:space="preserve">In Venezuela, there is evidence that security operations carried out by police and state security forces have a disproportionate impact on racialized and impoverished communities. These operations, marked by their high lethality, particularly affect poor and less “white” youth in </w:t>
      </w:r>
      <w:r>
        <w:rPr>
          <w:rFonts w:ascii="Times New Roman" w:eastAsia="Times New Roman" w:hAnsi="Times New Roman" w:cs="Times New Roman"/>
          <w:color w:val="000000" w:themeColor="text1"/>
          <w:lang w:val="en-US"/>
        </w:rPr>
        <w:t xml:space="preserve">poor </w:t>
      </w:r>
      <w:r w:rsidRPr="00010DD1">
        <w:rPr>
          <w:rFonts w:ascii="Times New Roman" w:eastAsia="Times New Roman" w:hAnsi="Times New Roman" w:cs="Times New Roman"/>
          <w:color w:val="000000" w:themeColor="text1"/>
          <w:lang w:val="en-US"/>
        </w:rPr>
        <w:t>neighborhoods. Although racism appears as a latent and little problemati</w:t>
      </w:r>
      <w:r>
        <w:rPr>
          <w:rFonts w:ascii="Times New Roman" w:eastAsia="Times New Roman" w:hAnsi="Times New Roman" w:cs="Times New Roman"/>
          <w:color w:val="000000" w:themeColor="text1"/>
          <w:lang w:val="en-US"/>
        </w:rPr>
        <w:t xml:space="preserve">zed </w:t>
      </w:r>
      <w:r w:rsidRPr="00010DD1">
        <w:rPr>
          <w:rFonts w:ascii="Times New Roman" w:eastAsia="Times New Roman" w:hAnsi="Times New Roman" w:cs="Times New Roman"/>
          <w:color w:val="000000" w:themeColor="text1"/>
          <w:lang w:val="en-US"/>
        </w:rPr>
        <w:t xml:space="preserve">phenomenon in Venezuelan society and politics, the penal system is characterized </w:t>
      </w:r>
      <w:r>
        <w:rPr>
          <w:rFonts w:ascii="Times New Roman" w:eastAsia="Times New Roman" w:hAnsi="Times New Roman" w:cs="Times New Roman"/>
          <w:color w:val="000000" w:themeColor="text1"/>
          <w:lang w:val="en-US"/>
        </w:rPr>
        <w:t>as</w:t>
      </w:r>
      <w:r w:rsidRPr="00010DD1">
        <w:rPr>
          <w:rFonts w:ascii="Times New Roman" w:eastAsia="Times New Roman" w:hAnsi="Times New Roman" w:cs="Times New Roman"/>
          <w:color w:val="000000" w:themeColor="text1"/>
          <w:lang w:val="en-US"/>
        </w:rPr>
        <w:t xml:space="preserve"> being selective, classist and racist</w:t>
      </w:r>
      <w:r w:rsidR="0093053C" w:rsidRPr="00010DD1">
        <w:rPr>
          <w:rFonts w:ascii="Times New Roman" w:eastAsia="Times New Roman" w:hAnsi="Times New Roman" w:cs="Times New Roman"/>
          <w:color w:val="000000" w:themeColor="text1"/>
          <w:lang w:val="en-US"/>
        </w:rPr>
        <w:t>.</w:t>
      </w:r>
      <w:r w:rsidR="00D37E71" w:rsidRPr="001C17F7">
        <w:rPr>
          <w:rStyle w:val="Refdenotaalpie"/>
          <w:rFonts w:ascii="Times New Roman" w:eastAsia="Times New Roman" w:hAnsi="Times New Roman" w:cs="Times New Roman"/>
          <w:color w:val="000000" w:themeColor="text1"/>
        </w:rPr>
        <w:footnoteReference w:id="5"/>
      </w:r>
      <w:r w:rsidR="73185329" w:rsidRPr="00010DD1">
        <w:rPr>
          <w:rFonts w:ascii="Times New Roman" w:eastAsia="Times New Roman" w:hAnsi="Times New Roman" w:cs="Times New Roman"/>
          <w:color w:val="000000" w:themeColor="text1"/>
          <w:lang w:val="en-US"/>
        </w:rPr>
        <w:t xml:space="preserve"> </w:t>
      </w:r>
    </w:p>
    <w:p w14:paraId="164DEDCB" w14:textId="29173141" w:rsidR="00010DD1" w:rsidRPr="002C7D79" w:rsidRDefault="4BF242E1" w:rsidP="001C17F7">
      <w:pPr>
        <w:pStyle w:val="NormalWeb"/>
        <w:spacing w:line="276" w:lineRule="auto"/>
        <w:jc w:val="both"/>
        <w:rPr>
          <w:lang w:val="en-US"/>
        </w:rPr>
      </w:pPr>
      <w:r w:rsidRPr="4BF242E1">
        <w:rPr>
          <w:lang w:val="en-US"/>
        </w:rPr>
        <w:t xml:space="preserve">This document analyzes rights violations documented by Defiende Venezuela in the context of the security operations of the Venezuelan State in disadvantaged neighborhoods of Venezuela; it also includes extrajudicial executions that occurred in the context of massive demonstrations in Venezuela, and in the context of “Operation Trueno” in Altagracia de Orituco, Guárico state, a rural area of ​​Venezuela. These cases, as detailed below, reveal systematic patterns of structural discrimination. These patterns manifest themselves in differentiated abuses during security operations, where young men, due to their economic situation and skin color, are murdered, while women face differentiated attacks. </w:t>
      </w:r>
      <w:r w:rsidRPr="002C7D79">
        <w:rPr>
          <w:lang w:val="en-US"/>
        </w:rPr>
        <w:t>In particular, Afro-descendants and mestizo women suffer additional humiliations in their search for justice.</w:t>
      </w:r>
    </w:p>
    <w:p w14:paraId="1BB5BCDB" w14:textId="5EE05A90" w:rsidR="00050B9B" w:rsidRDefault="4BF242E1" w:rsidP="00486E22">
      <w:pPr>
        <w:spacing w:before="140" w:after="140" w:line="276" w:lineRule="auto"/>
        <w:jc w:val="both"/>
        <w:rPr>
          <w:rFonts w:ascii="Times New Roman" w:eastAsia="Times New Roman" w:hAnsi="Times New Roman" w:cs="Times New Roman"/>
          <w:lang w:val="en-US" w:eastAsia="es-VE"/>
        </w:rPr>
      </w:pPr>
      <w:r w:rsidRPr="4BF242E1">
        <w:rPr>
          <w:rFonts w:ascii="Times New Roman" w:eastAsia="Times New Roman" w:hAnsi="Times New Roman" w:cs="Times New Roman"/>
          <w:lang w:val="en-US" w:eastAsia="es-VE"/>
        </w:rPr>
        <w:t xml:space="preserve">Structural discrimination has also manifested in the selection of many victims of extrajudicial executions: based on their socioeconomic position, their apparent or real connection with criminal gangs, or their opposition to the policies of the government of Nicolás Maduro. The majority of these victims come from low-income backgrounds and depend on informal or peasant trade for their subsistence, as is the case of the victims in the context of “Operation Trueno.” Furthermore, there is a serious lack of diligence on the part of the institutions in charge of the administration of </w:t>
      </w:r>
      <w:r w:rsidRPr="4BF242E1">
        <w:rPr>
          <w:rFonts w:ascii="Times New Roman" w:eastAsia="Times New Roman" w:hAnsi="Times New Roman" w:cs="Times New Roman"/>
          <w:lang w:val="en-US" w:eastAsia="es-VE"/>
        </w:rPr>
        <w:lastRenderedPageBreak/>
        <w:t>justice, which do not act with the speed required in these cases, thus perpetuating impunity and the suffering of the victims and their families.</w:t>
      </w:r>
    </w:p>
    <w:p w14:paraId="71F47CAA" w14:textId="4B5F685D" w:rsidR="00050B9B" w:rsidRPr="00050B9B" w:rsidRDefault="00050B9B" w:rsidP="001C17F7">
      <w:pPr>
        <w:spacing w:before="140" w:after="140" w:line="276" w:lineRule="auto"/>
        <w:jc w:val="both"/>
        <w:rPr>
          <w:rFonts w:ascii="Times New Roman" w:eastAsia="Times New Roman" w:hAnsi="Times New Roman" w:cs="Times New Roman"/>
          <w:b/>
          <w:bCs/>
          <w:u w:val="single"/>
          <w:lang w:val="en-US"/>
        </w:rPr>
      </w:pPr>
      <w:r w:rsidRPr="00050B9B">
        <w:rPr>
          <w:rFonts w:ascii="Times New Roman" w:eastAsia="Times New Roman" w:hAnsi="Times New Roman" w:cs="Times New Roman"/>
          <w:b/>
          <w:bCs/>
          <w:u w:val="single"/>
          <w:lang w:val="en-US"/>
        </w:rPr>
        <w:t>Affectation of rights by the Venezuelan State, regarding its obligation to guarantee and protect.</w:t>
      </w:r>
    </w:p>
    <w:p w14:paraId="4E928497" w14:textId="7AE35BDE" w:rsidR="00050B9B" w:rsidRPr="00050B9B" w:rsidRDefault="00050B9B" w:rsidP="001C17F7">
      <w:pPr>
        <w:spacing w:before="140" w:after="140" w:line="276" w:lineRule="auto"/>
        <w:jc w:val="both"/>
        <w:rPr>
          <w:rFonts w:ascii="Times New Roman" w:eastAsia="Times New Roman" w:hAnsi="Times New Roman" w:cs="Times New Roman"/>
          <w:b/>
          <w:bCs/>
          <w:lang w:val="en-US"/>
        </w:rPr>
      </w:pPr>
      <w:r w:rsidRPr="00050B9B">
        <w:rPr>
          <w:rFonts w:ascii="Times New Roman" w:hAnsi="Times New Roman" w:cs="Times New Roman"/>
          <w:shd w:val="clear" w:color="auto" w:fill="FCFCF9"/>
          <w:lang w:val="en-US"/>
        </w:rPr>
        <w:t xml:space="preserve">Next, the non-compliance and irregularities of the Venezuelan State that affect human rights in the context of security operations will be presented, framed </w:t>
      </w:r>
      <w:r>
        <w:rPr>
          <w:rFonts w:ascii="Times New Roman" w:hAnsi="Times New Roman" w:cs="Times New Roman"/>
          <w:shd w:val="clear" w:color="auto" w:fill="FCFCF9"/>
          <w:lang w:val="en-US"/>
        </w:rPr>
        <w:t>with</w:t>
      </w:r>
      <w:r w:rsidRPr="00050B9B">
        <w:rPr>
          <w:rFonts w:ascii="Times New Roman" w:hAnsi="Times New Roman" w:cs="Times New Roman"/>
          <w:shd w:val="clear" w:color="auto" w:fill="FCFCF9"/>
          <w:lang w:val="en-US"/>
        </w:rPr>
        <w:t>in structural discrimination</w:t>
      </w:r>
      <w:r>
        <w:rPr>
          <w:rFonts w:ascii="Times New Roman" w:hAnsi="Times New Roman" w:cs="Times New Roman"/>
          <w:shd w:val="clear" w:color="auto" w:fill="FCFCF9"/>
          <w:lang w:val="en-US"/>
        </w:rPr>
        <w:t xml:space="preserve">: </w:t>
      </w:r>
      <w:r w:rsidRPr="00050B9B">
        <w:rPr>
          <w:rFonts w:ascii="Times New Roman" w:hAnsi="Times New Roman" w:cs="Times New Roman"/>
          <w:shd w:val="clear" w:color="auto" w:fill="FCFCF9"/>
          <w:lang w:val="en-US"/>
        </w:rPr>
        <w:t>intersectional analysis based on gender and discrimination in access to justice. Specific cases will be analyzed, establishing patterns according to cases documented by the organization Defiende Venezuela.</w:t>
      </w:r>
    </w:p>
    <w:p w14:paraId="3E7A8884" w14:textId="4B15E92A" w:rsidR="00050B9B" w:rsidRPr="00050B9B" w:rsidRDefault="00050B9B" w:rsidP="00050B9B">
      <w:pPr>
        <w:pStyle w:val="Prrafodelista"/>
        <w:numPr>
          <w:ilvl w:val="0"/>
          <w:numId w:val="23"/>
        </w:numPr>
        <w:tabs>
          <w:tab w:val="left" w:pos="1134"/>
        </w:tabs>
        <w:spacing w:before="140" w:after="140" w:line="276" w:lineRule="auto"/>
        <w:jc w:val="both"/>
        <w:rPr>
          <w:rFonts w:ascii="Times New Roman" w:eastAsia="Times New Roman" w:hAnsi="Times New Roman" w:cs="Times New Roman"/>
          <w:lang w:val="en-US"/>
        </w:rPr>
      </w:pPr>
      <w:r>
        <w:rPr>
          <w:rFonts w:ascii="Times New Roman" w:eastAsia="Times New Roman" w:hAnsi="Times New Roman" w:cs="Times New Roman"/>
          <w:b/>
          <w:bCs/>
          <w:lang w:val="en-US"/>
        </w:rPr>
        <w:t>Structural Discrimination</w:t>
      </w:r>
      <w:r w:rsidR="21FFFB79" w:rsidRPr="00050B9B">
        <w:rPr>
          <w:rFonts w:ascii="Times New Roman" w:eastAsia="Times New Roman" w:hAnsi="Times New Roman" w:cs="Times New Roman"/>
          <w:b/>
          <w:bCs/>
          <w:lang w:val="en-US"/>
        </w:rPr>
        <w:t>.</w:t>
      </w:r>
      <w:r w:rsidR="21FFFB79" w:rsidRPr="00050B9B">
        <w:rPr>
          <w:rFonts w:ascii="Times New Roman" w:eastAsia="Times New Roman" w:hAnsi="Times New Roman" w:cs="Times New Roman"/>
          <w:lang w:val="en-US"/>
        </w:rPr>
        <w:t xml:space="preserve"> </w:t>
      </w:r>
    </w:p>
    <w:p w14:paraId="69C65E6F" w14:textId="200CBDA5" w:rsidR="004B14A3" w:rsidRPr="00050B9B" w:rsidRDefault="00050B9B" w:rsidP="00050B9B">
      <w:pPr>
        <w:spacing w:line="276" w:lineRule="auto"/>
        <w:jc w:val="both"/>
        <w:rPr>
          <w:rFonts w:ascii="Times New Roman" w:hAnsi="Times New Roman" w:cs="Times New Roman"/>
          <w:shd w:val="clear" w:color="auto" w:fill="FCFCF9"/>
          <w:lang w:val="en-US"/>
        </w:rPr>
      </w:pPr>
      <w:r w:rsidRPr="00050B9B">
        <w:rPr>
          <w:rFonts w:ascii="Times New Roman" w:hAnsi="Times New Roman" w:cs="Times New Roman"/>
          <w:shd w:val="clear" w:color="auto" w:fill="FCFCF9"/>
          <w:lang w:val="en-US"/>
        </w:rPr>
        <w:t>According to the CERD, "structural discrimination" refers to the rules, norms, routines, patterns of attitudes and behaviors in institutions and other social structures that represent obstacles for groups or individuals to achieve the same rights and opportunities that are available to the majority of the population</w:t>
      </w:r>
      <w:r w:rsidR="001C487C" w:rsidRPr="00050B9B">
        <w:rPr>
          <w:rFonts w:ascii="Times New Roman" w:hAnsi="Times New Roman" w:cs="Times New Roman"/>
          <w:shd w:val="clear" w:color="auto" w:fill="FCFCF9"/>
          <w:lang w:val="en-US"/>
        </w:rPr>
        <w:t>.</w:t>
      </w:r>
      <w:r w:rsidR="004B14A3" w:rsidRPr="001C17F7">
        <w:rPr>
          <w:rStyle w:val="Refdenotaalpie"/>
          <w:rFonts w:ascii="Times New Roman" w:hAnsi="Times New Roman" w:cs="Times New Roman"/>
          <w:shd w:val="clear" w:color="auto" w:fill="FCFCF9"/>
        </w:rPr>
        <w:footnoteReference w:id="6"/>
      </w:r>
    </w:p>
    <w:p w14:paraId="706191F6" w14:textId="204EEB23" w:rsidR="00972635" w:rsidRPr="002C7D79" w:rsidRDefault="00050B9B" w:rsidP="001C17F7">
      <w:pPr>
        <w:spacing w:line="276" w:lineRule="auto"/>
        <w:jc w:val="both"/>
        <w:rPr>
          <w:rFonts w:ascii="Times New Roman" w:hAnsi="Times New Roman" w:cs="Times New Roman"/>
          <w:shd w:val="clear" w:color="auto" w:fill="FCFCF9"/>
          <w:lang w:val="en-US"/>
        </w:rPr>
      </w:pPr>
      <w:r w:rsidRPr="00050B9B">
        <w:rPr>
          <w:rFonts w:ascii="Times New Roman" w:hAnsi="Times New Roman" w:cs="Times New Roman"/>
          <w:shd w:val="clear" w:color="auto" w:fill="FCFCF9"/>
          <w:lang w:val="en-US"/>
        </w:rPr>
        <w:t>The CERD has emphasized the importance of States adopting "special or affirmative action measures at all levels of State administration aimed at eliminating structural discrimination against indigenous peoples and the Afro-descendant population.</w:t>
      </w:r>
      <w:r w:rsidR="00814207" w:rsidRPr="00050B9B">
        <w:rPr>
          <w:rFonts w:ascii="Times New Roman" w:hAnsi="Times New Roman" w:cs="Times New Roman"/>
          <w:shd w:val="clear" w:color="auto" w:fill="FCFCF9"/>
          <w:lang w:val="en-US"/>
        </w:rPr>
        <w:t>"</w:t>
      </w:r>
      <w:r w:rsidR="00814207" w:rsidRPr="001C17F7">
        <w:rPr>
          <w:rStyle w:val="Refdenotaalpie"/>
          <w:rFonts w:ascii="Times New Roman" w:hAnsi="Times New Roman" w:cs="Times New Roman"/>
          <w:shd w:val="clear" w:color="auto" w:fill="FCFCF9"/>
        </w:rPr>
        <w:footnoteReference w:id="7"/>
      </w:r>
    </w:p>
    <w:p w14:paraId="25C8AA2C" w14:textId="22EFEAC9" w:rsidR="00050B9B" w:rsidRPr="00050B9B" w:rsidRDefault="00050B9B" w:rsidP="4BF242E1">
      <w:pPr>
        <w:spacing w:before="100" w:beforeAutospacing="1" w:after="100" w:afterAutospacing="1" w:line="276" w:lineRule="auto"/>
        <w:jc w:val="both"/>
        <w:rPr>
          <w:rFonts w:ascii="Times New Roman" w:hAnsi="Times New Roman" w:cs="Times New Roman"/>
          <w:shd w:val="clear" w:color="auto" w:fill="FCFCF9"/>
          <w:lang w:val="en-US"/>
        </w:rPr>
      </w:pPr>
      <w:r>
        <w:rPr>
          <w:rFonts w:ascii="Times New Roman" w:hAnsi="Times New Roman" w:cs="Times New Roman"/>
          <w:shd w:val="clear" w:color="auto" w:fill="FCFCF9"/>
          <w:lang w:val="en-US"/>
        </w:rPr>
        <w:t>With this in mind</w:t>
      </w:r>
      <w:r w:rsidRPr="00050B9B">
        <w:rPr>
          <w:rFonts w:ascii="Times New Roman" w:hAnsi="Times New Roman" w:cs="Times New Roman"/>
          <w:shd w:val="clear" w:color="auto" w:fill="FCFCF9"/>
          <w:lang w:val="en-US"/>
        </w:rPr>
        <w:t>, a concise analysis will be made of two contexts that reveal the failure of the State to guarantee and protect the right not to be discriminated against. Namely:</w:t>
      </w:r>
    </w:p>
    <w:p w14:paraId="13B7EF22" w14:textId="2E9CC904" w:rsidR="002742E8" w:rsidRPr="00050B9B" w:rsidRDefault="00050B9B" w:rsidP="4BF242E1">
      <w:pPr>
        <w:pStyle w:val="Prrafodelista"/>
        <w:numPr>
          <w:ilvl w:val="0"/>
          <w:numId w:val="13"/>
        </w:numPr>
        <w:spacing w:before="100" w:beforeAutospacing="1" w:after="100" w:afterAutospacing="1" w:line="276" w:lineRule="auto"/>
        <w:jc w:val="both"/>
        <w:rPr>
          <w:rFonts w:ascii="Times New Roman" w:hAnsi="Times New Roman" w:cs="Times New Roman"/>
          <w:b/>
          <w:bCs/>
          <w:i/>
          <w:iCs/>
          <w:shd w:val="clear" w:color="auto" w:fill="FCFCF9"/>
          <w:lang w:val="en-US"/>
        </w:rPr>
      </w:pPr>
      <w:r w:rsidRPr="4BF242E1">
        <w:rPr>
          <w:rFonts w:ascii="Times New Roman" w:hAnsi="Times New Roman" w:cs="Times New Roman"/>
          <w:b/>
          <w:bCs/>
          <w:i/>
          <w:iCs/>
          <w:shd w:val="clear" w:color="auto" w:fill="FCFCF9"/>
          <w:lang w:val="en-US"/>
        </w:rPr>
        <w:t xml:space="preserve">Security Operations in the fight against organized crime in disadvantaged Venezuelan neighborhoods </w:t>
      </w:r>
    </w:p>
    <w:p w14:paraId="22B318DA" w14:textId="524C4FCA" w:rsidR="00D5183A" w:rsidRPr="00050B9B" w:rsidRDefault="00050B9B" w:rsidP="4BF242E1">
      <w:pPr>
        <w:spacing w:before="100" w:beforeAutospacing="1" w:after="100" w:afterAutospacing="1" w:line="276" w:lineRule="auto"/>
        <w:jc w:val="both"/>
        <w:rPr>
          <w:rFonts w:ascii="Times New Roman" w:eastAsia="Times New Roman" w:hAnsi="Times New Roman" w:cs="Times New Roman"/>
          <w:lang w:val="en-US" w:eastAsia="es-VE"/>
        </w:rPr>
      </w:pPr>
      <w:r w:rsidRPr="00050B9B">
        <w:rPr>
          <w:rFonts w:ascii="Times New Roman" w:eastAsia="Times New Roman" w:hAnsi="Times New Roman" w:cs="Times New Roman"/>
          <w:lang w:val="en-US" w:eastAsia="es-VE"/>
        </w:rPr>
        <w:t xml:space="preserve">The Venezuelan Government, in its </w:t>
      </w:r>
      <w:r>
        <w:rPr>
          <w:rFonts w:ascii="Times New Roman" w:eastAsia="Times New Roman" w:hAnsi="Times New Roman" w:cs="Times New Roman"/>
          <w:lang w:val="en-US" w:eastAsia="es-VE"/>
        </w:rPr>
        <w:t>effort</w:t>
      </w:r>
      <w:r w:rsidRPr="00050B9B">
        <w:rPr>
          <w:rFonts w:ascii="Times New Roman" w:eastAsia="Times New Roman" w:hAnsi="Times New Roman" w:cs="Times New Roman"/>
          <w:lang w:val="en-US" w:eastAsia="es-VE"/>
        </w:rPr>
        <w:t xml:space="preserve"> to fight organized crime, has adopted increasingly aggressive security tactics that have led to a series of human rights violations, especially the right to life, with an alarming number of extrajudicial executions. Starting in 2013, and especially in </w:t>
      </w:r>
      <w:r w:rsidRPr="00050B9B">
        <w:rPr>
          <w:rFonts w:ascii="Times New Roman" w:eastAsia="Times New Roman" w:hAnsi="Times New Roman" w:cs="Times New Roman"/>
          <w:lang w:val="en-US" w:eastAsia="es-VE"/>
        </w:rPr>
        <w:lastRenderedPageBreak/>
        <w:t>2015, an increase in deaths at the hands of State security forces began to be evident, which has reached the highest levels that have been recorded in the history of Venezuela.</w:t>
      </w:r>
      <w:r w:rsidR="00D5183A" w:rsidRPr="001C17F7">
        <w:rPr>
          <w:rStyle w:val="Refdenotaalpie"/>
          <w:rFonts w:ascii="Times New Roman" w:eastAsia="Times New Roman" w:hAnsi="Times New Roman" w:cs="Times New Roman"/>
          <w:lang w:eastAsia="es-VE"/>
        </w:rPr>
        <w:footnoteReference w:id="8"/>
      </w:r>
    </w:p>
    <w:p w14:paraId="70E8D601" w14:textId="7A11101D" w:rsidR="00572865" w:rsidRPr="00050B9B" w:rsidRDefault="00050B9B" w:rsidP="4BF242E1">
      <w:pPr>
        <w:spacing w:before="100" w:beforeAutospacing="1" w:after="100" w:afterAutospacing="1" w:line="276" w:lineRule="auto"/>
        <w:jc w:val="both"/>
        <w:rPr>
          <w:rFonts w:ascii="Times New Roman" w:eastAsia="Times New Roman" w:hAnsi="Times New Roman" w:cs="Times New Roman"/>
          <w:lang w:val="en-US" w:eastAsia="es-VE"/>
        </w:rPr>
      </w:pPr>
      <w:r w:rsidRPr="00050B9B">
        <w:rPr>
          <w:rFonts w:ascii="Times New Roman" w:eastAsia="Times New Roman" w:hAnsi="Times New Roman" w:cs="Times New Roman"/>
          <w:lang w:val="en-US" w:eastAsia="es-VE"/>
        </w:rPr>
        <w:t>Between 2017 and 2020, 8,734 fatalities were recorded due to the intervention of all security forces, of which at least 26% (2,260 victims) correspond to the Special Action Forces (FAES)</w:t>
      </w:r>
      <w:r w:rsidR="005327F6" w:rsidRPr="00050B9B">
        <w:rPr>
          <w:rFonts w:ascii="Times New Roman" w:eastAsia="Times New Roman" w:hAnsi="Times New Roman" w:cs="Times New Roman"/>
          <w:lang w:val="en-US" w:eastAsia="es-VE"/>
        </w:rPr>
        <w:t>.</w:t>
      </w:r>
      <w:r w:rsidR="00572865" w:rsidRPr="001C17F7">
        <w:rPr>
          <w:rStyle w:val="Refdenotaalpie"/>
          <w:rFonts w:ascii="Times New Roman" w:eastAsia="Times New Roman" w:hAnsi="Times New Roman" w:cs="Times New Roman"/>
          <w:lang w:eastAsia="es-VE"/>
        </w:rPr>
        <w:footnoteReference w:id="9"/>
      </w:r>
    </w:p>
    <w:p w14:paraId="059E1654" w14:textId="32098752" w:rsidR="00050B9B" w:rsidRPr="00050B9B" w:rsidRDefault="4BF242E1" w:rsidP="4BF242E1">
      <w:pPr>
        <w:spacing w:before="100" w:beforeAutospacing="1" w:after="100" w:afterAutospacing="1" w:line="276" w:lineRule="auto"/>
        <w:jc w:val="both"/>
        <w:rPr>
          <w:rFonts w:ascii="Times New Roman" w:eastAsia="Times New Roman" w:hAnsi="Times New Roman" w:cs="Times New Roman"/>
          <w:lang w:val="en-US" w:eastAsia="es-VE"/>
        </w:rPr>
      </w:pPr>
      <w:r w:rsidRPr="4BF242E1">
        <w:rPr>
          <w:rFonts w:ascii="Times New Roman" w:eastAsia="Times New Roman" w:hAnsi="Times New Roman" w:cs="Times New Roman"/>
          <w:lang w:val="en-US" w:eastAsia="es-VE"/>
        </w:rPr>
        <w:t>In this context, in six cases of extrajudicial executions documented by Defiende Venezuela, a pattern could be observed at the time of their death: all were (i) young men, mostly under thirty (30) years of age; (ii) belonging to low-income families; (iii) Afro-descendants; and (iii) coming from disadvantaged neighborhoods characterized by a high crime rate: such as the Blandín Sector, on the Caracas-La Guaira Highway; the La Dolorita neighborhood, Sucre Municipality, Miranda State; the Calicanto Sector, Carora, Lara State; La Feria neighborhood, Barquisimeto, Lara State; the Zanjon Barrera Sector of the La Feria neighborhood, Cathedral Parish, Iribarren Municipality, city of Barquisimeto, Lara State; and Las Minas de Baruta, Miranda State.</w:t>
      </w:r>
    </w:p>
    <w:p w14:paraId="6E8DD2C3" w14:textId="021D4EF3" w:rsidR="006D6761" w:rsidRPr="008D508A" w:rsidRDefault="008D508A" w:rsidP="4BF242E1">
      <w:pPr>
        <w:spacing w:before="100" w:beforeAutospacing="1" w:after="100" w:afterAutospacing="1" w:line="276" w:lineRule="auto"/>
        <w:jc w:val="both"/>
        <w:rPr>
          <w:rFonts w:ascii="Times New Roman" w:eastAsia="Times New Roman" w:hAnsi="Times New Roman" w:cs="Times New Roman"/>
          <w:lang w:val="en-US" w:eastAsia="es-VE"/>
        </w:rPr>
      </w:pPr>
      <w:r w:rsidRPr="008D508A">
        <w:rPr>
          <w:rFonts w:ascii="Times New Roman" w:eastAsia="Times New Roman" w:hAnsi="Times New Roman" w:cs="Times New Roman"/>
          <w:lang w:val="en-US" w:eastAsia="es-VE"/>
        </w:rPr>
        <w:t xml:space="preserve">Furthermore, they were all low-income people, </w:t>
      </w:r>
      <w:r>
        <w:rPr>
          <w:rFonts w:ascii="Times New Roman" w:eastAsia="Times New Roman" w:hAnsi="Times New Roman" w:cs="Times New Roman"/>
          <w:lang w:val="en-US" w:eastAsia="es-VE"/>
        </w:rPr>
        <w:t>and</w:t>
      </w:r>
      <w:r w:rsidRPr="008D508A">
        <w:rPr>
          <w:rFonts w:ascii="Times New Roman" w:eastAsia="Times New Roman" w:hAnsi="Times New Roman" w:cs="Times New Roman"/>
          <w:lang w:val="en-US" w:eastAsia="es-VE"/>
        </w:rPr>
        <w:t xml:space="preserve"> young parents of children up to 12 years old. This shows a pattern of criminalization of poverty, specifically of young Afro-descendant men. The criminalization of poverty is a consequence of the high rates of impunity and the ineffectiveness of the police and judicial system. The absence of judicial guarantees justifies exclusive and discriminatory processes against people in poverty, since historically they have been linked to crime</w:t>
      </w:r>
      <w:r w:rsidR="00AE7155" w:rsidRPr="008D508A">
        <w:rPr>
          <w:rFonts w:ascii="Times New Roman" w:eastAsia="Times New Roman" w:hAnsi="Times New Roman" w:cs="Times New Roman"/>
          <w:lang w:val="en-US" w:eastAsia="es-VE"/>
        </w:rPr>
        <w:t>.</w:t>
      </w:r>
      <w:r w:rsidR="00E2714B" w:rsidRPr="001C17F7">
        <w:rPr>
          <w:rStyle w:val="Refdenotaalpie"/>
          <w:rFonts w:ascii="Times New Roman" w:eastAsia="Times New Roman" w:hAnsi="Times New Roman" w:cs="Times New Roman"/>
          <w:lang w:eastAsia="es-VE"/>
        </w:rPr>
        <w:footnoteReference w:id="10"/>
      </w:r>
    </w:p>
    <w:p w14:paraId="64233C7F" w14:textId="491F93C2" w:rsidR="008D508A" w:rsidRPr="008D508A" w:rsidRDefault="4BF242E1" w:rsidP="4BF242E1">
      <w:pPr>
        <w:spacing w:before="100" w:beforeAutospacing="1" w:after="100" w:afterAutospacing="1" w:line="276" w:lineRule="auto"/>
        <w:jc w:val="both"/>
        <w:rPr>
          <w:rFonts w:ascii="Times New Roman" w:eastAsia="Times New Roman" w:hAnsi="Times New Roman" w:cs="Times New Roman"/>
          <w:lang w:val="en-US" w:eastAsia="es-VE"/>
        </w:rPr>
      </w:pPr>
      <w:r w:rsidRPr="4BF242E1">
        <w:rPr>
          <w:rFonts w:ascii="Times New Roman" w:eastAsia="Times New Roman" w:hAnsi="Times New Roman" w:cs="Times New Roman"/>
          <w:lang w:val="en-US" w:eastAsia="es-VE"/>
        </w:rPr>
        <w:t xml:space="preserve">Thus, it is clear that there is a selection profile for victims of extrajudicial executions within the framework of security operations in Venezuela. In some cases, victims are charged for “mistakes” when identifying them, and in others, for revenge, even for political reasons. The impact of this policy is disproportionate due to the impoverished condition of their relatives, who encounter additional obstacles in accessing justice, truth and reparations, and have become even more impoverished by the economic cost they have had to assume to undertake this search for justice. </w:t>
      </w:r>
    </w:p>
    <w:p w14:paraId="38EC8FAF" w14:textId="26760C0E" w:rsidR="008D508A" w:rsidRPr="008D508A" w:rsidRDefault="008D508A" w:rsidP="4BF242E1">
      <w:pPr>
        <w:spacing w:before="100" w:beforeAutospacing="1" w:after="100" w:afterAutospacing="1" w:line="276" w:lineRule="auto"/>
        <w:jc w:val="both"/>
        <w:rPr>
          <w:rFonts w:ascii="Times New Roman" w:hAnsi="Times New Roman" w:cs="Times New Roman"/>
          <w:lang w:val="en-US"/>
        </w:rPr>
      </w:pPr>
      <w:r w:rsidRPr="008D508A">
        <w:rPr>
          <w:rFonts w:ascii="Times New Roman" w:hAnsi="Times New Roman" w:cs="Times New Roman"/>
          <w:lang w:val="en-US"/>
        </w:rPr>
        <w:t xml:space="preserve">Regarding these extrajudicial executions documented by Defiende Venezuela, the Office of the Special Rapporteur on Extrajudicial, Summary or Arbitrary Executions, the Working Group on Arbitrary Detention and the Office of the Special Rapporteur on Extreme Poverty and Human Rights of the United Nations have expressed their concern in regarding extrajudicial executions, </w:t>
      </w:r>
      <w:r w:rsidRPr="008D508A">
        <w:rPr>
          <w:rFonts w:ascii="Times New Roman" w:hAnsi="Times New Roman" w:cs="Times New Roman"/>
          <w:lang w:val="en-US"/>
        </w:rPr>
        <w:lastRenderedPageBreak/>
        <w:t>stating that they are “systematic murders of men, mostly young people under 25 years of age, in marginal or impoverished neighborhoods and communities in Venezuela by Venezuelan military and police agents (…).”</w:t>
      </w:r>
      <w:r w:rsidR="002805CD" w:rsidRPr="00F53665">
        <w:rPr>
          <w:rStyle w:val="Refdenotaalpie"/>
          <w:rFonts w:ascii="Times New Roman" w:hAnsi="Times New Roman" w:cs="Times New Roman"/>
        </w:rPr>
        <w:footnoteReference w:id="11"/>
      </w:r>
    </w:p>
    <w:p w14:paraId="7ABA24B8" w14:textId="5CCD3995" w:rsidR="005D31EB" w:rsidRPr="008D508A" w:rsidRDefault="4BF242E1" w:rsidP="4BF242E1">
      <w:pPr>
        <w:pStyle w:val="Prrafodelista"/>
        <w:numPr>
          <w:ilvl w:val="0"/>
          <w:numId w:val="13"/>
        </w:numPr>
        <w:spacing w:before="100" w:beforeAutospacing="1" w:after="100" w:afterAutospacing="1" w:line="276" w:lineRule="auto"/>
        <w:jc w:val="both"/>
        <w:rPr>
          <w:rFonts w:ascii="Times New Roman" w:eastAsia="Times New Roman" w:hAnsi="Times New Roman" w:cs="Times New Roman"/>
          <w:b/>
          <w:bCs/>
          <w:i/>
          <w:iCs/>
          <w:lang w:val="es-ES" w:eastAsia="es-VE"/>
        </w:rPr>
      </w:pPr>
      <w:r w:rsidRPr="4BF242E1">
        <w:rPr>
          <w:rFonts w:ascii="Times New Roman" w:eastAsia="Times New Roman" w:hAnsi="Times New Roman" w:cs="Times New Roman"/>
          <w:b/>
          <w:bCs/>
          <w:i/>
          <w:iCs/>
          <w:lang w:val="es-ES" w:eastAsia="es-VE"/>
        </w:rPr>
        <w:t>Security operation “Operation Trueno” in Altagracia de Orituco, Guárico, Venezuela</w:t>
      </w:r>
    </w:p>
    <w:p w14:paraId="525EDCD4" w14:textId="1E58BF11" w:rsidR="008D508A" w:rsidRPr="002C7D79" w:rsidRDefault="4BF242E1" w:rsidP="4BF242E1">
      <w:pPr>
        <w:spacing w:beforeAutospacing="1" w:afterAutospacing="1" w:line="276" w:lineRule="auto"/>
        <w:jc w:val="both"/>
        <w:rPr>
          <w:rFonts w:ascii="Times New Roman" w:eastAsia="Times New Roman" w:hAnsi="Times New Roman" w:cs="Times New Roman"/>
          <w:lang w:val="en-US" w:eastAsia="es-VE"/>
        </w:rPr>
      </w:pPr>
      <w:r w:rsidRPr="4BF242E1">
        <w:rPr>
          <w:rFonts w:ascii="Times New Roman" w:eastAsia="Times New Roman" w:hAnsi="Times New Roman" w:cs="Times New Roman"/>
          <w:lang w:val="en-US" w:eastAsia="es-VE"/>
        </w:rPr>
        <w:t xml:space="preserve">Altagracia de Orituco is a rural area of ​​the Guárico state in Venezuela, which faces serious deficiencies in basic services such as drinking water, electricity and health. The economic crisis in Venezuela has intensified these shortcomings, making the daily lives of its inhabitants, who largely depend on informal trade to survive, even more difficult. </w:t>
      </w:r>
      <w:r w:rsidRPr="002C7D79">
        <w:rPr>
          <w:rFonts w:ascii="Times New Roman" w:eastAsia="Times New Roman" w:hAnsi="Times New Roman" w:cs="Times New Roman"/>
          <w:lang w:val="en-US" w:eastAsia="es-VE"/>
        </w:rPr>
        <w:t>This situation of socioeconomic vulnerability aggravates the risks and violations of human rights in the context of security operations.</w:t>
      </w:r>
    </w:p>
    <w:p w14:paraId="20D18648" w14:textId="7A2488A5" w:rsidR="005D31EB" w:rsidRPr="008D508A" w:rsidRDefault="008D508A" w:rsidP="4BF242E1">
      <w:pPr>
        <w:spacing w:beforeAutospacing="1" w:afterAutospacing="1" w:line="276" w:lineRule="auto"/>
        <w:jc w:val="both"/>
        <w:rPr>
          <w:rFonts w:ascii="Times New Roman" w:eastAsia="Times New Roman" w:hAnsi="Times New Roman" w:cs="Times New Roman"/>
          <w:lang w:val="en-US" w:eastAsia="es-VE"/>
        </w:rPr>
      </w:pPr>
      <w:r w:rsidRPr="008D508A">
        <w:rPr>
          <w:rFonts w:ascii="Times New Roman" w:eastAsia="Times New Roman" w:hAnsi="Times New Roman" w:cs="Times New Roman"/>
          <w:lang w:val="en-US" w:eastAsia="es-VE"/>
        </w:rPr>
        <w:t xml:space="preserve">In “Operation </w:t>
      </w:r>
      <w:r>
        <w:rPr>
          <w:rFonts w:ascii="Times New Roman" w:eastAsia="Times New Roman" w:hAnsi="Times New Roman" w:cs="Times New Roman"/>
          <w:lang w:val="en-US" w:eastAsia="es-VE"/>
        </w:rPr>
        <w:t>Trueno,”</w:t>
      </w:r>
      <w:r w:rsidRPr="008D508A">
        <w:rPr>
          <w:rFonts w:ascii="Times New Roman" w:eastAsia="Times New Roman" w:hAnsi="Times New Roman" w:cs="Times New Roman"/>
          <w:lang w:val="en-US" w:eastAsia="es-VE"/>
        </w:rPr>
        <w:t xml:space="preserve"> agents of the Venezuelan security forces, whose declared objective was to find the members and collaborators of the criminal organization the Tren del Llano</w:t>
      </w:r>
      <w:r>
        <w:rPr>
          <w:rFonts w:ascii="Times New Roman" w:eastAsia="Times New Roman" w:hAnsi="Times New Roman" w:cs="Times New Roman"/>
          <w:lang w:val="en-US" w:eastAsia="es-VE"/>
        </w:rPr>
        <w:t>, c</w:t>
      </w:r>
      <w:r w:rsidRPr="008D508A">
        <w:rPr>
          <w:rFonts w:ascii="Times New Roman" w:eastAsia="Times New Roman" w:hAnsi="Times New Roman" w:cs="Times New Roman"/>
          <w:lang w:val="en-US" w:eastAsia="es-VE"/>
        </w:rPr>
        <w:t>ommitted different abuses against the population of the parish of Altagracia de Orituco.</w:t>
      </w:r>
      <w:r w:rsidR="005D31EB" w:rsidRPr="0007767A">
        <w:rPr>
          <w:rStyle w:val="Refdenotaalpie"/>
          <w:rFonts w:ascii="Times New Roman" w:hAnsi="Times New Roman" w:cs="Times New Roman"/>
        </w:rPr>
        <w:footnoteReference w:id="12"/>
      </w:r>
    </w:p>
    <w:p w14:paraId="0F0249D4" w14:textId="3AC5B40B" w:rsidR="005D31EB" w:rsidRPr="008E5298" w:rsidRDefault="008E5298" w:rsidP="4BF242E1">
      <w:pPr>
        <w:spacing w:beforeAutospacing="1" w:afterAutospacing="1" w:line="276" w:lineRule="auto"/>
        <w:jc w:val="both"/>
        <w:rPr>
          <w:rFonts w:ascii="Times New Roman" w:eastAsia="Times New Roman" w:hAnsi="Times New Roman" w:cs="Times New Roman"/>
          <w:lang w:val="en-US" w:eastAsia="es-VE"/>
        </w:rPr>
      </w:pPr>
      <w:r w:rsidRPr="008E5298">
        <w:rPr>
          <w:rFonts w:ascii="Times New Roman" w:eastAsia="Times New Roman" w:hAnsi="Times New Roman" w:cs="Times New Roman"/>
          <w:lang w:val="en-US" w:eastAsia="es-VE"/>
        </w:rPr>
        <w:t>The operation began on April 20, 2022, when 800 security personnel settled in Altagracia de Orituco, in the José Tadeo Monagas municipality of Guárico state, in the north of the country. The Strategic Operational Command of the Bolivarian National Armed Forces (CEOFANB) called the deployment “Operation Trueno.”</w:t>
      </w:r>
      <w:r w:rsidRPr="4BF242E1">
        <w:rPr>
          <w:rStyle w:val="Refdenotaalpie"/>
          <w:rFonts w:ascii="Times New Roman" w:eastAsia="Times New Roman" w:hAnsi="Times New Roman" w:cs="Times New Roman"/>
          <w:lang w:eastAsia="es-VE"/>
        </w:rPr>
        <w:footnoteReference w:id="13"/>
      </w:r>
    </w:p>
    <w:p w14:paraId="51C2F4BF" w14:textId="77777777" w:rsidR="008E5298" w:rsidRPr="002C7D79" w:rsidRDefault="4BF242E1" w:rsidP="4BF242E1">
      <w:pPr>
        <w:spacing w:beforeAutospacing="1" w:afterAutospacing="1" w:line="276" w:lineRule="auto"/>
        <w:jc w:val="both"/>
        <w:rPr>
          <w:rFonts w:ascii="Times New Roman" w:eastAsia="Times New Roman" w:hAnsi="Times New Roman" w:cs="Times New Roman"/>
          <w:lang w:val="en-US" w:eastAsia="es-VE"/>
        </w:rPr>
      </w:pPr>
      <w:r w:rsidRPr="4BF242E1">
        <w:rPr>
          <w:rFonts w:ascii="Times New Roman" w:eastAsia="Times New Roman" w:hAnsi="Times New Roman" w:cs="Times New Roman"/>
          <w:lang w:val="en-US" w:eastAsia="es-VE"/>
        </w:rPr>
        <w:t xml:space="preserve">The Operation led to raids without judicial authorization, forced disappearances, and arbitrary detentions accompanied by torture, sexual violence, and cruel treatment. Many of those detained—who did not actually belong to the Tren del Llano—faced flawed judicial processes, with arrests justified by false reports and evidence. </w:t>
      </w:r>
      <w:r w:rsidRPr="002C7D79">
        <w:rPr>
          <w:rFonts w:ascii="Times New Roman" w:eastAsia="Times New Roman" w:hAnsi="Times New Roman" w:cs="Times New Roman"/>
          <w:lang w:val="en-US" w:eastAsia="es-VE"/>
        </w:rPr>
        <w:t>Others had to pay bribes to security forces to receive basic services in the prisons where they were held.</w:t>
      </w:r>
    </w:p>
    <w:p w14:paraId="3282B03A" w14:textId="0F4E85FB" w:rsidR="008E5298" w:rsidRPr="008E5298" w:rsidRDefault="4BF242E1" w:rsidP="4BF242E1">
      <w:pPr>
        <w:spacing w:beforeAutospacing="1" w:afterAutospacing="1" w:line="276" w:lineRule="auto"/>
        <w:jc w:val="both"/>
        <w:rPr>
          <w:rFonts w:ascii="Times New Roman" w:eastAsia="Times New Roman" w:hAnsi="Times New Roman" w:cs="Times New Roman"/>
          <w:lang w:val="en-US" w:eastAsia="es-VE"/>
        </w:rPr>
      </w:pPr>
      <w:r w:rsidRPr="4BF242E1">
        <w:rPr>
          <w:rFonts w:ascii="Times New Roman" w:eastAsia="Times New Roman" w:hAnsi="Times New Roman" w:cs="Times New Roman"/>
          <w:lang w:val="en-US" w:eastAsia="es-VE"/>
        </w:rPr>
        <w:t>The structural discrimination in the context of “Operation Trueno” in Altagracia de Orituco manifests in a clear and alarming way, reflecting a criminalization of poverty.</w:t>
      </w:r>
      <w:r w:rsidR="002C7D79">
        <w:rPr>
          <w:rFonts w:ascii="Times New Roman" w:eastAsia="Times New Roman" w:hAnsi="Times New Roman" w:cs="Times New Roman"/>
          <w:lang w:val="en-US" w:eastAsia="es-VE"/>
        </w:rPr>
        <w:t>B</w:t>
      </w:r>
      <w:r w:rsidRPr="4BF242E1">
        <w:rPr>
          <w:rFonts w:ascii="Times New Roman" w:eastAsia="Times New Roman" w:hAnsi="Times New Roman" w:cs="Times New Roman"/>
          <w:lang w:val="en-US" w:eastAsia="es-VE"/>
        </w:rPr>
        <w:t xml:space="preserve">etween May and June 2022, and between February and March 2023, Defiende Venezuela interviewed 69 victims (direct and indirect), out of a total of 34 family units affected by the operations in Altagracia de </w:t>
      </w:r>
      <w:r w:rsidRPr="4BF242E1">
        <w:rPr>
          <w:rFonts w:ascii="Times New Roman" w:eastAsia="Times New Roman" w:hAnsi="Times New Roman" w:cs="Times New Roman"/>
          <w:lang w:val="en-US" w:eastAsia="es-VE"/>
        </w:rPr>
        <w:lastRenderedPageBreak/>
        <w:t>Orituco. The organization also carried out interviews with journalists, unions of agricultural producers and merchants.</w:t>
      </w:r>
    </w:p>
    <w:p w14:paraId="1EF20EAE" w14:textId="414E2A61" w:rsidR="008E5298" w:rsidRPr="008E5298" w:rsidRDefault="4BF242E1" w:rsidP="008E5298">
      <w:pPr>
        <w:spacing w:beforeAutospacing="1" w:afterAutospacing="1" w:line="276" w:lineRule="auto"/>
        <w:jc w:val="both"/>
        <w:rPr>
          <w:rFonts w:ascii="Times New Roman" w:eastAsia="Times New Roman" w:hAnsi="Times New Roman" w:cs="Times New Roman"/>
          <w:lang w:val="en-US" w:eastAsia="es-VE"/>
        </w:rPr>
      </w:pPr>
      <w:r w:rsidRPr="4BF242E1">
        <w:rPr>
          <w:rFonts w:ascii="Times New Roman" w:eastAsia="Times New Roman" w:hAnsi="Times New Roman" w:cs="Times New Roman"/>
          <w:lang w:val="en-US" w:eastAsia="es-VE"/>
        </w:rPr>
        <w:t>In 10 cases documented in this context, practices of illegal raids, arbitrary detentions and torture were identified, on the presumption these people were allegedly linked to the gang. The victims, mainly low-income people who depend on agriculture and informal commerce, were accused without clear evidence of being linked to the gang. This practice not only violates the fundamental rights of these people, but also reflects a systematic pattern of structural discrimination. By disproportionately targeting impoverished communities, the Venezuelan state not only fails to protect its most vulnerable citizens, but also uses poverty and rural exclusion as a criterion to justify abuses and reprisals.</w:t>
      </w:r>
    </w:p>
    <w:p w14:paraId="6AEE9CCB" w14:textId="4729F184" w:rsidR="008E5298" w:rsidRPr="008E5298" w:rsidRDefault="008E5298" w:rsidP="008E5298">
      <w:pPr>
        <w:spacing w:beforeAutospacing="1" w:afterAutospacing="1" w:line="276" w:lineRule="auto"/>
        <w:jc w:val="both"/>
        <w:rPr>
          <w:rFonts w:ascii="Times New Roman" w:eastAsia="Times New Roman" w:hAnsi="Times New Roman" w:cs="Times New Roman"/>
          <w:b/>
          <w:bCs/>
          <w:i/>
          <w:iCs/>
          <w:lang w:val="en-US" w:eastAsia="es-VE"/>
        </w:rPr>
      </w:pPr>
      <w:r w:rsidRPr="008E5298">
        <w:rPr>
          <w:rFonts w:ascii="Times New Roman" w:hAnsi="Times New Roman" w:cs="Times New Roman"/>
          <w:lang w:val="en-US"/>
        </w:rPr>
        <w:t>The criminalization of poverty in this context shows how power structures and institutional harm perpetuate marginalization and violence against the most disadvantaged sectors of Venezuelan society.</w:t>
      </w:r>
    </w:p>
    <w:p w14:paraId="489DD0E0" w14:textId="39BF670E" w:rsidR="00867C3B" w:rsidRPr="006729F9" w:rsidRDefault="008E5298" w:rsidP="006729F9">
      <w:pPr>
        <w:pStyle w:val="Prrafodelista"/>
        <w:numPr>
          <w:ilvl w:val="0"/>
          <w:numId w:val="23"/>
        </w:numPr>
        <w:spacing w:before="140" w:after="140" w:line="276" w:lineRule="auto"/>
        <w:jc w:val="both"/>
        <w:rPr>
          <w:rFonts w:ascii="Times New Roman" w:eastAsia="Times New Roman" w:hAnsi="Times New Roman" w:cs="Times New Roman"/>
        </w:rPr>
      </w:pPr>
      <w:r>
        <w:rPr>
          <w:rFonts w:ascii="Times New Roman" w:eastAsia="Times New Roman" w:hAnsi="Times New Roman" w:cs="Times New Roman"/>
          <w:b/>
          <w:bCs/>
        </w:rPr>
        <w:t>Intersectional role of gender</w:t>
      </w:r>
      <w:r w:rsidR="41589B3D" w:rsidRPr="006729F9">
        <w:rPr>
          <w:rFonts w:ascii="Times New Roman" w:eastAsia="Times New Roman" w:hAnsi="Times New Roman" w:cs="Times New Roman"/>
          <w:color w:val="000000" w:themeColor="text1"/>
        </w:rPr>
        <w:t>.</w:t>
      </w:r>
      <w:r w:rsidR="2DC14009" w:rsidRPr="006729F9">
        <w:rPr>
          <w:rFonts w:ascii="Times New Roman" w:eastAsia="Times New Roman" w:hAnsi="Times New Roman" w:cs="Times New Roman"/>
          <w:color w:val="000000" w:themeColor="text1"/>
        </w:rPr>
        <w:t xml:space="preserve"> </w:t>
      </w:r>
    </w:p>
    <w:p w14:paraId="2F719592" w14:textId="6F8104BD" w:rsidR="00145A13" w:rsidRPr="008E5298" w:rsidRDefault="008E5298" w:rsidP="001C17F7">
      <w:pPr>
        <w:spacing w:line="276" w:lineRule="auto"/>
        <w:jc w:val="both"/>
        <w:rPr>
          <w:rFonts w:ascii="Times New Roman" w:hAnsi="Times New Roman" w:cs="Times New Roman"/>
          <w:shd w:val="clear" w:color="auto" w:fill="FCFCF9"/>
          <w:lang w:val="en-US"/>
        </w:rPr>
      </w:pPr>
      <w:r>
        <w:rPr>
          <w:rFonts w:ascii="Times New Roman" w:hAnsi="Times New Roman" w:cs="Times New Roman"/>
          <w:shd w:val="clear" w:color="auto" w:fill="FCFCF9"/>
          <w:lang w:val="en-US"/>
        </w:rPr>
        <w:t xml:space="preserve">The </w:t>
      </w:r>
      <w:r w:rsidRPr="008E5298">
        <w:rPr>
          <w:rFonts w:ascii="Times New Roman" w:hAnsi="Times New Roman" w:cs="Times New Roman"/>
          <w:shd w:val="clear" w:color="auto" w:fill="FCFCF9"/>
          <w:lang w:val="en-US"/>
        </w:rPr>
        <w:t xml:space="preserve">CERD has recognized that women from racial or ethnic minority groups often experience intersectional forms of discrimination based on race and gender. The CERD has recommended that States include in their periodic reports statistical data disaggregated by sex and race/ethnicity, to make visible the specific situation of women belonging to racialized groups while adopting special or affirmative action measures aimed at eliminating </w:t>
      </w:r>
      <w:r>
        <w:rPr>
          <w:rFonts w:ascii="Times New Roman" w:hAnsi="Times New Roman" w:cs="Times New Roman"/>
          <w:shd w:val="clear" w:color="auto" w:fill="FCFCF9"/>
          <w:lang w:val="en-US"/>
        </w:rPr>
        <w:t xml:space="preserve">the structural </w:t>
      </w:r>
      <w:r w:rsidRPr="008E5298">
        <w:rPr>
          <w:rFonts w:ascii="Times New Roman" w:hAnsi="Times New Roman" w:cs="Times New Roman"/>
          <w:shd w:val="clear" w:color="auto" w:fill="FCFCF9"/>
          <w:lang w:val="en-US"/>
        </w:rPr>
        <w:t>discrimination faced by women from minority groups.</w:t>
      </w:r>
      <w:r w:rsidR="00145A13" w:rsidRPr="001C17F7">
        <w:rPr>
          <w:rStyle w:val="Refdenotaalpie"/>
          <w:rFonts w:ascii="Times New Roman" w:hAnsi="Times New Roman" w:cs="Times New Roman"/>
          <w:shd w:val="clear" w:color="auto" w:fill="FCFCF9"/>
        </w:rPr>
        <w:footnoteReference w:id="14"/>
      </w:r>
    </w:p>
    <w:p w14:paraId="51564983" w14:textId="7C8BDD75" w:rsidR="004F47D6" w:rsidRPr="008E5298" w:rsidRDefault="008E5298" w:rsidP="001C17F7">
      <w:pPr>
        <w:spacing w:line="276" w:lineRule="auto"/>
        <w:jc w:val="both"/>
        <w:rPr>
          <w:rFonts w:ascii="Times New Roman" w:hAnsi="Times New Roman" w:cs="Times New Roman"/>
          <w:lang w:val="en-US"/>
        </w:rPr>
      </w:pPr>
      <w:r w:rsidRPr="008E5298">
        <w:rPr>
          <w:rFonts w:ascii="Times New Roman" w:hAnsi="Times New Roman" w:cs="Times New Roman"/>
          <w:lang w:val="en-US"/>
        </w:rPr>
        <w:t>According to the CERD, women from racialized groups face "multiple and intersectional forms of discrimination" that are based both on their membership in marginalized ethnic or racial groups and on their gender status. This translates into greater obstacles to the enjoyment of their human rights and fundamental freedoms.</w:t>
      </w:r>
      <w:r w:rsidR="004F47D6" w:rsidRPr="001C17F7">
        <w:rPr>
          <w:rStyle w:val="Refdenotaalpie"/>
          <w:rFonts w:ascii="Times New Roman" w:hAnsi="Times New Roman" w:cs="Times New Roman"/>
        </w:rPr>
        <w:footnoteReference w:id="15"/>
      </w:r>
    </w:p>
    <w:p w14:paraId="0C5924D6" w14:textId="367F4086" w:rsidR="008E5298" w:rsidRPr="008E5298" w:rsidRDefault="4BF242E1" w:rsidP="008E5298">
      <w:pPr>
        <w:spacing w:before="100" w:beforeAutospacing="1" w:after="100" w:afterAutospacing="1" w:line="276" w:lineRule="auto"/>
        <w:jc w:val="both"/>
        <w:rPr>
          <w:rFonts w:ascii="Times New Roman" w:eastAsia="Times New Roman" w:hAnsi="Times New Roman" w:cs="Times New Roman"/>
          <w:lang w:val="en-US" w:eastAsia="es-VE"/>
        </w:rPr>
      </w:pPr>
      <w:r w:rsidRPr="4BF242E1">
        <w:rPr>
          <w:rFonts w:ascii="Times New Roman" w:eastAsia="Times New Roman" w:hAnsi="Times New Roman" w:cs="Times New Roman"/>
          <w:lang w:val="en-US" w:eastAsia="es-VE"/>
        </w:rPr>
        <w:t xml:space="preserve">In the context of security operations in disadvantaged neighborhoods in the fight against organized crime in Venezuela, it is crucial to highlight that mothers, as indirect victims of the extrajudicial </w:t>
      </w:r>
      <w:r w:rsidRPr="4BF242E1">
        <w:rPr>
          <w:rFonts w:ascii="Times New Roman" w:eastAsia="Times New Roman" w:hAnsi="Times New Roman" w:cs="Times New Roman"/>
          <w:lang w:val="en-US" w:eastAsia="es-VE"/>
        </w:rPr>
        <w:lastRenderedPageBreak/>
        <w:t xml:space="preserve">execution of their children, have suffered harassment and humiliation when going through institutions of justice. </w:t>
      </w:r>
    </w:p>
    <w:p w14:paraId="52E6CB5B" w14:textId="77777777" w:rsidR="008E5298" w:rsidRPr="008E5298" w:rsidRDefault="4BF242E1" w:rsidP="008E5298">
      <w:pPr>
        <w:spacing w:before="100" w:beforeAutospacing="1" w:after="100" w:afterAutospacing="1" w:line="276" w:lineRule="auto"/>
        <w:jc w:val="both"/>
        <w:rPr>
          <w:rFonts w:ascii="Times New Roman" w:eastAsia="Times New Roman" w:hAnsi="Times New Roman" w:cs="Times New Roman"/>
          <w:lang w:val="en-US" w:eastAsia="es-VE"/>
        </w:rPr>
      </w:pPr>
      <w:r w:rsidRPr="4BF242E1">
        <w:rPr>
          <w:rFonts w:ascii="Times New Roman" w:eastAsia="Times New Roman" w:hAnsi="Times New Roman" w:cs="Times New Roman"/>
          <w:lang w:val="en-US" w:eastAsia="es-VE"/>
        </w:rPr>
        <w:t xml:space="preserve">These women, frequently of African descent and with low economic resources, are blamed and accused of being responsible for their children being “delinquents.” This double victimization reflects deep structural discrimination and the lack of sensitivity on the part of the authorities towards their circumstances. </w:t>
      </w:r>
    </w:p>
    <w:p w14:paraId="1565442F" w14:textId="77777777" w:rsidR="008E5298" w:rsidRDefault="4BF242E1" w:rsidP="008E5298">
      <w:pPr>
        <w:spacing w:before="100" w:beforeAutospacing="1" w:after="100" w:afterAutospacing="1" w:line="276" w:lineRule="auto"/>
        <w:jc w:val="both"/>
        <w:rPr>
          <w:rFonts w:ascii="Times New Roman" w:eastAsia="Times New Roman" w:hAnsi="Times New Roman" w:cs="Times New Roman"/>
          <w:lang w:val="en-US" w:eastAsia="es-VE"/>
        </w:rPr>
      </w:pPr>
      <w:r w:rsidRPr="4BF242E1">
        <w:rPr>
          <w:rFonts w:ascii="Times New Roman" w:eastAsia="Times New Roman" w:hAnsi="Times New Roman" w:cs="Times New Roman"/>
          <w:lang w:val="en-US" w:eastAsia="es-VE"/>
        </w:rPr>
        <w:t>In addition to this stigmatizing treatment, mothers face limitations in access to legal services and psychological support, which aggravates their situation of vulnerability. Intersectionality due to gender, race and economic class exacerbates the marginalization of these women, evidencing the need for a more inclusive and respectful approach in the search for justice and protection of their rights by the Venezuelan State.</w:t>
      </w:r>
    </w:p>
    <w:p w14:paraId="45905BAF" w14:textId="3E76C63E" w:rsidR="000C10DC" w:rsidRPr="000C10DC" w:rsidRDefault="4BF242E1" w:rsidP="4BF242E1">
      <w:pPr>
        <w:spacing w:before="100" w:beforeAutospacing="1" w:after="100" w:afterAutospacing="1" w:line="276" w:lineRule="auto"/>
        <w:jc w:val="both"/>
        <w:rPr>
          <w:rFonts w:ascii="Times New Roman" w:eastAsia="Times New Roman" w:hAnsi="Times New Roman" w:cs="Times New Roman"/>
          <w:lang w:val="en-US" w:eastAsia="es-VE"/>
        </w:rPr>
      </w:pPr>
      <w:r w:rsidRPr="4BF242E1">
        <w:rPr>
          <w:rFonts w:ascii="Times New Roman" w:eastAsia="Times New Roman" w:hAnsi="Times New Roman" w:cs="Times New Roman"/>
          <w:lang w:val="en-US" w:eastAsia="es-VE"/>
        </w:rPr>
        <w:t>Regarding "Operation Trueno," Defiende Venezuela documented seven cases that reveal a pattern of gender discrimination by security officials. The women were subjected to verbal attacks, insults related to their gender and sexual assaults. From an intersectional perspective, this violence was exacerbated due to their status as women, their poverty, lack of education, and officials' presumption of their connection to criminal activities, a perception fueled by prevalent structural discrimination.</w:t>
      </w:r>
    </w:p>
    <w:p w14:paraId="51D7ACC9" w14:textId="5C99426B" w:rsidR="000C10DC" w:rsidRPr="000C10DC" w:rsidRDefault="4BF242E1" w:rsidP="4BF242E1">
      <w:pPr>
        <w:spacing w:before="100" w:beforeAutospacing="1" w:after="100" w:afterAutospacing="1" w:line="276" w:lineRule="auto"/>
        <w:jc w:val="both"/>
        <w:rPr>
          <w:rFonts w:ascii="Times New Roman" w:eastAsia="Times New Roman" w:hAnsi="Times New Roman" w:cs="Times New Roman"/>
          <w:lang w:val="en-US" w:eastAsia="es-VE"/>
        </w:rPr>
      </w:pPr>
      <w:r w:rsidRPr="4BF242E1">
        <w:rPr>
          <w:rFonts w:ascii="Times New Roman" w:eastAsia="Times New Roman" w:hAnsi="Times New Roman" w:cs="Times New Roman"/>
          <w:lang w:val="en-US" w:eastAsia="es-VE"/>
        </w:rPr>
        <w:t>Of the 69 interviews that Defiende Venezuela had with direct and indirect victims in the context of “Operation Trueno,” only women suffered some type of sexual abuse, which highlights how the combination of gender, race, social class and other factors of vulnerability increases their exposure to multiple forms of violence and abuse. This situation underscores the urgent need to address intersectional discrimination in security policies and practices to protect women from disadvantaged communities.</w:t>
      </w:r>
    </w:p>
    <w:p w14:paraId="53CE03E8" w14:textId="7A09E738" w:rsidR="75566983" w:rsidRPr="008B0BEF" w:rsidRDefault="4BF242E1" w:rsidP="008B0BEF">
      <w:pPr>
        <w:pStyle w:val="Prrafodelista"/>
        <w:numPr>
          <w:ilvl w:val="0"/>
          <w:numId w:val="23"/>
        </w:numPr>
        <w:spacing w:before="140" w:after="140" w:line="276" w:lineRule="auto"/>
        <w:jc w:val="both"/>
        <w:rPr>
          <w:rFonts w:ascii="Times New Roman" w:eastAsia="Times New Roman" w:hAnsi="Times New Roman" w:cs="Times New Roman"/>
        </w:rPr>
      </w:pPr>
      <w:r w:rsidRPr="4BF242E1">
        <w:rPr>
          <w:rFonts w:ascii="Times New Roman" w:eastAsia="Times New Roman" w:hAnsi="Times New Roman" w:cs="Times New Roman"/>
          <w:b/>
          <w:bCs/>
        </w:rPr>
        <w:t xml:space="preserve">Access to justice. </w:t>
      </w:r>
    </w:p>
    <w:p w14:paraId="081C357A" w14:textId="660E5C74" w:rsidR="000047B1" w:rsidRPr="002C7D79" w:rsidRDefault="4BF242E1" w:rsidP="4BF242E1">
      <w:pPr>
        <w:spacing w:after="240" w:line="276" w:lineRule="auto"/>
        <w:jc w:val="both"/>
        <w:rPr>
          <w:lang w:val="en-US"/>
        </w:rPr>
      </w:pPr>
      <w:r w:rsidRPr="002C7D79">
        <w:rPr>
          <w:rFonts w:ascii="Times New Roman" w:eastAsia="Times New Roman" w:hAnsi="Times New Roman" w:cs="Times New Roman"/>
          <w:lang w:val="en-US"/>
        </w:rPr>
        <w:t>In the context of security operations in disadvantaged neighborhoods of Venezuela, Defiende Venezuela has documented numerous obstacles that victims' relatives face in accessing justice, truth, and reparations. These obstacles not only perpetuate impunity, but also exacerbate the poverty of the affected families due to the economic costs associated with seeking justice.</w:t>
      </w:r>
    </w:p>
    <w:p w14:paraId="104CD443" w14:textId="6DFCE108" w:rsidR="000047B1" w:rsidRPr="002C7D79" w:rsidRDefault="4BF242E1" w:rsidP="4BF242E1">
      <w:pPr>
        <w:spacing w:after="240" w:line="276" w:lineRule="auto"/>
        <w:jc w:val="both"/>
        <w:rPr>
          <w:lang w:val="en-US"/>
        </w:rPr>
      </w:pPr>
      <w:r w:rsidRPr="002C7D79">
        <w:rPr>
          <w:rFonts w:ascii="Times New Roman" w:eastAsia="Times New Roman" w:hAnsi="Times New Roman" w:cs="Times New Roman"/>
          <w:lang w:val="en-US"/>
        </w:rPr>
        <w:t>Regarding "Operation Trueno," Defiende Venezuela identified various patterns of structural discrimination in access to justice for the people involved. Among those findings, the following stand out:</w:t>
      </w:r>
    </w:p>
    <w:p w14:paraId="74B9F2FB" w14:textId="68F55A63" w:rsidR="000047B1" w:rsidRPr="002C7D79" w:rsidRDefault="4BF242E1" w:rsidP="4BF242E1">
      <w:pPr>
        <w:spacing w:beforeAutospacing="1" w:afterAutospacing="1" w:line="276" w:lineRule="auto"/>
        <w:jc w:val="both"/>
        <w:rPr>
          <w:rFonts w:ascii="Times New Roman" w:eastAsia="Times New Roman" w:hAnsi="Times New Roman" w:cs="Times New Roman"/>
          <w:lang w:val="en-US" w:eastAsia="es-VE"/>
        </w:rPr>
      </w:pPr>
      <w:r w:rsidRPr="002C7D79">
        <w:rPr>
          <w:rFonts w:ascii="Times New Roman" w:eastAsia="Times New Roman" w:hAnsi="Times New Roman" w:cs="Times New Roman"/>
          <w:lang w:val="en-US"/>
        </w:rPr>
        <w:lastRenderedPageBreak/>
        <w:t>i) The officials, in the majority of cases, did not present arrest warrants when carrying out the arrests; ii) the victims were subjected to torture or cruel, inhumane, and degrading treatment, both upon detainment as well as while in the facilities of the security forces; iii) the obligatory designation of public defenders; iv) the cases were presented before the Control Judge with Special Competence in Terrorism; v) the absence of Public Ministry officials in Altagracia de Orituco; vi) the demand for payment of sums of money in order to obtain decent conditions in jail; and vii) the lack of due diligence in the causes of the people linked with this Police Operation.</w:t>
      </w:r>
    </w:p>
    <w:p w14:paraId="193FDD1F" w14:textId="37F5C2FD" w:rsidR="000047B1" w:rsidRPr="002C7D79" w:rsidRDefault="4BF242E1" w:rsidP="4BF242E1">
      <w:pPr>
        <w:spacing w:after="240" w:line="276" w:lineRule="auto"/>
        <w:jc w:val="both"/>
        <w:rPr>
          <w:lang w:val="en-US"/>
        </w:rPr>
      </w:pPr>
      <w:r w:rsidRPr="002C7D79">
        <w:rPr>
          <w:rFonts w:ascii="Times New Roman" w:eastAsia="Times New Roman" w:hAnsi="Times New Roman" w:cs="Times New Roman"/>
          <w:lang w:val="en-US"/>
        </w:rPr>
        <w:t>Furthermore, in the majority of cases, poverty and color could be identified as the motive for stigmatization and attacks on personal integrity stemming from the security forces. In the case of J. G. L., an adult of African descent and an inhabitant of a poor area of Altagracia, he was tortured for a day with the purpose of obtaining an alleged confession about the identity and/or the location of the members of "Tren del Llano." The authorities constantly told him that he should know these criminals because of where he lived and because of his economic status. Although the victim formalized his complaint on July 10, 2023 before the General Management of the Public Ministry, to this day the investigation has not been ordered to commence.</w:t>
      </w:r>
    </w:p>
    <w:p w14:paraId="776AC896" w14:textId="4D56B234" w:rsidR="000047B1" w:rsidRPr="002C7D79" w:rsidRDefault="4BF242E1" w:rsidP="4BF242E1">
      <w:pPr>
        <w:jc w:val="both"/>
        <w:rPr>
          <w:rFonts w:ascii="Times New Roman" w:eastAsia="Times New Roman" w:hAnsi="Times New Roman" w:cs="Times New Roman"/>
          <w:lang w:val="en-US" w:eastAsia="es-VE"/>
        </w:rPr>
      </w:pPr>
      <w:r w:rsidRPr="002C7D79">
        <w:rPr>
          <w:rFonts w:ascii="Times New Roman" w:eastAsia="Times New Roman" w:hAnsi="Times New Roman" w:cs="Times New Roman"/>
          <w:lang w:val="en-US"/>
        </w:rPr>
        <w:t>This action is a violation of what is established in paragraph 20 of the measures that must be adopted to prevent racial or ethnic discrimination against people who were indicted before the justice of the General Observation No. 31 of this Committee, as this person was interrogated exclusively because of their physical appearance and color. Regarding the absence of investigation in the acts of torture suffered by Mr. J. G. L., the omission is also in violation of the provisions in paragraph 14, concerning the measures that must be adopted to prevent racial discrimination against the victims of the racism of the same General Observation No. 31.</w:t>
      </w:r>
      <w:r w:rsidR="00314764" w:rsidRPr="002C7D79">
        <w:rPr>
          <w:rFonts w:ascii="Times New Roman" w:eastAsia="Times New Roman" w:hAnsi="Times New Roman" w:cs="Times New Roman"/>
          <w:lang w:val="en-US"/>
        </w:rPr>
        <w:t xml:space="preserve"> </w:t>
      </w:r>
      <w:r w:rsidR="00A6128E" w:rsidRPr="4BF242E1">
        <w:rPr>
          <w:rFonts w:ascii="Times New Roman" w:eastAsia="Times New Roman" w:hAnsi="Times New Roman" w:cs="Times New Roman"/>
        </w:rPr>
        <w:footnoteReference w:id="16"/>
      </w:r>
    </w:p>
    <w:p w14:paraId="64C68B94" w14:textId="513565CC" w:rsidR="000047B1" w:rsidRPr="002C7D79" w:rsidRDefault="4BF242E1" w:rsidP="4BF242E1">
      <w:pPr>
        <w:spacing w:after="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In six other documented cases of Operation Trueno, security officials did not present arrest warrants when detaining people who were allegedly related to the "Tren del Llano" criminal gang, in clear violation of due process. The officials acted upon an alleged presidential order, violating the constitution and Venezuelan criminal legislation, especially highlighting the lack of intervention from the Public Ministry, which goes against paragraph 13 of the General Observation, because they executed superior orders while knowing that they were violating the human rights of vulnerable groups exposed to marginalization, as the last paragraph of the preamble of the aforementioned Observation establishes.</w:t>
      </w:r>
    </w:p>
    <w:p w14:paraId="1C1D5537" w14:textId="121DB538" w:rsidR="000047B1" w:rsidRPr="002C7D79" w:rsidRDefault="000047B1" w:rsidP="4BF242E1">
      <w:pPr>
        <w:spacing w:after="0" w:line="276" w:lineRule="auto"/>
        <w:jc w:val="both"/>
        <w:rPr>
          <w:rFonts w:ascii="Times New Roman" w:eastAsia="Times New Roman" w:hAnsi="Times New Roman" w:cs="Times New Roman"/>
          <w:lang w:val="en-US"/>
        </w:rPr>
      </w:pPr>
    </w:p>
    <w:p w14:paraId="0606FC2A" w14:textId="7DC8E44F" w:rsidR="000047B1" w:rsidRPr="002C7D79" w:rsidRDefault="4BF242E1" w:rsidP="4BF242E1">
      <w:pPr>
        <w:spacing w:after="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lastRenderedPageBreak/>
        <w:t>Furthermore, a lack of diligence was shown on the part of public administration officials to clarify the events that led to their arrest and to seek truth and justice. In these cases, the procedural delay in cases related to security operations and crimes of terrorism and organized crime is made evident, which gravely affects the rights of the victims.</w:t>
      </w:r>
    </w:p>
    <w:p w14:paraId="38E409A3" w14:textId="77777777" w:rsidR="002C7D79" w:rsidRDefault="002C7D79" w:rsidP="4BF242E1">
      <w:pPr>
        <w:spacing w:after="0" w:line="276" w:lineRule="auto"/>
        <w:jc w:val="both"/>
        <w:rPr>
          <w:rFonts w:ascii="Times New Roman" w:eastAsia="Times New Roman" w:hAnsi="Times New Roman" w:cs="Times New Roman"/>
          <w:lang w:val="en-US"/>
        </w:rPr>
      </w:pPr>
    </w:p>
    <w:p w14:paraId="313F2141" w14:textId="69F3612E" w:rsidR="000047B1" w:rsidRPr="002C7D79" w:rsidRDefault="4BF242E1" w:rsidP="4BF242E1">
      <w:pPr>
        <w:spacing w:after="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Additionally, at least five victims indicated that they had been subjected to torture and to cruel, inhumane, and degrading treatment at various stages: detainment, interrogation, and transfer by vehicle and at police headquarters. This pattern of abuse reinforces structural discrimination and lack of respect for fundamental rights, demonstrating a profound crisis in the administration of justice and the treatment of the most vulnerable in Venezuela.</w:t>
      </w:r>
    </w:p>
    <w:p w14:paraId="08DB6484" w14:textId="397D9837" w:rsidR="000047B1" w:rsidRPr="002C7D79" w:rsidRDefault="4BF242E1" w:rsidP="4BF242E1">
      <w:pPr>
        <w:spacing w:beforeAutospacing="1" w:afterAutospacing="1" w:line="276" w:lineRule="auto"/>
        <w:jc w:val="both"/>
        <w:rPr>
          <w:lang w:val="en-US"/>
        </w:rPr>
      </w:pPr>
      <w:r w:rsidRPr="002C7D79">
        <w:rPr>
          <w:rFonts w:ascii="Times New Roman" w:eastAsia="Times New Roman" w:hAnsi="Times New Roman" w:cs="Times New Roman"/>
          <w:lang w:val="en-US"/>
        </w:rPr>
        <w:t>Likewise, it could be identified that in these operations, the people who live in disadvantaged neighborhoods or in rural areas did not enjoy the same rights as did other people subject to the Venezuelan criminal justice system. Their cases are judged by courts that specialize in terrorism, which affects the right to equality before the law by limiting their access to procedural rights. An example of this was the case of A.L. and the S. B. sisters, women over the age of 45 who are subject to this special jurisdiction. Despite having already met the minimum required in prison, they are not allowed access to an alternative way to serve the sentence, because these cases do not enjoy benefits.</w:t>
      </w:r>
      <w:r w:rsidR="003D12A7">
        <w:rPr>
          <w:rStyle w:val="Refdenotaalpie"/>
          <w:lang w:val="en-US"/>
        </w:rPr>
        <w:footnoteReference w:id="17"/>
      </w:r>
    </w:p>
    <w:p w14:paraId="14595C95" w14:textId="67C37EFE" w:rsidR="006D59FA" w:rsidRPr="002C7D79" w:rsidRDefault="4BF242E1" w:rsidP="4BF242E1">
      <w:pPr>
        <w:spacing w:beforeAutospacing="1" w:afterAutospacing="1"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In the case of inhabitants of rural areas, they did not have courts nearby to be presented before a judge. They had to be moved to more than three hours away to see a judge, violating article 5 of the Convention and paragraphs 5 and 6 of the strategies that must be developed to prevent racial discrimination in the administration and the functioning of penal justice, widely regulated in General Recommendation No. 31 of this Committee.</w:t>
      </w:r>
      <w:r w:rsidR="00774D44" w:rsidRPr="002C7D79">
        <w:rPr>
          <w:rFonts w:ascii="Times New Roman" w:eastAsia="Times New Roman" w:hAnsi="Times New Roman" w:cs="Times New Roman"/>
          <w:lang w:val="en-US"/>
        </w:rPr>
        <w:t xml:space="preserve"> </w:t>
      </w:r>
      <w:r w:rsidR="002C0F55" w:rsidRPr="4BF242E1">
        <w:rPr>
          <w:rStyle w:val="Refdenotaalpie"/>
          <w:rFonts w:ascii="Times New Roman" w:eastAsia="Times New Roman" w:hAnsi="Times New Roman" w:cs="Times New Roman"/>
          <w:lang w:eastAsia="es-VE"/>
        </w:rPr>
        <w:footnoteReference w:id="18"/>
      </w:r>
    </w:p>
    <w:p w14:paraId="62E758BC" w14:textId="13547E30" w:rsidR="4BF242E1" w:rsidRPr="002C7D79" w:rsidRDefault="4BF242E1" w:rsidP="4BF242E1">
      <w:pPr>
        <w:pStyle w:val="Prrafodelista"/>
        <w:numPr>
          <w:ilvl w:val="0"/>
          <w:numId w:val="7"/>
        </w:numPr>
        <w:spacing w:before="140" w:after="140" w:line="276" w:lineRule="auto"/>
        <w:jc w:val="both"/>
        <w:rPr>
          <w:rFonts w:ascii="Times New Roman" w:eastAsia="Times New Roman" w:hAnsi="Times New Roman" w:cs="Times New Roman"/>
          <w:b/>
          <w:bCs/>
          <w:lang w:val="en-US"/>
        </w:rPr>
      </w:pPr>
      <w:r w:rsidRPr="002C7D79">
        <w:rPr>
          <w:rFonts w:ascii="Times New Roman" w:eastAsia="Times New Roman" w:hAnsi="Times New Roman" w:cs="Times New Roman"/>
          <w:b/>
          <w:bCs/>
          <w:lang w:val="en-US"/>
        </w:rPr>
        <w:t>FAILURES OF THE VENEZUELAN STATE IN THE INVESTIGATION OF TRANSFEMICIDES AND PREVENTION OF RACIAL DISCRIMINATION</w:t>
      </w:r>
    </w:p>
    <w:p w14:paraId="53736F99" w14:textId="5FD438E6" w:rsidR="4BF242E1" w:rsidRPr="002C7D79" w:rsidRDefault="4BF242E1" w:rsidP="4BF242E1">
      <w:pPr>
        <w:spacing w:after="200" w:line="276" w:lineRule="auto"/>
        <w:jc w:val="both"/>
        <w:rPr>
          <w:lang w:val="en-US"/>
        </w:rPr>
      </w:pPr>
      <w:r w:rsidRPr="002C7D79">
        <w:rPr>
          <w:rFonts w:ascii="Times New Roman" w:eastAsia="Times New Roman" w:hAnsi="Times New Roman" w:cs="Times New Roman"/>
          <w:lang w:val="en-US"/>
        </w:rPr>
        <w:t>The International Convention on the Elimination of All Forms of Racial Discrimination opens with the definition of racial discrimination, grounding it with the obligations established in Article 2 of said treaty and developing its relationship with specific rights in Article 5 of the same.</w:t>
      </w:r>
    </w:p>
    <w:p w14:paraId="77BEB382" w14:textId="3F003187" w:rsidR="00CE41FE" w:rsidRPr="002C7D79" w:rsidRDefault="4BF242E1" w:rsidP="005217CC">
      <w:pPr>
        <w:spacing w:before="240"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lastRenderedPageBreak/>
        <w:t xml:space="preserve">Based on this, there is an obligation in the hands of the States not to commit any act or practice of racial discrimination against people, groups of people or institutions and to ensure that all public authorities and public institutions, national and local, this includes their action in accordance with the right to equal treatment in the courts and all other bodies that administer justice, as well as the right to personal security, and the protection of the State against any act of violence or attack against personal integrity and life.                                                 </w:t>
      </w:r>
    </w:p>
    <w:p w14:paraId="3D22A9D1" w14:textId="793A0CFF" w:rsidR="005D0501" w:rsidRPr="002C7D79" w:rsidRDefault="4BF242E1" w:rsidP="005217CC">
      <w:pPr>
        <w:spacing w:before="240"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Now, in cases of intersectionality, such as that existing in the vulnerability of racialized trans people, it is also necessary to resort to external standards, such as those proposed by CEDAW to cover all of these acts of discrimination, as well as what can be indirect discrimination, which occurs when laws, policies or programs that are apparently neutral for the general population actually have a negative impact on women.</w:t>
      </w:r>
      <w:r w:rsidR="005D0501" w:rsidRPr="002C7D79">
        <w:rPr>
          <w:rFonts w:ascii="Times New Roman" w:eastAsia="Times New Roman" w:hAnsi="Times New Roman" w:cs="Times New Roman"/>
          <w:lang w:val="en-US"/>
        </w:rPr>
        <w:t xml:space="preserve"> </w:t>
      </w:r>
      <w:r w:rsidRPr="002C7D79">
        <w:rPr>
          <w:rFonts w:ascii="Times New Roman" w:eastAsia="Times New Roman" w:hAnsi="Times New Roman" w:cs="Times New Roman"/>
          <w:lang w:val="en-US"/>
        </w:rPr>
        <w:t xml:space="preserve"> </w:t>
      </w:r>
      <w:r w:rsidR="00AB0730">
        <w:rPr>
          <w:rStyle w:val="Refdenotaalpie"/>
          <w:rFonts w:ascii="Times New Roman" w:eastAsia="Times New Roman" w:hAnsi="Times New Roman" w:cs="Times New Roman"/>
          <w:lang w:val="en-US"/>
        </w:rPr>
        <w:footnoteReference w:id="19"/>
      </w:r>
    </w:p>
    <w:p w14:paraId="7180CFBE" w14:textId="7B233F2A" w:rsidR="4BF242E1" w:rsidRPr="002C7D79" w:rsidRDefault="4BF242E1" w:rsidP="4BF242E1">
      <w:pPr>
        <w:spacing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According to this criterion, the situation of nonexistence of differentiated investigation standards for crimes committed against racialized trans people must be considered as a failure to comply with the international obligations of the Venezuelan State to this Committee.</w:t>
      </w:r>
    </w:p>
    <w:p w14:paraId="4B8CC90D" w14:textId="65E83A60" w:rsidR="005D0501" w:rsidRPr="002C7D79" w:rsidRDefault="4BF242E1" w:rsidP="4BF242E1">
      <w:pPr>
        <w:spacing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In Venezuela, as a result of the particularities of Spanish colonization, ethnic identity is not perceptible in the same way as in other contexts with greater segregation, so the social perception of the common citizen points to the nonexistence of racism or simply amalgamates it with classism as if discrimination based on economic position and ethnicity were exactly the same</w:t>
      </w:r>
      <w:r w:rsidR="00BF7032">
        <w:rPr>
          <w:rStyle w:val="Refdenotaalpie"/>
          <w:rFonts w:ascii="Times New Roman" w:eastAsia="Times New Roman" w:hAnsi="Times New Roman" w:cs="Times New Roman"/>
          <w:lang w:val="en-US"/>
        </w:rPr>
        <w:footnoteReference w:id="20"/>
      </w:r>
      <w:r w:rsidRPr="002C7D79">
        <w:rPr>
          <w:rFonts w:ascii="Times New Roman" w:eastAsia="Times New Roman" w:hAnsi="Times New Roman" w:cs="Times New Roman"/>
          <w:lang w:val="en-US"/>
        </w:rPr>
        <w:t>.</w:t>
      </w:r>
      <w:r w:rsidR="00D45804" w:rsidRPr="002C7D79">
        <w:rPr>
          <w:rFonts w:ascii="Times New Roman" w:eastAsia="Times New Roman" w:hAnsi="Times New Roman" w:cs="Times New Roman"/>
          <w:lang w:val="en-US"/>
        </w:rPr>
        <w:t xml:space="preserve"> </w:t>
      </w:r>
      <w:r w:rsidR="005D0501" w:rsidRPr="002C7D79">
        <w:rPr>
          <w:rFonts w:ascii="Times New Roman" w:eastAsia="Times New Roman" w:hAnsi="Times New Roman" w:cs="Times New Roman"/>
          <w:lang w:val="en-US"/>
        </w:rPr>
        <w:t xml:space="preserve"> </w:t>
      </w:r>
      <w:r w:rsidRPr="002C7D79">
        <w:rPr>
          <w:rFonts w:ascii="Times New Roman" w:eastAsia="Times New Roman" w:hAnsi="Times New Roman" w:cs="Times New Roman"/>
          <w:lang w:val="en-US"/>
        </w:rPr>
        <w:t>In the same way that the existence of racism is denied, the existence of a structural situation of discrimination on the basis of sexual orientation, expression and gender identity is omitted</w:t>
      </w:r>
      <w:r w:rsidR="00BF7032">
        <w:rPr>
          <w:rStyle w:val="Refdenotaalpie"/>
          <w:rFonts w:ascii="Times New Roman" w:eastAsia="Times New Roman" w:hAnsi="Times New Roman" w:cs="Times New Roman"/>
          <w:lang w:val="en-US"/>
        </w:rPr>
        <w:footnoteReference w:id="21"/>
      </w:r>
      <w:r w:rsidRPr="002C7D79">
        <w:rPr>
          <w:rFonts w:ascii="Times New Roman" w:eastAsia="Times New Roman" w:hAnsi="Times New Roman" w:cs="Times New Roman"/>
          <w:lang w:val="en-US"/>
        </w:rPr>
        <w:t>,</w:t>
      </w:r>
      <w:r w:rsidR="00BF7032" w:rsidRPr="00BF7032">
        <w:rPr>
          <w:lang w:val="en-US"/>
        </w:rPr>
        <w:t xml:space="preserve"> </w:t>
      </w:r>
      <w:r w:rsidRPr="002C7D79">
        <w:rPr>
          <w:rFonts w:ascii="Times New Roman" w:eastAsia="Times New Roman" w:hAnsi="Times New Roman" w:cs="Times New Roman"/>
          <w:lang w:val="en-US"/>
        </w:rPr>
        <w:t>despite recent hate speech against LGBTQIA+ people</w:t>
      </w:r>
      <w:r w:rsidR="005D0501" w:rsidRPr="4BF242E1">
        <w:rPr>
          <w:rFonts w:ascii="Times New Roman" w:eastAsia="Times New Roman" w:hAnsi="Times New Roman" w:cs="Times New Roman"/>
          <w:vertAlign w:val="superscript"/>
          <w:lang w:val="es-ES"/>
        </w:rPr>
        <w:footnoteReference w:id="22"/>
      </w:r>
      <w:r w:rsidRPr="002C7D79">
        <w:rPr>
          <w:rFonts w:ascii="Times New Roman" w:eastAsia="Times New Roman" w:hAnsi="Times New Roman" w:cs="Times New Roman"/>
          <w:lang w:val="en-US"/>
        </w:rPr>
        <w:t>.</w:t>
      </w:r>
    </w:p>
    <w:p w14:paraId="060B8931" w14:textId="2C224E33" w:rsidR="005D0501" w:rsidRPr="002C7D79" w:rsidRDefault="005D0501" w:rsidP="005217CC">
      <w:pPr>
        <w:spacing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In Venezuela there is no effective legal protection in this area.</w:t>
      </w:r>
      <w:r w:rsidRPr="005217CC">
        <w:rPr>
          <w:rFonts w:ascii="Times New Roman" w:eastAsia="Times New Roman" w:hAnsi="Times New Roman" w:cs="Times New Roman"/>
          <w:vertAlign w:val="superscript"/>
          <w:lang w:val="es-ES"/>
        </w:rPr>
        <w:footnoteReference w:id="23"/>
      </w:r>
      <w:r w:rsidR="00D45804" w:rsidRPr="002C7D79">
        <w:rPr>
          <w:rFonts w:ascii="Times New Roman" w:eastAsia="Times New Roman" w:hAnsi="Times New Roman" w:cs="Times New Roman"/>
          <w:lang w:val="en-US"/>
        </w:rPr>
        <w:t xml:space="preserve"> R</w:t>
      </w:r>
      <w:r w:rsidR="4BF242E1" w:rsidRPr="002C7D79">
        <w:rPr>
          <w:rFonts w:ascii="Times New Roman" w:eastAsia="Times New Roman" w:hAnsi="Times New Roman" w:cs="Times New Roman"/>
          <w:lang w:val="en-US"/>
        </w:rPr>
        <w:t xml:space="preserve">acial discrimination, as well as discrimination motivated by sexual orientation, identity and gender expression, are not perceived as an element to be considered in the investigation of crimes by the competent State agencies, </w:t>
      </w:r>
      <w:r w:rsidR="4BF242E1" w:rsidRPr="002C7D79">
        <w:rPr>
          <w:rFonts w:ascii="Times New Roman" w:eastAsia="Times New Roman" w:hAnsi="Times New Roman" w:cs="Times New Roman"/>
          <w:lang w:val="en-US"/>
        </w:rPr>
        <w:lastRenderedPageBreak/>
        <w:t>which is why only a few reported cases are known by the traditional press or social networks, instances in which there are no tools to identify crimes of a racist, homophobic, and/or transphobic nature in an organized and consistent manner.</w:t>
      </w:r>
    </w:p>
    <w:p w14:paraId="74D41250" w14:textId="48671ACA" w:rsidR="005D0501" w:rsidRPr="002C7D79" w:rsidRDefault="4BF242E1" w:rsidP="005217CC">
      <w:pPr>
        <w:spacing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These circumstances could be mitigated by a regulatory body, such as the Organic Law Project against all Types of Discrimination. However, there are still no indications that this project, more than a year after the beginning of its public consultation phase, will advance due to challenges from conservative religious groups.</w:t>
      </w:r>
      <w:r w:rsidR="00BF7032">
        <w:rPr>
          <w:rStyle w:val="Refdenotaalpie"/>
          <w:rFonts w:ascii="Times New Roman" w:eastAsia="Times New Roman" w:hAnsi="Times New Roman" w:cs="Times New Roman"/>
          <w:lang w:val="en-US"/>
        </w:rPr>
        <w:footnoteReference w:id="24"/>
      </w:r>
    </w:p>
    <w:p w14:paraId="6CF47A0B" w14:textId="37A8D39B" w:rsidR="4BF242E1" w:rsidRPr="002C7D79" w:rsidRDefault="4BF242E1" w:rsidP="4BF242E1">
      <w:pPr>
        <w:spacing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Despite these circumstances, two specific cases have been identified in which physical attacks have occurred against racialized trans people, specifically of the Wayúu ethnic group, in the city of Maracaibo in the state of Zulia.</w:t>
      </w:r>
    </w:p>
    <w:p w14:paraId="65D4FE95" w14:textId="3A70DF37" w:rsidR="005D0501" w:rsidRPr="002C7D79" w:rsidRDefault="4BF242E1" w:rsidP="005217CC">
      <w:pPr>
        <w:spacing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On March 8, 2022 in Maracaibo, in the state of Zulia, a trans woman of the Wayúu ethnic group was subjected to severe beatings and transphobic insults during a robbery. The level of violence escalated to such a degree that her face was disfigured, and her family did not have the resources to provide her with the necessary medical attention.</w:t>
      </w:r>
      <w:r w:rsidR="00BF7032">
        <w:rPr>
          <w:rStyle w:val="Refdenotaalpie"/>
          <w:rFonts w:ascii="Times New Roman" w:eastAsia="Times New Roman" w:hAnsi="Times New Roman" w:cs="Times New Roman"/>
          <w:lang w:val="en-US"/>
        </w:rPr>
        <w:footnoteReference w:id="25"/>
      </w:r>
    </w:p>
    <w:p w14:paraId="10736577" w14:textId="6FFCDA21" w:rsidR="005D0501" w:rsidRPr="002C7D79" w:rsidRDefault="0060098C" w:rsidP="4BF242E1">
      <w:pPr>
        <w:spacing w:before="200"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After, in April 2023, a trans woman who identified as “La Divina” or “La Johan”</w:t>
      </w:r>
      <w:r w:rsidR="005D0501" w:rsidRPr="005217CC">
        <w:rPr>
          <w:rFonts w:ascii="Times New Roman" w:eastAsia="Times New Roman" w:hAnsi="Times New Roman" w:cs="Times New Roman"/>
          <w:vertAlign w:val="superscript"/>
          <w:lang w:val="es-ES"/>
        </w:rPr>
        <w:footnoteReference w:id="26"/>
      </w:r>
      <w:r w:rsidR="005D0501" w:rsidRPr="002C7D79">
        <w:rPr>
          <w:rFonts w:ascii="Times New Roman" w:eastAsia="Times New Roman" w:hAnsi="Times New Roman" w:cs="Times New Roman"/>
          <w:lang w:val="en-US"/>
        </w:rPr>
        <w:t xml:space="preserve">, who was 28 years old, of Wayúu ethnic origin, and a businesswoman, was victim of a transfemicide. </w:t>
      </w:r>
      <w:r w:rsidR="4BF242E1" w:rsidRPr="002C7D79">
        <w:rPr>
          <w:rFonts w:ascii="Times New Roman" w:eastAsia="Times New Roman" w:hAnsi="Times New Roman" w:cs="Times New Roman"/>
          <w:lang w:val="en-US"/>
        </w:rPr>
        <w:t>She was beaten and possibly subjected to sexual violence to the point of death by a group of men. Her body was found on the morning of April 24, semi-naked and with wounds on her face, on 102nd Street, where the Las Pulgas market is located in Maracaibo, in the state of Zulia.</w:t>
      </w:r>
      <w:r w:rsidR="005D0501" w:rsidRPr="005217CC">
        <w:rPr>
          <w:rFonts w:ascii="Times New Roman" w:eastAsia="Times New Roman" w:hAnsi="Times New Roman" w:cs="Times New Roman"/>
          <w:vertAlign w:val="superscript"/>
          <w:lang w:val="es-ES"/>
        </w:rPr>
        <w:footnoteReference w:id="27"/>
      </w:r>
    </w:p>
    <w:p w14:paraId="2E01BFB7" w14:textId="4094432D" w:rsidR="005D0501" w:rsidRPr="002C7D79" w:rsidRDefault="4BF242E1" w:rsidP="005217CC">
      <w:pPr>
        <w:spacing w:before="200"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Additionally, three more transfemicides have been identified in recent years, involving people who either appear to have an ethnic identity other than white or who are simply unknown.</w:t>
      </w:r>
    </w:p>
    <w:p w14:paraId="7EE94442" w14:textId="22247532" w:rsidR="005D0501" w:rsidRPr="002C7D79" w:rsidRDefault="4BF242E1" w:rsidP="4BF242E1">
      <w:pPr>
        <w:spacing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lastRenderedPageBreak/>
        <w:t>On November 23, 2022, a trans woman who engaged in sex work was the victim of a transfemicide on Avenida Lara, in Valencia, Carabobo. Specifically, the victim instantly died when an alleged client shot her in the heart because they did not want to pay outstanding debts.</w:t>
      </w:r>
      <w:r w:rsidR="00013651">
        <w:rPr>
          <w:rStyle w:val="Refdenotaalpie"/>
          <w:rFonts w:ascii="Times New Roman" w:eastAsia="Times New Roman" w:hAnsi="Times New Roman" w:cs="Times New Roman"/>
          <w:lang w:val="en-US"/>
        </w:rPr>
        <w:footnoteReference w:id="28"/>
      </w:r>
    </w:p>
    <w:p w14:paraId="4ADA7C63" w14:textId="34B00139" w:rsidR="005D0501" w:rsidRPr="002C7D79" w:rsidRDefault="005D0501" w:rsidP="005217CC">
      <w:pPr>
        <w:spacing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Furthermore, on November 7, 2023, a 44 year old woman who was a stylist was the victim of a transfemicide in El Valle, Caracas.</w:t>
      </w:r>
      <w:r w:rsidRPr="005217CC">
        <w:rPr>
          <w:rFonts w:ascii="Times New Roman" w:eastAsia="Times New Roman" w:hAnsi="Times New Roman" w:cs="Times New Roman"/>
          <w:vertAlign w:val="superscript"/>
          <w:lang w:val="es-ES"/>
        </w:rPr>
        <w:footnoteReference w:id="29"/>
      </w:r>
      <w:r w:rsidRPr="002C7D79">
        <w:rPr>
          <w:rFonts w:ascii="Times New Roman" w:eastAsia="Times New Roman" w:hAnsi="Times New Roman" w:cs="Times New Roman"/>
          <w:lang w:val="en-US"/>
        </w:rPr>
        <w:t xml:space="preserve"> She was stabbed more than 40 times in the chest until she died by four unidentified individuals; her body was found the morning of November 8, lying face-up in the living room of her residence and wearing red shorts.</w:t>
      </w:r>
      <w:r w:rsidRPr="005217CC">
        <w:rPr>
          <w:rFonts w:ascii="Times New Roman" w:eastAsia="Times New Roman" w:hAnsi="Times New Roman" w:cs="Times New Roman"/>
          <w:vertAlign w:val="superscript"/>
          <w:lang w:val="es-ES"/>
        </w:rPr>
        <w:footnoteReference w:id="30"/>
      </w:r>
    </w:p>
    <w:p w14:paraId="1C7F56BD" w14:textId="672EFD2E" w:rsidR="005D0501" w:rsidRPr="002C7D79" w:rsidRDefault="4BF242E1" w:rsidP="005217CC">
      <w:pPr>
        <w:spacing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Four days later, a 27-year-old trans woman who engaged in sex work was the victim of another transfemicide on Avenida Bolívar, in the state of Maracay. The incident occurred in the early morning hours when several people tried to steal her belongings ,and when she resisted, they shot her twice in the head and face.</w:t>
      </w:r>
      <w:r w:rsidR="00013651">
        <w:rPr>
          <w:rStyle w:val="Refdenotaalpie"/>
          <w:rFonts w:ascii="Times New Roman" w:eastAsia="Times New Roman" w:hAnsi="Times New Roman" w:cs="Times New Roman"/>
          <w:lang w:val="en-US"/>
        </w:rPr>
        <w:footnoteReference w:id="31"/>
      </w:r>
    </w:p>
    <w:p w14:paraId="5C2F59DD" w14:textId="499972D4" w:rsidR="005D0501" w:rsidRPr="002C7D79" w:rsidRDefault="4BF242E1" w:rsidP="005217CC">
      <w:pPr>
        <w:spacing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These cases were subjected to media coverage full of symbolic violence that demonstrates the situation of structural and intersectional discrimination faced by trans women in Venezuela. This was clearly demonstrated in the headlines, which, in ignorance of her gender identity, have insisted on describing her as a “transvestite,” as well as in the text of the news itself, which describes her as “a man of the Wayúu ethnic group.”</w:t>
      </w:r>
      <w:r w:rsidR="00013651">
        <w:rPr>
          <w:rStyle w:val="Refdenotaalpie"/>
          <w:rFonts w:ascii="Times New Roman" w:eastAsia="Times New Roman" w:hAnsi="Times New Roman" w:cs="Times New Roman"/>
          <w:lang w:val="en-US"/>
        </w:rPr>
        <w:footnoteReference w:id="32"/>
      </w:r>
    </w:p>
    <w:p w14:paraId="136616B6" w14:textId="515FF25A" w:rsidR="4BF242E1" w:rsidRPr="002C7D79" w:rsidRDefault="4BF242E1" w:rsidP="4BF242E1">
      <w:pPr>
        <w:spacing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Both in the cases in which the ethnic identity of the attacked and even murdered people is known and unknown, there are indications according to the Venezuelan context such as the socioeconomic level of those involved, the nature of the attacks, and the ethnic identity of the inhabitants of the area where the crimes were committed, which somehow influenced the attacks and the lack of response from the authorities in these cases.</w:t>
      </w:r>
    </w:p>
    <w:p w14:paraId="0D1FD7A6" w14:textId="62745E39" w:rsidR="005D0501" w:rsidRPr="002C7D79" w:rsidRDefault="4BF242E1" w:rsidP="005217CC">
      <w:pPr>
        <w:spacing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 xml:space="preserve">Thus, some of the factual indicators of possible racial discrimination postulated by the Committee itself, in its General Observation 31, are presented, among which are the number of attacks suffered </w:t>
      </w:r>
      <w:r w:rsidRPr="002C7D79">
        <w:rPr>
          <w:rFonts w:ascii="Times New Roman" w:eastAsia="Times New Roman" w:hAnsi="Times New Roman" w:cs="Times New Roman"/>
          <w:lang w:val="en-US"/>
        </w:rPr>
        <w:lastRenderedPageBreak/>
        <w:t>by racialized groups, the non-existence or scarcity of complaints of this nature. and the absence or insufficiency of information on the actions of State bodies.</w:t>
      </w:r>
      <w:r w:rsidR="00013651">
        <w:rPr>
          <w:rStyle w:val="Refdenotaalpie"/>
          <w:rFonts w:ascii="Times New Roman" w:eastAsia="Times New Roman" w:hAnsi="Times New Roman" w:cs="Times New Roman"/>
          <w:lang w:val="en-US"/>
        </w:rPr>
        <w:footnoteReference w:id="33"/>
      </w:r>
    </w:p>
    <w:p w14:paraId="06A3BA21" w14:textId="3D7F9C7D" w:rsidR="4BF242E1" w:rsidRPr="002C7D79" w:rsidRDefault="4BF242E1" w:rsidP="4BF242E1">
      <w:pPr>
        <w:spacing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As has been seen in these cases, the lack of an investigative approach with a racial and gender focus for cases of racialized trans people must be considered indirect discrimination, since not considering the particular circumstances of these cases prevents the understanding of specific facts subjected to an appropriate criminal process, categorizing them as hate crimes in accordance with the national legal system, while preventing the visibility of the vulnerable situation of racialized trans women and the need to devise specialized public policies.</w:t>
      </w:r>
    </w:p>
    <w:p w14:paraId="4768FD48" w14:textId="2D830E3B" w:rsidR="005D0501" w:rsidRPr="002C7D79" w:rsidRDefault="4BF242E1" w:rsidP="005217CC">
      <w:pPr>
        <w:spacing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Faced with these circumstances, it is vitally important for Venezuela to reproduce recommendations that it has previously raised in its General Observation No. 31 on relevant strategies to prevent racial discrimination that could be useful in the administration and functioning of the criminal justice that include promotion, education, and law enforcement on human rights and anti-racist approaches, as well as national action plans for the elimination of racial discrimination in a structural manner that include prevention, registration, investigation and prosecution of racist incidents</w:t>
      </w:r>
      <w:r w:rsidR="00013651">
        <w:rPr>
          <w:rFonts w:ascii="Times New Roman" w:eastAsia="Times New Roman" w:hAnsi="Times New Roman" w:cs="Times New Roman"/>
          <w:lang w:val="en-US"/>
        </w:rPr>
        <w:t>.</w:t>
      </w:r>
      <w:r w:rsidR="00013651">
        <w:rPr>
          <w:rStyle w:val="Refdenotaalpie"/>
          <w:rFonts w:ascii="Times New Roman" w:eastAsia="Times New Roman" w:hAnsi="Times New Roman" w:cs="Times New Roman"/>
          <w:lang w:val="en-US"/>
        </w:rPr>
        <w:footnoteReference w:id="34"/>
      </w:r>
    </w:p>
    <w:p w14:paraId="03732084" w14:textId="6AB9440E" w:rsidR="4BF242E1" w:rsidRPr="002C7D79" w:rsidRDefault="4BF242E1" w:rsidP="4BF242E1">
      <w:pPr>
        <w:spacing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On the other hand, the previously mentioned events, their media coverage, and the discourse promoted on social networks as a result of these events, demonstrate a non-existent state policy regarding the prevention of racist and generally anti-discriminatory discourse insofar as it stereotypes and denigrates trans people, not only because of their gender identity, but specifically because of their ethnicity.</w:t>
      </w:r>
    </w:p>
    <w:p w14:paraId="40C84799" w14:textId="7DA89160" w:rsidR="4BF242E1" w:rsidRPr="002C7D79" w:rsidRDefault="4BF242E1" w:rsidP="4BF242E1">
      <w:pPr>
        <w:spacing w:after="20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 xml:space="preserve">In conclusion, it is vitally important that the State design and implement, along with vulnerable communities, civil society </w:t>
      </w:r>
      <w:r w:rsidR="002C7D79" w:rsidRPr="002C7D79">
        <w:rPr>
          <w:rFonts w:ascii="Times New Roman" w:eastAsia="Times New Roman" w:hAnsi="Times New Roman" w:cs="Times New Roman"/>
          <w:lang w:val="en-US"/>
        </w:rPr>
        <w:t>organizations, and</w:t>
      </w:r>
      <w:r w:rsidRPr="002C7D79">
        <w:rPr>
          <w:rFonts w:ascii="Times New Roman" w:eastAsia="Times New Roman" w:hAnsi="Times New Roman" w:cs="Times New Roman"/>
          <w:lang w:val="en-US"/>
        </w:rPr>
        <w:t xml:space="preserve"> the technical support of this Committee, a national plan to prevent, punish and eradicate racial discrimination with an intersectional and transversal approach. that has the capacity to promote change both within its own institutions and in society.</w:t>
      </w:r>
    </w:p>
    <w:p w14:paraId="1EF60623" w14:textId="037CD173" w:rsidR="009F0DF8" w:rsidRPr="002C7D79" w:rsidRDefault="4BF242E1" w:rsidP="00C67BBD">
      <w:pPr>
        <w:pStyle w:val="Prrafodelista"/>
        <w:numPr>
          <w:ilvl w:val="0"/>
          <w:numId w:val="7"/>
        </w:numPr>
        <w:spacing w:before="140" w:after="140" w:line="276" w:lineRule="auto"/>
        <w:jc w:val="both"/>
        <w:rPr>
          <w:rFonts w:ascii="Times New Roman" w:eastAsia="Times New Roman" w:hAnsi="Times New Roman" w:cs="Times New Roman"/>
          <w:b/>
          <w:bCs/>
          <w:lang w:val="en-US"/>
        </w:rPr>
      </w:pPr>
      <w:r w:rsidRPr="002C7D79">
        <w:rPr>
          <w:rFonts w:ascii="Times New Roman" w:eastAsia="Times New Roman" w:hAnsi="Times New Roman" w:cs="Times New Roman"/>
          <w:b/>
          <w:bCs/>
          <w:lang w:val="en-US"/>
        </w:rPr>
        <w:t>CONCLUSIONS AND RECOMMENDATIONS SUGGESTED FOR CONSIDERATION OF THE COMMITTEE</w:t>
      </w:r>
    </w:p>
    <w:p w14:paraId="5284B450" w14:textId="77777777" w:rsidR="005217CC" w:rsidRPr="002C7D79" w:rsidRDefault="005217CC" w:rsidP="005217CC">
      <w:pPr>
        <w:pStyle w:val="Prrafodelista"/>
        <w:spacing w:before="140" w:after="140" w:line="276" w:lineRule="auto"/>
        <w:jc w:val="both"/>
        <w:rPr>
          <w:rFonts w:ascii="Times New Roman" w:eastAsia="Times New Roman" w:hAnsi="Times New Roman" w:cs="Times New Roman"/>
          <w:b/>
          <w:bCs/>
          <w:lang w:val="en-US"/>
        </w:rPr>
      </w:pPr>
    </w:p>
    <w:p w14:paraId="53F05244" w14:textId="560DA65E" w:rsidR="4BF242E1" w:rsidRPr="002C7D79" w:rsidRDefault="4BF242E1" w:rsidP="4BF242E1">
      <w:pPr>
        <w:pStyle w:val="Prrafodelista"/>
        <w:numPr>
          <w:ilvl w:val="0"/>
          <w:numId w:val="14"/>
        </w:numPr>
        <w:spacing w:before="140" w:after="14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 xml:space="preserve">Structural discrimination is evident in the selection of victims of extrajudicial executions based on their socioeconomic position, alleged links to criminal gangs, or political dissidence. The victims, mostly coming from low-income backgrounds, depend on sectors such as informal commerce or agriculture to survive, being criminalized for their economic </w:t>
      </w:r>
      <w:r w:rsidRPr="002C7D79">
        <w:rPr>
          <w:rFonts w:ascii="Times New Roman" w:eastAsia="Times New Roman" w:hAnsi="Times New Roman" w:cs="Times New Roman"/>
          <w:lang w:val="en-US"/>
        </w:rPr>
        <w:lastRenderedPageBreak/>
        <w:t>situation. The lack of diligence on the part of institutions of justice perpetuates impunity and the suffering of victims and their families.</w:t>
      </w:r>
    </w:p>
    <w:p w14:paraId="3EC91CDB" w14:textId="3F1041F8" w:rsidR="4BF242E1" w:rsidRPr="002C7D79" w:rsidRDefault="4BF242E1" w:rsidP="4BF242E1">
      <w:pPr>
        <w:pStyle w:val="Prrafodelista"/>
        <w:numPr>
          <w:ilvl w:val="0"/>
          <w:numId w:val="14"/>
        </w:numPr>
        <w:spacing w:before="140" w:after="14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It is evident that women, due to their special vulnerability in these police operations, suffered specific harm and did not receive differentiated protection from the State.</w:t>
      </w:r>
    </w:p>
    <w:p w14:paraId="0ECDB885" w14:textId="352C4C16" w:rsidR="00C83CEA" w:rsidRPr="002C7D79" w:rsidRDefault="4BF242E1" w:rsidP="005217CC">
      <w:pPr>
        <w:pStyle w:val="Prrafodelista"/>
        <w:numPr>
          <w:ilvl w:val="0"/>
          <w:numId w:val="14"/>
        </w:numPr>
        <w:spacing w:before="140" w:after="140" w:line="276" w:lineRule="auto"/>
        <w:jc w:val="both"/>
        <w:rPr>
          <w:rFonts w:ascii="Times New Roman" w:eastAsia="Times New Roman" w:hAnsi="Times New Roman" w:cs="Times New Roman"/>
          <w:lang w:val="en-US"/>
        </w:rPr>
      </w:pPr>
      <w:r w:rsidRPr="002C7D79">
        <w:rPr>
          <w:rFonts w:ascii="Times New Roman" w:hAnsi="Times New Roman" w:cs="Times New Roman"/>
          <w:lang w:val="en-US"/>
        </w:rPr>
        <w:t>The Venezuelan state shows significant shortcomings in the investigation of transfemicides of racialized people, as well as in the implementation of effective measures to prevent racial discrimination in media coverage and discourse on social networks. This lack of action reflects a worrying insensitivity towards vulnerable communities and an absence of inclusive and protective policies.</w:t>
      </w:r>
      <w:r w:rsidR="00F11D41" w:rsidRPr="002C7D79">
        <w:rPr>
          <w:lang w:val="en-US"/>
        </w:rPr>
        <w:tab/>
      </w:r>
    </w:p>
    <w:p w14:paraId="4A2824FB" w14:textId="4472276B" w:rsidR="00AE3A6B" w:rsidRPr="002C7D79" w:rsidRDefault="4BF242E1" w:rsidP="4BF242E1">
      <w:pPr>
        <w:pStyle w:val="Prrafodelista"/>
        <w:numPr>
          <w:ilvl w:val="0"/>
          <w:numId w:val="14"/>
        </w:numPr>
        <w:spacing w:before="140" w:after="140" w:line="276" w:lineRule="auto"/>
        <w:jc w:val="both"/>
        <w:rPr>
          <w:rFonts w:ascii="Times New Roman" w:eastAsia="Times New Roman" w:hAnsi="Times New Roman" w:cs="Times New Roman"/>
          <w:lang w:val="en-US" w:eastAsia="es-VE"/>
        </w:rPr>
      </w:pPr>
      <w:r w:rsidRPr="002C7D79">
        <w:rPr>
          <w:rFonts w:ascii="Times New Roman" w:eastAsia="Times New Roman" w:hAnsi="Times New Roman" w:cs="Times New Roman"/>
          <w:lang w:val="en-US"/>
        </w:rPr>
        <w:t>Discriminatory practices and the lack of adequate response by justice authorities seriously affect access to justice for victims of human rights violations, including extrajudicial executions and transfemicides. The lack of impartial investigation and the resulting impunity reinforce distrust and structural discrimination in state institutions and perpetuate the vulnerability of those affected.</w:t>
      </w:r>
    </w:p>
    <w:p w14:paraId="472B67D7" w14:textId="537B6E13" w:rsidR="00AE3A6B" w:rsidRPr="002C7D79" w:rsidRDefault="4BF242E1" w:rsidP="4BF242E1">
      <w:pPr>
        <w:spacing w:before="140" w:after="140" w:line="276" w:lineRule="auto"/>
        <w:jc w:val="both"/>
        <w:rPr>
          <w:rFonts w:ascii="Times New Roman" w:eastAsia="Times New Roman" w:hAnsi="Times New Roman" w:cs="Times New Roman"/>
          <w:lang w:val="en-US" w:eastAsia="es-VE"/>
        </w:rPr>
      </w:pPr>
      <w:r w:rsidRPr="002C7D79">
        <w:rPr>
          <w:rFonts w:ascii="Times New Roman" w:eastAsia="Times New Roman" w:hAnsi="Times New Roman" w:cs="Times New Roman"/>
          <w:lang w:val="en-US"/>
        </w:rPr>
        <w:t>In light of the findings presented, it is imperative for the committee to recommend that Venezuela undertake measures to effectively address human rights violations within the country. These recommendations can be considered as potential discussion points to be included in the Final Observations of the exam:</w:t>
      </w:r>
    </w:p>
    <w:p w14:paraId="23BD48AD" w14:textId="06CFDD89" w:rsidR="00AE3A6B" w:rsidRPr="002C7D79" w:rsidRDefault="4BF242E1" w:rsidP="4BF242E1">
      <w:pPr>
        <w:spacing w:before="140" w:after="14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b/>
          <w:bCs/>
          <w:u w:val="single"/>
          <w:lang w:val="en-US"/>
        </w:rPr>
        <w:t>Urgent actions from the state:</w:t>
      </w:r>
    </w:p>
    <w:p w14:paraId="234AD1B1" w14:textId="1455F41B" w:rsidR="00AE3A6B" w:rsidRPr="002C7D79" w:rsidRDefault="4BF242E1" w:rsidP="4BF242E1">
      <w:pPr>
        <w:pStyle w:val="Prrafodelista"/>
        <w:numPr>
          <w:ilvl w:val="0"/>
          <w:numId w:val="4"/>
        </w:numPr>
        <w:spacing w:after="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Implement exhaustive and impartial investigations on extrajudicial executions to the detriment of people with African and mixed descent living in disadvantaged neighborhoods, as well as events of transfemicides, ensuring the participation of the victims and their families in the process.</w:t>
      </w:r>
    </w:p>
    <w:p w14:paraId="3ADFC876" w14:textId="037DE9A8" w:rsidR="00AE3A6B" w:rsidRPr="002C7D79" w:rsidRDefault="4BF242E1" w:rsidP="4BF242E1">
      <w:pPr>
        <w:pStyle w:val="Prrafodelista"/>
        <w:numPr>
          <w:ilvl w:val="0"/>
          <w:numId w:val="4"/>
        </w:numPr>
        <w:spacing w:after="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 xml:space="preserve">Make investigations conform with the pertinent international norms which should have as a purpose, </w:t>
      </w:r>
      <w:r w:rsidRPr="002C7D79">
        <w:rPr>
          <w:rFonts w:ascii="Times New Roman" w:eastAsia="Times New Roman" w:hAnsi="Times New Roman" w:cs="Times New Roman"/>
          <w:i/>
          <w:iCs/>
          <w:lang w:val="en-US"/>
        </w:rPr>
        <w:t xml:space="preserve">inter alia, </w:t>
      </w:r>
      <w:r w:rsidRPr="002C7D79">
        <w:rPr>
          <w:rFonts w:ascii="Times New Roman" w:eastAsia="Times New Roman" w:hAnsi="Times New Roman" w:cs="Times New Roman"/>
          <w:lang w:val="en-US"/>
        </w:rPr>
        <w:t xml:space="preserve">extracting the necessary lessons to revise the practices and policies with the aim of avoiding the repetition of the violations. </w:t>
      </w:r>
    </w:p>
    <w:p w14:paraId="7B178EAD" w14:textId="6AD2ED6F" w:rsidR="00AE3A6B" w:rsidRPr="002C7D79" w:rsidRDefault="4BF242E1" w:rsidP="4BF242E1">
      <w:pPr>
        <w:pStyle w:val="Prrafodelista"/>
        <w:numPr>
          <w:ilvl w:val="0"/>
          <w:numId w:val="4"/>
        </w:numPr>
        <w:spacing w:after="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 xml:space="preserve">Effectively sanction those who are responsible for abuses and violations of human rights, including security forces and the whole chain of command implicated in security operations. </w:t>
      </w:r>
    </w:p>
    <w:p w14:paraId="7E437C58" w14:textId="14661657" w:rsidR="00AE3A6B" w:rsidRDefault="4BF242E1" w:rsidP="4BF242E1">
      <w:pPr>
        <w:spacing w:before="140" w:after="140" w:line="276" w:lineRule="auto"/>
        <w:jc w:val="both"/>
        <w:rPr>
          <w:rFonts w:ascii="Times New Roman" w:eastAsia="Times New Roman" w:hAnsi="Times New Roman" w:cs="Times New Roman"/>
        </w:rPr>
      </w:pPr>
      <w:r w:rsidRPr="4BF242E1">
        <w:rPr>
          <w:rFonts w:ascii="Times New Roman" w:eastAsia="Times New Roman" w:hAnsi="Times New Roman" w:cs="Times New Roman"/>
          <w:b/>
          <w:bCs/>
          <w:u w:val="single"/>
        </w:rPr>
        <w:t>Legal and institutional reforms:</w:t>
      </w:r>
    </w:p>
    <w:p w14:paraId="61F82C9F" w14:textId="350257AB" w:rsidR="00AE3A6B" w:rsidRPr="002C7D79" w:rsidRDefault="4BF242E1" w:rsidP="4BF242E1">
      <w:pPr>
        <w:pStyle w:val="Prrafodelista"/>
        <w:numPr>
          <w:ilvl w:val="0"/>
          <w:numId w:val="1"/>
        </w:numPr>
        <w:spacing w:after="0" w:line="276" w:lineRule="auto"/>
        <w:jc w:val="both"/>
        <w:rPr>
          <w:rFonts w:ascii="Times New Roman" w:eastAsia="Times New Roman" w:hAnsi="Times New Roman" w:cs="Times New Roman"/>
          <w:lang w:val="en-US" w:eastAsia="es-VE"/>
        </w:rPr>
      </w:pPr>
      <w:r w:rsidRPr="002C7D79">
        <w:rPr>
          <w:rFonts w:ascii="Times New Roman" w:eastAsia="Times New Roman" w:hAnsi="Times New Roman" w:cs="Times New Roman"/>
          <w:lang w:val="en-US"/>
        </w:rPr>
        <w:t>Reform the laws and policies to eliminate structural discrimination in the justice system and guarantee equal access to justice for all citizens, regardless of their ethnic origin, gender, or economic situation.</w:t>
      </w:r>
    </w:p>
    <w:p w14:paraId="5766F2DB" w14:textId="6641D795" w:rsidR="00AE3A6B" w:rsidRPr="002C7D79" w:rsidRDefault="4BF242E1" w:rsidP="4BF242E1">
      <w:pPr>
        <w:pStyle w:val="Prrafodelista"/>
        <w:numPr>
          <w:ilvl w:val="0"/>
          <w:numId w:val="1"/>
        </w:numPr>
        <w:spacing w:after="0" w:line="276" w:lineRule="auto"/>
        <w:jc w:val="both"/>
        <w:rPr>
          <w:rFonts w:ascii="Times New Roman" w:eastAsia="Times New Roman" w:hAnsi="Times New Roman" w:cs="Times New Roman"/>
          <w:lang w:val="en-US" w:eastAsia="es-VE"/>
        </w:rPr>
      </w:pPr>
      <w:r w:rsidRPr="002C7D79">
        <w:rPr>
          <w:rFonts w:ascii="Times New Roman" w:eastAsia="Times New Roman" w:hAnsi="Times New Roman" w:cs="Times New Roman"/>
          <w:lang w:val="en-US"/>
        </w:rPr>
        <w:t xml:space="preserve">Strengthen </w:t>
      </w:r>
      <w:r w:rsidRPr="002C7D79">
        <w:rPr>
          <w:rFonts w:ascii="Times New Roman" w:eastAsia="Times New Roman" w:hAnsi="Times New Roman" w:cs="Times New Roman"/>
          <w:lang w:val="en-US" w:eastAsia="es-VE"/>
        </w:rPr>
        <w:t xml:space="preserve">the independence and the transparency of the judicial system to ensure a rapid and fair response to complaints of violations of human rights. </w:t>
      </w:r>
    </w:p>
    <w:p w14:paraId="4615B498" w14:textId="476E846D" w:rsidR="008B3B8A" w:rsidRPr="002C7D79" w:rsidRDefault="4BF242E1" w:rsidP="00E1387B">
      <w:pPr>
        <w:pStyle w:val="Prrafodelista"/>
        <w:numPr>
          <w:ilvl w:val="0"/>
          <w:numId w:val="17"/>
        </w:numPr>
        <w:spacing w:after="0" w:line="276" w:lineRule="auto"/>
        <w:jc w:val="both"/>
        <w:rPr>
          <w:rFonts w:ascii="Times New Roman" w:eastAsia="Times New Roman" w:hAnsi="Times New Roman" w:cs="Times New Roman"/>
          <w:lang w:val="en-US" w:eastAsia="es-VE"/>
        </w:rPr>
      </w:pPr>
      <w:r w:rsidRPr="002C7D79">
        <w:rPr>
          <w:rFonts w:ascii="Times New Roman" w:eastAsia="Times New Roman" w:hAnsi="Times New Roman" w:cs="Times New Roman"/>
          <w:lang w:val="en-US" w:eastAsia="es-VE"/>
        </w:rPr>
        <w:lastRenderedPageBreak/>
        <w:t xml:space="preserve">In the case of extrajudicial executions, adopt investigation tools for institutions of the justice system, that might include the standards contained in the Minnesota Protocol and the Performance Guide for Public Officials Before Allegations of Violating the Right to Life. </w:t>
      </w:r>
    </w:p>
    <w:p w14:paraId="196A991B" w14:textId="62DEED5F" w:rsidR="4BF242E1" w:rsidRPr="002C7D79" w:rsidRDefault="4BF242E1" w:rsidP="4BF242E1">
      <w:pPr>
        <w:pStyle w:val="Prrafodelista"/>
        <w:numPr>
          <w:ilvl w:val="0"/>
          <w:numId w:val="17"/>
        </w:numPr>
        <w:spacing w:after="0" w:line="276" w:lineRule="auto"/>
        <w:jc w:val="both"/>
        <w:rPr>
          <w:rFonts w:ascii="Times New Roman" w:eastAsia="Times New Roman" w:hAnsi="Times New Roman" w:cs="Times New Roman"/>
          <w:lang w:val="en-US" w:eastAsia="es-VE"/>
        </w:rPr>
      </w:pPr>
      <w:r w:rsidRPr="002C7D79">
        <w:rPr>
          <w:rFonts w:ascii="Times New Roman" w:eastAsia="Times New Roman" w:hAnsi="Times New Roman" w:cs="Times New Roman"/>
          <w:lang w:val="en-US" w:eastAsia="es-VE"/>
        </w:rPr>
        <w:t>Advance the promulgation of the Organic Law Against all Types of Discrimination that has been paralyzed for more than a year, with the purpose of including it as forms of discrimination based on sexual orientation and gender identity and expression.</w:t>
      </w:r>
    </w:p>
    <w:p w14:paraId="0D582727" w14:textId="6CEE9E0A" w:rsidR="00A8109C" w:rsidRPr="005217CC" w:rsidRDefault="4BF242E1" w:rsidP="005217CC">
      <w:pPr>
        <w:spacing w:before="140" w:after="140" w:line="276" w:lineRule="auto"/>
        <w:jc w:val="both"/>
        <w:rPr>
          <w:rFonts w:ascii="Times New Roman" w:eastAsia="Times New Roman" w:hAnsi="Times New Roman" w:cs="Times New Roman"/>
          <w:b/>
          <w:bCs/>
          <w:u w:val="single"/>
        </w:rPr>
      </w:pPr>
      <w:r w:rsidRPr="4BF242E1">
        <w:rPr>
          <w:rFonts w:ascii="Times New Roman" w:eastAsia="Times New Roman" w:hAnsi="Times New Roman" w:cs="Times New Roman"/>
          <w:b/>
          <w:bCs/>
          <w:u w:val="single"/>
        </w:rPr>
        <w:t>Education and awareness:</w:t>
      </w:r>
    </w:p>
    <w:p w14:paraId="1D085F4B" w14:textId="47F3D3BC" w:rsidR="008B5249" w:rsidRPr="002C7D79" w:rsidRDefault="4BF242E1" w:rsidP="005217CC">
      <w:pPr>
        <w:pStyle w:val="Prrafodelista"/>
        <w:numPr>
          <w:ilvl w:val="0"/>
          <w:numId w:val="18"/>
        </w:numPr>
        <w:spacing w:before="140" w:after="140" w:line="276" w:lineRule="auto"/>
        <w:jc w:val="both"/>
        <w:rPr>
          <w:rFonts w:ascii="Times New Roman" w:eastAsia="Times New Roman" w:hAnsi="Times New Roman" w:cs="Times New Roman"/>
          <w:lang w:val="en-US"/>
        </w:rPr>
      </w:pPr>
      <w:r w:rsidRPr="002C7D79">
        <w:rPr>
          <w:rFonts w:ascii="Times New Roman" w:hAnsi="Times New Roman" w:cs="Times New Roman"/>
          <w:lang w:val="en-US"/>
        </w:rPr>
        <w:t xml:space="preserve">Implement educational programs and awareness programs addressed to public officials, security forces, and the public in general, to promote respect for racial and gender diversity and to combat entrenched prejudices. </w:t>
      </w:r>
    </w:p>
    <w:p w14:paraId="667955B6" w14:textId="17E07FA0" w:rsidR="00EF6908" w:rsidRPr="002C7D79" w:rsidRDefault="4BF242E1" w:rsidP="005217CC">
      <w:pPr>
        <w:spacing w:before="140" w:after="140" w:line="276" w:lineRule="auto"/>
        <w:jc w:val="both"/>
        <w:rPr>
          <w:rFonts w:ascii="Times New Roman" w:eastAsia="Times New Roman" w:hAnsi="Times New Roman" w:cs="Times New Roman"/>
          <w:b/>
          <w:bCs/>
          <w:u w:val="single"/>
          <w:lang w:val="en-US"/>
        </w:rPr>
      </w:pPr>
      <w:r w:rsidRPr="002C7D79">
        <w:rPr>
          <w:rFonts w:ascii="Times New Roman" w:eastAsia="Times New Roman" w:hAnsi="Times New Roman" w:cs="Times New Roman"/>
          <w:b/>
          <w:bCs/>
          <w:u w:val="single"/>
          <w:lang w:val="en-US"/>
        </w:rPr>
        <w:t>Protection and support of victims:</w:t>
      </w:r>
    </w:p>
    <w:p w14:paraId="75C97BBF" w14:textId="0738F84D" w:rsidR="00EF6908" w:rsidRPr="002C7D79" w:rsidRDefault="4BF242E1" w:rsidP="005217CC">
      <w:pPr>
        <w:pStyle w:val="Prrafodelista"/>
        <w:numPr>
          <w:ilvl w:val="0"/>
          <w:numId w:val="18"/>
        </w:numPr>
        <w:spacing w:before="140" w:after="140" w:line="276" w:lineRule="auto"/>
        <w:jc w:val="both"/>
        <w:rPr>
          <w:rFonts w:ascii="Times New Roman" w:eastAsia="Times New Roman" w:hAnsi="Times New Roman" w:cs="Times New Roman"/>
          <w:lang w:val="en-US"/>
        </w:rPr>
      </w:pPr>
      <w:r w:rsidRPr="002C7D79">
        <w:rPr>
          <w:rFonts w:ascii="Times New Roman" w:hAnsi="Times New Roman" w:cs="Times New Roman"/>
          <w:lang w:val="en-US"/>
        </w:rPr>
        <w:t xml:space="preserve">Improve the access of victims and their families to legal services, psychological support, and economic resources during judicial processes and recuperation. </w:t>
      </w:r>
    </w:p>
    <w:p w14:paraId="7BCD8998" w14:textId="63BC5F50" w:rsidR="00E03FD3" w:rsidRPr="005217CC" w:rsidRDefault="4BF242E1" w:rsidP="005217CC">
      <w:pPr>
        <w:spacing w:before="140" w:after="140" w:line="276" w:lineRule="auto"/>
        <w:jc w:val="both"/>
        <w:rPr>
          <w:rFonts w:ascii="Times New Roman" w:eastAsia="Times New Roman" w:hAnsi="Times New Roman" w:cs="Times New Roman"/>
          <w:b/>
          <w:bCs/>
          <w:u w:val="single"/>
        </w:rPr>
      </w:pPr>
      <w:r w:rsidRPr="4BF242E1">
        <w:rPr>
          <w:rFonts w:ascii="Times New Roman" w:eastAsia="Times New Roman" w:hAnsi="Times New Roman" w:cs="Times New Roman"/>
          <w:b/>
          <w:bCs/>
          <w:u w:val="single"/>
        </w:rPr>
        <w:t>Monitoring and accountability:</w:t>
      </w:r>
    </w:p>
    <w:p w14:paraId="736A301E" w14:textId="428CF43E" w:rsidR="4BF242E1" w:rsidRPr="002C7D79" w:rsidRDefault="4BF242E1" w:rsidP="4BF242E1">
      <w:pPr>
        <w:pStyle w:val="Prrafodelista"/>
        <w:numPr>
          <w:ilvl w:val="0"/>
          <w:numId w:val="18"/>
        </w:numPr>
        <w:spacing w:before="140" w:after="140" w:line="276" w:lineRule="auto"/>
        <w:jc w:val="both"/>
        <w:rPr>
          <w:rFonts w:ascii="Times New Roman" w:eastAsia="Times New Roman" w:hAnsi="Times New Roman" w:cs="Times New Roman"/>
          <w:lang w:val="en-US"/>
        </w:rPr>
      </w:pPr>
      <w:r w:rsidRPr="002C7D79">
        <w:rPr>
          <w:rFonts w:ascii="Times New Roman" w:eastAsia="Times New Roman" w:hAnsi="Times New Roman" w:cs="Times New Roman"/>
          <w:lang w:val="en-US"/>
        </w:rPr>
        <w:t xml:space="preserve">Establish effective mechanisms of independent monitoring and accountability to evaluate compliance with recommendations and to ensure continual protection of human rights in Venezuela. </w:t>
      </w:r>
    </w:p>
    <w:sectPr w:rsidR="4BF242E1" w:rsidRPr="002C7D79">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16CA45" w14:textId="77777777" w:rsidR="00F27EEA" w:rsidRDefault="00F27EEA">
      <w:pPr>
        <w:spacing w:after="0" w:line="240" w:lineRule="auto"/>
      </w:pPr>
      <w:r>
        <w:separator/>
      </w:r>
    </w:p>
  </w:endnote>
  <w:endnote w:type="continuationSeparator" w:id="0">
    <w:p w14:paraId="439DC42A" w14:textId="77777777" w:rsidR="00F27EEA" w:rsidRDefault="00F27EEA">
      <w:pPr>
        <w:spacing w:after="0" w:line="240" w:lineRule="auto"/>
      </w:pPr>
      <w:r>
        <w:continuationSeparator/>
      </w:r>
    </w:p>
  </w:endnote>
  <w:endnote w:type="continuationNotice" w:id="1">
    <w:p w14:paraId="157D611A" w14:textId="77777777" w:rsidR="00F27EEA" w:rsidRDefault="00F27E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6078298"/>
      <w:docPartObj>
        <w:docPartGallery w:val="Page Numbers (Bottom of Page)"/>
        <w:docPartUnique/>
      </w:docPartObj>
    </w:sdtPr>
    <w:sdtEndPr>
      <w:rPr>
        <w:rFonts w:ascii="Times New Roman" w:hAnsi="Times New Roman" w:cs="Times New Roman"/>
      </w:rPr>
    </w:sdtEndPr>
    <w:sdtContent>
      <w:p w14:paraId="6943AC6A" w14:textId="77777777" w:rsidR="001C17F7" w:rsidRDefault="001C17F7" w:rsidP="001C17F7">
        <w:pPr>
          <w:pStyle w:val="Piedepgina"/>
          <w:jc w:val="center"/>
        </w:pPr>
      </w:p>
      <w:p w14:paraId="39B4DA0F" w14:textId="03943F0E" w:rsidR="001C17F7" w:rsidRPr="001C17F7" w:rsidRDefault="001C17F7" w:rsidP="001C17F7">
        <w:pPr>
          <w:pStyle w:val="Piedepgina"/>
          <w:jc w:val="center"/>
          <w:rPr>
            <w:rFonts w:ascii="Times New Roman" w:hAnsi="Times New Roman" w:cs="Times New Roman"/>
          </w:rPr>
        </w:pPr>
        <w:r w:rsidRPr="001C17F7">
          <w:rPr>
            <w:rFonts w:ascii="Times New Roman" w:hAnsi="Times New Roman" w:cs="Times New Roman"/>
          </w:rPr>
          <w:fldChar w:fldCharType="begin"/>
        </w:r>
        <w:r w:rsidRPr="001C17F7">
          <w:rPr>
            <w:rFonts w:ascii="Times New Roman" w:hAnsi="Times New Roman" w:cs="Times New Roman"/>
          </w:rPr>
          <w:instrText>PAGE   \* MERGEFORMAT</w:instrText>
        </w:r>
        <w:r w:rsidRPr="001C17F7">
          <w:rPr>
            <w:rFonts w:ascii="Times New Roman" w:hAnsi="Times New Roman" w:cs="Times New Roman"/>
          </w:rPr>
          <w:fldChar w:fldCharType="separate"/>
        </w:r>
        <w:r w:rsidRPr="001C17F7">
          <w:rPr>
            <w:rFonts w:ascii="Times New Roman" w:hAnsi="Times New Roman" w:cs="Times New Roman"/>
            <w:lang w:val="es-ES"/>
          </w:rPr>
          <w:t>2</w:t>
        </w:r>
        <w:r w:rsidRPr="001C17F7">
          <w:rPr>
            <w:rFonts w:ascii="Times New Roman" w:hAnsi="Times New Roman" w:cs="Times New Roman"/>
          </w:rPr>
          <w:fldChar w:fldCharType="end"/>
        </w:r>
      </w:p>
    </w:sdtContent>
  </w:sdt>
  <w:p w14:paraId="6DAD1280" w14:textId="0CB3A46D" w:rsidR="152F040B" w:rsidRDefault="152F040B" w:rsidP="152F04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9CCFBF" w14:textId="77777777" w:rsidR="00F27EEA" w:rsidRDefault="00F27EEA">
      <w:pPr>
        <w:spacing w:after="0" w:line="240" w:lineRule="auto"/>
      </w:pPr>
      <w:r>
        <w:separator/>
      </w:r>
    </w:p>
  </w:footnote>
  <w:footnote w:type="continuationSeparator" w:id="0">
    <w:p w14:paraId="2658BB62" w14:textId="77777777" w:rsidR="00F27EEA" w:rsidRDefault="00F27EEA">
      <w:pPr>
        <w:spacing w:after="0" w:line="240" w:lineRule="auto"/>
      </w:pPr>
      <w:r>
        <w:continuationSeparator/>
      </w:r>
    </w:p>
  </w:footnote>
  <w:footnote w:type="continuationNotice" w:id="1">
    <w:p w14:paraId="288E0E02" w14:textId="77777777" w:rsidR="00F27EEA" w:rsidRDefault="00F27EEA">
      <w:pPr>
        <w:spacing w:after="0" w:line="240" w:lineRule="auto"/>
      </w:pPr>
    </w:p>
  </w:footnote>
  <w:footnote w:id="2">
    <w:p w14:paraId="623F2475" w14:textId="59B4E8B9" w:rsidR="152F040B" w:rsidRPr="00013651" w:rsidRDefault="152F040B" w:rsidP="00013651">
      <w:pPr>
        <w:pStyle w:val="Textonotapie"/>
        <w:jc w:val="both"/>
        <w:rPr>
          <w:rFonts w:ascii="Times New Roman" w:eastAsia="Times New Roman" w:hAnsi="Times New Roman" w:cs="Times New Roman"/>
          <w:sz w:val="18"/>
          <w:szCs w:val="18"/>
          <w:lang w:val="en-US"/>
        </w:rPr>
      </w:pPr>
      <w:r w:rsidRPr="00013651">
        <w:rPr>
          <w:rStyle w:val="Refdenotaalpie"/>
          <w:rFonts w:ascii="Times New Roman" w:eastAsia="Times New Roman" w:hAnsi="Times New Roman" w:cs="Times New Roman"/>
          <w:sz w:val="18"/>
          <w:szCs w:val="18"/>
        </w:rPr>
        <w:footnoteRef/>
      </w:r>
      <w:r w:rsidRPr="00013651">
        <w:rPr>
          <w:rFonts w:ascii="Times New Roman" w:eastAsia="Times New Roman" w:hAnsi="Times New Roman" w:cs="Times New Roman"/>
          <w:sz w:val="18"/>
          <w:szCs w:val="18"/>
          <w:lang w:val="en-US"/>
        </w:rPr>
        <w:t xml:space="preserve"> </w:t>
      </w:r>
      <w:r w:rsidR="005C406F" w:rsidRPr="00013651">
        <w:rPr>
          <w:rFonts w:ascii="Times New Roman" w:eastAsia="Times New Roman" w:hAnsi="Times New Roman" w:cs="Times New Roman"/>
          <w:sz w:val="18"/>
          <w:szCs w:val="18"/>
          <w:lang w:val="en-US"/>
        </w:rPr>
        <w:t>This document may be posted on the OHCHR CERD website for public disseminiation.</w:t>
      </w:r>
    </w:p>
  </w:footnote>
  <w:footnote w:id="3">
    <w:p w14:paraId="3462509F" w14:textId="4D29771E" w:rsidR="00330483" w:rsidRPr="00013651" w:rsidRDefault="00330483" w:rsidP="00013651">
      <w:pPr>
        <w:pStyle w:val="Textonotapie"/>
        <w:jc w:val="both"/>
        <w:rPr>
          <w:rFonts w:ascii="Times New Roman" w:hAnsi="Times New Roman" w:cs="Times New Roman"/>
          <w:sz w:val="18"/>
          <w:szCs w:val="18"/>
          <w:lang w:val="en-US"/>
        </w:rPr>
      </w:pPr>
      <w:r w:rsidRPr="00013651">
        <w:rPr>
          <w:rStyle w:val="Refdenotaalpie"/>
          <w:rFonts w:ascii="Times New Roman" w:hAnsi="Times New Roman" w:cs="Times New Roman"/>
          <w:sz w:val="18"/>
          <w:szCs w:val="18"/>
        </w:rPr>
        <w:footnoteRef/>
      </w:r>
      <w:r w:rsidRPr="00013651">
        <w:rPr>
          <w:rFonts w:ascii="Times New Roman" w:hAnsi="Times New Roman" w:cs="Times New Roman"/>
          <w:sz w:val="18"/>
          <w:szCs w:val="18"/>
          <w:lang w:val="en-US"/>
        </w:rPr>
        <w:t xml:space="preserve"> </w:t>
      </w:r>
      <w:r w:rsidR="005C406F" w:rsidRPr="00013651">
        <w:rPr>
          <w:rFonts w:ascii="Times New Roman" w:hAnsi="Times New Roman" w:cs="Times New Roman"/>
          <w:sz w:val="18"/>
          <w:szCs w:val="18"/>
          <w:lang w:val="en-US"/>
        </w:rPr>
        <w:t>See</w:t>
      </w:r>
      <w:r w:rsidRPr="00013651">
        <w:rPr>
          <w:rFonts w:ascii="Times New Roman" w:hAnsi="Times New Roman" w:cs="Times New Roman"/>
          <w:sz w:val="18"/>
          <w:szCs w:val="18"/>
          <w:lang w:val="en-US"/>
        </w:rPr>
        <w:t xml:space="preserve">: </w:t>
      </w:r>
      <w:hyperlink r:id="rId1" w:history="1">
        <w:r w:rsidRPr="00013651">
          <w:rPr>
            <w:rStyle w:val="Hipervnculo"/>
            <w:rFonts w:ascii="Times New Roman" w:hAnsi="Times New Roman" w:cs="Times New Roman"/>
            <w:sz w:val="18"/>
            <w:szCs w:val="18"/>
            <w:lang w:val="en-US"/>
          </w:rPr>
          <w:t>https://indicators.ohchr.org/</w:t>
        </w:r>
      </w:hyperlink>
    </w:p>
  </w:footnote>
  <w:footnote w:id="4">
    <w:p w14:paraId="3ABBB0DD" w14:textId="0CFE4C9F" w:rsidR="00330483" w:rsidRPr="00013651" w:rsidRDefault="00330483" w:rsidP="00013651">
      <w:pPr>
        <w:pStyle w:val="Textonotapie"/>
        <w:jc w:val="both"/>
        <w:rPr>
          <w:rFonts w:ascii="Times New Roman" w:hAnsi="Times New Roman" w:cs="Times New Roman"/>
          <w:sz w:val="18"/>
          <w:szCs w:val="18"/>
          <w:lang w:val="en-US"/>
        </w:rPr>
      </w:pPr>
      <w:r w:rsidRPr="00013651">
        <w:rPr>
          <w:rStyle w:val="Refdenotaalpie"/>
          <w:rFonts w:ascii="Times New Roman" w:hAnsi="Times New Roman" w:cs="Times New Roman"/>
          <w:sz w:val="18"/>
          <w:szCs w:val="18"/>
        </w:rPr>
        <w:footnoteRef/>
      </w:r>
      <w:r w:rsidRPr="00013651">
        <w:rPr>
          <w:rFonts w:ascii="Times New Roman" w:hAnsi="Times New Roman" w:cs="Times New Roman"/>
          <w:sz w:val="18"/>
          <w:szCs w:val="18"/>
          <w:lang w:val="en-US"/>
        </w:rPr>
        <w:t xml:space="preserve"> </w:t>
      </w:r>
      <w:r w:rsidR="00010DD1" w:rsidRPr="00013651">
        <w:rPr>
          <w:rFonts w:ascii="Times New Roman" w:hAnsi="Times New Roman" w:cs="Times New Roman"/>
          <w:sz w:val="18"/>
          <w:szCs w:val="18"/>
          <w:lang w:val="en-US"/>
        </w:rPr>
        <w:t>See</w:t>
      </w:r>
      <w:r w:rsidRPr="00013651">
        <w:rPr>
          <w:rFonts w:ascii="Times New Roman" w:hAnsi="Times New Roman" w:cs="Times New Roman"/>
          <w:sz w:val="18"/>
          <w:szCs w:val="18"/>
          <w:lang w:val="en-US"/>
        </w:rPr>
        <w:t xml:space="preserve"> </w:t>
      </w:r>
      <w:r w:rsidR="00010DD1" w:rsidRPr="00013651">
        <w:rPr>
          <w:rFonts w:ascii="Times New Roman" w:hAnsi="Times New Roman" w:cs="Times New Roman"/>
          <w:sz w:val="18"/>
          <w:szCs w:val="18"/>
          <w:lang w:val="en-US"/>
        </w:rPr>
        <w:t>the Organic Law against Racial Discrimination here</w:t>
      </w:r>
      <w:r w:rsidRPr="00013651">
        <w:rPr>
          <w:rFonts w:ascii="Times New Roman" w:hAnsi="Times New Roman" w:cs="Times New Roman"/>
          <w:sz w:val="18"/>
          <w:szCs w:val="18"/>
          <w:lang w:val="en-US"/>
        </w:rPr>
        <w:t xml:space="preserve">: </w:t>
      </w:r>
      <w:hyperlink r:id="rId2" w:history="1">
        <w:r w:rsidRPr="00013651">
          <w:rPr>
            <w:rStyle w:val="Hipervnculo"/>
            <w:rFonts w:ascii="Times New Roman" w:hAnsi="Times New Roman" w:cs="Times New Roman"/>
            <w:sz w:val="18"/>
            <w:szCs w:val="18"/>
            <w:lang w:val="en-US"/>
          </w:rPr>
          <w:t>https://accesoalajusticia.org/ley-organica-contra-la-discriminacion-racial/</w:t>
        </w:r>
      </w:hyperlink>
    </w:p>
  </w:footnote>
  <w:footnote w:id="5">
    <w:p w14:paraId="16F7DAAD" w14:textId="06272320" w:rsidR="00D37E71" w:rsidRPr="00013651" w:rsidRDefault="00D37E71" w:rsidP="00013651">
      <w:pPr>
        <w:pStyle w:val="Textonotapie"/>
        <w:jc w:val="both"/>
        <w:rPr>
          <w:rFonts w:ascii="Times New Roman" w:hAnsi="Times New Roman" w:cs="Times New Roman"/>
          <w:sz w:val="18"/>
          <w:szCs w:val="18"/>
          <w:lang w:val="en-US"/>
        </w:rPr>
      </w:pPr>
      <w:r w:rsidRPr="00013651">
        <w:rPr>
          <w:rStyle w:val="Refdenotaalpie"/>
          <w:rFonts w:ascii="Times New Roman" w:hAnsi="Times New Roman" w:cs="Times New Roman"/>
          <w:sz w:val="18"/>
          <w:szCs w:val="18"/>
        </w:rPr>
        <w:footnoteRef/>
      </w:r>
      <w:r w:rsidRPr="00013651">
        <w:rPr>
          <w:rFonts w:ascii="Times New Roman" w:hAnsi="Times New Roman" w:cs="Times New Roman"/>
          <w:sz w:val="18"/>
          <w:szCs w:val="18"/>
          <w:lang w:val="en-US"/>
        </w:rPr>
        <w:t xml:space="preserve"> Racism and violence of the State of Venezuela. Interview of Keymer Ávila. NUSO N° 289. September – October 2020. Available at: </w:t>
      </w:r>
      <w:hyperlink r:id="rId3" w:history="1">
        <w:r w:rsidRPr="00013651">
          <w:rPr>
            <w:rStyle w:val="Hipervnculo"/>
            <w:rFonts w:ascii="Times New Roman" w:hAnsi="Times New Roman" w:cs="Times New Roman"/>
            <w:sz w:val="18"/>
            <w:szCs w:val="18"/>
            <w:lang w:val="en-US"/>
          </w:rPr>
          <w:t>https://nuso.org/articulo/racismo-y-violencia-de-estado-en-venezuela/</w:t>
        </w:r>
      </w:hyperlink>
      <w:r w:rsidRPr="00013651">
        <w:rPr>
          <w:rFonts w:ascii="Times New Roman" w:hAnsi="Times New Roman" w:cs="Times New Roman"/>
          <w:sz w:val="18"/>
          <w:szCs w:val="18"/>
          <w:lang w:val="en-US"/>
        </w:rPr>
        <w:t xml:space="preserve"> and Keymer Ávila, Elvira Blanco Santini and Alejandro Quryat (2021). Racism and police violence in Venezuela. A conversation between Venezuelans from inside and outside the empire. </w:t>
      </w:r>
      <w:r w:rsidRPr="00013651">
        <w:rPr>
          <w:rFonts w:ascii="Times New Roman" w:hAnsi="Times New Roman" w:cs="Times New Roman"/>
          <w:i/>
          <w:iCs/>
          <w:sz w:val="18"/>
          <w:szCs w:val="18"/>
          <w:lang w:val="en-US"/>
        </w:rPr>
        <w:t xml:space="preserve">In a tribute book to Doctor Pedro Nikken.  Volume I, pp. 505-517. </w:t>
      </w:r>
      <w:r w:rsidRPr="00013651">
        <w:rPr>
          <w:rFonts w:ascii="Times New Roman" w:hAnsi="Times New Roman" w:cs="Times New Roman"/>
          <w:sz w:val="18"/>
          <w:szCs w:val="18"/>
          <w:lang w:val="en-US"/>
        </w:rPr>
        <w:t xml:space="preserve">Academy of Political and Social Sciences. Available at: </w:t>
      </w:r>
      <w:hyperlink r:id="rId4" w:history="1">
        <w:r w:rsidRPr="00013651">
          <w:rPr>
            <w:rStyle w:val="Hipervnculo"/>
            <w:rFonts w:ascii="Times New Roman" w:hAnsi="Times New Roman" w:cs="Times New Roman"/>
            <w:sz w:val="18"/>
            <w:szCs w:val="18"/>
            <w:lang w:val="en-US"/>
          </w:rPr>
          <w:t>https://www.researchgate.net/publication/354901205_Racismo_y_violencia_policial_en_Venezuela_Una_conversacion_entre_venezolanos_desde_afuera_y_adentro_del_Imperio</w:t>
        </w:r>
      </w:hyperlink>
      <w:r w:rsidRPr="00013651">
        <w:rPr>
          <w:rFonts w:ascii="Times New Roman" w:hAnsi="Times New Roman" w:cs="Times New Roman"/>
          <w:sz w:val="18"/>
          <w:szCs w:val="18"/>
          <w:lang w:val="en-US"/>
        </w:rPr>
        <w:t xml:space="preserve">   </w:t>
      </w:r>
    </w:p>
  </w:footnote>
  <w:footnote w:id="6">
    <w:p w14:paraId="7A21A741" w14:textId="77777777" w:rsidR="004B14A3" w:rsidRPr="00013651" w:rsidRDefault="004B14A3" w:rsidP="00013651">
      <w:pPr>
        <w:pStyle w:val="Textonotapie"/>
        <w:jc w:val="both"/>
        <w:rPr>
          <w:rFonts w:ascii="Times New Roman" w:hAnsi="Times New Roman" w:cs="Times New Roman"/>
          <w:sz w:val="18"/>
          <w:szCs w:val="18"/>
          <w:lang w:val="en-US"/>
        </w:rPr>
      </w:pPr>
      <w:r w:rsidRPr="00013651">
        <w:rPr>
          <w:rStyle w:val="Refdenotaalpie"/>
          <w:rFonts w:ascii="Times New Roman" w:hAnsi="Times New Roman" w:cs="Times New Roman"/>
          <w:sz w:val="18"/>
          <w:szCs w:val="18"/>
        </w:rPr>
        <w:footnoteRef/>
      </w:r>
      <w:r w:rsidRPr="00013651">
        <w:rPr>
          <w:rFonts w:ascii="Times New Roman" w:hAnsi="Times New Roman" w:cs="Times New Roman"/>
          <w:sz w:val="18"/>
          <w:szCs w:val="18"/>
          <w:lang w:val="en-US"/>
        </w:rPr>
        <w:t xml:space="preserve"> Mirjana Najcevska, "STRUCTURAL DISCRIMINATION -DEFINITIONS, APPROACHES AND IMPLICATIONS," Office of the United Nations High Commissioner for Human Rights, accessed June 24, 2024, </w:t>
      </w:r>
      <w:hyperlink r:id="rId5" w:tgtFrame="_blank" w:tooltip="https://www.ohchr.org/sites/default/files/Documents/Issues/Racism/IWG/Session8/MirjanaNajcevska.doc" w:history="1">
        <w:r w:rsidRPr="00013651">
          <w:rPr>
            <w:rStyle w:val="Hipervnculo"/>
            <w:rFonts w:ascii="Times New Roman" w:hAnsi="Times New Roman" w:cs="Times New Roman"/>
            <w:sz w:val="18"/>
            <w:szCs w:val="18"/>
            <w:lang w:val="en-US"/>
          </w:rPr>
          <w:t>https://www.ohchr.org/sites/default/files/Documents/Issues/Racism/IWG/Session8/MirjanaNajcevska.doc</w:t>
        </w:r>
      </w:hyperlink>
      <w:r w:rsidRPr="00013651">
        <w:rPr>
          <w:rFonts w:ascii="Times New Roman" w:hAnsi="Times New Roman" w:cs="Times New Roman"/>
          <w:sz w:val="18"/>
          <w:szCs w:val="18"/>
          <w:lang w:val="en-US"/>
        </w:rPr>
        <w:t>.</w:t>
      </w:r>
    </w:p>
  </w:footnote>
  <w:footnote w:id="7">
    <w:p w14:paraId="5975DFE9" w14:textId="7578A716" w:rsidR="00814207" w:rsidRPr="00013651" w:rsidRDefault="00814207" w:rsidP="00013651">
      <w:pPr>
        <w:pStyle w:val="Textonotapie"/>
        <w:jc w:val="both"/>
        <w:rPr>
          <w:rFonts w:ascii="Times New Roman" w:hAnsi="Times New Roman" w:cs="Times New Roman"/>
          <w:sz w:val="18"/>
          <w:szCs w:val="18"/>
          <w:lang w:val="en-US"/>
        </w:rPr>
      </w:pPr>
      <w:r w:rsidRPr="00013651">
        <w:rPr>
          <w:rStyle w:val="Refdenotaalpie"/>
          <w:rFonts w:ascii="Times New Roman" w:hAnsi="Times New Roman" w:cs="Times New Roman"/>
          <w:sz w:val="18"/>
          <w:szCs w:val="18"/>
        </w:rPr>
        <w:footnoteRef/>
      </w:r>
      <w:r w:rsidRPr="00013651">
        <w:rPr>
          <w:rFonts w:ascii="Times New Roman" w:hAnsi="Times New Roman" w:cs="Times New Roman"/>
          <w:sz w:val="18"/>
          <w:szCs w:val="18"/>
          <w:lang w:val="en-US"/>
        </w:rPr>
        <w:t xml:space="preserve"> Committee for the Elimination of Racial Discrimination, “Final observations on the 22nd and 23rd combined periodical reports of Peru,” June 2, 2018, accessed June 24, 2024, </w:t>
      </w:r>
      <w:hyperlink r:id="rId6" w:tgtFrame="_blank" w:tooltip="https://acnudh.org/36040-2/" w:history="1">
        <w:r w:rsidRPr="00013651">
          <w:rPr>
            <w:rStyle w:val="Hipervnculo"/>
            <w:rFonts w:ascii="Times New Roman" w:hAnsi="Times New Roman" w:cs="Times New Roman"/>
            <w:sz w:val="18"/>
            <w:szCs w:val="18"/>
            <w:lang w:val="en-US"/>
          </w:rPr>
          <w:t>https://acnudh.org/36040-2/</w:t>
        </w:r>
      </w:hyperlink>
      <w:r w:rsidRPr="00013651">
        <w:rPr>
          <w:rFonts w:ascii="Times New Roman" w:hAnsi="Times New Roman" w:cs="Times New Roman"/>
          <w:sz w:val="18"/>
          <w:szCs w:val="18"/>
          <w:lang w:val="en-US"/>
        </w:rPr>
        <w:t>.</w:t>
      </w:r>
    </w:p>
  </w:footnote>
  <w:footnote w:id="8">
    <w:p w14:paraId="7C80382E" w14:textId="46DC7409" w:rsidR="00D5183A" w:rsidRPr="00013651" w:rsidRDefault="00D5183A" w:rsidP="00013651">
      <w:pPr>
        <w:pStyle w:val="Textonotapie"/>
        <w:jc w:val="both"/>
        <w:rPr>
          <w:rFonts w:ascii="Times New Roman" w:hAnsi="Times New Roman" w:cs="Times New Roman"/>
          <w:sz w:val="18"/>
          <w:szCs w:val="18"/>
          <w:lang w:val="en-US"/>
        </w:rPr>
      </w:pPr>
      <w:r w:rsidRPr="00013651">
        <w:rPr>
          <w:rStyle w:val="Refdenotaalpie"/>
          <w:rFonts w:ascii="Times New Roman" w:hAnsi="Times New Roman" w:cs="Times New Roman"/>
          <w:sz w:val="18"/>
          <w:szCs w:val="18"/>
        </w:rPr>
        <w:footnoteRef/>
      </w:r>
      <w:r w:rsidRPr="00013651">
        <w:rPr>
          <w:rFonts w:ascii="Times New Roman" w:hAnsi="Times New Roman" w:cs="Times New Roman"/>
          <w:sz w:val="18"/>
          <w:szCs w:val="18"/>
          <w:lang w:val="en-US"/>
        </w:rPr>
        <w:t xml:space="preserve"> </w:t>
      </w:r>
      <w:r w:rsidR="00823B88" w:rsidRPr="00013651">
        <w:rPr>
          <w:rFonts w:ascii="Times New Roman" w:hAnsi="Times New Roman" w:cs="Times New Roman"/>
          <w:sz w:val="18"/>
          <w:szCs w:val="18"/>
          <w:lang w:val="en-US"/>
        </w:rPr>
        <w:t xml:space="preserve">Detailed conclusions of FFM. September 15, 2020. A/HRC/45/CRP.11, paragraph 1017; and </w:t>
      </w:r>
      <w:r w:rsidR="00E74D49" w:rsidRPr="00013651">
        <w:rPr>
          <w:rFonts w:ascii="Times New Roman" w:hAnsi="Times New Roman" w:cs="Times New Roman"/>
          <w:sz w:val="18"/>
          <w:szCs w:val="18"/>
          <w:lang w:val="en-US"/>
        </w:rPr>
        <w:t xml:space="preserve">KeymerÁvila, PROVEA. Special report: FAES does not depend on anyone. Published May 5, 2022, p. 31. Available at: </w:t>
      </w:r>
      <w:hyperlink r:id="rId7" w:history="1">
        <w:r w:rsidR="00E74D49" w:rsidRPr="00013651">
          <w:rPr>
            <w:rStyle w:val="Hipervnculo"/>
            <w:rFonts w:ascii="Times New Roman" w:hAnsi="Times New Roman" w:cs="Times New Roman"/>
            <w:sz w:val="18"/>
            <w:szCs w:val="18"/>
            <w:lang w:val="en-US"/>
          </w:rPr>
          <w:t>https://provea.org/actualidad/informe-especial-el-faes-no-depende-de-nadie/</w:t>
        </w:r>
      </w:hyperlink>
      <w:r w:rsidR="00E74D49" w:rsidRPr="00013651">
        <w:rPr>
          <w:rFonts w:ascii="Times New Roman" w:hAnsi="Times New Roman" w:cs="Times New Roman"/>
          <w:sz w:val="18"/>
          <w:szCs w:val="18"/>
          <w:lang w:val="en-US"/>
        </w:rPr>
        <w:t xml:space="preserve">  </w:t>
      </w:r>
    </w:p>
  </w:footnote>
  <w:footnote w:id="9">
    <w:p w14:paraId="328EFCBE" w14:textId="1895E735" w:rsidR="004A2A55" w:rsidRPr="00013651" w:rsidRDefault="00572865" w:rsidP="00013651">
      <w:pPr>
        <w:pStyle w:val="Textonotapie"/>
        <w:jc w:val="both"/>
        <w:rPr>
          <w:rFonts w:ascii="Times New Roman" w:hAnsi="Times New Roman" w:cs="Times New Roman"/>
          <w:sz w:val="18"/>
          <w:szCs w:val="18"/>
          <w:lang w:val="en-US"/>
        </w:rPr>
      </w:pPr>
      <w:r w:rsidRPr="00013651">
        <w:rPr>
          <w:rStyle w:val="Refdenotaalpie"/>
          <w:rFonts w:ascii="Times New Roman" w:hAnsi="Times New Roman" w:cs="Times New Roman"/>
          <w:sz w:val="18"/>
          <w:szCs w:val="18"/>
        </w:rPr>
        <w:footnoteRef/>
      </w:r>
      <w:r w:rsidRPr="00013651">
        <w:rPr>
          <w:rFonts w:ascii="Times New Roman" w:hAnsi="Times New Roman" w:cs="Times New Roman"/>
          <w:sz w:val="18"/>
          <w:szCs w:val="18"/>
          <w:lang w:val="en-US"/>
        </w:rPr>
        <w:t xml:space="preserve"> </w:t>
      </w:r>
      <w:r w:rsidR="004A2A55" w:rsidRPr="00013651">
        <w:rPr>
          <w:rFonts w:ascii="Times New Roman" w:hAnsi="Times New Roman" w:cs="Times New Roman"/>
          <w:sz w:val="18"/>
          <w:szCs w:val="18"/>
          <w:lang w:val="en-US"/>
        </w:rPr>
        <w:t>Report from OACNUDH about the human rights situation in Venezuela. June-July 2021.</w:t>
      </w:r>
    </w:p>
    <w:p w14:paraId="09D82950" w14:textId="60C9DDEF" w:rsidR="00572865" w:rsidRPr="00013651" w:rsidRDefault="4BF242E1" w:rsidP="00013651">
      <w:pPr>
        <w:pStyle w:val="Textonotapie"/>
        <w:jc w:val="both"/>
        <w:rPr>
          <w:rFonts w:ascii="Times New Roman" w:hAnsi="Times New Roman" w:cs="Times New Roman"/>
          <w:sz w:val="18"/>
          <w:szCs w:val="18"/>
          <w:lang w:val="en-US"/>
        </w:rPr>
      </w:pPr>
      <w:r w:rsidRPr="00013651">
        <w:rPr>
          <w:rFonts w:ascii="Times New Roman" w:hAnsi="Times New Roman" w:cs="Times New Roman"/>
          <w:sz w:val="18"/>
          <w:szCs w:val="18"/>
          <w:lang w:val="en-US"/>
        </w:rPr>
        <w:t>A/HRC/47/55, paragraph 5.</w:t>
      </w:r>
    </w:p>
  </w:footnote>
  <w:footnote w:id="10">
    <w:p w14:paraId="340A4469" w14:textId="244BD32E" w:rsidR="00E2714B" w:rsidRPr="00013651" w:rsidRDefault="00E2714B" w:rsidP="00013651">
      <w:pPr>
        <w:pStyle w:val="Textonotapie"/>
        <w:jc w:val="both"/>
        <w:rPr>
          <w:rFonts w:ascii="Times New Roman" w:hAnsi="Times New Roman" w:cs="Times New Roman"/>
          <w:sz w:val="18"/>
          <w:szCs w:val="18"/>
          <w:lang w:val="en-US"/>
        </w:rPr>
      </w:pPr>
      <w:r w:rsidRPr="00013651">
        <w:rPr>
          <w:rStyle w:val="Refdenotaalpie"/>
          <w:rFonts w:ascii="Times New Roman" w:hAnsi="Times New Roman" w:cs="Times New Roman"/>
          <w:sz w:val="18"/>
          <w:szCs w:val="18"/>
        </w:rPr>
        <w:footnoteRef/>
      </w:r>
      <w:r w:rsidRPr="00013651">
        <w:rPr>
          <w:rFonts w:ascii="Times New Roman" w:hAnsi="Times New Roman" w:cs="Times New Roman"/>
          <w:sz w:val="18"/>
          <w:szCs w:val="18"/>
          <w:lang w:val="en-US"/>
        </w:rPr>
        <w:t xml:space="preserve"> Paredes Torres, Flor. “Criminalization of poverty and human rights.” Institute of Human Rights </w:t>
      </w:r>
      <w:r w:rsidR="4BF242E1" w:rsidRPr="00013651">
        <w:rPr>
          <w:rFonts w:ascii="Times New Roman" w:hAnsi="Times New Roman" w:cs="Times New Roman"/>
          <w:sz w:val="18"/>
          <w:szCs w:val="18"/>
          <w:lang w:val="en-US"/>
        </w:rPr>
        <w:t>“Bartolomé́ de las Casas.” 2015, p. 94.</w:t>
      </w:r>
    </w:p>
  </w:footnote>
  <w:footnote w:id="11">
    <w:p w14:paraId="7B78355E" w14:textId="1DDE3A25" w:rsidR="002805CD" w:rsidRPr="00013651" w:rsidRDefault="002805CD" w:rsidP="00013651">
      <w:pPr>
        <w:pStyle w:val="Textonotapie"/>
        <w:jc w:val="both"/>
        <w:rPr>
          <w:rFonts w:ascii="Times New Roman" w:hAnsi="Times New Roman" w:cs="Times New Roman"/>
          <w:sz w:val="18"/>
          <w:szCs w:val="18"/>
          <w:lang w:val="en-US"/>
        </w:rPr>
      </w:pPr>
      <w:r w:rsidRPr="00013651">
        <w:rPr>
          <w:rStyle w:val="Refdenotaalpie"/>
          <w:rFonts w:ascii="Times New Roman" w:hAnsi="Times New Roman" w:cs="Times New Roman"/>
          <w:sz w:val="18"/>
          <w:szCs w:val="18"/>
        </w:rPr>
        <w:footnoteRef/>
      </w:r>
      <w:r w:rsidRPr="00013651">
        <w:rPr>
          <w:rFonts w:ascii="Times New Roman" w:hAnsi="Times New Roman" w:cs="Times New Roman"/>
          <w:sz w:val="18"/>
          <w:szCs w:val="18"/>
          <w:lang w:val="en-US"/>
        </w:rPr>
        <w:t xml:space="preserve"> </w:t>
      </w:r>
      <w:r w:rsidR="005062C7" w:rsidRPr="00013651">
        <w:rPr>
          <w:rFonts w:ascii="Times New Roman" w:hAnsi="Times New Roman" w:cs="Times New Roman"/>
          <w:sz w:val="18"/>
          <w:szCs w:val="18"/>
          <w:lang w:val="en-US"/>
        </w:rPr>
        <w:t>OHCHR. Mandates of Special Rapporteur about extrajudicial executions, summary or arbitrary; from the Work Group about Arbitrary Detention and the Special Rapporteur about extreme poverty and human rights.</w:t>
      </w:r>
      <w:r w:rsidR="008979AA" w:rsidRPr="00013651">
        <w:rPr>
          <w:rFonts w:ascii="Times New Roman" w:hAnsi="Times New Roman" w:cs="Times New Roman"/>
          <w:sz w:val="18"/>
          <w:szCs w:val="18"/>
          <w:lang w:val="en-US"/>
        </w:rPr>
        <w:t xml:space="preserve"> AL VEN 3/2024. March 22, 2024. Available at: </w:t>
      </w:r>
      <w:hyperlink r:id="rId8" w:history="1">
        <w:r w:rsidR="008979AA" w:rsidRPr="00013651">
          <w:rPr>
            <w:rStyle w:val="Hipervnculo"/>
            <w:rFonts w:ascii="Times New Roman" w:hAnsi="Times New Roman" w:cs="Times New Roman"/>
            <w:sz w:val="18"/>
            <w:szCs w:val="18"/>
            <w:lang w:val="en-US"/>
          </w:rPr>
          <w:t>https://spcommreports.ohchr.org/TMResultsBase/DownLoadPublicCommunicationFile?gId=28782</w:t>
        </w:r>
      </w:hyperlink>
      <w:r w:rsidR="00503246" w:rsidRPr="00013651">
        <w:rPr>
          <w:rFonts w:ascii="Times New Roman" w:hAnsi="Times New Roman" w:cs="Times New Roman"/>
          <w:sz w:val="18"/>
          <w:szCs w:val="18"/>
          <w:lang w:val="en-US"/>
        </w:rPr>
        <w:t xml:space="preserve">, page 15. </w:t>
      </w:r>
    </w:p>
  </w:footnote>
  <w:footnote w:id="12">
    <w:p w14:paraId="61D11A29" w14:textId="495495B2" w:rsidR="005D31EB" w:rsidRPr="00013651" w:rsidRDefault="005D31EB" w:rsidP="00013651">
      <w:pPr>
        <w:pStyle w:val="Textonotapie"/>
        <w:jc w:val="both"/>
        <w:rPr>
          <w:rFonts w:ascii="Times New Roman" w:hAnsi="Times New Roman" w:cs="Times New Roman"/>
          <w:sz w:val="18"/>
          <w:szCs w:val="18"/>
          <w:lang w:val="en-US"/>
        </w:rPr>
      </w:pPr>
      <w:r w:rsidRPr="00013651">
        <w:rPr>
          <w:rStyle w:val="Refdenotaalpie"/>
          <w:rFonts w:ascii="Times New Roman" w:hAnsi="Times New Roman" w:cs="Times New Roman"/>
          <w:sz w:val="18"/>
          <w:szCs w:val="18"/>
        </w:rPr>
        <w:footnoteRef/>
      </w:r>
      <w:r w:rsidRPr="00013651">
        <w:rPr>
          <w:rFonts w:ascii="Times New Roman" w:hAnsi="Times New Roman" w:cs="Times New Roman"/>
          <w:sz w:val="18"/>
          <w:szCs w:val="18"/>
        </w:rPr>
        <w:t xml:space="preserve"> Insight Crime. “</w:t>
      </w:r>
      <w:r w:rsidRPr="00013651">
        <w:rPr>
          <w:rFonts w:ascii="Times New Roman" w:hAnsi="Times New Roman" w:cs="Times New Roman"/>
          <w:i/>
          <w:iCs/>
          <w:sz w:val="18"/>
          <w:szCs w:val="18"/>
        </w:rPr>
        <w:t>El Tren del Llano</w:t>
      </w:r>
      <w:r w:rsidRPr="00013651">
        <w:rPr>
          <w:rFonts w:ascii="Times New Roman" w:hAnsi="Times New Roman" w:cs="Times New Roman"/>
          <w:sz w:val="18"/>
          <w:szCs w:val="18"/>
        </w:rPr>
        <w:t xml:space="preserve">”. </w:t>
      </w:r>
      <w:r w:rsidRPr="00013651">
        <w:rPr>
          <w:rFonts w:ascii="Times New Roman" w:hAnsi="Times New Roman" w:cs="Times New Roman"/>
          <w:sz w:val="18"/>
          <w:szCs w:val="18"/>
          <w:lang w:val="en-US"/>
        </w:rPr>
        <w:t xml:space="preserve">Published September 20, 2019. Available at: </w:t>
      </w:r>
      <w:hyperlink r:id="rId9">
        <w:r w:rsidRPr="00013651">
          <w:rPr>
            <w:rStyle w:val="Hipervnculo"/>
            <w:rFonts w:ascii="Times New Roman" w:hAnsi="Times New Roman" w:cs="Times New Roman"/>
            <w:sz w:val="18"/>
            <w:szCs w:val="18"/>
            <w:lang w:val="en-US"/>
          </w:rPr>
          <w:t>https://es.insightcrime.org/noticias-crimen-organizado-venezuela/tren-llano/</w:t>
        </w:r>
      </w:hyperlink>
      <w:r w:rsidRPr="00013651">
        <w:rPr>
          <w:rFonts w:ascii="Times New Roman" w:hAnsi="Times New Roman" w:cs="Times New Roman"/>
          <w:sz w:val="18"/>
          <w:szCs w:val="18"/>
          <w:lang w:val="en-US"/>
        </w:rPr>
        <w:t xml:space="preserve"> </w:t>
      </w:r>
    </w:p>
  </w:footnote>
  <w:footnote w:id="13">
    <w:p w14:paraId="2DE59167" w14:textId="77777777" w:rsidR="005D31EB" w:rsidRPr="00013651" w:rsidRDefault="005D31EB" w:rsidP="00013651">
      <w:pPr>
        <w:pStyle w:val="Textonotapie"/>
        <w:jc w:val="both"/>
        <w:rPr>
          <w:sz w:val="18"/>
          <w:szCs w:val="18"/>
          <w:lang w:val="en-US"/>
        </w:rPr>
      </w:pPr>
      <w:r w:rsidRPr="00013651">
        <w:rPr>
          <w:rStyle w:val="Refdenotaalpie"/>
          <w:rFonts w:ascii="Times New Roman" w:hAnsi="Times New Roman" w:cs="Times New Roman"/>
          <w:sz w:val="18"/>
          <w:szCs w:val="18"/>
        </w:rPr>
        <w:footnoteRef/>
      </w:r>
      <w:r w:rsidRPr="00013651">
        <w:rPr>
          <w:rFonts w:ascii="Times New Roman" w:hAnsi="Times New Roman" w:cs="Times New Roman"/>
          <w:sz w:val="18"/>
          <w:szCs w:val="18"/>
          <w:lang w:val="en-US"/>
        </w:rPr>
        <w:t xml:space="preserve"> </w:t>
      </w:r>
      <w:hyperlink r:id="rId10" w:history="1">
        <w:r w:rsidRPr="00013651">
          <w:rPr>
            <w:rStyle w:val="Hipervnculo"/>
            <w:rFonts w:ascii="Times New Roman" w:hAnsi="Times New Roman" w:cs="Times New Roman"/>
            <w:sz w:val="18"/>
            <w:szCs w:val="18"/>
            <w:lang w:val="en-US"/>
          </w:rPr>
          <w:t>https://ultimasnoticias.com.ve/noticias/general/operacion-trueno-retumba-en-guarico-contra-el-tren-del-llano-2/</w:t>
        </w:r>
      </w:hyperlink>
      <w:r w:rsidRPr="00013651">
        <w:rPr>
          <w:sz w:val="18"/>
          <w:szCs w:val="18"/>
          <w:lang w:val="en-US"/>
        </w:rPr>
        <w:t xml:space="preserve"> </w:t>
      </w:r>
    </w:p>
  </w:footnote>
  <w:footnote w:id="14">
    <w:p w14:paraId="5762486D" w14:textId="03BED424" w:rsidR="00145A13" w:rsidRPr="00013651" w:rsidRDefault="00145A13" w:rsidP="00013651">
      <w:pPr>
        <w:pStyle w:val="Textonotapie"/>
        <w:jc w:val="both"/>
        <w:rPr>
          <w:rFonts w:ascii="Times New Roman" w:hAnsi="Times New Roman" w:cs="Times New Roman"/>
          <w:sz w:val="18"/>
          <w:szCs w:val="18"/>
          <w:lang w:val="en-US"/>
        </w:rPr>
      </w:pPr>
      <w:r w:rsidRPr="00013651">
        <w:rPr>
          <w:rStyle w:val="Refdenotaalpie"/>
          <w:rFonts w:ascii="Times New Roman" w:hAnsi="Times New Roman" w:cs="Times New Roman"/>
          <w:sz w:val="18"/>
          <w:szCs w:val="18"/>
        </w:rPr>
        <w:footnoteRef/>
      </w:r>
      <w:r w:rsidRPr="00013651">
        <w:rPr>
          <w:rFonts w:ascii="Times New Roman" w:hAnsi="Times New Roman" w:cs="Times New Roman"/>
          <w:sz w:val="18"/>
          <w:szCs w:val="18"/>
          <w:lang w:val="en-US"/>
        </w:rPr>
        <w:t xml:space="preserve"> Office of the High Commissioner of the United Nations for Human Rights, "The International Convention on all forms of racial discrimination: Manual for civil society,” accessed June 24, 2024, </w:t>
      </w:r>
      <w:hyperlink r:id="rId11" w:tgtFrame="_blank" w:tooltip="https://www.ohchr.org/sites/default/files/documents/HRBodies/CERD/ICERDManual_sp.pdf" w:history="1">
        <w:r w:rsidRPr="00013651">
          <w:rPr>
            <w:rStyle w:val="Hipervnculo"/>
            <w:rFonts w:ascii="Times New Roman" w:hAnsi="Times New Roman" w:cs="Times New Roman"/>
            <w:sz w:val="18"/>
            <w:szCs w:val="18"/>
            <w:lang w:val="en-US"/>
          </w:rPr>
          <w:t>https://www.ohchr.org/sites/default/files/documents/HRBodies/CERD/ICERDManual_sp.pdf</w:t>
        </w:r>
      </w:hyperlink>
      <w:r w:rsidRPr="00013651">
        <w:rPr>
          <w:rFonts w:ascii="Times New Roman" w:hAnsi="Times New Roman" w:cs="Times New Roman"/>
          <w:sz w:val="18"/>
          <w:szCs w:val="18"/>
          <w:lang w:val="en-US"/>
        </w:rPr>
        <w:t xml:space="preserve">.  and Mirjana Najcevska, "STRUCTURAL DISCRIMINATION -DEFINITIONS, APPROACHES AND IMPLICATIONS," Office of the United Nations High Commissioner for Human Rights, accessed June 24, 2024, </w:t>
      </w:r>
      <w:hyperlink r:id="rId12" w:tgtFrame="_blank" w:tooltip="https://www.ohchr.org/sites/default/files/Documents/Issues/Racism/IWG/Session8/MirjanaNajcevska.doc" w:history="1">
        <w:r w:rsidRPr="00013651">
          <w:rPr>
            <w:rStyle w:val="Hipervnculo"/>
            <w:rFonts w:ascii="Times New Roman" w:hAnsi="Times New Roman" w:cs="Times New Roman"/>
            <w:sz w:val="18"/>
            <w:szCs w:val="18"/>
            <w:lang w:val="en-US"/>
          </w:rPr>
          <w:t>https://www.ohchr.org/sites/default/files/Documents/Issues/Racism/IWG/Session8/MirjanaNajcevska.doc</w:t>
        </w:r>
      </w:hyperlink>
      <w:r w:rsidRPr="00013651">
        <w:rPr>
          <w:rFonts w:ascii="Times New Roman" w:hAnsi="Times New Roman" w:cs="Times New Roman"/>
          <w:sz w:val="18"/>
          <w:szCs w:val="18"/>
          <w:lang w:val="en-US"/>
        </w:rPr>
        <w:t>.</w:t>
      </w:r>
    </w:p>
  </w:footnote>
  <w:footnote w:id="15">
    <w:p w14:paraId="764EF4E3" w14:textId="08ED9250" w:rsidR="004F47D6" w:rsidRPr="00013651" w:rsidRDefault="004F47D6" w:rsidP="00013651">
      <w:pPr>
        <w:pStyle w:val="Textonotapie"/>
        <w:jc w:val="both"/>
        <w:rPr>
          <w:rFonts w:ascii="Times New Roman" w:hAnsi="Times New Roman" w:cs="Times New Roman"/>
          <w:sz w:val="18"/>
          <w:szCs w:val="18"/>
          <w:lang w:val="en-US"/>
        </w:rPr>
      </w:pPr>
      <w:r w:rsidRPr="00013651">
        <w:rPr>
          <w:rStyle w:val="Refdenotaalpie"/>
          <w:rFonts w:ascii="Times New Roman" w:hAnsi="Times New Roman" w:cs="Times New Roman"/>
          <w:sz w:val="18"/>
          <w:szCs w:val="18"/>
        </w:rPr>
        <w:footnoteRef/>
      </w:r>
      <w:r w:rsidRPr="00013651">
        <w:rPr>
          <w:rFonts w:ascii="Times New Roman" w:hAnsi="Times New Roman" w:cs="Times New Roman"/>
          <w:sz w:val="18"/>
          <w:szCs w:val="18"/>
          <w:lang w:val="en-US"/>
        </w:rPr>
        <w:t xml:space="preserve"> Committee for the Elimination of Racial Discrimination, "General Recommendation No. 25: The dimensions of racial discrimination related to gender,” March 20, 2000, accessed June 24, 2024, </w:t>
      </w:r>
      <w:hyperlink r:id="rId13" w:tgtFrame="_blank" w:tooltip="https://www.ohchr.org/es/instruments-mechanisms/instruments/international-convention-elimination-all-forms-racial" w:history="1">
        <w:r w:rsidRPr="00013651">
          <w:rPr>
            <w:rStyle w:val="Hipervnculo"/>
            <w:rFonts w:ascii="Times New Roman" w:hAnsi="Times New Roman" w:cs="Times New Roman"/>
            <w:sz w:val="18"/>
            <w:szCs w:val="18"/>
            <w:lang w:val="en-US"/>
          </w:rPr>
          <w:t>https://www.ohchr.org/es/instruments-mechanisms/instruments/international-convention-elimination-all-forms-racial</w:t>
        </w:r>
      </w:hyperlink>
      <w:r w:rsidRPr="00013651">
        <w:rPr>
          <w:rFonts w:ascii="Times New Roman" w:hAnsi="Times New Roman" w:cs="Times New Roman"/>
          <w:sz w:val="18"/>
          <w:szCs w:val="18"/>
          <w:lang w:val="en-US"/>
        </w:rPr>
        <w:t>.</w:t>
      </w:r>
    </w:p>
  </w:footnote>
  <w:footnote w:id="16">
    <w:p w14:paraId="00A41941" w14:textId="4D02F39D" w:rsidR="00A6128E" w:rsidRPr="00013651" w:rsidRDefault="00A6128E" w:rsidP="00013651">
      <w:pPr>
        <w:pStyle w:val="Textonotapie"/>
        <w:jc w:val="both"/>
        <w:rPr>
          <w:sz w:val="18"/>
          <w:szCs w:val="18"/>
          <w:lang w:val="en-US"/>
        </w:rPr>
      </w:pPr>
      <w:r w:rsidRPr="00013651">
        <w:rPr>
          <w:rStyle w:val="Refdenotaalpie"/>
          <w:sz w:val="18"/>
          <w:szCs w:val="18"/>
        </w:rPr>
        <w:footnoteRef/>
      </w:r>
      <w:r w:rsidRPr="00013651">
        <w:rPr>
          <w:sz w:val="18"/>
          <w:szCs w:val="18"/>
          <w:lang w:val="en-US"/>
        </w:rPr>
        <w:t xml:space="preserve"> 14. In case of complaints of torture, bad treatment, or executions, investigations must be carried out in compliance with the principles related to an effective prevention and investigation of extrajudicial executions, arbitrary and summary and the principles relating to the investigation and effective documentation of torture and other cruel, inhumane, or degrading treatment or punishment. </w:t>
      </w:r>
    </w:p>
  </w:footnote>
  <w:footnote w:id="17">
    <w:p w14:paraId="22455405" w14:textId="59236883" w:rsidR="003D12A7" w:rsidRPr="00013651" w:rsidRDefault="003D12A7" w:rsidP="00013651">
      <w:pPr>
        <w:pStyle w:val="Textonotapie"/>
        <w:jc w:val="both"/>
        <w:rPr>
          <w:sz w:val="18"/>
          <w:szCs w:val="18"/>
          <w:lang w:val="en-US"/>
        </w:rPr>
      </w:pPr>
      <w:r w:rsidRPr="00013651">
        <w:rPr>
          <w:rStyle w:val="Refdenotaalpie"/>
          <w:sz w:val="18"/>
          <w:szCs w:val="18"/>
        </w:rPr>
        <w:footnoteRef/>
      </w:r>
      <w:r w:rsidRPr="00013651">
        <w:rPr>
          <w:sz w:val="18"/>
          <w:szCs w:val="18"/>
          <w:lang w:val="en-US"/>
        </w:rPr>
        <w:t xml:space="preserve"> Opinion number 54/2023, relative to María Fernanda Silva Beroes and Elizabeth Silva Beroes (Bolivarian Republic of Venezuela) See at: </w:t>
      </w:r>
      <w:hyperlink r:id="rId14" w:history="1">
        <w:r w:rsidRPr="00013651">
          <w:rPr>
            <w:rStyle w:val="Hipervnculo"/>
            <w:sz w:val="18"/>
            <w:szCs w:val="18"/>
            <w:lang w:val="en-US"/>
          </w:rPr>
          <w:t>https://defiendevenezuela.org/wp-content/uploads/2023/11/A-HRC-WGAD-2023-54-Venezuela-Advance-Unedited-Version.pdf</w:t>
        </w:r>
      </w:hyperlink>
      <w:r w:rsidRPr="00013651">
        <w:rPr>
          <w:sz w:val="18"/>
          <w:szCs w:val="18"/>
          <w:lang w:val="en-US"/>
        </w:rPr>
        <w:t xml:space="preserve">    </w:t>
      </w:r>
    </w:p>
  </w:footnote>
  <w:footnote w:id="18">
    <w:p w14:paraId="012641CC" w14:textId="47973ED5" w:rsidR="00F9515B" w:rsidRPr="00013651" w:rsidRDefault="00F9515B" w:rsidP="00013651">
      <w:pPr>
        <w:pStyle w:val="Textonotapie"/>
        <w:jc w:val="both"/>
        <w:rPr>
          <w:sz w:val="18"/>
          <w:szCs w:val="18"/>
          <w:lang w:val="en-US"/>
        </w:rPr>
      </w:pPr>
      <w:r w:rsidRPr="00013651">
        <w:rPr>
          <w:rStyle w:val="Refdenotaalpie"/>
          <w:sz w:val="18"/>
          <w:szCs w:val="18"/>
        </w:rPr>
        <w:footnoteRef/>
      </w:r>
      <w:r w:rsidRPr="00013651">
        <w:rPr>
          <w:sz w:val="18"/>
          <w:szCs w:val="18"/>
          <w:lang w:val="en-US"/>
        </w:rPr>
        <w:t xml:space="preserve"> ONU, Committee for the Elimination of All Types of Racial Discrimination. General Observation No. 31. See more: </w:t>
      </w:r>
      <w:hyperlink r:id="rId15" w:history="1">
        <w:r w:rsidR="00FC34B6" w:rsidRPr="00013651">
          <w:rPr>
            <w:rStyle w:val="Hipervnculo"/>
            <w:sz w:val="18"/>
            <w:szCs w:val="18"/>
            <w:lang w:val="en-US"/>
          </w:rPr>
          <w:t>https://www.acnur.org/fileadmin/Documentos/BDL/2012/8463.pdf</w:t>
        </w:r>
      </w:hyperlink>
      <w:r w:rsidR="00FC34B6" w:rsidRPr="00013651">
        <w:rPr>
          <w:sz w:val="18"/>
          <w:szCs w:val="18"/>
          <w:lang w:val="en-US"/>
        </w:rPr>
        <w:t xml:space="preserve"> </w:t>
      </w:r>
    </w:p>
  </w:footnote>
  <w:footnote w:id="19">
    <w:p w14:paraId="43119A8F" w14:textId="740C0688" w:rsidR="00AB0730" w:rsidRPr="00013651" w:rsidRDefault="00AB0730" w:rsidP="00013651">
      <w:pPr>
        <w:pStyle w:val="Textonotapie"/>
        <w:jc w:val="both"/>
        <w:rPr>
          <w:sz w:val="18"/>
          <w:szCs w:val="18"/>
          <w:lang w:val="en-US"/>
        </w:rPr>
      </w:pPr>
      <w:r w:rsidRPr="00013651">
        <w:rPr>
          <w:rStyle w:val="Refdenotaalpie"/>
          <w:sz w:val="18"/>
          <w:szCs w:val="18"/>
        </w:rPr>
        <w:footnoteRef/>
      </w:r>
      <w:r w:rsidRPr="00013651">
        <w:rPr>
          <w:sz w:val="18"/>
          <w:szCs w:val="18"/>
          <w:lang w:val="en-US"/>
        </w:rPr>
        <w:t xml:space="preserve">  ONU. CEDAW. General Recommendation No. 25, about Article 4. 1, of the Convention Against All Forms of Discrimination Against Women. Retrieved at: </w:t>
      </w:r>
      <w:hyperlink r:id="rId16" w:history="1">
        <w:r w:rsidRPr="00013651">
          <w:rPr>
            <w:rStyle w:val="Hipervnculo"/>
            <w:sz w:val="18"/>
            <w:szCs w:val="18"/>
            <w:lang w:val="en-US"/>
          </w:rPr>
          <w:t>https://www.un.org/womenwatch/daw/cedaw/recommendations/Generarecommendation%2025%20(English).pdf</w:t>
        </w:r>
      </w:hyperlink>
      <w:r w:rsidRPr="00013651">
        <w:rPr>
          <w:sz w:val="18"/>
          <w:szCs w:val="18"/>
          <w:lang w:val="en-US"/>
        </w:rPr>
        <w:t xml:space="preserve"> </w:t>
      </w:r>
    </w:p>
  </w:footnote>
  <w:footnote w:id="20">
    <w:p w14:paraId="2D3A2663" w14:textId="7AC80156" w:rsidR="00BF7032" w:rsidRPr="00013651" w:rsidRDefault="00BF7032" w:rsidP="00013651">
      <w:pPr>
        <w:pStyle w:val="Textonotapie"/>
        <w:jc w:val="both"/>
        <w:rPr>
          <w:sz w:val="18"/>
          <w:szCs w:val="18"/>
          <w:lang w:val="en-US"/>
        </w:rPr>
      </w:pPr>
      <w:r w:rsidRPr="00013651">
        <w:rPr>
          <w:rStyle w:val="Refdenotaalpie"/>
          <w:sz w:val="18"/>
          <w:szCs w:val="18"/>
        </w:rPr>
        <w:footnoteRef/>
      </w:r>
      <w:r w:rsidRPr="00013651">
        <w:rPr>
          <w:sz w:val="18"/>
          <w:szCs w:val="18"/>
          <w:lang w:val="en-US"/>
        </w:rPr>
        <w:t xml:space="preserve"> Nueva Sociedad. “Racism and violence of the state in Venezuela.“ NUSO Nº 289 / September-October 2020, retrieved at: </w:t>
      </w:r>
      <w:hyperlink r:id="rId17" w:history="1">
        <w:r w:rsidRPr="00013651">
          <w:rPr>
            <w:rStyle w:val="Hipervnculo"/>
            <w:sz w:val="18"/>
            <w:szCs w:val="18"/>
            <w:lang w:val="en-US"/>
          </w:rPr>
          <w:t>https://nuso.org/articulo/racismo-y-violencia-de-estado-en-venezuela/</w:t>
        </w:r>
      </w:hyperlink>
      <w:r w:rsidRPr="00013651">
        <w:rPr>
          <w:sz w:val="18"/>
          <w:szCs w:val="18"/>
          <w:lang w:val="en-US"/>
        </w:rPr>
        <w:t xml:space="preserve"> </w:t>
      </w:r>
    </w:p>
  </w:footnote>
  <w:footnote w:id="21">
    <w:p w14:paraId="191451B7" w14:textId="4E66784D" w:rsidR="00BF7032" w:rsidRPr="00013651" w:rsidRDefault="00BF7032" w:rsidP="00013651">
      <w:pPr>
        <w:pStyle w:val="Textonotapie"/>
        <w:jc w:val="both"/>
        <w:rPr>
          <w:sz w:val="18"/>
          <w:szCs w:val="18"/>
          <w:lang w:val="en-US"/>
        </w:rPr>
      </w:pPr>
      <w:r w:rsidRPr="00013651">
        <w:rPr>
          <w:rStyle w:val="Refdenotaalpie"/>
          <w:sz w:val="18"/>
          <w:szCs w:val="18"/>
        </w:rPr>
        <w:footnoteRef/>
      </w:r>
      <w:r w:rsidRPr="00013651">
        <w:rPr>
          <w:sz w:val="18"/>
          <w:szCs w:val="18"/>
          <w:lang w:val="en-US"/>
        </w:rPr>
        <w:t xml:space="preserve"> State Agenda of Rights, “Homophobia in the state of Venezuela: one step forward, thirty-three steps back,“ by: Victoria Capriles, September 8, 2023, retrieved at: </w:t>
      </w:r>
      <w:hyperlink r:id="rId18" w:anchor=":~:text=La%20homofobia%20institucional%20y%20social,sociedad%20m%C3%A1s%20inclusiva%20y%20tolerante" w:history="1">
        <w:r w:rsidRPr="00013651">
          <w:rPr>
            <w:rStyle w:val="Hipervnculo"/>
            <w:sz w:val="18"/>
            <w:szCs w:val="18"/>
            <w:lang w:val="en-US"/>
          </w:rPr>
          <w:t>https://agendaestadodederecho.com/homofobia-de-estado-en-enezuela/#:~:text=La%20homofobia%20institucional%20y%20social,sociedad%20m%C3%A1s%20inclusiva%20y%20tolerante</w:t>
        </w:r>
      </w:hyperlink>
      <w:r w:rsidRPr="00013651">
        <w:rPr>
          <w:sz w:val="18"/>
          <w:szCs w:val="18"/>
          <w:lang w:val="en-US"/>
        </w:rPr>
        <w:t xml:space="preserve"> </w:t>
      </w:r>
    </w:p>
  </w:footnote>
  <w:footnote w:id="22">
    <w:p w14:paraId="6BA649F9" w14:textId="4E9321B5" w:rsidR="005D0501" w:rsidRPr="00013651" w:rsidRDefault="005D0501" w:rsidP="00013651">
      <w:pPr>
        <w:spacing w:after="0" w:line="240" w:lineRule="auto"/>
        <w:jc w:val="both"/>
        <w:rPr>
          <w:rFonts w:ascii="Times New Roman" w:eastAsia="Times New Roman" w:hAnsi="Times New Roman" w:cs="Times New Roman"/>
          <w:sz w:val="18"/>
          <w:szCs w:val="18"/>
          <w:lang w:val="en-US"/>
        </w:rPr>
      </w:pPr>
      <w:r w:rsidRPr="00013651">
        <w:rPr>
          <w:rFonts w:ascii="Times New Roman" w:hAnsi="Times New Roman" w:cs="Times New Roman"/>
          <w:sz w:val="18"/>
          <w:szCs w:val="18"/>
          <w:vertAlign w:val="superscript"/>
        </w:rPr>
        <w:footnoteRef/>
      </w:r>
      <w:r w:rsidRPr="00013651">
        <w:rPr>
          <w:rFonts w:ascii="Times New Roman" w:eastAsia="Times New Roman" w:hAnsi="Times New Roman" w:cs="Times New Roman"/>
          <w:sz w:val="18"/>
          <w:szCs w:val="18"/>
          <w:lang w:val="en-US"/>
        </w:rPr>
        <w:t xml:space="preserve"> The Venezuelan Observatory of LGBTIQ+ Violence</w:t>
      </w:r>
      <w:bookmarkStart w:id="0" w:name="_Hlk170927581"/>
      <w:r w:rsidRPr="00013651">
        <w:rPr>
          <w:rFonts w:ascii="Times New Roman" w:eastAsia="Times New Roman" w:hAnsi="Times New Roman" w:cs="Times New Roman"/>
          <w:sz w:val="18"/>
          <w:szCs w:val="18"/>
          <w:lang w:val="en-US"/>
        </w:rPr>
        <w:t xml:space="preserve">. </w:t>
      </w:r>
      <w:bookmarkEnd w:id="0"/>
      <w:r w:rsidRPr="00013651">
        <w:rPr>
          <w:rFonts w:ascii="Times New Roman" w:eastAsia="Times New Roman" w:hAnsi="Times New Roman" w:cs="Times New Roman"/>
          <w:sz w:val="18"/>
          <w:szCs w:val="18"/>
          <w:lang w:val="en-US"/>
        </w:rPr>
        <w:t xml:space="preserve">“OVV LGBTIQ+ documented 461 cases of violence against LGBTIQ+ people in 2023: half were discriminatory discourses that occurred in a context of impunity and homophobia of the State,” from May 17, 2024, drawn from: </w:t>
      </w:r>
      <w:hyperlink r:id="rId19">
        <w:r w:rsidRPr="00013651">
          <w:rPr>
            <w:rFonts w:ascii="Times New Roman" w:eastAsia="Times New Roman" w:hAnsi="Times New Roman" w:cs="Times New Roman"/>
            <w:color w:val="1155CC"/>
            <w:sz w:val="18"/>
            <w:szCs w:val="18"/>
            <w:u w:val="single"/>
            <w:lang w:val="en-US"/>
          </w:rPr>
          <w:t>https://nomasdiscriminacion.org/notas-de-prensa/personas-lgbtiq-inf-2023/</w:t>
        </w:r>
      </w:hyperlink>
      <w:r w:rsidRPr="00013651">
        <w:rPr>
          <w:rFonts w:ascii="Times New Roman" w:eastAsia="Times New Roman" w:hAnsi="Times New Roman" w:cs="Times New Roman"/>
          <w:sz w:val="18"/>
          <w:szCs w:val="18"/>
          <w:lang w:val="en-US"/>
        </w:rPr>
        <w:t xml:space="preserve"> </w:t>
      </w:r>
    </w:p>
  </w:footnote>
  <w:footnote w:id="23">
    <w:p w14:paraId="6570B36A" w14:textId="6AE2AE56" w:rsidR="005D0501" w:rsidRPr="00013651" w:rsidRDefault="005D0501" w:rsidP="00013651">
      <w:pPr>
        <w:spacing w:after="0" w:line="240" w:lineRule="auto"/>
        <w:jc w:val="both"/>
        <w:rPr>
          <w:rFonts w:ascii="Times New Roman" w:eastAsia="Times New Roman" w:hAnsi="Times New Roman" w:cs="Times New Roman"/>
          <w:sz w:val="18"/>
          <w:szCs w:val="18"/>
          <w:lang w:val="en-US"/>
        </w:rPr>
      </w:pPr>
      <w:r w:rsidRPr="00013651">
        <w:rPr>
          <w:rFonts w:ascii="Times New Roman" w:hAnsi="Times New Roman" w:cs="Times New Roman"/>
          <w:sz w:val="18"/>
          <w:szCs w:val="18"/>
          <w:vertAlign w:val="superscript"/>
        </w:rPr>
        <w:footnoteRef/>
      </w:r>
      <w:r w:rsidRPr="00013651">
        <w:rPr>
          <w:rFonts w:ascii="Times New Roman" w:eastAsia="Times New Roman" w:hAnsi="Times New Roman" w:cs="Times New Roman"/>
          <w:sz w:val="18"/>
          <w:szCs w:val="18"/>
          <w:lang w:val="en-US"/>
        </w:rPr>
        <w:t xml:space="preserve"> The principal laws that formally protect LGBTQIA+ people in Venezuela are the Organic Law about Women’s Right to a Life Free from Violence, the Constitutional Law Against Hate and for Peaceful Coexistence and Tolerance, and the Organic Law of the Civil Registry; however, public information is not existent.</w:t>
      </w:r>
    </w:p>
  </w:footnote>
  <w:footnote w:id="24">
    <w:p w14:paraId="4D113FE4" w14:textId="39A13A7E" w:rsidR="00BF7032" w:rsidRPr="00013651" w:rsidRDefault="00BF7032" w:rsidP="00013651">
      <w:pPr>
        <w:pStyle w:val="Textonotapie"/>
        <w:jc w:val="both"/>
        <w:rPr>
          <w:sz w:val="18"/>
          <w:szCs w:val="18"/>
          <w:lang w:val="en-US"/>
        </w:rPr>
      </w:pPr>
      <w:r w:rsidRPr="00013651">
        <w:rPr>
          <w:rStyle w:val="Refdenotaalpie"/>
          <w:sz w:val="18"/>
          <w:szCs w:val="18"/>
        </w:rPr>
        <w:footnoteRef/>
      </w:r>
      <w:r w:rsidRPr="00013651">
        <w:rPr>
          <w:sz w:val="18"/>
          <w:szCs w:val="18"/>
          <w:lang w:val="en-US"/>
        </w:rPr>
        <w:t xml:space="preserve"> Venezuelan Observatory of LGBTIQ+ Violence. “What is the status of the Law Against All Types of Discrimination?” from August 7, 2023, retrieved at: </w:t>
      </w:r>
      <w:hyperlink r:id="rId20" w:history="1">
        <w:r w:rsidRPr="00013651">
          <w:rPr>
            <w:rStyle w:val="Hipervnculo"/>
            <w:sz w:val="18"/>
            <w:szCs w:val="18"/>
            <w:lang w:val="en-US"/>
          </w:rPr>
          <w:t>https://nomasdiscriminacion.org/lupa-ovv-lgbtiq/ley-contra-discriminacion/</w:t>
        </w:r>
      </w:hyperlink>
      <w:r w:rsidRPr="00013651">
        <w:rPr>
          <w:sz w:val="18"/>
          <w:szCs w:val="18"/>
          <w:lang w:val="en-US"/>
        </w:rPr>
        <w:t xml:space="preserve">     </w:t>
      </w:r>
    </w:p>
  </w:footnote>
  <w:footnote w:id="25">
    <w:p w14:paraId="17300C96" w14:textId="3E1D7514" w:rsidR="00BF7032" w:rsidRPr="00013651" w:rsidRDefault="00BF7032" w:rsidP="00013651">
      <w:pPr>
        <w:pStyle w:val="Textonotapie"/>
        <w:jc w:val="both"/>
        <w:rPr>
          <w:sz w:val="18"/>
          <w:szCs w:val="18"/>
          <w:lang w:val="en-US"/>
        </w:rPr>
      </w:pPr>
      <w:r w:rsidRPr="00013651">
        <w:rPr>
          <w:rStyle w:val="Refdenotaalpie"/>
          <w:sz w:val="18"/>
          <w:szCs w:val="18"/>
        </w:rPr>
        <w:footnoteRef/>
      </w:r>
      <w:r w:rsidRPr="00013651">
        <w:rPr>
          <w:sz w:val="18"/>
          <w:szCs w:val="18"/>
          <w:lang w:val="en-US"/>
        </w:rPr>
        <w:t xml:space="preserve"> NTN24. “The face of a trans woman was disfigured in Maracaibo during an assault” from March 9, 2023, retrieved at: </w:t>
      </w:r>
      <w:hyperlink r:id="rId21" w:history="1">
        <w:r w:rsidRPr="00013651">
          <w:rPr>
            <w:rStyle w:val="Hipervnculo"/>
            <w:sz w:val="18"/>
            <w:szCs w:val="18"/>
            <w:lang w:val="en-US"/>
          </w:rPr>
          <w:t>https://www.ntn24.com/noticias-judicial/desfiguran-el-rostro-de-mujer-trans-en-maracaibo-durante-asalto-407580</w:t>
        </w:r>
      </w:hyperlink>
      <w:r w:rsidRPr="00013651">
        <w:rPr>
          <w:sz w:val="18"/>
          <w:szCs w:val="18"/>
          <w:lang w:val="en-US"/>
        </w:rPr>
        <w:t xml:space="preserve">    </w:t>
      </w:r>
    </w:p>
  </w:footnote>
  <w:footnote w:id="26">
    <w:p w14:paraId="77EA1704" w14:textId="7C1BFBA7" w:rsidR="005D0501" w:rsidRPr="00013651" w:rsidRDefault="005D0501" w:rsidP="00013651">
      <w:pPr>
        <w:spacing w:after="0" w:line="240" w:lineRule="auto"/>
        <w:jc w:val="both"/>
        <w:rPr>
          <w:rFonts w:ascii="Times New Roman" w:eastAsia="Times New Roman" w:hAnsi="Times New Roman" w:cs="Times New Roman"/>
          <w:sz w:val="18"/>
          <w:szCs w:val="18"/>
          <w:lang w:val="en-US"/>
        </w:rPr>
      </w:pPr>
      <w:r w:rsidRPr="00013651">
        <w:rPr>
          <w:rFonts w:ascii="Times New Roman" w:hAnsi="Times New Roman" w:cs="Times New Roman"/>
          <w:sz w:val="18"/>
          <w:szCs w:val="18"/>
          <w:vertAlign w:val="superscript"/>
        </w:rPr>
        <w:footnoteRef/>
      </w:r>
      <w:r w:rsidRPr="00013651">
        <w:rPr>
          <w:rFonts w:ascii="Times New Roman" w:eastAsia="Times New Roman" w:hAnsi="Times New Roman" w:cs="Times New Roman"/>
          <w:sz w:val="18"/>
          <w:szCs w:val="18"/>
          <w:lang w:val="en-US"/>
        </w:rPr>
        <w:t xml:space="preserve">  El Panorama. “Assassination of a transvestite in Las Pulgas market” from April 24, 2023, retrieved at: </w:t>
      </w:r>
      <w:hyperlink r:id="rId22">
        <w:r w:rsidRPr="00013651">
          <w:rPr>
            <w:rFonts w:ascii="Times New Roman" w:eastAsia="Times New Roman" w:hAnsi="Times New Roman" w:cs="Times New Roman"/>
            <w:color w:val="1155CC"/>
            <w:sz w:val="18"/>
            <w:szCs w:val="18"/>
            <w:u w:val="single"/>
            <w:lang w:val="en-US"/>
          </w:rPr>
          <w:t>https://panorama.com.ve/sucesos/asesinato-de-un-travesti-en-el-mercado-las-pulgas-20230424-1435.html</w:t>
        </w:r>
      </w:hyperlink>
      <w:r w:rsidRPr="00013651">
        <w:rPr>
          <w:rFonts w:ascii="Times New Roman" w:eastAsia="Times New Roman" w:hAnsi="Times New Roman" w:cs="Times New Roman"/>
          <w:sz w:val="18"/>
          <w:szCs w:val="18"/>
          <w:lang w:val="en-US"/>
        </w:rPr>
        <w:t xml:space="preserve">; and, Es con usted. “They destroyed her fae: a transsexual was assasinated at Las Pulgas market,“ from April 25, 2023, retrieved at: </w:t>
      </w:r>
      <w:hyperlink r:id="rId23">
        <w:r w:rsidRPr="00013651">
          <w:rPr>
            <w:rFonts w:ascii="Times New Roman" w:eastAsia="Times New Roman" w:hAnsi="Times New Roman" w:cs="Times New Roman"/>
            <w:color w:val="1155CC"/>
            <w:sz w:val="18"/>
            <w:szCs w:val="18"/>
            <w:u w:val="single"/>
            <w:lang w:val="en-US"/>
          </w:rPr>
          <w:t>https://esconusted.com/sucesos/asesinan-a-transexual-en-el-mercado-las-pulgas/</w:t>
        </w:r>
      </w:hyperlink>
      <w:r w:rsidRPr="00013651">
        <w:rPr>
          <w:rFonts w:ascii="Times New Roman" w:eastAsia="Times New Roman" w:hAnsi="Times New Roman" w:cs="Times New Roman"/>
          <w:sz w:val="18"/>
          <w:szCs w:val="18"/>
          <w:lang w:val="en-US"/>
        </w:rPr>
        <w:t xml:space="preserve"> </w:t>
      </w:r>
    </w:p>
  </w:footnote>
  <w:footnote w:id="27">
    <w:p w14:paraId="6A81E571" w14:textId="084F1A62" w:rsidR="005D0501" w:rsidRPr="00013651" w:rsidRDefault="005D0501" w:rsidP="00013651">
      <w:pPr>
        <w:spacing w:line="240" w:lineRule="auto"/>
        <w:jc w:val="both"/>
        <w:rPr>
          <w:rFonts w:ascii="Times New Roman" w:eastAsia="Times New Roman" w:hAnsi="Times New Roman" w:cs="Times New Roman"/>
          <w:sz w:val="18"/>
          <w:szCs w:val="18"/>
          <w:lang w:val="en-US"/>
        </w:rPr>
      </w:pPr>
      <w:r w:rsidRPr="00013651">
        <w:rPr>
          <w:rFonts w:ascii="Times New Roman" w:hAnsi="Times New Roman" w:cs="Times New Roman"/>
          <w:sz w:val="18"/>
          <w:szCs w:val="18"/>
          <w:vertAlign w:val="superscript"/>
        </w:rPr>
        <w:footnoteRef/>
      </w:r>
      <w:r w:rsidRPr="00013651">
        <w:rPr>
          <w:rFonts w:ascii="Times New Roman" w:eastAsia="Times New Roman" w:hAnsi="Times New Roman" w:cs="Times New Roman"/>
          <w:sz w:val="18"/>
          <w:szCs w:val="18"/>
          <w:lang w:val="en-US"/>
        </w:rPr>
        <w:t xml:space="preserve"> El Diario. "Trans woman beaten to death at Las Pulgas market in Maracaibo,” from April 25, 2023, retrieved at: Asesinaron a golpes a una mujer trans en Maracaibo </w:t>
      </w:r>
      <w:hyperlink r:id="rId24">
        <w:r w:rsidRPr="00013651">
          <w:rPr>
            <w:rFonts w:ascii="Times New Roman" w:eastAsia="Times New Roman" w:hAnsi="Times New Roman" w:cs="Times New Roman"/>
            <w:color w:val="1155CC"/>
            <w:sz w:val="18"/>
            <w:szCs w:val="18"/>
            <w:u w:val="single"/>
            <w:lang w:val="en-US"/>
          </w:rPr>
          <w:t>https://eldiario.com/2023/04/25/asesinaron-mujer-trans-mercado-las-pulgas-en-maracaibo/</w:t>
        </w:r>
      </w:hyperlink>
      <w:r w:rsidRPr="00013651">
        <w:rPr>
          <w:rFonts w:ascii="Times New Roman" w:eastAsia="Times New Roman" w:hAnsi="Times New Roman" w:cs="Times New Roman"/>
          <w:sz w:val="18"/>
          <w:szCs w:val="18"/>
          <w:lang w:val="en-US"/>
        </w:rPr>
        <w:t xml:space="preserve"> ; La Voz. " Zulia: Transgender woman beaten to death at Las Pulgas market,“ from April 24, retrieved at </w:t>
      </w:r>
      <w:hyperlink r:id="rId25">
        <w:r w:rsidRPr="00013651">
          <w:rPr>
            <w:rFonts w:ascii="Times New Roman" w:eastAsia="Times New Roman" w:hAnsi="Times New Roman" w:cs="Times New Roman"/>
            <w:color w:val="1155CC"/>
            <w:sz w:val="18"/>
            <w:szCs w:val="18"/>
            <w:u w:val="single"/>
            <w:lang w:val="en-US"/>
          </w:rPr>
          <w:t>https://diariolavoz.net/2023/04/24/zulia-asesinan-a-golpes-a-una-mujer-transgenero-en-el-mercado-las-pulgas/</w:t>
        </w:r>
      </w:hyperlink>
      <w:r w:rsidRPr="00013651">
        <w:rPr>
          <w:rFonts w:ascii="Times New Roman" w:eastAsia="Times New Roman" w:hAnsi="Times New Roman" w:cs="Times New Roman"/>
          <w:sz w:val="18"/>
          <w:szCs w:val="18"/>
          <w:lang w:val="en-US"/>
        </w:rPr>
        <w:t>.</w:t>
      </w:r>
    </w:p>
  </w:footnote>
  <w:footnote w:id="28">
    <w:p w14:paraId="6BB0BE7A" w14:textId="3A3F75E7" w:rsidR="00013651" w:rsidRPr="00013651" w:rsidRDefault="00013651" w:rsidP="00013651">
      <w:pPr>
        <w:pStyle w:val="Textonotapie"/>
        <w:jc w:val="both"/>
        <w:rPr>
          <w:sz w:val="18"/>
          <w:szCs w:val="18"/>
          <w:lang w:val="en-US"/>
        </w:rPr>
      </w:pPr>
      <w:r w:rsidRPr="00013651">
        <w:rPr>
          <w:rStyle w:val="Refdenotaalpie"/>
          <w:sz w:val="18"/>
          <w:szCs w:val="18"/>
        </w:rPr>
        <w:footnoteRef/>
      </w:r>
      <w:r w:rsidRPr="00013651">
        <w:rPr>
          <w:sz w:val="18"/>
          <w:szCs w:val="18"/>
          <w:lang w:val="en-US"/>
        </w:rPr>
        <w:t xml:space="preserve"> El Oriental. “Transsexual shot in the heart and killed,” from November 28, 2022, retrieved at: https://elorientaldemonagas.com/matan-a-transexual-de-un-tiro-en-el-corazon/; and, El Espectador de Caracas. “Transsexual killed by a shot to the heart,” from November 28, 2022, retrieved at:  </w:t>
      </w:r>
      <w:hyperlink r:id="rId26" w:history="1">
        <w:r w:rsidRPr="00013651">
          <w:rPr>
            <w:rStyle w:val="Hipervnculo"/>
            <w:sz w:val="18"/>
            <w:szCs w:val="18"/>
            <w:lang w:val="en-US"/>
          </w:rPr>
          <w:t>https://elespectadordecaracas.com/asesinaron-a-transexual-de-un-disparo-en-el-corazon/</w:t>
        </w:r>
      </w:hyperlink>
      <w:r w:rsidRPr="00013651">
        <w:rPr>
          <w:sz w:val="18"/>
          <w:szCs w:val="18"/>
          <w:lang w:val="en-US"/>
        </w:rPr>
        <w:t xml:space="preserve">. </w:t>
      </w:r>
    </w:p>
  </w:footnote>
  <w:footnote w:id="29">
    <w:p w14:paraId="46FFB4FA" w14:textId="08330415" w:rsidR="005D0501" w:rsidRPr="00013651" w:rsidRDefault="005D0501" w:rsidP="00013651">
      <w:pPr>
        <w:spacing w:after="0" w:line="240" w:lineRule="auto"/>
        <w:jc w:val="both"/>
        <w:rPr>
          <w:rFonts w:ascii="Times New Roman" w:eastAsia="Times New Roman" w:hAnsi="Times New Roman" w:cs="Times New Roman"/>
          <w:sz w:val="18"/>
          <w:szCs w:val="18"/>
          <w:lang w:val="en-US"/>
        </w:rPr>
      </w:pPr>
      <w:r w:rsidRPr="00013651">
        <w:rPr>
          <w:rFonts w:ascii="Times New Roman" w:hAnsi="Times New Roman" w:cs="Times New Roman"/>
          <w:sz w:val="18"/>
          <w:szCs w:val="18"/>
          <w:vertAlign w:val="superscript"/>
        </w:rPr>
        <w:footnoteRef/>
      </w:r>
      <w:r w:rsidRPr="00013651">
        <w:rPr>
          <w:rFonts w:ascii="Times New Roman" w:eastAsia="Times New Roman" w:hAnsi="Times New Roman" w:cs="Times New Roman"/>
          <w:sz w:val="18"/>
          <w:szCs w:val="18"/>
          <w:lang w:val="en-US"/>
        </w:rPr>
        <w:t xml:space="preserve"> El Nacional. “Trans woman assassinated with 40 stabbings in El Valle,” from November 11, 2023, retrieved at: </w:t>
      </w:r>
      <w:hyperlink r:id="rId27">
        <w:r w:rsidRPr="00013651">
          <w:rPr>
            <w:rFonts w:ascii="Times New Roman" w:eastAsia="Times New Roman" w:hAnsi="Times New Roman" w:cs="Times New Roman"/>
            <w:color w:val="1155CC"/>
            <w:sz w:val="18"/>
            <w:szCs w:val="18"/>
            <w:u w:val="single"/>
            <w:lang w:val="en-US"/>
          </w:rPr>
          <w:t>https://www.elnacional.com/venezuela/asesinaron-a-una-mujer-trans-en-el-valle-con-40-punaladas/</w:t>
        </w:r>
      </w:hyperlink>
      <w:r w:rsidRPr="00013651">
        <w:rPr>
          <w:rFonts w:ascii="Times New Roman" w:eastAsia="Times New Roman" w:hAnsi="Times New Roman" w:cs="Times New Roman"/>
          <w:sz w:val="18"/>
          <w:szCs w:val="18"/>
          <w:lang w:val="en-US"/>
        </w:rPr>
        <w:t xml:space="preserve"> </w:t>
      </w:r>
    </w:p>
  </w:footnote>
  <w:footnote w:id="30">
    <w:p w14:paraId="5ACEA9B8" w14:textId="457856AB" w:rsidR="005D0501" w:rsidRPr="00013651" w:rsidRDefault="005D0501" w:rsidP="00013651">
      <w:pPr>
        <w:spacing w:after="0" w:line="240" w:lineRule="auto"/>
        <w:jc w:val="both"/>
        <w:rPr>
          <w:rFonts w:ascii="Times New Roman" w:eastAsia="Times New Roman" w:hAnsi="Times New Roman" w:cs="Times New Roman"/>
          <w:sz w:val="18"/>
          <w:szCs w:val="18"/>
          <w:lang w:val="en-US"/>
        </w:rPr>
      </w:pPr>
      <w:r w:rsidRPr="00013651">
        <w:rPr>
          <w:rFonts w:ascii="Times New Roman" w:hAnsi="Times New Roman" w:cs="Times New Roman"/>
          <w:sz w:val="18"/>
          <w:szCs w:val="18"/>
          <w:vertAlign w:val="superscript"/>
        </w:rPr>
        <w:footnoteRef/>
      </w:r>
      <w:r w:rsidRPr="00013651">
        <w:rPr>
          <w:rFonts w:ascii="Times New Roman" w:eastAsia="Times New Roman" w:hAnsi="Times New Roman" w:cs="Times New Roman"/>
          <w:sz w:val="18"/>
          <w:szCs w:val="18"/>
          <w:lang w:val="en-US"/>
        </w:rPr>
        <w:t xml:space="preserve"> Efecto Cocuyo. “LGBTI activists denounce the assassination of two trans women in Venezuela,” from November 13, 2023, retrieved at: </w:t>
      </w:r>
      <w:hyperlink r:id="rId28">
        <w:r w:rsidRPr="00013651">
          <w:rPr>
            <w:rFonts w:ascii="Times New Roman" w:eastAsia="Times New Roman" w:hAnsi="Times New Roman" w:cs="Times New Roman"/>
            <w:color w:val="1155CC"/>
            <w:sz w:val="18"/>
            <w:szCs w:val="18"/>
            <w:u w:val="single"/>
            <w:lang w:val="en-US"/>
          </w:rPr>
          <w:t>https://efectococuyo.com/la-humanidad/activistas-lgbti-denuncian-asesinato-de-dos-mujeres-trans-en-venezuela/</w:t>
        </w:r>
      </w:hyperlink>
      <w:r w:rsidRPr="00013651">
        <w:rPr>
          <w:rFonts w:ascii="Times New Roman" w:eastAsia="Times New Roman" w:hAnsi="Times New Roman" w:cs="Times New Roman"/>
          <w:sz w:val="18"/>
          <w:szCs w:val="18"/>
          <w:lang w:val="en-US"/>
        </w:rPr>
        <w:t xml:space="preserve"> </w:t>
      </w:r>
    </w:p>
  </w:footnote>
  <w:footnote w:id="31">
    <w:p w14:paraId="10B3C812" w14:textId="6EE49478" w:rsidR="00013651" w:rsidRPr="00013651" w:rsidRDefault="00013651" w:rsidP="00013651">
      <w:pPr>
        <w:pStyle w:val="Textonotapie"/>
        <w:jc w:val="both"/>
        <w:rPr>
          <w:sz w:val="18"/>
          <w:szCs w:val="18"/>
          <w:lang w:val="en-US"/>
        </w:rPr>
      </w:pPr>
      <w:r w:rsidRPr="00013651">
        <w:rPr>
          <w:rStyle w:val="Refdenotaalpie"/>
          <w:sz w:val="18"/>
          <w:szCs w:val="18"/>
        </w:rPr>
        <w:footnoteRef/>
      </w:r>
      <w:r w:rsidRPr="00013651">
        <w:rPr>
          <w:sz w:val="18"/>
          <w:szCs w:val="18"/>
          <w:lang w:val="en-US"/>
        </w:rPr>
        <w:t xml:space="preserve"> Nueva Prensa Digital. “Stranger kills a transvestite with a shot to the head,” from November 12, 2023, retrieved at: </w:t>
      </w:r>
      <w:hyperlink r:id="rId29" w:history="1">
        <w:r w:rsidRPr="00013651">
          <w:rPr>
            <w:rStyle w:val="Hipervnculo"/>
            <w:sz w:val="18"/>
            <w:szCs w:val="18"/>
            <w:lang w:val="en-US"/>
          </w:rPr>
          <w:t>https://soynuevaprensadigital.com/npd/desconocido-mata-a-travesti-de-un-tiro-en-la-cabeza/</w:t>
        </w:r>
      </w:hyperlink>
      <w:r w:rsidRPr="00013651">
        <w:rPr>
          <w:sz w:val="18"/>
          <w:szCs w:val="18"/>
          <w:lang w:val="en-US"/>
        </w:rPr>
        <w:t xml:space="preserve"> </w:t>
      </w:r>
    </w:p>
  </w:footnote>
  <w:footnote w:id="32">
    <w:p w14:paraId="1ED6FD18" w14:textId="2AD75D2E" w:rsidR="00013651" w:rsidRPr="00013651" w:rsidRDefault="00013651" w:rsidP="00013651">
      <w:pPr>
        <w:pStyle w:val="Textonotapie"/>
        <w:jc w:val="both"/>
        <w:rPr>
          <w:sz w:val="18"/>
          <w:szCs w:val="18"/>
          <w:lang w:val="en-US"/>
        </w:rPr>
      </w:pPr>
      <w:r w:rsidRPr="00013651">
        <w:rPr>
          <w:rStyle w:val="Refdenotaalpie"/>
          <w:sz w:val="18"/>
          <w:szCs w:val="18"/>
        </w:rPr>
        <w:footnoteRef/>
      </w:r>
      <w:r w:rsidRPr="00013651">
        <w:rPr>
          <w:sz w:val="18"/>
          <w:szCs w:val="18"/>
          <w:lang w:val="en-US"/>
        </w:rPr>
        <w:t xml:space="preserve"> La verdad. "Transvestite sexually assaulted and killed at Las Pulgas market,” from April 24, 2023, retrieved at: https://www.laverdad.com/sucesos/211529-violan-y-matan-a-travesti-en-el-mercado-las-pulgas.html ; P. E ver: Twitter Crónica Policial: "A transvestite was sexually assaulted and killed at Las Pulgas market. The man of wayúu ethnicity worked as an informal seller in the center of Maracaibo. After being assaulted, he was beaten to death.” from April 24, 2023, retrieved at: </w:t>
      </w:r>
      <w:hyperlink r:id="rId30" w:history="1">
        <w:r w:rsidRPr="00013651">
          <w:rPr>
            <w:rStyle w:val="Hipervnculo"/>
            <w:sz w:val="18"/>
            <w:szCs w:val="18"/>
            <w:lang w:val="en-US"/>
          </w:rPr>
          <w:t>https://twitter.com/CronicaPolicial/status/1650631463287545859?s=20</w:t>
        </w:r>
      </w:hyperlink>
      <w:r w:rsidRPr="00013651">
        <w:rPr>
          <w:sz w:val="18"/>
          <w:szCs w:val="18"/>
          <w:lang w:val="en-US"/>
        </w:rPr>
        <w:t xml:space="preserve">    </w:t>
      </w:r>
    </w:p>
  </w:footnote>
  <w:footnote w:id="33">
    <w:p w14:paraId="254FAAEB" w14:textId="028B553E" w:rsidR="00013651" w:rsidRPr="00013651" w:rsidRDefault="00013651" w:rsidP="00013651">
      <w:pPr>
        <w:pStyle w:val="Textonotapie"/>
        <w:jc w:val="both"/>
        <w:rPr>
          <w:sz w:val="16"/>
          <w:szCs w:val="16"/>
        </w:rPr>
      </w:pPr>
      <w:r w:rsidRPr="00013651">
        <w:rPr>
          <w:rStyle w:val="Refdenotaalpie"/>
          <w:sz w:val="18"/>
          <w:szCs w:val="18"/>
        </w:rPr>
        <w:footnoteRef/>
      </w:r>
      <w:r w:rsidRPr="00013651">
        <w:rPr>
          <w:sz w:val="18"/>
          <w:szCs w:val="18"/>
          <w:lang w:val="en-US"/>
        </w:rPr>
        <w:t xml:space="preserve"> ONU, Committee for the Elimination of All Types of Racial Discrimination. </w:t>
      </w:r>
      <w:r w:rsidRPr="00013651">
        <w:rPr>
          <w:sz w:val="18"/>
          <w:szCs w:val="18"/>
        </w:rPr>
        <w:t>General Observation No. 31</w:t>
      </w:r>
      <w:r w:rsidRPr="00013651">
        <w:rPr>
          <w:sz w:val="16"/>
          <w:szCs w:val="16"/>
        </w:rPr>
        <w:t xml:space="preserve">. </w:t>
      </w:r>
    </w:p>
  </w:footnote>
  <w:footnote w:id="34">
    <w:p w14:paraId="31013ADA" w14:textId="1DA4170C" w:rsidR="00013651" w:rsidRDefault="00013651">
      <w:pPr>
        <w:pStyle w:val="Textonotapie"/>
      </w:pPr>
      <w:r w:rsidRPr="00013651">
        <w:rPr>
          <w:rStyle w:val="Refdenotaalpie"/>
          <w:sz w:val="16"/>
          <w:szCs w:val="16"/>
        </w:rPr>
        <w:footnoteRef/>
      </w:r>
      <w:r w:rsidRPr="00013651">
        <w:rPr>
          <w:sz w:val="16"/>
          <w:szCs w:val="16"/>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6600"/>
      <w:gridCol w:w="2355"/>
    </w:tblGrid>
    <w:tr w:rsidR="152F040B" w14:paraId="6EBC6DB0" w14:textId="77777777" w:rsidTr="152F040B">
      <w:trPr>
        <w:trHeight w:val="300"/>
      </w:trPr>
      <w:tc>
        <w:tcPr>
          <w:tcW w:w="6600" w:type="dxa"/>
        </w:tcPr>
        <w:p w14:paraId="1ED84B64" w14:textId="6CE91867" w:rsidR="152F040B" w:rsidRDefault="152F040B" w:rsidP="152F040B">
          <w:pPr>
            <w:spacing w:after="0"/>
            <w:jc w:val="center"/>
            <w:rPr>
              <w:rFonts w:ascii="Bookman Old Style" w:eastAsia="Bookman Old Style" w:hAnsi="Bookman Old Style" w:cs="Bookman Old Style"/>
              <w:i/>
              <w:iCs/>
              <w:color w:val="000000" w:themeColor="text1"/>
              <w:sz w:val="20"/>
              <w:szCs w:val="20"/>
            </w:rPr>
          </w:pPr>
        </w:p>
        <w:p w14:paraId="0C61D3E1" w14:textId="5BE92E4C" w:rsidR="152F040B" w:rsidRPr="00932CFA" w:rsidRDefault="00932CFA" w:rsidP="152F040B">
          <w:pPr>
            <w:pStyle w:val="Encabezado"/>
            <w:ind w:left="-115"/>
            <w:rPr>
              <w:b/>
              <w:bCs/>
              <w:color w:val="0F4761" w:themeColor="accent1" w:themeShade="BF"/>
              <w:lang w:val="en-US"/>
            </w:rPr>
          </w:pPr>
          <w:r w:rsidRPr="00932CFA">
            <w:rPr>
              <w:rFonts w:ascii="Bookman Old Style" w:eastAsia="Bookman Old Style" w:hAnsi="Bookman Old Style" w:cs="Bookman Old Style"/>
              <w:i/>
              <w:iCs/>
              <w:sz w:val="20"/>
              <w:szCs w:val="20"/>
              <w:lang w:val="en-US"/>
            </w:rPr>
            <w:t xml:space="preserve">Alternative Report to the CERD on the situation in Venezuela </w:t>
          </w:r>
          <w:r w:rsidR="152F040B" w:rsidRPr="00932CFA">
            <w:rPr>
              <w:b/>
              <w:bCs/>
              <w:color w:val="0F4761" w:themeColor="accent1" w:themeShade="BF"/>
              <w:lang w:val="en-US"/>
            </w:rPr>
            <w:t>_________________________________________________________</w:t>
          </w:r>
        </w:p>
      </w:tc>
      <w:tc>
        <w:tcPr>
          <w:tcW w:w="2355" w:type="dxa"/>
        </w:tcPr>
        <w:p w14:paraId="2CF0054C" w14:textId="7C2E0583" w:rsidR="152F040B" w:rsidRDefault="152F040B" w:rsidP="152F040B">
          <w:pPr>
            <w:spacing w:after="0"/>
            <w:jc w:val="center"/>
          </w:pPr>
          <w:r>
            <w:rPr>
              <w:noProof/>
            </w:rPr>
            <w:drawing>
              <wp:inline distT="0" distB="0" distL="0" distR="0" wp14:anchorId="4EBB199F" wp14:editId="0CB9A28D">
                <wp:extent cx="895350" cy="550001"/>
                <wp:effectExtent l="0" t="0" r="0" b="0"/>
                <wp:docPr id="1844258716" name="Imagen 1844258716" descr="C:\Users\dvafe\Downloads\defiendevenezuela_logotip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895350" cy="550001"/>
                        </a:xfrm>
                        <a:prstGeom prst="rect">
                          <a:avLst/>
                        </a:prstGeom>
                      </pic:spPr>
                    </pic:pic>
                  </a:graphicData>
                </a:graphic>
              </wp:inline>
            </w:drawing>
          </w:r>
        </w:p>
        <w:p w14:paraId="2B429578" w14:textId="2225AADF" w:rsidR="152F040B" w:rsidRDefault="152F040B" w:rsidP="152F040B">
          <w:pPr>
            <w:pStyle w:val="Encabezado"/>
            <w:ind w:right="-115"/>
            <w:jc w:val="right"/>
          </w:pPr>
        </w:p>
      </w:tc>
    </w:tr>
  </w:tbl>
  <w:p w14:paraId="0B6F15F4" w14:textId="11B7383B" w:rsidR="152F040B" w:rsidRDefault="152F040B" w:rsidP="152F040B">
    <w:pPr>
      <w:pStyle w:val="Encabezado"/>
    </w:pPr>
  </w:p>
</w:hdr>
</file>

<file path=word/intelligence2.xml><?xml version="1.0" encoding="utf-8"?>
<int2:intelligence xmlns:int2="http://schemas.microsoft.com/office/intelligence/2020/intelligence" xmlns:oel="http://schemas.microsoft.com/office/2019/extlst">
  <int2:observations>
    <int2:textHash int2:hashCode="JAmnOW5XcXIjLM" int2:id="VNPf6Xf5">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07992"/>
    <w:multiLevelType w:val="hybridMultilevel"/>
    <w:tmpl w:val="FD681706"/>
    <w:lvl w:ilvl="0" w:tplc="B308D4F2">
      <w:start w:val="1"/>
      <w:numFmt w:val="upperRoman"/>
      <w:lvlText w:val="%1)"/>
      <w:lvlJc w:val="left"/>
      <w:pPr>
        <w:ind w:left="720" w:hanging="360"/>
      </w:pPr>
    </w:lvl>
    <w:lvl w:ilvl="1" w:tplc="EBB64770">
      <w:start w:val="1"/>
      <w:numFmt w:val="lowerLetter"/>
      <w:lvlText w:val="%2."/>
      <w:lvlJc w:val="left"/>
      <w:pPr>
        <w:ind w:left="1440" w:hanging="360"/>
      </w:pPr>
    </w:lvl>
    <w:lvl w:ilvl="2" w:tplc="01A6AC7C">
      <w:start w:val="1"/>
      <w:numFmt w:val="lowerRoman"/>
      <w:lvlText w:val="%3."/>
      <w:lvlJc w:val="right"/>
      <w:pPr>
        <w:ind w:left="2160" w:hanging="180"/>
      </w:pPr>
    </w:lvl>
    <w:lvl w:ilvl="3" w:tplc="B7527512">
      <w:start w:val="1"/>
      <w:numFmt w:val="decimal"/>
      <w:lvlText w:val="%4."/>
      <w:lvlJc w:val="left"/>
      <w:pPr>
        <w:ind w:left="2880" w:hanging="360"/>
      </w:pPr>
    </w:lvl>
    <w:lvl w:ilvl="4" w:tplc="A86A9C1C">
      <w:start w:val="1"/>
      <w:numFmt w:val="lowerLetter"/>
      <w:lvlText w:val="%5."/>
      <w:lvlJc w:val="left"/>
      <w:pPr>
        <w:ind w:left="3600" w:hanging="360"/>
      </w:pPr>
    </w:lvl>
    <w:lvl w:ilvl="5" w:tplc="7ADCBB2E">
      <w:start w:val="1"/>
      <w:numFmt w:val="lowerRoman"/>
      <w:lvlText w:val="%6."/>
      <w:lvlJc w:val="right"/>
      <w:pPr>
        <w:ind w:left="4320" w:hanging="180"/>
      </w:pPr>
    </w:lvl>
    <w:lvl w:ilvl="6" w:tplc="4BFC6992">
      <w:start w:val="1"/>
      <w:numFmt w:val="decimal"/>
      <w:lvlText w:val="%7."/>
      <w:lvlJc w:val="left"/>
      <w:pPr>
        <w:ind w:left="5040" w:hanging="360"/>
      </w:pPr>
    </w:lvl>
    <w:lvl w:ilvl="7" w:tplc="72603974">
      <w:start w:val="1"/>
      <w:numFmt w:val="lowerLetter"/>
      <w:lvlText w:val="%8."/>
      <w:lvlJc w:val="left"/>
      <w:pPr>
        <w:ind w:left="5760" w:hanging="360"/>
      </w:pPr>
    </w:lvl>
    <w:lvl w:ilvl="8" w:tplc="7F520C10">
      <w:start w:val="1"/>
      <w:numFmt w:val="lowerRoman"/>
      <w:lvlText w:val="%9."/>
      <w:lvlJc w:val="right"/>
      <w:pPr>
        <w:ind w:left="6480" w:hanging="180"/>
      </w:pPr>
    </w:lvl>
  </w:abstractNum>
  <w:abstractNum w:abstractNumId="1" w15:restartNumberingAfterBreak="0">
    <w:nsid w:val="06AD78E9"/>
    <w:multiLevelType w:val="hybridMultilevel"/>
    <w:tmpl w:val="C39CB9C4"/>
    <w:lvl w:ilvl="0" w:tplc="0E4252D0">
      <w:start w:val="1"/>
      <w:numFmt w:val="bullet"/>
      <w:lvlText w:val=""/>
      <w:lvlJc w:val="left"/>
      <w:pPr>
        <w:ind w:left="720" w:hanging="360"/>
      </w:pPr>
      <w:rPr>
        <w:rFonts w:ascii="Symbol" w:hAnsi="Symbol" w:hint="default"/>
      </w:rPr>
    </w:lvl>
    <w:lvl w:ilvl="1" w:tplc="485EC618">
      <w:start w:val="1"/>
      <w:numFmt w:val="bullet"/>
      <w:lvlText w:val="o"/>
      <w:lvlJc w:val="left"/>
      <w:pPr>
        <w:ind w:left="1440" w:hanging="360"/>
      </w:pPr>
      <w:rPr>
        <w:rFonts w:ascii="Courier New" w:hAnsi="Courier New" w:hint="default"/>
      </w:rPr>
    </w:lvl>
    <w:lvl w:ilvl="2" w:tplc="2D346804">
      <w:start w:val="1"/>
      <w:numFmt w:val="bullet"/>
      <w:lvlText w:val=""/>
      <w:lvlJc w:val="left"/>
      <w:pPr>
        <w:ind w:left="2160" w:hanging="360"/>
      </w:pPr>
      <w:rPr>
        <w:rFonts w:ascii="Wingdings" w:hAnsi="Wingdings" w:hint="default"/>
      </w:rPr>
    </w:lvl>
    <w:lvl w:ilvl="3" w:tplc="C5F2470E">
      <w:start w:val="1"/>
      <w:numFmt w:val="bullet"/>
      <w:lvlText w:val=""/>
      <w:lvlJc w:val="left"/>
      <w:pPr>
        <w:ind w:left="2880" w:hanging="360"/>
      </w:pPr>
      <w:rPr>
        <w:rFonts w:ascii="Symbol" w:hAnsi="Symbol" w:hint="default"/>
      </w:rPr>
    </w:lvl>
    <w:lvl w:ilvl="4" w:tplc="57B66A0E">
      <w:start w:val="1"/>
      <w:numFmt w:val="bullet"/>
      <w:lvlText w:val="o"/>
      <w:lvlJc w:val="left"/>
      <w:pPr>
        <w:ind w:left="3600" w:hanging="360"/>
      </w:pPr>
      <w:rPr>
        <w:rFonts w:ascii="Courier New" w:hAnsi="Courier New" w:hint="default"/>
      </w:rPr>
    </w:lvl>
    <w:lvl w:ilvl="5" w:tplc="0D828934">
      <w:start w:val="1"/>
      <w:numFmt w:val="bullet"/>
      <w:lvlText w:val=""/>
      <w:lvlJc w:val="left"/>
      <w:pPr>
        <w:ind w:left="4320" w:hanging="360"/>
      </w:pPr>
      <w:rPr>
        <w:rFonts w:ascii="Wingdings" w:hAnsi="Wingdings" w:hint="default"/>
      </w:rPr>
    </w:lvl>
    <w:lvl w:ilvl="6" w:tplc="39B657AA">
      <w:start w:val="1"/>
      <w:numFmt w:val="bullet"/>
      <w:lvlText w:val=""/>
      <w:lvlJc w:val="left"/>
      <w:pPr>
        <w:ind w:left="5040" w:hanging="360"/>
      </w:pPr>
      <w:rPr>
        <w:rFonts w:ascii="Symbol" w:hAnsi="Symbol" w:hint="default"/>
      </w:rPr>
    </w:lvl>
    <w:lvl w:ilvl="7" w:tplc="9BD02718">
      <w:start w:val="1"/>
      <w:numFmt w:val="bullet"/>
      <w:lvlText w:val="o"/>
      <w:lvlJc w:val="left"/>
      <w:pPr>
        <w:ind w:left="5760" w:hanging="360"/>
      </w:pPr>
      <w:rPr>
        <w:rFonts w:ascii="Courier New" w:hAnsi="Courier New" w:hint="default"/>
      </w:rPr>
    </w:lvl>
    <w:lvl w:ilvl="8" w:tplc="2E64F72C">
      <w:start w:val="1"/>
      <w:numFmt w:val="bullet"/>
      <w:lvlText w:val=""/>
      <w:lvlJc w:val="left"/>
      <w:pPr>
        <w:ind w:left="6480" w:hanging="360"/>
      </w:pPr>
      <w:rPr>
        <w:rFonts w:ascii="Wingdings" w:hAnsi="Wingdings" w:hint="default"/>
      </w:rPr>
    </w:lvl>
  </w:abstractNum>
  <w:abstractNum w:abstractNumId="2" w15:restartNumberingAfterBreak="0">
    <w:nsid w:val="10651AEA"/>
    <w:multiLevelType w:val="hybridMultilevel"/>
    <w:tmpl w:val="6E5C1830"/>
    <w:lvl w:ilvl="0" w:tplc="200A0017">
      <w:start w:val="9"/>
      <w:numFmt w:val="low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 w15:restartNumberingAfterBreak="0">
    <w:nsid w:val="13E902B1"/>
    <w:multiLevelType w:val="multilevel"/>
    <w:tmpl w:val="D5022E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0743455"/>
    <w:multiLevelType w:val="multilevel"/>
    <w:tmpl w:val="D1FAE010"/>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5" w15:restartNumberingAfterBreak="0">
    <w:nsid w:val="2B1A4909"/>
    <w:multiLevelType w:val="hybridMultilevel"/>
    <w:tmpl w:val="41FA68D4"/>
    <w:lvl w:ilvl="0" w:tplc="1A466DA8">
      <w:start w:val="2"/>
      <w:numFmt w:val="bullet"/>
      <w:lvlText w:val="-"/>
      <w:lvlJc w:val="left"/>
      <w:pPr>
        <w:ind w:left="720" w:hanging="360"/>
      </w:pPr>
      <w:rPr>
        <w:rFonts w:ascii="Times New Roman" w:eastAsiaTheme="minorEastAsia" w:hAnsi="Times New Roman" w:cs="Times New Roman"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6" w15:restartNumberingAfterBreak="0">
    <w:nsid w:val="325A6BC5"/>
    <w:multiLevelType w:val="hybridMultilevel"/>
    <w:tmpl w:val="53F09D26"/>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7" w15:restartNumberingAfterBreak="0">
    <w:nsid w:val="33DA019A"/>
    <w:multiLevelType w:val="hybridMultilevel"/>
    <w:tmpl w:val="4BAA2D04"/>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8" w15:restartNumberingAfterBreak="0">
    <w:nsid w:val="348D50EB"/>
    <w:multiLevelType w:val="hybridMultilevel"/>
    <w:tmpl w:val="34C03822"/>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9" w15:restartNumberingAfterBreak="0">
    <w:nsid w:val="3518093E"/>
    <w:multiLevelType w:val="hybridMultilevel"/>
    <w:tmpl w:val="CDC236D0"/>
    <w:lvl w:ilvl="0" w:tplc="1B0E418C">
      <w:start w:val="1"/>
      <w:numFmt w:val="bullet"/>
      <w:lvlText w:val=""/>
      <w:lvlJc w:val="left"/>
      <w:pPr>
        <w:ind w:left="720" w:hanging="360"/>
      </w:pPr>
      <w:rPr>
        <w:rFonts w:ascii="Symbol" w:hAnsi="Symbol" w:hint="default"/>
      </w:rPr>
    </w:lvl>
    <w:lvl w:ilvl="1" w:tplc="0F629506">
      <w:start w:val="1"/>
      <w:numFmt w:val="bullet"/>
      <w:lvlText w:val="o"/>
      <w:lvlJc w:val="left"/>
      <w:pPr>
        <w:ind w:left="1440" w:hanging="360"/>
      </w:pPr>
      <w:rPr>
        <w:rFonts w:ascii="Courier New" w:hAnsi="Courier New" w:hint="default"/>
      </w:rPr>
    </w:lvl>
    <w:lvl w:ilvl="2" w:tplc="82069BD4">
      <w:start w:val="1"/>
      <w:numFmt w:val="bullet"/>
      <w:lvlText w:val=""/>
      <w:lvlJc w:val="left"/>
      <w:pPr>
        <w:ind w:left="2160" w:hanging="360"/>
      </w:pPr>
      <w:rPr>
        <w:rFonts w:ascii="Wingdings" w:hAnsi="Wingdings" w:hint="default"/>
      </w:rPr>
    </w:lvl>
    <w:lvl w:ilvl="3" w:tplc="8E6EA92A">
      <w:start w:val="1"/>
      <w:numFmt w:val="bullet"/>
      <w:lvlText w:val=""/>
      <w:lvlJc w:val="left"/>
      <w:pPr>
        <w:ind w:left="2880" w:hanging="360"/>
      </w:pPr>
      <w:rPr>
        <w:rFonts w:ascii="Symbol" w:hAnsi="Symbol" w:hint="default"/>
      </w:rPr>
    </w:lvl>
    <w:lvl w:ilvl="4" w:tplc="2F46DF98">
      <w:start w:val="1"/>
      <w:numFmt w:val="bullet"/>
      <w:lvlText w:val="o"/>
      <w:lvlJc w:val="left"/>
      <w:pPr>
        <w:ind w:left="3600" w:hanging="360"/>
      </w:pPr>
      <w:rPr>
        <w:rFonts w:ascii="Courier New" w:hAnsi="Courier New" w:hint="default"/>
      </w:rPr>
    </w:lvl>
    <w:lvl w:ilvl="5" w:tplc="837A6F22">
      <w:start w:val="1"/>
      <w:numFmt w:val="bullet"/>
      <w:lvlText w:val=""/>
      <w:lvlJc w:val="left"/>
      <w:pPr>
        <w:ind w:left="4320" w:hanging="360"/>
      </w:pPr>
      <w:rPr>
        <w:rFonts w:ascii="Wingdings" w:hAnsi="Wingdings" w:hint="default"/>
      </w:rPr>
    </w:lvl>
    <w:lvl w:ilvl="6" w:tplc="D7FC9D58">
      <w:start w:val="1"/>
      <w:numFmt w:val="bullet"/>
      <w:lvlText w:val=""/>
      <w:lvlJc w:val="left"/>
      <w:pPr>
        <w:ind w:left="5040" w:hanging="360"/>
      </w:pPr>
      <w:rPr>
        <w:rFonts w:ascii="Symbol" w:hAnsi="Symbol" w:hint="default"/>
      </w:rPr>
    </w:lvl>
    <w:lvl w:ilvl="7" w:tplc="A5F42242">
      <w:start w:val="1"/>
      <w:numFmt w:val="bullet"/>
      <w:lvlText w:val="o"/>
      <w:lvlJc w:val="left"/>
      <w:pPr>
        <w:ind w:left="5760" w:hanging="360"/>
      </w:pPr>
      <w:rPr>
        <w:rFonts w:ascii="Courier New" w:hAnsi="Courier New" w:hint="default"/>
      </w:rPr>
    </w:lvl>
    <w:lvl w:ilvl="8" w:tplc="8EE6769E">
      <w:start w:val="1"/>
      <w:numFmt w:val="bullet"/>
      <w:lvlText w:val=""/>
      <w:lvlJc w:val="left"/>
      <w:pPr>
        <w:ind w:left="6480" w:hanging="360"/>
      </w:pPr>
      <w:rPr>
        <w:rFonts w:ascii="Wingdings" w:hAnsi="Wingdings" w:hint="default"/>
      </w:rPr>
    </w:lvl>
  </w:abstractNum>
  <w:abstractNum w:abstractNumId="10" w15:restartNumberingAfterBreak="0">
    <w:nsid w:val="3A021C19"/>
    <w:multiLevelType w:val="hybridMultilevel"/>
    <w:tmpl w:val="B04A8E3C"/>
    <w:lvl w:ilvl="0" w:tplc="74648194">
      <w:start w:val="2"/>
      <w:numFmt w:val="lowerLetter"/>
      <w:lvlText w:val="%1)"/>
      <w:lvlJc w:val="left"/>
      <w:pPr>
        <w:ind w:left="720" w:hanging="360"/>
      </w:pPr>
      <w:rPr>
        <w:rFonts w:hint="default"/>
        <w:b/>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1" w15:restartNumberingAfterBreak="0">
    <w:nsid w:val="40067ABB"/>
    <w:multiLevelType w:val="hybridMultilevel"/>
    <w:tmpl w:val="6D98C902"/>
    <w:lvl w:ilvl="0" w:tplc="F7C04B72">
      <w:numFmt w:val="bullet"/>
      <w:lvlText w:val="-"/>
      <w:lvlJc w:val="left"/>
      <w:pPr>
        <w:ind w:left="720" w:hanging="360"/>
      </w:pPr>
      <w:rPr>
        <w:rFonts w:ascii="Calibri" w:eastAsiaTheme="minorHAnsi" w:hAnsi="Calibri" w:cs="Calibri"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2" w15:restartNumberingAfterBreak="0">
    <w:nsid w:val="41DCA55A"/>
    <w:multiLevelType w:val="hybridMultilevel"/>
    <w:tmpl w:val="20582C8E"/>
    <w:lvl w:ilvl="0" w:tplc="C3D0BA7E">
      <w:start w:val="1"/>
      <w:numFmt w:val="bullet"/>
      <w:lvlText w:val=""/>
      <w:lvlJc w:val="left"/>
      <w:pPr>
        <w:ind w:left="720" w:hanging="360"/>
      </w:pPr>
      <w:rPr>
        <w:rFonts w:ascii="Symbol" w:hAnsi="Symbol" w:hint="default"/>
      </w:rPr>
    </w:lvl>
    <w:lvl w:ilvl="1" w:tplc="FC3C532E">
      <w:start w:val="1"/>
      <w:numFmt w:val="bullet"/>
      <w:lvlText w:val="o"/>
      <w:lvlJc w:val="left"/>
      <w:pPr>
        <w:ind w:left="1440" w:hanging="360"/>
      </w:pPr>
      <w:rPr>
        <w:rFonts w:ascii="Courier New" w:hAnsi="Courier New" w:hint="default"/>
      </w:rPr>
    </w:lvl>
    <w:lvl w:ilvl="2" w:tplc="A05214C2">
      <w:start w:val="1"/>
      <w:numFmt w:val="bullet"/>
      <w:lvlText w:val=""/>
      <w:lvlJc w:val="left"/>
      <w:pPr>
        <w:ind w:left="2160" w:hanging="360"/>
      </w:pPr>
      <w:rPr>
        <w:rFonts w:ascii="Wingdings" w:hAnsi="Wingdings" w:hint="default"/>
      </w:rPr>
    </w:lvl>
    <w:lvl w:ilvl="3" w:tplc="BC06B57E">
      <w:start w:val="1"/>
      <w:numFmt w:val="bullet"/>
      <w:lvlText w:val=""/>
      <w:lvlJc w:val="left"/>
      <w:pPr>
        <w:ind w:left="2880" w:hanging="360"/>
      </w:pPr>
      <w:rPr>
        <w:rFonts w:ascii="Symbol" w:hAnsi="Symbol" w:hint="default"/>
      </w:rPr>
    </w:lvl>
    <w:lvl w:ilvl="4" w:tplc="57F01E0A">
      <w:start w:val="1"/>
      <w:numFmt w:val="bullet"/>
      <w:lvlText w:val="o"/>
      <w:lvlJc w:val="left"/>
      <w:pPr>
        <w:ind w:left="3600" w:hanging="360"/>
      </w:pPr>
      <w:rPr>
        <w:rFonts w:ascii="Courier New" w:hAnsi="Courier New" w:hint="default"/>
      </w:rPr>
    </w:lvl>
    <w:lvl w:ilvl="5" w:tplc="C974F820">
      <w:start w:val="1"/>
      <w:numFmt w:val="bullet"/>
      <w:lvlText w:val=""/>
      <w:lvlJc w:val="left"/>
      <w:pPr>
        <w:ind w:left="4320" w:hanging="360"/>
      </w:pPr>
      <w:rPr>
        <w:rFonts w:ascii="Wingdings" w:hAnsi="Wingdings" w:hint="default"/>
      </w:rPr>
    </w:lvl>
    <w:lvl w:ilvl="6" w:tplc="7CFAF294">
      <w:start w:val="1"/>
      <w:numFmt w:val="bullet"/>
      <w:lvlText w:val=""/>
      <w:lvlJc w:val="left"/>
      <w:pPr>
        <w:ind w:left="5040" w:hanging="360"/>
      </w:pPr>
      <w:rPr>
        <w:rFonts w:ascii="Symbol" w:hAnsi="Symbol" w:hint="default"/>
      </w:rPr>
    </w:lvl>
    <w:lvl w:ilvl="7" w:tplc="AF6AFDEC">
      <w:start w:val="1"/>
      <w:numFmt w:val="bullet"/>
      <w:lvlText w:val="o"/>
      <w:lvlJc w:val="left"/>
      <w:pPr>
        <w:ind w:left="5760" w:hanging="360"/>
      </w:pPr>
      <w:rPr>
        <w:rFonts w:ascii="Courier New" w:hAnsi="Courier New" w:hint="default"/>
      </w:rPr>
    </w:lvl>
    <w:lvl w:ilvl="8" w:tplc="D1ECFC80">
      <w:start w:val="1"/>
      <w:numFmt w:val="bullet"/>
      <w:lvlText w:val=""/>
      <w:lvlJc w:val="left"/>
      <w:pPr>
        <w:ind w:left="6480" w:hanging="360"/>
      </w:pPr>
      <w:rPr>
        <w:rFonts w:ascii="Wingdings" w:hAnsi="Wingdings" w:hint="default"/>
      </w:rPr>
    </w:lvl>
  </w:abstractNum>
  <w:abstractNum w:abstractNumId="13" w15:restartNumberingAfterBreak="0">
    <w:nsid w:val="494E78E2"/>
    <w:multiLevelType w:val="hybridMultilevel"/>
    <w:tmpl w:val="7A36FEFC"/>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4" w15:restartNumberingAfterBreak="0">
    <w:nsid w:val="4C9F47C9"/>
    <w:multiLevelType w:val="hybridMultilevel"/>
    <w:tmpl w:val="C6D2054E"/>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4E4E3919"/>
    <w:multiLevelType w:val="hybridMultilevel"/>
    <w:tmpl w:val="A99E8BB2"/>
    <w:lvl w:ilvl="0" w:tplc="A44C8638">
      <w:start w:val="1"/>
      <w:numFmt w:val="upperLetter"/>
      <w:lvlText w:val="%1)"/>
      <w:lvlJc w:val="left"/>
      <w:pPr>
        <w:ind w:left="720" w:hanging="360"/>
      </w:pPr>
      <w:rPr>
        <w:rFonts w:hint="default"/>
        <w:b/>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6" w15:restartNumberingAfterBreak="0">
    <w:nsid w:val="514D4056"/>
    <w:multiLevelType w:val="multilevel"/>
    <w:tmpl w:val="A9B659D4"/>
    <w:lvl w:ilvl="0">
      <w:start w:val="1"/>
      <w:numFmt w:val="decimal"/>
      <w:lvlText w:val="%1"/>
      <w:lvlJc w:val="left"/>
      <w:pPr>
        <w:ind w:left="480" w:hanging="480"/>
      </w:pPr>
      <w:rPr>
        <w:rFonts w:hint="default"/>
        <w:b/>
      </w:rPr>
    </w:lvl>
    <w:lvl w:ilvl="1">
      <w:start w:val="2"/>
      <w:numFmt w:val="decimal"/>
      <w:lvlText w:val="%1.%2"/>
      <w:lvlJc w:val="left"/>
      <w:pPr>
        <w:ind w:left="1020" w:hanging="480"/>
      </w:pPr>
      <w:rPr>
        <w:rFonts w:hint="default"/>
        <w:b/>
      </w:rPr>
    </w:lvl>
    <w:lvl w:ilvl="2">
      <w:start w:val="2"/>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17" w15:restartNumberingAfterBreak="0">
    <w:nsid w:val="58EF146B"/>
    <w:multiLevelType w:val="hybridMultilevel"/>
    <w:tmpl w:val="7CC05416"/>
    <w:lvl w:ilvl="0" w:tplc="88B068A8">
      <w:start w:val="1"/>
      <w:numFmt w:val="lowerRoman"/>
      <w:lvlText w:val="%1)"/>
      <w:lvlJc w:val="left"/>
      <w:pPr>
        <w:ind w:left="1080" w:hanging="72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8" w15:restartNumberingAfterBreak="0">
    <w:nsid w:val="5AA66321"/>
    <w:multiLevelType w:val="multilevel"/>
    <w:tmpl w:val="710065B4"/>
    <w:lvl w:ilvl="0">
      <w:start w:val="1"/>
      <w:numFmt w:val="decimal"/>
      <w:lvlText w:val="%1"/>
      <w:lvlJc w:val="left"/>
      <w:pPr>
        <w:ind w:left="480" w:hanging="480"/>
      </w:pPr>
      <w:rPr>
        <w:rFonts w:hint="default"/>
        <w:b/>
      </w:rPr>
    </w:lvl>
    <w:lvl w:ilvl="1">
      <w:start w:val="1"/>
      <w:numFmt w:val="decimal"/>
      <w:lvlText w:val="%1.%2"/>
      <w:lvlJc w:val="left"/>
      <w:pPr>
        <w:ind w:left="1020" w:hanging="480"/>
      </w:pPr>
      <w:rPr>
        <w:rFonts w:hint="default"/>
        <w:b/>
      </w:rPr>
    </w:lvl>
    <w:lvl w:ilvl="2">
      <w:start w:val="2"/>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19" w15:restartNumberingAfterBreak="0">
    <w:nsid w:val="5F3822B8"/>
    <w:multiLevelType w:val="hybridMultilevel"/>
    <w:tmpl w:val="F9303F6C"/>
    <w:lvl w:ilvl="0" w:tplc="94D2A99C">
      <w:start w:val="1"/>
      <w:numFmt w:val="upperRoman"/>
      <w:lvlText w:val="%1)"/>
      <w:lvlJc w:val="left"/>
      <w:pPr>
        <w:ind w:left="720" w:hanging="360"/>
      </w:pPr>
    </w:lvl>
    <w:lvl w:ilvl="1" w:tplc="52308E48">
      <w:start w:val="1"/>
      <w:numFmt w:val="lowerLetter"/>
      <w:lvlText w:val="%2."/>
      <w:lvlJc w:val="left"/>
      <w:pPr>
        <w:ind w:left="1440" w:hanging="360"/>
      </w:pPr>
    </w:lvl>
    <w:lvl w:ilvl="2" w:tplc="F9642B2E">
      <w:start w:val="1"/>
      <w:numFmt w:val="lowerRoman"/>
      <w:lvlText w:val="%3."/>
      <w:lvlJc w:val="right"/>
      <w:pPr>
        <w:ind w:left="2160" w:hanging="180"/>
      </w:pPr>
    </w:lvl>
    <w:lvl w:ilvl="3" w:tplc="CC90505C">
      <w:start w:val="1"/>
      <w:numFmt w:val="decimal"/>
      <w:lvlText w:val="%4."/>
      <w:lvlJc w:val="left"/>
      <w:pPr>
        <w:ind w:left="2880" w:hanging="360"/>
      </w:pPr>
    </w:lvl>
    <w:lvl w:ilvl="4" w:tplc="29AADBFE">
      <w:start w:val="1"/>
      <w:numFmt w:val="lowerLetter"/>
      <w:lvlText w:val="%5."/>
      <w:lvlJc w:val="left"/>
      <w:pPr>
        <w:ind w:left="3600" w:hanging="360"/>
      </w:pPr>
    </w:lvl>
    <w:lvl w:ilvl="5" w:tplc="28687512">
      <w:start w:val="1"/>
      <w:numFmt w:val="lowerRoman"/>
      <w:lvlText w:val="%6."/>
      <w:lvlJc w:val="right"/>
      <w:pPr>
        <w:ind w:left="4320" w:hanging="180"/>
      </w:pPr>
    </w:lvl>
    <w:lvl w:ilvl="6" w:tplc="B574C30C">
      <w:start w:val="1"/>
      <w:numFmt w:val="decimal"/>
      <w:lvlText w:val="%7."/>
      <w:lvlJc w:val="left"/>
      <w:pPr>
        <w:ind w:left="5040" w:hanging="360"/>
      </w:pPr>
    </w:lvl>
    <w:lvl w:ilvl="7" w:tplc="3D204E7E">
      <w:start w:val="1"/>
      <w:numFmt w:val="lowerLetter"/>
      <w:lvlText w:val="%8."/>
      <w:lvlJc w:val="left"/>
      <w:pPr>
        <w:ind w:left="5760" w:hanging="360"/>
      </w:pPr>
    </w:lvl>
    <w:lvl w:ilvl="8" w:tplc="C6F06836">
      <w:start w:val="1"/>
      <w:numFmt w:val="lowerRoman"/>
      <w:lvlText w:val="%9."/>
      <w:lvlJc w:val="right"/>
      <w:pPr>
        <w:ind w:left="6480" w:hanging="180"/>
      </w:pPr>
    </w:lvl>
  </w:abstractNum>
  <w:abstractNum w:abstractNumId="20" w15:restartNumberingAfterBreak="0">
    <w:nsid w:val="607E7AA7"/>
    <w:multiLevelType w:val="multilevel"/>
    <w:tmpl w:val="67BC25B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628E328F"/>
    <w:multiLevelType w:val="multilevel"/>
    <w:tmpl w:val="C1F69C3C"/>
    <w:lvl w:ilvl="0">
      <w:start w:val="2"/>
      <w:numFmt w:val="decimal"/>
      <w:lvlText w:val="%1."/>
      <w:lvlJc w:val="left"/>
      <w:pPr>
        <w:ind w:left="360" w:hanging="360"/>
      </w:pPr>
      <w:rPr>
        <w:rFonts w:hint="default"/>
        <w:b/>
      </w:rPr>
    </w:lvl>
    <w:lvl w:ilvl="1">
      <w:start w:val="1"/>
      <w:numFmt w:val="decimal"/>
      <w:lvlText w:val="%1.%2."/>
      <w:lvlJc w:val="left"/>
      <w:pPr>
        <w:ind w:left="1800" w:hanging="360"/>
      </w:pPr>
      <w:rPr>
        <w:rFonts w:hint="default"/>
        <w:b/>
      </w:rPr>
    </w:lvl>
    <w:lvl w:ilvl="2">
      <w:start w:val="1"/>
      <w:numFmt w:val="decimal"/>
      <w:lvlText w:val="%1.%2.%3."/>
      <w:lvlJc w:val="left"/>
      <w:pPr>
        <w:ind w:left="3600" w:hanging="720"/>
      </w:pPr>
      <w:rPr>
        <w:rFonts w:hint="default"/>
        <w:b/>
      </w:rPr>
    </w:lvl>
    <w:lvl w:ilvl="3">
      <w:start w:val="1"/>
      <w:numFmt w:val="decimal"/>
      <w:lvlText w:val="%1.%2.%3.%4."/>
      <w:lvlJc w:val="left"/>
      <w:pPr>
        <w:ind w:left="5040" w:hanging="720"/>
      </w:pPr>
      <w:rPr>
        <w:rFonts w:hint="default"/>
        <w:b/>
      </w:rPr>
    </w:lvl>
    <w:lvl w:ilvl="4">
      <w:start w:val="1"/>
      <w:numFmt w:val="decimal"/>
      <w:lvlText w:val="%1.%2.%3.%4.%5."/>
      <w:lvlJc w:val="left"/>
      <w:pPr>
        <w:ind w:left="6840" w:hanging="1080"/>
      </w:pPr>
      <w:rPr>
        <w:rFonts w:hint="default"/>
        <w:b/>
      </w:rPr>
    </w:lvl>
    <w:lvl w:ilvl="5">
      <w:start w:val="1"/>
      <w:numFmt w:val="decimal"/>
      <w:lvlText w:val="%1.%2.%3.%4.%5.%6."/>
      <w:lvlJc w:val="left"/>
      <w:pPr>
        <w:ind w:left="8280" w:hanging="1080"/>
      </w:pPr>
      <w:rPr>
        <w:rFonts w:hint="default"/>
        <w:b/>
      </w:rPr>
    </w:lvl>
    <w:lvl w:ilvl="6">
      <w:start w:val="1"/>
      <w:numFmt w:val="decimal"/>
      <w:lvlText w:val="%1.%2.%3.%4.%5.%6.%7."/>
      <w:lvlJc w:val="left"/>
      <w:pPr>
        <w:ind w:left="10080" w:hanging="1440"/>
      </w:pPr>
      <w:rPr>
        <w:rFonts w:hint="default"/>
        <w:b/>
      </w:rPr>
    </w:lvl>
    <w:lvl w:ilvl="7">
      <w:start w:val="1"/>
      <w:numFmt w:val="decimal"/>
      <w:lvlText w:val="%1.%2.%3.%4.%5.%6.%7.%8."/>
      <w:lvlJc w:val="left"/>
      <w:pPr>
        <w:ind w:left="11520" w:hanging="1440"/>
      </w:pPr>
      <w:rPr>
        <w:rFonts w:hint="default"/>
        <w:b/>
      </w:rPr>
    </w:lvl>
    <w:lvl w:ilvl="8">
      <w:start w:val="1"/>
      <w:numFmt w:val="decimal"/>
      <w:lvlText w:val="%1.%2.%3.%4.%5.%6.%7.%8.%9."/>
      <w:lvlJc w:val="left"/>
      <w:pPr>
        <w:ind w:left="13320" w:hanging="1800"/>
      </w:pPr>
      <w:rPr>
        <w:rFonts w:hint="default"/>
        <w:b/>
      </w:rPr>
    </w:lvl>
  </w:abstractNum>
  <w:abstractNum w:abstractNumId="22" w15:restartNumberingAfterBreak="0">
    <w:nsid w:val="63CA864F"/>
    <w:multiLevelType w:val="hybridMultilevel"/>
    <w:tmpl w:val="AAC61CCC"/>
    <w:lvl w:ilvl="0" w:tplc="40E29D44">
      <w:start w:val="1"/>
      <w:numFmt w:val="bullet"/>
      <w:lvlText w:val=""/>
      <w:lvlJc w:val="left"/>
      <w:pPr>
        <w:ind w:left="720" w:hanging="360"/>
      </w:pPr>
      <w:rPr>
        <w:rFonts w:ascii="Symbol" w:hAnsi="Symbol" w:hint="default"/>
      </w:rPr>
    </w:lvl>
    <w:lvl w:ilvl="1" w:tplc="CA0830A6">
      <w:start w:val="1"/>
      <w:numFmt w:val="bullet"/>
      <w:lvlText w:val="o"/>
      <w:lvlJc w:val="left"/>
      <w:pPr>
        <w:ind w:left="1440" w:hanging="360"/>
      </w:pPr>
      <w:rPr>
        <w:rFonts w:ascii="Courier New" w:hAnsi="Courier New" w:hint="default"/>
      </w:rPr>
    </w:lvl>
    <w:lvl w:ilvl="2" w:tplc="BAAE3A46">
      <w:start w:val="1"/>
      <w:numFmt w:val="bullet"/>
      <w:lvlText w:val=""/>
      <w:lvlJc w:val="left"/>
      <w:pPr>
        <w:ind w:left="2160" w:hanging="360"/>
      </w:pPr>
      <w:rPr>
        <w:rFonts w:ascii="Wingdings" w:hAnsi="Wingdings" w:hint="default"/>
      </w:rPr>
    </w:lvl>
    <w:lvl w:ilvl="3" w:tplc="E95AAAF2">
      <w:start w:val="1"/>
      <w:numFmt w:val="bullet"/>
      <w:lvlText w:val=""/>
      <w:lvlJc w:val="left"/>
      <w:pPr>
        <w:ind w:left="2880" w:hanging="360"/>
      </w:pPr>
      <w:rPr>
        <w:rFonts w:ascii="Symbol" w:hAnsi="Symbol" w:hint="default"/>
      </w:rPr>
    </w:lvl>
    <w:lvl w:ilvl="4" w:tplc="A9A0D8AC">
      <w:start w:val="1"/>
      <w:numFmt w:val="bullet"/>
      <w:lvlText w:val="o"/>
      <w:lvlJc w:val="left"/>
      <w:pPr>
        <w:ind w:left="3600" w:hanging="360"/>
      </w:pPr>
      <w:rPr>
        <w:rFonts w:ascii="Courier New" w:hAnsi="Courier New" w:hint="default"/>
      </w:rPr>
    </w:lvl>
    <w:lvl w:ilvl="5" w:tplc="DE8C3D80">
      <w:start w:val="1"/>
      <w:numFmt w:val="bullet"/>
      <w:lvlText w:val=""/>
      <w:lvlJc w:val="left"/>
      <w:pPr>
        <w:ind w:left="4320" w:hanging="360"/>
      </w:pPr>
      <w:rPr>
        <w:rFonts w:ascii="Wingdings" w:hAnsi="Wingdings" w:hint="default"/>
      </w:rPr>
    </w:lvl>
    <w:lvl w:ilvl="6" w:tplc="AAE6E3EA">
      <w:start w:val="1"/>
      <w:numFmt w:val="bullet"/>
      <w:lvlText w:val=""/>
      <w:lvlJc w:val="left"/>
      <w:pPr>
        <w:ind w:left="5040" w:hanging="360"/>
      </w:pPr>
      <w:rPr>
        <w:rFonts w:ascii="Symbol" w:hAnsi="Symbol" w:hint="default"/>
      </w:rPr>
    </w:lvl>
    <w:lvl w:ilvl="7" w:tplc="1F2AD8EE">
      <w:start w:val="1"/>
      <w:numFmt w:val="bullet"/>
      <w:lvlText w:val="o"/>
      <w:lvlJc w:val="left"/>
      <w:pPr>
        <w:ind w:left="5760" w:hanging="360"/>
      </w:pPr>
      <w:rPr>
        <w:rFonts w:ascii="Courier New" w:hAnsi="Courier New" w:hint="default"/>
      </w:rPr>
    </w:lvl>
    <w:lvl w:ilvl="8" w:tplc="D41CCF12">
      <w:start w:val="1"/>
      <w:numFmt w:val="bullet"/>
      <w:lvlText w:val=""/>
      <w:lvlJc w:val="left"/>
      <w:pPr>
        <w:ind w:left="6480" w:hanging="360"/>
      </w:pPr>
      <w:rPr>
        <w:rFonts w:ascii="Wingdings" w:hAnsi="Wingdings" w:hint="default"/>
      </w:rPr>
    </w:lvl>
  </w:abstractNum>
  <w:abstractNum w:abstractNumId="23" w15:restartNumberingAfterBreak="0">
    <w:nsid w:val="68AB4771"/>
    <w:multiLevelType w:val="hybridMultilevel"/>
    <w:tmpl w:val="F6884248"/>
    <w:lvl w:ilvl="0" w:tplc="B946259A">
      <w:start w:val="1"/>
      <w:numFmt w:val="lowerRoman"/>
      <w:lvlText w:val="(%1)"/>
      <w:lvlJc w:val="left"/>
      <w:pPr>
        <w:ind w:left="1440" w:hanging="720"/>
      </w:pPr>
      <w:rPr>
        <w:rFonts w:hint="default"/>
      </w:rPr>
    </w:lvl>
    <w:lvl w:ilvl="1" w:tplc="200A0019" w:tentative="1">
      <w:start w:val="1"/>
      <w:numFmt w:val="lowerLetter"/>
      <w:lvlText w:val="%2."/>
      <w:lvlJc w:val="left"/>
      <w:pPr>
        <w:ind w:left="1800" w:hanging="360"/>
      </w:pPr>
    </w:lvl>
    <w:lvl w:ilvl="2" w:tplc="200A001B" w:tentative="1">
      <w:start w:val="1"/>
      <w:numFmt w:val="lowerRoman"/>
      <w:lvlText w:val="%3."/>
      <w:lvlJc w:val="right"/>
      <w:pPr>
        <w:ind w:left="2520" w:hanging="180"/>
      </w:pPr>
    </w:lvl>
    <w:lvl w:ilvl="3" w:tplc="200A000F" w:tentative="1">
      <w:start w:val="1"/>
      <w:numFmt w:val="decimal"/>
      <w:lvlText w:val="%4."/>
      <w:lvlJc w:val="left"/>
      <w:pPr>
        <w:ind w:left="3240" w:hanging="360"/>
      </w:pPr>
    </w:lvl>
    <w:lvl w:ilvl="4" w:tplc="200A0019" w:tentative="1">
      <w:start w:val="1"/>
      <w:numFmt w:val="lowerLetter"/>
      <w:lvlText w:val="%5."/>
      <w:lvlJc w:val="left"/>
      <w:pPr>
        <w:ind w:left="3960" w:hanging="360"/>
      </w:pPr>
    </w:lvl>
    <w:lvl w:ilvl="5" w:tplc="200A001B" w:tentative="1">
      <w:start w:val="1"/>
      <w:numFmt w:val="lowerRoman"/>
      <w:lvlText w:val="%6."/>
      <w:lvlJc w:val="right"/>
      <w:pPr>
        <w:ind w:left="4680" w:hanging="180"/>
      </w:pPr>
    </w:lvl>
    <w:lvl w:ilvl="6" w:tplc="200A000F" w:tentative="1">
      <w:start w:val="1"/>
      <w:numFmt w:val="decimal"/>
      <w:lvlText w:val="%7."/>
      <w:lvlJc w:val="left"/>
      <w:pPr>
        <w:ind w:left="5400" w:hanging="360"/>
      </w:pPr>
    </w:lvl>
    <w:lvl w:ilvl="7" w:tplc="200A0019" w:tentative="1">
      <w:start w:val="1"/>
      <w:numFmt w:val="lowerLetter"/>
      <w:lvlText w:val="%8."/>
      <w:lvlJc w:val="left"/>
      <w:pPr>
        <w:ind w:left="6120" w:hanging="360"/>
      </w:pPr>
    </w:lvl>
    <w:lvl w:ilvl="8" w:tplc="200A001B" w:tentative="1">
      <w:start w:val="1"/>
      <w:numFmt w:val="lowerRoman"/>
      <w:lvlText w:val="%9."/>
      <w:lvlJc w:val="right"/>
      <w:pPr>
        <w:ind w:left="6840" w:hanging="180"/>
      </w:pPr>
    </w:lvl>
  </w:abstractNum>
  <w:abstractNum w:abstractNumId="24" w15:restartNumberingAfterBreak="0">
    <w:nsid w:val="69E25339"/>
    <w:multiLevelType w:val="hybridMultilevel"/>
    <w:tmpl w:val="AF3E5BF2"/>
    <w:lvl w:ilvl="0" w:tplc="CD642EAA">
      <w:start w:val="9"/>
      <w:numFmt w:val="upp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5" w15:restartNumberingAfterBreak="0">
    <w:nsid w:val="6A8B37B4"/>
    <w:multiLevelType w:val="hybridMultilevel"/>
    <w:tmpl w:val="3DF66780"/>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6" w15:restartNumberingAfterBreak="0">
    <w:nsid w:val="7B3660E6"/>
    <w:multiLevelType w:val="hybridMultilevel"/>
    <w:tmpl w:val="C3622F8A"/>
    <w:lvl w:ilvl="0" w:tplc="455096BA">
      <w:start w:val="1"/>
      <w:numFmt w:val="decimal"/>
      <w:lvlText w:val="%1."/>
      <w:lvlJc w:val="left"/>
      <w:pPr>
        <w:ind w:left="720" w:hanging="360"/>
      </w:pPr>
    </w:lvl>
    <w:lvl w:ilvl="1" w:tplc="D95ADC52">
      <w:start w:val="1"/>
      <w:numFmt w:val="lowerLetter"/>
      <w:lvlText w:val="%2."/>
      <w:lvlJc w:val="left"/>
      <w:pPr>
        <w:ind w:left="1440" w:hanging="360"/>
      </w:pPr>
    </w:lvl>
    <w:lvl w:ilvl="2" w:tplc="BD24AD12">
      <w:start w:val="1"/>
      <w:numFmt w:val="lowerRoman"/>
      <w:lvlText w:val="%3."/>
      <w:lvlJc w:val="right"/>
      <w:pPr>
        <w:ind w:left="2160" w:hanging="180"/>
      </w:pPr>
    </w:lvl>
    <w:lvl w:ilvl="3" w:tplc="06DC764E">
      <w:start w:val="1"/>
      <w:numFmt w:val="decimal"/>
      <w:lvlText w:val="%4."/>
      <w:lvlJc w:val="left"/>
      <w:pPr>
        <w:ind w:left="2880" w:hanging="360"/>
      </w:pPr>
    </w:lvl>
    <w:lvl w:ilvl="4" w:tplc="03F8856A">
      <w:start w:val="1"/>
      <w:numFmt w:val="lowerLetter"/>
      <w:lvlText w:val="%5."/>
      <w:lvlJc w:val="left"/>
      <w:pPr>
        <w:ind w:left="3600" w:hanging="360"/>
      </w:pPr>
    </w:lvl>
    <w:lvl w:ilvl="5" w:tplc="D304BDE8">
      <w:start w:val="1"/>
      <w:numFmt w:val="lowerRoman"/>
      <w:lvlText w:val="%6."/>
      <w:lvlJc w:val="right"/>
      <w:pPr>
        <w:ind w:left="4320" w:hanging="180"/>
      </w:pPr>
    </w:lvl>
    <w:lvl w:ilvl="6" w:tplc="1DA6D6CE">
      <w:start w:val="1"/>
      <w:numFmt w:val="decimal"/>
      <w:lvlText w:val="%7."/>
      <w:lvlJc w:val="left"/>
      <w:pPr>
        <w:ind w:left="5040" w:hanging="360"/>
      </w:pPr>
    </w:lvl>
    <w:lvl w:ilvl="7" w:tplc="22B61C12">
      <w:start w:val="1"/>
      <w:numFmt w:val="lowerLetter"/>
      <w:lvlText w:val="%8."/>
      <w:lvlJc w:val="left"/>
      <w:pPr>
        <w:ind w:left="5760" w:hanging="360"/>
      </w:pPr>
    </w:lvl>
    <w:lvl w:ilvl="8" w:tplc="206C5008">
      <w:start w:val="1"/>
      <w:numFmt w:val="lowerRoman"/>
      <w:lvlText w:val="%9."/>
      <w:lvlJc w:val="right"/>
      <w:pPr>
        <w:ind w:left="6480" w:hanging="180"/>
      </w:pPr>
    </w:lvl>
  </w:abstractNum>
  <w:num w:numId="1" w16cid:durableId="1456604788">
    <w:abstractNumId w:val="9"/>
  </w:num>
  <w:num w:numId="2" w16cid:durableId="1939603559">
    <w:abstractNumId w:val="1"/>
  </w:num>
  <w:num w:numId="3" w16cid:durableId="2019578012">
    <w:abstractNumId w:val="22"/>
  </w:num>
  <w:num w:numId="4" w16cid:durableId="269241087">
    <w:abstractNumId w:val="12"/>
  </w:num>
  <w:num w:numId="5" w16cid:durableId="997418136">
    <w:abstractNumId w:val="19"/>
  </w:num>
  <w:num w:numId="6" w16cid:durableId="209923983">
    <w:abstractNumId w:val="0"/>
  </w:num>
  <w:num w:numId="7" w16cid:durableId="1736968544">
    <w:abstractNumId w:val="26"/>
  </w:num>
  <w:num w:numId="8" w16cid:durableId="857550081">
    <w:abstractNumId w:val="11"/>
  </w:num>
  <w:num w:numId="9" w16cid:durableId="2147119005">
    <w:abstractNumId w:val="20"/>
  </w:num>
  <w:num w:numId="10" w16cid:durableId="131483512">
    <w:abstractNumId w:val="21"/>
  </w:num>
  <w:num w:numId="11" w16cid:durableId="1071123439">
    <w:abstractNumId w:val="5"/>
  </w:num>
  <w:num w:numId="12" w16cid:durableId="563567456">
    <w:abstractNumId w:val="4"/>
  </w:num>
  <w:num w:numId="13" w16cid:durableId="1186869720">
    <w:abstractNumId w:val="23"/>
  </w:num>
  <w:num w:numId="14" w16cid:durableId="603268092">
    <w:abstractNumId w:val="7"/>
  </w:num>
  <w:num w:numId="15" w16cid:durableId="1782260305">
    <w:abstractNumId w:val="6"/>
  </w:num>
  <w:num w:numId="16" w16cid:durableId="290286269">
    <w:abstractNumId w:val="8"/>
  </w:num>
  <w:num w:numId="17" w16cid:durableId="689797016">
    <w:abstractNumId w:val="13"/>
  </w:num>
  <w:num w:numId="18" w16cid:durableId="416096910">
    <w:abstractNumId w:val="25"/>
  </w:num>
  <w:num w:numId="19" w16cid:durableId="92476799">
    <w:abstractNumId w:val="3"/>
  </w:num>
  <w:num w:numId="20" w16cid:durableId="116947244">
    <w:abstractNumId w:val="18"/>
  </w:num>
  <w:num w:numId="21" w16cid:durableId="521094183">
    <w:abstractNumId w:val="14"/>
  </w:num>
  <w:num w:numId="22" w16cid:durableId="1348213548">
    <w:abstractNumId w:val="16"/>
  </w:num>
  <w:num w:numId="23" w16cid:durableId="1174611728">
    <w:abstractNumId w:val="15"/>
  </w:num>
  <w:num w:numId="24" w16cid:durableId="1971277296">
    <w:abstractNumId w:val="10"/>
  </w:num>
  <w:num w:numId="25" w16cid:durableId="970131501">
    <w:abstractNumId w:val="17"/>
  </w:num>
  <w:num w:numId="26" w16cid:durableId="714239996">
    <w:abstractNumId w:val="24"/>
  </w:num>
  <w:num w:numId="27" w16cid:durableId="1541461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C6FD46"/>
    <w:rsid w:val="000008FB"/>
    <w:rsid w:val="000047B1"/>
    <w:rsid w:val="00010DD1"/>
    <w:rsid w:val="00013651"/>
    <w:rsid w:val="00014221"/>
    <w:rsid w:val="000226EA"/>
    <w:rsid w:val="00026819"/>
    <w:rsid w:val="00031D5F"/>
    <w:rsid w:val="00041CDB"/>
    <w:rsid w:val="00045BA3"/>
    <w:rsid w:val="00050B9B"/>
    <w:rsid w:val="000513F9"/>
    <w:rsid w:val="0005599B"/>
    <w:rsid w:val="00061C63"/>
    <w:rsid w:val="00063F56"/>
    <w:rsid w:val="0006735E"/>
    <w:rsid w:val="000704EF"/>
    <w:rsid w:val="00072147"/>
    <w:rsid w:val="000729FC"/>
    <w:rsid w:val="0007335F"/>
    <w:rsid w:val="0007767A"/>
    <w:rsid w:val="00077737"/>
    <w:rsid w:val="000817A9"/>
    <w:rsid w:val="00092F2B"/>
    <w:rsid w:val="0009797B"/>
    <w:rsid w:val="000A1CB9"/>
    <w:rsid w:val="000A7F49"/>
    <w:rsid w:val="000B3BF6"/>
    <w:rsid w:val="000B6705"/>
    <w:rsid w:val="000B7048"/>
    <w:rsid w:val="000C10DC"/>
    <w:rsid w:val="000C34F7"/>
    <w:rsid w:val="000C375C"/>
    <w:rsid w:val="000D13C5"/>
    <w:rsid w:val="000D3A7D"/>
    <w:rsid w:val="000D6BEA"/>
    <w:rsid w:val="000E6256"/>
    <w:rsid w:val="000F1D17"/>
    <w:rsid w:val="000F76E8"/>
    <w:rsid w:val="00105BE3"/>
    <w:rsid w:val="00106487"/>
    <w:rsid w:val="00110B69"/>
    <w:rsid w:val="00114BEC"/>
    <w:rsid w:val="00124CB2"/>
    <w:rsid w:val="00126945"/>
    <w:rsid w:val="001278A1"/>
    <w:rsid w:val="001322DB"/>
    <w:rsid w:val="00136883"/>
    <w:rsid w:val="0014480E"/>
    <w:rsid w:val="001448AA"/>
    <w:rsid w:val="00144FBB"/>
    <w:rsid w:val="00145A13"/>
    <w:rsid w:val="00161841"/>
    <w:rsid w:val="00162DDA"/>
    <w:rsid w:val="00165D3D"/>
    <w:rsid w:val="001701C6"/>
    <w:rsid w:val="0017270D"/>
    <w:rsid w:val="001731D3"/>
    <w:rsid w:val="001734EF"/>
    <w:rsid w:val="00187D00"/>
    <w:rsid w:val="00193E68"/>
    <w:rsid w:val="00197058"/>
    <w:rsid w:val="001B5B1F"/>
    <w:rsid w:val="001C17F7"/>
    <w:rsid w:val="001C487C"/>
    <w:rsid w:val="001C6687"/>
    <w:rsid w:val="001C689E"/>
    <w:rsid w:val="001C708B"/>
    <w:rsid w:val="001D04C8"/>
    <w:rsid w:val="001D15F2"/>
    <w:rsid w:val="001D254C"/>
    <w:rsid w:val="001D4A16"/>
    <w:rsid w:val="001F6974"/>
    <w:rsid w:val="00206A97"/>
    <w:rsid w:val="00210E3B"/>
    <w:rsid w:val="00221F13"/>
    <w:rsid w:val="00227183"/>
    <w:rsid w:val="00227297"/>
    <w:rsid w:val="00233AD7"/>
    <w:rsid w:val="002432D7"/>
    <w:rsid w:val="00253B12"/>
    <w:rsid w:val="002606FF"/>
    <w:rsid w:val="002742E8"/>
    <w:rsid w:val="002805CD"/>
    <w:rsid w:val="00282267"/>
    <w:rsid w:val="00287F56"/>
    <w:rsid w:val="002926C1"/>
    <w:rsid w:val="002B196D"/>
    <w:rsid w:val="002B544E"/>
    <w:rsid w:val="002B717C"/>
    <w:rsid w:val="002C0F55"/>
    <w:rsid w:val="002C6B33"/>
    <w:rsid w:val="002C7D79"/>
    <w:rsid w:val="002D3D93"/>
    <w:rsid w:val="002E0906"/>
    <w:rsid w:val="003047B8"/>
    <w:rsid w:val="00307E4B"/>
    <w:rsid w:val="003110CB"/>
    <w:rsid w:val="00314764"/>
    <w:rsid w:val="0032065F"/>
    <w:rsid w:val="00322F90"/>
    <w:rsid w:val="00325E33"/>
    <w:rsid w:val="00330483"/>
    <w:rsid w:val="00335D89"/>
    <w:rsid w:val="003424D4"/>
    <w:rsid w:val="003469AD"/>
    <w:rsid w:val="0035135A"/>
    <w:rsid w:val="003550FB"/>
    <w:rsid w:val="003553D5"/>
    <w:rsid w:val="00361F1F"/>
    <w:rsid w:val="00367031"/>
    <w:rsid w:val="003729BA"/>
    <w:rsid w:val="00373981"/>
    <w:rsid w:val="00380DB3"/>
    <w:rsid w:val="0039084D"/>
    <w:rsid w:val="003A7058"/>
    <w:rsid w:val="003B4614"/>
    <w:rsid w:val="003B5F73"/>
    <w:rsid w:val="003C44A4"/>
    <w:rsid w:val="003D0872"/>
    <w:rsid w:val="003D12A7"/>
    <w:rsid w:val="003D38A4"/>
    <w:rsid w:val="003D4BE8"/>
    <w:rsid w:val="003E7829"/>
    <w:rsid w:val="003F1852"/>
    <w:rsid w:val="003F4A56"/>
    <w:rsid w:val="003F5F04"/>
    <w:rsid w:val="00424325"/>
    <w:rsid w:val="0043038E"/>
    <w:rsid w:val="004325B7"/>
    <w:rsid w:val="00440922"/>
    <w:rsid w:val="00446726"/>
    <w:rsid w:val="004509D6"/>
    <w:rsid w:val="00461703"/>
    <w:rsid w:val="00462BAD"/>
    <w:rsid w:val="00486E22"/>
    <w:rsid w:val="00487DEF"/>
    <w:rsid w:val="00494148"/>
    <w:rsid w:val="004A2A55"/>
    <w:rsid w:val="004A4936"/>
    <w:rsid w:val="004A57A3"/>
    <w:rsid w:val="004B14A3"/>
    <w:rsid w:val="004B29AF"/>
    <w:rsid w:val="004B5145"/>
    <w:rsid w:val="004B5758"/>
    <w:rsid w:val="004B57B2"/>
    <w:rsid w:val="004B7839"/>
    <w:rsid w:val="004C171E"/>
    <w:rsid w:val="004D002E"/>
    <w:rsid w:val="004D0EDF"/>
    <w:rsid w:val="004D7FBB"/>
    <w:rsid w:val="004E30AF"/>
    <w:rsid w:val="004E5176"/>
    <w:rsid w:val="004E578C"/>
    <w:rsid w:val="004F1AB3"/>
    <w:rsid w:val="004F2DC9"/>
    <w:rsid w:val="004F42FF"/>
    <w:rsid w:val="004F47D6"/>
    <w:rsid w:val="004F52C6"/>
    <w:rsid w:val="0050010A"/>
    <w:rsid w:val="00503246"/>
    <w:rsid w:val="00503B20"/>
    <w:rsid w:val="005062C7"/>
    <w:rsid w:val="00513049"/>
    <w:rsid w:val="0051715A"/>
    <w:rsid w:val="005210E0"/>
    <w:rsid w:val="005217CC"/>
    <w:rsid w:val="005327F6"/>
    <w:rsid w:val="005359ED"/>
    <w:rsid w:val="005432DD"/>
    <w:rsid w:val="005515B6"/>
    <w:rsid w:val="0055232D"/>
    <w:rsid w:val="005537A9"/>
    <w:rsid w:val="0056435B"/>
    <w:rsid w:val="00571C33"/>
    <w:rsid w:val="00571DF0"/>
    <w:rsid w:val="00572865"/>
    <w:rsid w:val="00575E44"/>
    <w:rsid w:val="00580AFA"/>
    <w:rsid w:val="005854E8"/>
    <w:rsid w:val="00591ED6"/>
    <w:rsid w:val="005947B4"/>
    <w:rsid w:val="00594B4E"/>
    <w:rsid w:val="005B6B74"/>
    <w:rsid w:val="005B6F57"/>
    <w:rsid w:val="005C0BB1"/>
    <w:rsid w:val="005C406F"/>
    <w:rsid w:val="005D0501"/>
    <w:rsid w:val="005D31EB"/>
    <w:rsid w:val="005D4939"/>
    <w:rsid w:val="005E1B6A"/>
    <w:rsid w:val="005F3C78"/>
    <w:rsid w:val="005F42FA"/>
    <w:rsid w:val="005F6199"/>
    <w:rsid w:val="0060098C"/>
    <w:rsid w:val="00604A91"/>
    <w:rsid w:val="00633E8C"/>
    <w:rsid w:val="00636B1A"/>
    <w:rsid w:val="006465C3"/>
    <w:rsid w:val="00650434"/>
    <w:rsid w:val="0065201B"/>
    <w:rsid w:val="00652894"/>
    <w:rsid w:val="00652E51"/>
    <w:rsid w:val="006729F9"/>
    <w:rsid w:val="00673720"/>
    <w:rsid w:val="006805C9"/>
    <w:rsid w:val="00683D7D"/>
    <w:rsid w:val="00685A76"/>
    <w:rsid w:val="00686C76"/>
    <w:rsid w:val="006871BC"/>
    <w:rsid w:val="00692D59"/>
    <w:rsid w:val="006964D7"/>
    <w:rsid w:val="006A0DA7"/>
    <w:rsid w:val="006A4ADE"/>
    <w:rsid w:val="006A5DFA"/>
    <w:rsid w:val="006B0AF6"/>
    <w:rsid w:val="006B4AB4"/>
    <w:rsid w:val="006C399B"/>
    <w:rsid w:val="006C5E6A"/>
    <w:rsid w:val="006D1729"/>
    <w:rsid w:val="006D5298"/>
    <w:rsid w:val="006D59FA"/>
    <w:rsid w:val="006D611F"/>
    <w:rsid w:val="006D6761"/>
    <w:rsid w:val="006E3F53"/>
    <w:rsid w:val="006E4419"/>
    <w:rsid w:val="006E49B3"/>
    <w:rsid w:val="006E629F"/>
    <w:rsid w:val="006F35C0"/>
    <w:rsid w:val="006F6BE9"/>
    <w:rsid w:val="00701EC7"/>
    <w:rsid w:val="00725894"/>
    <w:rsid w:val="0072703D"/>
    <w:rsid w:val="007271A9"/>
    <w:rsid w:val="00734602"/>
    <w:rsid w:val="0074365E"/>
    <w:rsid w:val="00745A7C"/>
    <w:rsid w:val="00754029"/>
    <w:rsid w:val="0075FCCD"/>
    <w:rsid w:val="00763792"/>
    <w:rsid w:val="00771285"/>
    <w:rsid w:val="00774D44"/>
    <w:rsid w:val="0077627F"/>
    <w:rsid w:val="007840B8"/>
    <w:rsid w:val="00786C44"/>
    <w:rsid w:val="007941D6"/>
    <w:rsid w:val="00794617"/>
    <w:rsid w:val="007B203B"/>
    <w:rsid w:val="007B28A7"/>
    <w:rsid w:val="007B32B0"/>
    <w:rsid w:val="007C43A5"/>
    <w:rsid w:val="007D0A0B"/>
    <w:rsid w:val="007D26B2"/>
    <w:rsid w:val="007D3283"/>
    <w:rsid w:val="007D464C"/>
    <w:rsid w:val="007E2126"/>
    <w:rsid w:val="007F317B"/>
    <w:rsid w:val="007F4277"/>
    <w:rsid w:val="008028B5"/>
    <w:rsid w:val="00814207"/>
    <w:rsid w:val="00815CD5"/>
    <w:rsid w:val="00821F5D"/>
    <w:rsid w:val="00823B88"/>
    <w:rsid w:val="0082745C"/>
    <w:rsid w:val="00833AD6"/>
    <w:rsid w:val="00833B38"/>
    <w:rsid w:val="008362DE"/>
    <w:rsid w:val="008519FD"/>
    <w:rsid w:val="00860C7D"/>
    <w:rsid w:val="00867C3B"/>
    <w:rsid w:val="00875239"/>
    <w:rsid w:val="00884D5D"/>
    <w:rsid w:val="00884DC9"/>
    <w:rsid w:val="008922BB"/>
    <w:rsid w:val="008948CF"/>
    <w:rsid w:val="00895E25"/>
    <w:rsid w:val="008970C0"/>
    <w:rsid w:val="008973AD"/>
    <w:rsid w:val="008979AA"/>
    <w:rsid w:val="008B0BEF"/>
    <w:rsid w:val="008B3B8A"/>
    <w:rsid w:val="008B5249"/>
    <w:rsid w:val="008B539D"/>
    <w:rsid w:val="008B6F18"/>
    <w:rsid w:val="008C0920"/>
    <w:rsid w:val="008C35AC"/>
    <w:rsid w:val="008C5A83"/>
    <w:rsid w:val="008C6440"/>
    <w:rsid w:val="008D2333"/>
    <w:rsid w:val="008D2CC2"/>
    <w:rsid w:val="008D508A"/>
    <w:rsid w:val="008E1267"/>
    <w:rsid w:val="008E35E3"/>
    <w:rsid w:val="008E5298"/>
    <w:rsid w:val="008F00BE"/>
    <w:rsid w:val="008F06BA"/>
    <w:rsid w:val="008F75EB"/>
    <w:rsid w:val="00903AA7"/>
    <w:rsid w:val="00904151"/>
    <w:rsid w:val="00907EAD"/>
    <w:rsid w:val="00911107"/>
    <w:rsid w:val="00921B96"/>
    <w:rsid w:val="0092322C"/>
    <w:rsid w:val="00923CA0"/>
    <w:rsid w:val="0093053C"/>
    <w:rsid w:val="00932CFA"/>
    <w:rsid w:val="00934322"/>
    <w:rsid w:val="00937074"/>
    <w:rsid w:val="00950145"/>
    <w:rsid w:val="00952DC4"/>
    <w:rsid w:val="00952F44"/>
    <w:rsid w:val="00960F1C"/>
    <w:rsid w:val="00963E4D"/>
    <w:rsid w:val="00972635"/>
    <w:rsid w:val="00975B33"/>
    <w:rsid w:val="009845B1"/>
    <w:rsid w:val="00985D05"/>
    <w:rsid w:val="00987D14"/>
    <w:rsid w:val="00992838"/>
    <w:rsid w:val="00993F0A"/>
    <w:rsid w:val="009B028E"/>
    <w:rsid w:val="009B245E"/>
    <w:rsid w:val="009B36FB"/>
    <w:rsid w:val="009B43D2"/>
    <w:rsid w:val="009B4495"/>
    <w:rsid w:val="009B7876"/>
    <w:rsid w:val="009C20A6"/>
    <w:rsid w:val="009C2A85"/>
    <w:rsid w:val="009C77C7"/>
    <w:rsid w:val="009D4C07"/>
    <w:rsid w:val="009D7F7C"/>
    <w:rsid w:val="009E7569"/>
    <w:rsid w:val="009F0DF8"/>
    <w:rsid w:val="009F0F73"/>
    <w:rsid w:val="009F45EC"/>
    <w:rsid w:val="00A014C5"/>
    <w:rsid w:val="00A021B5"/>
    <w:rsid w:val="00A22784"/>
    <w:rsid w:val="00A25220"/>
    <w:rsid w:val="00A37E09"/>
    <w:rsid w:val="00A6128E"/>
    <w:rsid w:val="00A63C3F"/>
    <w:rsid w:val="00A729FA"/>
    <w:rsid w:val="00A7387E"/>
    <w:rsid w:val="00A8109C"/>
    <w:rsid w:val="00A944DA"/>
    <w:rsid w:val="00A97CFD"/>
    <w:rsid w:val="00AA7FC6"/>
    <w:rsid w:val="00AB0730"/>
    <w:rsid w:val="00AC736F"/>
    <w:rsid w:val="00AD2897"/>
    <w:rsid w:val="00AD3C86"/>
    <w:rsid w:val="00AE103B"/>
    <w:rsid w:val="00AE3A6B"/>
    <w:rsid w:val="00AE7155"/>
    <w:rsid w:val="00AF0B2E"/>
    <w:rsid w:val="00B037D1"/>
    <w:rsid w:val="00B23BCE"/>
    <w:rsid w:val="00B341CE"/>
    <w:rsid w:val="00B36F12"/>
    <w:rsid w:val="00B55645"/>
    <w:rsid w:val="00B55E62"/>
    <w:rsid w:val="00B57FA0"/>
    <w:rsid w:val="00B6567A"/>
    <w:rsid w:val="00B66CF0"/>
    <w:rsid w:val="00B70460"/>
    <w:rsid w:val="00B725E7"/>
    <w:rsid w:val="00B77FEE"/>
    <w:rsid w:val="00B91870"/>
    <w:rsid w:val="00B976BA"/>
    <w:rsid w:val="00BB7CB3"/>
    <w:rsid w:val="00BC168D"/>
    <w:rsid w:val="00BC19CA"/>
    <w:rsid w:val="00BC6268"/>
    <w:rsid w:val="00BD22DD"/>
    <w:rsid w:val="00BD4040"/>
    <w:rsid w:val="00BD4270"/>
    <w:rsid w:val="00BD4950"/>
    <w:rsid w:val="00BD644F"/>
    <w:rsid w:val="00BE5841"/>
    <w:rsid w:val="00BE58A0"/>
    <w:rsid w:val="00BF0D4E"/>
    <w:rsid w:val="00BF2D93"/>
    <w:rsid w:val="00BF6A51"/>
    <w:rsid w:val="00BF7032"/>
    <w:rsid w:val="00BF71F9"/>
    <w:rsid w:val="00C053C2"/>
    <w:rsid w:val="00C174F7"/>
    <w:rsid w:val="00C22F5E"/>
    <w:rsid w:val="00C35C5B"/>
    <w:rsid w:val="00C46337"/>
    <w:rsid w:val="00C56FD5"/>
    <w:rsid w:val="00C57F15"/>
    <w:rsid w:val="00C602B7"/>
    <w:rsid w:val="00C63B74"/>
    <w:rsid w:val="00C644EC"/>
    <w:rsid w:val="00C67BBD"/>
    <w:rsid w:val="00C70795"/>
    <w:rsid w:val="00C715C5"/>
    <w:rsid w:val="00C74B64"/>
    <w:rsid w:val="00C800FA"/>
    <w:rsid w:val="00C83CEA"/>
    <w:rsid w:val="00C8449A"/>
    <w:rsid w:val="00C867DA"/>
    <w:rsid w:val="00C91366"/>
    <w:rsid w:val="00C92983"/>
    <w:rsid w:val="00C92AC7"/>
    <w:rsid w:val="00C943AF"/>
    <w:rsid w:val="00C94B49"/>
    <w:rsid w:val="00C962FB"/>
    <w:rsid w:val="00CA3F84"/>
    <w:rsid w:val="00CA53EA"/>
    <w:rsid w:val="00CC3A37"/>
    <w:rsid w:val="00CC57F6"/>
    <w:rsid w:val="00CE4017"/>
    <w:rsid w:val="00CE41FE"/>
    <w:rsid w:val="00CF479B"/>
    <w:rsid w:val="00CF6CF7"/>
    <w:rsid w:val="00D01690"/>
    <w:rsid w:val="00D02C5C"/>
    <w:rsid w:val="00D26D88"/>
    <w:rsid w:val="00D3178F"/>
    <w:rsid w:val="00D32516"/>
    <w:rsid w:val="00D328EB"/>
    <w:rsid w:val="00D33640"/>
    <w:rsid w:val="00D37E71"/>
    <w:rsid w:val="00D45804"/>
    <w:rsid w:val="00D461FA"/>
    <w:rsid w:val="00D5183A"/>
    <w:rsid w:val="00D52C2F"/>
    <w:rsid w:val="00D555D1"/>
    <w:rsid w:val="00D643D9"/>
    <w:rsid w:val="00D70E27"/>
    <w:rsid w:val="00D72A80"/>
    <w:rsid w:val="00D75799"/>
    <w:rsid w:val="00D856B6"/>
    <w:rsid w:val="00DA22F7"/>
    <w:rsid w:val="00DA2328"/>
    <w:rsid w:val="00DA2995"/>
    <w:rsid w:val="00DA5684"/>
    <w:rsid w:val="00DB0A01"/>
    <w:rsid w:val="00DB3365"/>
    <w:rsid w:val="00DB7A7C"/>
    <w:rsid w:val="00DB7CFF"/>
    <w:rsid w:val="00DB7EDC"/>
    <w:rsid w:val="00DC5C68"/>
    <w:rsid w:val="00DC64AC"/>
    <w:rsid w:val="00DD089D"/>
    <w:rsid w:val="00DD27DF"/>
    <w:rsid w:val="00DD4A1F"/>
    <w:rsid w:val="00DF215B"/>
    <w:rsid w:val="00DF4DFE"/>
    <w:rsid w:val="00E017DE"/>
    <w:rsid w:val="00E01C48"/>
    <w:rsid w:val="00E036C2"/>
    <w:rsid w:val="00E03FD3"/>
    <w:rsid w:val="00E10322"/>
    <w:rsid w:val="00E1387B"/>
    <w:rsid w:val="00E17903"/>
    <w:rsid w:val="00E17945"/>
    <w:rsid w:val="00E2714B"/>
    <w:rsid w:val="00E274A7"/>
    <w:rsid w:val="00E32A21"/>
    <w:rsid w:val="00E37F6A"/>
    <w:rsid w:val="00E40567"/>
    <w:rsid w:val="00E50FE5"/>
    <w:rsid w:val="00E54B3B"/>
    <w:rsid w:val="00E5601C"/>
    <w:rsid w:val="00E623FA"/>
    <w:rsid w:val="00E642A5"/>
    <w:rsid w:val="00E74D49"/>
    <w:rsid w:val="00E75FC3"/>
    <w:rsid w:val="00E7647B"/>
    <w:rsid w:val="00E93B34"/>
    <w:rsid w:val="00E94D53"/>
    <w:rsid w:val="00EA16D9"/>
    <w:rsid w:val="00EA7FE9"/>
    <w:rsid w:val="00EB0046"/>
    <w:rsid w:val="00EB125A"/>
    <w:rsid w:val="00EB36FD"/>
    <w:rsid w:val="00EC2A1A"/>
    <w:rsid w:val="00ED1EA4"/>
    <w:rsid w:val="00ED36BC"/>
    <w:rsid w:val="00EF25C2"/>
    <w:rsid w:val="00EF5F00"/>
    <w:rsid w:val="00EF6908"/>
    <w:rsid w:val="00F044B3"/>
    <w:rsid w:val="00F11D41"/>
    <w:rsid w:val="00F135B1"/>
    <w:rsid w:val="00F15DE5"/>
    <w:rsid w:val="00F2593F"/>
    <w:rsid w:val="00F26721"/>
    <w:rsid w:val="00F27EEA"/>
    <w:rsid w:val="00F31E2E"/>
    <w:rsid w:val="00F53665"/>
    <w:rsid w:val="00F554B3"/>
    <w:rsid w:val="00F62620"/>
    <w:rsid w:val="00F92D1D"/>
    <w:rsid w:val="00F94ACC"/>
    <w:rsid w:val="00F9515B"/>
    <w:rsid w:val="00F9689C"/>
    <w:rsid w:val="00FA39AA"/>
    <w:rsid w:val="00FA6E91"/>
    <w:rsid w:val="00FB1608"/>
    <w:rsid w:val="00FB455A"/>
    <w:rsid w:val="00FB49EC"/>
    <w:rsid w:val="00FB63FD"/>
    <w:rsid w:val="00FC09B4"/>
    <w:rsid w:val="00FC15F1"/>
    <w:rsid w:val="00FC34B6"/>
    <w:rsid w:val="00FD4750"/>
    <w:rsid w:val="00FD55E4"/>
    <w:rsid w:val="00FD5E6B"/>
    <w:rsid w:val="00FE26FC"/>
    <w:rsid w:val="00FE55CA"/>
    <w:rsid w:val="00FE5910"/>
    <w:rsid w:val="00FF3053"/>
    <w:rsid w:val="00FF4083"/>
    <w:rsid w:val="01368D26"/>
    <w:rsid w:val="014D008C"/>
    <w:rsid w:val="01AE59EE"/>
    <w:rsid w:val="021E7DF5"/>
    <w:rsid w:val="024D4D76"/>
    <w:rsid w:val="02B8E16C"/>
    <w:rsid w:val="0316ADD6"/>
    <w:rsid w:val="03DE2407"/>
    <w:rsid w:val="040A1DEC"/>
    <w:rsid w:val="042DE0BD"/>
    <w:rsid w:val="04C90633"/>
    <w:rsid w:val="057A74DF"/>
    <w:rsid w:val="05D6FDBB"/>
    <w:rsid w:val="0636FD87"/>
    <w:rsid w:val="06689155"/>
    <w:rsid w:val="06FE4236"/>
    <w:rsid w:val="07574EBA"/>
    <w:rsid w:val="076CAD7D"/>
    <w:rsid w:val="07744E9B"/>
    <w:rsid w:val="07F3F05E"/>
    <w:rsid w:val="088112E1"/>
    <w:rsid w:val="08C1E654"/>
    <w:rsid w:val="09188670"/>
    <w:rsid w:val="0AEF6707"/>
    <w:rsid w:val="0C3024D5"/>
    <w:rsid w:val="0CB1BCAF"/>
    <w:rsid w:val="0D3B2D81"/>
    <w:rsid w:val="0D5B590E"/>
    <w:rsid w:val="0D77E587"/>
    <w:rsid w:val="0D7DDAFA"/>
    <w:rsid w:val="0E7E610B"/>
    <w:rsid w:val="0E841362"/>
    <w:rsid w:val="0EE8D39D"/>
    <w:rsid w:val="0F9FEB5E"/>
    <w:rsid w:val="10400175"/>
    <w:rsid w:val="10FA88EA"/>
    <w:rsid w:val="11856DC8"/>
    <w:rsid w:val="11A9308A"/>
    <w:rsid w:val="127A0480"/>
    <w:rsid w:val="12BBCBB4"/>
    <w:rsid w:val="131F6038"/>
    <w:rsid w:val="134D4382"/>
    <w:rsid w:val="136927B0"/>
    <w:rsid w:val="137FEE8B"/>
    <w:rsid w:val="13825D7A"/>
    <w:rsid w:val="14CC5607"/>
    <w:rsid w:val="14D8B5C8"/>
    <w:rsid w:val="151E2DDB"/>
    <w:rsid w:val="1525DD6A"/>
    <w:rsid w:val="152F040B"/>
    <w:rsid w:val="1574D960"/>
    <w:rsid w:val="15D471DE"/>
    <w:rsid w:val="16240781"/>
    <w:rsid w:val="1675628D"/>
    <w:rsid w:val="17562455"/>
    <w:rsid w:val="1757E486"/>
    <w:rsid w:val="1776DDE9"/>
    <w:rsid w:val="189CE7A9"/>
    <w:rsid w:val="18E47732"/>
    <w:rsid w:val="1919CD77"/>
    <w:rsid w:val="19FCC51F"/>
    <w:rsid w:val="1AAF8F47"/>
    <w:rsid w:val="1B1D76F4"/>
    <w:rsid w:val="1C2050B6"/>
    <w:rsid w:val="1C4BECEA"/>
    <w:rsid w:val="1C90E072"/>
    <w:rsid w:val="1E99CC8C"/>
    <w:rsid w:val="1E9ADB0D"/>
    <w:rsid w:val="1EA5D987"/>
    <w:rsid w:val="20A346C0"/>
    <w:rsid w:val="218FFEA8"/>
    <w:rsid w:val="21F5C321"/>
    <w:rsid w:val="21FFFB79"/>
    <w:rsid w:val="243C3894"/>
    <w:rsid w:val="2469C3EA"/>
    <w:rsid w:val="24D2C7FF"/>
    <w:rsid w:val="24FDC552"/>
    <w:rsid w:val="251D561C"/>
    <w:rsid w:val="2618A01A"/>
    <w:rsid w:val="26887999"/>
    <w:rsid w:val="269AC193"/>
    <w:rsid w:val="27255907"/>
    <w:rsid w:val="27430E63"/>
    <w:rsid w:val="27A5B139"/>
    <w:rsid w:val="283F378E"/>
    <w:rsid w:val="288A3BE6"/>
    <w:rsid w:val="2899216E"/>
    <w:rsid w:val="28B12A67"/>
    <w:rsid w:val="291CCEF4"/>
    <w:rsid w:val="296C0B17"/>
    <w:rsid w:val="299F35C7"/>
    <w:rsid w:val="29CEDA9D"/>
    <w:rsid w:val="2A1C504F"/>
    <w:rsid w:val="2AC34DB0"/>
    <w:rsid w:val="2AC6A6D2"/>
    <w:rsid w:val="2AE25D5E"/>
    <w:rsid w:val="2B3DEBF9"/>
    <w:rsid w:val="2B5E2DEC"/>
    <w:rsid w:val="2CE993CE"/>
    <w:rsid w:val="2D009619"/>
    <w:rsid w:val="2DC14009"/>
    <w:rsid w:val="2E466836"/>
    <w:rsid w:val="2E976BDA"/>
    <w:rsid w:val="2FBD38D8"/>
    <w:rsid w:val="30815D2E"/>
    <w:rsid w:val="312D5DED"/>
    <w:rsid w:val="3135AAC2"/>
    <w:rsid w:val="31B38051"/>
    <w:rsid w:val="321336FB"/>
    <w:rsid w:val="3243EAE2"/>
    <w:rsid w:val="3292C62C"/>
    <w:rsid w:val="32B28250"/>
    <w:rsid w:val="3385BD2F"/>
    <w:rsid w:val="33BAFDA2"/>
    <w:rsid w:val="3427D66D"/>
    <w:rsid w:val="342C19F6"/>
    <w:rsid w:val="3745D3B1"/>
    <w:rsid w:val="38471647"/>
    <w:rsid w:val="38ABD97B"/>
    <w:rsid w:val="39A0B1FE"/>
    <w:rsid w:val="39B21B2E"/>
    <w:rsid w:val="3A006817"/>
    <w:rsid w:val="3A41281E"/>
    <w:rsid w:val="3A4B738E"/>
    <w:rsid w:val="3A4C7DCF"/>
    <w:rsid w:val="3BE46F76"/>
    <w:rsid w:val="3C604555"/>
    <w:rsid w:val="3CA1ACE9"/>
    <w:rsid w:val="3D7D1204"/>
    <w:rsid w:val="3D952C06"/>
    <w:rsid w:val="3EAE4C71"/>
    <w:rsid w:val="40A647F6"/>
    <w:rsid w:val="41589B3D"/>
    <w:rsid w:val="41F15160"/>
    <w:rsid w:val="41F79D12"/>
    <w:rsid w:val="429DEBDD"/>
    <w:rsid w:val="42A92472"/>
    <w:rsid w:val="42FC96FF"/>
    <w:rsid w:val="430E3CB7"/>
    <w:rsid w:val="43CC10EA"/>
    <w:rsid w:val="448DBBF8"/>
    <w:rsid w:val="44C3BB54"/>
    <w:rsid w:val="44DD07C0"/>
    <w:rsid w:val="453B3EA9"/>
    <w:rsid w:val="4584100C"/>
    <w:rsid w:val="45CFCA38"/>
    <w:rsid w:val="45FE8CCB"/>
    <w:rsid w:val="4713B5FC"/>
    <w:rsid w:val="471FC82D"/>
    <w:rsid w:val="479C1B15"/>
    <w:rsid w:val="47CD8A3D"/>
    <w:rsid w:val="48806AE7"/>
    <w:rsid w:val="48B38E1E"/>
    <w:rsid w:val="48F9C77B"/>
    <w:rsid w:val="49323B4D"/>
    <w:rsid w:val="49877605"/>
    <w:rsid w:val="4A0902FF"/>
    <w:rsid w:val="4A14B033"/>
    <w:rsid w:val="4B2CACD3"/>
    <w:rsid w:val="4B619435"/>
    <w:rsid w:val="4BC56146"/>
    <w:rsid w:val="4BDEADD9"/>
    <w:rsid w:val="4BF242E1"/>
    <w:rsid w:val="4C1985D6"/>
    <w:rsid w:val="4C9BCD88"/>
    <w:rsid w:val="4CF4C917"/>
    <w:rsid w:val="4D0FF4AC"/>
    <w:rsid w:val="4D6B8A49"/>
    <w:rsid w:val="4E8596DF"/>
    <w:rsid w:val="50585E59"/>
    <w:rsid w:val="50B7EAB0"/>
    <w:rsid w:val="51833F7E"/>
    <w:rsid w:val="52054710"/>
    <w:rsid w:val="5247CEE8"/>
    <w:rsid w:val="528BDF55"/>
    <w:rsid w:val="5337268F"/>
    <w:rsid w:val="53B191BB"/>
    <w:rsid w:val="53C6FD46"/>
    <w:rsid w:val="549B9330"/>
    <w:rsid w:val="54D8AA7E"/>
    <w:rsid w:val="5514EC8F"/>
    <w:rsid w:val="5527F5E7"/>
    <w:rsid w:val="552D0E3E"/>
    <w:rsid w:val="5530F1E5"/>
    <w:rsid w:val="5587947E"/>
    <w:rsid w:val="564FEE8D"/>
    <w:rsid w:val="5687B239"/>
    <w:rsid w:val="56ADC0A4"/>
    <w:rsid w:val="56E9D1B6"/>
    <w:rsid w:val="5700087C"/>
    <w:rsid w:val="57DA5BD3"/>
    <w:rsid w:val="57E343DB"/>
    <w:rsid w:val="581277AE"/>
    <w:rsid w:val="58283ACF"/>
    <w:rsid w:val="595A0555"/>
    <w:rsid w:val="596CB5F0"/>
    <w:rsid w:val="597DC6D1"/>
    <w:rsid w:val="59814AF0"/>
    <w:rsid w:val="5A7C7BCB"/>
    <w:rsid w:val="5A80279E"/>
    <w:rsid w:val="5A833B05"/>
    <w:rsid w:val="5A8D5865"/>
    <w:rsid w:val="5A8FEDFC"/>
    <w:rsid w:val="5AB3A92C"/>
    <w:rsid w:val="5AC5CC39"/>
    <w:rsid w:val="5B7ECF53"/>
    <w:rsid w:val="5D709785"/>
    <w:rsid w:val="5E79280B"/>
    <w:rsid w:val="60B4A061"/>
    <w:rsid w:val="61297862"/>
    <w:rsid w:val="61FA16B7"/>
    <w:rsid w:val="626AC5EC"/>
    <w:rsid w:val="62750856"/>
    <w:rsid w:val="633476CF"/>
    <w:rsid w:val="6357AEA0"/>
    <w:rsid w:val="63DC896B"/>
    <w:rsid w:val="6455FC23"/>
    <w:rsid w:val="648F1AE8"/>
    <w:rsid w:val="64CF6406"/>
    <w:rsid w:val="64FBF9FA"/>
    <w:rsid w:val="654E4E65"/>
    <w:rsid w:val="66046B54"/>
    <w:rsid w:val="668FC4C8"/>
    <w:rsid w:val="66918F7F"/>
    <w:rsid w:val="67746C4C"/>
    <w:rsid w:val="67CE96EC"/>
    <w:rsid w:val="67FF24DB"/>
    <w:rsid w:val="681CAD21"/>
    <w:rsid w:val="683D2D24"/>
    <w:rsid w:val="683E542C"/>
    <w:rsid w:val="684F938F"/>
    <w:rsid w:val="68871DFC"/>
    <w:rsid w:val="68CCAB83"/>
    <w:rsid w:val="69C62FF2"/>
    <w:rsid w:val="6A04CBDB"/>
    <w:rsid w:val="6A1B76DE"/>
    <w:rsid w:val="6A5D5DCB"/>
    <w:rsid w:val="6A64E6CD"/>
    <w:rsid w:val="6AABC82E"/>
    <w:rsid w:val="6CAB78F5"/>
    <w:rsid w:val="6DBC1DE8"/>
    <w:rsid w:val="6EDC084E"/>
    <w:rsid w:val="6F24332E"/>
    <w:rsid w:val="7075E26F"/>
    <w:rsid w:val="70935F00"/>
    <w:rsid w:val="712F8F45"/>
    <w:rsid w:val="71AF07F1"/>
    <w:rsid w:val="7213A910"/>
    <w:rsid w:val="7275005C"/>
    <w:rsid w:val="72F360B3"/>
    <w:rsid w:val="72F7618D"/>
    <w:rsid w:val="73185329"/>
    <w:rsid w:val="73A39150"/>
    <w:rsid w:val="742BDB07"/>
    <w:rsid w:val="754B49D2"/>
    <w:rsid w:val="75566983"/>
    <w:rsid w:val="75AFE301"/>
    <w:rsid w:val="75D00AA3"/>
    <w:rsid w:val="7604CCBC"/>
    <w:rsid w:val="771C75E1"/>
    <w:rsid w:val="7736A184"/>
    <w:rsid w:val="779BE2AA"/>
    <w:rsid w:val="77AF6E39"/>
    <w:rsid w:val="77F0951F"/>
    <w:rsid w:val="780D480A"/>
    <w:rsid w:val="78B0563A"/>
    <w:rsid w:val="7A068E00"/>
    <w:rsid w:val="7B1ADA28"/>
    <w:rsid w:val="7B249165"/>
    <w:rsid w:val="7B514565"/>
    <w:rsid w:val="7B593A44"/>
    <w:rsid w:val="7B5B9DB9"/>
    <w:rsid w:val="7B65557D"/>
    <w:rsid w:val="7BE9F916"/>
    <w:rsid w:val="7C1DB620"/>
    <w:rsid w:val="7C74CAE6"/>
    <w:rsid w:val="7E19BC91"/>
    <w:rsid w:val="7E776961"/>
    <w:rsid w:val="7E89287B"/>
    <w:rsid w:val="7FC9FF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6FD46"/>
  <w15:chartTrackingRefBased/>
  <w15:docId w15:val="{2FD9EA97-EF7C-4B18-8818-855376A36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52F040B"/>
    <w:rPr>
      <w:lang w:val="es-VE"/>
    </w:rPr>
  </w:style>
  <w:style w:type="paragraph" w:styleId="Ttulo1">
    <w:name w:val="heading 1"/>
    <w:basedOn w:val="Normal"/>
    <w:next w:val="Normal"/>
    <w:link w:val="Ttulo1Car"/>
    <w:uiPriority w:val="9"/>
    <w:qFormat/>
    <w:rsid w:val="152F04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152F04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152F040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152F040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152F040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152F040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152F040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152F040B"/>
    <w:pPr>
      <w:keepNext/>
      <w:keepLines/>
      <w:spacing w:after="0"/>
      <w:outlineLvl w:val="7"/>
    </w:pPr>
    <w:rPr>
      <w:rFonts w:eastAsiaTheme="majorEastAsia" w:cstheme="majorBidi"/>
      <w:i/>
      <w:iCs/>
      <w:color w:val="272727"/>
    </w:rPr>
  </w:style>
  <w:style w:type="paragraph" w:styleId="Ttulo9">
    <w:name w:val="heading 9"/>
    <w:basedOn w:val="Normal"/>
    <w:next w:val="Normal"/>
    <w:link w:val="Ttulo9Car"/>
    <w:uiPriority w:val="9"/>
    <w:unhideWhenUsed/>
    <w:qFormat/>
    <w:rsid w:val="152F040B"/>
    <w:pPr>
      <w:keepNext/>
      <w:keepLines/>
      <w:spacing w:after="0"/>
      <w:outlineLvl w:val="8"/>
    </w:pPr>
    <w:rPr>
      <w:rFonts w:eastAsiaTheme="majorEastAsia" w:cstheme="majorBidi"/>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Pr>
      <w:rFonts w:eastAsiaTheme="majorEastAsia" w:cstheme="majorBidi"/>
      <w:color w:val="0F4761" w:themeColor="accent1" w:themeShade="BF"/>
    </w:rPr>
  </w:style>
  <w:style w:type="character" w:customStyle="1" w:styleId="Ttulo6Car">
    <w:name w:val="Título 6 Car"/>
    <w:basedOn w:val="Fuentedeprrafopredeter"/>
    <w:link w:val="Ttulo6"/>
    <w:uiPriority w:val="9"/>
    <w:rPr>
      <w:rFonts w:eastAsiaTheme="majorEastAsia" w:cstheme="majorBidi"/>
      <w:i/>
      <w:iCs/>
      <w:color w:val="595959" w:themeColor="text1" w:themeTint="A6"/>
    </w:rPr>
  </w:style>
  <w:style w:type="character" w:customStyle="1" w:styleId="Ttulo7Car">
    <w:name w:val="Título 7 Car"/>
    <w:basedOn w:val="Fuentedeprrafopredeter"/>
    <w:link w:val="Ttulo7"/>
    <w:uiPriority w:val="9"/>
    <w:rPr>
      <w:rFonts w:eastAsiaTheme="majorEastAsia" w:cstheme="majorBidi"/>
      <w:color w:val="595959" w:themeColor="text1" w:themeTint="A6"/>
    </w:rPr>
  </w:style>
  <w:style w:type="character" w:customStyle="1" w:styleId="Ttulo8Car">
    <w:name w:val="Título 8 Car"/>
    <w:basedOn w:val="Fuentedeprrafopredeter"/>
    <w:link w:val="Ttulo8"/>
    <w:uiPriority w:val="9"/>
    <w:rPr>
      <w:rFonts w:eastAsiaTheme="majorEastAsia" w:cstheme="majorBidi"/>
      <w:i/>
      <w:iCs/>
      <w:color w:val="272727" w:themeColor="text1" w:themeTint="D8"/>
    </w:rPr>
  </w:style>
  <w:style w:type="character" w:customStyle="1" w:styleId="Ttulo9Car">
    <w:name w:val="Título 9 Car"/>
    <w:basedOn w:val="Fuentedeprrafopredeter"/>
    <w:link w:val="Ttulo9"/>
    <w:uiPriority w:val="9"/>
    <w:rPr>
      <w:rFonts w:eastAsiaTheme="majorEastAsia" w:cstheme="majorBidi"/>
      <w:color w:val="272727" w:themeColor="text1" w:themeTint="D8"/>
    </w:rPr>
  </w:style>
  <w:style w:type="character" w:customStyle="1" w:styleId="TtuloCar">
    <w:name w:val="Título Car"/>
    <w:basedOn w:val="Fuentedeprrafopredeter"/>
    <w:link w:val="Ttulo"/>
    <w:uiPriority w:val="10"/>
    <w:rPr>
      <w:rFonts w:asciiTheme="majorHAnsi" w:eastAsiaTheme="majorEastAsia" w:hAnsiTheme="majorHAnsi" w:cstheme="majorBidi"/>
      <w:spacing w:val="-10"/>
      <w:kern w:val="28"/>
      <w:sz w:val="56"/>
      <w:szCs w:val="56"/>
    </w:rPr>
  </w:style>
  <w:style w:type="paragraph" w:styleId="Ttulo">
    <w:name w:val="Title"/>
    <w:basedOn w:val="Normal"/>
    <w:next w:val="Normal"/>
    <w:link w:val="TtuloCar"/>
    <w:uiPriority w:val="10"/>
    <w:qFormat/>
    <w:rsid w:val="152F040B"/>
    <w:pPr>
      <w:spacing w:after="80" w:line="240" w:lineRule="auto"/>
      <w:contextualSpacing/>
    </w:pPr>
    <w:rPr>
      <w:rFonts w:asciiTheme="majorHAnsi" w:eastAsiaTheme="majorEastAsia" w:hAnsiTheme="majorHAnsi" w:cstheme="majorBidi"/>
      <w:sz w:val="56"/>
      <w:szCs w:val="56"/>
    </w:rPr>
  </w:style>
  <w:style w:type="character" w:customStyle="1" w:styleId="SubttuloCar">
    <w:name w:val="Subtítulo Car"/>
    <w:basedOn w:val="Fuentedeprrafopredeter"/>
    <w:link w:val="Subttulo"/>
    <w:uiPriority w:val="11"/>
    <w:rPr>
      <w:rFonts w:eastAsiaTheme="majorEastAsia" w:cstheme="majorBidi"/>
      <w:color w:val="595959" w:themeColor="text1" w:themeTint="A6"/>
      <w:spacing w:val="15"/>
      <w:sz w:val="28"/>
      <w:szCs w:val="28"/>
    </w:rPr>
  </w:style>
  <w:style w:type="paragraph" w:styleId="Subttulo">
    <w:name w:val="Subtitle"/>
    <w:basedOn w:val="Normal"/>
    <w:next w:val="Normal"/>
    <w:link w:val="SubttuloCar"/>
    <w:uiPriority w:val="11"/>
    <w:qFormat/>
    <w:rsid w:val="152F040B"/>
    <w:rPr>
      <w:rFonts w:eastAsiaTheme="majorEastAsia" w:cstheme="majorBidi"/>
      <w:color w:val="595959" w:themeColor="text1" w:themeTint="A6"/>
      <w:sz w:val="28"/>
      <w:szCs w:val="28"/>
    </w:rPr>
  </w:style>
  <w:style w:type="character" w:styleId="nfasisintenso">
    <w:name w:val="Intense Emphasis"/>
    <w:basedOn w:val="Fuentedeprrafopredeter"/>
    <w:uiPriority w:val="21"/>
    <w:qFormat/>
    <w:rPr>
      <w:i/>
      <w:iCs/>
      <w:color w:val="0F4761" w:themeColor="accent1" w:themeShade="BF"/>
    </w:rPr>
  </w:style>
  <w:style w:type="character" w:customStyle="1" w:styleId="CitaCar">
    <w:name w:val="Cita Car"/>
    <w:basedOn w:val="Fuentedeprrafopredeter"/>
    <w:link w:val="Cita"/>
    <w:uiPriority w:val="29"/>
    <w:rPr>
      <w:i/>
      <w:iCs/>
      <w:color w:val="404040" w:themeColor="text1" w:themeTint="BF"/>
    </w:rPr>
  </w:style>
  <w:style w:type="paragraph" w:styleId="Cita">
    <w:name w:val="Quote"/>
    <w:basedOn w:val="Normal"/>
    <w:next w:val="Normal"/>
    <w:link w:val="CitaCar"/>
    <w:uiPriority w:val="29"/>
    <w:qFormat/>
    <w:rsid w:val="152F040B"/>
    <w:pPr>
      <w:spacing w:before="160"/>
      <w:jc w:val="center"/>
    </w:pPr>
    <w:rPr>
      <w:i/>
      <w:iCs/>
      <w:color w:val="404040" w:themeColor="text1" w:themeTint="BF"/>
    </w:rPr>
  </w:style>
  <w:style w:type="character" w:customStyle="1" w:styleId="CitadestacadaCar">
    <w:name w:val="Cita destacada Car"/>
    <w:basedOn w:val="Fuentedeprrafopredeter"/>
    <w:link w:val="Citadestacada"/>
    <w:uiPriority w:val="30"/>
    <w:rPr>
      <w:i/>
      <w:iCs/>
      <w:color w:val="0F4761" w:themeColor="accent1" w:themeShade="BF"/>
    </w:rPr>
  </w:style>
  <w:style w:type="paragraph" w:styleId="Citadestacada">
    <w:name w:val="Intense Quote"/>
    <w:basedOn w:val="Normal"/>
    <w:next w:val="Normal"/>
    <w:link w:val="CitadestacadaCar"/>
    <w:uiPriority w:val="30"/>
    <w:qFormat/>
    <w:rsid w:val="152F040B"/>
    <w:pPr>
      <w:spacing w:before="360" w:after="360"/>
      <w:ind w:left="864" w:right="864"/>
      <w:jc w:val="center"/>
    </w:pPr>
    <w:rPr>
      <w:i/>
      <w:iCs/>
      <w:color w:val="0F4761" w:themeColor="accent1" w:themeShade="BF"/>
    </w:rPr>
  </w:style>
  <w:style w:type="character" w:styleId="Referenciaintensa">
    <w:name w:val="Intense Reference"/>
    <w:basedOn w:val="Fuentedeprrafopredeter"/>
    <w:uiPriority w:val="32"/>
    <w:qFormat/>
    <w:rPr>
      <w:b/>
      <w:bCs/>
      <w:smallCaps/>
      <w:color w:val="0F4761" w:themeColor="accent1" w:themeShade="BF"/>
      <w:spacing w:val="5"/>
    </w:rPr>
  </w:style>
  <w:style w:type="paragraph" w:styleId="Prrafodelista">
    <w:name w:val="List Paragraph"/>
    <w:basedOn w:val="Normal"/>
    <w:uiPriority w:val="34"/>
    <w:qFormat/>
    <w:rsid w:val="152F040B"/>
    <w:pPr>
      <w:ind w:left="720"/>
      <w:contextualSpacing/>
    </w:pPr>
  </w:style>
  <w:style w:type="paragraph" w:styleId="TDC1">
    <w:name w:val="toc 1"/>
    <w:basedOn w:val="Normal"/>
    <w:next w:val="Normal"/>
    <w:uiPriority w:val="39"/>
    <w:unhideWhenUsed/>
    <w:rsid w:val="152F040B"/>
    <w:pPr>
      <w:spacing w:after="100"/>
    </w:pPr>
  </w:style>
  <w:style w:type="paragraph" w:styleId="TDC2">
    <w:name w:val="toc 2"/>
    <w:basedOn w:val="Normal"/>
    <w:next w:val="Normal"/>
    <w:uiPriority w:val="39"/>
    <w:unhideWhenUsed/>
    <w:rsid w:val="152F040B"/>
    <w:pPr>
      <w:spacing w:after="100"/>
      <w:ind w:left="220"/>
    </w:pPr>
  </w:style>
  <w:style w:type="paragraph" w:styleId="TDC3">
    <w:name w:val="toc 3"/>
    <w:basedOn w:val="Normal"/>
    <w:next w:val="Normal"/>
    <w:uiPriority w:val="39"/>
    <w:unhideWhenUsed/>
    <w:rsid w:val="152F040B"/>
    <w:pPr>
      <w:spacing w:after="100"/>
      <w:ind w:left="440"/>
    </w:pPr>
  </w:style>
  <w:style w:type="paragraph" w:styleId="TDC4">
    <w:name w:val="toc 4"/>
    <w:basedOn w:val="Normal"/>
    <w:next w:val="Normal"/>
    <w:uiPriority w:val="39"/>
    <w:unhideWhenUsed/>
    <w:rsid w:val="152F040B"/>
    <w:pPr>
      <w:spacing w:after="100"/>
      <w:ind w:left="660"/>
    </w:pPr>
  </w:style>
  <w:style w:type="paragraph" w:styleId="TDC5">
    <w:name w:val="toc 5"/>
    <w:basedOn w:val="Normal"/>
    <w:next w:val="Normal"/>
    <w:uiPriority w:val="39"/>
    <w:unhideWhenUsed/>
    <w:rsid w:val="152F040B"/>
    <w:pPr>
      <w:spacing w:after="100"/>
      <w:ind w:left="880"/>
    </w:pPr>
  </w:style>
  <w:style w:type="paragraph" w:styleId="TDC6">
    <w:name w:val="toc 6"/>
    <w:basedOn w:val="Normal"/>
    <w:next w:val="Normal"/>
    <w:uiPriority w:val="39"/>
    <w:unhideWhenUsed/>
    <w:rsid w:val="152F040B"/>
    <w:pPr>
      <w:spacing w:after="100"/>
      <w:ind w:left="1100"/>
    </w:pPr>
  </w:style>
  <w:style w:type="paragraph" w:styleId="TDC7">
    <w:name w:val="toc 7"/>
    <w:basedOn w:val="Normal"/>
    <w:next w:val="Normal"/>
    <w:uiPriority w:val="39"/>
    <w:unhideWhenUsed/>
    <w:rsid w:val="152F040B"/>
    <w:pPr>
      <w:spacing w:after="100"/>
      <w:ind w:left="1320"/>
    </w:pPr>
  </w:style>
  <w:style w:type="paragraph" w:styleId="TDC8">
    <w:name w:val="toc 8"/>
    <w:basedOn w:val="Normal"/>
    <w:next w:val="Normal"/>
    <w:uiPriority w:val="39"/>
    <w:unhideWhenUsed/>
    <w:rsid w:val="152F040B"/>
    <w:pPr>
      <w:spacing w:after="100"/>
      <w:ind w:left="1540"/>
    </w:pPr>
  </w:style>
  <w:style w:type="paragraph" w:styleId="TDC9">
    <w:name w:val="toc 9"/>
    <w:basedOn w:val="Normal"/>
    <w:next w:val="Normal"/>
    <w:uiPriority w:val="39"/>
    <w:unhideWhenUsed/>
    <w:rsid w:val="152F040B"/>
    <w:pPr>
      <w:spacing w:after="100"/>
      <w:ind w:left="1760"/>
    </w:pPr>
  </w:style>
  <w:style w:type="paragraph" w:styleId="Textonotaalfinal">
    <w:name w:val="endnote text"/>
    <w:basedOn w:val="Normal"/>
    <w:uiPriority w:val="99"/>
    <w:semiHidden/>
    <w:unhideWhenUsed/>
    <w:rsid w:val="152F040B"/>
    <w:pPr>
      <w:spacing w:after="0" w:line="240" w:lineRule="auto"/>
    </w:pPr>
    <w:rPr>
      <w:sz w:val="20"/>
      <w:szCs w:val="20"/>
    </w:rPr>
  </w:style>
  <w:style w:type="paragraph" w:styleId="Piedepgina">
    <w:name w:val="footer"/>
    <w:basedOn w:val="Normal"/>
    <w:link w:val="PiedepginaCar"/>
    <w:uiPriority w:val="99"/>
    <w:unhideWhenUsed/>
    <w:rsid w:val="152F040B"/>
    <w:pPr>
      <w:tabs>
        <w:tab w:val="center" w:pos="4680"/>
        <w:tab w:val="right" w:pos="9360"/>
      </w:tabs>
      <w:spacing w:after="0" w:line="240" w:lineRule="auto"/>
    </w:pPr>
  </w:style>
  <w:style w:type="paragraph" w:styleId="Textonotapie">
    <w:name w:val="footnote text"/>
    <w:basedOn w:val="Normal"/>
    <w:link w:val="TextonotapieCar"/>
    <w:uiPriority w:val="99"/>
    <w:semiHidden/>
    <w:unhideWhenUsed/>
    <w:rsid w:val="152F040B"/>
    <w:pPr>
      <w:spacing w:after="0" w:line="240" w:lineRule="auto"/>
    </w:pPr>
    <w:rPr>
      <w:sz w:val="20"/>
      <w:szCs w:val="20"/>
    </w:rPr>
  </w:style>
  <w:style w:type="paragraph" w:styleId="Encabezado">
    <w:name w:val="header"/>
    <w:basedOn w:val="Normal"/>
    <w:link w:val="EncabezadoCar"/>
    <w:uiPriority w:val="99"/>
    <w:unhideWhenUsed/>
    <w:rsid w:val="152F040B"/>
    <w:pPr>
      <w:tabs>
        <w:tab w:val="center" w:pos="4680"/>
        <w:tab w:val="right" w:pos="9360"/>
      </w:tabs>
      <w:spacing w:after="0" w:line="240" w:lineRule="auto"/>
    </w:pPr>
  </w:style>
  <w:style w:type="character" w:styleId="Refdenotaalpie">
    <w:name w:val="footnote reference"/>
    <w:basedOn w:val="Fuentedeprrafopredeter"/>
    <w:uiPriority w:val="99"/>
    <w:semiHidden/>
    <w:unhideWhenUsed/>
    <w:rPr>
      <w:vertAlign w:val="superscript"/>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character" w:customStyle="1" w:styleId="TextonotapieCar">
    <w:name w:val="Texto nota pie Car"/>
    <w:basedOn w:val="Fuentedeprrafopredeter"/>
    <w:link w:val="Textonotapie"/>
    <w:uiPriority w:val="99"/>
    <w:semiHidden/>
    <w:rPr>
      <w:sz w:val="20"/>
      <w:szCs w:val="20"/>
    </w:rPr>
  </w:style>
  <w:style w:type="character" w:styleId="Hipervnculo">
    <w:name w:val="Hyperlink"/>
    <w:basedOn w:val="Fuentedeprrafopredeter"/>
    <w:uiPriority w:val="99"/>
    <w:unhideWhenUsed/>
    <w:rPr>
      <w:color w:val="467886" w:themeColor="hyperlink"/>
      <w:u w:val="single"/>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lang w:val="es-VE"/>
    </w:rPr>
  </w:style>
  <w:style w:type="character" w:styleId="Refdecomentario">
    <w:name w:val="annotation reference"/>
    <w:basedOn w:val="Fuentedeprrafopredeter"/>
    <w:uiPriority w:val="99"/>
    <w:semiHidden/>
    <w:unhideWhenUsed/>
    <w:rPr>
      <w:sz w:val="16"/>
      <w:szCs w:val="16"/>
    </w:rPr>
  </w:style>
  <w:style w:type="character" w:customStyle="1" w:styleId="eop">
    <w:name w:val="eop"/>
    <w:basedOn w:val="Fuentedeprrafopredeter"/>
    <w:rsid w:val="00814207"/>
  </w:style>
  <w:style w:type="character" w:customStyle="1" w:styleId="normaltextrun">
    <w:name w:val="normaltextrun"/>
    <w:basedOn w:val="Fuentedeprrafopredeter"/>
    <w:rsid w:val="009C2A85"/>
  </w:style>
  <w:style w:type="paragraph" w:styleId="NormalWeb">
    <w:name w:val="Normal (Web)"/>
    <w:basedOn w:val="Normal"/>
    <w:uiPriority w:val="99"/>
    <w:unhideWhenUsed/>
    <w:rsid w:val="006805C9"/>
    <w:pPr>
      <w:spacing w:before="100" w:beforeAutospacing="1" w:after="100" w:afterAutospacing="1" w:line="240" w:lineRule="auto"/>
    </w:pPr>
    <w:rPr>
      <w:rFonts w:ascii="Times New Roman" w:eastAsia="Times New Roman" w:hAnsi="Times New Roman" w:cs="Times New Roman"/>
      <w:lang w:eastAsia="es-VE"/>
    </w:rPr>
  </w:style>
  <w:style w:type="character" w:customStyle="1" w:styleId="line-clamp-1">
    <w:name w:val="line-clamp-1"/>
    <w:basedOn w:val="Fuentedeprrafopredeter"/>
    <w:rsid w:val="001734EF"/>
  </w:style>
  <w:style w:type="character" w:styleId="Mencinsinresolver">
    <w:name w:val="Unresolved Mention"/>
    <w:basedOn w:val="Fuentedeprrafopredeter"/>
    <w:uiPriority w:val="99"/>
    <w:semiHidden/>
    <w:unhideWhenUsed/>
    <w:rsid w:val="00FE55CA"/>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144FBB"/>
    <w:rPr>
      <w:b/>
      <w:bCs/>
    </w:rPr>
  </w:style>
  <w:style w:type="character" w:customStyle="1" w:styleId="AsuntodelcomentarioCar">
    <w:name w:val="Asunto del comentario Car"/>
    <w:basedOn w:val="TextocomentarioCar"/>
    <w:link w:val="Asuntodelcomentario"/>
    <w:uiPriority w:val="99"/>
    <w:semiHidden/>
    <w:rsid w:val="00144FBB"/>
    <w:rPr>
      <w:b/>
      <w:bCs/>
      <w:sz w:val="20"/>
      <w:szCs w:val="20"/>
      <w:lang w:val="es-VE"/>
    </w:rPr>
  </w:style>
  <w:style w:type="character" w:styleId="Hipervnculovisitado">
    <w:name w:val="FollowedHyperlink"/>
    <w:basedOn w:val="Fuentedeprrafopredeter"/>
    <w:uiPriority w:val="99"/>
    <w:semiHidden/>
    <w:unhideWhenUsed/>
    <w:rsid w:val="00C22F5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167139">
      <w:bodyDiv w:val="1"/>
      <w:marLeft w:val="0"/>
      <w:marRight w:val="0"/>
      <w:marTop w:val="0"/>
      <w:marBottom w:val="0"/>
      <w:divBdr>
        <w:top w:val="none" w:sz="0" w:space="0" w:color="auto"/>
        <w:left w:val="none" w:sz="0" w:space="0" w:color="auto"/>
        <w:bottom w:val="none" w:sz="0" w:space="0" w:color="auto"/>
        <w:right w:val="none" w:sz="0" w:space="0" w:color="auto"/>
      </w:divBdr>
    </w:div>
    <w:div w:id="302538619">
      <w:bodyDiv w:val="1"/>
      <w:marLeft w:val="0"/>
      <w:marRight w:val="0"/>
      <w:marTop w:val="0"/>
      <w:marBottom w:val="0"/>
      <w:divBdr>
        <w:top w:val="none" w:sz="0" w:space="0" w:color="auto"/>
        <w:left w:val="none" w:sz="0" w:space="0" w:color="auto"/>
        <w:bottom w:val="none" w:sz="0" w:space="0" w:color="auto"/>
        <w:right w:val="none" w:sz="0" w:space="0" w:color="auto"/>
      </w:divBdr>
    </w:div>
    <w:div w:id="1345135478">
      <w:bodyDiv w:val="1"/>
      <w:marLeft w:val="0"/>
      <w:marRight w:val="0"/>
      <w:marTop w:val="0"/>
      <w:marBottom w:val="0"/>
      <w:divBdr>
        <w:top w:val="none" w:sz="0" w:space="0" w:color="auto"/>
        <w:left w:val="none" w:sz="0" w:space="0" w:color="auto"/>
        <w:bottom w:val="none" w:sz="0" w:space="0" w:color="auto"/>
        <w:right w:val="none" w:sz="0" w:space="0" w:color="auto"/>
      </w:divBdr>
      <w:divsChild>
        <w:div w:id="1476414667">
          <w:marLeft w:val="0"/>
          <w:marRight w:val="0"/>
          <w:marTop w:val="0"/>
          <w:marBottom w:val="0"/>
          <w:divBdr>
            <w:top w:val="none" w:sz="0" w:space="0" w:color="auto"/>
            <w:left w:val="none" w:sz="0" w:space="0" w:color="auto"/>
            <w:bottom w:val="none" w:sz="0" w:space="0" w:color="auto"/>
            <w:right w:val="none" w:sz="0" w:space="0" w:color="auto"/>
          </w:divBdr>
          <w:divsChild>
            <w:div w:id="1137071769">
              <w:marLeft w:val="0"/>
              <w:marRight w:val="0"/>
              <w:marTop w:val="0"/>
              <w:marBottom w:val="0"/>
              <w:divBdr>
                <w:top w:val="none" w:sz="0" w:space="0" w:color="auto"/>
                <w:left w:val="none" w:sz="0" w:space="0" w:color="auto"/>
                <w:bottom w:val="none" w:sz="0" w:space="0" w:color="auto"/>
                <w:right w:val="none" w:sz="0" w:space="0" w:color="auto"/>
              </w:divBdr>
              <w:divsChild>
                <w:div w:id="1437020198">
                  <w:marLeft w:val="0"/>
                  <w:marRight w:val="0"/>
                  <w:marTop w:val="0"/>
                  <w:marBottom w:val="0"/>
                  <w:divBdr>
                    <w:top w:val="none" w:sz="0" w:space="0" w:color="auto"/>
                    <w:left w:val="none" w:sz="0" w:space="0" w:color="auto"/>
                    <w:bottom w:val="none" w:sz="0" w:space="0" w:color="auto"/>
                    <w:right w:val="none" w:sz="0" w:space="0" w:color="auto"/>
                  </w:divBdr>
                  <w:divsChild>
                    <w:div w:id="92441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486693">
          <w:marLeft w:val="0"/>
          <w:marRight w:val="0"/>
          <w:marTop w:val="0"/>
          <w:marBottom w:val="0"/>
          <w:divBdr>
            <w:top w:val="none" w:sz="0" w:space="0" w:color="auto"/>
            <w:left w:val="none" w:sz="0" w:space="0" w:color="auto"/>
            <w:bottom w:val="none" w:sz="0" w:space="0" w:color="auto"/>
            <w:right w:val="none" w:sz="0" w:space="0" w:color="auto"/>
          </w:divBdr>
          <w:divsChild>
            <w:div w:id="1905482481">
              <w:marLeft w:val="0"/>
              <w:marRight w:val="0"/>
              <w:marTop w:val="0"/>
              <w:marBottom w:val="0"/>
              <w:divBdr>
                <w:top w:val="none" w:sz="0" w:space="0" w:color="auto"/>
                <w:left w:val="none" w:sz="0" w:space="0" w:color="auto"/>
                <w:bottom w:val="none" w:sz="0" w:space="0" w:color="auto"/>
                <w:right w:val="none" w:sz="0" w:space="0" w:color="auto"/>
              </w:divBdr>
              <w:divsChild>
                <w:div w:id="1909222707">
                  <w:marLeft w:val="0"/>
                  <w:marRight w:val="0"/>
                  <w:marTop w:val="0"/>
                  <w:marBottom w:val="0"/>
                  <w:divBdr>
                    <w:top w:val="none" w:sz="0" w:space="0" w:color="auto"/>
                    <w:left w:val="none" w:sz="0" w:space="0" w:color="auto"/>
                    <w:bottom w:val="none" w:sz="0" w:space="0" w:color="auto"/>
                    <w:right w:val="none" w:sz="0" w:space="0" w:color="auto"/>
                  </w:divBdr>
                  <w:divsChild>
                    <w:div w:id="65765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74075">
      <w:bodyDiv w:val="1"/>
      <w:marLeft w:val="0"/>
      <w:marRight w:val="0"/>
      <w:marTop w:val="0"/>
      <w:marBottom w:val="0"/>
      <w:divBdr>
        <w:top w:val="none" w:sz="0" w:space="0" w:color="auto"/>
        <w:left w:val="none" w:sz="0" w:space="0" w:color="auto"/>
        <w:bottom w:val="none" w:sz="0" w:space="0" w:color="auto"/>
        <w:right w:val="none" w:sz="0" w:space="0" w:color="auto"/>
      </w:divBdr>
    </w:div>
    <w:div w:id="1716419308">
      <w:bodyDiv w:val="1"/>
      <w:marLeft w:val="0"/>
      <w:marRight w:val="0"/>
      <w:marTop w:val="0"/>
      <w:marBottom w:val="0"/>
      <w:divBdr>
        <w:top w:val="none" w:sz="0" w:space="0" w:color="auto"/>
        <w:left w:val="none" w:sz="0" w:space="0" w:color="auto"/>
        <w:bottom w:val="none" w:sz="0" w:space="0" w:color="auto"/>
        <w:right w:val="none" w:sz="0" w:space="0" w:color="auto"/>
      </w:divBdr>
    </w:div>
    <w:div w:id="1955206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ResultsBase/DownLoadPublicCommunicationFile?gId=28782" TargetMode="External"/><Relationship Id="rId13" Type="http://schemas.openxmlformats.org/officeDocument/2006/relationships/hyperlink" Target="https://www.ohchr.org/es/instruments-mechanisms/instruments/international-convention-elimination-all-forms-racial" TargetMode="External"/><Relationship Id="rId18" Type="http://schemas.openxmlformats.org/officeDocument/2006/relationships/hyperlink" Target="https://agendaestadodederecho.com/homofobia-de-estado-en-enezuela/" TargetMode="External"/><Relationship Id="rId26" Type="http://schemas.openxmlformats.org/officeDocument/2006/relationships/hyperlink" Target="https://elespectadordecaracas.com/asesinaron-a-transexual-de-un-disparo-en-el-corazon/" TargetMode="External"/><Relationship Id="rId3" Type="http://schemas.openxmlformats.org/officeDocument/2006/relationships/hyperlink" Target="https://nuso.org/articulo/racismo-y-violencia-de-estado-en-venezuela/" TargetMode="External"/><Relationship Id="rId21" Type="http://schemas.openxmlformats.org/officeDocument/2006/relationships/hyperlink" Target="https://www.ntn24.com/noticias-judicial/desfiguran-el-rostro-de-mujer-trans-en-maracaibo-durante-asalto-407580" TargetMode="External"/><Relationship Id="rId7" Type="http://schemas.openxmlformats.org/officeDocument/2006/relationships/hyperlink" Target="https://provea.org/actualidad/informe-especial-el-faes-no-depende-de-nadie/" TargetMode="External"/><Relationship Id="rId12" Type="http://schemas.openxmlformats.org/officeDocument/2006/relationships/hyperlink" Target="https://www.ohchr.org/sites/default/files/Documents/Issues/Racism/IWG/Session8/MirjanaNajcevska.doc" TargetMode="External"/><Relationship Id="rId17" Type="http://schemas.openxmlformats.org/officeDocument/2006/relationships/hyperlink" Target="https://nuso.org/articulo/racismo-y-violencia-de-estado-en-venezuela/" TargetMode="External"/><Relationship Id="rId25" Type="http://schemas.openxmlformats.org/officeDocument/2006/relationships/hyperlink" Target="https://diariolavoz.net/2023/04/24/zulia-asesinan-a-golpes-a-una-mujer-transgenero-en-el-mercado-las-pulgas/" TargetMode="External"/><Relationship Id="rId2" Type="http://schemas.openxmlformats.org/officeDocument/2006/relationships/hyperlink" Target="https://accesoalajusticia.org/ley-organica-contra-la-discriminacion-racial/" TargetMode="External"/><Relationship Id="rId16" Type="http://schemas.openxmlformats.org/officeDocument/2006/relationships/hyperlink" Target="https://www.un.org/womenwatch/daw/cedaw/recommendations/Generarecommendation%2025%20(English).pdf" TargetMode="External"/><Relationship Id="rId20" Type="http://schemas.openxmlformats.org/officeDocument/2006/relationships/hyperlink" Target="https://nomasdiscriminacion.org/lupa-ovv-lgbtiq/ley-contra-discriminacion/" TargetMode="External"/><Relationship Id="rId29" Type="http://schemas.openxmlformats.org/officeDocument/2006/relationships/hyperlink" Target="https://soynuevaprensadigital.com/npd/desconocido-mata-a-travesti-de-un-tiro-en-la-cabeza/" TargetMode="External"/><Relationship Id="rId1" Type="http://schemas.openxmlformats.org/officeDocument/2006/relationships/hyperlink" Target="https://indicators.ohchr.org/" TargetMode="External"/><Relationship Id="rId6" Type="http://schemas.openxmlformats.org/officeDocument/2006/relationships/hyperlink" Target="https://acnudh.org/36040-2/" TargetMode="External"/><Relationship Id="rId11" Type="http://schemas.openxmlformats.org/officeDocument/2006/relationships/hyperlink" Target="https://www.ohchr.org/sites/default/files/documents/HRBodies/CERD/ICERDManual_sp.pdf" TargetMode="External"/><Relationship Id="rId24" Type="http://schemas.openxmlformats.org/officeDocument/2006/relationships/hyperlink" Target="https://eldiario.com/2023/04/25/asesinaron-mujer-trans-mercado-las-pulgas-en-maracaibo/" TargetMode="External"/><Relationship Id="rId5" Type="http://schemas.openxmlformats.org/officeDocument/2006/relationships/hyperlink" Target="https://www.ohchr.org/sites/default/files/Documents/Issues/Racism/IWG/Session8/MirjanaNajcevska.doc" TargetMode="External"/><Relationship Id="rId15" Type="http://schemas.openxmlformats.org/officeDocument/2006/relationships/hyperlink" Target="https://www.acnur.org/fileadmin/Documentos/BDL/2012/8463.pdf" TargetMode="External"/><Relationship Id="rId23" Type="http://schemas.openxmlformats.org/officeDocument/2006/relationships/hyperlink" Target="https://esconusted.com/sucesos/asesinan-a-transexual-en-el-mercado-las-pulgas/" TargetMode="External"/><Relationship Id="rId28" Type="http://schemas.openxmlformats.org/officeDocument/2006/relationships/hyperlink" Target="https://efectococuyo.com/la-humanidad/activistas-lgbti-denuncian-asesinato-de-dos-mujeres-trans-en-venezuela/" TargetMode="External"/><Relationship Id="rId10" Type="http://schemas.openxmlformats.org/officeDocument/2006/relationships/hyperlink" Target="https://ultimasnoticias.com.ve/noticias/general/operacion-trueno-retumba-en-guarico-contra-el-tren-del-llano-2/" TargetMode="External"/><Relationship Id="rId19" Type="http://schemas.openxmlformats.org/officeDocument/2006/relationships/hyperlink" Target="https://nomasdiscriminacion.org/notas-de-prensa/personas-lgbtiq-inf-2023/" TargetMode="External"/><Relationship Id="rId4" Type="http://schemas.openxmlformats.org/officeDocument/2006/relationships/hyperlink" Target="https://www.researchgate.net/publication/354901205_Racismo_y_violencia_policial_en_Venezuela_Una_conversacion_entre_venezolanos_desde_afuera_y_adentro_del_Imperio" TargetMode="External"/><Relationship Id="rId9" Type="http://schemas.openxmlformats.org/officeDocument/2006/relationships/hyperlink" Target="https://es.insightcrime.org/noticias-crimen-organizado-venezuela/tren-llano/" TargetMode="External"/><Relationship Id="rId14" Type="http://schemas.openxmlformats.org/officeDocument/2006/relationships/hyperlink" Target="https://defiendevenezuela.org/wp-content/uploads/2023/11/A-HRC-WGAD-2023-54-Venezuela-Advance-Unedited-Version.pdf" TargetMode="External"/><Relationship Id="rId22" Type="http://schemas.openxmlformats.org/officeDocument/2006/relationships/hyperlink" Target="https://panorama.com.ve/sucesos/asesinato-de-un-travesti-en-el-mercado-las-pulgas-20230424-1435.html" TargetMode="External"/><Relationship Id="rId27" Type="http://schemas.openxmlformats.org/officeDocument/2006/relationships/hyperlink" Target="https://www.elnacional.com/venezuela/asesinaron-a-una-mujer-trans-en-el-valle-con-40-punaladas/" TargetMode="External"/><Relationship Id="rId30" Type="http://schemas.openxmlformats.org/officeDocument/2006/relationships/hyperlink" Target="https://twitter.com/CronicaPolicial/status/1650631463287545859?s=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4110D5-2D87-4392-BF85-2AB336497987}">
  <ds:schemaRefs>
    <ds:schemaRef ds:uri="http://schemas.openxmlformats.org/officeDocument/2006/bibliography"/>
  </ds:schemaRefs>
</ds:datastoreItem>
</file>

<file path=customXml/itemProps2.xml><?xml version="1.0" encoding="utf-8"?>
<ds:datastoreItem xmlns:ds="http://schemas.openxmlformats.org/officeDocument/2006/customXml" ds:itemID="{335A9652-4E62-47EC-9CCD-3B58AFA47645}"/>
</file>

<file path=customXml/itemProps3.xml><?xml version="1.0" encoding="utf-8"?>
<ds:datastoreItem xmlns:ds="http://schemas.openxmlformats.org/officeDocument/2006/customXml" ds:itemID="{A8830A0D-D6D9-442C-BE70-C1BAC13CEB61}"/>
</file>

<file path=docProps/app.xml><?xml version="1.0" encoding="utf-8"?>
<Properties xmlns="http://schemas.openxmlformats.org/officeDocument/2006/extended-properties" xmlns:vt="http://schemas.openxmlformats.org/officeDocument/2006/docPropsVTypes">
  <Template>Normal</Template>
  <TotalTime>62</TotalTime>
  <Pages>1</Pages>
  <Words>5045</Words>
  <Characters>27750</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Alcarra</dc:creator>
  <cp:keywords/>
  <dc:description/>
  <cp:lastModifiedBy>Ezequiel Monsalve</cp:lastModifiedBy>
  <cp:revision>3</cp:revision>
  <dcterms:created xsi:type="dcterms:W3CDTF">2024-07-05T22:44:00Z</dcterms:created>
  <dcterms:modified xsi:type="dcterms:W3CDTF">2024-07-05T20:38:00Z</dcterms:modified>
</cp:coreProperties>
</file>