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001A9" w14:textId="76D5D933" w:rsidR="00C12CA2" w:rsidRPr="00A85F00" w:rsidRDefault="00C12CA2" w:rsidP="00C12CA2">
      <w:pPr>
        <w:pBdr>
          <w:top w:val="dotted" w:sz="4" w:space="0" w:color="622423"/>
          <w:bottom w:val="dotted" w:sz="4" w:space="1" w:color="622423"/>
        </w:pBdr>
        <w:shd w:val="clear" w:color="auto" w:fill="FFFFFF"/>
        <w:spacing w:after="120"/>
        <w:jc w:val="center"/>
        <w:outlineLvl w:val="0"/>
        <w:rPr>
          <w:caps/>
        </w:rPr>
      </w:pPr>
      <w:r w:rsidRPr="00A85F00">
        <w:t>FIFTH PERIODIC REPORT OF THE SLOVAK REPUBLIC ON IMPLEMENTATION OF INTERNATIONAL COVENANT ON CIVIL AND POLITICAL RIGHTS</w:t>
      </w:r>
      <w:r w:rsidRPr="00A85F00">
        <w:rPr>
          <w:caps/>
        </w:rPr>
        <w:t xml:space="preserve"> </w:t>
      </w:r>
      <w:r w:rsidR="00E401FD">
        <w:rPr>
          <w:caps/>
        </w:rPr>
        <w:t xml:space="preserve"> </w:t>
      </w:r>
    </w:p>
    <w:p w14:paraId="609CA402" w14:textId="77777777" w:rsidR="00C12CA2" w:rsidRPr="00A85F00" w:rsidRDefault="00C12CA2" w:rsidP="00C12CA2">
      <w:pPr>
        <w:spacing w:before="360" w:after="120"/>
        <w:jc w:val="center"/>
        <w:rPr>
          <w:b/>
        </w:rPr>
      </w:pPr>
      <w:r w:rsidRPr="00A85F00">
        <w:rPr>
          <w:b/>
        </w:rPr>
        <w:t>ANNEX</w:t>
      </w:r>
    </w:p>
    <w:p w14:paraId="744CC4FA" w14:textId="3ACCA3B0" w:rsidR="00C12CA2" w:rsidRPr="00A85F00" w:rsidRDefault="00C12CA2" w:rsidP="00C12CA2">
      <w:pPr>
        <w:spacing w:after="120"/>
        <w:contextualSpacing/>
        <w:jc w:val="both"/>
        <w:rPr>
          <w:bCs/>
        </w:rPr>
      </w:pPr>
      <w:r w:rsidRPr="00A85F00">
        <w:t xml:space="preserve">The Annex contains additional data or statistics on Implementation of </w:t>
      </w:r>
      <w:r w:rsidR="00C4313F">
        <w:t xml:space="preserve">the </w:t>
      </w:r>
      <w:r w:rsidRPr="00A85F00">
        <w:t>Covenant</w:t>
      </w:r>
      <w:r w:rsidR="00C4313F">
        <w:t>.</w:t>
      </w:r>
      <w:r w:rsidRPr="00A85F00">
        <w:t xml:space="preserve"> </w:t>
      </w:r>
    </w:p>
    <w:p w14:paraId="402DAC5F" w14:textId="456849A4" w:rsidR="00C12CA2" w:rsidRPr="00A85F00" w:rsidRDefault="00C12CA2" w:rsidP="00C12CA2">
      <w:pPr>
        <w:spacing w:before="360" w:after="240"/>
        <w:jc w:val="both"/>
        <w:rPr>
          <w:b/>
          <w:bCs/>
        </w:rPr>
      </w:pPr>
      <w:r w:rsidRPr="00A85F00">
        <w:rPr>
          <w:b/>
        </w:rPr>
        <w:t xml:space="preserve">Regarding </w:t>
      </w:r>
      <w:r w:rsidR="0082114E">
        <w:rPr>
          <w:b/>
        </w:rPr>
        <w:t>paragraph</w:t>
      </w:r>
      <w:r w:rsidRPr="00A85F00">
        <w:rPr>
          <w:b/>
        </w:rPr>
        <w:t xml:space="preserve"> 4 of the list of issues:  </w:t>
      </w:r>
    </w:p>
    <w:p w14:paraId="333A949A" w14:textId="77777777" w:rsidR="00C12CA2" w:rsidRPr="00A85F00" w:rsidRDefault="00C12CA2" w:rsidP="00C12CA2">
      <w:pPr>
        <w:tabs>
          <w:tab w:val="left" w:pos="0"/>
        </w:tabs>
        <w:spacing w:after="120"/>
        <w:ind w:right="-6"/>
        <w:jc w:val="both"/>
        <w:rPr>
          <w:sz w:val="20"/>
          <w:szCs w:val="20"/>
        </w:rPr>
      </w:pPr>
      <w:r w:rsidRPr="00A85F00">
        <w:rPr>
          <w:sz w:val="20"/>
        </w:rPr>
        <w:t>Table 1: SNCHR funding</w:t>
      </w:r>
    </w:p>
    <w:tbl>
      <w:tblPr>
        <w:tblStyle w:val="TableGrid"/>
        <w:tblW w:w="0" w:type="auto"/>
        <w:tblInd w:w="108" w:type="dxa"/>
        <w:tblLook w:val="04A0" w:firstRow="1" w:lastRow="0" w:firstColumn="1" w:lastColumn="0" w:noHBand="0" w:noVBand="1"/>
      </w:tblPr>
      <w:tblGrid>
        <w:gridCol w:w="2959"/>
        <w:gridCol w:w="1946"/>
        <w:gridCol w:w="3905"/>
      </w:tblGrid>
      <w:tr w:rsidR="00C12CA2" w:rsidRPr="00A85F00" w14:paraId="33213D3F" w14:textId="77777777" w:rsidTr="00C16668">
        <w:tc>
          <w:tcPr>
            <w:tcW w:w="3005" w:type="dxa"/>
            <w:shd w:val="clear" w:color="auto" w:fill="DBE5F1"/>
          </w:tcPr>
          <w:p w14:paraId="6963947C" w14:textId="77777777" w:rsidR="00C12CA2" w:rsidRPr="00A85F00" w:rsidRDefault="00C12CA2" w:rsidP="00FC5374">
            <w:pPr>
              <w:spacing w:after="120" w:line="276" w:lineRule="auto"/>
              <w:rPr>
                <w:sz w:val="20"/>
                <w:szCs w:val="20"/>
              </w:rPr>
            </w:pPr>
            <w:r w:rsidRPr="00A85F00">
              <w:rPr>
                <w:b/>
                <w:sz w:val="20"/>
              </w:rPr>
              <w:t>Year</w:t>
            </w:r>
          </w:p>
        </w:tc>
        <w:tc>
          <w:tcPr>
            <w:tcW w:w="1965" w:type="dxa"/>
            <w:shd w:val="clear" w:color="auto" w:fill="DBE5F1"/>
          </w:tcPr>
          <w:p w14:paraId="2C445042" w14:textId="77777777" w:rsidR="00C12CA2" w:rsidRPr="00A85F00" w:rsidRDefault="00C12CA2" w:rsidP="00FC5374">
            <w:pPr>
              <w:spacing w:after="120" w:line="276" w:lineRule="auto"/>
              <w:rPr>
                <w:sz w:val="20"/>
                <w:szCs w:val="20"/>
              </w:rPr>
            </w:pPr>
            <w:r w:rsidRPr="00A85F00">
              <w:rPr>
                <w:b/>
                <w:sz w:val="20"/>
              </w:rPr>
              <w:t xml:space="preserve">Budget </w:t>
            </w:r>
          </w:p>
        </w:tc>
        <w:tc>
          <w:tcPr>
            <w:tcW w:w="3961" w:type="dxa"/>
            <w:shd w:val="clear" w:color="auto" w:fill="DBE5F1"/>
          </w:tcPr>
          <w:p w14:paraId="53C7CD71" w14:textId="77777777" w:rsidR="00C12CA2" w:rsidRPr="00A85F00" w:rsidRDefault="00C12CA2" w:rsidP="00FC5374">
            <w:pPr>
              <w:spacing w:after="120" w:line="276" w:lineRule="auto"/>
              <w:rPr>
                <w:b/>
                <w:bCs/>
                <w:sz w:val="20"/>
                <w:szCs w:val="20"/>
              </w:rPr>
            </w:pPr>
            <w:r w:rsidRPr="00A85F00">
              <w:rPr>
                <w:b/>
                <w:sz w:val="20"/>
              </w:rPr>
              <w:t>Average number of employees</w:t>
            </w:r>
          </w:p>
        </w:tc>
      </w:tr>
      <w:tr w:rsidR="00C12CA2" w:rsidRPr="00A85F00" w14:paraId="3389AD1D" w14:textId="77777777" w:rsidTr="00C16668">
        <w:tc>
          <w:tcPr>
            <w:tcW w:w="3005" w:type="dxa"/>
          </w:tcPr>
          <w:p w14:paraId="1D376185" w14:textId="77777777" w:rsidR="00C12CA2" w:rsidRPr="00A85F00" w:rsidRDefault="00C12CA2" w:rsidP="00FC5374">
            <w:pPr>
              <w:spacing w:after="120" w:line="276" w:lineRule="auto"/>
              <w:jc w:val="both"/>
              <w:rPr>
                <w:sz w:val="20"/>
                <w:szCs w:val="20"/>
              </w:rPr>
            </w:pPr>
            <w:r w:rsidRPr="00A85F00">
              <w:rPr>
                <w:sz w:val="20"/>
              </w:rPr>
              <w:t>2018</w:t>
            </w:r>
          </w:p>
        </w:tc>
        <w:tc>
          <w:tcPr>
            <w:tcW w:w="1965" w:type="dxa"/>
          </w:tcPr>
          <w:p w14:paraId="70A4F7AA" w14:textId="77777777" w:rsidR="00C12CA2" w:rsidRPr="00A85F00" w:rsidRDefault="00C12CA2" w:rsidP="00FC5374">
            <w:pPr>
              <w:pStyle w:val="NormalWeb"/>
              <w:spacing w:before="0" w:after="120" w:line="276" w:lineRule="auto"/>
              <w:jc w:val="both"/>
              <w:rPr>
                <w:rFonts w:ascii="Times New Roman"/>
                <w:szCs w:val="20"/>
              </w:rPr>
            </w:pPr>
            <w:r w:rsidRPr="00A85F00">
              <w:rPr>
                <w:rFonts w:ascii="Times New Roman"/>
              </w:rPr>
              <w:t>EUR 565,356</w:t>
            </w:r>
          </w:p>
        </w:tc>
        <w:tc>
          <w:tcPr>
            <w:tcW w:w="3961" w:type="dxa"/>
          </w:tcPr>
          <w:p w14:paraId="03BE387C" w14:textId="77777777" w:rsidR="00C12CA2" w:rsidRPr="00A85F00" w:rsidRDefault="00C12CA2" w:rsidP="00FC5374">
            <w:pPr>
              <w:pStyle w:val="NormalWeb"/>
              <w:spacing w:before="0" w:after="120" w:line="276" w:lineRule="auto"/>
              <w:jc w:val="both"/>
              <w:rPr>
                <w:rFonts w:ascii="Times New Roman"/>
                <w:szCs w:val="20"/>
              </w:rPr>
            </w:pPr>
            <w:r w:rsidRPr="00A85F00">
              <w:rPr>
                <w:rFonts w:ascii="Times New Roman"/>
              </w:rPr>
              <w:t>16</w:t>
            </w:r>
          </w:p>
        </w:tc>
      </w:tr>
      <w:tr w:rsidR="00C12CA2" w:rsidRPr="00A85F00" w14:paraId="50939C16" w14:textId="77777777" w:rsidTr="00C16668">
        <w:tc>
          <w:tcPr>
            <w:tcW w:w="3005" w:type="dxa"/>
          </w:tcPr>
          <w:p w14:paraId="43C2F0A0" w14:textId="77777777" w:rsidR="00C12CA2" w:rsidRPr="00A85F00" w:rsidRDefault="00C12CA2" w:rsidP="00FC5374">
            <w:pPr>
              <w:spacing w:after="120" w:line="276" w:lineRule="auto"/>
              <w:jc w:val="both"/>
              <w:rPr>
                <w:sz w:val="20"/>
                <w:szCs w:val="20"/>
              </w:rPr>
            </w:pPr>
            <w:r w:rsidRPr="00A85F00">
              <w:rPr>
                <w:sz w:val="20"/>
              </w:rPr>
              <w:t>2019</w:t>
            </w:r>
          </w:p>
        </w:tc>
        <w:tc>
          <w:tcPr>
            <w:tcW w:w="1965" w:type="dxa"/>
          </w:tcPr>
          <w:p w14:paraId="289601B8" w14:textId="77777777" w:rsidR="00C12CA2" w:rsidRPr="00A85F00" w:rsidRDefault="00C12CA2" w:rsidP="00FC5374">
            <w:pPr>
              <w:pStyle w:val="NormalWeb"/>
              <w:spacing w:before="0" w:after="120" w:line="276" w:lineRule="auto"/>
              <w:jc w:val="both"/>
              <w:rPr>
                <w:rFonts w:ascii="Times New Roman"/>
                <w:szCs w:val="20"/>
              </w:rPr>
            </w:pPr>
            <w:r w:rsidRPr="00A85F00">
              <w:rPr>
                <w:rFonts w:ascii="Times New Roman"/>
              </w:rPr>
              <w:t>EUR 787,215</w:t>
            </w:r>
          </w:p>
        </w:tc>
        <w:tc>
          <w:tcPr>
            <w:tcW w:w="3961" w:type="dxa"/>
          </w:tcPr>
          <w:p w14:paraId="1DCCB049" w14:textId="77777777" w:rsidR="00C12CA2" w:rsidRPr="00A85F00" w:rsidRDefault="00C12CA2" w:rsidP="00FC5374">
            <w:pPr>
              <w:pStyle w:val="NormalWeb"/>
              <w:spacing w:before="0" w:after="120" w:line="276" w:lineRule="auto"/>
              <w:jc w:val="both"/>
              <w:rPr>
                <w:rFonts w:ascii="Times New Roman"/>
                <w:szCs w:val="20"/>
              </w:rPr>
            </w:pPr>
            <w:r w:rsidRPr="00A85F00">
              <w:rPr>
                <w:rFonts w:ascii="Times New Roman"/>
              </w:rPr>
              <w:t>18</w:t>
            </w:r>
          </w:p>
        </w:tc>
      </w:tr>
      <w:tr w:rsidR="00C12CA2" w:rsidRPr="00A85F00" w14:paraId="7C9696BB" w14:textId="77777777" w:rsidTr="00C16668">
        <w:tc>
          <w:tcPr>
            <w:tcW w:w="3005" w:type="dxa"/>
          </w:tcPr>
          <w:p w14:paraId="49D7E157" w14:textId="77777777" w:rsidR="00C12CA2" w:rsidRPr="00A85F00" w:rsidRDefault="00C12CA2" w:rsidP="00FC5374">
            <w:pPr>
              <w:spacing w:after="120" w:line="276" w:lineRule="auto"/>
              <w:jc w:val="both"/>
              <w:rPr>
                <w:sz w:val="20"/>
                <w:szCs w:val="20"/>
              </w:rPr>
            </w:pPr>
            <w:r w:rsidRPr="00A85F00">
              <w:rPr>
                <w:sz w:val="20"/>
              </w:rPr>
              <w:t>2020</w:t>
            </w:r>
          </w:p>
        </w:tc>
        <w:tc>
          <w:tcPr>
            <w:tcW w:w="1965" w:type="dxa"/>
          </w:tcPr>
          <w:p w14:paraId="79ECAF47" w14:textId="77777777" w:rsidR="00C12CA2" w:rsidRPr="00A85F00" w:rsidRDefault="00C12CA2" w:rsidP="00FC5374">
            <w:pPr>
              <w:pStyle w:val="NormalWeb"/>
              <w:spacing w:before="0" w:after="120" w:line="276" w:lineRule="auto"/>
              <w:jc w:val="both"/>
              <w:rPr>
                <w:rFonts w:ascii="Times New Roman"/>
                <w:szCs w:val="20"/>
              </w:rPr>
            </w:pPr>
            <w:r w:rsidRPr="00A85F00">
              <w:rPr>
                <w:rFonts w:ascii="Times New Roman"/>
              </w:rPr>
              <w:t>EUR 797,822</w:t>
            </w:r>
          </w:p>
        </w:tc>
        <w:tc>
          <w:tcPr>
            <w:tcW w:w="3961" w:type="dxa"/>
          </w:tcPr>
          <w:p w14:paraId="080D2D7C" w14:textId="77777777" w:rsidR="00C12CA2" w:rsidRPr="00A85F00" w:rsidRDefault="00C12CA2" w:rsidP="00FC5374">
            <w:pPr>
              <w:pStyle w:val="NormalWeb"/>
              <w:spacing w:before="0" w:after="120" w:line="276" w:lineRule="auto"/>
              <w:jc w:val="both"/>
              <w:rPr>
                <w:rFonts w:ascii="Times New Roman"/>
                <w:szCs w:val="20"/>
              </w:rPr>
            </w:pPr>
            <w:r w:rsidRPr="00A85F00">
              <w:rPr>
                <w:rFonts w:ascii="Times New Roman"/>
              </w:rPr>
              <w:t>21</w:t>
            </w:r>
          </w:p>
        </w:tc>
      </w:tr>
      <w:tr w:rsidR="00C12CA2" w:rsidRPr="00A85F00" w14:paraId="181EC5E5" w14:textId="77777777" w:rsidTr="00C16668">
        <w:tc>
          <w:tcPr>
            <w:tcW w:w="3005" w:type="dxa"/>
          </w:tcPr>
          <w:p w14:paraId="382175FA" w14:textId="77777777" w:rsidR="00C12CA2" w:rsidRPr="00A85F00" w:rsidRDefault="00C12CA2" w:rsidP="00FC5374">
            <w:pPr>
              <w:spacing w:after="120" w:line="276" w:lineRule="auto"/>
              <w:jc w:val="both"/>
              <w:rPr>
                <w:sz w:val="20"/>
                <w:szCs w:val="20"/>
              </w:rPr>
            </w:pPr>
            <w:r w:rsidRPr="00A85F00">
              <w:rPr>
                <w:sz w:val="20"/>
              </w:rPr>
              <w:t>2021</w:t>
            </w:r>
          </w:p>
        </w:tc>
        <w:tc>
          <w:tcPr>
            <w:tcW w:w="1965" w:type="dxa"/>
          </w:tcPr>
          <w:p w14:paraId="76B7BCFA" w14:textId="77777777" w:rsidR="00C12CA2" w:rsidRPr="00A85F00" w:rsidRDefault="00C12CA2" w:rsidP="00FC5374">
            <w:pPr>
              <w:pStyle w:val="NormalWeb"/>
              <w:spacing w:before="0" w:after="120" w:line="276" w:lineRule="auto"/>
              <w:jc w:val="both"/>
              <w:rPr>
                <w:rFonts w:ascii="Times New Roman"/>
                <w:szCs w:val="20"/>
              </w:rPr>
            </w:pPr>
            <w:r w:rsidRPr="00A85F00">
              <w:rPr>
                <w:rFonts w:ascii="Times New Roman"/>
              </w:rPr>
              <w:t>EUR 849,874</w:t>
            </w:r>
          </w:p>
        </w:tc>
        <w:tc>
          <w:tcPr>
            <w:tcW w:w="3961" w:type="dxa"/>
          </w:tcPr>
          <w:p w14:paraId="01D9B5C4" w14:textId="77777777" w:rsidR="00C12CA2" w:rsidRPr="00A85F00" w:rsidRDefault="00C12CA2" w:rsidP="00FC5374">
            <w:pPr>
              <w:pStyle w:val="NormalWeb"/>
              <w:spacing w:before="0" w:after="120" w:line="276" w:lineRule="auto"/>
              <w:jc w:val="both"/>
              <w:rPr>
                <w:rFonts w:ascii="Times New Roman"/>
                <w:szCs w:val="20"/>
              </w:rPr>
            </w:pPr>
            <w:r w:rsidRPr="00A85F00">
              <w:rPr>
                <w:rFonts w:ascii="Times New Roman"/>
              </w:rPr>
              <w:t>23</w:t>
            </w:r>
          </w:p>
        </w:tc>
      </w:tr>
      <w:tr w:rsidR="00C12CA2" w:rsidRPr="00A85F00" w14:paraId="5040524A" w14:textId="77777777" w:rsidTr="00C16668">
        <w:tc>
          <w:tcPr>
            <w:tcW w:w="3005" w:type="dxa"/>
          </w:tcPr>
          <w:p w14:paraId="6F9AA3AE" w14:textId="77777777" w:rsidR="00C12CA2" w:rsidRPr="00A85F00" w:rsidRDefault="00C12CA2" w:rsidP="00FC5374">
            <w:pPr>
              <w:spacing w:after="120" w:line="276" w:lineRule="auto"/>
              <w:jc w:val="both"/>
              <w:rPr>
                <w:sz w:val="20"/>
                <w:szCs w:val="20"/>
              </w:rPr>
            </w:pPr>
            <w:r w:rsidRPr="00A85F00">
              <w:rPr>
                <w:sz w:val="20"/>
              </w:rPr>
              <w:t>2022</w:t>
            </w:r>
          </w:p>
        </w:tc>
        <w:tc>
          <w:tcPr>
            <w:tcW w:w="1965" w:type="dxa"/>
          </w:tcPr>
          <w:p w14:paraId="1A86319D" w14:textId="77777777" w:rsidR="00C12CA2" w:rsidRPr="00A85F00" w:rsidRDefault="00C12CA2" w:rsidP="00FC5374">
            <w:pPr>
              <w:pStyle w:val="NormalWeb"/>
              <w:spacing w:before="0" w:after="120" w:line="276" w:lineRule="auto"/>
              <w:jc w:val="both"/>
              <w:rPr>
                <w:rFonts w:ascii="Times New Roman"/>
                <w:szCs w:val="20"/>
              </w:rPr>
            </w:pPr>
            <w:r w:rsidRPr="00A85F00">
              <w:rPr>
                <w:rFonts w:ascii="Times New Roman"/>
              </w:rPr>
              <w:t>EUR 870,287</w:t>
            </w:r>
          </w:p>
        </w:tc>
        <w:tc>
          <w:tcPr>
            <w:tcW w:w="3961" w:type="dxa"/>
          </w:tcPr>
          <w:p w14:paraId="292A20FD" w14:textId="77777777" w:rsidR="00C12CA2" w:rsidRPr="00A85F00" w:rsidRDefault="00C12CA2" w:rsidP="00FC5374">
            <w:pPr>
              <w:pStyle w:val="NormalWeb"/>
              <w:spacing w:before="0" w:after="120" w:line="276" w:lineRule="auto"/>
              <w:jc w:val="both"/>
              <w:rPr>
                <w:rFonts w:ascii="Times New Roman"/>
                <w:szCs w:val="20"/>
              </w:rPr>
            </w:pPr>
            <w:r w:rsidRPr="00A85F00">
              <w:rPr>
                <w:rFonts w:ascii="Times New Roman"/>
              </w:rPr>
              <w:t>25</w:t>
            </w:r>
          </w:p>
        </w:tc>
      </w:tr>
      <w:tr w:rsidR="00C12CA2" w:rsidRPr="00A85F00" w14:paraId="5CA3F978" w14:textId="77777777" w:rsidTr="00C16668">
        <w:tc>
          <w:tcPr>
            <w:tcW w:w="3005" w:type="dxa"/>
          </w:tcPr>
          <w:p w14:paraId="4EA1CC8E" w14:textId="77777777" w:rsidR="00C12CA2" w:rsidRPr="00A85F00" w:rsidRDefault="00C12CA2" w:rsidP="00FC5374">
            <w:pPr>
              <w:spacing w:after="120" w:line="276" w:lineRule="auto"/>
              <w:jc w:val="both"/>
              <w:rPr>
                <w:sz w:val="20"/>
                <w:szCs w:val="20"/>
              </w:rPr>
            </w:pPr>
            <w:r w:rsidRPr="00A85F00">
              <w:rPr>
                <w:sz w:val="20"/>
              </w:rPr>
              <w:t>2023</w:t>
            </w:r>
          </w:p>
        </w:tc>
        <w:tc>
          <w:tcPr>
            <w:tcW w:w="1965" w:type="dxa"/>
          </w:tcPr>
          <w:p w14:paraId="30313E1A" w14:textId="77777777" w:rsidR="00C12CA2" w:rsidRPr="00A85F00" w:rsidRDefault="00C12CA2" w:rsidP="00FC5374">
            <w:pPr>
              <w:pStyle w:val="NormalWeb"/>
              <w:spacing w:before="0" w:after="120" w:line="276" w:lineRule="auto"/>
              <w:jc w:val="both"/>
              <w:rPr>
                <w:rFonts w:ascii="Times New Roman"/>
                <w:szCs w:val="20"/>
              </w:rPr>
            </w:pPr>
            <w:r w:rsidRPr="00A85F00">
              <w:rPr>
                <w:rFonts w:ascii="Times New Roman"/>
              </w:rPr>
              <w:t>EUR 967,002</w:t>
            </w:r>
          </w:p>
        </w:tc>
        <w:tc>
          <w:tcPr>
            <w:tcW w:w="3961" w:type="dxa"/>
          </w:tcPr>
          <w:p w14:paraId="6C282F1A" w14:textId="77777777" w:rsidR="00C12CA2" w:rsidRPr="00A85F00" w:rsidRDefault="00C12CA2" w:rsidP="00FC5374">
            <w:pPr>
              <w:pStyle w:val="NormalWeb"/>
              <w:spacing w:before="0" w:after="120" w:line="276" w:lineRule="auto"/>
              <w:jc w:val="both"/>
              <w:rPr>
                <w:rFonts w:ascii="Times New Roman"/>
                <w:szCs w:val="20"/>
              </w:rPr>
            </w:pPr>
            <w:r w:rsidRPr="00A85F00">
              <w:rPr>
                <w:rFonts w:ascii="Times New Roman"/>
              </w:rPr>
              <w:t>26</w:t>
            </w:r>
          </w:p>
        </w:tc>
      </w:tr>
      <w:tr w:rsidR="00C12CA2" w:rsidRPr="00A85F00" w14:paraId="027EF9B1" w14:textId="77777777" w:rsidTr="00C16668">
        <w:tc>
          <w:tcPr>
            <w:tcW w:w="3005" w:type="dxa"/>
          </w:tcPr>
          <w:p w14:paraId="19A668B5" w14:textId="77777777" w:rsidR="00C12CA2" w:rsidRPr="00A85F00" w:rsidRDefault="00C12CA2" w:rsidP="00FC5374">
            <w:pPr>
              <w:spacing w:after="120" w:line="276" w:lineRule="auto"/>
              <w:jc w:val="both"/>
              <w:rPr>
                <w:sz w:val="20"/>
                <w:szCs w:val="20"/>
              </w:rPr>
            </w:pPr>
            <w:r w:rsidRPr="00A85F00">
              <w:rPr>
                <w:sz w:val="20"/>
              </w:rPr>
              <w:t>2024</w:t>
            </w:r>
          </w:p>
        </w:tc>
        <w:tc>
          <w:tcPr>
            <w:tcW w:w="1965" w:type="dxa"/>
          </w:tcPr>
          <w:p w14:paraId="200BA1C0" w14:textId="77777777" w:rsidR="00C12CA2" w:rsidRPr="00A85F00" w:rsidRDefault="00C12CA2" w:rsidP="00FC5374">
            <w:pPr>
              <w:pStyle w:val="NormalWeb"/>
              <w:spacing w:before="0" w:after="120" w:line="276" w:lineRule="auto"/>
              <w:jc w:val="both"/>
              <w:rPr>
                <w:rFonts w:ascii="Times New Roman"/>
                <w:szCs w:val="20"/>
              </w:rPr>
            </w:pPr>
            <w:r w:rsidRPr="00A85F00">
              <w:rPr>
                <w:rFonts w:ascii="Times New Roman"/>
              </w:rPr>
              <w:t>EUR 1,071,000</w:t>
            </w:r>
          </w:p>
        </w:tc>
        <w:tc>
          <w:tcPr>
            <w:tcW w:w="3961" w:type="dxa"/>
          </w:tcPr>
          <w:p w14:paraId="79490CDA" w14:textId="77777777" w:rsidR="00C12CA2" w:rsidRPr="00A85F00" w:rsidRDefault="00C12CA2" w:rsidP="00FC5374">
            <w:pPr>
              <w:pStyle w:val="NormalWeb"/>
              <w:spacing w:before="0" w:after="120" w:line="276" w:lineRule="auto"/>
              <w:jc w:val="both"/>
              <w:rPr>
                <w:rFonts w:ascii="Times New Roman"/>
                <w:szCs w:val="20"/>
              </w:rPr>
            </w:pPr>
            <w:r w:rsidRPr="00A85F00">
              <w:rPr>
                <w:rFonts w:ascii="Times New Roman"/>
              </w:rPr>
              <w:t>May be completed after the end of the calendar year</w:t>
            </w:r>
          </w:p>
        </w:tc>
      </w:tr>
    </w:tbl>
    <w:p w14:paraId="5C3D9D64" w14:textId="358627FC" w:rsidR="00C12CA2" w:rsidRPr="00A85F00" w:rsidRDefault="00C12CA2" w:rsidP="00C12CA2">
      <w:pPr>
        <w:spacing w:after="120"/>
        <w:jc w:val="both"/>
        <w:rPr>
          <w:sz w:val="20"/>
          <w:szCs w:val="20"/>
        </w:rPr>
      </w:pPr>
      <w:r w:rsidRPr="00A85F00">
        <w:rPr>
          <w:sz w:val="20"/>
        </w:rPr>
        <w:t xml:space="preserve">Source: MoJ SR </w:t>
      </w:r>
    </w:p>
    <w:p w14:paraId="42CBF7F9" w14:textId="4DA0E0DE" w:rsidR="00C12CA2" w:rsidRPr="00A85F00" w:rsidRDefault="00C12CA2" w:rsidP="00C12CA2">
      <w:pPr>
        <w:spacing w:before="120"/>
        <w:jc w:val="both"/>
        <w:rPr>
          <w:b/>
          <w:bCs/>
        </w:rPr>
      </w:pPr>
      <w:r w:rsidRPr="00A85F00">
        <w:rPr>
          <w:b/>
        </w:rPr>
        <w:t xml:space="preserve">Regarding </w:t>
      </w:r>
      <w:r w:rsidR="00F26D5A">
        <w:rPr>
          <w:b/>
        </w:rPr>
        <w:t>paragraph</w:t>
      </w:r>
      <w:r w:rsidR="00F26D5A" w:rsidRPr="00A85F00">
        <w:rPr>
          <w:b/>
        </w:rPr>
        <w:t xml:space="preserve"> </w:t>
      </w:r>
      <w:r w:rsidRPr="00A85F00">
        <w:rPr>
          <w:b/>
        </w:rPr>
        <w:t xml:space="preserve">6 of the list of issues </w:t>
      </w:r>
    </w:p>
    <w:p w14:paraId="25F4D27E" w14:textId="3AB6732A" w:rsidR="00C12CA2" w:rsidRPr="00A85F00" w:rsidRDefault="00C12CA2" w:rsidP="00C12CA2">
      <w:pPr>
        <w:autoSpaceDN w:val="0"/>
        <w:adjustRightInd w:val="0"/>
        <w:spacing w:before="120" w:after="120"/>
        <w:jc w:val="both"/>
        <w:rPr>
          <w:sz w:val="20"/>
          <w:szCs w:val="20"/>
        </w:rPr>
      </w:pPr>
      <w:r w:rsidRPr="00A85F00">
        <w:rPr>
          <w:sz w:val="20"/>
        </w:rPr>
        <w:t>Table 2: Overview of the number of persons charged (prosecuted), indicted and convicted for any of the offences of extremism under the Section 140a of the Criminal Act during 2023</w:t>
      </w:r>
    </w:p>
    <w:tbl>
      <w:tblPr>
        <w:tblW w:w="8931"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2127"/>
        <w:gridCol w:w="2268"/>
        <w:gridCol w:w="2268"/>
        <w:gridCol w:w="2268"/>
      </w:tblGrid>
      <w:tr w:rsidR="00C12CA2" w:rsidRPr="00A85F00" w14:paraId="610FDEFD" w14:textId="77777777" w:rsidTr="00FC5374">
        <w:trPr>
          <w:trHeight w:val="315"/>
        </w:trPr>
        <w:tc>
          <w:tcPr>
            <w:tcW w:w="8931" w:type="dxa"/>
            <w:gridSpan w:val="4"/>
            <w:shd w:val="clear" w:color="auto" w:fill="DBE5F1"/>
            <w:vAlign w:val="center"/>
          </w:tcPr>
          <w:p w14:paraId="3C3BE6BE" w14:textId="77777777" w:rsidR="00C12CA2" w:rsidRPr="00A85F00" w:rsidRDefault="00C12CA2" w:rsidP="00FC5374">
            <w:pPr>
              <w:autoSpaceDN w:val="0"/>
              <w:adjustRightInd w:val="0"/>
              <w:spacing w:line="256" w:lineRule="auto"/>
              <w:jc w:val="center"/>
              <w:rPr>
                <w:b/>
                <w:bCs/>
                <w:sz w:val="20"/>
                <w:szCs w:val="20"/>
              </w:rPr>
            </w:pPr>
            <w:r w:rsidRPr="00A85F00">
              <w:br w:type="page"/>
            </w:r>
            <w:r w:rsidRPr="00A85F00">
              <w:rPr>
                <w:b/>
                <w:sz w:val="20"/>
              </w:rPr>
              <w:t>Racially motivated offences and extremism in 2023</w:t>
            </w:r>
          </w:p>
        </w:tc>
      </w:tr>
      <w:tr w:rsidR="00C12CA2" w:rsidRPr="00A85F00" w14:paraId="436AE4F2" w14:textId="77777777" w:rsidTr="00FC5374">
        <w:trPr>
          <w:trHeight w:val="315"/>
        </w:trPr>
        <w:tc>
          <w:tcPr>
            <w:tcW w:w="2127" w:type="dxa"/>
            <w:vAlign w:val="center"/>
            <w:hideMark/>
          </w:tcPr>
          <w:p w14:paraId="38EA7331" w14:textId="77777777" w:rsidR="00C12CA2" w:rsidRPr="00A85F00" w:rsidRDefault="00C12CA2" w:rsidP="00FC5374">
            <w:pPr>
              <w:autoSpaceDN w:val="0"/>
              <w:adjustRightInd w:val="0"/>
              <w:spacing w:line="256" w:lineRule="auto"/>
              <w:jc w:val="center"/>
              <w:rPr>
                <w:sz w:val="20"/>
                <w:szCs w:val="20"/>
              </w:rPr>
            </w:pPr>
            <w:r w:rsidRPr="00A85F00">
              <w:rPr>
                <w:sz w:val="20"/>
              </w:rPr>
              <w:t>prosecuted persons</w:t>
            </w:r>
          </w:p>
        </w:tc>
        <w:tc>
          <w:tcPr>
            <w:tcW w:w="2268" w:type="dxa"/>
            <w:vAlign w:val="center"/>
            <w:hideMark/>
          </w:tcPr>
          <w:p w14:paraId="1551EC21" w14:textId="77777777" w:rsidR="00C12CA2" w:rsidRPr="00A85F00" w:rsidRDefault="00C12CA2" w:rsidP="00FC5374">
            <w:pPr>
              <w:autoSpaceDN w:val="0"/>
              <w:adjustRightInd w:val="0"/>
              <w:spacing w:line="256" w:lineRule="auto"/>
              <w:jc w:val="center"/>
              <w:rPr>
                <w:sz w:val="20"/>
                <w:szCs w:val="20"/>
              </w:rPr>
            </w:pPr>
            <w:r w:rsidRPr="00A85F00">
              <w:rPr>
                <w:sz w:val="20"/>
              </w:rPr>
              <w:t>defendants</w:t>
            </w:r>
          </w:p>
        </w:tc>
        <w:tc>
          <w:tcPr>
            <w:tcW w:w="2268" w:type="dxa"/>
            <w:vAlign w:val="center"/>
            <w:hideMark/>
          </w:tcPr>
          <w:p w14:paraId="02DC72DA" w14:textId="77777777" w:rsidR="00C12CA2" w:rsidRPr="00A85F00" w:rsidRDefault="00C12CA2" w:rsidP="00FC5374">
            <w:pPr>
              <w:autoSpaceDN w:val="0"/>
              <w:adjustRightInd w:val="0"/>
              <w:spacing w:line="256" w:lineRule="auto"/>
              <w:jc w:val="center"/>
              <w:rPr>
                <w:sz w:val="20"/>
                <w:szCs w:val="20"/>
              </w:rPr>
            </w:pPr>
            <w:r w:rsidRPr="00A85F00">
              <w:rPr>
                <w:sz w:val="20"/>
              </w:rPr>
              <w:t>CDP</w:t>
            </w:r>
          </w:p>
        </w:tc>
        <w:tc>
          <w:tcPr>
            <w:tcW w:w="2268" w:type="dxa"/>
            <w:vAlign w:val="center"/>
            <w:hideMark/>
          </w:tcPr>
          <w:p w14:paraId="5E2EC5E6" w14:textId="77777777" w:rsidR="00C12CA2" w:rsidRPr="00A85F00" w:rsidRDefault="00C12CA2" w:rsidP="00FC5374">
            <w:pPr>
              <w:autoSpaceDN w:val="0"/>
              <w:adjustRightInd w:val="0"/>
              <w:spacing w:line="256" w:lineRule="auto"/>
              <w:jc w:val="center"/>
              <w:rPr>
                <w:sz w:val="20"/>
                <w:szCs w:val="20"/>
              </w:rPr>
            </w:pPr>
            <w:r w:rsidRPr="00A85F00">
              <w:rPr>
                <w:sz w:val="20"/>
              </w:rPr>
              <w:t>plea bargains</w:t>
            </w:r>
          </w:p>
        </w:tc>
      </w:tr>
      <w:tr w:rsidR="00C12CA2" w:rsidRPr="00A85F00" w14:paraId="383BB564" w14:textId="77777777" w:rsidTr="00FC5374">
        <w:trPr>
          <w:trHeight w:val="315"/>
        </w:trPr>
        <w:tc>
          <w:tcPr>
            <w:tcW w:w="2127" w:type="dxa"/>
            <w:vAlign w:val="bottom"/>
            <w:hideMark/>
          </w:tcPr>
          <w:p w14:paraId="76DDE0F7" w14:textId="77777777" w:rsidR="00C12CA2" w:rsidRPr="00A85F00" w:rsidRDefault="00C12CA2" w:rsidP="00FC5374">
            <w:pPr>
              <w:autoSpaceDN w:val="0"/>
              <w:adjustRightInd w:val="0"/>
              <w:spacing w:line="256" w:lineRule="auto"/>
              <w:jc w:val="center"/>
              <w:rPr>
                <w:color w:val="auto"/>
                <w:sz w:val="20"/>
                <w:szCs w:val="20"/>
              </w:rPr>
            </w:pPr>
            <w:r w:rsidRPr="00A85F00">
              <w:rPr>
                <w:color w:val="auto"/>
                <w:sz w:val="20"/>
              </w:rPr>
              <w:t>88</w:t>
            </w:r>
          </w:p>
        </w:tc>
        <w:tc>
          <w:tcPr>
            <w:tcW w:w="2268" w:type="dxa"/>
            <w:vAlign w:val="bottom"/>
            <w:hideMark/>
          </w:tcPr>
          <w:p w14:paraId="390C67C1" w14:textId="77777777" w:rsidR="00C12CA2" w:rsidRPr="00A85F00" w:rsidRDefault="00C12CA2" w:rsidP="00FC5374">
            <w:pPr>
              <w:autoSpaceDN w:val="0"/>
              <w:adjustRightInd w:val="0"/>
              <w:spacing w:line="256" w:lineRule="auto"/>
              <w:jc w:val="center"/>
              <w:rPr>
                <w:color w:val="auto"/>
                <w:sz w:val="20"/>
                <w:szCs w:val="20"/>
              </w:rPr>
            </w:pPr>
            <w:r w:rsidRPr="00A85F00">
              <w:rPr>
                <w:color w:val="auto"/>
                <w:sz w:val="20"/>
              </w:rPr>
              <w:t>30</w:t>
            </w:r>
          </w:p>
        </w:tc>
        <w:tc>
          <w:tcPr>
            <w:tcW w:w="2268" w:type="dxa"/>
            <w:vAlign w:val="bottom"/>
            <w:hideMark/>
          </w:tcPr>
          <w:p w14:paraId="2BF5330D" w14:textId="77777777" w:rsidR="00C12CA2" w:rsidRPr="00A85F00" w:rsidRDefault="00C12CA2" w:rsidP="00FC5374">
            <w:pPr>
              <w:autoSpaceDN w:val="0"/>
              <w:adjustRightInd w:val="0"/>
              <w:spacing w:line="256" w:lineRule="auto"/>
              <w:jc w:val="center"/>
              <w:rPr>
                <w:color w:val="auto"/>
                <w:sz w:val="20"/>
                <w:szCs w:val="20"/>
              </w:rPr>
            </w:pPr>
            <w:r w:rsidRPr="00A85F00">
              <w:rPr>
                <w:color w:val="auto"/>
                <w:sz w:val="20"/>
              </w:rPr>
              <w:t>2</w:t>
            </w:r>
          </w:p>
        </w:tc>
        <w:tc>
          <w:tcPr>
            <w:tcW w:w="2268" w:type="dxa"/>
            <w:vAlign w:val="bottom"/>
            <w:hideMark/>
          </w:tcPr>
          <w:p w14:paraId="78B44EB0" w14:textId="77777777" w:rsidR="00C12CA2" w:rsidRPr="00A85F00" w:rsidRDefault="00C12CA2" w:rsidP="00FC5374">
            <w:pPr>
              <w:autoSpaceDN w:val="0"/>
              <w:adjustRightInd w:val="0"/>
              <w:spacing w:line="256" w:lineRule="auto"/>
              <w:jc w:val="center"/>
              <w:rPr>
                <w:color w:val="auto"/>
                <w:sz w:val="20"/>
                <w:szCs w:val="20"/>
              </w:rPr>
            </w:pPr>
            <w:r w:rsidRPr="00A85F00">
              <w:rPr>
                <w:color w:val="auto"/>
                <w:sz w:val="20"/>
              </w:rPr>
              <w:t>51</w:t>
            </w:r>
          </w:p>
        </w:tc>
      </w:tr>
    </w:tbl>
    <w:p w14:paraId="65AA961E" w14:textId="77777777" w:rsidR="00C12CA2" w:rsidRPr="00A85F00" w:rsidRDefault="00C12CA2" w:rsidP="00C12CA2">
      <w:pPr>
        <w:spacing w:after="120"/>
        <w:jc w:val="both"/>
        <w:rPr>
          <w:sz w:val="20"/>
          <w:szCs w:val="20"/>
        </w:rPr>
      </w:pPr>
      <w:r w:rsidRPr="00A85F00">
        <w:rPr>
          <w:sz w:val="20"/>
        </w:rPr>
        <w:t>Source: GP SR</w:t>
      </w:r>
    </w:p>
    <w:p w14:paraId="0455B6C9" w14:textId="20A8078A" w:rsidR="00110429" w:rsidRPr="00A85F00" w:rsidRDefault="00110429" w:rsidP="00110429">
      <w:pPr>
        <w:autoSpaceDN w:val="0"/>
        <w:adjustRightInd w:val="0"/>
        <w:spacing w:before="120" w:after="120"/>
        <w:jc w:val="both"/>
      </w:pPr>
      <w:r w:rsidRPr="00A85F00">
        <w:t xml:space="preserve">The above-stated overview shows the number of persons charged (prosecuted), indicted and convicted for any of the offences of extremism under the Section 140a of the Criminal Act during 2023. The prosecution against a particular offender was conditionally discontinued by the prosecutor (CDP) in 2 cases. </w:t>
      </w:r>
    </w:p>
    <w:p w14:paraId="6065AED0" w14:textId="1220EEE0" w:rsidR="008E2A18" w:rsidRPr="00A85F00" w:rsidRDefault="008E2A18" w:rsidP="00110429">
      <w:pPr>
        <w:spacing w:before="120" w:after="120"/>
        <w:jc w:val="both"/>
        <w:rPr>
          <w:bCs/>
          <w:iCs/>
        </w:rPr>
      </w:pPr>
      <w:r w:rsidRPr="00A85F00">
        <w:t>The GP SR exercised its competence in the legislative procedure which resulted in the following legislation:</w:t>
      </w:r>
    </w:p>
    <w:p w14:paraId="37F04FEF" w14:textId="5547EAB8" w:rsidR="008E2A18" w:rsidRPr="00A85F00" w:rsidRDefault="008E2A18" w:rsidP="008E2A18">
      <w:pPr>
        <w:numPr>
          <w:ilvl w:val="0"/>
          <w:numId w:val="11"/>
        </w:numPr>
        <w:spacing w:before="120" w:after="120"/>
        <w:jc w:val="both"/>
        <w:rPr>
          <w:iCs/>
          <w:shd w:val="clear" w:color="auto" w:fill="FFFFFF"/>
        </w:rPr>
      </w:pPr>
      <w:bookmarkStart w:id="0" w:name="_Hlk169777331"/>
      <w:r w:rsidRPr="00A85F00">
        <w:t>Act No. 316/2016</w:t>
      </w:r>
      <w:r w:rsidR="00ED65AF">
        <w:t xml:space="preserve"> Coll.</w:t>
      </w:r>
      <w:r w:rsidRPr="00A85F00">
        <w:t>;</w:t>
      </w:r>
    </w:p>
    <w:p w14:paraId="19374CA8" w14:textId="3F4F1D89" w:rsidR="008E2A18" w:rsidRPr="00A85F00" w:rsidRDefault="008E2A18" w:rsidP="008E2A18">
      <w:pPr>
        <w:numPr>
          <w:ilvl w:val="0"/>
          <w:numId w:val="11"/>
        </w:numPr>
        <w:jc w:val="both"/>
        <w:rPr>
          <w:shd w:val="clear" w:color="auto" w:fill="FFFFFF"/>
        </w:rPr>
      </w:pPr>
      <w:r w:rsidRPr="00A85F00">
        <w:t>Act No. 274/2017</w:t>
      </w:r>
      <w:r w:rsidR="00ED65AF">
        <w:t xml:space="preserve"> Coll</w:t>
      </w:r>
      <w:r w:rsidRPr="00A85F00">
        <w:t xml:space="preserve">. </w:t>
      </w:r>
    </w:p>
    <w:bookmarkEnd w:id="0"/>
    <w:p w14:paraId="798491C9" w14:textId="77777777" w:rsidR="008E2A18" w:rsidRPr="00A85F00" w:rsidRDefault="008E2A18" w:rsidP="00110429">
      <w:pPr>
        <w:spacing w:before="120" w:after="120"/>
        <w:jc w:val="both"/>
        <w:rPr>
          <w:shd w:val="clear" w:color="auto" w:fill="FFFFFF"/>
        </w:rPr>
      </w:pPr>
      <w:r w:rsidRPr="00A85F00">
        <w:t>Article II of the Act No. 316/2016 contained a legislative amendment to the Criminal Act, on the basis of which substantial measures were adopted for the purpose of punishing the offences of extremism.</w:t>
      </w:r>
    </w:p>
    <w:p w14:paraId="53E1C20B" w14:textId="77777777" w:rsidR="008E2A18" w:rsidRPr="00A85F00" w:rsidRDefault="008E2A18" w:rsidP="00110429">
      <w:pPr>
        <w:spacing w:before="120" w:after="120"/>
        <w:jc w:val="both"/>
        <w:rPr>
          <w:shd w:val="clear" w:color="auto" w:fill="FFFFFF"/>
        </w:rPr>
      </w:pPr>
      <w:r w:rsidRPr="00A85F00">
        <w:t>Other acts that contain legislative amendment to the Criminal Act do not lay down any measures sanctioning the offences of extremism.</w:t>
      </w:r>
    </w:p>
    <w:p w14:paraId="197DF3FB" w14:textId="77777777" w:rsidR="00CF06B3" w:rsidRDefault="00CF06B3" w:rsidP="00CF06B3">
      <w:pPr>
        <w:spacing w:before="120" w:after="120"/>
        <w:jc w:val="both"/>
        <w:rPr>
          <w:color w:val="auto"/>
        </w:rPr>
      </w:pPr>
      <w:r w:rsidRPr="001E05D0">
        <w:rPr>
          <w:color w:val="auto"/>
          <w:shd w:val="clear" w:color="auto" w:fill="FFFFFF"/>
        </w:rPr>
        <w:t>MoE SR</w:t>
      </w:r>
      <w:r>
        <w:rPr>
          <w:color w:val="auto"/>
          <w:shd w:val="clear" w:color="auto" w:fill="FFFFFF"/>
        </w:rPr>
        <w:t>,</w:t>
      </w:r>
      <w:r w:rsidRPr="002A29AE">
        <w:rPr>
          <w:color w:val="auto"/>
        </w:rPr>
        <w:t xml:space="preserve"> through </w:t>
      </w:r>
      <w:r w:rsidRPr="001E05D0">
        <w:rPr>
          <w:color w:val="auto"/>
        </w:rPr>
        <w:t>NIEY</w:t>
      </w:r>
      <w:r>
        <w:rPr>
          <w:color w:val="auto"/>
        </w:rPr>
        <w:t>,</w:t>
      </w:r>
      <w:r w:rsidRPr="001E05D0">
        <w:rPr>
          <w:color w:val="auto"/>
        </w:rPr>
        <w:t xml:space="preserve"> conducts a number of professional events and trainings each year as a part of the provision of education for teaching staff</w:t>
      </w:r>
      <w:r>
        <w:rPr>
          <w:color w:val="auto"/>
        </w:rPr>
        <w:t>,</w:t>
      </w:r>
      <w:r w:rsidRPr="001E05D0">
        <w:rPr>
          <w:color w:val="auto"/>
        </w:rPr>
        <w:t xml:space="preserve"> professional staff and non-teaching staff. </w:t>
      </w:r>
      <w:r w:rsidRPr="00AD7FBF">
        <w:rPr>
          <w:color w:val="auto"/>
        </w:rPr>
        <w:t>Specifically</w:t>
      </w:r>
      <w:r>
        <w:rPr>
          <w:color w:val="auto"/>
        </w:rPr>
        <w:t>,</w:t>
      </w:r>
      <w:r w:rsidRPr="001E05D0">
        <w:rPr>
          <w:color w:val="auto"/>
        </w:rPr>
        <w:t xml:space="preserve"> </w:t>
      </w:r>
      <w:r>
        <w:rPr>
          <w:color w:val="auto"/>
        </w:rPr>
        <w:t>i</w:t>
      </w:r>
      <w:r w:rsidRPr="001E05D0">
        <w:rPr>
          <w:color w:val="auto"/>
        </w:rPr>
        <w:t xml:space="preserve">n the field of non-discrimination, tolerance and inclusion of minorities, it </w:t>
      </w:r>
      <w:r w:rsidRPr="001E05D0">
        <w:rPr>
          <w:color w:val="auto"/>
        </w:rPr>
        <w:lastRenderedPageBreak/>
        <w:t>organi</w:t>
      </w:r>
      <w:r>
        <w:rPr>
          <w:color w:val="auto"/>
        </w:rPr>
        <w:t>z</w:t>
      </w:r>
      <w:r w:rsidRPr="001E05D0">
        <w:rPr>
          <w:color w:val="auto"/>
        </w:rPr>
        <w:t>ed the following activities in 2022 – 2024:</w:t>
      </w:r>
    </w:p>
    <w:p w14:paraId="10059BB5" w14:textId="77777777" w:rsidR="00CF06B3" w:rsidRPr="001E05D0" w:rsidRDefault="00CF06B3" w:rsidP="00CF06B3">
      <w:pPr>
        <w:numPr>
          <w:ilvl w:val="0"/>
          <w:numId w:val="17"/>
        </w:numPr>
        <w:spacing w:before="120" w:after="120"/>
        <w:jc w:val="both"/>
        <w:rPr>
          <w:color w:val="auto"/>
          <w:u w:val="single"/>
          <w:shd w:val="clear" w:color="auto" w:fill="FFFFFF"/>
        </w:rPr>
      </w:pPr>
      <w:r w:rsidRPr="001E05D0">
        <w:rPr>
          <w:color w:val="auto"/>
          <w:shd w:val="clear" w:color="auto" w:fill="FFFFFF"/>
        </w:rPr>
        <w:t>a professional event for school staff entitled “Radicalism, Extremism and Populism in the Present” (2022), with the aim of creating a space for enhanced information on cultures, coexistence, communication, tolerance, intolerance and the inclusion of extremism prevention practices in the educational process</w:t>
      </w:r>
      <w:r w:rsidRPr="001E05D0">
        <w:rPr>
          <w:rStyle w:val="FootnoteReference"/>
          <w:color w:val="auto"/>
          <w:shd w:val="clear" w:color="auto" w:fill="FFFFFF"/>
        </w:rPr>
        <w:footnoteReference w:id="1"/>
      </w:r>
      <w:r w:rsidRPr="001E05D0">
        <w:rPr>
          <w:color w:val="auto"/>
          <w:shd w:val="clear" w:color="auto" w:fill="FFFFFF"/>
        </w:rPr>
        <w:t xml:space="preserve">; </w:t>
      </w:r>
    </w:p>
    <w:p w14:paraId="42333915" w14:textId="77777777" w:rsidR="00CF06B3" w:rsidRPr="001E05D0" w:rsidRDefault="00CF06B3" w:rsidP="00CF06B3">
      <w:pPr>
        <w:numPr>
          <w:ilvl w:val="0"/>
          <w:numId w:val="17"/>
        </w:numPr>
        <w:spacing w:before="120" w:after="120"/>
        <w:jc w:val="both"/>
        <w:rPr>
          <w:rStyle w:val="Hyperlink"/>
          <w:color w:val="auto"/>
          <w:shd w:val="clear" w:color="auto" w:fill="FFFFFF"/>
        </w:rPr>
      </w:pPr>
      <w:r w:rsidRPr="001E05D0">
        <w:rPr>
          <w:color w:val="auto"/>
          <w:shd w:val="clear" w:color="auto" w:fill="FFFFFF"/>
        </w:rPr>
        <w:t xml:space="preserve">a commemorative event entitled </w:t>
      </w:r>
      <w:r w:rsidRPr="001E05D0">
        <w:t>“Neighbours Unforgotten”</w:t>
      </w:r>
      <w:r w:rsidRPr="001E05D0">
        <w:rPr>
          <w:rStyle w:val="FootnoteReference"/>
          <w:color w:val="auto"/>
          <w:shd w:val="clear" w:color="auto" w:fill="FFFFFF"/>
        </w:rPr>
        <w:footnoteReference w:id="2"/>
      </w:r>
      <w:r w:rsidRPr="001E05D0">
        <w:t xml:space="preserve"> on the occasion of the Day of the Victims of the Holocaust and Racial Violence (9 September 2022); </w:t>
      </w:r>
    </w:p>
    <w:p w14:paraId="4221BBA9" w14:textId="77777777" w:rsidR="00CF06B3" w:rsidRPr="003A53F9" w:rsidRDefault="00CF06B3" w:rsidP="00CF06B3">
      <w:pPr>
        <w:numPr>
          <w:ilvl w:val="0"/>
          <w:numId w:val="17"/>
        </w:numPr>
        <w:shd w:val="clear" w:color="auto" w:fill="FFFFFF"/>
        <w:spacing w:before="120" w:after="120"/>
        <w:jc w:val="both"/>
        <w:rPr>
          <w:color w:val="auto"/>
        </w:rPr>
      </w:pPr>
      <w:r w:rsidRPr="001E05D0">
        <w:rPr>
          <w:color w:val="auto"/>
        </w:rPr>
        <w:t xml:space="preserve">trainings in the framework of the </w:t>
      </w:r>
      <w:r w:rsidRPr="001E05D0">
        <w:t>“Training of Trainers in Human Rights Education” (TOTHRE 2023) project implemented by the CE. The training</w:t>
      </w:r>
      <w:r>
        <w:t>s</w:t>
      </w:r>
      <w:r w:rsidRPr="001E05D0">
        <w:t xml:space="preserve"> </w:t>
      </w:r>
      <w:r w:rsidRPr="003A53F9">
        <w:rPr>
          <w:color w:val="auto"/>
        </w:rPr>
        <w:t xml:space="preserve">were intended for </w:t>
      </w:r>
      <w:r w:rsidRPr="001E05D0">
        <w:t>youth workers, young leaders</w:t>
      </w:r>
      <w:r>
        <w:t>,</w:t>
      </w:r>
      <w:r w:rsidRPr="001E05D0">
        <w:t xml:space="preserve"> active youth themselves, and organ</w:t>
      </w:r>
      <w:r>
        <w:t>iz</w:t>
      </w:r>
      <w:r w:rsidRPr="001E05D0">
        <w:t>ations work</w:t>
      </w:r>
      <w:r>
        <w:t>ing with youth</w:t>
      </w:r>
      <w:r w:rsidRPr="001E05D0">
        <w:t>;</w:t>
      </w:r>
    </w:p>
    <w:p w14:paraId="232924DA" w14:textId="77777777" w:rsidR="00CF06B3" w:rsidRDefault="00CF06B3" w:rsidP="00CF06B3">
      <w:pPr>
        <w:numPr>
          <w:ilvl w:val="0"/>
          <w:numId w:val="17"/>
        </w:numPr>
        <w:shd w:val="clear" w:color="auto" w:fill="FFFFFF"/>
        <w:spacing w:before="120" w:after="120"/>
        <w:jc w:val="both"/>
        <w:rPr>
          <w:color w:val="auto"/>
        </w:rPr>
      </w:pPr>
      <w:r w:rsidRPr="001E05D0">
        <w:rPr>
          <w:color w:val="auto"/>
        </w:rPr>
        <w:t>inclusive educational activities in ethnically mixed areas under a contract</w:t>
      </w:r>
      <w:r w:rsidRPr="001E05D0">
        <w:rPr>
          <w:rStyle w:val="FootnoteReference"/>
          <w:color w:val="auto"/>
        </w:rPr>
        <w:footnoteReference w:id="3"/>
      </w:r>
      <w:r w:rsidRPr="001E05D0">
        <w:rPr>
          <w:color w:val="auto"/>
        </w:rPr>
        <w:t xml:space="preserve"> with the MoE SR (2024) with the following objectives: education and support of </w:t>
      </w:r>
      <w:r>
        <w:rPr>
          <w:color w:val="auto"/>
        </w:rPr>
        <w:t xml:space="preserve">teaching staff </w:t>
      </w:r>
      <w:r w:rsidRPr="001E05D0">
        <w:rPr>
          <w:color w:val="auto"/>
        </w:rPr>
        <w:t>in schools with the language of instruction of national minorities (Hungarian, Ruthenian, Ukrainian); development of intercultural education programmes taking into account culturally sensitive issues in the teaching of history and critical thinking</w:t>
      </w:r>
      <w:r>
        <w:rPr>
          <w:color w:val="auto"/>
        </w:rPr>
        <w:t xml:space="preserve">. </w:t>
      </w:r>
      <w:r w:rsidRPr="001E05D0">
        <w:rPr>
          <w:color w:val="auto"/>
        </w:rPr>
        <w:t xml:space="preserve"> </w:t>
      </w:r>
    </w:p>
    <w:p w14:paraId="7504E1B0" w14:textId="77777777" w:rsidR="00B06926" w:rsidRPr="00756490" w:rsidRDefault="00B06926" w:rsidP="00B06926">
      <w:pPr>
        <w:pStyle w:val="Default"/>
        <w:spacing w:before="120" w:after="120"/>
        <w:jc w:val="both"/>
        <w:rPr>
          <w:color w:val="auto"/>
        </w:rPr>
      </w:pPr>
      <w:r w:rsidRPr="001E05D0">
        <w:t>In Slovakia</w:t>
      </w:r>
      <w:r>
        <w:t>,</w:t>
      </w:r>
      <w:r w:rsidRPr="00756490">
        <w:rPr>
          <w:color w:val="auto"/>
        </w:rPr>
        <w:t xml:space="preserve"> </w:t>
      </w:r>
      <w:r>
        <w:rPr>
          <w:color w:val="auto"/>
        </w:rPr>
        <w:t>t</w:t>
      </w:r>
      <w:r w:rsidRPr="00756490">
        <w:rPr>
          <w:color w:val="auto"/>
        </w:rPr>
        <w:t xml:space="preserve">he </w:t>
      </w:r>
      <w:r w:rsidRPr="001E05D0">
        <w:rPr>
          <w:color w:val="auto"/>
          <w:shd w:val="clear" w:color="auto" w:fill="FFFFFF"/>
        </w:rPr>
        <w:t>MoE</w:t>
      </w:r>
      <w:r>
        <w:rPr>
          <w:color w:val="auto"/>
          <w:shd w:val="clear" w:color="auto" w:fill="FFFFFF"/>
        </w:rPr>
        <w:t xml:space="preserve"> </w:t>
      </w:r>
      <w:r w:rsidRPr="001E05D0">
        <w:rPr>
          <w:color w:val="auto"/>
          <w:shd w:val="clear" w:color="auto" w:fill="FFFFFF"/>
        </w:rPr>
        <w:t>SR</w:t>
      </w:r>
      <w:r w:rsidRPr="001E05D0">
        <w:t xml:space="preserve"> </w:t>
      </w:r>
      <w:r w:rsidRPr="00756490">
        <w:rPr>
          <w:color w:val="auto"/>
        </w:rPr>
        <w:t>is a partner in the INSCHOOL project: Inclusive Schools for Roma Children (2017 to 2027).</w:t>
      </w:r>
      <w:r>
        <w:rPr>
          <w:color w:val="auto"/>
        </w:rPr>
        <w:t xml:space="preserve"> </w:t>
      </w:r>
      <w:r w:rsidRPr="001E05D0">
        <w:t xml:space="preserve">Bulgaria, the Czech Republic, Hungary, Romania, the United Kingdom and the </w:t>
      </w:r>
      <w:r>
        <w:t>SR</w:t>
      </w:r>
      <w:r w:rsidRPr="001E05D0">
        <w:t xml:space="preserve"> participate in the project. The project focuses on supporting the social inclusion of Roma through the support of inclusive educational policies and practices in selected schools in Slovakia. In 2023, international study meetings of inclusive education experts and training courses were held in the field of educational policy making and the possibilities of supporting learners from disadvantaged backgrounds. </w:t>
      </w:r>
    </w:p>
    <w:p w14:paraId="5753259B" w14:textId="77777777" w:rsidR="00B06926" w:rsidRPr="001E05D0" w:rsidRDefault="00B06926" w:rsidP="00B06926">
      <w:pPr>
        <w:pStyle w:val="Default"/>
        <w:spacing w:before="120" w:after="120"/>
        <w:jc w:val="both"/>
        <w:rPr>
          <w:color w:val="auto"/>
        </w:rPr>
      </w:pPr>
      <w:r w:rsidRPr="001E05D0">
        <w:t xml:space="preserve">Starting in 2021, the </w:t>
      </w:r>
      <w:r w:rsidRPr="001E05D0">
        <w:rPr>
          <w:color w:val="auto"/>
          <w:shd w:val="clear" w:color="auto" w:fill="FFFFFF"/>
        </w:rPr>
        <w:t>Ministry of Education</w:t>
      </w:r>
      <w:r w:rsidRPr="001E05D0">
        <w:t xml:space="preserve"> allocates funds annually for the development project “Supporting the Teaching of the Mother Tongue of a National Minority”.</w:t>
      </w:r>
      <w:r w:rsidRPr="001E05D0">
        <w:rPr>
          <w:color w:val="auto"/>
        </w:rPr>
        <w:t xml:space="preserve"> Priority areas of the project include preparatory activities for teaching the national minority language (Croatian, Polish, Ruthenian, Roma, Ukrainian, German or Bulgarian) or activities within the framework of teaching the national minority language (Croatian, Polish, Ruthenian, Roma, Ukrainian, German or Bulgarian). The development project “Support for </w:t>
      </w:r>
      <w:r w:rsidRPr="001E05D0">
        <w:t xml:space="preserve">Regional and Multicultural Education of Pupils Belonging to National Minorities” has been announced since 2016. The aim of the call is to support the development of multicultural and regional education in national minority schools and classes. </w:t>
      </w:r>
    </w:p>
    <w:p w14:paraId="5C4DE01A" w14:textId="687ADA90" w:rsidR="00C12CA2" w:rsidRPr="00A85F00" w:rsidRDefault="00C12CA2" w:rsidP="00C12CA2">
      <w:pPr>
        <w:spacing w:before="120"/>
        <w:jc w:val="both"/>
        <w:rPr>
          <w:b/>
          <w:bCs/>
        </w:rPr>
      </w:pPr>
      <w:r w:rsidRPr="00A85F00">
        <w:rPr>
          <w:b/>
        </w:rPr>
        <w:t xml:space="preserve">Regarding </w:t>
      </w:r>
      <w:r w:rsidR="00BA4837">
        <w:rPr>
          <w:b/>
        </w:rPr>
        <w:t>paragraph</w:t>
      </w:r>
      <w:r w:rsidR="00BA4837" w:rsidRPr="00A85F00">
        <w:rPr>
          <w:b/>
        </w:rPr>
        <w:t xml:space="preserve"> </w:t>
      </w:r>
      <w:r w:rsidRPr="00A85F00">
        <w:rPr>
          <w:b/>
        </w:rPr>
        <w:t xml:space="preserve">8 of the list of issues </w:t>
      </w:r>
    </w:p>
    <w:p w14:paraId="329B322B" w14:textId="77777777" w:rsidR="00C12CA2" w:rsidRPr="00A85F00" w:rsidRDefault="00C12CA2" w:rsidP="00C12CA2">
      <w:pPr>
        <w:spacing w:before="120" w:after="120"/>
        <w:jc w:val="both"/>
      </w:pPr>
      <w:r w:rsidRPr="00A85F00">
        <w:t>The national projects were carried out under a “take-away” package which included:</w:t>
      </w:r>
    </w:p>
    <w:p w14:paraId="06E0649B" w14:textId="77777777" w:rsidR="00C12CA2" w:rsidRPr="00A85F00" w:rsidRDefault="00C12CA2" w:rsidP="00C12CA2">
      <w:pPr>
        <w:numPr>
          <w:ilvl w:val="0"/>
          <w:numId w:val="4"/>
        </w:numPr>
        <w:ind w:left="714" w:hanging="357"/>
        <w:jc w:val="both"/>
      </w:pPr>
      <w:r w:rsidRPr="00A85F00">
        <w:t>National project PRIM (I and II);</w:t>
      </w:r>
    </w:p>
    <w:p w14:paraId="69803EA3" w14:textId="22FBEBB7" w:rsidR="00C12CA2" w:rsidRPr="00A85F00" w:rsidRDefault="00C12CA2" w:rsidP="00C12CA2">
      <w:pPr>
        <w:numPr>
          <w:ilvl w:val="0"/>
          <w:numId w:val="4"/>
        </w:numPr>
        <w:ind w:left="714" w:hanging="357"/>
        <w:jc w:val="both"/>
      </w:pPr>
      <w:r w:rsidRPr="00A85F00">
        <w:t xml:space="preserve">National project Community Centres in Municipalities with </w:t>
      </w:r>
      <w:r w:rsidR="002302A9">
        <w:t>MRC</w:t>
      </w:r>
      <w:r w:rsidRPr="00A85F00">
        <w:t xml:space="preserve"> (I and II);</w:t>
      </w:r>
    </w:p>
    <w:p w14:paraId="77EFD31F" w14:textId="17542906" w:rsidR="00C12CA2" w:rsidRPr="00A85F00" w:rsidRDefault="00C12CA2" w:rsidP="00C12CA2">
      <w:pPr>
        <w:numPr>
          <w:ilvl w:val="0"/>
          <w:numId w:val="4"/>
        </w:numPr>
        <w:ind w:left="714" w:hanging="357"/>
        <w:jc w:val="both"/>
      </w:pPr>
      <w:r w:rsidRPr="00A85F00">
        <w:t xml:space="preserve">National project Community Services in Municipalities with </w:t>
      </w:r>
      <w:r w:rsidR="002302A9">
        <w:t>MRC</w:t>
      </w:r>
      <w:r w:rsidRPr="00A85F00">
        <w:t>, phase I and II;</w:t>
      </w:r>
    </w:p>
    <w:p w14:paraId="46833948" w14:textId="498CB5A3" w:rsidR="00C12CA2" w:rsidRPr="00A85F00" w:rsidRDefault="00C12CA2" w:rsidP="00C12CA2">
      <w:pPr>
        <w:numPr>
          <w:ilvl w:val="0"/>
          <w:numId w:val="4"/>
        </w:numPr>
        <w:ind w:left="714" w:hanging="357"/>
        <w:jc w:val="both"/>
      </w:pPr>
      <w:r w:rsidRPr="00A85F00">
        <w:t>National project Support for the Settlement of Legal Relations to Lands in Municipalities with MRC I and II;</w:t>
      </w:r>
    </w:p>
    <w:p w14:paraId="33396416" w14:textId="62E7CD69" w:rsidR="00C12CA2" w:rsidRPr="00A85F00" w:rsidRDefault="00C12CA2" w:rsidP="00C12CA2">
      <w:pPr>
        <w:numPr>
          <w:ilvl w:val="0"/>
          <w:numId w:val="4"/>
        </w:numPr>
        <w:ind w:left="714" w:hanging="357"/>
        <w:jc w:val="both"/>
      </w:pPr>
      <w:r w:rsidRPr="00A85F00">
        <w:t>National project Field Social Work and Field Work in Municipalities with MRC;</w:t>
      </w:r>
    </w:p>
    <w:p w14:paraId="3BC16D2B" w14:textId="77777777" w:rsidR="00C12CA2" w:rsidRPr="00A85F00" w:rsidRDefault="00C12CA2" w:rsidP="00C12CA2">
      <w:pPr>
        <w:numPr>
          <w:ilvl w:val="0"/>
          <w:numId w:val="4"/>
        </w:numPr>
        <w:ind w:left="714" w:hanging="357"/>
        <w:jc w:val="both"/>
      </w:pPr>
      <w:r w:rsidRPr="00A85F00">
        <w:t xml:space="preserve">National project Healthy Communities (it is our recommendation to evaluate all 3 projects under the competence of the MoH SR; in this case it was already a project </w:t>
      </w:r>
      <w:r w:rsidRPr="00A85F00">
        <w:lastRenderedPageBreak/>
        <w:t>under the competence of the MoH SR which was initially started by the OPGRC only with the support of subsidies).</w:t>
      </w:r>
    </w:p>
    <w:p w14:paraId="5A1E8E97" w14:textId="77777777" w:rsidR="00C12CA2" w:rsidRPr="00A85F00" w:rsidRDefault="00C12CA2" w:rsidP="00C12CA2">
      <w:pPr>
        <w:spacing w:before="120" w:after="120"/>
        <w:jc w:val="both"/>
      </w:pPr>
      <w:r w:rsidRPr="00A85F00">
        <w:t>National project PRIM II (from 2020 to 2023) and its results:</w:t>
      </w:r>
    </w:p>
    <w:p w14:paraId="6151127E" w14:textId="77777777" w:rsidR="00C12CA2" w:rsidRPr="00A85F00" w:rsidRDefault="00C12CA2" w:rsidP="00C12CA2">
      <w:pPr>
        <w:numPr>
          <w:ilvl w:val="0"/>
          <w:numId w:val="5"/>
        </w:numPr>
        <w:ind w:left="714" w:hanging="357"/>
        <w:jc w:val="both"/>
      </w:pPr>
      <w:r w:rsidRPr="00A85F00">
        <w:t>9,048 children from MRC completed at least one year in kindergarten;</w:t>
      </w:r>
    </w:p>
    <w:p w14:paraId="7E3F4B3B" w14:textId="77777777" w:rsidR="00C12CA2" w:rsidRPr="00A85F00" w:rsidRDefault="00C12CA2" w:rsidP="00C12CA2">
      <w:pPr>
        <w:numPr>
          <w:ilvl w:val="0"/>
          <w:numId w:val="5"/>
        </w:numPr>
        <w:ind w:left="714" w:hanging="357"/>
        <w:jc w:val="both"/>
      </w:pPr>
      <w:r w:rsidRPr="00A85F00">
        <w:t>747 (project positions) employees in kindergartens (311 teachers´ assistants, 141 professional staff – mainly special education teaching professionals and 140 parents´ assistants; 155 inclusive education coordinators);</w:t>
      </w:r>
    </w:p>
    <w:p w14:paraId="5D360002" w14:textId="77777777" w:rsidR="00C12CA2" w:rsidRPr="00A85F00" w:rsidRDefault="00C12CA2" w:rsidP="00C12CA2">
      <w:pPr>
        <w:numPr>
          <w:ilvl w:val="0"/>
          <w:numId w:val="5"/>
        </w:numPr>
        <w:ind w:left="714" w:hanging="357"/>
        <w:jc w:val="both"/>
      </w:pPr>
      <w:r w:rsidRPr="00A85F00">
        <w:t>315 Roma were employed as members of inclusive teams (mainly as parents´ assistants: 140, but also in other positions: 154 teachers´ assistants, 17 professional staff, 2 inclusive education coordinators);</w:t>
      </w:r>
    </w:p>
    <w:p w14:paraId="7BAB2404" w14:textId="77777777" w:rsidR="00C12CA2" w:rsidRPr="00A85F00" w:rsidRDefault="00C12CA2" w:rsidP="00C12CA2">
      <w:pPr>
        <w:numPr>
          <w:ilvl w:val="0"/>
          <w:numId w:val="5"/>
        </w:numPr>
        <w:ind w:left="714" w:hanging="357"/>
        <w:jc w:val="both"/>
      </w:pPr>
      <w:r w:rsidRPr="00A85F00">
        <w:t>417 different one-off trainings for inclusive teams (methodological and information workshops, micro-regional meetings);</w:t>
      </w:r>
    </w:p>
    <w:p w14:paraId="6F919EBE" w14:textId="77777777" w:rsidR="00C12CA2" w:rsidRPr="00A85F00" w:rsidRDefault="00C12CA2" w:rsidP="00C12CA2">
      <w:pPr>
        <w:numPr>
          <w:ilvl w:val="0"/>
          <w:numId w:val="5"/>
        </w:numPr>
        <w:ind w:left="714" w:hanging="357"/>
        <w:jc w:val="both"/>
      </w:pPr>
      <w:r w:rsidRPr="00A85F00">
        <w:t>Special long-term educational programme focusing on innovative approaches to inclusive education implemented by Škola plus s.r.o. was attended by 418 employees of kindergartens (40 groups, 80 meetings);</w:t>
      </w:r>
    </w:p>
    <w:p w14:paraId="4083D170" w14:textId="71C03199" w:rsidR="00C12CA2" w:rsidRPr="00A85F00" w:rsidRDefault="00C12CA2" w:rsidP="00C12CA2">
      <w:pPr>
        <w:numPr>
          <w:ilvl w:val="0"/>
          <w:numId w:val="5"/>
        </w:numPr>
        <w:ind w:left="714" w:hanging="357"/>
        <w:jc w:val="both"/>
      </w:pPr>
      <w:r w:rsidRPr="00A85F00">
        <w:t>The overall success rate in the stimulation of children aged 3 – 4 attending kindergartens – 79.11%;</w:t>
      </w:r>
    </w:p>
    <w:p w14:paraId="1C069D9E" w14:textId="753BAF78" w:rsidR="00C12CA2" w:rsidRPr="00A85F00" w:rsidRDefault="00C12CA2" w:rsidP="00C12CA2">
      <w:pPr>
        <w:numPr>
          <w:ilvl w:val="0"/>
          <w:numId w:val="5"/>
        </w:numPr>
        <w:ind w:left="714" w:hanging="357"/>
        <w:jc w:val="both"/>
      </w:pPr>
      <w:r w:rsidRPr="00A85F00">
        <w:t>The overall success rate in the stimulation of children aged 5 – 6 attending kindergartens – 72.07%;</w:t>
      </w:r>
    </w:p>
    <w:p w14:paraId="44D96767" w14:textId="37EF7AC8" w:rsidR="00C12CA2" w:rsidRPr="00A85F00" w:rsidRDefault="00C12CA2" w:rsidP="00C12CA2">
      <w:pPr>
        <w:numPr>
          <w:ilvl w:val="0"/>
          <w:numId w:val="5"/>
        </w:numPr>
        <w:ind w:left="714" w:hanging="357"/>
        <w:jc w:val="both"/>
      </w:pPr>
      <w:r w:rsidRPr="00A85F00">
        <w:t>Improved enrolment of children in mainstream education – 1.45% of children were enrolled in the special education system (special primary school, special class of the primary school) (EU average: 2%, SR average: 6%).</w:t>
      </w:r>
    </w:p>
    <w:p w14:paraId="6360AC50" w14:textId="77777777" w:rsidR="00C12CA2" w:rsidRPr="00A85F00" w:rsidRDefault="00C12CA2" w:rsidP="00C12CA2">
      <w:pPr>
        <w:spacing w:after="120"/>
        <w:contextualSpacing/>
        <w:jc w:val="both"/>
        <w:rPr>
          <w:b/>
        </w:rPr>
      </w:pPr>
    </w:p>
    <w:p w14:paraId="02458026" w14:textId="2076CA2C" w:rsidR="00555A20" w:rsidRPr="00A85F00" w:rsidRDefault="00555A20" w:rsidP="00555A20">
      <w:pPr>
        <w:spacing w:before="120" w:after="120"/>
        <w:jc w:val="both"/>
      </w:pPr>
      <w:r w:rsidRPr="00A85F00">
        <w:t xml:space="preserve">National project Community Services in Towns and Villages with </w:t>
      </w:r>
      <w:r w:rsidR="0081267A">
        <w:t>MRC</w:t>
      </w:r>
      <w:r w:rsidRPr="00A85F00">
        <w:t xml:space="preserve"> – phase II (2021 – 2023) and its results:</w:t>
      </w:r>
    </w:p>
    <w:p w14:paraId="6C165E1D" w14:textId="29D258C9" w:rsidR="00555A20" w:rsidRPr="00A85F00" w:rsidRDefault="00555A20" w:rsidP="00555A20">
      <w:pPr>
        <w:numPr>
          <w:ilvl w:val="0"/>
          <w:numId w:val="5"/>
        </w:numPr>
        <w:ind w:left="714" w:hanging="357"/>
        <w:jc w:val="both"/>
      </w:pPr>
      <w:r w:rsidRPr="00A85F00">
        <w:t>A total of 295 employees (of which 75 were Roma) provided work in the MRC and mapping of their needs directly in the field. With their professional approach they helped more than 27 thousand people living in the MRC at risk of poverty and social exclusion;</w:t>
      </w:r>
    </w:p>
    <w:p w14:paraId="027118F8" w14:textId="77777777" w:rsidR="00555A20" w:rsidRPr="00A85F00" w:rsidRDefault="00555A20" w:rsidP="00555A20">
      <w:pPr>
        <w:numPr>
          <w:ilvl w:val="0"/>
          <w:numId w:val="5"/>
        </w:numPr>
        <w:ind w:left="714" w:hanging="357"/>
        <w:jc w:val="both"/>
      </w:pPr>
      <w:r w:rsidRPr="00A85F00">
        <w:t>care for children up to the age of three (early childcare period);</w:t>
      </w:r>
    </w:p>
    <w:p w14:paraId="47D78F80" w14:textId="77777777" w:rsidR="00555A20" w:rsidRPr="00A85F00" w:rsidRDefault="00555A20" w:rsidP="00555A20">
      <w:pPr>
        <w:numPr>
          <w:ilvl w:val="0"/>
          <w:numId w:val="5"/>
        </w:numPr>
        <w:ind w:left="714" w:hanging="357"/>
        <w:jc w:val="both"/>
      </w:pPr>
      <w:r w:rsidRPr="00A85F00">
        <w:t>schooling of pre-school children and their readiness to enter mainstream school;</w:t>
      </w:r>
    </w:p>
    <w:p w14:paraId="33A8FE31" w14:textId="77777777" w:rsidR="00555A20" w:rsidRPr="00A85F00" w:rsidRDefault="00555A20" w:rsidP="00555A20">
      <w:pPr>
        <w:numPr>
          <w:ilvl w:val="0"/>
          <w:numId w:val="5"/>
        </w:numPr>
        <w:ind w:left="714" w:hanging="357"/>
        <w:jc w:val="both"/>
      </w:pPr>
      <w:r w:rsidRPr="00A85F00">
        <w:t>employment readiness of adults;</w:t>
      </w:r>
    </w:p>
    <w:p w14:paraId="752C5C5D" w14:textId="77777777" w:rsidR="00555A20" w:rsidRPr="00A85F00" w:rsidRDefault="00555A20" w:rsidP="00555A20">
      <w:pPr>
        <w:numPr>
          <w:ilvl w:val="0"/>
          <w:numId w:val="5"/>
        </w:numPr>
        <w:ind w:left="714" w:hanging="357"/>
        <w:jc w:val="both"/>
      </w:pPr>
      <w:r w:rsidRPr="00A85F00">
        <w:t>help for adults to find and keep a job;</w:t>
      </w:r>
    </w:p>
    <w:p w14:paraId="41E04F53" w14:textId="77777777" w:rsidR="00555A20" w:rsidRPr="00A85F00" w:rsidRDefault="00555A20" w:rsidP="00555A20">
      <w:pPr>
        <w:numPr>
          <w:ilvl w:val="0"/>
          <w:numId w:val="5"/>
        </w:numPr>
        <w:ind w:left="714" w:hanging="357"/>
        <w:jc w:val="both"/>
      </w:pPr>
      <w:r w:rsidRPr="00A85F00">
        <w:t>school-to-work transition for young adults;</w:t>
      </w:r>
    </w:p>
    <w:p w14:paraId="55500096" w14:textId="77777777" w:rsidR="00555A20" w:rsidRPr="00A85F00" w:rsidRDefault="00555A20" w:rsidP="00555A20">
      <w:pPr>
        <w:numPr>
          <w:ilvl w:val="0"/>
          <w:numId w:val="5"/>
        </w:numPr>
        <w:ind w:left="714" w:hanging="357"/>
        <w:jc w:val="both"/>
      </w:pPr>
      <w:r w:rsidRPr="00A85F00">
        <w:t>public health (reducing substance use);</w:t>
      </w:r>
    </w:p>
    <w:p w14:paraId="793367BC" w14:textId="77777777" w:rsidR="00555A20" w:rsidRPr="00A85F00" w:rsidRDefault="00555A20" w:rsidP="00555A20">
      <w:pPr>
        <w:numPr>
          <w:ilvl w:val="0"/>
          <w:numId w:val="5"/>
        </w:numPr>
        <w:ind w:left="714" w:hanging="357"/>
        <w:jc w:val="both"/>
      </w:pPr>
      <w:r w:rsidRPr="00A85F00">
        <w:t>housing situation (this area also includes improvements in land settlement and regularisation of dwellings);</w:t>
      </w:r>
    </w:p>
    <w:p w14:paraId="441F910E" w14:textId="77777777" w:rsidR="00555A20" w:rsidRPr="00A85F00" w:rsidRDefault="00555A20" w:rsidP="00555A20">
      <w:pPr>
        <w:numPr>
          <w:ilvl w:val="0"/>
          <w:numId w:val="5"/>
        </w:numPr>
        <w:ind w:left="714" w:hanging="357"/>
        <w:jc w:val="both"/>
      </w:pPr>
      <w:r w:rsidRPr="00A85F00">
        <w:t xml:space="preserve">domestic violence; </w:t>
      </w:r>
    </w:p>
    <w:p w14:paraId="0A0CA65F" w14:textId="77777777" w:rsidR="00555A20" w:rsidRPr="00A85F00" w:rsidRDefault="00555A20" w:rsidP="00555A20">
      <w:pPr>
        <w:numPr>
          <w:ilvl w:val="0"/>
          <w:numId w:val="5"/>
        </w:numPr>
        <w:ind w:left="714" w:hanging="357"/>
        <w:jc w:val="both"/>
      </w:pPr>
      <w:r w:rsidRPr="00A85F00">
        <w:t>preparation of minor mothers and adult mothers for parenthood;</w:t>
      </w:r>
    </w:p>
    <w:p w14:paraId="22574DA6" w14:textId="77777777" w:rsidR="00555A20" w:rsidRPr="00A85F00" w:rsidRDefault="00555A20" w:rsidP="00555A20">
      <w:pPr>
        <w:numPr>
          <w:ilvl w:val="0"/>
          <w:numId w:val="5"/>
        </w:numPr>
        <w:ind w:left="714" w:hanging="357"/>
        <w:jc w:val="both"/>
      </w:pPr>
      <w:r w:rsidRPr="00A85F00">
        <w:t>care for animals;</w:t>
      </w:r>
    </w:p>
    <w:p w14:paraId="0A4AA98E" w14:textId="77777777" w:rsidR="00555A20" w:rsidRPr="00A85F00" w:rsidRDefault="00555A20" w:rsidP="00555A20">
      <w:pPr>
        <w:numPr>
          <w:ilvl w:val="0"/>
          <w:numId w:val="5"/>
        </w:numPr>
        <w:ind w:left="714" w:hanging="357"/>
        <w:jc w:val="both"/>
      </w:pPr>
      <w:r w:rsidRPr="00A85F00">
        <w:t xml:space="preserve">coexistence of the majority and MRC people. </w:t>
      </w:r>
    </w:p>
    <w:p w14:paraId="6D5774AA" w14:textId="77777777" w:rsidR="00555A20" w:rsidRPr="00A85F00" w:rsidRDefault="00555A20" w:rsidP="00555A20">
      <w:pPr>
        <w:spacing w:before="120" w:after="120"/>
        <w:ind w:firstLine="357"/>
        <w:jc w:val="both"/>
      </w:pPr>
      <w:r w:rsidRPr="00A85F00">
        <w:t>Number of programmes in the national project aimed at school readiness:</w:t>
      </w:r>
    </w:p>
    <w:p w14:paraId="4F2393EB" w14:textId="77777777" w:rsidR="00555A20" w:rsidRPr="00A85F00" w:rsidRDefault="00555A20" w:rsidP="00555A20">
      <w:pPr>
        <w:numPr>
          <w:ilvl w:val="0"/>
          <w:numId w:val="5"/>
        </w:numPr>
        <w:ind w:left="714" w:hanging="357"/>
        <w:jc w:val="both"/>
      </w:pPr>
      <w:r w:rsidRPr="00A85F00">
        <w:t>Number of educational activities for MRC children implemented in community centres: 22,070;</w:t>
      </w:r>
    </w:p>
    <w:p w14:paraId="22EE8972" w14:textId="77777777" w:rsidR="00555A20" w:rsidRPr="00A85F00" w:rsidRDefault="00555A20" w:rsidP="00555A20">
      <w:pPr>
        <w:numPr>
          <w:ilvl w:val="0"/>
          <w:numId w:val="5"/>
        </w:numPr>
        <w:ind w:left="714" w:hanging="357"/>
        <w:jc w:val="both"/>
      </w:pPr>
      <w:r w:rsidRPr="00A85F00">
        <w:t>Number of leisure-time activities for MRC children implemented in community centres: 19,408;</w:t>
      </w:r>
    </w:p>
    <w:p w14:paraId="341BA38C" w14:textId="77777777" w:rsidR="00555A20" w:rsidRPr="00A85F00" w:rsidRDefault="00555A20" w:rsidP="00555A20">
      <w:pPr>
        <w:numPr>
          <w:ilvl w:val="0"/>
          <w:numId w:val="5"/>
        </w:numPr>
        <w:ind w:left="714" w:hanging="357"/>
        <w:jc w:val="both"/>
      </w:pPr>
      <w:r w:rsidRPr="00A85F00">
        <w:t xml:space="preserve">Number of multicultural education activities for MRC children implemented in </w:t>
      </w:r>
      <w:r w:rsidRPr="00A85F00">
        <w:lastRenderedPageBreak/>
        <w:t>community centres: 722;</w:t>
      </w:r>
    </w:p>
    <w:p w14:paraId="235DF020" w14:textId="77777777" w:rsidR="00555A20" w:rsidRPr="00A85F00" w:rsidRDefault="00555A20" w:rsidP="00555A20">
      <w:pPr>
        <w:numPr>
          <w:ilvl w:val="0"/>
          <w:numId w:val="5"/>
        </w:numPr>
        <w:ind w:left="714" w:hanging="357"/>
        <w:jc w:val="both"/>
      </w:pPr>
      <w:r w:rsidRPr="00A85F00">
        <w:t>Number of MRC children attending the community centres involved in the project: 5,590.</w:t>
      </w:r>
    </w:p>
    <w:p w14:paraId="5E32D17D" w14:textId="4FB186B8" w:rsidR="007F3CA4" w:rsidRPr="00A85F00" w:rsidRDefault="007F3CA4" w:rsidP="00C12CA2">
      <w:pPr>
        <w:spacing w:before="120"/>
        <w:jc w:val="both"/>
      </w:pPr>
      <w:r w:rsidRPr="00A85F00">
        <w:t>Information on the PA 5 Integration of marginalised Roma communities and PA 6 Technical equipment in settlements with MRC:</w:t>
      </w:r>
    </w:p>
    <w:p w14:paraId="4712DBD7" w14:textId="77777777" w:rsidR="007F3CA4" w:rsidRPr="00A85F00" w:rsidRDefault="007F3CA4" w:rsidP="00CF587F">
      <w:pPr>
        <w:pStyle w:val="ListParagraph"/>
        <w:numPr>
          <w:ilvl w:val="0"/>
          <w:numId w:val="15"/>
        </w:numPr>
        <w:spacing w:before="120" w:after="120"/>
        <w:jc w:val="both"/>
        <w:rPr>
          <w:color w:val="auto"/>
        </w:rPr>
      </w:pPr>
      <w:r w:rsidRPr="00A85F00">
        <w:rPr>
          <w:color w:val="auto"/>
        </w:rPr>
        <w:t xml:space="preserve">The total number of selected projects in the PA 5 as of 31 December 2021 reached 446, of which 215 projects were duly completed and 231 projects were under implementation. </w:t>
      </w:r>
    </w:p>
    <w:p w14:paraId="39889542" w14:textId="77777777" w:rsidR="007F3CA4" w:rsidRPr="00A85F00" w:rsidRDefault="007F3CA4" w:rsidP="00CF587F">
      <w:pPr>
        <w:pStyle w:val="ListParagraph"/>
        <w:numPr>
          <w:ilvl w:val="0"/>
          <w:numId w:val="15"/>
        </w:numPr>
        <w:spacing w:before="120" w:after="120"/>
        <w:jc w:val="both"/>
        <w:rPr>
          <w:color w:val="auto"/>
        </w:rPr>
      </w:pPr>
      <w:r w:rsidRPr="00A85F00">
        <w:rPr>
          <w:color w:val="auto"/>
        </w:rPr>
        <w:t xml:space="preserve">A total of more than EUR 195 million was allocated to national projects under the competence of the OPGRC and two projects under the competence of the MoH (Healthy Communities). </w:t>
      </w:r>
    </w:p>
    <w:p w14:paraId="47D2C9C3" w14:textId="65FCF208" w:rsidR="007F3CA4" w:rsidRPr="00A85F00" w:rsidRDefault="007F3CA4" w:rsidP="00CF587F">
      <w:pPr>
        <w:pStyle w:val="ListParagraph"/>
        <w:numPr>
          <w:ilvl w:val="0"/>
          <w:numId w:val="15"/>
        </w:numPr>
        <w:spacing w:before="120" w:after="120"/>
        <w:jc w:val="both"/>
        <w:rPr>
          <w:color w:val="auto"/>
        </w:rPr>
      </w:pPr>
      <w:r w:rsidRPr="00A85F00">
        <w:rPr>
          <w:color w:val="auto"/>
        </w:rPr>
        <w:t xml:space="preserve">A total of more than EUR 62 million was allocated for demand-driven projects in the area of support to local citizen patrols (MOPS), Catching up </w:t>
      </w:r>
      <w:r w:rsidRPr="00A85F00">
        <w:t xml:space="preserve">Regions </w:t>
      </w:r>
    </w:p>
    <w:p w14:paraId="7C930DEF" w14:textId="77777777" w:rsidR="007F3CA4" w:rsidRPr="00A85F00" w:rsidRDefault="007F3CA4" w:rsidP="00CF587F">
      <w:pPr>
        <w:pStyle w:val="ListParagraph"/>
        <w:numPr>
          <w:ilvl w:val="0"/>
          <w:numId w:val="15"/>
        </w:numPr>
        <w:spacing w:before="120" w:after="120"/>
        <w:jc w:val="both"/>
        <w:rPr>
          <w:color w:val="auto"/>
        </w:rPr>
      </w:pPr>
      <w:r w:rsidRPr="00A85F00">
        <w:rPr>
          <w:color w:val="auto"/>
        </w:rPr>
        <w:t xml:space="preserve">A total of 146 projects were supported in the MOPS I call, 27 projects in the mentoring and tutoring call, 211 projects in MPS II, and a total of 8 projects in Catching up Regions. Support to the unemployed in the above-stated projects was the subject of periodic monitoring reports. </w:t>
      </w:r>
    </w:p>
    <w:p w14:paraId="308A90B2" w14:textId="65838CBB" w:rsidR="007F3CA4" w:rsidRPr="00A85F00" w:rsidRDefault="007F3CA4" w:rsidP="00CF587F">
      <w:pPr>
        <w:pStyle w:val="ListParagraph"/>
        <w:numPr>
          <w:ilvl w:val="0"/>
          <w:numId w:val="15"/>
        </w:numPr>
        <w:spacing w:before="120" w:after="120"/>
        <w:jc w:val="both"/>
        <w:rPr>
          <w:color w:val="auto"/>
        </w:rPr>
      </w:pPr>
      <w:r w:rsidRPr="00A85F00">
        <w:rPr>
          <w:color w:val="auto"/>
        </w:rPr>
        <w:t>In the national projects directly implemented by the OPGRC, the implementation rate was 128</w:t>
      </w:r>
      <w:r w:rsidRPr="00A85F00">
        <w:t xml:space="preserve">% with 1,466 persons employed; the number of persons from MRC employed in the educational process and the number of persons from the MRC employed in the provision of social services reached 162.7%. </w:t>
      </w:r>
    </w:p>
    <w:p w14:paraId="4EDDD4B4" w14:textId="77777777" w:rsidR="007F3CA4" w:rsidRPr="00A85F00" w:rsidRDefault="007F3CA4" w:rsidP="00CF587F">
      <w:pPr>
        <w:pStyle w:val="ListParagraph"/>
        <w:numPr>
          <w:ilvl w:val="0"/>
          <w:numId w:val="15"/>
        </w:numPr>
        <w:spacing w:before="120" w:after="120"/>
        <w:jc w:val="both"/>
        <w:rPr>
          <w:color w:val="auto"/>
        </w:rPr>
      </w:pPr>
      <w:r w:rsidRPr="00A85F00">
        <w:rPr>
          <w:color w:val="auto"/>
        </w:rPr>
        <w:t>In the national projects under the competence of the OPGRC, 88 community centres were supported, land settlements took place in 19 municipalities, 1,011 persons from MRC with primary (ISCED1) or lower secondary education (ISCED2) were supported. In the framework of national projects, the number of participants who were engaged in job search, education/training, qualification acquisition, were employed or self-employed at the time of departure thanks to the provided intervention cumulatively amounted to 3,872 persons – project participants – whose situation was improved with regard to their employment status, education or disadvantage.</w:t>
      </w:r>
    </w:p>
    <w:p w14:paraId="1416D7D3" w14:textId="51942558" w:rsidR="000E6155" w:rsidRDefault="000E6155" w:rsidP="00C16668">
      <w:pPr>
        <w:spacing w:before="120"/>
        <w:jc w:val="both"/>
        <w:rPr>
          <w:b/>
        </w:rPr>
      </w:pPr>
      <w:r>
        <w:rPr>
          <w:b/>
        </w:rPr>
        <w:t xml:space="preserve">Regarding paragraph 9 </w:t>
      </w:r>
      <w:r w:rsidRPr="00A85F00">
        <w:rPr>
          <w:b/>
        </w:rPr>
        <w:t>of the list of issues</w:t>
      </w:r>
    </w:p>
    <w:p w14:paraId="63D1CA0E" w14:textId="77777777" w:rsidR="000E6155" w:rsidRPr="00503DEA" w:rsidRDefault="000E6155" w:rsidP="000E6155">
      <w:pPr>
        <w:spacing w:before="120" w:after="120"/>
        <w:jc w:val="both"/>
        <w:rPr>
          <w:color w:val="auto"/>
        </w:rPr>
      </w:pPr>
      <w:r w:rsidRPr="00503DEA">
        <w:rPr>
          <w:color w:val="auto"/>
        </w:rPr>
        <w:t>The MoE</w:t>
      </w:r>
      <w:r>
        <w:rPr>
          <w:color w:val="auto"/>
        </w:rPr>
        <w:t xml:space="preserve"> </w:t>
      </w:r>
      <w:r w:rsidRPr="00503DEA">
        <w:rPr>
          <w:color w:val="auto"/>
        </w:rPr>
        <w:t>SR</w:t>
      </w:r>
      <w:r>
        <w:rPr>
          <w:color w:val="auto"/>
        </w:rPr>
        <w:t xml:space="preserve">, </w:t>
      </w:r>
      <w:r w:rsidRPr="008C680A">
        <w:rPr>
          <w:color w:val="auto"/>
        </w:rPr>
        <w:t>in cooperation with the Council of Europe</w:t>
      </w:r>
      <w:r>
        <w:rPr>
          <w:color w:val="auto"/>
        </w:rPr>
        <w:t>,</w:t>
      </w:r>
      <w:r w:rsidRPr="00503DEA">
        <w:rPr>
          <w:color w:val="auto"/>
        </w:rPr>
        <w:t xml:space="preserve"> is implementing the pilot project </w:t>
      </w:r>
      <w:r w:rsidRPr="008C680A">
        <w:rPr>
          <w:i/>
          <w:color w:val="auto"/>
        </w:rPr>
        <w:t>ROMANI/PLURILINGUAL POLICY EXPERIMENTATION – Inclusion of Roma children in education – plurilingual approach</w:t>
      </w:r>
      <w:r w:rsidRPr="00503DEA">
        <w:rPr>
          <w:color w:val="auto"/>
        </w:rPr>
        <w:t>”</w:t>
      </w:r>
      <w:r>
        <w:rPr>
          <w:color w:val="auto"/>
        </w:rPr>
        <w:t xml:space="preserve"> (</w:t>
      </w:r>
      <w:r w:rsidRPr="00503DEA">
        <w:rPr>
          <w:color w:val="auto"/>
        </w:rPr>
        <w:t>2022 – 2025</w:t>
      </w:r>
      <w:r>
        <w:rPr>
          <w:color w:val="auto"/>
        </w:rPr>
        <w:t>)</w:t>
      </w:r>
      <w:r w:rsidRPr="00503DEA">
        <w:rPr>
          <w:color w:val="auto"/>
        </w:rPr>
        <w:t xml:space="preserve">. The project involves primary schools from </w:t>
      </w:r>
      <w:r>
        <w:rPr>
          <w:color w:val="auto"/>
        </w:rPr>
        <w:t>three</w:t>
      </w:r>
      <w:r w:rsidRPr="00503DEA">
        <w:rPr>
          <w:color w:val="auto"/>
        </w:rPr>
        <w:t xml:space="preserve"> EU countries: Slovakia, Slovenia and Greece. In Slovakia, three primary schools are involved in the pilot validation, performing their activities in several classrooms. The aim of the pilot project is to create opportunities to develop Roma and non-Roma pupils' awareness of the Roma language, culture and history; to educate pupils through the understanding of multilingual education and its contribution to inclusion and social cohesion; to professionally develop the teachers involved through meetings and CE training; to test new ways of incorporating the Roma language into the everyday discourse in school, in and out of the classroom; and to build a network of schools in the participating countries in order to lay the foundations for further development. More generally, the pilot validation will contribute to understanding the ways in which the CE concept of multilingual and intercultural education could be translated into classroom practice to ensure inclusive education for pupils from linguistic minorities.</w:t>
      </w:r>
    </w:p>
    <w:p w14:paraId="69C1D3D7" w14:textId="77777777" w:rsidR="00E84B24" w:rsidRPr="001E05D0" w:rsidRDefault="00E84B24" w:rsidP="00E84B24">
      <w:pPr>
        <w:spacing w:before="120" w:after="120"/>
        <w:jc w:val="both"/>
        <w:rPr>
          <w:color w:val="auto"/>
        </w:rPr>
      </w:pPr>
      <w:r w:rsidRPr="001E05D0">
        <w:rPr>
          <w:color w:val="auto"/>
        </w:rPr>
        <w:t>The MoE</w:t>
      </w:r>
      <w:r>
        <w:rPr>
          <w:color w:val="auto"/>
        </w:rPr>
        <w:t xml:space="preserve"> </w:t>
      </w:r>
      <w:r w:rsidRPr="001E05D0">
        <w:rPr>
          <w:color w:val="auto"/>
        </w:rPr>
        <w:t xml:space="preserve">SR has prepared a plan of the </w:t>
      </w:r>
      <w:r w:rsidRPr="00150514">
        <w:rPr>
          <w:i/>
          <w:color w:val="auto"/>
        </w:rPr>
        <w:t>National Project “Opportunity for All”</w:t>
      </w:r>
      <w:r w:rsidRPr="001E05D0">
        <w:rPr>
          <w:color w:val="auto"/>
        </w:rPr>
        <w:t xml:space="preserve"> with the aim to perform pilot verification of the measures being implemented to reduce and eliminate segregation in education. The project meets the objectives set out in the Recovery and </w:t>
      </w:r>
      <w:r w:rsidRPr="001E05D0">
        <w:rPr>
          <w:color w:val="auto"/>
        </w:rPr>
        <w:lastRenderedPageBreak/>
        <w:t>Resilience Plan (Component 6, Reform 5) in the area of establishing a subsidy scheme to support desegregation projects, as well as the specific objective of the Programme Slovakia. The National Project plan was approved on 24 April 2024 by the European Commission for Objective 4 of the Programme Slovakia. The implementation of the project will start from June 2024 and it will take 36 months.</w:t>
      </w:r>
    </w:p>
    <w:p w14:paraId="4BE8C4EF" w14:textId="77777777" w:rsidR="00E84B24" w:rsidRPr="001E05D0" w:rsidRDefault="00E84B24" w:rsidP="00E84B24">
      <w:pPr>
        <w:spacing w:before="120" w:after="120"/>
        <w:jc w:val="both"/>
        <w:rPr>
          <w:color w:val="auto"/>
        </w:rPr>
      </w:pPr>
      <w:r w:rsidRPr="001E05D0">
        <w:rPr>
          <w:color w:val="auto"/>
        </w:rPr>
        <w:t>The NIEY has been supporting the education of the Roma minority (from pre-primary to upper secondary education) for a long time and systematically</w:t>
      </w:r>
      <w:r>
        <w:rPr>
          <w:color w:val="auto"/>
        </w:rPr>
        <w:t xml:space="preserve">. The institution </w:t>
      </w:r>
      <w:r w:rsidRPr="001E05D0">
        <w:t>participates in the creation of high-quality prerequisites for exercising the rights of children to be educated in their mother</w:t>
      </w:r>
      <w:r>
        <w:t xml:space="preserve"> (Romani)</w:t>
      </w:r>
      <w:r w:rsidRPr="001E05D0">
        <w:t xml:space="preserve"> tongue. </w:t>
      </w:r>
    </w:p>
    <w:p w14:paraId="3BD7D8E5" w14:textId="77777777" w:rsidR="00E84B24" w:rsidRPr="001E05D0" w:rsidRDefault="00E84B24" w:rsidP="00E84B24">
      <w:pPr>
        <w:spacing w:before="120" w:after="120"/>
        <w:jc w:val="both"/>
        <w:rPr>
          <w:color w:val="auto"/>
        </w:rPr>
      </w:pPr>
      <w:r w:rsidRPr="001E05D0">
        <w:rPr>
          <w:color w:val="auto"/>
        </w:rPr>
        <w:t xml:space="preserve">The NIEY is the beneficiary of the project </w:t>
      </w:r>
      <w:r w:rsidRPr="00F22BA9">
        <w:rPr>
          <w:i/>
          <w:color w:val="auto"/>
        </w:rPr>
        <w:t>“Innovative Teacher Training to Increase Intercultural Competences in the Education of Roma Pupils”,</w:t>
      </w:r>
      <w:r w:rsidRPr="001E05D0">
        <w:rPr>
          <w:color w:val="auto"/>
        </w:rPr>
        <w:t xml:space="preserve"> better known as </w:t>
      </w:r>
      <w:r w:rsidRPr="00F22BA9">
        <w:rPr>
          <w:i/>
          <w:color w:val="auto"/>
        </w:rPr>
        <w:t xml:space="preserve">“We </w:t>
      </w:r>
      <w:r w:rsidRPr="00F22BA9">
        <w:rPr>
          <w:i/>
        </w:rPr>
        <w:t>Can Achieve More with Roma“</w:t>
      </w:r>
      <w:r w:rsidRPr="001E05D0">
        <w:t xml:space="preserve">. The project partner </w:t>
      </w:r>
      <w:r>
        <w:t>was</w:t>
      </w:r>
      <w:r w:rsidRPr="001E05D0">
        <w:t xml:space="preserve"> the Norwegian educational organisation European Wergeland Centre. The project </w:t>
      </w:r>
      <w:r>
        <w:t>was</w:t>
      </w:r>
      <w:r w:rsidRPr="001E05D0">
        <w:t xml:space="preserve"> funded from Norwegian grants and from the Slovak state budget. The main goal of the project </w:t>
      </w:r>
      <w:r>
        <w:t>was</w:t>
      </w:r>
      <w:r w:rsidRPr="001E05D0">
        <w:t xml:space="preserve"> to systematically support the introduction of the teaching of the Roman language and literature at all levels of education within the school educational programme of schools with pupils from Roma communities; support of intercultural education and a democratic and inclusive school environment. The project was implemented from May 2020 to April 2024. The project implementation included the following activities: management of the methodology and training portal</w:t>
      </w:r>
      <w:r w:rsidRPr="001E05D0">
        <w:rPr>
          <w:rStyle w:val="FootnoteReference"/>
          <w:color w:val="auto"/>
        </w:rPr>
        <w:footnoteReference w:id="4"/>
      </w:r>
      <w:r w:rsidRPr="001E05D0">
        <w:t>; education trainings and events; implementation of action plans and information press conferences. The output of the project was the publication of several textbooks, methodologies and a dictionary for subjects in primary schools in the field of the Roma language, literature and history.</w:t>
      </w:r>
      <w:r w:rsidRPr="001E05D0">
        <w:rPr>
          <w:rStyle w:val="FootnoteReference"/>
          <w:color w:val="auto"/>
        </w:rPr>
        <w:footnoteReference w:id="5"/>
      </w:r>
      <w:r w:rsidRPr="001E05D0">
        <w:t xml:space="preserve"> </w:t>
      </w:r>
    </w:p>
    <w:p w14:paraId="795E08C4" w14:textId="77777777" w:rsidR="00E84B24" w:rsidRPr="001E05D0" w:rsidRDefault="00E84B24" w:rsidP="00E84B24">
      <w:pPr>
        <w:spacing w:before="120" w:after="120"/>
        <w:jc w:val="both"/>
        <w:rPr>
          <w:color w:val="auto"/>
        </w:rPr>
      </w:pPr>
      <w:r w:rsidRPr="001E05D0">
        <w:rPr>
          <w:color w:val="auto"/>
        </w:rPr>
        <w:t>In order to promote the inclusion of young children from socially disadvantaged and marginalised communities, in 2023 the MoE</w:t>
      </w:r>
      <w:r>
        <w:rPr>
          <w:color w:val="auto"/>
        </w:rPr>
        <w:t xml:space="preserve"> </w:t>
      </w:r>
      <w:r w:rsidRPr="001E05D0">
        <w:rPr>
          <w:color w:val="auto"/>
        </w:rPr>
        <w:t>SR announced the "Grant scheme for supporting the provision of early care and early intervention to children aged 0 – 6, especially from MRC and facing generational poverty".</w:t>
      </w:r>
      <w:r w:rsidRPr="001E05D0">
        <w:rPr>
          <w:i/>
          <w:color w:val="auto"/>
        </w:rPr>
        <w:t xml:space="preserve"> </w:t>
      </w:r>
      <w:r w:rsidRPr="001E05D0">
        <w:rPr>
          <w:color w:val="auto"/>
        </w:rPr>
        <w:t>The scheme was announced based on the implementation of the Recovery and Resilience Plan (Component 6: Availability, development and quality of inclusive education at all levels). The main objectives of the component are to reduce the proportion of pupils who do not have even the basic skills level, to reduce the socio-economic impact on pupils' educational outcomes and to promote the equality of educational opportunities.</w:t>
      </w:r>
    </w:p>
    <w:p w14:paraId="28AD13F9" w14:textId="3060344F" w:rsidR="008E5E41" w:rsidRPr="00A85F00" w:rsidRDefault="008E5E41" w:rsidP="00C16668">
      <w:pPr>
        <w:spacing w:before="120"/>
        <w:jc w:val="both"/>
        <w:rPr>
          <w:b/>
          <w:bCs/>
        </w:rPr>
      </w:pPr>
      <w:r w:rsidRPr="00A85F00">
        <w:rPr>
          <w:b/>
        </w:rPr>
        <w:t xml:space="preserve">Regarding </w:t>
      </w:r>
      <w:r w:rsidR="00BA4837">
        <w:rPr>
          <w:b/>
        </w:rPr>
        <w:t>paragraph</w:t>
      </w:r>
      <w:r w:rsidR="00BA4837" w:rsidRPr="00A85F00">
        <w:rPr>
          <w:b/>
        </w:rPr>
        <w:t xml:space="preserve"> </w:t>
      </w:r>
      <w:r w:rsidRPr="00A85F00">
        <w:rPr>
          <w:b/>
        </w:rPr>
        <w:t xml:space="preserve">11 of the list of issues </w:t>
      </w:r>
    </w:p>
    <w:p w14:paraId="12E3F0B5" w14:textId="77777777" w:rsidR="008E5E41" w:rsidRPr="00A85F00" w:rsidRDefault="008E5E41" w:rsidP="008E5E41">
      <w:pPr>
        <w:spacing w:before="120" w:after="120"/>
        <w:jc w:val="both"/>
        <w:rPr>
          <w:bCs/>
          <w:iCs/>
        </w:rPr>
      </w:pPr>
      <w:r w:rsidRPr="00A85F00">
        <w:t>The GP SR exercised its competence in the legislative procedure which resulted in the following legislation:</w:t>
      </w:r>
    </w:p>
    <w:p w14:paraId="4D95FA8A" w14:textId="77777777" w:rsidR="008E5E41" w:rsidRPr="00943AD0" w:rsidRDefault="008E5E41" w:rsidP="008E5E41">
      <w:pPr>
        <w:numPr>
          <w:ilvl w:val="0"/>
          <w:numId w:val="2"/>
        </w:numPr>
        <w:spacing w:before="120" w:after="120"/>
        <w:jc w:val="both"/>
        <w:rPr>
          <w:b/>
          <w:i/>
          <w:shd w:val="clear" w:color="auto" w:fill="FFFFFF"/>
        </w:rPr>
      </w:pPr>
      <w:r w:rsidRPr="00943AD0">
        <w:rPr>
          <w:b/>
          <w:i/>
        </w:rPr>
        <w:t>Act No. 316/2016 Coll.</w:t>
      </w:r>
    </w:p>
    <w:p w14:paraId="0DB94F1C" w14:textId="3BE76C5D" w:rsidR="008E5E41" w:rsidRPr="00A85F00" w:rsidRDefault="008E5E41" w:rsidP="008E5E41">
      <w:pPr>
        <w:spacing w:before="120" w:after="120"/>
        <w:jc w:val="both"/>
        <w:rPr>
          <w:shd w:val="clear" w:color="auto" w:fill="FFFFFF"/>
        </w:rPr>
      </w:pPr>
      <w:r w:rsidRPr="00A85F00">
        <w:t>Article II of the Act No. 316/2016</w:t>
      </w:r>
      <w:r w:rsidR="007E1B2B">
        <w:t xml:space="preserve"> Coll.</w:t>
      </w:r>
      <w:r w:rsidRPr="00A85F00">
        <w:t xml:space="preserve"> contained a legislative amendment to the Criminal Act based on which a measure was adopted for the purpose of sanctioning domestic violence offences.</w:t>
      </w:r>
    </w:p>
    <w:p w14:paraId="191CA9E2" w14:textId="77777777" w:rsidR="008E5E41" w:rsidRPr="00CB7F5C" w:rsidRDefault="008E5E41" w:rsidP="008E5E41">
      <w:pPr>
        <w:numPr>
          <w:ilvl w:val="1"/>
          <w:numId w:val="3"/>
        </w:numPr>
        <w:spacing w:before="120" w:after="120"/>
        <w:jc w:val="both"/>
        <w:rPr>
          <w:b/>
          <w:i/>
          <w:iCs/>
          <w:shd w:val="clear" w:color="auto" w:fill="FFFFFF"/>
        </w:rPr>
      </w:pPr>
      <w:r w:rsidRPr="00CB7F5C">
        <w:rPr>
          <w:b/>
          <w:i/>
        </w:rPr>
        <w:t>Act No. 274/2017 Coll.</w:t>
      </w:r>
    </w:p>
    <w:p w14:paraId="7BAE0C3A" w14:textId="77777777" w:rsidR="008E5E41" w:rsidRPr="00A85F00" w:rsidRDefault="008E5E41" w:rsidP="008E5E41">
      <w:pPr>
        <w:spacing w:before="120" w:after="120"/>
        <w:jc w:val="both"/>
        <w:rPr>
          <w:shd w:val="clear" w:color="auto" w:fill="FFFFFF"/>
        </w:rPr>
      </w:pPr>
      <w:r w:rsidRPr="00A85F00">
        <w:t>This Act regulates the rights, protection and support of the victims of crime, relations between the state and entities providing assistance to victims and financial compensation for victims of violent crimes (Section 1 of the Act No. 274/2017).</w:t>
      </w:r>
    </w:p>
    <w:p w14:paraId="5F181810" w14:textId="77777777" w:rsidR="008E5E41" w:rsidRPr="00A85F00" w:rsidRDefault="008E5E41" w:rsidP="008E5E41">
      <w:pPr>
        <w:spacing w:before="120" w:after="120"/>
        <w:jc w:val="both"/>
        <w:rPr>
          <w:shd w:val="clear" w:color="auto" w:fill="FFFFFF"/>
        </w:rPr>
      </w:pPr>
      <w:r w:rsidRPr="00A85F00">
        <w:t xml:space="preserve">Women and minors as victims of the crime of trafficking in human beings, the crime of abuse </w:t>
      </w:r>
      <w:r w:rsidRPr="00A85F00">
        <w:lastRenderedPageBreak/>
        <w:t>of a close person and a person entrusted to their care, the crime committed by an organised group, any of the crimes against human dignity, any of the crimes of terrorism or the crime of domestic violence are considered particularly vulnerable victims for the purposes of the Act No. 274/2017 (Section 2(1)(c) of the Act No. 274/2017).</w:t>
      </w:r>
    </w:p>
    <w:p w14:paraId="3A5FF58E" w14:textId="77777777" w:rsidR="008E5E41" w:rsidRPr="00A85F00" w:rsidRDefault="008E5E41" w:rsidP="008E5E41">
      <w:pPr>
        <w:spacing w:before="120" w:after="120"/>
        <w:jc w:val="both"/>
        <w:rPr>
          <w:shd w:val="clear" w:color="auto" w:fill="FFFFFF"/>
        </w:rPr>
      </w:pPr>
      <w:r w:rsidRPr="00A85F00">
        <w:t>Section 2(1)(e) of the Act No. 274/2017 contains a definition of the “crime of domestic violence”. For the purposes of the Act No. 274/2017, a “crime of domestic violence” is understood as a crime committed by violence or the threat of violence against a direct relative, adoptive parent, adoptive child, sibling, spouse, former spouse, partner, former partner, parent of a shared child or other person with whom the perpetrator lives or lived with in a common household.</w:t>
      </w:r>
    </w:p>
    <w:p w14:paraId="0E5C16F7" w14:textId="77777777" w:rsidR="008E5E41" w:rsidRPr="00A85F00" w:rsidRDefault="008E5E41" w:rsidP="008E5E41">
      <w:pPr>
        <w:spacing w:before="120" w:after="120"/>
        <w:jc w:val="both"/>
        <w:rPr>
          <w:iCs/>
        </w:rPr>
      </w:pPr>
      <w:r w:rsidRPr="00A85F00">
        <w:t>The legal regulation of the status, principles of protection and support of the victims of crime is based on the principle of refutable legal presumption. Pursuant to the Section 3(1) of the Act No. 274/2017, any person claiming to be a victim is deemed to be a victim until the contrary is proven or unless there is an obvious abuse of the victim's status under the Act, irrespective of whether the perpetrator of the crime has been identified, prosecuted or convicted.</w:t>
      </w:r>
    </w:p>
    <w:p w14:paraId="7DE9B50E" w14:textId="77777777" w:rsidR="008E5E41" w:rsidRPr="00A85F00" w:rsidRDefault="008E5E41" w:rsidP="008E5E41">
      <w:pPr>
        <w:shd w:val="clear" w:color="auto" w:fill="FFFFFF"/>
        <w:spacing w:before="120" w:after="120"/>
        <w:jc w:val="both"/>
      </w:pPr>
      <w:r w:rsidRPr="00A85F00">
        <w:t xml:space="preserve">The formulation and implementation of state policy and coordination of the performance of tasks in the field of protection of the victims of crime is methodically ensured by the MoJ SR (Section 33(1) of the Act No. 274/2017). </w:t>
      </w:r>
    </w:p>
    <w:p w14:paraId="09D3C430" w14:textId="77777777" w:rsidR="008E5E41" w:rsidRPr="00A85F00" w:rsidRDefault="008E5E41" w:rsidP="008E5E41">
      <w:pPr>
        <w:shd w:val="clear" w:color="auto" w:fill="FFFFFF"/>
        <w:spacing w:before="120" w:after="120"/>
        <w:jc w:val="both"/>
      </w:pPr>
      <w:r w:rsidRPr="00A85F00">
        <w:t xml:space="preserve">Coordination and development of systemic measures in the field of prevention of domestic violence and violence against children is methodically ensured by the MoLSAF SR (Section 33(2) of the Act No. 274/2017). </w:t>
      </w:r>
    </w:p>
    <w:p w14:paraId="1C1A20B5" w14:textId="77777777" w:rsidR="008E5E41" w:rsidRPr="00A85F00" w:rsidRDefault="008E5E41" w:rsidP="008E5E41">
      <w:pPr>
        <w:spacing w:before="120" w:after="120"/>
        <w:jc w:val="both"/>
      </w:pPr>
      <w:r w:rsidRPr="00A85F00">
        <w:t xml:space="preserve">The first amendment clause in the Article II of the Act No. 274/2017 contained a legislative amendment to the Criminal Act in the part of the provision regulating the limitation period in relation to minors against whom one of the crimes exhaustively listed in the Section 87(5) has been committed. Following a legislative amendment to the Criminal Act, two new crimes were added to the above-mentioned crimes, namely the crime of rape under the Section 199 and the crime of sexual violence under the Section 200 of the Criminal Act. </w:t>
      </w:r>
    </w:p>
    <w:p w14:paraId="31658D3B" w14:textId="77777777" w:rsidR="008E5E41" w:rsidRPr="00A85F00" w:rsidRDefault="008E5E41" w:rsidP="008E5E41">
      <w:pPr>
        <w:spacing w:before="120" w:after="120"/>
        <w:jc w:val="both"/>
      </w:pPr>
      <w:r w:rsidRPr="00A85F00">
        <w:t>The limitation period in relation to minors against whom one of the offences listed exhaustively in the Section 87(5) of the Criminal Act has been committed is regulated in a special manner. In this case the limitation period begins not at the time when the unlawful act is completed or the effect on the object of the crime is produced (e.g. from the time when a minor suffers a serious bodily injury), but from the date on which the minor reaches the age of eighteen. Such limitation period is not subject to the statutory conditions for its suspension or interruption.</w:t>
      </w:r>
    </w:p>
    <w:p w14:paraId="1FE7E33B" w14:textId="77777777" w:rsidR="008E5E41" w:rsidRPr="00A85F00" w:rsidRDefault="008E5E41" w:rsidP="008E5E41">
      <w:pPr>
        <w:spacing w:before="120" w:after="120"/>
        <w:jc w:val="both"/>
        <w:rPr>
          <w:shd w:val="clear" w:color="auto" w:fill="FFFFFF"/>
        </w:rPr>
      </w:pPr>
      <w:r w:rsidRPr="00A85F00">
        <w:t xml:space="preserve">Article III of the Act No. 274/2017 contained a legislative amendment to the Code of Criminal Procedure which strengthened the procedural position of the victim in criminal proceedings in the following extent: </w:t>
      </w:r>
    </w:p>
    <w:p w14:paraId="1E051D43" w14:textId="77777777" w:rsidR="008E5E41" w:rsidRPr="00A85F00" w:rsidRDefault="008E5E41" w:rsidP="008E5E41">
      <w:pPr>
        <w:pStyle w:val="ListParagraph"/>
        <w:spacing w:before="120" w:after="120"/>
        <w:ind w:left="0"/>
        <w:jc w:val="both"/>
        <w:rPr>
          <w:shd w:val="clear" w:color="auto" w:fill="FFFFFF"/>
        </w:rPr>
      </w:pPr>
      <w:r w:rsidRPr="00A85F00">
        <w:t>– obtaining information on the course of criminal proceedings, the stay of the accused in custody, the stay of the convicted person in custody, the course of protective treatment or detention;</w:t>
      </w:r>
    </w:p>
    <w:p w14:paraId="45404A1D" w14:textId="77777777" w:rsidR="008E5E41" w:rsidRPr="00A85F00" w:rsidRDefault="008E5E41" w:rsidP="008E5E41">
      <w:pPr>
        <w:pStyle w:val="ListParagraph"/>
        <w:spacing w:before="120" w:after="120"/>
        <w:ind w:left="0"/>
        <w:jc w:val="both"/>
      </w:pPr>
      <w:r w:rsidRPr="00A85F00">
        <w:t xml:space="preserve">– the performance of procedural acts, e.g. the exclusion of confrontation between the accused and a witness (and the victim) under the age of 18, or the exclusion of confrontation between the accused and a witness (and the victim) against whom a crime against human dignity, a crime of cruelty to a person close to or entrusted to the accused, or a crime of trafficking in human beings has been committed, the limited possibility of re-interrogating a witness who is under 18 and who is a victim of a crime against a person close to or entrusted to the accused, </w:t>
      </w:r>
      <w:r w:rsidRPr="00A85F00">
        <w:lastRenderedPageBreak/>
        <w:t>or of interrogating a witness who is a particularly vulnerable victim pursuant to the Act No. 274/2017 in a considerate manner and in terms of content in such a manner that the interrogation does not have to be repeated in further proceedings and with the use of technical equipment designed to record sound and images.</w:t>
      </w:r>
    </w:p>
    <w:p w14:paraId="4E680BE8" w14:textId="6058D714" w:rsidR="008E5E41" w:rsidRPr="00DC3A32" w:rsidRDefault="008E5E41" w:rsidP="00DC3A32">
      <w:pPr>
        <w:numPr>
          <w:ilvl w:val="0"/>
          <w:numId w:val="2"/>
        </w:numPr>
        <w:spacing w:before="120" w:after="120"/>
        <w:jc w:val="both"/>
        <w:rPr>
          <w:b/>
          <w:i/>
        </w:rPr>
      </w:pPr>
      <w:r w:rsidRPr="00DC3A32">
        <w:rPr>
          <w:b/>
          <w:i/>
        </w:rPr>
        <w:t xml:space="preserve">Act No. 321/2018 Coll. </w:t>
      </w:r>
    </w:p>
    <w:p w14:paraId="089DA72A" w14:textId="10E4C43F" w:rsidR="008E5E41" w:rsidRPr="00A85F00" w:rsidRDefault="008E5E41" w:rsidP="008E5E41">
      <w:pPr>
        <w:spacing w:before="120" w:after="120"/>
        <w:jc w:val="both"/>
        <w:rPr>
          <w:shd w:val="clear" w:color="auto" w:fill="FFFFFF"/>
        </w:rPr>
      </w:pPr>
      <w:r w:rsidRPr="00A85F00">
        <w:t>Article III of the Act No. 321/2018</w:t>
      </w:r>
      <w:r w:rsidR="00CF744A">
        <w:t xml:space="preserve"> Coll.</w:t>
      </w:r>
      <w:r w:rsidRPr="00A85F00">
        <w:t xml:space="preserve"> contained a legislative amendment to the Code of Criminal Procedure which strengthened the procedural position of the victim who is a particularly vulnerable victim or a person under 18 years of age in criminal proceedings.</w:t>
      </w:r>
    </w:p>
    <w:p w14:paraId="2322AE9B" w14:textId="77777777" w:rsidR="008E5E41" w:rsidRPr="00A85F00" w:rsidRDefault="008E5E41" w:rsidP="008E5E41">
      <w:pPr>
        <w:tabs>
          <w:tab w:val="left" w:pos="0"/>
        </w:tabs>
        <w:spacing w:before="120" w:after="120"/>
        <w:jc w:val="both"/>
        <w:rPr>
          <w:shd w:val="clear" w:color="auto" w:fill="FFFFFF"/>
        </w:rPr>
      </w:pPr>
      <w:r w:rsidRPr="00A85F00">
        <w:t>The strengthened position of the aforementioned subjects of criminal proceedings concerned in particular the performance of procedural acts, such as:</w:t>
      </w:r>
    </w:p>
    <w:p w14:paraId="04913A91" w14:textId="77777777" w:rsidR="008E5E41" w:rsidRPr="00A85F00" w:rsidRDefault="008E5E41" w:rsidP="008E5E41">
      <w:pPr>
        <w:pStyle w:val="ListParagraph"/>
        <w:widowControl/>
        <w:numPr>
          <w:ilvl w:val="0"/>
          <w:numId w:val="1"/>
        </w:numPr>
        <w:suppressAutoHyphens w:val="0"/>
        <w:autoSpaceDE/>
        <w:spacing w:before="120" w:after="120"/>
        <w:ind w:left="709" w:hanging="283"/>
        <w:jc w:val="both"/>
        <w:rPr>
          <w:shd w:val="clear" w:color="auto" w:fill="FFFFFF"/>
        </w:rPr>
      </w:pPr>
      <w:r w:rsidRPr="00A85F00">
        <w:t>the limited possibility of re-interrogation of a witness who is a particularly vulnerable victim;</w:t>
      </w:r>
    </w:p>
    <w:p w14:paraId="52808060" w14:textId="77777777" w:rsidR="008E5E41" w:rsidRPr="00A85F00" w:rsidRDefault="008E5E41" w:rsidP="008E5E41">
      <w:pPr>
        <w:pStyle w:val="ListParagraph"/>
        <w:widowControl/>
        <w:numPr>
          <w:ilvl w:val="0"/>
          <w:numId w:val="1"/>
        </w:numPr>
        <w:suppressAutoHyphens w:val="0"/>
        <w:autoSpaceDE/>
        <w:spacing w:before="120" w:after="120"/>
        <w:ind w:left="709" w:hanging="283"/>
        <w:jc w:val="both"/>
        <w:rPr>
          <w:shd w:val="clear" w:color="auto" w:fill="FFFFFF"/>
        </w:rPr>
      </w:pPr>
      <w:r w:rsidRPr="00A85F00">
        <w:t>the interrogation of a particularly vulnerable witness by the same interrogator;</w:t>
      </w:r>
    </w:p>
    <w:p w14:paraId="26C9C974" w14:textId="77777777" w:rsidR="008E5E41" w:rsidRPr="00A85F00" w:rsidRDefault="008E5E41" w:rsidP="008E5E41">
      <w:pPr>
        <w:pStyle w:val="ListParagraph"/>
        <w:widowControl/>
        <w:numPr>
          <w:ilvl w:val="0"/>
          <w:numId w:val="1"/>
        </w:numPr>
        <w:suppressAutoHyphens w:val="0"/>
        <w:autoSpaceDE/>
        <w:spacing w:before="120" w:after="120"/>
        <w:ind w:left="709" w:hanging="283"/>
        <w:jc w:val="both"/>
        <w:rPr>
          <w:shd w:val="clear" w:color="auto" w:fill="FFFFFF"/>
        </w:rPr>
      </w:pPr>
      <w:r w:rsidRPr="00A85F00">
        <w:t>the interrogation of a witness who is a particularly vulnerable victim with the use of technical equipment designed to record sound and images, or technical equipment designed to transmit and record sound and images;</w:t>
      </w:r>
    </w:p>
    <w:p w14:paraId="2642342B" w14:textId="77777777" w:rsidR="008E5E41" w:rsidRPr="00A85F00" w:rsidRDefault="008E5E41" w:rsidP="008E5E41">
      <w:pPr>
        <w:pStyle w:val="ListParagraph"/>
        <w:widowControl/>
        <w:numPr>
          <w:ilvl w:val="0"/>
          <w:numId w:val="1"/>
        </w:numPr>
        <w:suppressAutoHyphens w:val="0"/>
        <w:autoSpaceDE/>
        <w:spacing w:before="120" w:after="120"/>
        <w:ind w:left="709" w:hanging="283"/>
        <w:jc w:val="both"/>
        <w:rPr>
          <w:shd w:val="clear" w:color="auto" w:fill="FFFFFF"/>
        </w:rPr>
      </w:pPr>
      <w:r w:rsidRPr="00A85F00">
        <w:t>the interrogation of a witness who is a particularly vulnerable victim with the assistance of a psychologist or an expert;</w:t>
      </w:r>
    </w:p>
    <w:p w14:paraId="54D824F8" w14:textId="77777777" w:rsidR="008E5E41" w:rsidRPr="00A85F00" w:rsidRDefault="008E5E41" w:rsidP="008E5E41">
      <w:pPr>
        <w:pStyle w:val="ListParagraph"/>
        <w:widowControl/>
        <w:numPr>
          <w:ilvl w:val="0"/>
          <w:numId w:val="1"/>
        </w:numPr>
        <w:suppressAutoHyphens w:val="0"/>
        <w:autoSpaceDE/>
        <w:spacing w:before="120" w:after="120"/>
        <w:ind w:left="709" w:hanging="283"/>
        <w:jc w:val="both"/>
      </w:pPr>
      <w:r w:rsidRPr="00A85F00">
        <w:t>the interrogation of a person under 18 years of age about matters which, in view of his/her age, relationship to the offender or dependence on the offender, the nature and circumstances of the commission of the offence, could adversely affect his/her mental and moral development, or expose him/her to the risk of secondary victimisation, when revived in his/her memory, or, in the case of a crime against human dignity, be conducted in a sensitive manner and in terms of content in such a manner that the interrogation does not have to be repeated in subsequent criminal proceedings.</w:t>
      </w:r>
    </w:p>
    <w:p w14:paraId="030F25A6" w14:textId="74291F2F" w:rsidR="008E5E41" w:rsidRPr="007740B6" w:rsidRDefault="008E5E41" w:rsidP="007740B6">
      <w:pPr>
        <w:numPr>
          <w:ilvl w:val="0"/>
          <w:numId w:val="2"/>
        </w:numPr>
        <w:spacing w:before="120" w:after="120"/>
        <w:jc w:val="both"/>
        <w:rPr>
          <w:b/>
          <w:i/>
        </w:rPr>
      </w:pPr>
      <w:bookmarkStart w:id="1" w:name="_Hlk169788558"/>
      <w:r w:rsidRPr="007740B6">
        <w:rPr>
          <w:b/>
          <w:i/>
        </w:rPr>
        <w:t xml:space="preserve">Act No. 312/2020 Coll. </w:t>
      </w:r>
    </w:p>
    <w:bookmarkEnd w:id="1"/>
    <w:p w14:paraId="772405D4" w14:textId="4D56578C" w:rsidR="008E5E41" w:rsidRPr="00A85F00" w:rsidRDefault="008E5E41" w:rsidP="008E5E41">
      <w:pPr>
        <w:spacing w:before="120" w:after="120"/>
        <w:jc w:val="both"/>
        <w:rPr>
          <w:shd w:val="clear" w:color="auto" w:fill="FFFFFF"/>
        </w:rPr>
      </w:pPr>
      <w:r w:rsidRPr="00A85F00">
        <w:t xml:space="preserve">Article II of the Act No. 312/2020 </w:t>
      </w:r>
      <w:r w:rsidR="00F4514D">
        <w:t xml:space="preserve">Coll. </w:t>
      </w:r>
      <w:r w:rsidRPr="00A85F00">
        <w:t>contained a legislative amendment to the Criminal Act on the basis of which the punishment of crimes against human dignity was strengthened.</w:t>
      </w:r>
    </w:p>
    <w:p w14:paraId="3C007C85" w14:textId="77777777" w:rsidR="008E5E41" w:rsidRPr="00A85F00" w:rsidRDefault="008E5E41" w:rsidP="008E5E41">
      <w:pPr>
        <w:spacing w:before="120" w:after="120"/>
        <w:jc w:val="both"/>
        <w:rPr>
          <w:shd w:val="clear" w:color="auto" w:fill="FFFFFF"/>
        </w:rPr>
      </w:pPr>
      <w:r w:rsidRPr="00A85F00">
        <w:t xml:space="preserve">For the crime of rape under the Section 199 of the Criminal Act, the crime of sexual violence under the Section 200 of the Criminal Act and the crime of sexual abuse under the Section 201 of the Criminal Act, new identical statutory elements were added to the qualifying criminal provisions of the crimes referred to in paragraphs 2 and 3. </w:t>
      </w:r>
    </w:p>
    <w:p w14:paraId="79B5D773" w14:textId="77777777" w:rsidR="008E5E41" w:rsidRPr="00A85F00" w:rsidRDefault="008E5E41" w:rsidP="008E5E41">
      <w:pPr>
        <w:spacing w:before="120" w:after="120"/>
        <w:jc w:val="both"/>
        <w:rPr>
          <w:shd w:val="clear" w:color="auto" w:fill="FFFFFF"/>
        </w:rPr>
      </w:pPr>
      <w:r w:rsidRPr="00A85F00">
        <w:t>For the crime of sexual abuse under the Section 201b of the Criminal Act, new statutory elements of the crime were added to form its qualifying criminal provisions.</w:t>
      </w:r>
    </w:p>
    <w:p w14:paraId="50174E83" w14:textId="77777777" w:rsidR="008E5E41" w:rsidRPr="00A85F00" w:rsidRDefault="008E5E41" w:rsidP="008E5E41">
      <w:pPr>
        <w:spacing w:before="120" w:after="120"/>
        <w:jc w:val="both"/>
        <w:rPr>
          <w:shd w:val="clear" w:color="auto" w:fill="FFFFFF"/>
        </w:rPr>
      </w:pPr>
      <w:r w:rsidRPr="00A85F00">
        <w:t>For the crime of sexual abuse under the Section 202 of the Criminal Act, a new statutory element was added to the qualifying criminal provisions of the crime specified in the paragraph 2, and at the same time new statutory elements of the crime were added which formed its qualifying criminal provisions in the paragraph 3.</w:t>
      </w:r>
    </w:p>
    <w:p w14:paraId="292BDB9F" w14:textId="77777777" w:rsidR="008E5E41" w:rsidRPr="00A85F00" w:rsidRDefault="008E5E41" w:rsidP="008E5E41">
      <w:pPr>
        <w:spacing w:before="120" w:after="120"/>
        <w:jc w:val="both"/>
        <w:rPr>
          <w:shd w:val="clear" w:color="auto" w:fill="FFFFFF"/>
        </w:rPr>
      </w:pPr>
      <w:r w:rsidRPr="00A85F00">
        <w:t xml:space="preserve">Article III of the Act No. 312/2020 contained a legislative amendment to the Code of Criminal Procedure which added the ground provided for in the Section 215(2)(d) for the optional discontinuance of criminal prosecution by the prosecutor in preparatory proceedings. </w:t>
      </w:r>
    </w:p>
    <w:p w14:paraId="1295290C" w14:textId="77777777" w:rsidR="008E5E41" w:rsidRPr="00A85F00" w:rsidRDefault="008E5E41" w:rsidP="008E5E41">
      <w:pPr>
        <w:spacing w:before="120" w:after="120"/>
        <w:jc w:val="both"/>
        <w:rPr>
          <w:shd w:val="clear" w:color="auto" w:fill="FFFFFF"/>
        </w:rPr>
      </w:pPr>
      <w:r w:rsidRPr="00A85F00">
        <w:t>Such ground included also commission of an act by a person under duress in direct connection with the fact that the crime of cruelty to a close person and a person entrusted to the offender under the Section 208 of the Criminal Act had been committed to them.</w:t>
      </w:r>
    </w:p>
    <w:p w14:paraId="7F54735E" w14:textId="28DCA2D8" w:rsidR="008E5E41" w:rsidRPr="009920F7" w:rsidRDefault="008E5E41" w:rsidP="009920F7">
      <w:pPr>
        <w:numPr>
          <w:ilvl w:val="0"/>
          <w:numId w:val="2"/>
        </w:numPr>
        <w:spacing w:before="120" w:after="120"/>
        <w:jc w:val="both"/>
        <w:rPr>
          <w:b/>
          <w:i/>
        </w:rPr>
      </w:pPr>
      <w:r w:rsidRPr="009920F7">
        <w:rPr>
          <w:b/>
          <w:i/>
        </w:rPr>
        <w:t xml:space="preserve">Act No. 49/2023 Coll. </w:t>
      </w:r>
    </w:p>
    <w:p w14:paraId="65DADE53" w14:textId="7374720E" w:rsidR="008E5E41" w:rsidRPr="00A85F00" w:rsidRDefault="008E5E41" w:rsidP="008E5E41">
      <w:pPr>
        <w:spacing w:before="120" w:after="120"/>
        <w:jc w:val="both"/>
        <w:rPr>
          <w:shd w:val="clear" w:color="auto" w:fill="FFFFFF"/>
        </w:rPr>
      </w:pPr>
      <w:r w:rsidRPr="00A85F00">
        <w:lastRenderedPageBreak/>
        <w:t>Article I of the Act No. 49/2023</w:t>
      </w:r>
      <w:r w:rsidR="00735F01">
        <w:t xml:space="preserve"> Coll.</w:t>
      </w:r>
      <w:r w:rsidRPr="00A85F00">
        <w:t xml:space="preserve"> contained a legislative amendment to the Code of Criminal Procedure which specified the interrogator who conducts the interrogation of a particularly vulnerable victim pursuant to the Act No. 274/2017. in preparatory proceedings conducted for a crime against human dignity, a crime of trafficking in human beings, or a crime of abuse of a close person and a person entrusted to him/her. </w:t>
      </w:r>
    </w:p>
    <w:p w14:paraId="188FF5B0" w14:textId="77777777" w:rsidR="008E5E41" w:rsidRPr="00A85F00" w:rsidRDefault="008E5E41" w:rsidP="008E5E41">
      <w:pPr>
        <w:spacing w:before="120" w:after="120"/>
        <w:jc w:val="both"/>
      </w:pPr>
      <w:r w:rsidRPr="00A85F00">
        <w:t>The interrogator, who usually conducts the interrogation in the preparatory proceedings and, where necessary, interprets, is a person of the sex designated by the person being interrogated/particularly vulnerable victim, unless compelling reasons prevent it.</w:t>
      </w:r>
    </w:p>
    <w:p w14:paraId="65D12B1D" w14:textId="77777777" w:rsidR="008E5E41" w:rsidRPr="00A85F00" w:rsidRDefault="008E5E41" w:rsidP="008E5E41">
      <w:pPr>
        <w:spacing w:before="120" w:after="120"/>
        <w:jc w:val="both"/>
        <w:rPr>
          <w:shd w:val="clear" w:color="auto" w:fill="FFFFFF"/>
        </w:rPr>
      </w:pPr>
      <w:r w:rsidRPr="00A85F00">
        <w:t xml:space="preserve">In order to provide comprehensive information, we also refer to the legislative measures adopted in the Act No. 40/2024. </w:t>
      </w:r>
    </w:p>
    <w:p w14:paraId="0EBF675C" w14:textId="2B6B0EDA" w:rsidR="00C12CA2" w:rsidRPr="00A85F00" w:rsidRDefault="00C12CA2" w:rsidP="00C12CA2">
      <w:pPr>
        <w:spacing w:before="120"/>
        <w:jc w:val="both"/>
        <w:rPr>
          <w:b/>
          <w:bCs/>
        </w:rPr>
      </w:pPr>
      <w:r w:rsidRPr="00A85F00">
        <w:rPr>
          <w:b/>
        </w:rPr>
        <w:t xml:space="preserve">Regarding </w:t>
      </w:r>
      <w:r w:rsidR="00BA4837">
        <w:rPr>
          <w:b/>
        </w:rPr>
        <w:t>paragraph</w:t>
      </w:r>
      <w:r w:rsidR="00BA4837" w:rsidRPr="00A85F00">
        <w:rPr>
          <w:b/>
        </w:rPr>
        <w:t xml:space="preserve"> </w:t>
      </w:r>
      <w:r w:rsidRPr="00A85F00">
        <w:rPr>
          <w:b/>
        </w:rPr>
        <w:t xml:space="preserve">15 of the list of issues </w:t>
      </w:r>
    </w:p>
    <w:p w14:paraId="5FECF648" w14:textId="77777777" w:rsidR="00C12CA2" w:rsidRPr="00A85F00" w:rsidRDefault="00C12CA2" w:rsidP="00C12CA2">
      <w:pPr>
        <w:spacing w:before="120" w:after="120"/>
        <w:jc w:val="both"/>
      </w:pPr>
      <w:r w:rsidRPr="00A85F00">
        <w:t>Legislative measures:</w:t>
      </w:r>
    </w:p>
    <w:p w14:paraId="20B11B66" w14:textId="09AD3BB1" w:rsidR="00C12CA2" w:rsidRPr="009E1E8A" w:rsidRDefault="00C12CA2" w:rsidP="00C12CA2">
      <w:pPr>
        <w:pStyle w:val="MZVnormal"/>
        <w:numPr>
          <w:ilvl w:val="0"/>
          <w:numId w:val="6"/>
        </w:numPr>
        <w:spacing w:before="120" w:after="120"/>
        <w:ind w:left="709" w:hanging="284"/>
        <w:jc w:val="both"/>
        <w:rPr>
          <w:rFonts w:ascii="Times New Roman" w:hAnsi="Times New Roman"/>
          <w:color w:val="auto"/>
          <w:sz w:val="24"/>
        </w:rPr>
      </w:pPr>
      <w:r w:rsidRPr="009E1E8A">
        <w:rPr>
          <w:rFonts w:ascii="Times New Roman" w:hAnsi="Times New Roman"/>
          <w:color w:val="auto"/>
          <w:sz w:val="24"/>
        </w:rPr>
        <w:t xml:space="preserve">On 26 October 2022 the Contingency </w:t>
      </w:r>
      <w:r w:rsidR="005102F6" w:rsidRPr="009E1E8A">
        <w:rPr>
          <w:rFonts w:ascii="Times New Roman" w:hAnsi="Times New Roman"/>
          <w:color w:val="auto"/>
          <w:sz w:val="24"/>
        </w:rPr>
        <w:t>P</w:t>
      </w:r>
      <w:r w:rsidRPr="009E1E8A">
        <w:rPr>
          <w:rFonts w:ascii="Times New Roman" w:hAnsi="Times New Roman"/>
          <w:color w:val="auto"/>
          <w:sz w:val="24"/>
        </w:rPr>
        <w:t>lan was adopted. By the Government Resolution No</w:t>
      </w:r>
      <w:r w:rsidRPr="009E1E8A">
        <w:rPr>
          <w:rFonts w:ascii="Times New Roman" w:hAnsi="Times New Roman"/>
          <w:sz w:val="24"/>
        </w:rPr>
        <w:t>. 346/2023 of 26 June 2023, the Contingency Plan was updated for July – December 2023;</w:t>
      </w:r>
    </w:p>
    <w:p w14:paraId="4574D978" w14:textId="77777777" w:rsidR="00C12CA2" w:rsidRPr="00A85F00" w:rsidRDefault="00C12CA2" w:rsidP="00C12CA2">
      <w:pPr>
        <w:pStyle w:val="MZVnormal"/>
        <w:numPr>
          <w:ilvl w:val="0"/>
          <w:numId w:val="6"/>
        </w:numPr>
        <w:spacing w:before="120" w:after="120"/>
        <w:ind w:left="709" w:hanging="284"/>
        <w:jc w:val="both"/>
        <w:rPr>
          <w:rFonts w:ascii="Times New Roman" w:hAnsi="Times New Roman"/>
          <w:color w:val="auto"/>
          <w:sz w:val="24"/>
        </w:rPr>
      </w:pPr>
      <w:r w:rsidRPr="00A85F00">
        <w:rPr>
          <w:rFonts w:ascii="Times New Roman" w:hAnsi="Times New Roman"/>
          <w:color w:val="auto"/>
          <w:sz w:val="24"/>
        </w:rPr>
        <w:t>On 26 February 2022, the so-called Lex Ukraine</w:t>
      </w:r>
      <w:r w:rsidRPr="00A85F00">
        <w:rPr>
          <w:rFonts w:ascii="Times New Roman" w:hAnsi="Times New Roman"/>
          <w:color w:val="auto"/>
          <w:sz w:val="24"/>
          <w:vertAlign w:val="superscript"/>
        </w:rPr>
        <w:footnoteReference w:id="6"/>
      </w:r>
      <w:r w:rsidRPr="00A85F00">
        <w:rPr>
          <w:rFonts w:ascii="Times New Roman" w:hAnsi="Times New Roman"/>
          <w:color w:val="auto"/>
          <w:sz w:val="24"/>
        </w:rPr>
        <w:t xml:space="preserve"> was adopted, which allowed for the declaration of a temporary refuge even without a decision of the EU Council as well as the authorisation to provide an allowance for the accommodation of refugees;</w:t>
      </w:r>
    </w:p>
    <w:p w14:paraId="2EC79A06" w14:textId="77777777" w:rsidR="00C12CA2" w:rsidRPr="00A85F00" w:rsidRDefault="00C12CA2" w:rsidP="00C12CA2">
      <w:pPr>
        <w:pStyle w:val="MZVnormal"/>
        <w:numPr>
          <w:ilvl w:val="0"/>
          <w:numId w:val="6"/>
        </w:numPr>
        <w:spacing w:before="120" w:after="120"/>
        <w:ind w:left="709" w:hanging="284"/>
        <w:jc w:val="both"/>
        <w:rPr>
          <w:rFonts w:ascii="Times New Roman" w:hAnsi="Times New Roman"/>
          <w:color w:val="auto"/>
          <w:sz w:val="24"/>
        </w:rPr>
      </w:pPr>
      <w:r w:rsidRPr="00A85F00">
        <w:rPr>
          <w:rFonts w:ascii="Times New Roman" w:hAnsi="Times New Roman"/>
          <w:color w:val="auto"/>
          <w:sz w:val="24"/>
        </w:rPr>
        <w:t>On 30 March 2022, the so-called Lex Ukraine II</w:t>
      </w:r>
      <w:r w:rsidRPr="00A85F00">
        <w:rPr>
          <w:rFonts w:ascii="Times New Roman" w:hAnsi="Times New Roman"/>
          <w:color w:val="auto"/>
          <w:sz w:val="24"/>
          <w:vertAlign w:val="superscript"/>
        </w:rPr>
        <w:footnoteReference w:id="7"/>
      </w:r>
      <w:r w:rsidRPr="00A85F00">
        <w:rPr>
          <w:rFonts w:ascii="Times New Roman" w:hAnsi="Times New Roman"/>
          <w:color w:val="auto"/>
          <w:sz w:val="24"/>
        </w:rPr>
        <w:t xml:space="preserve"> was adopted, which amended a number of legal acts, regulating e.g. the possibility of establishing a bank account for refugees also on the basis of a document other than an identity document, awarding a pregnancy grant to female students and adult female refugee pupils. It also set maximum amounts for accommodation allowances and regulated the possibility of granting an allowance to accommodation establishments;</w:t>
      </w:r>
    </w:p>
    <w:p w14:paraId="3A6CB252" w14:textId="77777777" w:rsidR="00C12CA2" w:rsidRPr="00A85F00" w:rsidRDefault="00C12CA2" w:rsidP="00C12CA2">
      <w:pPr>
        <w:pStyle w:val="MZVnormal"/>
        <w:numPr>
          <w:ilvl w:val="0"/>
          <w:numId w:val="6"/>
        </w:numPr>
        <w:spacing w:before="120" w:after="120"/>
        <w:ind w:left="709" w:hanging="284"/>
        <w:jc w:val="both"/>
        <w:rPr>
          <w:rFonts w:ascii="Times New Roman" w:hAnsi="Times New Roman"/>
          <w:color w:val="auto"/>
          <w:sz w:val="24"/>
        </w:rPr>
      </w:pPr>
      <w:r w:rsidRPr="00A85F00">
        <w:rPr>
          <w:rFonts w:ascii="Times New Roman" w:hAnsi="Times New Roman"/>
          <w:color w:val="auto"/>
          <w:sz w:val="24"/>
        </w:rPr>
        <w:t>Government Decree No. 99/2022 Coll. on the provision of an allowance for the accommodation of a refugee set the amounts of allowances per night of accommodation of a refugee;</w:t>
      </w:r>
    </w:p>
    <w:p w14:paraId="7701BAF8" w14:textId="311F965F" w:rsidR="00C12CA2" w:rsidRPr="00A85F00" w:rsidRDefault="00C45472" w:rsidP="00C12CA2">
      <w:pPr>
        <w:pStyle w:val="MZVnormal"/>
        <w:numPr>
          <w:ilvl w:val="0"/>
          <w:numId w:val="6"/>
        </w:numPr>
        <w:spacing w:before="120" w:after="120"/>
        <w:ind w:left="709" w:hanging="284"/>
        <w:jc w:val="both"/>
        <w:rPr>
          <w:rFonts w:ascii="Times New Roman" w:hAnsi="Times New Roman"/>
          <w:color w:val="auto"/>
          <w:sz w:val="24"/>
        </w:rPr>
      </w:pPr>
      <w:r>
        <w:rPr>
          <w:rFonts w:ascii="Times New Roman" w:hAnsi="Times New Roman"/>
          <w:color w:val="auto"/>
          <w:sz w:val="24"/>
        </w:rPr>
        <w:t>O</w:t>
      </w:r>
      <w:r w:rsidR="00C12CA2" w:rsidRPr="00A85F00">
        <w:rPr>
          <w:rFonts w:ascii="Times New Roman" w:hAnsi="Times New Roman"/>
          <w:color w:val="auto"/>
          <w:sz w:val="24"/>
        </w:rPr>
        <w:t>n 24 May 2022</w:t>
      </w:r>
      <w:r>
        <w:rPr>
          <w:rFonts w:ascii="Times New Roman" w:hAnsi="Times New Roman"/>
          <w:color w:val="auto"/>
          <w:sz w:val="24"/>
        </w:rPr>
        <w:t>,</w:t>
      </w:r>
      <w:r w:rsidR="00C12CA2" w:rsidRPr="00A85F00">
        <w:rPr>
          <w:rFonts w:ascii="Times New Roman" w:hAnsi="Times New Roman"/>
          <w:color w:val="auto"/>
          <w:sz w:val="24"/>
        </w:rPr>
        <w:t xml:space="preserve"> the so-called Lex Ukraine III</w:t>
      </w:r>
      <w:r w:rsidR="00C12CA2" w:rsidRPr="00A85F00">
        <w:rPr>
          <w:rFonts w:ascii="Times New Roman" w:hAnsi="Times New Roman"/>
          <w:color w:val="auto"/>
          <w:sz w:val="24"/>
          <w:vertAlign w:val="superscript"/>
        </w:rPr>
        <w:footnoteReference w:id="8"/>
      </w:r>
      <w:r w:rsidR="00C12CA2" w:rsidRPr="00A85F00">
        <w:rPr>
          <w:rFonts w:ascii="Times New Roman" w:hAnsi="Times New Roman"/>
          <w:color w:val="auto"/>
          <w:sz w:val="24"/>
        </w:rPr>
        <w:t xml:space="preserve"> was adopted;</w:t>
      </w:r>
    </w:p>
    <w:p w14:paraId="186EAB5D" w14:textId="23D89AA6" w:rsidR="00C12CA2" w:rsidRPr="00A85F00" w:rsidRDefault="00C12CA2" w:rsidP="00C12CA2">
      <w:pPr>
        <w:pStyle w:val="MZVnormal"/>
        <w:numPr>
          <w:ilvl w:val="0"/>
          <w:numId w:val="6"/>
        </w:numPr>
        <w:spacing w:before="120" w:after="120"/>
        <w:ind w:left="709" w:hanging="284"/>
        <w:jc w:val="both"/>
        <w:rPr>
          <w:rFonts w:ascii="Times New Roman" w:hAnsi="Times New Roman"/>
          <w:color w:val="auto"/>
          <w:sz w:val="24"/>
        </w:rPr>
      </w:pPr>
      <w:r w:rsidRPr="00A85F00">
        <w:rPr>
          <w:rFonts w:ascii="Times New Roman" w:hAnsi="Times New Roman"/>
          <w:color w:val="auto"/>
          <w:sz w:val="24"/>
        </w:rPr>
        <w:t>On 16 June 2022</w:t>
      </w:r>
      <w:r w:rsidR="00C45472">
        <w:rPr>
          <w:rFonts w:ascii="Times New Roman" w:hAnsi="Times New Roman"/>
          <w:color w:val="auto"/>
          <w:sz w:val="24"/>
        </w:rPr>
        <w:t>,</w:t>
      </w:r>
      <w:r w:rsidRPr="00A85F00">
        <w:rPr>
          <w:rFonts w:ascii="Times New Roman" w:hAnsi="Times New Roman"/>
          <w:color w:val="auto"/>
          <w:sz w:val="24"/>
        </w:rPr>
        <w:t xml:space="preserve"> the Slovak Government adopted two regulations at its sessions, namely:</w:t>
      </w:r>
    </w:p>
    <w:p w14:paraId="68B0DE95" w14:textId="7BC84001" w:rsidR="00C12CA2" w:rsidRPr="00A85F00" w:rsidRDefault="00C12CA2" w:rsidP="00C723FB">
      <w:pPr>
        <w:pStyle w:val="MZVnormal"/>
        <w:numPr>
          <w:ilvl w:val="0"/>
          <w:numId w:val="16"/>
        </w:numPr>
        <w:spacing w:before="120" w:after="120"/>
        <w:jc w:val="both"/>
        <w:rPr>
          <w:rFonts w:ascii="Times New Roman" w:hAnsi="Times New Roman"/>
          <w:color w:val="auto"/>
          <w:sz w:val="24"/>
        </w:rPr>
      </w:pPr>
      <w:r w:rsidRPr="00A85F00">
        <w:rPr>
          <w:rFonts w:ascii="Times New Roman" w:hAnsi="Times New Roman"/>
          <w:color w:val="auto"/>
          <w:sz w:val="24"/>
        </w:rPr>
        <w:t>Regulation of the Government of SR No. 218/2002 Coll. on the provision of an allowance for the accommodation of a refugee pursuant to the provisions of the Section 36a(1), (3) and (9) of the Act No. 480/2002 Coll. on the Asylum and on amendments to certain acts, as amended</w:t>
      </w:r>
      <w:r w:rsidR="00F12C59">
        <w:rPr>
          <w:rFonts w:ascii="Times New Roman" w:hAnsi="Times New Roman"/>
          <w:color w:val="auto"/>
          <w:sz w:val="24"/>
        </w:rPr>
        <w:t>;</w:t>
      </w:r>
      <w:r w:rsidRPr="00A85F00">
        <w:rPr>
          <w:rFonts w:ascii="Times New Roman" w:hAnsi="Times New Roman"/>
          <w:color w:val="auto"/>
          <w:sz w:val="24"/>
        </w:rPr>
        <w:t xml:space="preserve"> </w:t>
      </w:r>
    </w:p>
    <w:p w14:paraId="6457E520" w14:textId="735D6CA6" w:rsidR="00C12CA2" w:rsidRPr="00A85F00" w:rsidRDefault="00C12CA2" w:rsidP="00C723FB">
      <w:pPr>
        <w:pStyle w:val="MZVnormal"/>
        <w:numPr>
          <w:ilvl w:val="0"/>
          <w:numId w:val="16"/>
        </w:numPr>
        <w:spacing w:before="120" w:after="120"/>
        <w:jc w:val="both"/>
        <w:rPr>
          <w:rFonts w:ascii="Times New Roman" w:hAnsi="Times New Roman"/>
          <w:color w:val="auto"/>
          <w:sz w:val="24"/>
        </w:rPr>
      </w:pPr>
      <w:r w:rsidRPr="00A85F00">
        <w:rPr>
          <w:rFonts w:ascii="Times New Roman" w:hAnsi="Times New Roman"/>
          <w:color w:val="auto"/>
          <w:sz w:val="24"/>
        </w:rPr>
        <w:t>Regulation of the Government of SR No. 219/2022 Coll. on the allowance for the provision of accommodation to a refugee in connection with the situation in Ukraine pursuant to the provisions of the Section 27k(9) of the Act No. 91/2010 Coll. on the Promotion of Tourism;</w:t>
      </w:r>
    </w:p>
    <w:p w14:paraId="1AFDE527" w14:textId="77777777" w:rsidR="00C12CA2" w:rsidRPr="00A85F00" w:rsidRDefault="00C12CA2" w:rsidP="00C12CA2">
      <w:pPr>
        <w:pStyle w:val="MZVnormal"/>
        <w:numPr>
          <w:ilvl w:val="0"/>
          <w:numId w:val="6"/>
        </w:numPr>
        <w:spacing w:before="120" w:after="120"/>
        <w:ind w:left="709" w:hanging="283"/>
        <w:jc w:val="both"/>
        <w:rPr>
          <w:rFonts w:ascii="Times New Roman" w:hAnsi="Times New Roman"/>
          <w:color w:val="auto"/>
          <w:sz w:val="24"/>
        </w:rPr>
      </w:pPr>
      <w:r w:rsidRPr="00A85F00">
        <w:rPr>
          <w:rFonts w:ascii="Times New Roman" w:hAnsi="Times New Roman"/>
          <w:color w:val="auto"/>
          <w:sz w:val="24"/>
        </w:rPr>
        <w:t>The Regulations in question were amended several times between 2022 and 2024;</w:t>
      </w:r>
    </w:p>
    <w:p w14:paraId="59827D0B" w14:textId="77AC8963" w:rsidR="00AC305D" w:rsidRPr="00420A8A" w:rsidRDefault="00C45472" w:rsidP="00C12CA2">
      <w:pPr>
        <w:pStyle w:val="MZVnormal"/>
        <w:numPr>
          <w:ilvl w:val="0"/>
          <w:numId w:val="6"/>
        </w:numPr>
        <w:spacing w:before="120" w:after="120"/>
        <w:ind w:left="709" w:hanging="283"/>
        <w:jc w:val="both"/>
        <w:rPr>
          <w:rFonts w:ascii="Times New Roman" w:hAnsi="Times New Roman"/>
          <w:color w:val="auto"/>
          <w:sz w:val="24"/>
        </w:rPr>
      </w:pPr>
      <w:r>
        <w:rPr>
          <w:rFonts w:ascii="Times New Roman" w:hAnsi="Times New Roman"/>
          <w:color w:val="auto"/>
          <w:sz w:val="24"/>
        </w:rPr>
        <w:lastRenderedPageBreak/>
        <w:t>O</w:t>
      </w:r>
      <w:r w:rsidR="00AC305D" w:rsidRPr="00420A8A">
        <w:rPr>
          <w:rFonts w:ascii="Times New Roman" w:hAnsi="Times New Roman"/>
          <w:color w:val="auto"/>
          <w:sz w:val="24"/>
        </w:rPr>
        <w:t xml:space="preserve">n </w:t>
      </w:r>
      <w:r w:rsidRPr="00420A8A">
        <w:rPr>
          <w:rFonts w:ascii="Times New Roman" w:hAnsi="Times New Roman"/>
          <w:color w:val="auto"/>
          <w:sz w:val="24"/>
        </w:rPr>
        <w:t>13</w:t>
      </w:r>
      <w:r>
        <w:rPr>
          <w:rFonts w:ascii="Times New Roman" w:hAnsi="Times New Roman"/>
          <w:color w:val="auto"/>
          <w:sz w:val="24"/>
        </w:rPr>
        <w:t xml:space="preserve"> </w:t>
      </w:r>
      <w:r w:rsidR="00AC305D" w:rsidRPr="00420A8A">
        <w:rPr>
          <w:rFonts w:ascii="Times New Roman" w:hAnsi="Times New Roman"/>
          <w:color w:val="auto"/>
          <w:sz w:val="24"/>
        </w:rPr>
        <w:t>June 2024, the so-called Lex Ukraine IV was adopted, which abandoned the</w:t>
      </w:r>
      <w:r w:rsidR="00AC305D" w:rsidRPr="00AC305D">
        <w:rPr>
          <w:rFonts w:ascii="Times New Roman" w:hAnsi="Times New Roman"/>
          <w:color w:val="auto"/>
          <w:sz w:val="24"/>
        </w:rPr>
        <w:t xml:space="preserve"> nationwide provision of support for </w:t>
      </w:r>
      <w:r w:rsidR="003A2774">
        <w:rPr>
          <w:rFonts w:ascii="Times New Roman" w:hAnsi="Times New Roman"/>
          <w:color w:val="auto"/>
          <w:sz w:val="24"/>
        </w:rPr>
        <w:t>refugees</w:t>
      </w:r>
      <w:r w:rsidR="00AC305D" w:rsidRPr="00AC305D">
        <w:rPr>
          <w:rFonts w:ascii="Times New Roman" w:hAnsi="Times New Roman"/>
          <w:color w:val="auto"/>
          <w:sz w:val="24"/>
        </w:rPr>
        <w:t xml:space="preserve"> so that this assistance for </w:t>
      </w:r>
      <w:r w:rsidR="003A2774">
        <w:rPr>
          <w:rFonts w:ascii="Times New Roman" w:hAnsi="Times New Roman"/>
          <w:color w:val="auto"/>
          <w:sz w:val="24"/>
        </w:rPr>
        <w:t>refugees</w:t>
      </w:r>
      <w:r w:rsidR="00AC305D" w:rsidRPr="00AC305D">
        <w:rPr>
          <w:rFonts w:ascii="Times New Roman" w:hAnsi="Times New Roman"/>
          <w:color w:val="auto"/>
          <w:sz w:val="24"/>
        </w:rPr>
        <w:t xml:space="preserve"> would be as targeted and sustainable as possible, even in the long term. From July 1, 2024, support is focused on newly arrived foreigners and vulnerable persons. It is intended for the first 120 days from the first provision of temporary shelter in the territory of the Slovak Republic and for vulnerable groups of persons who are specifically defined in the Asylum Act for the purposes of providing accommodation allowance for emigrants and specifically for the purposes of accommodation in asylum facilities. The allowance for providing accommodation for </w:t>
      </w:r>
      <w:r w:rsidR="00897818">
        <w:rPr>
          <w:rFonts w:ascii="Times New Roman" w:hAnsi="Times New Roman"/>
          <w:color w:val="auto"/>
          <w:sz w:val="24"/>
        </w:rPr>
        <w:t>refugees</w:t>
      </w:r>
      <w:r w:rsidR="00AC305D" w:rsidRPr="00AC305D">
        <w:rPr>
          <w:rFonts w:ascii="Times New Roman" w:hAnsi="Times New Roman"/>
          <w:color w:val="auto"/>
          <w:sz w:val="24"/>
        </w:rPr>
        <w:t xml:space="preserve"> is provided on the basis of Act No. 480/2002 Coll. and pursuant to Regulation of the Government of the Slovak Republic No. 151/2024 Coll. on the provision of accommodation allowance for </w:t>
      </w:r>
      <w:r w:rsidR="00BB707F">
        <w:rPr>
          <w:rFonts w:ascii="Times New Roman" w:hAnsi="Times New Roman"/>
          <w:color w:val="auto"/>
          <w:sz w:val="24"/>
        </w:rPr>
        <w:t>refugees</w:t>
      </w:r>
      <w:r w:rsidR="00AC305D" w:rsidRPr="00AC305D">
        <w:rPr>
          <w:rFonts w:ascii="Times New Roman" w:hAnsi="Times New Roman"/>
          <w:color w:val="auto"/>
          <w:sz w:val="24"/>
        </w:rPr>
        <w:t>.</w:t>
      </w:r>
    </w:p>
    <w:p w14:paraId="3229DDE1" w14:textId="77777777" w:rsidR="00C12CA2" w:rsidRPr="00A85F00" w:rsidRDefault="00C12CA2" w:rsidP="00C12CA2">
      <w:pPr>
        <w:spacing w:before="120" w:after="120"/>
        <w:jc w:val="both"/>
      </w:pPr>
      <w:r w:rsidRPr="00A85F00">
        <w:t>Arrangements for admission:</w:t>
      </w:r>
    </w:p>
    <w:p w14:paraId="0B31CBAC" w14:textId="7074AF9A" w:rsidR="00C12CA2" w:rsidRPr="00A85F00" w:rsidRDefault="00C12CA2" w:rsidP="00C12CA2">
      <w:pPr>
        <w:numPr>
          <w:ilvl w:val="0"/>
          <w:numId w:val="9"/>
        </w:numPr>
        <w:spacing w:before="120" w:after="120"/>
        <w:jc w:val="both"/>
      </w:pPr>
      <w:r w:rsidRPr="00A85F00">
        <w:t>Since the outbreak of the conflict in Ukraine, the MO MoI SR has been providing accommodation to refugees from Ukraine as well as to applicants for temporary shelter in asylum facilities.</w:t>
      </w:r>
    </w:p>
    <w:p w14:paraId="105F2B2D" w14:textId="77777777" w:rsidR="00C12CA2" w:rsidRPr="00A85F00" w:rsidRDefault="00C12CA2" w:rsidP="00C12CA2">
      <w:pPr>
        <w:numPr>
          <w:ilvl w:val="0"/>
          <w:numId w:val="9"/>
        </w:numPr>
        <w:spacing w:before="120" w:after="120"/>
        <w:jc w:val="both"/>
      </w:pPr>
      <w:r w:rsidRPr="00A85F00">
        <w:t>In December 2022, the Integration Centre in Zvolen was reopened, providing accommodation mainly to vulnerable groups of refugees from Ukraine.</w:t>
      </w:r>
    </w:p>
    <w:p w14:paraId="029A2026" w14:textId="694F925C" w:rsidR="00482E75" w:rsidRPr="00B735F1" w:rsidRDefault="00482E75" w:rsidP="00C12CA2">
      <w:pPr>
        <w:numPr>
          <w:ilvl w:val="0"/>
          <w:numId w:val="9"/>
        </w:numPr>
        <w:spacing w:before="120" w:after="120"/>
        <w:jc w:val="both"/>
      </w:pPr>
      <w:r w:rsidRPr="00B735F1">
        <w:t>In 2022</w:t>
      </w:r>
      <w:r w:rsidR="00072679">
        <w:t xml:space="preserve"> – </w:t>
      </w:r>
      <w:r w:rsidRPr="00B735F1">
        <w:t>2024, in connection with the influx of people fleeing the military conflict in Ukraine, the Humanitarian Center in Gabčíkovo was operated with a capacity of 1,000 people. In addition to accommodation, food (</w:t>
      </w:r>
      <w:r w:rsidR="00B63AED" w:rsidRPr="00B735F1">
        <w:t>funded by the MoI SR</w:t>
      </w:r>
      <w:r w:rsidRPr="00B735F1">
        <w:t xml:space="preserve">) and coordination of services provided by various organizations (children's groups, a </w:t>
      </w:r>
      <w:r w:rsidR="00542D02" w:rsidRPr="00B735F1">
        <w:t>programme for the elderly</w:t>
      </w:r>
      <w:r w:rsidRPr="00B735F1">
        <w:t xml:space="preserve">, Slovak language lessons, leisure activities, and others), the special needs and vulnerabilities of the refugees were also </w:t>
      </w:r>
      <w:r w:rsidR="00542D02" w:rsidRPr="00B735F1">
        <w:t>checked</w:t>
      </w:r>
      <w:r w:rsidRPr="00B735F1">
        <w:t>.</w:t>
      </w:r>
    </w:p>
    <w:p w14:paraId="0893C825" w14:textId="77777777" w:rsidR="00C12CA2" w:rsidRPr="00A85F00" w:rsidRDefault="00C12CA2" w:rsidP="00C12CA2">
      <w:pPr>
        <w:numPr>
          <w:ilvl w:val="0"/>
          <w:numId w:val="9"/>
        </w:numPr>
        <w:spacing w:before="120" w:after="120"/>
        <w:jc w:val="both"/>
      </w:pPr>
      <w:r w:rsidRPr="00B735F1">
        <w:t>Refugees are provided with appropriate accommodation conditions and care in all</w:t>
      </w:r>
      <w:r w:rsidRPr="00A85F00">
        <w:t xml:space="preserve"> facilities, taking into account their special needs and vulnerability.</w:t>
      </w:r>
    </w:p>
    <w:p w14:paraId="2871E319" w14:textId="77777777" w:rsidR="00C12CA2" w:rsidRPr="00A85F00" w:rsidRDefault="00C12CA2" w:rsidP="00C12CA2">
      <w:pPr>
        <w:numPr>
          <w:ilvl w:val="0"/>
          <w:numId w:val="9"/>
        </w:numPr>
        <w:spacing w:before="120" w:after="120"/>
        <w:jc w:val="both"/>
      </w:pPr>
      <w:r w:rsidRPr="00A85F00">
        <w:t xml:space="preserve">During their stay in the asylum facilities, refugees have conditions for leisure activities, cultural and sporting activities, as well as conditions for acquiring skills and knowledge that will facilitate their future integration in society. During their stay in the asylum facilities, the refugees have the opportunity to attend free Slovak language courses. </w:t>
      </w:r>
    </w:p>
    <w:p w14:paraId="3421FDA4" w14:textId="77777777" w:rsidR="00C12CA2" w:rsidRPr="00A85F00" w:rsidRDefault="00C12CA2" w:rsidP="00C12CA2">
      <w:pPr>
        <w:numPr>
          <w:ilvl w:val="0"/>
          <w:numId w:val="9"/>
        </w:numPr>
        <w:spacing w:before="120" w:after="120"/>
        <w:jc w:val="both"/>
      </w:pPr>
      <w:r w:rsidRPr="00A85F00">
        <w:t>Other applicants for international protection are also provided with accommodation, all-day meals and medical care in the facilities of the MO MoI SR.</w:t>
      </w:r>
    </w:p>
    <w:p w14:paraId="170C41F7" w14:textId="77777777" w:rsidR="00C12CA2" w:rsidRPr="00A85F00" w:rsidRDefault="00C12CA2" w:rsidP="00C12CA2">
      <w:pPr>
        <w:numPr>
          <w:ilvl w:val="0"/>
          <w:numId w:val="9"/>
        </w:numPr>
        <w:spacing w:before="120" w:after="120"/>
        <w:jc w:val="both"/>
      </w:pPr>
      <w:r w:rsidRPr="00A85F00">
        <w:t>Female social workers and a psychologist were hired and attended to the refugees from Ukraine during working days. Also, the following medical equipment was provided for the most vulnerable persons: electric wheelchair, reclining beds and a special wheelchair, and the doctor´s office was modernized and it is used by both refugees and applicants for international protection.</w:t>
      </w:r>
    </w:p>
    <w:p w14:paraId="4C4B5BD9" w14:textId="77777777" w:rsidR="00C12CA2" w:rsidRPr="00A85F00" w:rsidRDefault="00C12CA2" w:rsidP="00C12CA2">
      <w:pPr>
        <w:numPr>
          <w:ilvl w:val="0"/>
          <w:numId w:val="9"/>
        </w:numPr>
        <w:spacing w:before="120" w:after="120"/>
        <w:jc w:val="both"/>
      </w:pPr>
      <w:r w:rsidRPr="00A85F00">
        <w:t>Refugees from Ukraine as well as applicants for international protection who have applied for international protection and have been granted asylum or subsidiary protection are entitled to a one-off and integration allowance for a period of 6 consecutive months under the Act No. 480/2002.</w:t>
      </w:r>
    </w:p>
    <w:p w14:paraId="020F79BD" w14:textId="77777777" w:rsidR="00C12CA2" w:rsidRPr="00A85F00" w:rsidRDefault="00C12CA2" w:rsidP="00C12CA2">
      <w:pPr>
        <w:numPr>
          <w:ilvl w:val="0"/>
          <w:numId w:val="9"/>
        </w:numPr>
        <w:spacing w:before="120" w:after="120"/>
        <w:jc w:val="both"/>
      </w:pPr>
      <w:r w:rsidRPr="00A85F00">
        <w:t>A child of a refugee, asylum-seeker or other foreigner legally residing in the territory of the Slovak Republic who attends a kindergarten or primary school may also be granted a subsidy for food.</w:t>
      </w:r>
    </w:p>
    <w:sectPr w:rsidR="00C12CA2" w:rsidRPr="00A85F00" w:rsidSect="009B74C0">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56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2FB15" w14:textId="77777777" w:rsidR="00693A85" w:rsidRDefault="00693A85" w:rsidP="00C12CA2">
      <w:r>
        <w:separator/>
      </w:r>
    </w:p>
  </w:endnote>
  <w:endnote w:type="continuationSeparator" w:id="0">
    <w:p w14:paraId="170ED423" w14:textId="77777777" w:rsidR="00693A85" w:rsidRDefault="00693A85" w:rsidP="00C12C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56BCC" w14:textId="7BF675A0" w:rsidR="00D63CEB" w:rsidRDefault="00D63CEB">
    <w:pPr>
      <w:pStyle w:val="Footer"/>
    </w:pPr>
    <w:r>
      <w:rPr>
        <w:noProof/>
        <w:lang w:val="sk-SK" w:eastAsia="zh-CN" w:bidi="ar-SA"/>
        <w14:ligatures w14:val="standardContextual"/>
      </w:rPr>
      <mc:AlternateContent>
        <mc:Choice Requires="wps">
          <w:drawing>
            <wp:anchor distT="0" distB="0" distL="0" distR="0" simplePos="0" relativeHeight="251662336" behindDoc="0" locked="0" layoutInCell="1" allowOverlap="1" wp14:anchorId="390B7A21" wp14:editId="1EEFD8AB">
              <wp:simplePos x="635" y="635"/>
              <wp:positionH relativeFrom="page">
                <wp:align>left</wp:align>
              </wp:positionH>
              <wp:positionV relativeFrom="page">
                <wp:align>bottom</wp:align>
              </wp:positionV>
              <wp:extent cx="795020" cy="376555"/>
              <wp:effectExtent l="0" t="0" r="5080" b="0"/>
              <wp:wrapNone/>
              <wp:docPr id="737633015" name="Textové pole 5"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95020" cy="376555"/>
                      </a:xfrm>
                      <a:prstGeom prst="rect">
                        <a:avLst/>
                      </a:prstGeom>
                      <a:noFill/>
                      <a:ln>
                        <a:noFill/>
                      </a:ln>
                    </wps:spPr>
                    <wps:txbx>
                      <w:txbxContent>
                        <w:p w14:paraId="3B7DAAE3" w14:textId="5F11A493" w:rsidR="00D63CEB" w:rsidRPr="00D63CEB" w:rsidRDefault="00D63CEB" w:rsidP="00D63CEB">
                          <w:pPr>
                            <w:rPr>
                              <w:rFonts w:ascii="Calibri" w:eastAsia="Calibri" w:hAnsi="Calibri" w:cs="Calibri"/>
                              <w:noProof/>
                              <w:color w:val="FF0000"/>
                            </w:rPr>
                          </w:pPr>
                          <w:r>
                            <w:rPr>
                              <w:rFonts w:ascii="Calibri" w:hAnsi="Calibri"/>
                              <w:noProof/>
                              <w:color w:val="FF0000"/>
                            </w:rPr>
                            <w:t>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90B7A21" id="_x0000_t202" coordsize="21600,21600" o:spt="202" path="m,l,21600r21600,l21600,xe">
              <v:stroke joinstyle="miter"/>
              <v:path gradientshapeok="t" o:connecttype="rect"/>
            </v:shapetype>
            <v:shape id="Textové pole 5" o:spid="_x0000_s1028" type="#_x0000_t202" alt="INTERNÉ" style="position:absolute;margin-left:0;margin-top:0;width:62.6pt;height:29.6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" filled="f" stroked="f">
              <v:textbox style="mso-fit-shape-to-text:t" inset="20pt,0,0,15pt">
                <w:txbxContent>
                  <w:p w14:paraId="3B7DAAE3" w14:textId="5F11A493" w:rsidR="00D63CEB" w:rsidRPr="00D63CEB" w:rsidRDefault="00D63CEB" w:rsidP="00D63CEB">
                    <w:pPr>
                      <w:rPr>
                        <w:rFonts w:ascii="Calibri" w:eastAsia="Calibri" w:hAnsi="Calibri" w:cs="Calibri"/>
                        <w:noProof/>
                        <w:color w:val="FF0000"/>
                      </w:rPr>
                    </w:pPr>
                    <w:r>
                      <w:rPr>
                        <w:rFonts w:ascii="Calibri" w:hAnsi="Calibri"/>
                        <w:noProof/>
                        <w:color w:val="FF0000"/>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18A5D" w14:textId="312F8FF5" w:rsidR="009B74C0" w:rsidRDefault="00D63CEB">
    <w:pPr>
      <w:pStyle w:val="Footer"/>
      <w:jc w:val="center"/>
    </w:pPr>
    <w:r>
      <w:rPr>
        <w:noProof/>
        <w:lang w:val="sk-SK" w:eastAsia="zh-CN" w:bidi="ar-SA"/>
        <w14:ligatures w14:val="standardContextual"/>
      </w:rPr>
      <mc:AlternateContent>
        <mc:Choice Requires="wps">
          <w:drawing>
            <wp:anchor distT="0" distB="0" distL="0" distR="0" simplePos="0" relativeHeight="251663360" behindDoc="0" locked="0" layoutInCell="1" allowOverlap="1" wp14:anchorId="08B271DD" wp14:editId="5E5FA3B1">
              <wp:simplePos x="990600" y="9896475"/>
              <wp:positionH relativeFrom="page">
                <wp:align>left</wp:align>
              </wp:positionH>
              <wp:positionV relativeFrom="page">
                <wp:align>bottom</wp:align>
              </wp:positionV>
              <wp:extent cx="795020" cy="376555"/>
              <wp:effectExtent l="0" t="0" r="5080" b="0"/>
              <wp:wrapNone/>
              <wp:docPr id="1535423535" name="Textové pole 6"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95020" cy="376555"/>
                      </a:xfrm>
                      <a:prstGeom prst="rect">
                        <a:avLst/>
                      </a:prstGeom>
                      <a:noFill/>
                      <a:ln>
                        <a:noFill/>
                      </a:ln>
                    </wps:spPr>
                    <wps:txbx>
                      <w:txbxContent>
                        <w:p w14:paraId="2C275E28" w14:textId="5D748947" w:rsidR="00D63CEB" w:rsidRPr="00D63CEB" w:rsidRDefault="00D63CEB" w:rsidP="00D63CEB">
                          <w:pPr>
                            <w:rPr>
                              <w:rFonts w:ascii="Calibri" w:eastAsia="Calibri" w:hAnsi="Calibri" w:cs="Calibri"/>
                              <w:noProof/>
                              <w:color w:val="FF000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8B271DD" id="_x0000_t202" coordsize="21600,21600" o:spt="202" path="m,l,21600r21600,l21600,xe">
              <v:stroke joinstyle="miter"/>
              <v:path gradientshapeok="t" o:connecttype="rect"/>
            </v:shapetype>
            <v:shape id="Textové pole 6" o:spid="_x0000_s1029" type="#_x0000_t202" alt="INTERNÉ" style="position:absolute;left:0;text-align:left;margin-left:0;margin-top:0;width:62.6pt;height:29.6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" filled="f" stroked="f">
              <v:textbox style="mso-fit-shape-to-text:t" inset="20pt,0,0,15pt">
                <w:txbxContent>
                  <w:p w14:paraId="2C275E28" w14:textId="5D748947" w:rsidR="00D63CEB" w:rsidRPr="00D63CEB" w:rsidRDefault="00D63CEB" w:rsidP="00D63CEB">
                    <w:pPr>
                      <w:rPr>
                        <w:rFonts w:ascii="Calibri" w:eastAsia="Calibri" w:hAnsi="Calibri" w:cs="Calibri"/>
                        <w:noProof/>
                        <w:color w:val="FF0000"/>
                      </w:rPr>
                    </w:pPr>
                  </w:p>
                </w:txbxContent>
              </v:textbox>
              <w10:wrap anchorx="page" anchory="page"/>
            </v:shape>
          </w:pict>
        </mc:Fallback>
      </mc:AlternateContent>
    </w:r>
    <w:r w:rsidR="009B74C0">
      <w:fldChar w:fldCharType="begin"/>
    </w:r>
    <w:r w:rsidR="009B74C0">
      <w:instrText>PAGE   \* MERGEFORMAT</w:instrText>
    </w:r>
    <w:r w:rsidR="009B74C0">
      <w:fldChar w:fldCharType="separate"/>
    </w:r>
    <w:r w:rsidR="00E401FD">
      <w:rPr>
        <w:noProof/>
      </w:rPr>
      <w:t>1</w:t>
    </w:r>
    <w:r w:rsidR="009B74C0">
      <w:fldChar w:fldCharType="end"/>
    </w:r>
  </w:p>
  <w:p w14:paraId="3D45F763" w14:textId="77777777" w:rsidR="009B74C0" w:rsidRDefault="009B74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12F68" w14:textId="54994975" w:rsidR="009B74C0" w:rsidRDefault="00D63CEB">
    <w:pPr>
      <w:pStyle w:val="Footer"/>
      <w:jc w:val="right"/>
    </w:pPr>
    <w:r>
      <w:rPr>
        <w:noProof/>
        <w:lang w:val="sk-SK" w:eastAsia="zh-CN" w:bidi="ar-SA"/>
        <w14:ligatures w14:val="standardContextual"/>
      </w:rPr>
      <mc:AlternateContent>
        <mc:Choice Requires="wps">
          <w:drawing>
            <wp:anchor distT="0" distB="0" distL="0" distR="0" simplePos="0" relativeHeight="251661312" behindDoc="0" locked="0" layoutInCell="1" allowOverlap="1" wp14:anchorId="17A3FC67" wp14:editId="75B34006">
              <wp:simplePos x="635" y="635"/>
              <wp:positionH relativeFrom="page">
                <wp:align>left</wp:align>
              </wp:positionH>
              <wp:positionV relativeFrom="page">
                <wp:align>bottom</wp:align>
              </wp:positionV>
              <wp:extent cx="795020" cy="376555"/>
              <wp:effectExtent l="0" t="0" r="5080" b="0"/>
              <wp:wrapNone/>
              <wp:docPr id="956742665" name="Textové pole 4"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95020" cy="376555"/>
                      </a:xfrm>
                      <a:prstGeom prst="rect">
                        <a:avLst/>
                      </a:prstGeom>
                      <a:noFill/>
                      <a:ln>
                        <a:noFill/>
                      </a:ln>
                    </wps:spPr>
                    <wps:txbx>
                      <w:txbxContent>
                        <w:p w14:paraId="4569894C" w14:textId="7CC4FC3A" w:rsidR="00D63CEB" w:rsidRPr="00D63CEB" w:rsidRDefault="00D63CEB" w:rsidP="00D63CEB">
                          <w:pPr>
                            <w:rPr>
                              <w:rFonts w:ascii="Calibri" w:eastAsia="Calibri" w:hAnsi="Calibri" w:cs="Calibri"/>
                              <w:noProof/>
                              <w:color w:val="FF0000"/>
                            </w:rPr>
                          </w:pPr>
                          <w:r>
                            <w:rPr>
                              <w:rFonts w:ascii="Calibri" w:hAnsi="Calibri"/>
                              <w:noProof/>
                              <w:color w:val="FF0000"/>
                            </w:rPr>
                            <w:t>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7A3FC67" id="_x0000_t202" coordsize="21600,21600" o:spt="202" path="m,l,21600r21600,l21600,xe">
              <v:stroke joinstyle="miter"/>
              <v:path gradientshapeok="t" o:connecttype="rect"/>
            </v:shapetype>
            <v:shape id="Textové pole 4" o:spid="_x0000_s1031" type="#_x0000_t202" alt="INTERNÉ" style="position:absolute;left:0;text-align:left;margin-left:0;margin-top:0;width:62.6pt;height:29.6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" filled="f" stroked="f">
              <v:textbox style="mso-fit-shape-to-text:t" inset="20pt,0,0,15pt">
                <w:txbxContent>
                  <w:p w14:paraId="4569894C" w14:textId="7CC4FC3A" w:rsidR="00D63CEB" w:rsidRPr="00D63CEB" w:rsidRDefault="00D63CEB" w:rsidP="00D63CEB">
                    <w:pPr>
                      <w:rPr>
                        <w:rFonts w:ascii="Calibri" w:eastAsia="Calibri" w:hAnsi="Calibri" w:cs="Calibri"/>
                        <w:noProof/>
                        <w:color w:val="FF0000"/>
                      </w:rPr>
                    </w:pPr>
                    <w:r>
                      <w:rPr>
                        <w:rFonts w:ascii="Calibri" w:hAnsi="Calibri"/>
                        <w:noProof/>
                        <w:color w:val="FF0000"/>
                      </w:rPr>
                      <w:t>INTERNAL</w:t>
                    </w:r>
                  </w:p>
                </w:txbxContent>
              </v:textbox>
              <w10:wrap anchorx="page" anchory="page"/>
            </v:shape>
          </w:pict>
        </mc:Fallback>
      </mc:AlternateContent>
    </w:r>
  </w:p>
  <w:sdt>
    <w:sdtPr>
      <w:id w:val="-1000120800"/>
      <w:docPartObj>
        <w:docPartGallery w:val="Page Numbers (Bottom of Page)"/>
        <w:docPartUnique/>
      </w:docPartObj>
    </w:sdtPr>
    <w:sdtEndPr/>
    <w:sdtContent>
      <w:p w14:paraId="45B6E9E2" w14:textId="77777777" w:rsidR="009B74C0" w:rsidRDefault="009B74C0">
        <w:pPr>
          <w:pStyle w:val="Footer"/>
          <w:jc w:val="right"/>
        </w:pPr>
        <w:r>
          <w:fldChar w:fldCharType="begin"/>
        </w:r>
        <w:r>
          <w:instrText>PAGE   \* MERGEFORMAT</w:instrText>
        </w:r>
        <w:r>
          <w:fldChar w:fldCharType="separate"/>
        </w:r>
        <w:r>
          <w:t>2</w:t>
        </w:r>
        <w:r>
          <w:fldChar w:fldCharType="end"/>
        </w:r>
      </w:p>
    </w:sdtContent>
  </w:sdt>
  <w:p w14:paraId="045BB3E6" w14:textId="77777777" w:rsidR="009B74C0" w:rsidRDefault="009B74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8F5A6" w14:textId="77777777" w:rsidR="00693A85" w:rsidRDefault="00693A85" w:rsidP="00C12CA2">
      <w:r>
        <w:separator/>
      </w:r>
    </w:p>
  </w:footnote>
  <w:footnote w:type="continuationSeparator" w:id="0">
    <w:p w14:paraId="460340AD" w14:textId="77777777" w:rsidR="00693A85" w:rsidRDefault="00693A85" w:rsidP="00C12CA2">
      <w:r>
        <w:continuationSeparator/>
      </w:r>
    </w:p>
  </w:footnote>
  <w:footnote w:id="1">
    <w:p w14:paraId="7C778C98" w14:textId="77777777" w:rsidR="00CF06B3" w:rsidRDefault="00CF06B3" w:rsidP="00CF06B3">
      <w:pPr>
        <w:pStyle w:val="FootnoteText"/>
      </w:pPr>
      <w:r>
        <w:rPr>
          <w:rStyle w:val="FootnoteReference"/>
        </w:rPr>
        <w:footnoteRef/>
      </w:r>
      <w:r>
        <w:t xml:space="preserve"> </w:t>
      </w:r>
      <w:hyperlink r:id="rId1" w:history="1">
        <w:r w:rsidRPr="00D46AC0">
          <w:rPr>
            <w:rStyle w:val="Hyperlink"/>
            <w:lang w:val="sk-SK" w:eastAsia="sk-SK" w:bidi="ar-SA"/>
          </w:rPr>
          <w:t>https://mpc-edu.sk/sk/edu/group/3581</w:t>
        </w:r>
      </w:hyperlink>
      <w:r>
        <w:rPr>
          <w:rStyle w:val="Hyperlink"/>
          <w:lang w:val="sk-SK" w:eastAsia="sk-SK" w:bidi="ar-SA"/>
        </w:rPr>
        <w:t xml:space="preserve"> </w:t>
      </w:r>
      <w:r w:rsidRPr="00D830C5">
        <w:rPr>
          <w:rStyle w:val="Hyperlink"/>
        </w:rPr>
        <w:t>(in Slovak)</w:t>
      </w:r>
    </w:p>
  </w:footnote>
  <w:footnote w:id="2">
    <w:p w14:paraId="1159956A" w14:textId="77777777" w:rsidR="00CF06B3" w:rsidRDefault="00CF06B3" w:rsidP="00CF06B3">
      <w:pPr>
        <w:pStyle w:val="FootnoteText"/>
      </w:pPr>
      <w:r>
        <w:rPr>
          <w:rStyle w:val="FootnoteReference"/>
        </w:rPr>
        <w:footnoteRef/>
      </w:r>
      <w:r>
        <w:t xml:space="preserve"> </w:t>
      </w:r>
      <w:hyperlink r:id="rId2" w:history="1">
        <w:r w:rsidRPr="00D46AC0">
          <w:rPr>
            <w:rStyle w:val="Hyperlink"/>
            <w:lang w:val="sk-SK" w:eastAsia="sk-SK" w:bidi="ar-SA"/>
          </w:rPr>
          <w:t>https://nivam.sk/pietna-spomienka-obeti-holokaustu/</w:t>
        </w:r>
      </w:hyperlink>
      <w:r>
        <w:rPr>
          <w:rStyle w:val="Hyperlink"/>
          <w:lang w:val="sk-SK" w:eastAsia="sk-SK" w:bidi="ar-SA"/>
        </w:rPr>
        <w:t xml:space="preserve"> </w:t>
      </w:r>
      <w:r w:rsidRPr="00D830C5">
        <w:rPr>
          <w:rStyle w:val="Hyperlink"/>
        </w:rPr>
        <w:t>(in Slovak)</w:t>
      </w:r>
    </w:p>
  </w:footnote>
  <w:footnote w:id="3">
    <w:p w14:paraId="34C5B017" w14:textId="77777777" w:rsidR="00CF06B3" w:rsidRDefault="00CF06B3" w:rsidP="00CF06B3">
      <w:pPr>
        <w:pStyle w:val="FootnoteText"/>
      </w:pPr>
      <w:r>
        <w:rPr>
          <w:rStyle w:val="FootnoteReference"/>
        </w:rPr>
        <w:footnoteRef/>
      </w:r>
      <w:r>
        <w:t xml:space="preserve"> </w:t>
      </w:r>
      <w:hyperlink r:id="rId3" w:history="1">
        <w:r w:rsidRPr="00D46AC0">
          <w:rPr>
            <w:rStyle w:val="Hyperlink"/>
            <w:lang w:val="sk-SK" w:eastAsia="sk-SK" w:bidi="ar-SA"/>
          </w:rPr>
          <w:t>https://www.minedu.sk/data/att/9b7/29507.ebb609.pdf</w:t>
        </w:r>
      </w:hyperlink>
      <w:r>
        <w:rPr>
          <w:rStyle w:val="Hyperlink"/>
          <w:lang w:val="sk-SK" w:eastAsia="sk-SK" w:bidi="ar-SA"/>
        </w:rPr>
        <w:t xml:space="preserve"> </w:t>
      </w:r>
      <w:r w:rsidRPr="00D830C5">
        <w:rPr>
          <w:rStyle w:val="Hyperlink"/>
        </w:rPr>
        <w:t>(in Slovak)</w:t>
      </w:r>
    </w:p>
  </w:footnote>
  <w:footnote w:id="4">
    <w:p w14:paraId="2783454F" w14:textId="77777777" w:rsidR="00E84B24" w:rsidRDefault="00E84B24" w:rsidP="00E84B24">
      <w:pPr>
        <w:pStyle w:val="FootnoteText"/>
      </w:pPr>
      <w:r>
        <w:rPr>
          <w:rStyle w:val="FootnoteReference"/>
        </w:rPr>
        <w:footnoteRef/>
      </w:r>
      <w:r>
        <w:t xml:space="preserve"> </w:t>
      </w:r>
      <w:hyperlink r:id="rId4" w:history="1">
        <w:r w:rsidRPr="00D46AC0">
          <w:rPr>
            <w:rStyle w:val="Hyperlink"/>
            <w:lang w:val="sk-SK" w:eastAsia="sk-SK" w:bidi="ar-SA"/>
          </w:rPr>
          <w:t>https://spolu-together-jekhetane.sk/sk</w:t>
        </w:r>
      </w:hyperlink>
      <w:r>
        <w:rPr>
          <w:rStyle w:val="Hyperlink"/>
          <w:lang w:val="sk-SK" w:eastAsia="sk-SK" w:bidi="ar-SA"/>
        </w:rPr>
        <w:t xml:space="preserve"> </w:t>
      </w:r>
      <w:r w:rsidRPr="00D86F34">
        <w:rPr>
          <w:rStyle w:val="Hyperlink"/>
          <w:lang w:val="sk-SK" w:eastAsia="sk-SK" w:bidi="ar-SA"/>
        </w:rPr>
        <w:t xml:space="preserve">(in Slovak) </w:t>
      </w:r>
    </w:p>
  </w:footnote>
  <w:footnote w:id="5">
    <w:p w14:paraId="7206B625" w14:textId="77777777" w:rsidR="00E84B24" w:rsidRPr="00D86F34" w:rsidRDefault="00E84B24" w:rsidP="00E84B24">
      <w:pPr>
        <w:pStyle w:val="FootnoteText"/>
        <w:rPr>
          <w:rStyle w:val="Hyperlink"/>
          <w:lang w:val="sk-SK" w:eastAsia="sk-SK" w:bidi="ar-SA"/>
        </w:rPr>
      </w:pPr>
      <w:r>
        <w:rPr>
          <w:rStyle w:val="FootnoteReference"/>
        </w:rPr>
        <w:footnoteRef/>
      </w:r>
      <w:r>
        <w:t xml:space="preserve"> </w:t>
      </w:r>
      <w:hyperlink r:id="rId5" w:history="1">
        <w:r w:rsidRPr="00D46AC0">
          <w:rPr>
            <w:rStyle w:val="Hyperlink"/>
            <w:lang w:val="sk-SK" w:eastAsia="sk-SK" w:bidi="ar-SA"/>
          </w:rPr>
          <w:t>https://www.statpedu.sk/sk/o-organizacii/projekty/spolu-romami-dosiahneme-viac-ii/</w:t>
        </w:r>
      </w:hyperlink>
      <w:r>
        <w:rPr>
          <w:rStyle w:val="Hyperlink"/>
          <w:lang w:val="sk-SK" w:eastAsia="sk-SK" w:bidi="ar-SA"/>
        </w:rPr>
        <w:t xml:space="preserve"> </w:t>
      </w:r>
      <w:r w:rsidRPr="00D86F34">
        <w:rPr>
          <w:rStyle w:val="Hyperlink"/>
          <w:lang w:val="sk-SK" w:eastAsia="sk-SK" w:bidi="ar-SA"/>
        </w:rPr>
        <w:t>(in Slovak)</w:t>
      </w:r>
    </w:p>
  </w:footnote>
  <w:footnote w:id="6">
    <w:p w14:paraId="041C53D8" w14:textId="77777777" w:rsidR="00C12CA2" w:rsidRDefault="00C12CA2" w:rsidP="00C12CA2">
      <w:pPr>
        <w:pStyle w:val="FootnoteText"/>
      </w:pPr>
      <w:r>
        <w:rPr>
          <w:rStyle w:val="FootnoteReference"/>
        </w:rPr>
        <w:footnoteRef/>
      </w:r>
      <w:r>
        <w:t xml:space="preserve"> Act No. 55/2022 Coll. on certain measures in connection with the situation in Ukraine</w:t>
      </w:r>
    </w:p>
  </w:footnote>
  <w:footnote w:id="7">
    <w:p w14:paraId="4DC92E88" w14:textId="77777777" w:rsidR="00C12CA2" w:rsidRDefault="00C12CA2" w:rsidP="00C12CA2">
      <w:pPr>
        <w:pStyle w:val="FootnoteText"/>
      </w:pPr>
      <w:r>
        <w:rPr>
          <w:rStyle w:val="FootnoteReference"/>
        </w:rPr>
        <w:footnoteRef/>
      </w:r>
      <w:r>
        <w:t xml:space="preserve"> Act No. 92/2022 Coll. on certain other measures in connection with the situation in Ukraine</w:t>
      </w:r>
    </w:p>
  </w:footnote>
  <w:footnote w:id="8">
    <w:p w14:paraId="3A0AF68E" w14:textId="77777777" w:rsidR="00C12CA2" w:rsidRDefault="00C12CA2" w:rsidP="00C12CA2">
      <w:pPr>
        <w:pStyle w:val="FootnoteText"/>
      </w:pPr>
      <w:r>
        <w:rPr>
          <w:rStyle w:val="FootnoteReference"/>
        </w:rPr>
        <w:footnoteRef/>
      </w:r>
      <w:r>
        <w:t xml:space="preserve"> Act No. 199/2022 Coll. on certain social measures in connection with the situation in Ukraine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B574B" w14:textId="26536059" w:rsidR="00D63CEB" w:rsidRDefault="00D63CEB">
    <w:pPr>
      <w:pStyle w:val="Header"/>
    </w:pPr>
    <w:r>
      <w:rPr>
        <w:noProof/>
        <w:lang w:val="sk-SK" w:eastAsia="zh-CN" w:bidi="ar-SA"/>
        <w14:ligatures w14:val="standardContextual"/>
      </w:rPr>
      <mc:AlternateContent>
        <mc:Choice Requires="wps">
          <w:drawing>
            <wp:anchor distT="0" distB="0" distL="0" distR="0" simplePos="0" relativeHeight="251659264" behindDoc="0" locked="0" layoutInCell="1" allowOverlap="1" wp14:anchorId="67A404C8" wp14:editId="1F330507">
              <wp:simplePos x="635" y="635"/>
              <wp:positionH relativeFrom="page">
                <wp:align>right</wp:align>
              </wp:positionH>
              <wp:positionV relativeFrom="page">
                <wp:align>top</wp:align>
              </wp:positionV>
              <wp:extent cx="795020" cy="376555"/>
              <wp:effectExtent l="0" t="0" r="0" b="4445"/>
              <wp:wrapNone/>
              <wp:docPr id="1955263647" name="Textové pole 2" descr="INTERNÉ">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95020" cy="376555"/>
                      </a:xfrm>
                      <a:prstGeom prst="rect">
                        <a:avLst/>
                      </a:prstGeom>
                      <a:noFill/>
                      <a:ln>
                        <a:noFill/>
                      </a:ln>
                    </wps:spPr>
                    <wps:txbx>
                      <w:txbxContent>
                        <w:p w14:paraId="77F84DA3" w14:textId="0BC75689" w:rsidR="00D63CEB" w:rsidRPr="00D63CEB" w:rsidRDefault="00D63CEB" w:rsidP="00D63CEB">
                          <w:pPr>
                            <w:rPr>
                              <w:rFonts w:ascii="Calibri" w:eastAsia="Calibri" w:hAnsi="Calibri" w:cs="Calibri"/>
                              <w:noProof/>
                              <w:color w:val="FF0000"/>
                            </w:rPr>
                          </w:pPr>
                          <w:r>
                            <w:rPr>
                              <w:rFonts w:ascii="Calibri" w:hAnsi="Calibri"/>
                              <w:noProof/>
                              <w:color w:val="FF0000"/>
                            </w:rPr>
                            <w:t>INTERNAL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7A404C8" id="_x0000_t202" coordsize="21600,21600" o:spt="202" path="m,l,21600r21600,l21600,xe">
              <v:stroke joinstyle="miter"/>
              <v:path gradientshapeok="t" o:connecttype="rect"/>
            </v:shapetype>
            <v:shape id="Textové pole 2" o:spid="_x0000_s1026" type="#_x0000_t202" alt="INTERNÉ" style="position:absolute;margin-left:11.4pt;margin-top:0;width:62.6pt;height:29.65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" filled="f" stroked="f">
              <v:textbox style="mso-fit-shape-to-text:t" inset="0,15pt,20pt,0">
                <w:txbxContent>
                  <w:p w14:paraId="77F84DA3" w14:textId="0BC75689" w:rsidR="00D63CEB" w:rsidRPr="00D63CEB" w:rsidRDefault="00D63CEB" w:rsidP="00D63CEB">
                    <w:pPr>
                      <w:rPr>
                        <w:rFonts w:ascii="Calibri" w:eastAsia="Calibri" w:hAnsi="Calibri" w:cs="Calibri"/>
                        <w:noProof/>
                        <w:color w:val="FF0000"/>
                      </w:rPr>
                    </w:pPr>
                    <w:r>
                      <w:rPr>
                        <w:rFonts w:ascii="Calibri" w:hAnsi="Calibri"/>
                        <w:noProof/>
                        <w:color w:val="FF0000"/>
                      </w:rPr>
                      <w:t>INTERNAL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2664C" w14:textId="5DEA82E2" w:rsidR="00D63CEB" w:rsidRDefault="00D63CEB">
    <w:pPr>
      <w:pStyle w:val="Header"/>
    </w:pPr>
    <w:r>
      <w:rPr>
        <w:noProof/>
        <w:lang w:val="sk-SK" w:eastAsia="zh-CN" w:bidi="ar-SA"/>
        <w14:ligatures w14:val="standardContextual"/>
      </w:rPr>
      <mc:AlternateContent>
        <mc:Choice Requires="wps">
          <w:drawing>
            <wp:anchor distT="0" distB="0" distL="0" distR="0" simplePos="0" relativeHeight="251660288" behindDoc="0" locked="0" layoutInCell="1" allowOverlap="1" wp14:anchorId="08AC0A86" wp14:editId="08BD6608">
              <wp:simplePos x="990600" y="447675"/>
              <wp:positionH relativeFrom="page">
                <wp:align>right</wp:align>
              </wp:positionH>
              <wp:positionV relativeFrom="page">
                <wp:align>top</wp:align>
              </wp:positionV>
              <wp:extent cx="795020" cy="376555"/>
              <wp:effectExtent l="0" t="0" r="0" b="4445"/>
              <wp:wrapNone/>
              <wp:docPr id="525240268" name="Textové pole 3" descr="INTERNÉ">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95020" cy="376555"/>
                      </a:xfrm>
                      <a:prstGeom prst="rect">
                        <a:avLst/>
                      </a:prstGeom>
                      <a:noFill/>
                      <a:ln>
                        <a:noFill/>
                      </a:ln>
                    </wps:spPr>
                    <wps:txbx>
                      <w:txbxContent>
                        <w:p w14:paraId="0467FC41" w14:textId="5F9475B5" w:rsidR="00D63CEB" w:rsidRPr="00D63CEB" w:rsidRDefault="00D63CEB" w:rsidP="00D63CEB">
                          <w:pPr>
                            <w:rPr>
                              <w:rFonts w:ascii="Calibri" w:eastAsia="Calibri" w:hAnsi="Calibri" w:cs="Calibri"/>
                              <w:noProof/>
                              <w:color w:val="FF000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8AC0A86" id="_x0000_t202" coordsize="21600,21600" o:spt="202" path="m,l,21600r21600,l21600,xe">
              <v:stroke joinstyle="miter"/>
              <v:path gradientshapeok="t" o:connecttype="rect"/>
            </v:shapetype>
            <v:shape id="Textové pole 3" o:spid="_x0000_s1027" type="#_x0000_t202" alt="INTERNÉ" style="position:absolute;margin-left:11.4pt;margin-top:0;width:62.6pt;height:29.65pt;z-index:25166028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" filled="f" stroked="f">
              <v:textbox style="mso-fit-shape-to-text:t" inset="0,15pt,20pt,0">
                <w:txbxContent>
                  <w:p w14:paraId="0467FC41" w14:textId="5F9475B5" w:rsidR="00D63CEB" w:rsidRPr="00D63CEB" w:rsidRDefault="00D63CEB" w:rsidP="00D63CEB">
                    <w:pPr>
                      <w:rPr>
                        <w:rFonts w:ascii="Calibri" w:eastAsia="Calibri" w:hAnsi="Calibri" w:cs="Calibri"/>
                        <w:noProof/>
                        <w:color w:val="FF0000"/>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98853" w14:textId="70C599DB" w:rsidR="00D63CEB" w:rsidRDefault="00D63CEB">
    <w:pPr>
      <w:pStyle w:val="Header"/>
    </w:pPr>
    <w:r>
      <w:rPr>
        <w:noProof/>
        <w:lang w:val="sk-SK" w:eastAsia="zh-CN" w:bidi="ar-SA"/>
        <w14:ligatures w14:val="standardContextual"/>
      </w:rPr>
      <mc:AlternateContent>
        <mc:Choice Requires="wps">
          <w:drawing>
            <wp:anchor distT="0" distB="0" distL="0" distR="0" simplePos="0" relativeHeight="251658240" behindDoc="0" locked="0" layoutInCell="1" allowOverlap="1" wp14:anchorId="67AC694E" wp14:editId="495A2893">
              <wp:simplePos x="635" y="635"/>
              <wp:positionH relativeFrom="page">
                <wp:align>right</wp:align>
              </wp:positionH>
              <wp:positionV relativeFrom="page">
                <wp:align>top</wp:align>
              </wp:positionV>
              <wp:extent cx="795020" cy="376555"/>
              <wp:effectExtent l="0" t="0" r="0" b="4445"/>
              <wp:wrapNone/>
              <wp:docPr id="73286640" name="Textové pole 1" descr="INTERNÉ">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95020" cy="376555"/>
                      </a:xfrm>
                      <a:prstGeom prst="rect">
                        <a:avLst/>
                      </a:prstGeom>
                      <a:noFill/>
                      <a:ln>
                        <a:noFill/>
                      </a:ln>
                    </wps:spPr>
                    <wps:txbx>
                      <w:txbxContent>
                        <w:p w14:paraId="41F5A632" w14:textId="07F593A6" w:rsidR="00D63CEB" w:rsidRPr="00D63CEB" w:rsidRDefault="00D63CEB" w:rsidP="00D63CEB">
                          <w:pPr>
                            <w:rPr>
                              <w:rFonts w:ascii="Calibri" w:eastAsia="Calibri" w:hAnsi="Calibri" w:cs="Calibri"/>
                              <w:noProof/>
                              <w:color w:val="FF0000"/>
                            </w:rPr>
                          </w:pPr>
                          <w:r>
                            <w:rPr>
                              <w:rFonts w:ascii="Calibri" w:hAnsi="Calibri"/>
                              <w:noProof/>
                              <w:color w:val="FF0000"/>
                            </w:rPr>
                            <w:t>INTERNAL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7AC694E" id="_x0000_t202" coordsize="21600,21600" o:spt="202" path="m,l,21600r21600,l21600,xe">
              <v:stroke joinstyle="miter"/>
              <v:path gradientshapeok="t" o:connecttype="rect"/>
            </v:shapetype>
            <v:shape id="Textové pole 1" o:spid="_x0000_s1030" type="#_x0000_t202" alt="INTERNÉ" style="position:absolute;margin-left:11.4pt;margin-top:0;width:62.6pt;height:29.6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" filled="f" stroked="f">
              <v:textbox style="mso-fit-shape-to-text:t" inset="0,15pt,20pt,0">
                <w:txbxContent>
                  <w:p w14:paraId="41F5A632" w14:textId="07F593A6" w:rsidR="00D63CEB" w:rsidRPr="00D63CEB" w:rsidRDefault="00D63CEB" w:rsidP="00D63CEB">
                    <w:pPr>
                      <w:rPr>
                        <w:rFonts w:ascii="Calibri" w:eastAsia="Calibri" w:hAnsi="Calibri" w:cs="Calibri"/>
                        <w:noProof/>
                        <w:color w:val="FF0000"/>
                      </w:rPr>
                    </w:pPr>
                    <w:r>
                      <w:rPr>
                        <w:rFonts w:ascii="Calibri" w:hAnsi="Calibri"/>
                        <w:noProof/>
                        <w:color w:val="FF0000"/>
                      </w:rPr>
                      <w:t>INTERNAL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6F11B2"/>
    <w:multiLevelType w:val="hybridMultilevel"/>
    <w:tmpl w:val="FFFFFFFF"/>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1A80582F"/>
    <w:multiLevelType w:val="hybridMultilevel"/>
    <w:tmpl w:val="FFFFFFFF"/>
    <w:lvl w:ilvl="0" w:tplc="041B0001">
      <w:start w:val="1"/>
      <w:numFmt w:val="bullet"/>
      <w:lvlText w:val=""/>
      <w:lvlJc w:val="left"/>
      <w:pPr>
        <w:ind w:left="720" w:hanging="360"/>
      </w:pPr>
      <w:rPr>
        <w:rFonts w:ascii="Symbol" w:hAnsi="Symbol" w:hint="default"/>
        <w:b w:val="0"/>
        <w:i w:val="0"/>
        <w:color w:val="auto"/>
      </w:rPr>
    </w:lvl>
    <w:lvl w:ilvl="1" w:tplc="FFFFFFFF">
      <w:start w:val="3"/>
      <w:numFmt w:val="bullet"/>
      <w:lvlText w:val="-"/>
      <w:lvlJc w:val="left"/>
      <w:pPr>
        <w:ind w:left="1440" w:hanging="360"/>
      </w:pPr>
      <w:rPr>
        <w:rFonts w:ascii="Times New Roman" w:eastAsia="Times New Roman" w:hAnsi="Times New Roman"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 w15:restartNumberingAfterBreak="0">
    <w:nsid w:val="2B714D75"/>
    <w:multiLevelType w:val="hybridMultilevel"/>
    <w:tmpl w:val="FFFFFFFF"/>
    <w:lvl w:ilvl="0" w:tplc="041B0001">
      <w:start w:val="1"/>
      <w:numFmt w:val="bullet"/>
      <w:lvlText w:val=""/>
      <w:lvlJc w:val="left"/>
      <w:pPr>
        <w:ind w:left="720" w:hanging="360"/>
      </w:pPr>
      <w:rPr>
        <w:rFonts w:ascii="Symbol" w:hAnsi="Symbol" w:hint="default"/>
        <w:b w:val="0"/>
        <w:i w:val="0"/>
        <w:color w:val="auto"/>
      </w:rPr>
    </w:lvl>
    <w:lvl w:ilvl="1" w:tplc="FFFFFFFF">
      <w:start w:val="3"/>
      <w:numFmt w:val="bullet"/>
      <w:lvlText w:val="-"/>
      <w:lvlJc w:val="left"/>
      <w:pPr>
        <w:ind w:left="1440" w:hanging="360"/>
      </w:pPr>
      <w:rPr>
        <w:rFonts w:ascii="Times New Roman" w:eastAsia="Times New Roman" w:hAnsi="Times New Roman"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 w15:restartNumberingAfterBreak="0">
    <w:nsid w:val="31A00902"/>
    <w:multiLevelType w:val="hybridMultilevel"/>
    <w:tmpl w:val="FFFFFFFF"/>
    <w:lvl w:ilvl="0" w:tplc="041B0001">
      <w:start w:val="1"/>
      <w:numFmt w:val="bullet"/>
      <w:lvlText w:val=""/>
      <w:lvlJc w:val="left"/>
      <w:pPr>
        <w:ind w:left="720" w:hanging="360"/>
      </w:pPr>
      <w:rPr>
        <w:rFonts w:ascii="Symbol" w:hAnsi="Symbol" w:hint="default"/>
        <w:b w:val="0"/>
        <w:i w:val="0"/>
        <w:color w:val="auto"/>
      </w:rPr>
    </w:lvl>
    <w:lvl w:ilvl="1" w:tplc="FFFFFFFF">
      <w:start w:val="3"/>
      <w:numFmt w:val="bullet"/>
      <w:lvlText w:val="-"/>
      <w:lvlJc w:val="left"/>
      <w:pPr>
        <w:ind w:left="1440" w:hanging="360"/>
      </w:pPr>
      <w:rPr>
        <w:rFonts w:ascii="Times New Roman" w:eastAsia="Times New Roman" w:hAnsi="Times New Roman"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 w15:restartNumberingAfterBreak="0">
    <w:nsid w:val="33E81287"/>
    <w:multiLevelType w:val="hybridMultilevel"/>
    <w:tmpl w:val="FFFFFFFF"/>
    <w:lvl w:ilvl="0" w:tplc="4A40D9A2">
      <w:start w:val="1"/>
      <w:numFmt w:val="decimal"/>
      <w:lvlText w:val="%1."/>
      <w:lvlJc w:val="left"/>
      <w:pPr>
        <w:ind w:left="360" w:hanging="360"/>
      </w:pPr>
      <w:rPr>
        <w:rFonts w:cs="Times New Roman"/>
        <w:b w:val="0"/>
        <w:bCs/>
        <w:i w:val="0"/>
        <w:iCs w:val="0"/>
        <w:color w:val="auto"/>
      </w:rPr>
    </w:lvl>
    <w:lvl w:ilvl="1" w:tplc="33800258">
      <w:start w:val="3"/>
      <w:numFmt w:val="bullet"/>
      <w:lvlText w:val="-"/>
      <w:lvlJc w:val="left"/>
      <w:pPr>
        <w:ind w:left="1440" w:hanging="360"/>
      </w:pPr>
      <w:rPr>
        <w:rFonts w:ascii="Times New Roman" w:eastAsia="Times New Roman" w:hAnsi="Times New Roman" w:hint="default"/>
      </w:rPr>
    </w:lvl>
    <w:lvl w:ilvl="2" w:tplc="ADD661B8">
      <w:start w:val="1"/>
      <w:numFmt w:val="lowerLetter"/>
      <w:lvlText w:val="%3)"/>
      <w:lvlJc w:val="left"/>
      <w:pPr>
        <w:ind w:left="2340" w:hanging="360"/>
      </w:pPr>
      <w:rPr>
        <w:rFonts w:cs="Times New Roman" w:hint="default"/>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5" w15:restartNumberingAfterBreak="0">
    <w:nsid w:val="35D32E39"/>
    <w:multiLevelType w:val="hybridMultilevel"/>
    <w:tmpl w:val="6E807D4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37450AFB"/>
    <w:multiLevelType w:val="hybridMultilevel"/>
    <w:tmpl w:val="FFFFFFFF"/>
    <w:lvl w:ilvl="0" w:tplc="041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76B4A16"/>
    <w:multiLevelType w:val="hybridMultilevel"/>
    <w:tmpl w:val="FFFFFFFF"/>
    <w:lvl w:ilvl="0" w:tplc="041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23A6750"/>
    <w:multiLevelType w:val="hybridMultilevel"/>
    <w:tmpl w:val="FFFFFFFF"/>
    <w:lvl w:ilvl="0" w:tplc="041B0001">
      <w:start w:val="1"/>
      <w:numFmt w:val="bullet"/>
      <w:lvlText w:val=""/>
      <w:lvlJc w:val="left"/>
      <w:pPr>
        <w:ind w:left="1800" w:hanging="360"/>
      </w:pPr>
      <w:rPr>
        <w:rFonts w:ascii="Symbol" w:hAnsi="Symbol" w:hint="default"/>
      </w:rPr>
    </w:lvl>
    <w:lvl w:ilvl="1" w:tplc="041B0003" w:tentative="1">
      <w:start w:val="1"/>
      <w:numFmt w:val="bullet"/>
      <w:lvlText w:val="o"/>
      <w:lvlJc w:val="left"/>
      <w:pPr>
        <w:ind w:left="2520" w:hanging="360"/>
      </w:pPr>
      <w:rPr>
        <w:rFonts w:ascii="Courier New" w:hAnsi="Courier New" w:hint="default"/>
      </w:rPr>
    </w:lvl>
    <w:lvl w:ilvl="2" w:tplc="041B0005" w:tentative="1">
      <w:start w:val="1"/>
      <w:numFmt w:val="bullet"/>
      <w:lvlText w:val=""/>
      <w:lvlJc w:val="left"/>
      <w:pPr>
        <w:ind w:left="3240" w:hanging="360"/>
      </w:pPr>
      <w:rPr>
        <w:rFonts w:ascii="Wingdings" w:hAnsi="Wingdings" w:hint="default"/>
      </w:rPr>
    </w:lvl>
    <w:lvl w:ilvl="3" w:tplc="041B0001" w:tentative="1">
      <w:start w:val="1"/>
      <w:numFmt w:val="bullet"/>
      <w:lvlText w:val=""/>
      <w:lvlJc w:val="left"/>
      <w:pPr>
        <w:ind w:left="3960" w:hanging="360"/>
      </w:pPr>
      <w:rPr>
        <w:rFonts w:ascii="Symbol" w:hAnsi="Symbol" w:hint="default"/>
      </w:rPr>
    </w:lvl>
    <w:lvl w:ilvl="4" w:tplc="041B0003" w:tentative="1">
      <w:start w:val="1"/>
      <w:numFmt w:val="bullet"/>
      <w:lvlText w:val="o"/>
      <w:lvlJc w:val="left"/>
      <w:pPr>
        <w:ind w:left="4680" w:hanging="360"/>
      </w:pPr>
      <w:rPr>
        <w:rFonts w:ascii="Courier New" w:hAnsi="Courier New" w:hint="default"/>
      </w:rPr>
    </w:lvl>
    <w:lvl w:ilvl="5" w:tplc="041B0005" w:tentative="1">
      <w:start w:val="1"/>
      <w:numFmt w:val="bullet"/>
      <w:lvlText w:val=""/>
      <w:lvlJc w:val="left"/>
      <w:pPr>
        <w:ind w:left="5400" w:hanging="360"/>
      </w:pPr>
      <w:rPr>
        <w:rFonts w:ascii="Wingdings" w:hAnsi="Wingdings" w:hint="default"/>
      </w:rPr>
    </w:lvl>
    <w:lvl w:ilvl="6" w:tplc="041B0001" w:tentative="1">
      <w:start w:val="1"/>
      <w:numFmt w:val="bullet"/>
      <w:lvlText w:val=""/>
      <w:lvlJc w:val="left"/>
      <w:pPr>
        <w:ind w:left="6120" w:hanging="360"/>
      </w:pPr>
      <w:rPr>
        <w:rFonts w:ascii="Symbol" w:hAnsi="Symbol" w:hint="default"/>
      </w:rPr>
    </w:lvl>
    <w:lvl w:ilvl="7" w:tplc="041B0003" w:tentative="1">
      <w:start w:val="1"/>
      <w:numFmt w:val="bullet"/>
      <w:lvlText w:val="o"/>
      <w:lvlJc w:val="left"/>
      <w:pPr>
        <w:ind w:left="6840" w:hanging="360"/>
      </w:pPr>
      <w:rPr>
        <w:rFonts w:ascii="Courier New" w:hAnsi="Courier New" w:hint="default"/>
      </w:rPr>
    </w:lvl>
    <w:lvl w:ilvl="8" w:tplc="041B0005" w:tentative="1">
      <w:start w:val="1"/>
      <w:numFmt w:val="bullet"/>
      <w:lvlText w:val=""/>
      <w:lvlJc w:val="left"/>
      <w:pPr>
        <w:ind w:left="7560" w:hanging="360"/>
      </w:pPr>
      <w:rPr>
        <w:rFonts w:ascii="Wingdings" w:hAnsi="Wingdings" w:hint="default"/>
      </w:rPr>
    </w:lvl>
  </w:abstractNum>
  <w:abstractNum w:abstractNumId="9" w15:restartNumberingAfterBreak="0">
    <w:nsid w:val="44890696"/>
    <w:multiLevelType w:val="hybridMultilevel"/>
    <w:tmpl w:val="FFFFFFFF"/>
    <w:lvl w:ilvl="0" w:tplc="FFFFFFFF">
      <w:start w:val="1"/>
      <w:numFmt w:val="decimal"/>
      <w:lvlText w:val="%1."/>
      <w:lvlJc w:val="left"/>
      <w:pPr>
        <w:ind w:left="720" w:hanging="360"/>
      </w:pPr>
      <w:rPr>
        <w:rFonts w:cs="Times New Roman"/>
        <w:b w:val="0"/>
        <w:bCs/>
        <w:i w:val="0"/>
        <w:iCs w:val="0"/>
        <w:color w:val="auto"/>
      </w:rPr>
    </w:lvl>
    <w:lvl w:ilvl="1" w:tplc="041B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0" w15:restartNumberingAfterBreak="0">
    <w:nsid w:val="4FB9438F"/>
    <w:multiLevelType w:val="hybridMultilevel"/>
    <w:tmpl w:val="FFFFFFFF"/>
    <w:lvl w:ilvl="0" w:tplc="33800258">
      <w:start w:val="3"/>
      <w:numFmt w:val="bullet"/>
      <w:lvlText w:val="-"/>
      <w:lvlJc w:val="left"/>
      <w:pPr>
        <w:ind w:left="720" w:hanging="360"/>
      </w:pPr>
      <w:rPr>
        <w:rFonts w:ascii="Times New Roman" w:eastAsia="Times New Roman" w:hAnsi="Times New Roman"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546327A5"/>
    <w:multiLevelType w:val="hybridMultilevel"/>
    <w:tmpl w:val="60A61802"/>
    <w:lvl w:ilvl="0" w:tplc="FFFFFFFF">
      <w:start w:val="3"/>
      <w:numFmt w:val="bullet"/>
      <w:lvlText w:val="-"/>
      <w:lvlJc w:val="left"/>
      <w:pPr>
        <w:ind w:left="1068" w:hanging="360"/>
      </w:pPr>
      <w:rPr>
        <w:rFonts w:ascii="Times New Roman" w:eastAsia="Times New Roman" w:hAnsi="Times New Roman" w:hint="default"/>
      </w:rPr>
    </w:lvl>
    <w:lvl w:ilvl="1" w:tplc="041B0003" w:tentative="1">
      <w:start w:val="1"/>
      <w:numFmt w:val="bullet"/>
      <w:lvlText w:val="o"/>
      <w:lvlJc w:val="left"/>
      <w:pPr>
        <w:ind w:left="1788" w:hanging="360"/>
      </w:pPr>
      <w:rPr>
        <w:rFonts w:ascii="Courier New" w:hAnsi="Courier New" w:cs="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12" w15:restartNumberingAfterBreak="0">
    <w:nsid w:val="59BD656D"/>
    <w:multiLevelType w:val="hybridMultilevel"/>
    <w:tmpl w:val="FFFFFFFF"/>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60FF7072"/>
    <w:multiLevelType w:val="hybridMultilevel"/>
    <w:tmpl w:val="FFFFFFFF"/>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66121C27"/>
    <w:multiLevelType w:val="hybridMultilevel"/>
    <w:tmpl w:val="FFFFFFFF"/>
    <w:lvl w:ilvl="0" w:tplc="1E4237BE">
      <w:start w:val="1"/>
      <w:numFmt w:val="bullet"/>
      <w:lvlText w:val=""/>
      <w:lvlJc w:val="left"/>
      <w:pPr>
        <w:ind w:left="720" w:hanging="360"/>
      </w:pPr>
      <w:rPr>
        <w:rFonts w:ascii="Symbol" w:hAnsi="Symbol" w:hint="default"/>
        <w:color w:val="auto"/>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7613135F"/>
    <w:multiLevelType w:val="hybridMultilevel"/>
    <w:tmpl w:val="FFFFFFFF"/>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6" w15:restartNumberingAfterBreak="0">
    <w:nsid w:val="77000008"/>
    <w:multiLevelType w:val="hybridMultilevel"/>
    <w:tmpl w:val="FFFFFFFF"/>
    <w:lvl w:ilvl="0" w:tplc="041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num w:numId="1" w16cid:durableId="2130510995">
    <w:abstractNumId w:val="16"/>
  </w:num>
  <w:num w:numId="2" w16cid:durableId="79955005">
    <w:abstractNumId w:val="7"/>
  </w:num>
  <w:num w:numId="3" w16cid:durableId="788165598">
    <w:abstractNumId w:val="9"/>
  </w:num>
  <w:num w:numId="4" w16cid:durableId="1802648324">
    <w:abstractNumId w:val="13"/>
  </w:num>
  <w:num w:numId="5" w16cid:durableId="1089738448">
    <w:abstractNumId w:val="12"/>
  </w:num>
  <w:num w:numId="6" w16cid:durableId="965743310">
    <w:abstractNumId w:val="15"/>
  </w:num>
  <w:num w:numId="7" w16cid:durableId="259997849">
    <w:abstractNumId w:val="3"/>
  </w:num>
  <w:num w:numId="8" w16cid:durableId="1955205520">
    <w:abstractNumId w:val="10"/>
  </w:num>
  <w:num w:numId="9" w16cid:durableId="1019700619">
    <w:abstractNumId w:val="1"/>
  </w:num>
  <w:num w:numId="10" w16cid:durableId="1907062845">
    <w:abstractNumId w:val="4"/>
  </w:num>
  <w:num w:numId="11" w16cid:durableId="946079302">
    <w:abstractNumId w:val="6"/>
  </w:num>
  <w:num w:numId="12" w16cid:durableId="1544098500">
    <w:abstractNumId w:val="0"/>
  </w:num>
  <w:num w:numId="13" w16cid:durableId="900335788">
    <w:abstractNumId w:val="2"/>
  </w:num>
  <w:num w:numId="14" w16cid:durableId="355888250">
    <w:abstractNumId w:val="8"/>
  </w:num>
  <w:num w:numId="15" w16cid:durableId="1229995025">
    <w:abstractNumId w:val="5"/>
  </w:num>
  <w:num w:numId="16" w16cid:durableId="1825779313">
    <w:abstractNumId w:val="11"/>
  </w:num>
  <w:num w:numId="17" w16cid:durableId="4016850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BB5"/>
    <w:rsid w:val="000101FD"/>
    <w:rsid w:val="00017B6F"/>
    <w:rsid w:val="00064977"/>
    <w:rsid w:val="00070B38"/>
    <w:rsid w:val="00072679"/>
    <w:rsid w:val="000902D1"/>
    <w:rsid w:val="000D14FC"/>
    <w:rsid w:val="000E6155"/>
    <w:rsid w:val="0010302B"/>
    <w:rsid w:val="00110429"/>
    <w:rsid w:val="0014679D"/>
    <w:rsid w:val="002302A9"/>
    <w:rsid w:val="00277937"/>
    <w:rsid w:val="002C098F"/>
    <w:rsid w:val="002E6FCA"/>
    <w:rsid w:val="003A2774"/>
    <w:rsid w:val="003A4454"/>
    <w:rsid w:val="003B7ED8"/>
    <w:rsid w:val="003C512F"/>
    <w:rsid w:val="003C7885"/>
    <w:rsid w:val="003D7640"/>
    <w:rsid w:val="00420A8A"/>
    <w:rsid w:val="0044082D"/>
    <w:rsid w:val="0046114A"/>
    <w:rsid w:val="00471F63"/>
    <w:rsid w:val="00482E75"/>
    <w:rsid w:val="004832B3"/>
    <w:rsid w:val="004F3FD3"/>
    <w:rsid w:val="005102F6"/>
    <w:rsid w:val="00542D02"/>
    <w:rsid w:val="00555A20"/>
    <w:rsid w:val="006010C9"/>
    <w:rsid w:val="00615AC0"/>
    <w:rsid w:val="00625E1E"/>
    <w:rsid w:val="00693A85"/>
    <w:rsid w:val="006C30AA"/>
    <w:rsid w:val="00723DDA"/>
    <w:rsid w:val="00735F01"/>
    <w:rsid w:val="007740B6"/>
    <w:rsid w:val="0079046C"/>
    <w:rsid w:val="007D4739"/>
    <w:rsid w:val="007E1B2B"/>
    <w:rsid w:val="007F3CA4"/>
    <w:rsid w:val="0081267A"/>
    <w:rsid w:val="0082114E"/>
    <w:rsid w:val="0086115B"/>
    <w:rsid w:val="00897818"/>
    <w:rsid w:val="008A1CB5"/>
    <w:rsid w:val="008C6174"/>
    <w:rsid w:val="008C658D"/>
    <w:rsid w:val="008D4653"/>
    <w:rsid w:val="008D6758"/>
    <w:rsid w:val="008E2A18"/>
    <w:rsid w:val="008E5E41"/>
    <w:rsid w:val="00943AD0"/>
    <w:rsid w:val="00965E50"/>
    <w:rsid w:val="009726EB"/>
    <w:rsid w:val="009920F7"/>
    <w:rsid w:val="009A4312"/>
    <w:rsid w:val="009A7122"/>
    <w:rsid w:val="009B74C0"/>
    <w:rsid w:val="009C13E9"/>
    <w:rsid w:val="009E1E8A"/>
    <w:rsid w:val="009E214A"/>
    <w:rsid w:val="00A7716B"/>
    <w:rsid w:val="00A8571B"/>
    <w:rsid w:val="00A85F00"/>
    <w:rsid w:val="00AC305D"/>
    <w:rsid w:val="00B06926"/>
    <w:rsid w:val="00B63AED"/>
    <w:rsid w:val="00B66BB5"/>
    <w:rsid w:val="00B735F1"/>
    <w:rsid w:val="00B73A94"/>
    <w:rsid w:val="00B763A2"/>
    <w:rsid w:val="00B77528"/>
    <w:rsid w:val="00B93550"/>
    <w:rsid w:val="00BA4837"/>
    <w:rsid w:val="00BB707F"/>
    <w:rsid w:val="00C12CA2"/>
    <w:rsid w:val="00C16668"/>
    <w:rsid w:val="00C232D9"/>
    <w:rsid w:val="00C4313F"/>
    <w:rsid w:val="00C45472"/>
    <w:rsid w:val="00C52B1C"/>
    <w:rsid w:val="00C54C4F"/>
    <w:rsid w:val="00C723FB"/>
    <w:rsid w:val="00C90DE8"/>
    <w:rsid w:val="00CB7F5C"/>
    <w:rsid w:val="00CF06B3"/>
    <w:rsid w:val="00CF587F"/>
    <w:rsid w:val="00CF744A"/>
    <w:rsid w:val="00D63259"/>
    <w:rsid w:val="00D63CEB"/>
    <w:rsid w:val="00D72526"/>
    <w:rsid w:val="00DC3A32"/>
    <w:rsid w:val="00DD1BE3"/>
    <w:rsid w:val="00E003A8"/>
    <w:rsid w:val="00E401FD"/>
    <w:rsid w:val="00E4703C"/>
    <w:rsid w:val="00E84B24"/>
    <w:rsid w:val="00EA241B"/>
    <w:rsid w:val="00ED65AF"/>
    <w:rsid w:val="00F12C59"/>
    <w:rsid w:val="00F26D5A"/>
    <w:rsid w:val="00F4514D"/>
    <w:rsid w:val="00F5322E"/>
    <w:rsid w:val="00FB0FBD"/>
  </w:rsids>
  <m:mathPr>
    <m:mathFont m:val="Cambria Math"/>
    <m:brkBin m:val="before"/>
    <m:brkBinSub m:val="--"/>
    <m:smallFrac m:val="0"/>
    <m:dispDef/>
    <m:lMargin m:val="0"/>
    <m:rMargin m:val="0"/>
    <m:defJc m:val="centerGroup"/>
    <m:wrapIndent m:val="1440"/>
    <m:intLim m:val="subSup"/>
    <m:naryLim m:val="undOvr"/>
  </m:mathPr>
  <w:themeFontLang w:val="sk-SK"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3065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GB" w:bidi="en-GB"/>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12CA2"/>
    <w:pPr>
      <w:widowControl w:val="0"/>
      <w:suppressAutoHyphens/>
      <w:autoSpaceDE w:val="0"/>
      <w:spacing w:after="0" w:line="240" w:lineRule="auto"/>
    </w:pPr>
    <w:rPr>
      <w:rFonts w:ascii="Times New Roman" w:eastAsia="Times New Roman" w:hAnsi="Times New Roman" w:cs="Times New Roman"/>
      <w:color w:val="000000"/>
      <w:kern w:val="0"/>
      <w:sz w:val="24"/>
      <w:szCs w:val="24"/>
      <w14:ligatures w14:val="none"/>
    </w:rPr>
  </w:style>
  <w:style w:type="paragraph" w:styleId="Heading1">
    <w:name w:val="heading 1"/>
    <w:basedOn w:val="Normal"/>
    <w:next w:val="Normal"/>
    <w:link w:val="Heading1Char"/>
    <w:uiPriority w:val="9"/>
    <w:qFormat/>
    <w:rsid w:val="00B66B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6B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6B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6B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6B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6BB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6BB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6BB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6BB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6B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6B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6B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6B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6B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6B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6B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6B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6BB5"/>
    <w:rPr>
      <w:rFonts w:eastAsiaTheme="majorEastAsia" w:cstheme="majorBidi"/>
      <w:color w:val="272727" w:themeColor="text1" w:themeTint="D8"/>
    </w:rPr>
  </w:style>
  <w:style w:type="paragraph" w:styleId="Title">
    <w:name w:val="Title"/>
    <w:basedOn w:val="Normal"/>
    <w:next w:val="Normal"/>
    <w:link w:val="TitleChar"/>
    <w:uiPriority w:val="10"/>
    <w:qFormat/>
    <w:rsid w:val="00B66BB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6B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6B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6B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6BB5"/>
    <w:pPr>
      <w:spacing w:before="160"/>
      <w:jc w:val="center"/>
    </w:pPr>
    <w:rPr>
      <w:i/>
      <w:iCs/>
      <w:color w:val="404040" w:themeColor="text1" w:themeTint="BF"/>
    </w:rPr>
  </w:style>
  <w:style w:type="character" w:customStyle="1" w:styleId="QuoteChar">
    <w:name w:val="Quote Char"/>
    <w:basedOn w:val="DefaultParagraphFont"/>
    <w:link w:val="Quote"/>
    <w:uiPriority w:val="29"/>
    <w:rsid w:val="00B66BB5"/>
    <w:rPr>
      <w:i/>
      <w:iCs/>
      <w:color w:val="404040" w:themeColor="text1" w:themeTint="BF"/>
    </w:rPr>
  </w:style>
  <w:style w:type="paragraph" w:styleId="ListParagraph">
    <w:name w:val="List Paragraph"/>
    <w:aliases w:val="Dot pt,F5 List Paragraph,List Paragraph1,No Spacing1,List Paragraph Char Char Char,Indicator Text,Numbered Para 1,Colorful List - Accent 11,Bullet 1,Bullet Points,Párrafo de lista,MAIN CONTENT,Recommendation,List Paragraph2,Normal number"/>
    <w:basedOn w:val="Normal"/>
    <w:link w:val="ListParagraphChar"/>
    <w:uiPriority w:val="34"/>
    <w:qFormat/>
    <w:rsid w:val="00B66BB5"/>
    <w:pPr>
      <w:ind w:left="720"/>
      <w:contextualSpacing/>
    </w:pPr>
  </w:style>
  <w:style w:type="character" w:styleId="IntenseEmphasis">
    <w:name w:val="Intense Emphasis"/>
    <w:basedOn w:val="DefaultParagraphFont"/>
    <w:uiPriority w:val="21"/>
    <w:qFormat/>
    <w:rsid w:val="00B66BB5"/>
    <w:rPr>
      <w:i/>
      <w:iCs/>
      <w:color w:val="0F4761" w:themeColor="accent1" w:themeShade="BF"/>
    </w:rPr>
  </w:style>
  <w:style w:type="paragraph" w:styleId="IntenseQuote">
    <w:name w:val="Intense Quote"/>
    <w:basedOn w:val="Normal"/>
    <w:next w:val="Normal"/>
    <w:link w:val="IntenseQuoteChar"/>
    <w:uiPriority w:val="30"/>
    <w:qFormat/>
    <w:rsid w:val="00B66B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6BB5"/>
    <w:rPr>
      <w:i/>
      <w:iCs/>
      <w:color w:val="0F4761" w:themeColor="accent1" w:themeShade="BF"/>
    </w:rPr>
  </w:style>
  <w:style w:type="character" w:styleId="IntenseReference">
    <w:name w:val="Intense Reference"/>
    <w:basedOn w:val="DefaultParagraphFont"/>
    <w:uiPriority w:val="32"/>
    <w:qFormat/>
    <w:rsid w:val="00B66BB5"/>
    <w:rPr>
      <w:b/>
      <w:bCs/>
      <w:smallCaps/>
      <w:color w:val="0F4761" w:themeColor="accent1" w:themeShade="BF"/>
      <w:spacing w:val="5"/>
    </w:rPr>
  </w:style>
  <w:style w:type="paragraph" w:styleId="Footer">
    <w:name w:val="footer"/>
    <w:basedOn w:val="Normal"/>
    <w:link w:val="FooterChar"/>
    <w:uiPriority w:val="99"/>
    <w:rsid w:val="00C12CA2"/>
    <w:pPr>
      <w:widowControl/>
      <w:tabs>
        <w:tab w:val="center" w:pos="4536"/>
        <w:tab w:val="right" w:pos="9072"/>
      </w:tabs>
      <w:suppressAutoHyphens w:val="0"/>
      <w:autoSpaceDE/>
    </w:pPr>
    <w:rPr>
      <w:color w:val="auto"/>
    </w:rPr>
  </w:style>
  <w:style w:type="character" w:customStyle="1" w:styleId="FooterChar">
    <w:name w:val="Footer Char"/>
    <w:basedOn w:val="DefaultParagraphFont"/>
    <w:link w:val="Footer"/>
    <w:uiPriority w:val="99"/>
    <w:rsid w:val="00C12CA2"/>
    <w:rPr>
      <w:rFonts w:ascii="Times New Roman" w:eastAsia="Times New Roman" w:hAnsi="Times New Roman" w:cs="Times New Roman"/>
      <w:kern w:val="0"/>
      <w:sz w:val="24"/>
      <w:szCs w:val="24"/>
      <w:lang w:eastAsia="en-GB"/>
      <w14:ligatures w14:val="none"/>
    </w:rPr>
  </w:style>
  <w:style w:type="paragraph" w:styleId="FootnoteText">
    <w:name w:val="footnote text"/>
    <w:aliases w:val="Text poznámky pod čiarou 007,_Poznámka pod čiarou,stile 1,Alaviitteen teksti Char,Alaviitteen teksti Char Char Char Char Char,Märk,Fußnotentext arial,Footnote Text Char2,Footnote Text Char1 Char,Footnote Text Char Char Char,fn"/>
    <w:basedOn w:val="Normal"/>
    <w:link w:val="FootnoteTextChar"/>
    <w:uiPriority w:val="99"/>
    <w:unhideWhenUsed/>
    <w:rsid w:val="00C12CA2"/>
    <w:pPr>
      <w:widowControl/>
      <w:suppressAutoHyphens w:val="0"/>
      <w:autoSpaceDE/>
    </w:pPr>
    <w:rPr>
      <w:color w:val="auto"/>
      <w:sz w:val="20"/>
      <w:szCs w:val="20"/>
    </w:rPr>
  </w:style>
  <w:style w:type="character" w:customStyle="1" w:styleId="FootnoteTextChar">
    <w:name w:val="Footnote Text Char"/>
    <w:aliases w:val="Text poznámky pod čiarou 007 Char,_Poznámka pod čiarou Char,stile 1 Char,Alaviitteen teksti Char Char,Alaviitteen teksti Char Char Char Char Char Char,Märk Char,Fußnotentext arial Char,Footnote Text Char2 Char,fn Char"/>
    <w:basedOn w:val="DefaultParagraphFont"/>
    <w:link w:val="FootnoteText"/>
    <w:uiPriority w:val="99"/>
    <w:rsid w:val="00C12CA2"/>
    <w:rPr>
      <w:rFonts w:ascii="Times New Roman" w:eastAsia="Times New Roman" w:hAnsi="Times New Roman" w:cs="Times New Roman"/>
      <w:kern w:val="0"/>
      <w:sz w:val="20"/>
      <w:szCs w:val="20"/>
      <w:lang w:eastAsia="en-GB"/>
      <w14:ligatures w14:val="none"/>
    </w:rPr>
  </w:style>
  <w:style w:type="character" w:styleId="FootnoteReference">
    <w:name w:val="footnote reference"/>
    <w:aliases w:val="Footnote,Footnotes refss,Footnote Reference Superscript,BVI fnr,Footnote symbol,Footnote symboFußnotenzeichen,Footnote sign,Footnote Reference text,SUPERS,Footnote reference number,note TESI,-E Fußnotenzeichen,number,Char Ch"/>
    <w:basedOn w:val="DefaultParagraphFont"/>
    <w:uiPriority w:val="99"/>
    <w:unhideWhenUsed/>
    <w:rsid w:val="00C12CA2"/>
    <w:rPr>
      <w:rFonts w:cs="Times New Roman"/>
      <w:vertAlign w:val="superscript"/>
    </w:rPr>
  </w:style>
  <w:style w:type="paragraph" w:styleId="NormalWeb">
    <w:name w:val="Normal (Web)"/>
    <w:aliases w:val="webb,Normálny (WWW)"/>
    <w:basedOn w:val="Normal"/>
    <w:link w:val="NormalWebChar"/>
    <w:uiPriority w:val="99"/>
    <w:qFormat/>
    <w:rsid w:val="00C12CA2"/>
    <w:pPr>
      <w:widowControl/>
      <w:autoSpaceDE/>
      <w:spacing w:before="280" w:after="280"/>
    </w:pPr>
    <w:rPr>
      <w:rFonts w:ascii="Arial Unicode MS"/>
      <w:color w:val="auto"/>
      <w:sz w:val="20"/>
    </w:rPr>
  </w:style>
  <w:style w:type="table" w:styleId="TableGrid">
    <w:name w:val="Table Grid"/>
    <w:basedOn w:val="TableNormal"/>
    <w:uiPriority w:val="39"/>
    <w:rsid w:val="00C12CA2"/>
    <w:pPr>
      <w:spacing w:after="0" w:line="240" w:lineRule="auto"/>
    </w:pPr>
    <w:rPr>
      <w:rFonts w:ascii="Times New Roman" w:eastAsia="Times New Roman" w:hAnsi="Times New Roman"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1 Char,Bullet Points Char,MAIN CONTENT Char"/>
    <w:link w:val="ListParagraph"/>
    <w:uiPriority w:val="34"/>
    <w:qFormat/>
    <w:locked/>
    <w:rsid w:val="00C12CA2"/>
  </w:style>
  <w:style w:type="character" w:customStyle="1" w:styleId="NormalWebChar">
    <w:name w:val="Normal (Web) Char"/>
    <w:aliases w:val="webb Char,Normálny (WWW) Char"/>
    <w:link w:val="NormalWeb"/>
    <w:uiPriority w:val="99"/>
    <w:locked/>
    <w:rsid w:val="00C12CA2"/>
    <w:rPr>
      <w:rFonts w:ascii="Arial Unicode MS" w:eastAsia="Times New Roman" w:hAnsi="Times New Roman" w:cs="Times New Roman"/>
      <w:kern w:val="0"/>
      <w:sz w:val="20"/>
      <w:szCs w:val="24"/>
      <w:lang w:val="en-GB" w:eastAsia="en-GB"/>
      <w14:ligatures w14:val="none"/>
    </w:rPr>
  </w:style>
  <w:style w:type="paragraph" w:customStyle="1" w:styleId="MZVnormal">
    <w:name w:val="MZV normal"/>
    <w:basedOn w:val="Normal"/>
    <w:rsid w:val="00C12CA2"/>
    <w:pPr>
      <w:widowControl/>
      <w:suppressAutoHyphens w:val="0"/>
      <w:autoSpaceDE/>
    </w:pPr>
    <w:rPr>
      <w:rFonts w:ascii="Arial" w:hAnsi="Arial"/>
      <w:sz w:val="22"/>
    </w:rPr>
  </w:style>
  <w:style w:type="paragraph" w:styleId="Header">
    <w:name w:val="header"/>
    <w:basedOn w:val="Normal"/>
    <w:link w:val="HeaderChar"/>
    <w:uiPriority w:val="99"/>
    <w:unhideWhenUsed/>
    <w:rsid w:val="009B74C0"/>
    <w:pPr>
      <w:tabs>
        <w:tab w:val="center" w:pos="4536"/>
        <w:tab w:val="right" w:pos="9072"/>
      </w:tabs>
    </w:pPr>
  </w:style>
  <w:style w:type="character" w:customStyle="1" w:styleId="HeaderChar">
    <w:name w:val="Header Char"/>
    <w:basedOn w:val="DefaultParagraphFont"/>
    <w:link w:val="Header"/>
    <w:uiPriority w:val="99"/>
    <w:rsid w:val="009B74C0"/>
    <w:rPr>
      <w:rFonts w:ascii="Times New Roman" w:eastAsia="Times New Roman" w:hAnsi="Times New Roman" w:cs="Times New Roman"/>
      <w:color w:val="000000"/>
      <w:kern w:val="0"/>
      <w:sz w:val="24"/>
      <w:szCs w:val="24"/>
      <w:lang w:val="en-GB"/>
      <w14:ligatures w14:val="none"/>
    </w:rPr>
  </w:style>
  <w:style w:type="character" w:styleId="Hyperlink">
    <w:name w:val="Hyperlink"/>
    <w:basedOn w:val="DefaultParagraphFont"/>
    <w:uiPriority w:val="99"/>
    <w:unhideWhenUsed/>
    <w:rsid w:val="008E2A18"/>
    <w:rPr>
      <w:color w:val="467886" w:themeColor="hyperlink"/>
      <w:u w:val="single"/>
    </w:rPr>
  </w:style>
  <w:style w:type="character" w:customStyle="1" w:styleId="Nevyrieenzmienka1">
    <w:name w:val="Nevyriešená zmienka1"/>
    <w:basedOn w:val="DefaultParagraphFont"/>
    <w:uiPriority w:val="99"/>
    <w:semiHidden/>
    <w:unhideWhenUsed/>
    <w:rsid w:val="008E2A18"/>
    <w:rPr>
      <w:color w:val="605E5C"/>
      <w:shd w:val="clear" w:color="auto" w:fill="E1DFDD"/>
    </w:rPr>
  </w:style>
  <w:style w:type="character" w:styleId="CommentReference">
    <w:name w:val="annotation reference"/>
    <w:basedOn w:val="DefaultParagraphFont"/>
    <w:uiPriority w:val="99"/>
    <w:semiHidden/>
    <w:unhideWhenUsed/>
    <w:rsid w:val="008E2A18"/>
    <w:rPr>
      <w:rFonts w:cs="Times New Roman"/>
      <w:sz w:val="16"/>
    </w:rPr>
  </w:style>
  <w:style w:type="paragraph" w:styleId="CommentText">
    <w:name w:val="annotation text"/>
    <w:basedOn w:val="Normal"/>
    <w:link w:val="CommentTextChar"/>
    <w:uiPriority w:val="99"/>
    <w:unhideWhenUsed/>
    <w:rsid w:val="008E2A18"/>
    <w:pPr>
      <w:widowControl/>
      <w:suppressAutoHyphens w:val="0"/>
      <w:autoSpaceDE/>
    </w:pPr>
    <w:rPr>
      <w:color w:val="auto"/>
      <w:sz w:val="20"/>
      <w:szCs w:val="20"/>
    </w:rPr>
  </w:style>
  <w:style w:type="character" w:customStyle="1" w:styleId="CommentTextChar">
    <w:name w:val="Comment Text Char"/>
    <w:basedOn w:val="DefaultParagraphFont"/>
    <w:link w:val="CommentText"/>
    <w:uiPriority w:val="99"/>
    <w:rsid w:val="008E2A18"/>
    <w:rPr>
      <w:rFonts w:ascii="Times New Roman" w:eastAsia="Times New Roman" w:hAnsi="Times New Roman" w:cs="Times New Roman"/>
      <w:kern w:val="0"/>
      <w:sz w:val="20"/>
      <w:szCs w:val="20"/>
      <w:lang w:eastAsia="en-GB"/>
      <w14:ligatures w14:val="none"/>
    </w:rPr>
  </w:style>
  <w:style w:type="paragraph" w:customStyle="1" w:styleId="Default">
    <w:name w:val="Default"/>
    <w:rsid w:val="007F3CA4"/>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paragraph" w:styleId="BalloonText">
    <w:name w:val="Balloon Text"/>
    <w:basedOn w:val="Normal"/>
    <w:link w:val="BalloonTextChar"/>
    <w:uiPriority w:val="99"/>
    <w:semiHidden/>
    <w:unhideWhenUsed/>
    <w:rsid w:val="0010302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302B"/>
    <w:rPr>
      <w:rFonts w:ascii="Segoe UI" w:eastAsia="Times New Roman" w:hAnsi="Segoe UI" w:cs="Segoe UI"/>
      <w:color w:val="000000"/>
      <w:kern w:val="0"/>
      <w:sz w:val="18"/>
      <w:szCs w:val="18"/>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3" Type="http://schemas.openxmlformats.org/officeDocument/2006/relationships/hyperlink" Target="https://www.minedu.sk/data/att/9b7/29507.ebb609.pdf" TargetMode="External"/><Relationship Id="rId2" Type="http://schemas.openxmlformats.org/officeDocument/2006/relationships/hyperlink" Target="https://nivam.sk/pietna-spomienka-obeti-holokaustu/" TargetMode="External"/><Relationship Id="rId1" Type="http://schemas.openxmlformats.org/officeDocument/2006/relationships/hyperlink" Target="https://mpc-edu.sk/sk/edu/group/3581" TargetMode="External"/><Relationship Id="rId5" Type="http://schemas.openxmlformats.org/officeDocument/2006/relationships/hyperlink" Target="https://www.statpedu.sk/sk/o-organizacii/projekty/spolu-romami-dosiahneme-viac-ii/" TargetMode="External"/><Relationship Id="rId4" Type="http://schemas.openxmlformats.org/officeDocument/2006/relationships/hyperlink" Target="https://spolu-together-jekhetane.sk/sk"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2025-01-06T15:10:38+00:00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7A7EC9-5354-4C21-A589-C2E300D090C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711D59E-E506-4CF6-A520-C32CAC7C4852}">
  <ds:schemaRefs>
    <ds:schemaRef ds:uri="http://schemas.microsoft.com/sharepoint/v3/contenttype/forms"/>
  </ds:schemaRefs>
</ds:datastoreItem>
</file>

<file path=customXml/itemProps3.xml><?xml version="1.0" encoding="utf-8"?>
<ds:datastoreItem xmlns:ds="http://schemas.openxmlformats.org/officeDocument/2006/customXml" ds:itemID="{8076904C-85D4-458B-88E6-E2C615E8C8FB}"/>
</file>

<file path=docProps/app.xml><?xml version="1.0" encoding="utf-8"?>
<Properties xmlns="http://schemas.openxmlformats.org/officeDocument/2006/extended-properties" xmlns:vt="http://schemas.openxmlformats.org/officeDocument/2006/docPropsVTypes">
  <Template>Normal.dotm</Template>
  <TotalTime>0</TotalTime>
  <Pages>9</Pages>
  <Words>4176</Words>
  <Characters>23807</Characters>
  <Application>Microsoft Office Word</Application>
  <DocSecurity>0</DocSecurity>
  <Lines>198</Lines>
  <Paragraphs>55</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27928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2025-01-06T15:10:00Z</dcterms:created>
  <dcterms:modified xsi:type="dcterms:W3CDTF">2025-01-06T15:10:00Z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