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4A255" w14:textId="04E0F58D" w:rsidR="00BE28B6" w:rsidRPr="00D464FC" w:rsidRDefault="00BE28B6" w:rsidP="007125B7">
      <w:pPr>
        <w:spacing w:line="360" w:lineRule="auto"/>
        <w:ind w:left="360"/>
        <w:jc w:val="center"/>
        <w:rPr>
          <w:b/>
          <w:sz w:val="24"/>
          <w:szCs w:val="24"/>
          <w:u w:val="single"/>
        </w:rPr>
      </w:pPr>
      <w:bookmarkStart w:id="0" w:name="_GoBack"/>
      <w:bookmarkEnd w:id="0"/>
      <w:r w:rsidRPr="004A6879">
        <w:rPr>
          <w:noProof/>
          <w:lang w:eastAsia="fr-FR"/>
        </w:rPr>
        <w:drawing>
          <wp:inline distT="0" distB="0" distL="0" distR="0" wp14:anchorId="6E5F86B6" wp14:editId="56561369">
            <wp:extent cx="1689100" cy="1061456"/>
            <wp:effectExtent l="0" t="0" r="6350" b="5715"/>
            <wp:docPr id="1" name="Image 1" descr="\\compte.non-permanents.pm.gouv.fr\ldalmolin$\.profil\.desktop\CNCD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te.non-permanents.pm.gouv.fr\ldalmolin$\.profil\.desktop\CNCDH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0518" cy="1068632"/>
                    </a:xfrm>
                    <a:prstGeom prst="rect">
                      <a:avLst/>
                    </a:prstGeom>
                    <a:noFill/>
                    <a:ln>
                      <a:noFill/>
                    </a:ln>
                  </pic:spPr>
                </pic:pic>
              </a:graphicData>
            </a:graphic>
          </wp:inline>
        </w:drawing>
      </w:r>
    </w:p>
    <w:p w14:paraId="4B54B73C" w14:textId="77777777" w:rsidR="00AA65A2" w:rsidRDefault="00AA65A2" w:rsidP="007125B7">
      <w:pPr>
        <w:spacing w:line="360" w:lineRule="auto"/>
        <w:jc w:val="center"/>
        <w:rPr>
          <w:b/>
          <w:sz w:val="28"/>
          <w:szCs w:val="28"/>
        </w:rPr>
      </w:pPr>
    </w:p>
    <w:p w14:paraId="6BD27DE1" w14:textId="18E95AFF" w:rsidR="00BE28B6" w:rsidRPr="00AA65A2" w:rsidRDefault="005F3014" w:rsidP="007125B7">
      <w:pPr>
        <w:spacing w:line="360" w:lineRule="auto"/>
        <w:jc w:val="center"/>
        <w:rPr>
          <w:b/>
          <w:sz w:val="28"/>
          <w:szCs w:val="28"/>
        </w:rPr>
      </w:pPr>
      <w:r w:rsidRPr="00AA65A2">
        <w:rPr>
          <w:b/>
          <w:sz w:val="28"/>
          <w:szCs w:val="28"/>
        </w:rPr>
        <w:t xml:space="preserve">Contribution </w:t>
      </w:r>
      <w:r w:rsidR="00AA65A2" w:rsidRPr="00AA65A2">
        <w:rPr>
          <w:b/>
          <w:sz w:val="28"/>
          <w:szCs w:val="28"/>
        </w:rPr>
        <w:t>Commission nationale consultative des droits de l’homme</w:t>
      </w:r>
    </w:p>
    <w:p w14:paraId="35386956" w14:textId="4D61E757" w:rsidR="000D367F" w:rsidRPr="00AA65A2" w:rsidRDefault="005F3014" w:rsidP="007125B7">
      <w:pPr>
        <w:spacing w:line="360" w:lineRule="auto"/>
        <w:ind w:left="360"/>
        <w:jc w:val="center"/>
        <w:rPr>
          <w:b/>
          <w:sz w:val="28"/>
          <w:szCs w:val="28"/>
        </w:rPr>
      </w:pPr>
      <w:r w:rsidRPr="00AA65A2">
        <w:rPr>
          <w:b/>
          <w:sz w:val="28"/>
          <w:szCs w:val="28"/>
        </w:rPr>
        <w:t xml:space="preserve">CERD - </w:t>
      </w:r>
      <w:r w:rsidR="009B3933" w:rsidRPr="00AA65A2">
        <w:rPr>
          <w:b/>
          <w:sz w:val="28"/>
          <w:szCs w:val="28"/>
        </w:rPr>
        <w:t xml:space="preserve">Suivi des recommandations </w:t>
      </w:r>
      <w:r w:rsidRPr="00AA65A2">
        <w:rPr>
          <w:b/>
          <w:sz w:val="28"/>
          <w:szCs w:val="28"/>
        </w:rPr>
        <w:t>2024</w:t>
      </w:r>
    </w:p>
    <w:p w14:paraId="502DE7B3" w14:textId="77777777" w:rsidR="00E04D4E" w:rsidRPr="004A6879" w:rsidRDefault="00E04D4E" w:rsidP="007125B7">
      <w:pPr>
        <w:spacing w:line="360" w:lineRule="auto"/>
        <w:rPr>
          <w:sz w:val="24"/>
          <w:szCs w:val="24"/>
        </w:rPr>
      </w:pPr>
    </w:p>
    <w:p w14:paraId="1796A3E6" w14:textId="69039B64" w:rsidR="00067BD4" w:rsidRPr="007125B7" w:rsidRDefault="00067BD4" w:rsidP="007125B7">
      <w:pPr>
        <w:spacing w:beforeLines="120" w:before="288" w:afterLines="160" w:after="384" w:line="360" w:lineRule="auto"/>
        <w:ind w:left="360"/>
        <w:rPr>
          <w:sz w:val="24"/>
          <w:szCs w:val="24"/>
        </w:rPr>
      </w:pPr>
      <w:r w:rsidRPr="007125B7">
        <w:rPr>
          <w:sz w:val="24"/>
          <w:szCs w:val="24"/>
        </w:rPr>
        <w:t>La Commission nationale consultative des droits de l’homme (CNCDH) est l’Institution nationale de promotion et de protection des droits de l’homme (INDH) française, établie conformément aux principes de Paris et accréditée au statut A auprès des Nations Unies. La CNCDH est investie d’une mission de conseil et de contrôle auprès du Gouvernement et du Parlement dans le domaine des droits de l’homme et du droit international humanitaire. Dans ce cadre, elle conseille en toute indépendance la France lors de la rédaction de son projet de rapport aux organes internationaux de protection des droits de l’Homme, notamment les comités conventionnels des Nations Unies, et transmet à ces mêmes organes des contributions écrites sur le respect et l’effectivité des droits de l’Homme en France.</w:t>
      </w:r>
    </w:p>
    <w:p w14:paraId="41CC8CB0" w14:textId="7C9F95E3" w:rsidR="005726D5" w:rsidRPr="007125B7" w:rsidRDefault="007030CC" w:rsidP="007125B7">
      <w:pPr>
        <w:spacing w:line="360" w:lineRule="auto"/>
        <w:ind w:left="360"/>
        <w:rPr>
          <w:sz w:val="24"/>
          <w:szCs w:val="24"/>
        </w:rPr>
      </w:pPr>
      <w:r w:rsidRPr="007125B7">
        <w:rPr>
          <w:sz w:val="24"/>
          <w:szCs w:val="24"/>
        </w:rPr>
        <w:t>Conformément au paragraphe 41 des observations finales concernant le rapport de la France valant vingt-deuxième et vingt-troisième rapports périodiques (CERD/C/FRA/CO/22-23), le Comité contre les discriminations raciales (CERD) a demandé à la France de lui fournir dans un délai d’un an des renseignements sur le suivi des recommandations relatives à la situation des Roms et des Gens du voyage (§ 14 a, c et d), des migrants, réfugiés, demandeurs d’asile et apatrides (20 b et c) et à la protection des défenseurs des droits (§ 28). La France a adressé dans les délais impartis les renseignements sur la suite donnée à ces recommandations (CER</w:t>
      </w:r>
      <w:r w:rsidR="005726D5" w:rsidRPr="007125B7">
        <w:rPr>
          <w:sz w:val="24"/>
          <w:szCs w:val="24"/>
        </w:rPr>
        <w:t>D/C/FRA/FCO/22-23).</w:t>
      </w:r>
    </w:p>
    <w:p w14:paraId="4FE76F24" w14:textId="3BC2B295" w:rsidR="007030CC" w:rsidRDefault="005726D5" w:rsidP="007125B7">
      <w:pPr>
        <w:spacing w:line="360" w:lineRule="auto"/>
        <w:ind w:left="360"/>
        <w:jc w:val="left"/>
        <w:rPr>
          <w:sz w:val="24"/>
          <w:szCs w:val="24"/>
        </w:rPr>
      </w:pPr>
      <w:r w:rsidRPr="00D464FC">
        <w:rPr>
          <w:sz w:val="24"/>
          <w:szCs w:val="24"/>
        </w:rPr>
        <w:br w:type="page"/>
      </w:r>
    </w:p>
    <w:p w14:paraId="0F5A223C" w14:textId="77777777" w:rsidR="000E333F" w:rsidRDefault="003D016E" w:rsidP="007125B7">
      <w:pPr>
        <w:spacing w:beforeLines="120" w:before="288" w:afterLines="160" w:after="384" w:line="360" w:lineRule="auto"/>
        <w:ind w:left="360"/>
        <w:jc w:val="center"/>
        <w:rPr>
          <w:b/>
          <w:sz w:val="24"/>
          <w:szCs w:val="24"/>
          <w:u w:val="single"/>
        </w:rPr>
      </w:pPr>
      <w:r w:rsidRPr="00D464FC">
        <w:rPr>
          <w:b/>
          <w:sz w:val="24"/>
          <w:szCs w:val="24"/>
          <w:u w:val="single"/>
        </w:rPr>
        <w:lastRenderedPageBreak/>
        <w:t>Roms et gens du voyage</w:t>
      </w:r>
    </w:p>
    <w:p w14:paraId="72A85D98" w14:textId="087BC5A6" w:rsidR="005726D5" w:rsidRPr="00D464FC" w:rsidRDefault="003D016E" w:rsidP="007125B7">
      <w:pPr>
        <w:spacing w:beforeLines="120" w:before="288" w:afterLines="160" w:after="384" w:line="360" w:lineRule="auto"/>
        <w:ind w:left="732" w:firstLine="348"/>
        <w:rPr>
          <w:b/>
          <w:sz w:val="24"/>
          <w:szCs w:val="24"/>
          <w:u w:val="single"/>
        </w:rPr>
      </w:pPr>
      <w:r w:rsidRPr="00D464FC">
        <w:rPr>
          <w:b/>
          <w:sz w:val="24"/>
          <w:szCs w:val="24"/>
          <w:u w:val="single"/>
        </w:rPr>
        <w:t xml:space="preserve">Suivi observation </w:t>
      </w:r>
      <w:r w:rsidR="004C4884" w:rsidRPr="00D464FC">
        <w:rPr>
          <w:b/>
          <w:sz w:val="24"/>
          <w:szCs w:val="24"/>
          <w:u w:val="single"/>
        </w:rPr>
        <w:t>§</w:t>
      </w:r>
      <w:r w:rsidR="00E97877" w:rsidRPr="00D464FC">
        <w:rPr>
          <w:b/>
          <w:sz w:val="24"/>
          <w:szCs w:val="24"/>
          <w:u w:val="single"/>
        </w:rPr>
        <w:t xml:space="preserve"> 14, a)</w:t>
      </w:r>
    </w:p>
    <w:p w14:paraId="4FC8674E" w14:textId="5E412B90" w:rsidR="00933C38" w:rsidRDefault="00260E40" w:rsidP="007125B7">
      <w:pPr>
        <w:pStyle w:val="Paragraphedeliste"/>
        <w:numPr>
          <w:ilvl w:val="0"/>
          <w:numId w:val="11"/>
        </w:numPr>
        <w:spacing w:beforeLines="120" w:before="288" w:afterLines="160" w:after="384" w:line="360" w:lineRule="auto"/>
        <w:rPr>
          <w:sz w:val="24"/>
          <w:szCs w:val="24"/>
        </w:rPr>
      </w:pPr>
      <w:r w:rsidRPr="009A080D">
        <w:rPr>
          <w:sz w:val="24"/>
          <w:szCs w:val="24"/>
        </w:rPr>
        <w:t>En premier lieu, si</w:t>
      </w:r>
      <w:r w:rsidR="00F055EA" w:rsidRPr="009A080D">
        <w:rPr>
          <w:sz w:val="24"/>
          <w:szCs w:val="24"/>
        </w:rPr>
        <w:t xml:space="preserve"> le budget alloué à la résorption des bidonvilles stagne à hauteur de 8 millions d’euros, </w:t>
      </w:r>
      <w:r w:rsidR="004035FC" w:rsidRPr="009A080D">
        <w:rPr>
          <w:sz w:val="24"/>
          <w:szCs w:val="24"/>
        </w:rPr>
        <w:t xml:space="preserve">cette somme doit être </w:t>
      </w:r>
      <w:r w:rsidR="00855AAB" w:rsidRPr="009A080D">
        <w:rPr>
          <w:sz w:val="24"/>
          <w:szCs w:val="24"/>
        </w:rPr>
        <w:t xml:space="preserve">relativisée eu égard, d’une part, </w:t>
      </w:r>
      <w:r w:rsidR="00EF14DE" w:rsidRPr="009A080D">
        <w:rPr>
          <w:sz w:val="24"/>
          <w:szCs w:val="24"/>
        </w:rPr>
        <w:t>au b</w:t>
      </w:r>
      <w:r w:rsidR="00310D50" w:rsidRPr="009A080D">
        <w:rPr>
          <w:sz w:val="24"/>
          <w:szCs w:val="24"/>
        </w:rPr>
        <w:t xml:space="preserve">udget total alloué au programme national </w:t>
      </w:r>
      <w:r w:rsidR="00EF14DE" w:rsidRPr="009A080D">
        <w:rPr>
          <w:sz w:val="24"/>
          <w:szCs w:val="24"/>
        </w:rPr>
        <w:t xml:space="preserve">« Hébergement, parcours vers le logement </w:t>
      </w:r>
      <w:r w:rsidR="007601ED" w:rsidRPr="009A080D">
        <w:rPr>
          <w:sz w:val="24"/>
          <w:szCs w:val="24"/>
        </w:rPr>
        <w:t>et inse</w:t>
      </w:r>
      <w:r w:rsidR="00310D50" w:rsidRPr="009A080D">
        <w:rPr>
          <w:sz w:val="24"/>
          <w:szCs w:val="24"/>
        </w:rPr>
        <w:t>rtion des personnes vulnérables</w:t>
      </w:r>
      <w:r w:rsidR="007601ED" w:rsidRPr="009A080D">
        <w:rPr>
          <w:sz w:val="24"/>
          <w:szCs w:val="24"/>
        </w:rPr>
        <w:t>»</w:t>
      </w:r>
      <w:r w:rsidR="00310D50" w:rsidRPr="009A080D">
        <w:rPr>
          <w:rStyle w:val="Appelnotedebasdep"/>
          <w:sz w:val="24"/>
          <w:szCs w:val="24"/>
        </w:rPr>
        <w:t xml:space="preserve"> </w:t>
      </w:r>
      <w:r w:rsidR="00310D50" w:rsidRPr="004A6879">
        <w:rPr>
          <w:rStyle w:val="Appelnotedebasdep"/>
          <w:sz w:val="24"/>
          <w:szCs w:val="24"/>
        </w:rPr>
        <w:footnoteReference w:id="1"/>
      </w:r>
      <w:r w:rsidR="00933C38" w:rsidRPr="009A080D">
        <w:rPr>
          <w:sz w:val="24"/>
          <w:szCs w:val="24"/>
        </w:rPr>
        <w:t xml:space="preserve"> et, d’autre part, </w:t>
      </w:r>
      <w:r w:rsidR="00491076" w:rsidRPr="009A080D">
        <w:rPr>
          <w:sz w:val="24"/>
          <w:szCs w:val="24"/>
        </w:rPr>
        <w:t>à la confusion de ces</w:t>
      </w:r>
      <w:r w:rsidR="00933C38" w:rsidRPr="009A080D">
        <w:rPr>
          <w:sz w:val="24"/>
          <w:szCs w:val="24"/>
        </w:rPr>
        <w:t xml:space="preserve"> crédits </w:t>
      </w:r>
      <w:r w:rsidR="00491076" w:rsidRPr="009A080D">
        <w:rPr>
          <w:sz w:val="24"/>
          <w:szCs w:val="24"/>
        </w:rPr>
        <w:t xml:space="preserve">avec les moyens </w:t>
      </w:r>
      <w:r w:rsidR="00933C38" w:rsidRPr="009A080D">
        <w:rPr>
          <w:sz w:val="24"/>
          <w:szCs w:val="24"/>
        </w:rPr>
        <w:t xml:space="preserve">alloués à la mise en œuvre </w:t>
      </w:r>
      <w:r w:rsidR="004602CB" w:rsidRPr="009A080D">
        <w:rPr>
          <w:sz w:val="24"/>
          <w:szCs w:val="24"/>
        </w:rPr>
        <w:t xml:space="preserve">effective </w:t>
      </w:r>
      <w:r w:rsidR="00933C38" w:rsidRPr="009A080D">
        <w:rPr>
          <w:sz w:val="24"/>
          <w:szCs w:val="24"/>
        </w:rPr>
        <w:t xml:space="preserve">de la </w:t>
      </w:r>
      <w:r w:rsidR="004602CB" w:rsidRPr="009A080D">
        <w:rPr>
          <w:sz w:val="24"/>
          <w:szCs w:val="24"/>
        </w:rPr>
        <w:t>S</w:t>
      </w:r>
      <w:r w:rsidR="00933C38" w:rsidRPr="009A080D">
        <w:rPr>
          <w:sz w:val="24"/>
          <w:szCs w:val="24"/>
        </w:rPr>
        <w:t>tratégie</w:t>
      </w:r>
      <w:r w:rsidR="004602CB" w:rsidRPr="009A080D">
        <w:rPr>
          <w:sz w:val="24"/>
          <w:szCs w:val="24"/>
        </w:rPr>
        <w:t xml:space="preserve"> nationale pour l’égalité, l’inclusion et la participation des Roms pour la période 2020-2030</w:t>
      </w:r>
      <w:r w:rsidR="005C430F" w:rsidRPr="009A080D">
        <w:rPr>
          <w:sz w:val="24"/>
          <w:szCs w:val="24"/>
        </w:rPr>
        <w:t xml:space="preserve"> (ci-après « Stratégie »)</w:t>
      </w:r>
      <w:r w:rsidR="00933C38" w:rsidRPr="009A080D">
        <w:rPr>
          <w:sz w:val="24"/>
          <w:szCs w:val="24"/>
        </w:rPr>
        <w:t xml:space="preserve"> dans son ensemble</w:t>
      </w:r>
      <w:r w:rsidR="00BE0EAC" w:rsidRPr="009A080D">
        <w:rPr>
          <w:sz w:val="24"/>
          <w:szCs w:val="24"/>
        </w:rPr>
        <w:t>.</w:t>
      </w:r>
    </w:p>
    <w:p w14:paraId="05312D26" w14:textId="77777777" w:rsidR="009A080D" w:rsidRPr="009A080D" w:rsidRDefault="009A080D" w:rsidP="007125B7">
      <w:pPr>
        <w:pStyle w:val="Paragraphedeliste"/>
        <w:spacing w:beforeLines="120" w:before="288" w:afterLines="160" w:after="384" w:line="360" w:lineRule="auto"/>
        <w:ind w:left="1080"/>
        <w:rPr>
          <w:sz w:val="24"/>
          <w:szCs w:val="24"/>
        </w:rPr>
      </w:pPr>
    </w:p>
    <w:p w14:paraId="7FE8D0E4" w14:textId="68402F80" w:rsidR="000272D0" w:rsidRDefault="00DE588A" w:rsidP="007125B7">
      <w:pPr>
        <w:pStyle w:val="Paragraphedeliste"/>
        <w:numPr>
          <w:ilvl w:val="0"/>
          <w:numId w:val="11"/>
        </w:numPr>
        <w:spacing w:beforeLines="120" w:before="288" w:afterLines="160" w:after="384" w:line="360" w:lineRule="auto"/>
        <w:rPr>
          <w:sz w:val="24"/>
          <w:szCs w:val="24"/>
        </w:rPr>
      </w:pPr>
      <w:r w:rsidRPr="009A080D">
        <w:rPr>
          <w:sz w:val="24"/>
          <w:szCs w:val="24"/>
        </w:rPr>
        <w:t>La</w:t>
      </w:r>
      <w:r w:rsidR="00491076" w:rsidRPr="009A080D">
        <w:rPr>
          <w:sz w:val="24"/>
          <w:szCs w:val="24"/>
        </w:rPr>
        <w:t xml:space="preserve"> </w:t>
      </w:r>
      <w:r w:rsidR="004602CB" w:rsidRPr="009A080D">
        <w:rPr>
          <w:sz w:val="24"/>
          <w:szCs w:val="24"/>
        </w:rPr>
        <w:t>confusion entre les crédits alloués</w:t>
      </w:r>
      <w:r w:rsidRPr="009A080D">
        <w:rPr>
          <w:sz w:val="24"/>
          <w:szCs w:val="24"/>
        </w:rPr>
        <w:t>, d’une part,</w:t>
      </w:r>
      <w:r w:rsidR="004602CB" w:rsidRPr="009A080D">
        <w:rPr>
          <w:sz w:val="24"/>
          <w:szCs w:val="24"/>
        </w:rPr>
        <w:t xml:space="preserve"> à la résorption de</w:t>
      </w:r>
      <w:r w:rsidR="00D502E6" w:rsidRPr="009A080D">
        <w:rPr>
          <w:sz w:val="24"/>
          <w:szCs w:val="24"/>
        </w:rPr>
        <w:t>s</w:t>
      </w:r>
      <w:r w:rsidR="004602CB" w:rsidRPr="009A080D">
        <w:rPr>
          <w:sz w:val="24"/>
          <w:szCs w:val="24"/>
        </w:rPr>
        <w:t xml:space="preserve"> bidonville</w:t>
      </w:r>
      <w:r w:rsidR="00D502E6" w:rsidRPr="009A080D">
        <w:rPr>
          <w:sz w:val="24"/>
          <w:szCs w:val="24"/>
        </w:rPr>
        <w:t>s</w:t>
      </w:r>
      <w:r w:rsidR="004602CB" w:rsidRPr="009A080D">
        <w:rPr>
          <w:sz w:val="24"/>
          <w:szCs w:val="24"/>
        </w:rPr>
        <w:t xml:space="preserve"> et</w:t>
      </w:r>
      <w:r w:rsidRPr="009A080D">
        <w:rPr>
          <w:sz w:val="24"/>
          <w:szCs w:val="24"/>
        </w:rPr>
        <w:t>, d’autre part,</w:t>
      </w:r>
      <w:r w:rsidR="00C1738E" w:rsidRPr="009A080D">
        <w:rPr>
          <w:sz w:val="24"/>
          <w:szCs w:val="24"/>
        </w:rPr>
        <w:t xml:space="preserve"> </w:t>
      </w:r>
      <w:r w:rsidR="004602CB" w:rsidRPr="009A080D">
        <w:rPr>
          <w:sz w:val="24"/>
          <w:szCs w:val="24"/>
        </w:rPr>
        <w:t>à la Stratégie</w:t>
      </w:r>
      <w:r w:rsidRPr="009A080D">
        <w:rPr>
          <w:sz w:val="24"/>
          <w:szCs w:val="24"/>
        </w:rPr>
        <w:t>,</w:t>
      </w:r>
      <w:r w:rsidR="00491076" w:rsidRPr="009A080D">
        <w:rPr>
          <w:sz w:val="24"/>
          <w:szCs w:val="24"/>
        </w:rPr>
        <w:t xml:space="preserve"> rend </w:t>
      </w:r>
      <w:r w:rsidR="00D610FF" w:rsidRPr="009A080D">
        <w:rPr>
          <w:sz w:val="24"/>
          <w:szCs w:val="24"/>
        </w:rPr>
        <w:t xml:space="preserve">complexe l’évaluation des </w:t>
      </w:r>
      <w:r w:rsidR="004602CB" w:rsidRPr="009A080D">
        <w:rPr>
          <w:sz w:val="24"/>
          <w:szCs w:val="24"/>
        </w:rPr>
        <w:t xml:space="preserve">moyens </w:t>
      </w:r>
      <w:r w:rsidR="00D610FF" w:rsidRPr="009A080D">
        <w:rPr>
          <w:sz w:val="24"/>
          <w:szCs w:val="24"/>
        </w:rPr>
        <w:t xml:space="preserve">qui </w:t>
      </w:r>
      <w:r w:rsidR="004602CB" w:rsidRPr="009A080D">
        <w:rPr>
          <w:sz w:val="24"/>
          <w:szCs w:val="24"/>
        </w:rPr>
        <w:t>sont précisément alloués</w:t>
      </w:r>
      <w:r w:rsidR="00D610FF" w:rsidRPr="009A080D">
        <w:rPr>
          <w:sz w:val="24"/>
          <w:szCs w:val="24"/>
        </w:rPr>
        <w:t xml:space="preserve"> à la mise en œuvre de cette dernière</w:t>
      </w:r>
      <w:r w:rsidR="004602CB" w:rsidRPr="009A080D">
        <w:rPr>
          <w:sz w:val="24"/>
          <w:szCs w:val="24"/>
        </w:rPr>
        <w:t>.</w:t>
      </w:r>
      <w:r w:rsidR="00491076" w:rsidRPr="009A080D">
        <w:rPr>
          <w:sz w:val="24"/>
          <w:szCs w:val="24"/>
        </w:rPr>
        <w:t xml:space="preserve"> </w:t>
      </w:r>
      <w:r w:rsidR="00387C35" w:rsidRPr="009A080D">
        <w:rPr>
          <w:sz w:val="24"/>
          <w:szCs w:val="24"/>
        </w:rPr>
        <w:t>Surtout, la mise en œuvre de la S</w:t>
      </w:r>
      <w:r w:rsidR="00D502E6" w:rsidRPr="009A080D">
        <w:rPr>
          <w:sz w:val="24"/>
          <w:szCs w:val="24"/>
        </w:rPr>
        <w:t xml:space="preserve">tratégie étant inclue dans l’objectif de résorption des bidonvilles, la CNCDH s’interroge quant à l’adéquation des crédits </w:t>
      </w:r>
      <w:r w:rsidR="00C61756" w:rsidRPr="009A080D">
        <w:rPr>
          <w:sz w:val="24"/>
          <w:szCs w:val="24"/>
        </w:rPr>
        <w:t>dédiés</w:t>
      </w:r>
      <w:r w:rsidR="000272D0" w:rsidRPr="009A080D">
        <w:rPr>
          <w:sz w:val="24"/>
          <w:szCs w:val="24"/>
        </w:rPr>
        <w:t xml:space="preserve"> et </w:t>
      </w:r>
      <w:r w:rsidR="00D502E6" w:rsidRPr="009A080D">
        <w:rPr>
          <w:sz w:val="24"/>
          <w:szCs w:val="24"/>
        </w:rPr>
        <w:t xml:space="preserve">leur stagnation </w:t>
      </w:r>
      <w:r w:rsidR="000272D0" w:rsidRPr="009A080D">
        <w:rPr>
          <w:sz w:val="24"/>
          <w:szCs w:val="24"/>
        </w:rPr>
        <w:t xml:space="preserve">à hauteur de 8 millions d’euros </w:t>
      </w:r>
      <w:r w:rsidR="00D502E6" w:rsidRPr="009A080D">
        <w:rPr>
          <w:sz w:val="24"/>
          <w:szCs w:val="24"/>
        </w:rPr>
        <w:t xml:space="preserve">pour l’année </w:t>
      </w:r>
      <w:r w:rsidR="000272D0" w:rsidRPr="009A080D">
        <w:rPr>
          <w:sz w:val="24"/>
          <w:szCs w:val="24"/>
        </w:rPr>
        <w:t>2024</w:t>
      </w:r>
      <w:r w:rsidR="00D502E6" w:rsidRPr="009A080D">
        <w:rPr>
          <w:sz w:val="24"/>
          <w:szCs w:val="24"/>
        </w:rPr>
        <w:t xml:space="preserve"> avec la poursuite d’objectifs </w:t>
      </w:r>
      <w:r w:rsidR="00906E97" w:rsidRPr="009A080D">
        <w:rPr>
          <w:sz w:val="24"/>
          <w:szCs w:val="24"/>
        </w:rPr>
        <w:t>aussi importants</w:t>
      </w:r>
      <w:r w:rsidR="007A1203" w:rsidRPr="009A080D">
        <w:rPr>
          <w:sz w:val="24"/>
          <w:szCs w:val="24"/>
        </w:rPr>
        <w:t>.</w:t>
      </w:r>
    </w:p>
    <w:p w14:paraId="016B387E" w14:textId="77777777" w:rsidR="009A080D" w:rsidRPr="009A080D" w:rsidRDefault="009A080D" w:rsidP="007125B7">
      <w:pPr>
        <w:pStyle w:val="Paragraphedeliste"/>
        <w:spacing w:beforeLines="120" w:before="288" w:afterLines="160" w:after="384" w:line="360" w:lineRule="auto"/>
        <w:ind w:left="1080"/>
        <w:rPr>
          <w:sz w:val="24"/>
          <w:szCs w:val="24"/>
        </w:rPr>
      </w:pPr>
    </w:p>
    <w:p w14:paraId="71EEFBC5" w14:textId="690668C5" w:rsidR="00AB77D0" w:rsidRDefault="00150400" w:rsidP="007125B7">
      <w:pPr>
        <w:pStyle w:val="Paragraphedeliste"/>
        <w:numPr>
          <w:ilvl w:val="0"/>
          <w:numId w:val="11"/>
        </w:numPr>
        <w:spacing w:beforeLines="120" w:before="288" w:afterLines="160" w:after="384" w:line="360" w:lineRule="auto"/>
        <w:rPr>
          <w:sz w:val="24"/>
          <w:szCs w:val="24"/>
        </w:rPr>
      </w:pPr>
      <w:r w:rsidRPr="009A080D">
        <w:rPr>
          <w:sz w:val="24"/>
          <w:szCs w:val="24"/>
        </w:rPr>
        <w:t xml:space="preserve">En outre, </w:t>
      </w:r>
      <w:r w:rsidR="00E73416" w:rsidRPr="009A080D">
        <w:rPr>
          <w:sz w:val="24"/>
          <w:szCs w:val="24"/>
        </w:rPr>
        <w:t>les acteurs de la résorption</w:t>
      </w:r>
      <w:r w:rsidR="00B21F5F" w:rsidRPr="009A080D">
        <w:rPr>
          <w:sz w:val="24"/>
          <w:szCs w:val="24"/>
        </w:rPr>
        <w:t xml:space="preserve"> des bidonvilles</w:t>
      </w:r>
      <w:r w:rsidR="00E73416" w:rsidRPr="009A080D">
        <w:rPr>
          <w:sz w:val="24"/>
          <w:szCs w:val="24"/>
        </w:rPr>
        <w:t xml:space="preserve">, publics </w:t>
      </w:r>
      <w:r w:rsidR="00172A30" w:rsidRPr="009A080D">
        <w:rPr>
          <w:sz w:val="24"/>
          <w:szCs w:val="24"/>
        </w:rPr>
        <w:t xml:space="preserve">(préfectures notamment) </w:t>
      </w:r>
      <w:r w:rsidR="00E73416" w:rsidRPr="009A080D">
        <w:rPr>
          <w:sz w:val="24"/>
          <w:szCs w:val="24"/>
        </w:rPr>
        <w:t>comme associatifs, s’accordent à di</w:t>
      </w:r>
      <w:r w:rsidR="00D053C4" w:rsidRPr="009A080D">
        <w:rPr>
          <w:sz w:val="24"/>
          <w:szCs w:val="24"/>
        </w:rPr>
        <w:t xml:space="preserve">re que ces fonds </w:t>
      </w:r>
      <w:r w:rsidR="00326657" w:rsidRPr="009A080D">
        <w:rPr>
          <w:sz w:val="24"/>
          <w:szCs w:val="24"/>
        </w:rPr>
        <w:t xml:space="preserve">sont </w:t>
      </w:r>
      <w:r w:rsidR="00D053C4" w:rsidRPr="009A080D">
        <w:rPr>
          <w:sz w:val="24"/>
          <w:szCs w:val="24"/>
        </w:rPr>
        <w:t>insuffisants. En effet</w:t>
      </w:r>
      <w:r w:rsidR="003D016E" w:rsidRPr="009A080D">
        <w:rPr>
          <w:sz w:val="24"/>
          <w:szCs w:val="24"/>
        </w:rPr>
        <w:t>,</w:t>
      </w:r>
      <w:r w:rsidR="00D053C4" w:rsidRPr="009A080D">
        <w:rPr>
          <w:sz w:val="24"/>
          <w:szCs w:val="24"/>
        </w:rPr>
        <w:t xml:space="preserve"> d</w:t>
      </w:r>
      <w:r w:rsidR="00E73416" w:rsidRPr="009A080D">
        <w:rPr>
          <w:sz w:val="24"/>
          <w:szCs w:val="24"/>
        </w:rPr>
        <w:t>’autres fonds publics sont nécessairement adjoints pour</w:t>
      </w:r>
      <w:r w:rsidR="00326657" w:rsidRPr="009A080D">
        <w:rPr>
          <w:sz w:val="24"/>
          <w:szCs w:val="24"/>
        </w:rPr>
        <w:t xml:space="preserve"> que la mise en œuvre de</w:t>
      </w:r>
      <w:r w:rsidR="00E73416" w:rsidRPr="009A080D">
        <w:rPr>
          <w:sz w:val="24"/>
          <w:szCs w:val="24"/>
        </w:rPr>
        <w:t xml:space="preserve"> la politique de résorption</w:t>
      </w:r>
      <w:r w:rsidR="00326657" w:rsidRPr="009A080D">
        <w:rPr>
          <w:sz w:val="24"/>
          <w:szCs w:val="24"/>
        </w:rPr>
        <w:t xml:space="preserve"> soit possible</w:t>
      </w:r>
      <w:r w:rsidR="00E73416" w:rsidRPr="009A080D">
        <w:rPr>
          <w:sz w:val="24"/>
          <w:szCs w:val="24"/>
        </w:rPr>
        <w:t>, à l’instar de</w:t>
      </w:r>
      <w:r w:rsidR="00326657" w:rsidRPr="009A080D">
        <w:rPr>
          <w:sz w:val="24"/>
          <w:szCs w:val="24"/>
        </w:rPr>
        <w:t>s</w:t>
      </w:r>
      <w:r w:rsidR="00E73416" w:rsidRPr="009A080D">
        <w:rPr>
          <w:sz w:val="24"/>
          <w:szCs w:val="24"/>
        </w:rPr>
        <w:t xml:space="preserve"> 5 à 6 millions d’euros annuels</w:t>
      </w:r>
      <w:r w:rsidR="00D053C4" w:rsidRPr="009A080D">
        <w:rPr>
          <w:sz w:val="24"/>
          <w:szCs w:val="24"/>
        </w:rPr>
        <w:t xml:space="preserve"> </w:t>
      </w:r>
      <w:r w:rsidR="00326657" w:rsidRPr="009A080D">
        <w:rPr>
          <w:sz w:val="24"/>
          <w:szCs w:val="24"/>
        </w:rPr>
        <w:t xml:space="preserve">versés par la métropole nantaise afin de financer plusieurs projets s’inscrivant </w:t>
      </w:r>
      <w:r w:rsidR="00D053C4" w:rsidRPr="009A080D">
        <w:rPr>
          <w:sz w:val="24"/>
          <w:szCs w:val="24"/>
        </w:rPr>
        <w:t xml:space="preserve">dans </w:t>
      </w:r>
      <w:r w:rsidR="00326657" w:rsidRPr="009A080D">
        <w:rPr>
          <w:sz w:val="24"/>
          <w:szCs w:val="24"/>
        </w:rPr>
        <w:t xml:space="preserve">le cadre de cette </w:t>
      </w:r>
      <w:r w:rsidR="00D053C4" w:rsidRPr="009A080D">
        <w:rPr>
          <w:sz w:val="24"/>
          <w:szCs w:val="24"/>
        </w:rPr>
        <w:t xml:space="preserve">politique de </w:t>
      </w:r>
      <w:r w:rsidR="001C6E74" w:rsidRPr="009A080D">
        <w:rPr>
          <w:sz w:val="24"/>
          <w:szCs w:val="24"/>
        </w:rPr>
        <w:t>résorption.</w:t>
      </w:r>
    </w:p>
    <w:p w14:paraId="35EE326C" w14:textId="77777777" w:rsidR="009A080D" w:rsidRPr="009A080D" w:rsidRDefault="009A080D" w:rsidP="007125B7">
      <w:pPr>
        <w:pStyle w:val="Paragraphedeliste"/>
        <w:spacing w:beforeLines="120" w:before="288" w:afterLines="160" w:after="384" w:line="360" w:lineRule="auto"/>
        <w:ind w:left="1080"/>
        <w:rPr>
          <w:sz w:val="24"/>
          <w:szCs w:val="24"/>
        </w:rPr>
      </w:pPr>
    </w:p>
    <w:p w14:paraId="0B787C44" w14:textId="64422663" w:rsidR="000272D0" w:rsidRDefault="00AB77D0" w:rsidP="007125B7">
      <w:pPr>
        <w:pStyle w:val="Paragraphedeliste"/>
        <w:numPr>
          <w:ilvl w:val="0"/>
          <w:numId w:val="11"/>
        </w:numPr>
        <w:spacing w:beforeLines="120" w:before="288" w:afterLines="160" w:after="384" w:line="360" w:lineRule="auto"/>
        <w:rPr>
          <w:sz w:val="24"/>
          <w:szCs w:val="24"/>
        </w:rPr>
      </w:pPr>
      <w:r w:rsidRPr="009A080D">
        <w:rPr>
          <w:sz w:val="24"/>
          <w:szCs w:val="24"/>
        </w:rPr>
        <w:t>Au-delà d</w:t>
      </w:r>
      <w:r w:rsidR="00EB1277" w:rsidRPr="009A080D">
        <w:rPr>
          <w:sz w:val="24"/>
          <w:szCs w:val="24"/>
        </w:rPr>
        <w:t>e ces considérations budgétaires</w:t>
      </w:r>
      <w:r w:rsidRPr="009A080D">
        <w:rPr>
          <w:sz w:val="24"/>
          <w:szCs w:val="24"/>
        </w:rPr>
        <w:t>, la CNCDH s’</w:t>
      </w:r>
      <w:r w:rsidR="00E2067E" w:rsidRPr="009A080D">
        <w:rPr>
          <w:sz w:val="24"/>
          <w:szCs w:val="24"/>
        </w:rPr>
        <w:t xml:space="preserve">interroge </w:t>
      </w:r>
      <w:r w:rsidR="000272D0" w:rsidRPr="009A080D">
        <w:rPr>
          <w:sz w:val="24"/>
          <w:szCs w:val="24"/>
        </w:rPr>
        <w:t>quant à</w:t>
      </w:r>
      <w:r w:rsidR="00E2067E" w:rsidRPr="009A080D">
        <w:rPr>
          <w:sz w:val="24"/>
          <w:szCs w:val="24"/>
        </w:rPr>
        <w:t xml:space="preserve"> l’effet concret qu’aura la création d’un unique poste de chargée d’évaluation</w:t>
      </w:r>
      <w:r w:rsidR="00FF366E" w:rsidRPr="009A080D">
        <w:rPr>
          <w:sz w:val="24"/>
          <w:szCs w:val="24"/>
        </w:rPr>
        <w:t xml:space="preserve"> </w:t>
      </w:r>
      <w:r w:rsidR="00E2067E" w:rsidRPr="009A080D">
        <w:rPr>
          <w:sz w:val="24"/>
          <w:szCs w:val="24"/>
        </w:rPr>
        <w:t xml:space="preserve">et de </w:t>
      </w:r>
      <w:r w:rsidR="00E2067E" w:rsidRPr="009A080D">
        <w:rPr>
          <w:sz w:val="24"/>
          <w:szCs w:val="24"/>
        </w:rPr>
        <w:lastRenderedPageBreak/>
        <w:t xml:space="preserve">capitalisation au sein de la </w:t>
      </w:r>
      <w:r w:rsidR="00E40067" w:rsidRPr="009A080D">
        <w:rPr>
          <w:rFonts w:cstheme="minorHAnsi"/>
          <w:sz w:val="24"/>
          <w:szCs w:val="24"/>
        </w:rPr>
        <w:t>Délégation interministérielle à l'hébergement et à l'accès au logement (DIHAL)</w:t>
      </w:r>
      <w:r w:rsidR="00E40067" w:rsidRPr="009A080D">
        <w:rPr>
          <w:sz w:val="24"/>
          <w:szCs w:val="24"/>
        </w:rPr>
        <w:t xml:space="preserve"> - </w:t>
      </w:r>
      <w:r w:rsidR="00FF366E" w:rsidRPr="009A080D">
        <w:rPr>
          <w:sz w:val="24"/>
          <w:szCs w:val="24"/>
        </w:rPr>
        <w:t>dont le contrat de</w:t>
      </w:r>
      <w:r w:rsidR="00E40067" w:rsidRPr="009A080D">
        <w:rPr>
          <w:sz w:val="24"/>
          <w:szCs w:val="24"/>
        </w:rPr>
        <w:t xml:space="preserve"> travail est à durée déterminée -</w:t>
      </w:r>
      <w:r w:rsidR="00E2067E" w:rsidRPr="009A080D">
        <w:rPr>
          <w:sz w:val="24"/>
          <w:szCs w:val="24"/>
        </w:rPr>
        <w:t xml:space="preserve"> sur la mise en œuvre de la stratégie nationale</w:t>
      </w:r>
      <w:r w:rsidR="00EB1277" w:rsidRPr="004A6879">
        <w:rPr>
          <w:rStyle w:val="Appelnotedebasdep"/>
          <w:sz w:val="24"/>
          <w:szCs w:val="24"/>
        </w:rPr>
        <w:footnoteReference w:id="2"/>
      </w:r>
      <w:r w:rsidR="00E2067E" w:rsidRPr="009A080D">
        <w:rPr>
          <w:sz w:val="24"/>
          <w:szCs w:val="24"/>
        </w:rPr>
        <w:t xml:space="preserve">. </w:t>
      </w:r>
      <w:r w:rsidR="00491076" w:rsidRPr="009A080D">
        <w:rPr>
          <w:sz w:val="24"/>
          <w:szCs w:val="24"/>
        </w:rPr>
        <w:t xml:space="preserve">Il est en tout état de cause encore trop tôt pour faire un bilan de l’apport de ce poste </w:t>
      </w:r>
      <w:r w:rsidR="004966DE" w:rsidRPr="009A080D">
        <w:rPr>
          <w:sz w:val="24"/>
          <w:szCs w:val="24"/>
        </w:rPr>
        <w:t xml:space="preserve">aux fins du suivi de la Stratégie nationale. </w:t>
      </w:r>
    </w:p>
    <w:p w14:paraId="58C77EA0" w14:textId="77777777" w:rsidR="009A080D" w:rsidRPr="009A080D" w:rsidRDefault="009A080D" w:rsidP="007125B7">
      <w:pPr>
        <w:pStyle w:val="Paragraphedeliste"/>
        <w:spacing w:beforeLines="120" w:before="288" w:afterLines="160" w:after="384" w:line="360" w:lineRule="auto"/>
        <w:ind w:left="1080"/>
        <w:rPr>
          <w:sz w:val="24"/>
          <w:szCs w:val="24"/>
        </w:rPr>
      </w:pPr>
    </w:p>
    <w:p w14:paraId="5D456910" w14:textId="096A1333" w:rsidR="007A1203" w:rsidRDefault="00E40067" w:rsidP="007125B7">
      <w:pPr>
        <w:pStyle w:val="Paragraphedeliste"/>
        <w:numPr>
          <w:ilvl w:val="0"/>
          <w:numId w:val="11"/>
        </w:numPr>
        <w:spacing w:beforeLines="120" w:before="288" w:afterLines="160" w:after="384" w:line="360" w:lineRule="auto"/>
        <w:rPr>
          <w:sz w:val="24"/>
          <w:szCs w:val="24"/>
        </w:rPr>
      </w:pPr>
      <w:r w:rsidRPr="009A080D">
        <w:rPr>
          <w:sz w:val="24"/>
          <w:szCs w:val="24"/>
        </w:rPr>
        <w:t>Un</w:t>
      </w:r>
      <w:r w:rsidR="00086241" w:rsidRPr="009A080D">
        <w:rPr>
          <w:sz w:val="24"/>
          <w:szCs w:val="24"/>
        </w:rPr>
        <w:t>e plateforme numérique « Résorption-Bidonvilles » devant permettre de recenser les bidonvilles</w:t>
      </w:r>
      <w:r w:rsidR="00725D52" w:rsidRPr="009A080D">
        <w:rPr>
          <w:sz w:val="24"/>
          <w:szCs w:val="24"/>
        </w:rPr>
        <w:t>,</w:t>
      </w:r>
      <w:r w:rsidR="008C2097" w:rsidRPr="009A080D">
        <w:rPr>
          <w:sz w:val="24"/>
          <w:szCs w:val="24"/>
        </w:rPr>
        <w:t xml:space="preserve"> </w:t>
      </w:r>
      <w:r w:rsidR="00725D52" w:rsidRPr="009A080D">
        <w:rPr>
          <w:sz w:val="24"/>
          <w:szCs w:val="24"/>
        </w:rPr>
        <w:t xml:space="preserve">et </w:t>
      </w:r>
      <w:r w:rsidR="00086241" w:rsidRPr="009A080D">
        <w:rPr>
          <w:sz w:val="24"/>
          <w:szCs w:val="24"/>
        </w:rPr>
        <w:t xml:space="preserve">d’assurer le suivi de l’accompagnement des personnes vivant dans les bidonvilles </w:t>
      </w:r>
      <w:r w:rsidR="00725D52" w:rsidRPr="009A080D">
        <w:rPr>
          <w:sz w:val="24"/>
          <w:szCs w:val="24"/>
        </w:rPr>
        <w:t>en vue d’accélérer l</w:t>
      </w:r>
      <w:r w:rsidRPr="009A080D">
        <w:rPr>
          <w:sz w:val="24"/>
          <w:szCs w:val="24"/>
        </w:rPr>
        <w:t xml:space="preserve">eur résorption, </w:t>
      </w:r>
      <w:r w:rsidR="00086241" w:rsidRPr="009A080D">
        <w:rPr>
          <w:sz w:val="24"/>
          <w:szCs w:val="24"/>
        </w:rPr>
        <w:t>est accessible est ligne</w:t>
      </w:r>
      <w:r w:rsidR="00086241" w:rsidRPr="004A6879">
        <w:rPr>
          <w:rStyle w:val="Appelnotedebasdep"/>
          <w:sz w:val="24"/>
          <w:szCs w:val="24"/>
        </w:rPr>
        <w:footnoteReference w:id="3"/>
      </w:r>
      <w:r w:rsidRPr="009A080D">
        <w:rPr>
          <w:sz w:val="24"/>
          <w:szCs w:val="24"/>
        </w:rPr>
        <w:t>. Toutefois,</w:t>
      </w:r>
      <w:r w:rsidR="00086241" w:rsidRPr="009A080D">
        <w:rPr>
          <w:sz w:val="24"/>
          <w:szCs w:val="24"/>
        </w:rPr>
        <w:t xml:space="preserve"> </w:t>
      </w:r>
      <w:r w:rsidR="00725D52" w:rsidRPr="009A080D">
        <w:rPr>
          <w:sz w:val="24"/>
          <w:szCs w:val="24"/>
        </w:rPr>
        <w:t xml:space="preserve">elle </w:t>
      </w:r>
      <w:r w:rsidR="00086241" w:rsidRPr="009A080D">
        <w:rPr>
          <w:sz w:val="24"/>
          <w:szCs w:val="24"/>
        </w:rPr>
        <w:t xml:space="preserve">est toujours en cours de développement et n’est ouverte qu’à des acteurs </w:t>
      </w:r>
      <w:r w:rsidR="00A92AAF" w:rsidRPr="009A080D">
        <w:rPr>
          <w:sz w:val="24"/>
          <w:szCs w:val="24"/>
        </w:rPr>
        <w:t xml:space="preserve">précis, </w:t>
      </w:r>
      <w:r w:rsidR="00086241" w:rsidRPr="009A080D">
        <w:rPr>
          <w:sz w:val="24"/>
          <w:szCs w:val="24"/>
        </w:rPr>
        <w:t>qu’après acceptation de la part des ad</w:t>
      </w:r>
      <w:r w:rsidR="00A53FDD" w:rsidRPr="009A080D">
        <w:rPr>
          <w:sz w:val="24"/>
          <w:szCs w:val="24"/>
        </w:rPr>
        <w:t>ministrateurs de la plateforme.</w:t>
      </w:r>
    </w:p>
    <w:p w14:paraId="456F528F" w14:textId="77777777" w:rsidR="009A080D" w:rsidRPr="009A080D" w:rsidRDefault="009A080D" w:rsidP="007125B7">
      <w:pPr>
        <w:pStyle w:val="Paragraphedeliste"/>
        <w:spacing w:beforeLines="120" w:before="288" w:afterLines="160" w:after="384" w:line="360" w:lineRule="auto"/>
        <w:ind w:left="1080"/>
        <w:rPr>
          <w:sz w:val="24"/>
          <w:szCs w:val="24"/>
        </w:rPr>
      </w:pPr>
    </w:p>
    <w:p w14:paraId="16F2958A" w14:textId="60EC4368" w:rsidR="002F0752" w:rsidRDefault="00BA7090" w:rsidP="007125B7">
      <w:pPr>
        <w:pStyle w:val="Paragraphedeliste"/>
        <w:numPr>
          <w:ilvl w:val="0"/>
          <w:numId w:val="11"/>
        </w:numPr>
        <w:spacing w:beforeLines="120" w:before="288" w:afterLines="160" w:after="384" w:line="360" w:lineRule="auto"/>
        <w:rPr>
          <w:sz w:val="24"/>
          <w:szCs w:val="24"/>
        </w:rPr>
      </w:pPr>
      <w:r w:rsidRPr="009A080D">
        <w:rPr>
          <w:sz w:val="24"/>
          <w:szCs w:val="24"/>
        </w:rPr>
        <w:t>S’agissant des travaux de la</w:t>
      </w:r>
      <w:r w:rsidR="008C2097" w:rsidRPr="009A080D">
        <w:rPr>
          <w:sz w:val="24"/>
          <w:szCs w:val="24"/>
        </w:rPr>
        <w:t xml:space="preserve"> Commission nationale consultative des gens du voyage (</w:t>
      </w:r>
      <w:r w:rsidRPr="009A080D">
        <w:rPr>
          <w:sz w:val="24"/>
          <w:szCs w:val="24"/>
        </w:rPr>
        <w:t>CNCDGV</w:t>
      </w:r>
      <w:r w:rsidR="008C2097" w:rsidRPr="009A080D">
        <w:rPr>
          <w:sz w:val="24"/>
          <w:szCs w:val="24"/>
        </w:rPr>
        <w:t>)</w:t>
      </w:r>
      <w:r w:rsidRPr="009A080D">
        <w:rPr>
          <w:sz w:val="24"/>
          <w:szCs w:val="24"/>
        </w:rPr>
        <w:t xml:space="preserve">, ceux-ci </w:t>
      </w:r>
      <w:r w:rsidR="003B798A" w:rsidRPr="009A080D">
        <w:rPr>
          <w:sz w:val="24"/>
          <w:szCs w:val="24"/>
        </w:rPr>
        <w:t xml:space="preserve">restent </w:t>
      </w:r>
      <w:r w:rsidRPr="009A080D">
        <w:rPr>
          <w:sz w:val="24"/>
          <w:szCs w:val="24"/>
        </w:rPr>
        <w:t xml:space="preserve">trop peu accessibles au grand public. </w:t>
      </w:r>
      <w:r w:rsidR="00C96BAF" w:rsidRPr="009A080D">
        <w:rPr>
          <w:sz w:val="24"/>
          <w:szCs w:val="24"/>
        </w:rPr>
        <w:t xml:space="preserve">Plus largement, la participation des habitants et des populations concernées par la mise en œuvre de la stratégie </w:t>
      </w:r>
      <w:r w:rsidR="00694E47" w:rsidRPr="009A080D">
        <w:rPr>
          <w:sz w:val="24"/>
          <w:szCs w:val="24"/>
        </w:rPr>
        <w:t>nationale reste insuffisante.</w:t>
      </w:r>
    </w:p>
    <w:p w14:paraId="62E2E377" w14:textId="77777777" w:rsidR="009A080D" w:rsidRPr="009A080D" w:rsidRDefault="009A080D" w:rsidP="007125B7">
      <w:pPr>
        <w:pStyle w:val="Paragraphedeliste"/>
        <w:spacing w:beforeLines="120" w:before="288" w:afterLines="160" w:after="384" w:line="360" w:lineRule="auto"/>
        <w:ind w:left="1080"/>
        <w:rPr>
          <w:sz w:val="24"/>
          <w:szCs w:val="24"/>
        </w:rPr>
      </w:pPr>
    </w:p>
    <w:p w14:paraId="585D0CFC" w14:textId="764E74F9" w:rsidR="002F0752" w:rsidRDefault="00E40067" w:rsidP="007125B7">
      <w:pPr>
        <w:pStyle w:val="Paragraphedeliste"/>
        <w:numPr>
          <w:ilvl w:val="0"/>
          <w:numId w:val="11"/>
        </w:numPr>
        <w:spacing w:beforeLines="120" w:before="288" w:afterLines="160" w:after="384" w:line="360" w:lineRule="auto"/>
        <w:rPr>
          <w:sz w:val="24"/>
          <w:szCs w:val="24"/>
        </w:rPr>
      </w:pPr>
      <w:r w:rsidRPr="009A080D">
        <w:rPr>
          <w:sz w:val="24"/>
          <w:szCs w:val="24"/>
        </w:rPr>
        <w:t xml:space="preserve">La </w:t>
      </w:r>
      <w:r w:rsidR="00C1738E" w:rsidRPr="009A080D">
        <w:rPr>
          <w:sz w:val="24"/>
          <w:szCs w:val="24"/>
        </w:rPr>
        <w:t>délégation interministérielle mobilisée contre toutes les formes de haine (</w:t>
      </w:r>
      <w:r w:rsidR="00086241" w:rsidRPr="009A080D">
        <w:rPr>
          <w:sz w:val="24"/>
          <w:szCs w:val="24"/>
        </w:rPr>
        <w:t>DILCRAH</w:t>
      </w:r>
      <w:r w:rsidR="00C1738E" w:rsidRPr="009A080D">
        <w:rPr>
          <w:sz w:val="24"/>
          <w:szCs w:val="24"/>
        </w:rPr>
        <w:t>)</w:t>
      </w:r>
      <w:r w:rsidR="00086241" w:rsidRPr="009A080D">
        <w:rPr>
          <w:sz w:val="24"/>
          <w:szCs w:val="24"/>
        </w:rPr>
        <w:t xml:space="preserve"> a réaffirmé sa volonté d’inscrire la </w:t>
      </w:r>
      <w:r w:rsidRPr="009A080D">
        <w:rPr>
          <w:sz w:val="24"/>
          <w:szCs w:val="24"/>
        </w:rPr>
        <w:t xml:space="preserve">lutte contre l’antitsiganisme, </w:t>
      </w:r>
      <w:r w:rsidR="00086241" w:rsidRPr="009A080D">
        <w:rPr>
          <w:sz w:val="24"/>
          <w:szCs w:val="24"/>
        </w:rPr>
        <w:t xml:space="preserve">dans son Plan national de lutte contre le racisme, l’antisémitisme et les discriminations liées à l’origine </w:t>
      </w:r>
      <w:r w:rsidR="00C84557" w:rsidRPr="009A080D">
        <w:rPr>
          <w:sz w:val="24"/>
          <w:szCs w:val="24"/>
        </w:rPr>
        <w:t xml:space="preserve">2023-2026 </w:t>
      </w:r>
      <w:r w:rsidR="00086241" w:rsidRPr="009A080D">
        <w:rPr>
          <w:sz w:val="24"/>
          <w:szCs w:val="24"/>
        </w:rPr>
        <w:t xml:space="preserve">(PRADO) et de le développer au niveau local. </w:t>
      </w:r>
      <w:r w:rsidR="00115AD9" w:rsidRPr="009A080D">
        <w:rPr>
          <w:sz w:val="24"/>
          <w:szCs w:val="24"/>
        </w:rPr>
        <w:t>Comme la France l’avait indiqué</w:t>
      </w:r>
      <w:r w:rsidR="00086241" w:rsidRPr="009A080D">
        <w:rPr>
          <w:sz w:val="24"/>
          <w:szCs w:val="24"/>
        </w:rPr>
        <w:t xml:space="preserve"> au CERD dans ses renseignements de décembre 2023</w:t>
      </w:r>
      <w:r w:rsidR="00086241" w:rsidRPr="004A6879">
        <w:rPr>
          <w:rStyle w:val="Appelnotedebasdep"/>
          <w:sz w:val="24"/>
          <w:szCs w:val="24"/>
        </w:rPr>
        <w:footnoteReference w:id="4"/>
      </w:r>
      <w:r w:rsidR="00086241" w:rsidRPr="009A080D">
        <w:rPr>
          <w:sz w:val="24"/>
          <w:szCs w:val="24"/>
        </w:rPr>
        <w:t xml:space="preserve">, </w:t>
      </w:r>
      <w:r w:rsidR="00C61756" w:rsidRPr="009A080D">
        <w:rPr>
          <w:sz w:val="24"/>
          <w:szCs w:val="24"/>
        </w:rPr>
        <w:t xml:space="preserve">un </w:t>
      </w:r>
      <w:r w:rsidR="00086241" w:rsidRPr="009A080D">
        <w:rPr>
          <w:sz w:val="24"/>
          <w:szCs w:val="24"/>
        </w:rPr>
        <w:t>plan national de formation sur le racisme, l’antisémitisme et l’antitsiganisme organisé par la</w:t>
      </w:r>
      <w:r w:rsidR="00906C5D" w:rsidRPr="009A080D">
        <w:rPr>
          <w:sz w:val="24"/>
          <w:szCs w:val="24"/>
        </w:rPr>
        <w:t xml:space="preserve"> D</w:t>
      </w:r>
      <w:r w:rsidR="002442EA" w:rsidRPr="009A080D">
        <w:rPr>
          <w:sz w:val="24"/>
          <w:szCs w:val="24"/>
        </w:rPr>
        <w:t>irection générale de l'enseignement scolaire</w:t>
      </w:r>
      <w:r w:rsidR="00086241" w:rsidRPr="009A080D">
        <w:rPr>
          <w:sz w:val="24"/>
          <w:szCs w:val="24"/>
        </w:rPr>
        <w:t xml:space="preserve"> </w:t>
      </w:r>
      <w:r w:rsidR="002442EA" w:rsidRPr="009A080D">
        <w:rPr>
          <w:sz w:val="24"/>
          <w:szCs w:val="24"/>
        </w:rPr>
        <w:t>(</w:t>
      </w:r>
      <w:r w:rsidR="00086241" w:rsidRPr="009A080D">
        <w:rPr>
          <w:sz w:val="24"/>
          <w:szCs w:val="24"/>
        </w:rPr>
        <w:t>DG</w:t>
      </w:r>
      <w:r w:rsidR="002442EA" w:rsidRPr="009A080D">
        <w:rPr>
          <w:sz w:val="24"/>
          <w:szCs w:val="24"/>
        </w:rPr>
        <w:t>E</w:t>
      </w:r>
      <w:r w:rsidR="00086241" w:rsidRPr="009A080D">
        <w:rPr>
          <w:sz w:val="24"/>
          <w:szCs w:val="24"/>
        </w:rPr>
        <w:t>SCO</w:t>
      </w:r>
      <w:r w:rsidR="002442EA" w:rsidRPr="009A080D">
        <w:rPr>
          <w:sz w:val="24"/>
          <w:szCs w:val="24"/>
        </w:rPr>
        <w:t>)</w:t>
      </w:r>
      <w:r w:rsidR="00086241" w:rsidRPr="009A080D">
        <w:rPr>
          <w:sz w:val="24"/>
          <w:szCs w:val="24"/>
        </w:rPr>
        <w:t xml:space="preserve"> s’est bien tenu du 20 au 22 février 2024</w:t>
      </w:r>
      <w:r w:rsidR="00086241" w:rsidRPr="004A6879">
        <w:rPr>
          <w:rStyle w:val="Appelnotedebasdep"/>
          <w:sz w:val="24"/>
          <w:szCs w:val="24"/>
        </w:rPr>
        <w:footnoteReference w:id="5"/>
      </w:r>
      <w:r w:rsidR="00086241" w:rsidRPr="009A080D">
        <w:rPr>
          <w:sz w:val="24"/>
          <w:szCs w:val="24"/>
        </w:rPr>
        <w:t>.</w:t>
      </w:r>
    </w:p>
    <w:p w14:paraId="3AEA70C4" w14:textId="77777777" w:rsidR="009A080D" w:rsidRPr="009A080D" w:rsidRDefault="009A080D" w:rsidP="007125B7">
      <w:pPr>
        <w:pStyle w:val="Paragraphedeliste"/>
        <w:spacing w:beforeLines="120" w:before="288" w:afterLines="160" w:after="384" w:line="360" w:lineRule="auto"/>
        <w:ind w:left="1080"/>
        <w:rPr>
          <w:sz w:val="24"/>
          <w:szCs w:val="24"/>
        </w:rPr>
      </w:pPr>
    </w:p>
    <w:p w14:paraId="719A0F2A" w14:textId="39991188" w:rsidR="00E82999" w:rsidRDefault="008C504C" w:rsidP="007125B7">
      <w:pPr>
        <w:pStyle w:val="Paragraphedeliste"/>
        <w:numPr>
          <w:ilvl w:val="0"/>
          <w:numId w:val="11"/>
        </w:numPr>
        <w:spacing w:beforeLines="120" w:before="288" w:afterLines="160" w:after="384" w:line="360" w:lineRule="auto"/>
        <w:rPr>
          <w:sz w:val="24"/>
          <w:szCs w:val="24"/>
        </w:rPr>
      </w:pPr>
      <w:r w:rsidRPr="009A080D">
        <w:rPr>
          <w:sz w:val="24"/>
          <w:szCs w:val="24"/>
        </w:rPr>
        <w:lastRenderedPageBreak/>
        <w:t xml:space="preserve">En dehors de cela, les moyens attribués à la DILCRAH en matière de lutte contre l’antitsiganisme sont trop peu clairs. En ce sens, les </w:t>
      </w:r>
      <w:r w:rsidR="00E82999" w:rsidRPr="009A080D">
        <w:rPr>
          <w:sz w:val="24"/>
          <w:szCs w:val="24"/>
        </w:rPr>
        <w:t xml:space="preserve">budgets accordés </w:t>
      </w:r>
      <w:r w:rsidRPr="009A080D">
        <w:rPr>
          <w:sz w:val="24"/>
          <w:szCs w:val="24"/>
        </w:rPr>
        <w:t xml:space="preserve">par la DILCRAH </w:t>
      </w:r>
      <w:r w:rsidR="00E82999" w:rsidRPr="009A080D">
        <w:rPr>
          <w:sz w:val="24"/>
          <w:szCs w:val="24"/>
        </w:rPr>
        <w:t xml:space="preserve">aux associations </w:t>
      </w:r>
      <w:r w:rsidR="00E40067" w:rsidRPr="009A080D">
        <w:rPr>
          <w:sz w:val="24"/>
          <w:szCs w:val="24"/>
        </w:rPr>
        <w:t xml:space="preserve">de lutte </w:t>
      </w:r>
      <w:r w:rsidR="00E82999" w:rsidRPr="009A080D">
        <w:rPr>
          <w:sz w:val="24"/>
          <w:szCs w:val="24"/>
        </w:rPr>
        <w:t xml:space="preserve">contre l’antitsiganisme </w:t>
      </w:r>
      <w:r w:rsidRPr="009A080D">
        <w:rPr>
          <w:sz w:val="24"/>
          <w:szCs w:val="24"/>
        </w:rPr>
        <w:t xml:space="preserve">manquent de </w:t>
      </w:r>
      <w:r w:rsidR="00941C4B" w:rsidRPr="009A080D">
        <w:rPr>
          <w:sz w:val="24"/>
          <w:szCs w:val="24"/>
        </w:rPr>
        <w:t>transparence</w:t>
      </w:r>
      <w:r>
        <w:rPr>
          <w:rStyle w:val="Appelnotedebasdep"/>
          <w:sz w:val="24"/>
          <w:szCs w:val="24"/>
        </w:rPr>
        <w:footnoteReference w:id="6"/>
      </w:r>
      <w:r w:rsidR="00E82999" w:rsidRPr="009A080D">
        <w:rPr>
          <w:sz w:val="24"/>
          <w:szCs w:val="24"/>
        </w:rPr>
        <w:t xml:space="preserve">. </w:t>
      </w:r>
      <w:r w:rsidR="00941C4B" w:rsidRPr="009A080D">
        <w:rPr>
          <w:sz w:val="24"/>
          <w:szCs w:val="24"/>
        </w:rPr>
        <w:t xml:space="preserve">La CNCDH avait pourtant rappelé à la DILCRAH que ces associations devaient être davantage dotées et avait appelé à un rééquilibrage des subventions et appels à projet. </w:t>
      </w:r>
    </w:p>
    <w:p w14:paraId="404261E0" w14:textId="77777777" w:rsidR="009A080D" w:rsidRPr="009A080D" w:rsidRDefault="009A080D" w:rsidP="007125B7">
      <w:pPr>
        <w:pStyle w:val="Paragraphedeliste"/>
        <w:spacing w:beforeLines="120" w:before="288" w:afterLines="160" w:after="384" w:line="360" w:lineRule="auto"/>
        <w:ind w:left="1080"/>
        <w:rPr>
          <w:sz w:val="24"/>
          <w:szCs w:val="24"/>
        </w:rPr>
      </w:pPr>
    </w:p>
    <w:p w14:paraId="6BBCBD03" w14:textId="77777777" w:rsidR="007125B7" w:rsidRDefault="003B798A" w:rsidP="007125B7">
      <w:pPr>
        <w:pStyle w:val="Paragraphedeliste"/>
        <w:numPr>
          <w:ilvl w:val="0"/>
          <w:numId w:val="11"/>
        </w:numPr>
        <w:spacing w:beforeLines="120" w:before="288" w:afterLines="160" w:after="384" w:line="360" w:lineRule="auto"/>
        <w:rPr>
          <w:sz w:val="24"/>
          <w:szCs w:val="24"/>
        </w:rPr>
      </w:pPr>
      <w:r w:rsidRPr="009A080D">
        <w:rPr>
          <w:sz w:val="24"/>
          <w:szCs w:val="24"/>
        </w:rPr>
        <w:t>En définitive,</w:t>
      </w:r>
      <w:r w:rsidR="004966DE" w:rsidRPr="009A080D">
        <w:rPr>
          <w:sz w:val="24"/>
          <w:szCs w:val="24"/>
        </w:rPr>
        <w:t xml:space="preserve"> </w:t>
      </w:r>
      <w:r w:rsidR="005070B7" w:rsidRPr="009A080D">
        <w:rPr>
          <w:sz w:val="24"/>
          <w:szCs w:val="24"/>
        </w:rPr>
        <w:t xml:space="preserve">la mise en œuvre de la </w:t>
      </w:r>
      <w:r w:rsidR="00C1738E" w:rsidRPr="009A080D">
        <w:rPr>
          <w:sz w:val="24"/>
          <w:szCs w:val="24"/>
        </w:rPr>
        <w:t xml:space="preserve">Stratégie </w:t>
      </w:r>
      <w:r w:rsidR="005070B7" w:rsidRPr="009A080D">
        <w:rPr>
          <w:sz w:val="24"/>
          <w:szCs w:val="24"/>
        </w:rPr>
        <w:t>par la DILCRA</w:t>
      </w:r>
      <w:r w:rsidR="00A21233" w:rsidRPr="009A080D">
        <w:rPr>
          <w:sz w:val="24"/>
          <w:szCs w:val="24"/>
        </w:rPr>
        <w:t xml:space="preserve">H </w:t>
      </w:r>
      <w:r w:rsidR="00001195" w:rsidRPr="009A080D">
        <w:rPr>
          <w:sz w:val="24"/>
          <w:szCs w:val="24"/>
        </w:rPr>
        <w:t xml:space="preserve">– et par extension le volet antistiganisme de la Stratégie – </w:t>
      </w:r>
      <w:r w:rsidR="00A21233" w:rsidRPr="009A080D">
        <w:rPr>
          <w:sz w:val="24"/>
          <w:szCs w:val="24"/>
        </w:rPr>
        <w:t>est assez complexe à évaluer : a</w:t>
      </w:r>
      <w:r w:rsidR="005070B7" w:rsidRPr="009A080D">
        <w:rPr>
          <w:sz w:val="24"/>
          <w:szCs w:val="24"/>
        </w:rPr>
        <w:t>ucun budget ne semble y être consacré et son rôle auprès de la DIHAL</w:t>
      </w:r>
      <w:r w:rsidR="00115AD9" w:rsidRPr="009A080D">
        <w:rPr>
          <w:sz w:val="24"/>
          <w:szCs w:val="24"/>
        </w:rPr>
        <w:t xml:space="preserve"> </w:t>
      </w:r>
      <w:r w:rsidR="005070B7" w:rsidRPr="009A080D">
        <w:rPr>
          <w:sz w:val="24"/>
          <w:szCs w:val="24"/>
        </w:rPr>
        <w:t xml:space="preserve">dans le cadre de la politique de résorption des bidonvilles </w:t>
      </w:r>
      <w:r w:rsidR="00001195" w:rsidRPr="009A080D">
        <w:rPr>
          <w:sz w:val="24"/>
          <w:szCs w:val="24"/>
        </w:rPr>
        <w:t xml:space="preserve">semble pour le moins secondaire. </w:t>
      </w:r>
      <w:r w:rsidR="005070B7" w:rsidRPr="009A080D">
        <w:rPr>
          <w:sz w:val="24"/>
          <w:szCs w:val="24"/>
        </w:rPr>
        <w:t xml:space="preserve">Il ressort donc de la pratique française que c’est </w:t>
      </w:r>
      <w:r w:rsidR="00DB3B10" w:rsidRPr="009A080D">
        <w:rPr>
          <w:sz w:val="24"/>
          <w:szCs w:val="24"/>
        </w:rPr>
        <w:t xml:space="preserve">principalement </w:t>
      </w:r>
      <w:r w:rsidR="005070B7" w:rsidRPr="009A080D">
        <w:rPr>
          <w:sz w:val="24"/>
          <w:szCs w:val="24"/>
        </w:rPr>
        <w:t>la DIHAL</w:t>
      </w:r>
      <w:r w:rsidR="00133281" w:rsidRPr="009A080D">
        <w:rPr>
          <w:sz w:val="24"/>
          <w:szCs w:val="24"/>
        </w:rPr>
        <w:t xml:space="preserve"> – par le biais de sa mission de résorption des bidonvilles – </w:t>
      </w:r>
      <w:r w:rsidR="005070B7" w:rsidRPr="009A080D">
        <w:rPr>
          <w:sz w:val="24"/>
          <w:szCs w:val="24"/>
        </w:rPr>
        <w:t>qui</w:t>
      </w:r>
      <w:r w:rsidR="00794418" w:rsidRPr="009A080D">
        <w:rPr>
          <w:sz w:val="24"/>
          <w:szCs w:val="24"/>
        </w:rPr>
        <w:t xml:space="preserve"> applique seule</w:t>
      </w:r>
      <w:r w:rsidR="005070B7" w:rsidRPr="009A080D">
        <w:rPr>
          <w:sz w:val="24"/>
          <w:szCs w:val="24"/>
        </w:rPr>
        <w:t xml:space="preserve">, </w:t>
      </w:r>
      <w:r w:rsidR="00F55D69" w:rsidRPr="009A080D">
        <w:rPr>
          <w:sz w:val="24"/>
          <w:szCs w:val="24"/>
        </w:rPr>
        <w:t>en consultation avec</w:t>
      </w:r>
      <w:r w:rsidR="00DB3B10" w:rsidRPr="009A080D">
        <w:rPr>
          <w:sz w:val="24"/>
          <w:szCs w:val="24"/>
        </w:rPr>
        <w:t xml:space="preserve"> la</w:t>
      </w:r>
      <w:r w:rsidR="009B0E7E" w:rsidRPr="009A080D">
        <w:rPr>
          <w:sz w:val="24"/>
          <w:szCs w:val="24"/>
        </w:rPr>
        <w:t xml:space="preserve"> Commission nationale de suivi de la résorption des bidonvilles</w:t>
      </w:r>
      <w:r w:rsidR="00DB3B10" w:rsidRPr="009A080D">
        <w:rPr>
          <w:sz w:val="24"/>
          <w:szCs w:val="24"/>
        </w:rPr>
        <w:t xml:space="preserve"> </w:t>
      </w:r>
      <w:r w:rsidR="009B0E7E" w:rsidRPr="009A080D">
        <w:rPr>
          <w:sz w:val="24"/>
          <w:szCs w:val="24"/>
        </w:rPr>
        <w:t>(</w:t>
      </w:r>
      <w:r w:rsidR="00DB3B10" w:rsidRPr="009A080D">
        <w:rPr>
          <w:sz w:val="24"/>
          <w:szCs w:val="24"/>
        </w:rPr>
        <w:t>CNSRB</w:t>
      </w:r>
      <w:r w:rsidR="009B0E7E" w:rsidRPr="009A080D">
        <w:rPr>
          <w:sz w:val="24"/>
          <w:szCs w:val="24"/>
        </w:rPr>
        <w:t>)</w:t>
      </w:r>
      <w:r w:rsidR="00794418" w:rsidRPr="009A080D">
        <w:rPr>
          <w:sz w:val="24"/>
          <w:szCs w:val="24"/>
        </w:rPr>
        <w:t xml:space="preserve">, </w:t>
      </w:r>
      <w:r w:rsidR="00DB3B10" w:rsidRPr="009A080D">
        <w:rPr>
          <w:sz w:val="24"/>
          <w:szCs w:val="24"/>
        </w:rPr>
        <w:t>la Stratégie nationale</w:t>
      </w:r>
      <w:r w:rsidR="00133281" w:rsidRPr="009A080D">
        <w:rPr>
          <w:sz w:val="24"/>
          <w:szCs w:val="24"/>
        </w:rPr>
        <w:t xml:space="preserve"> pour l’égalité, l’inclusion et la participation des Roms pour la période 2020-2030. </w:t>
      </w:r>
    </w:p>
    <w:p w14:paraId="52682A50" w14:textId="60CA135B" w:rsidR="00050D0B" w:rsidRPr="006C0AE3" w:rsidRDefault="00E40067" w:rsidP="007125B7">
      <w:pPr>
        <w:spacing w:beforeLines="120" w:before="288" w:afterLines="160" w:after="384" w:line="360" w:lineRule="auto"/>
        <w:ind w:firstLine="708"/>
        <w:rPr>
          <w:sz w:val="24"/>
          <w:szCs w:val="24"/>
        </w:rPr>
      </w:pPr>
      <w:r w:rsidRPr="006C0AE3">
        <w:rPr>
          <w:b/>
          <w:sz w:val="24"/>
          <w:szCs w:val="24"/>
          <w:u w:val="single"/>
        </w:rPr>
        <w:t xml:space="preserve">Suivi observation </w:t>
      </w:r>
      <w:r w:rsidR="00A929C0" w:rsidRPr="006C0AE3">
        <w:rPr>
          <w:b/>
          <w:sz w:val="24"/>
          <w:szCs w:val="24"/>
          <w:u w:val="single"/>
        </w:rPr>
        <w:t>§</w:t>
      </w:r>
      <w:r w:rsidR="006E1426" w:rsidRPr="006C0AE3">
        <w:rPr>
          <w:b/>
          <w:sz w:val="24"/>
          <w:szCs w:val="24"/>
          <w:u w:val="single"/>
        </w:rPr>
        <w:t xml:space="preserve"> </w:t>
      </w:r>
      <w:r w:rsidR="00674D7F" w:rsidRPr="006C0AE3">
        <w:rPr>
          <w:b/>
          <w:sz w:val="24"/>
          <w:szCs w:val="24"/>
          <w:u w:val="single"/>
        </w:rPr>
        <w:t>14, c)</w:t>
      </w:r>
    </w:p>
    <w:p w14:paraId="5380C139" w14:textId="4299F161" w:rsidR="009A080D" w:rsidRPr="007125B7" w:rsidRDefault="00A31BE3" w:rsidP="007125B7">
      <w:pPr>
        <w:pStyle w:val="Paragraphedeliste"/>
        <w:numPr>
          <w:ilvl w:val="0"/>
          <w:numId w:val="11"/>
        </w:numPr>
        <w:spacing w:beforeLines="120" w:before="288" w:afterLines="160" w:after="384" w:line="360" w:lineRule="auto"/>
        <w:rPr>
          <w:sz w:val="24"/>
          <w:szCs w:val="24"/>
        </w:rPr>
      </w:pPr>
      <w:r w:rsidRPr="009A080D">
        <w:rPr>
          <w:rFonts w:cstheme="minorHAnsi"/>
          <w:sz w:val="24"/>
          <w:szCs w:val="24"/>
        </w:rPr>
        <w:t xml:space="preserve">Le nombre de personnes vivant dans des bidonvilles reste élevé. </w:t>
      </w:r>
      <w:r w:rsidR="006E2A2A" w:rsidRPr="009A080D">
        <w:rPr>
          <w:rFonts w:cstheme="minorHAnsi"/>
          <w:sz w:val="24"/>
          <w:szCs w:val="24"/>
        </w:rPr>
        <w:t xml:space="preserve">Selon la </w:t>
      </w:r>
      <w:r w:rsidR="006A3CCA" w:rsidRPr="009A080D">
        <w:rPr>
          <w:rFonts w:cstheme="minorHAnsi"/>
          <w:sz w:val="24"/>
          <w:szCs w:val="24"/>
        </w:rPr>
        <w:t>DIHAL et la CNSRB</w:t>
      </w:r>
      <w:r w:rsidR="00176106" w:rsidRPr="009A080D">
        <w:rPr>
          <w:rFonts w:cstheme="minorHAnsi"/>
          <w:sz w:val="24"/>
          <w:szCs w:val="24"/>
        </w:rPr>
        <w:t>,</w:t>
      </w:r>
      <w:r w:rsidR="003811B4" w:rsidRPr="009A080D">
        <w:rPr>
          <w:rFonts w:cstheme="minorHAnsi"/>
          <w:sz w:val="24"/>
          <w:szCs w:val="24"/>
        </w:rPr>
        <w:t xml:space="preserve"> 45 </w:t>
      </w:r>
      <w:r w:rsidR="005F7B23" w:rsidRPr="009A080D">
        <w:rPr>
          <w:rFonts w:cstheme="minorHAnsi"/>
          <w:sz w:val="24"/>
          <w:szCs w:val="24"/>
        </w:rPr>
        <w:t>% de</w:t>
      </w:r>
      <w:r w:rsidR="00BC557C" w:rsidRPr="009A080D">
        <w:rPr>
          <w:rFonts w:cstheme="minorHAnsi"/>
          <w:sz w:val="24"/>
          <w:szCs w:val="24"/>
        </w:rPr>
        <w:t>s 11</w:t>
      </w:r>
      <w:r w:rsidR="00276C8C" w:rsidRPr="009A080D">
        <w:rPr>
          <w:rFonts w:cstheme="minorHAnsi"/>
          <w:sz w:val="24"/>
          <w:szCs w:val="24"/>
        </w:rPr>
        <w:t xml:space="preserve"> </w:t>
      </w:r>
      <w:r w:rsidR="00BC557C" w:rsidRPr="009A080D">
        <w:rPr>
          <w:rFonts w:cstheme="minorHAnsi"/>
          <w:sz w:val="24"/>
          <w:szCs w:val="24"/>
        </w:rPr>
        <w:t>257 personnes</w:t>
      </w:r>
      <w:r w:rsidR="005F7B23" w:rsidRPr="009A080D">
        <w:rPr>
          <w:rFonts w:cstheme="minorHAnsi"/>
          <w:sz w:val="24"/>
          <w:szCs w:val="24"/>
        </w:rPr>
        <w:t xml:space="preserve"> vivant</w:t>
      </w:r>
      <w:r w:rsidR="00BC557C" w:rsidRPr="009A080D">
        <w:rPr>
          <w:rFonts w:cstheme="minorHAnsi"/>
          <w:sz w:val="24"/>
          <w:szCs w:val="24"/>
        </w:rPr>
        <w:t xml:space="preserve"> dans les bidonvilles</w:t>
      </w:r>
      <w:r w:rsidR="00C86D81" w:rsidRPr="009A080D">
        <w:rPr>
          <w:rFonts w:cstheme="minorHAnsi"/>
          <w:sz w:val="24"/>
          <w:szCs w:val="24"/>
        </w:rPr>
        <w:t xml:space="preserve"> en 2023</w:t>
      </w:r>
      <w:r w:rsidR="008529B0" w:rsidRPr="009A080D">
        <w:rPr>
          <w:rFonts w:cstheme="minorHAnsi"/>
          <w:sz w:val="24"/>
          <w:szCs w:val="24"/>
        </w:rPr>
        <w:t xml:space="preserve"> restent privées d’eau</w:t>
      </w:r>
      <w:r w:rsidR="00BC557C" w:rsidRPr="009A080D">
        <w:rPr>
          <w:rFonts w:cstheme="minorHAnsi"/>
          <w:sz w:val="24"/>
          <w:szCs w:val="24"/>
        </w:rPr>
        <w:t>, soit </w:t>
      </w:r>
      <w:r w:rsidR="00AD6391" w:rsidRPr="009A080D">
        <w:rPr>
          <w:rFonts w:cstheme="minorHAnsi"/>
          <w:sz w:val="24"/>
          <w:szCs w:val="24"/>
        </w:rPr>
        <w:t>environ 506</w:t>
      </w:r>
      <w:r w:rsidR="001B4C54" w:rsidRPr="009A080D">
        <w:rPr>
          <w:rFonts w:cstheme="minorHAnsi"/>
          <w:sz w:val="24"/>
          <w:szCs w:val="24"/>
        </w:rPr>
        <w:t>6 personnes</w:t>
      </w:r>
      <w:r w:rsidR="006A3CCA" w:rsidRPr="009A080D">
        <w:rPr>
          <w:rStyle w:val="Appelnotedebasdep"/>
          <w:rFonts w:cstheme="minorHAnsi"/>
          <w:sz w:val="24"/>
          <w:szCs w:val="24"/>
        </w:rPr>
        <w:footnoteReference w:id="7"/>
      </w:r>
      <w:r w:rsidR="001B4C54" w:rsidRPr="009A080D">
        <w:rPr>
          <w:rFonts w:cstheme="minorHAnsi"/>
          <w:sz w:val="24"/>
          <w:szCs w:val="24"/>
        </w:rPr>
        <w:t xml:space="preserve">. Les conditions de vie au sein des camps de Roms, sont déplorables. Ces derniers </w:t>
      </w:r>
      <w:r w:rsidR="00C61756" w:rsidRPr="009A080D">
        <w:rPr>
          <w:rFonts w:cstheme="minorHAnsi"/>
          <w:sz w:val="24"/>
          <w:szCs w:val="24"/>
        </w:rPr>
        <w:t xml:space="preserve">se </w:t>
      </w:r>
      <w:r w:rsidR="001B4C54" w:rsidRPr="009A080D">
        <w:rPr>
          <w:rFonts w:cstheme="minorHAnsi"/>
          <w:sz w:val="24"/>
          <w:szCs w:val="24"/>
        </w:rPr>
        <w:t xml:space="preserve">retrouvent, dans la majorité </w:t>
      </w:r>
      <w:r w:rsidR="00C61756" w:rsidRPr="009A080D">
        <w:rPr>
          <w:rFonts w:cstheme="minorHAnsi"/>
          <w:sz w:val="24"/>
          <w:szCs w:val="24"/>
        </w:rPr>
        <w:t>des cas</w:t>
      </w:r>
      <w:r w:rsidR="001B4C54" w:rsidRPr="009A080D">
        <w:rPr>
          <w:rFonts w:cstheme="minorHAnsi"/>
          <w:sz w:val="24"/>
          <w:szCs w:val="24"/>
        </w:rPr>
        <w:t>, dans e</w:t>
      </w:r>
      <w:r w:rsidR="00C61756" w:rsidRPr="009A080D">
        <w:rPr>
          <w:rFonts w:cstheme="minorHAnsi"/>
          <w:sz w:val="24"/>
          <w:szCs w:val="24"/>
        </w:rPr>
        <w:t>ndroits insalubres, très pollué</w:t>
      </w:r>
      <w:r w:rsidR="001B4C54" w:rsidRPr="009A080D">
        <w:rPr>
          <w:rFonts w:cstheme="minorHAnsi"/>
          <w:sz w:val="24"/>
          <w:szCs w:val="24"/>
        </w:rPr>
        <w:t xml:space="preserve">s où les conditions de vie sont en totale contradiction avec le droit à un environnement sain. </w:t>
      </w:r>
      <w:r w:rsidR="00C61756" w:rsidRPr="009A080D">
        <w:rPr>
          <w:rFonts w:cstheme="minorHAnsi"/>
          <w:sz w:val="24"/>
          <w:szCs w:val="24"/>
        </w:rPr>
        <w:t xml:space="preserve">En raison de l’exposition à des produits polluants dangereux ou des ordures ménagères, les populations souffrent de diverses </w:t>
      </w:r>
      <w:r w:rsidR="001B4C54" w:rsidRPr="009A080D">
        <w:rPr>
          <w:rFonts w:cstheme="minorHAnsi"/>
          <w:sz w:val="24"/>
          <w:szCs w:val="24"/>
        </w:rPr>
        <w:t xml:space="preserve">maladies </w:t>
      </w:r>
      <w:r w:rsidR="00916C34" w:rsidRPr="009A080D">
        <w:rPr>
          <w:rFonts w:cstheme="minorHAnsi"/>
          <w:sz w:val="24"/>
          <w:szCs w:val="24"/>
        </w:rPr>
        <w:t>parfois graves</w:t>
      </w:r>
      <w:r w:rsidR="001B4C54" w:rsidRPr="009A080D">
        <w:rPr>
          <w:rStyle w:val="Appelnotedebasdep"/>
          <w:rFonts w:cstheme="minorHAnsi"/>
          <w:sz w:val="24"/>
          <w:szCs w:val="24"/>
        </w:rPr>
        <w:footnoteReference w:id="8"/>
      </w:r>
      <w:r w:rsidR="001B4C54" w:rsidRPr="009A080D">
        <w:rPr>
          <w:rFonts w:cstheme="minorHAnsi"/>
          <w:sz w:val="24"/>
          <w:szCs w:val="24"/>
        </w:rPr>
        <w:t>.</w:t>
      </w:r>
    </w:p>
    <w:p w14:paraId="73DF1EA0" w14:textId="6195CD2D" w:rsidR="00FA279D" w:rsidRDefault="001977AB" w:rsidP="007125B7">
      <w:pPr>
        <w:pStyle w:val="Paragraphedeliste"/>
        <w:numPr>
          <w:ilvl w:val="0"/>
          <w:numId w:val="11"/>
        </w:numPr>
        <w:spacing w:beforeLines="120" w:before="288" w:afterLines="160" w:after="384" w:line="360" w:lineRule="auto"/>
        <w:rPr>
          <w:sz w:val="24"/>
          <w:szCs w:val="24"/>
        </w:rPr>
      </w:pPr>
      <w:r w:rsidRPr="009A080D">
        <w:rPr>
          <w:sz w:val="24"/>
          <w:szCs w:val="24"/>
        </w:rPr>
        <w:lastRenderedPageBreak/>
        <w:t>Par ailleurs</w:t>
      </w:r>
      <w:r w:rsidR="0005018B" w:rsidRPr="009A080D">
        <w:rPr>
          <w:sz w:val="24"/>
          <w:szCs w:val="24"/>
        </w:rPr>
        <w:t>,</w:t>
      </w:r>
      <w:r w:rsidR="00276C8C" w:rsidRPr="009A080D">
        <w:rPr>
          <w:sz w:val="24"/>
          <w:szCs w:val="24"/>
        </w:rPr>
        <w:t xml:space="preserve"> environ 5 500 personnes vivant en bidonville ont pu bénéficier d’un accompagnement sanitaire en 2022</w:t>
      </w:r>
      <w:r w:rsidR="00970FBE" w:rsidRPr="009A080D">
        <w:rPr>
          <w:sz w:val="24"/>
          <w:szCs w:val="24"/>
        </w:rPr>
        <w:t>. Toutefois</w:t>
      </w:r>
      <w:r w:rsidR="002007E8" w:rsidRPr="009A080D">
        <w:rPr>
          <w:sz w:val="24"/>
          <w:szCs w:val="24"/>
        </w:rPr>
        <w:t>, les chiffres pour l’année 2023 ne sont pas encore accessibles</w:t>
      </w:r>
      <w:r w:rsidR="00C86D81" w:rsidRPr="009A080D">
        <w:rPr>
          <w:sz w:val="24"/>
          <w:szCs w:val="24"/>
        </w:rPr>
        <w:t>. De plus,</w:t>
      </w:r>
      <w:r w:rsidR="002007E8" w:rsidRPr="009A080D">
        <w:rPr>
          <w:sz w:val="24"/>
          <w:szCs w:val="24"/>
        </w:rPr>
        <w:t xml:space="preserve"> l’aide médicale d’Etat</w:t>
      </w:r>
      <w:r w:rsidR="005A48F4" w:rsidRPr="009A080D">
        <w:rPr>
          <w:sz w:val="24"/>
          <w:szCs w:val="24"/>
        </w:rPr>
        <w:t xml:space="preserve"> (AME)</w:t>
      </w:r>
      <w:r w:rsidR="002007E8" w:rsidRPr="009A080D">
        <w:rPr>
          <w:sz w:val="24"/>
          <w:szCs w:val="24"/>
        </w:rPr>
        <w:t>, un dispositif bénéficiant à tous les étrangers résidant en France depuis plus de trois mois</w:t>
      </w:r>
      <w:r w:rsidR="002007E8" w:rsidRPr="004A6879">
        <w:rPr>
          <w:rStyle w:val="Appelnotedebasdep"/>
          <w:sz w:val="24"/>
          <w:szCs w:val="24"/>
        </w:rPr>
        <w:footnoteReference w:id="9"/>
      </w:r>
      <w:r w:rsidR="002007E8" w:rsidRPr="009A080D">
        <w:rPr>
          <w:sz w:val="24"/>
          <w:szCs w:val="24"/>
        </w:rPr>
        <w:t>, a été menacé de suppression au cours de l’année 2023</w:t>
      </w:r>
      <w:r w:rsidR="002007E8" w:rsidRPr="004A6879">
        <w:rPr>
          <w:rStyle w:val="Appelnotedebasdep"/>
          <w:sz w:val="24"/>
          <w:szCs w:val="24"/>
        </w:rPr>
        <w:footnoteReference w:id="10"/>
      </w:r>
      <w:r w:rsidR="002007E8" w:rsidRPr="009A080D">
        <w:rPr>
          <w:sz w:val="24"/>
          <w:szCs w:val="24"/>
        </w:rPr>
        <w:t>. La</w:t>
      </w:r>
      <w:r w:rsidR="0005018B" w:rsidRPr="009A080D">
        <w:rPr>
          <w:sz w:val="24"/>
          <w:szCs w:val="24"/>
        </w:rPr>
        <w:t xml:space="preserve"> CNCDH </w:t>
      </w:r>
      <w:r w:rsidR="00916C34" w:rsidRPr="009A080D">
        <w:rPr>
          <w:sz w:val="24"/>
          <w:szCs w:val="24"/>
        </w:rPr>
        <w:t>s’est</w:t>
      </w:r>
      <w:r w:rsidR="0005018B" w:rsidRPr="009A080D">
        <w:rPr>
          <w:sz w:val="24"/>
          <w:szCs w:val="24"/>
        </w:rPr>
        <w:t xml:space="preserve"> inquiétée et avait incité le législateur à la maintenir en vigueur</w:t>
      </w:r>
      <w:r w:rsidR="0005018B" w:rsidRPr="004A6879">
        <w:rPr>
          <w:rStyle w:val="Appelnotedebasdep"/>
          <w:sz w:val="24"/>
          <w:szCs w:val="24"/>
        </w:rPr>
        <w:footnoteReference w:id="11"/>
      </w:r>
      <w:r w:rsidR="0005018B" w:rsidRPr="009A080D">
        <w:rPr>
          <w:sz w:val="24"/>
          <w:szCs w:val="24"/>
        </w:rPr>
        <w:t>. L’</w:t>
      </w:r>
      <w:r w:rsidR="005A48F4" w:rsidRPr="009A080D">
        <w:rPr>
          <w:sz w:val="24"/>
          <w:szCs w:val="24"/>
        </w:rPr>
        <w:t>AME</w:t>
      </w:r>
      <w:r w:rsidR="00A53FDD" w:rsidRPr="009A080D">
        <w:rPr>
          <w:sz w:val="24"/>
          <w:szCs w:val="24"/>
        </w:rPr>
        <w:t xml:space="preserve"> </w:t>
      </w:r>
      <w:r w:rsidR="0005018B" w:rsidRPr="009A080D">
        <w:rPr>
          <w:sz w:val="24"/>
          <w:szCs w:val="24"/>
        </w:rPr>
        <w:t>a finalement été maintenue mais continue de susciter l’hosti</w:t>
      </w:r>
      <w:r w:rsidR="002007E8" w:rsidRPr="009A080D">
        <w:rPr>
          <w:sz w:val="24"/>
          <w:szCs w:val="24"/>
        </w:rPr>
        <w:t xml:space="preserve">lité de </w:t>
      </w:r>
      <w:r w:rsidR="006C0AE3">
        <w:rPr>
          <w:sz w:val="24"/>
          <w:szCs w:val="24"/>
        </w:rPr>
        <w:t>certains</w:t>
      </w:r>
      <w:r w:rsidR="002007E8" w:rsidRPr="009A080D">
        <w:rPr>
          <w:sz w:val="24"/>
          <w:szCs w:val="24"/>
        </w:rPr>
        <w:t xml:space="preserve"> parlementaires </w:t>
      </w:r>
      <w:r w:rsidR="004430C5" w:rsidRPr="009A080D">
        <w:rPr>
          <w:sz w:val="24"/>
          <w:szCs w:val="24"/>
        </w:rPr>
        <w:t>comme en témoigne une nouvelle proposition de loi visant à la suppression du dispositif par référendum d’initiative partagée</w:t>
      </w:r>
      <w:r w:rsidR="004430C5" w:rsidRPr="004A6879">
        <w:rPr>
          <w:rStyle w:val="Appelnotedebasdep"/>
          <w:sz w:val="24"/>
          <w:szCs w:val="24"/>
        </w:rPr>
        <w:footnoteReference w:id="12"/>
      </w:r>
      <w:r w:rsidR="004430C5" w:rsidRPr="009A080D">
        <w:rPr>
          <w:sz w:val="24"/>
          <w:szCs w:val="24"/>
        </w:rPr>
        <w:t xml:space="preserve">. </w:t>
      </w:r>
    </w:p>
    <w:p w14:paraId="453D3D49" w14:textId="77777777" w:rsidR="009A080D" w:rsidRPr="009A080D" w:rsidRDefault="009A080D" w:rsidP="007125B7">
      <w:pPr>
        <w:pStyle w:val="Paragraphedeliste"/>
        <w:spacing w:beforeLines="120" w:before="288" w:afterLines="160" w:after="384" w:line="360" w:lineRule="auto"/>
        <w:ind w:left="1080"/>
        <w:rPr>
          <w:sz w:val="24"/>
          <w:szCs w:val="24"/>
        </w:rPr>
      </w:pPr>
    </w:p>
    <w:p w14:paraId="5E7EA7FF" w14:textId="1C94ABB0" w:rsidR="00A31BE3" w:rsidRPr="009A080D" w:rsidRDefault="00A31BE3" w:rsidP="007125B7">
      <w:pPr>
        <w:pStyle w:val="Paragraphedeliste"/>
        <w:numPr>
          <w:ilvl w:val="0"/>
          <w:numId w:val="11"/>
        </w:numPr>
        <w:spacing w:beforeLines="120" w:before="288" w:afterLines="160" w:after="384" w:line="360" w:lineRule="auto"/>
        <w:rPr>
          <w:sz w:val="24"/>
          <w:szCs w:val="24"/>
        </w:rPr>
      </w:pPr>
      <w:r w:rsidRPr="009A080D">
        <w:rPr>
          <w:rFonts w:cstheme="minorHAnsi"/>
          <w:sz w:val="24"/>
          <w:szCs w:val="24"/>
        </w:rPr>
        <w:t xml:space="preserve">Les expulsions </w:t>
      </w:r>
      <w:r w:rsidR="00916C34" w:rsidRPr="009A080D">
        <w:rPr>
          <w:rFonts w:cstheme="minorHAnsi"/>
          <w:sz w:val="24"/>
          <w:szCs w:val="24"/>
        </w:rPr>
        <w:t xml:space="preserve">des lieux de vie </w:t>
      </w:r>
      <w:r w:rsidRPr="009A080D">
        <w:rPr>
          <w:rFonts w:cstheme="minorHAnsi"/>
          <w:sz w:val="24"/>
          <w:szCs w:val="24"/>
        </w:rPr>
        <w:t>n’ont pas cessé d’augmenter. Entre novembre 2022 et octobre 2023, environs 1111 expulsions ont eu lieu ce qui équivaut à 130 personnes en moyenne</w:t>
      </w:r>
      <w:r w:rsidR="00916C34" w:rsidRPr="009A080D">
        <w:rPr>
          <w:rFonts w:cstheme="minorHAnsi"/>
          <w:sz w:val="24"/>
          <w:szCs w:val="24"/>
        </w:rPr>
        <w:t xml:space="preserve"> par expulsion</w:t>
      </w:r>
      <w:r w:rsidRPr="005726D5">
        <w:rPr>
          <w:rStyle w:val="Appelnotedebasdep"/>
          <w:rFonts w:cstheme="minorHAnsi"/>
          <w:sz w:val="24"/>
          <w:szCs w:val="24"/>
        </w:rPr>
        <w:footnoteReference w:id="13"/>
      </w:r>
      <w:r w:rsidRPr="009A080D">
        <w:rPr>
          <w:rFonts w:cstheme="minorHAnsi"/>
          <w:sz w:val="24"/>
          <w:szCs w:val="24"/>
        </w:rPr>
        <w:t>. Le rapport 2023 de l’Observatoire des lieux de vie informels fait notamment état de l’expulsion du camp du quai de Brazza, à Bordeaux, en juillet 2023. L’opération a conduit à l’expulsion de 250 à 300 personnes roms représentant 103 ménages</w:t>
      </w:r>
      <w:r w:rsidRPr="001360F0">
        <w:rPr>
          <w:rStyle w:val="Appelnotedebasdep"/>
          <w:rFonts w:cstheme="minorHAnsi"/>
          <w:sz w:val="24"/>
          <w:szCs w:val="24"/>
        </w:rPr>
        <w:footnoteReference w:id="14"/>
      </w:r>
      <w:r w:rsidRPr="009A080D">
        <w:rPr>
          <w:rFonts w:cstheme="minorHAnsi"/>
          <w:sz w:val="24"/>
          <w:szCs w:val="24"/>
        </w:rPr>
        <w:t>. Sur ces 103 ménages, seuls 16 ménages se sont vus proposés une solution de relogement (solutions temporaires pour 14 d’entre eux) et 33 n’ont pu bénéficier d’aucune solution de relogement</w:t>
      </w:r>
      <w:r w:rsidRPr="001360F0">
        <w:rPr>
          <w:rStyle w:val="Appelnotedebasdep"/>
          <w:rFonts w:cstheme="minorHAnsi"/>
          <w:sz w:val="24"/>
          <w:szCs w:val="24"/>
        </w:rPr>
        <w:footnoteReference w:id="15"/>
      </w:r>
      <w:r w:rsidRPr="009A080D">
        <w:rPr>
          <w:rFonts w:cstheme="minorHAnsi"/>
          <w:sz w:val="24"/>
          <w:szCs w:val="24"/>
        </w:rPr>
        <w:t xml:space="preserve">. </w:t>
      </w:r>
      <w:r w:rsidRPr="009A080D">
        <w:rPr>
          <w:rFonts w:eastAsia="CIDFont+F5" w:cstheme="minorHAnsi"/>
          <w:sz w:val="24"/>
          <w:szCs w:val="24"/>
          <w:lang w:eastAsia="fr-FR"/>
        </w:rPr>
        <w:t>Certaines familles sont expulsées à plusieurs reprises ce qui le</w:t>
      </w:r>
      <w:r w:rsidR="00916C34" w:rsidRPr="009A080D">
        <w:rPr>
          <w:rFonts w:eastAsia="CIDFont+F5" w:cstheme="minorHAnsi"/>
          <w:sz w:val="24"/>
          <w:szCs w:val="24"/>
          <w:lang w:eastAsia="fr-FR"/>
        </w:rPr>
        <w:t>s</w:t>
      </w:r>
      <w:r w:rsidRPr="009A080D">
        <w:rPr>
          <w:rFonts w:eastAsia="CIDFont+F5" w:cstheme="minorHAnsi"/>
          <w:sz w:val="24"/>
          <w:szCs w:val="24"/>
          <w:lang w:eastAsia="fr-FR"/>
        </w:rPr>
        <w:t xml:space="preserve"> contraint à l’errance. </w:t>
      </w:r>
      <w:r w:rsidRPr="009A080D">
        <w:rPr>
          <w:rFonts w:cstheme="minorHAnsi"/>
          <w:sz w:val="24"/>
          <w:szCs w:val="24"/>
        </w:rPr>
        <w:t>A titre d’exemple, une famille a dû être expulsée 15 fois, entre 2011 et 2023</w:t>
      </w:r>
      <w:r w:rsidRPr="005726D5">
        <w:rPr>
          <w:rStyle w:val="Appelnotedebasdep"/>
          <w:rFonts w:eastAsia="CIDFont+F5" w:cstheme="minorHAnsi"/>
          <w:sz w:val="24"/>
          <w:szCs w:val="24"/>
          <w:lang w:eastAsia="fr-FR"/>
        </w:rPr>
        <w:footnoteReference w:id="16"/>
      </w:r>
      <w:r w:rsidRPr="009A080D">
        <w:rPr>
          <w:rFonts w:eastAsia="CIDFont+F5" w:cstheme="minorHAnsi"/>
          <w:sz w:val="24"/>
          <w:szCs w:val="24"/>
          <w:lang w:eastAsia="fr-FR"/>
        </w:rPr>
        <w:t xml:space="preserve">. </w:t>
      </w:r>
      <w:r w:rsidRPr="009A080D">
        <w:rPr>
          <w:rFonts w:cstheme="minorHAnsi"/>
          <w:sz w:val="24"/>
          <w:szCs w:val="24"/>
        </w:rPr>
        <w:t>Dans la majorité des cas, ces expulsions ne donnent pas lieu aux relogements des familles.</w:t>
      </w:r>
      <w:r w:rsidR="001B4C54" w:rsidRPr="009A080D">
        <w:rPr>
          <w:rFonts w:cstheme="minorHAnsi"/>
          <w:sz w:val="24"/>
          <w:szCs w:val="24"/>
        </w:rPr>
        <w:t xml:space="preserve"> </w:t>
      </w:r>
    </w:p>
    <w:p w14:paraId="0E8B3EC8" w14:textId="77777777" w:rsidR="009A080D" w:rsidRPr="009A080D" w:rsidRDefault="009A080D" w:rsidP="007125B7">
      <w:pPr>
        <w:pStyle w:val="Paragraphedeliste"/>
        <w:spacing w:beforeLines="120" w:before="288" w:afterLines="160" w:after="384" w:line="360" w:lineRule="auto"/>
        <w:ind w:left="1080"/>
        <w:rPr>
          <w:sz w:val="24"/>
          <w:szCs w:val="24"/>
        </w:rPr>
      </w:pPr>
    </w:p>
    <w:p w14:paraId="39F307F4" w14:textId="153DFF4C" w:rsidR="000E2A0B" w:rsidRPr="009A080D" w:rsidRDefault="009D0C1B" w:rsidP="007125B7">
      <w:pPr>
        <w:pStyle w:val="Paragraphedeliste"/>
        <w:numPr>
          <w:ilvl w:val="0"/>
          <w:numId w:val="11"/>
        </w:numPr>
        <w:spacing w:beforeLines="120" w:before="288" w:afterLines="160" w:after="384" w:line="360" w:lineRule="auto"/>
        <w:rPr>
          <w:sz w:val="24"/>
          <w:szCs w:val="24"/>
        </w:rPr>
      </w:pPr>
      <w:r w:rsidRPr="009A080D">
        <w:rPr>
          <w:rFonts w:cstheme="minorHAnsi"/>
          <w:sz w:val="24"/>
          <w:szCs w:val="24"/>
        </w:rPr>
        <w:t xml:space="preserve">La circulaire du 26 août 2012 relative à l’anticipation et à l’accompagnement des opérations d’évacuation des campements illicite reste non appliquée dans son </w:t>
      </w:r>
      <w:r w:rsidRPr="009A080D">
        <w:rPr>
          <w:rFonts w:cstheme="minorHAnsi"/>
          <w:sz w:val="24"/>
          <w:szCs w:val="24"/>
        </w:rPr>
        <w:lastRenderedPageBreak/>
        <w:t xml:space="preserve">ensemble. Il est de même de l’instruction du 25 janvier 2018 visant à donner une nouvelle impulsion à la résorption des campements illicites et des bidonvilles </w:t>
      </w:r>
      <w:r w:rsidRPr="009A080D">
        <w:rPr>
          <w:rFonts w:eastAsia="CIDFont+F5" w:cstheme="minorHAnsi"/>
          <w:sz w:val="24"/>
          <w:szCs w:val="24"/>
          <w:lang w:eastAsia="fr-FR"/>
        </w:rPr>
        <w:t xml:space="preserve">qui reste soumise à la volonté des préfectures. </w:t>
      </w:r>
      <w:r w:rsidR="00EB5BF5" w:rsidRPr="009A080D">
        <w:rPr>
          <w:rFonts w:cstheme="minorHAnsi"/>
          <w:sz w:val="24"/>
          <w:szCs w:val="24"/>
        </w:rPr>
        <w:t xml:space="preserve">La DIHAL </w:t>
      </w:r>
      <w:r w:rsidR="00F85616" w:rsidRPr="009A080D">
        <w:rPr>
          <w:rFonts w:cstheme="minorHAnsi"/>
          <w:sz w:val="24"/>
          <w:szCs w:val="24"/>
        </w:rPr>
        <w:t xml:space="preserve">relève </w:t>
      </w:r>
      <w:r w:rsidR="00EB5BF5" w:rsidRPr="009A080D">
        <w:rPr>
          <w:rFonts w:cstheme="minorHAnsi"/>
          <w:sz w:val="24"/>
          <w:szCs w:val="24"/>
        </w:rPr>
        <w:t xml:space="preserve">quatre </w:t>
      </w:r>
      <w:r w:rsidR="00F85616" w:rsidRPr="009A080D">
        <w:rPr>
          <w:rFonts w:cstheme="minorHAnsi"/>
          <w:sz w:val="24"/>
          <w:szCs w:val="24"/>
        </w:rPr>
        <w:t>difficultés majeure à leur mise en œuvre : des facteurs exogènes (notamment la tension sur l’hébergement</w:t>
      </w:r>
      <w:r w:rsidR="00AC2202" w:rsidRPr="009A080D">
        <w:rPr>
          <w:rFonts w:cstheme="minorHAnsi"/>
          <w:sz w:val="24"/>
          <w:szCs w:val="24"/>
        </w:rPr>
        <w:t xml:space="preserve"> et le logement), la résistance des autorités locales à l’application des normes et la « persistance d’une vision à court terme » de leur part, l’inadaptation de l’accompagnement social, l’objectif même de la politique qui vise à l’insertion « sociale dans un cadre républicain de personnes précaires et éloignées du droit commun »</w:t>
      </w:r>
      <w:r w:rsidR="0098121B" w:rsidRPr="005726D5">
        <w:rPr>
          <w:rStyle w:val="Appelnotedebasdep"/>
          <w:rFonts w:cstheme="minorHAnsi"/>
          <w:sz w:val="24"/>
          <w:szCs w:val="24"/>
        </w:rPr>
        <w:footnoteReference w:id="17"/>
      </w:r>
      <w:r w:rsidR="00AC2202" w:rsidRPr="009A080D">
        <w:rPr>
          <w:rFonts w:cstheme="minorHAnsi"/>
          <w:sz w:val="24"/>
          <w:szCs w:val="24"/>
        </w:rPr>
        <w:t xml:space="preserve">. </w:t>
      </w:r>
    </w:p>
    <w:p w14:paraId="0677C388" w14:textId="77777777" w:rsidR="009A080D" w:rsidRPr="009A080D" w:rsidRDefault="009A080D" w:rsidP="007125B7">
      <w:pPr>
        <w:pStyle w:val="Paragraphedeliste"/>
        <w:spacing w:beforeLines="120" w:before="288" w:afterLines="160" w:after="384" w:line="360" w:lineRule="auto"/>
        <w:ind w:left="1080"/>
        <w:rPr>
          <w:sz w:val="24"/>
          <w:szCs w:val="24"/>
        </w:rPr>
      </w:pPr>
    </w:p>
    <w:p w14:paraId="4E142906" w14:textId="164C6EBB" w:rsidR="006D1631" w:rsidRDefault="006D1631" w:rsidP="007125B7">
      <w:pPr>
        <w:pStyle w:val="Paragraphedeliste"/>
        <w:numPr>
          <w:ilvl w:val="0"/>
          <w:numId w:val="11"/>
        </w:numPr>
        <w:spacing w:beforeLines="120" w:before="288" w:afterLines="160" w:after="384" w:line="360" w:lineRule="auto"/>
        <w:rPr>
          <w:sz w:val="24"/>
          <w:szCs w:val="24"/>
        </w:rPr>
      </w:pPr>
      <w:r w:rsidRPr="009A080D">
        <w:rPr>
          <w:sz w:val="24"/>
          <w:szCs w:val="24"/>
        </w:rPr>
        <w:t xml:space="preserve">Quand bien même des solutions de relogement seraient proposées, le </w:t>
      </w:r>
      <w:r w:rsidR="00A31BE3" w:rsidRPr="009A080D">
        <w:rPr>
          <w:sz w:val="24"/>
          <w:szCs w:val="24"/>
        </w:rPr>
        <w:t>Décret n° 2023-695 du 29 juillet 2023 portant règles sanitaires d'hygiène et de salubrité des locaux d'habitation et assimilés</w:t>
      </w:r>
      <w:r w:rsidR="00C47A25" w:rsidRPr="009A080D">
        <w:rPr>
          <w:sz w:val="24"/>
          <w:szCs w:val="24"/>
        </w:rPr>
        <w:t xml:space="preserve"> </w:t>
      </w:r>
      <w:r w:rsidR="00F222F8" w:rsidRPr="009A080D">
        <w:rPr>
          <w:sz w:val="24"/>
          <w:szCs w:val="24"/>
        </w:rPr>
        <w:t>abaisse les normes d’hygiène et de salubrité</w:t>
      </w:r>
      <w:r w:rsidR="00FD49D2" w:rsidRPr="009A080D">
        <w:rPr>
          <w:sz w:val="24"/>
          <w:szCs w:val="24"/>
        </w:rPr>
        <w:t>, d</w:t>
      </w:r>
      <w:r w:rsidR="00F222F8" w:rsidRPr="009A080D">
        <w:rPr>
          <w:sz w:val="24"/>
          <w:szCs w:val="24"/>
        </w:rPr>
        <w:t xml:space="preserve">iminuant les chances </w:t>
      </w:r>
      <w:r w:rsidR="00871FA2" w:rsidRPr="009A080D">
        <w:rPr>
          <w:sz w:val="24"/>
          <w:szCs w:val="24"/>
        </w:rPr>
        <w:t>de toute personne, y compris les personnes vivant en bidonville</w:t>
      </w:r>
      <w:r w:rsidR="00C47A25" w:rsidRPr="005726D5">
        <w:rPr>
          <w:rStyle w:val="Appelnotedebasdep"/>
          <w:sz w:val="24"/>
          <w:szCs w:val="24"/>
        </w:rPr>
        <w:footnoteReference w:id="18"/>
      </w:r>
      <w:r w:rsidR="00871FA2" w:rsidRPr="009A080D">
        <w:rPr>
          <w:sz w:val="24"/>
          <w:szCs w:val="24"/>
        </w:rPr>
        <w:t xml:space="preserve">, </w:t>
      </w:r>
      <w:r w:rsidR="00F222F8" w:rsidRPr="009A080D">
        <w:rPr>
          <w:sz w:val="24"/>
          <w:szCs w:val="24"/>
        </w:rPr>
        <w:t>de bénéficier d’une solution décente de relogement.</w:t>
      </w:r>
    </w:p>
    <w:p w14:paraId="0D40BFF9" w14:textId="77777777" w:rsidR="009A080D" w:rsidRPr="009A080D" w:rsidRDefault="009A080D" w:rsidP="007125B7">
      <w:pPr>
        <w:pStyle w:val="Paragraphedeliste"/>
        <w:spacing w:beforeLines="120" w:before="288" w:afterLines="160" w:after="384" w:line="360" w:lineRule="auto"/>
        <w:ind w:left="1080"/>
        <w:rPr>
          <w:sz w:val="24"/>
          <w:szCs w:val="24"/>
        </w:rPr>
      </w:pPr>
    </w:p>
    <w:p w14:paraId="5DF61A96" w14:textId="0D413955" w:rsidR="007125B7" w:rsidRDefault="00915961" w:rsidP="007125B7">
      <w:pPr>
        <w:pStyle w:val="Paragraphedeliste"/>
        <w:numPr>
          <w:ilvl w:val="0"/>
          <w:numId w:val="11"/>
        </w:numPr>
        <w:spacing w:beforeLines="120" w:before="288" w:afterLines="160" w:after="384" w:line="360" w:lineRule="auto"/>
        <w:rPr>
          <w:sz w:val="24"/>
          <w:szCs w:val="24"/>
        </w:rPr>
      </w:pPr>
      <w:r w:rsidRPr="009A080D">
        <w:rPr>
          <w:sz w:val="24"/>
          <w:szCs w:val="24"/>
        </w:rPr>
        <w:t>Enfin</w:t>
      </w:r>
      <w:r w:rsidR="00674D7F" w:rsidRPr="009A080D">
        <w:rPr>
          <w:sz w:val="24"/>
          <w:szCs w:val="24"/>
        </w:rPr>
        <w:t>,</w:t>
      </w:r>
      <w:r w:rsidR="00A674FB" w:rsidRPr="009A080D">
        <w:rPr>
          <w:sz w:val="24"/>
          <w:szCs w:val="24"/>
        </w:rPr>
        <w:t xml:space="preserve"> </w:t>
      </w:r>
      <w:r w:rsidR="007D6B76" w:rsidRPr="009A080D">
        <w:rPr>
          <w:sz w:val="24"/>
          <w:szCs w:val="24"/>
        </w:rPr>
        <w:t>la loi n° 2023-668 du 27 juillet, visant à protéger les logements de l’occupation illicite</w:t>
      </w:r>
      <w:r w:rsidR="00970FBE" w:rsidRPr="009A080D">
        <w:rPr>
          <w:sz w:val="24"/>
          <w:szCs w:val="24"/>
        </w:rPr>
        <w:t xml:space="preserve"> ou « loi anti-squat », qui réprime de manière sévère les squatteurs, même lorsqu’ils occupent des logements vacants</w:t>
      </w:r>
      <w:r w:rsidR="00DE5420">
        <w:rPr>
          <w:rStyle w:val="Appelnotedebasdep"/>
          <w:sz w:val="24"/>
          <w:szCs w:val="24"/>
        </w:rPr>
        <w:footnoteReference w:id="19"/>
      </w:r>
      <w:r w:rsidR="00970FBE" w:rsidRPr="009A080D">
        <w:rPr>
          <w:sz w:val="24"/>
          <w:szCs w:val="24"/>
        </w:rPr>
        <w:t xml:space="preserve">, </w:t>
      </w:r>
      <w:r w:rsidR="00A674FB" w:rsidRPr="009A080D">
        <w:rPr>
          <w:sz w:val="24"/>
          <w:szCs w:val="24"/>
        </w:rPr>
        <w:t xml:space="preserve">a été adoptée malgré l’opposition </w:t>
      </w:r>
      <w:r w:rsidR="00674D7F" w:rsidRPr="009A080D">
        <w:rPr>
          <w:sz w:val="24"/>
          <w:szCs w:val="24"/>
        </w:rPr>
        <w:t>de nombreuses associations de protection du droit au logement</w:t>
      </w:r>
      <w:r w:rsidR="0013044C" w:rsidRPr="009A080D">
        <w:rPr>
          <w:sz w:val="24"/>
          <w:szCs w:val="24"/>
        </w:rPr>
        <w:t xml:space="preserve"> </w:t>
      </w:r>
      <w:r w:rsidR="00F970B8" w:rsidRPr="009A080D">
        <w:rPr>
          <w:sz w:val="24"/>
          <w:szCs w:val="24"/>
        </w:rPr>
        <w:t xml:space="preserve">comme </w:t>
      </w:r>
      <w:r w:rsidR="007623E6" w:rsidRPr="009A080D">
        <w:rPr>
          <w:sz w:val="24"/>
          <w:szCs w:val="24"/>
        </w:rPr>
        <w:t>la Fondation Abbé</w:t>
      </w:r>
      <w:r w:rsidR="00674D7F" w:rsidRPr="009A080D">
        <w:rPr>
          <w:sz w:val="24"/>
          <w:szCs w:val="24"/>
        </w:rPr>
        <w:t xml:space="preserve"> Pierre, Romeurope </w:t>
      </w:r>
      <w:r w:rsidR="0013044C" w:rsidRPr="009A080D">
        <w:rPr>
          <w:sz w:val="24"/>
          <w:szCs w:val="24"/>
        </w:rPr>
        <w:t>ou la Ligue des droits de l’Homme</w:t>
      </w:r>
      <w:r w:rsidR="00A674FB" w:rsidRPr="005726D5">
        <w:rPr>
          <w:rStyle w:val="Appelnotedebasdep"/>
          <w:sz w:val="24"/>
          <w:szCs w:val="24"/>
        </w:rPr>
        <w:footnoteReference w:id="20"/>
      </w:r>
      <w:r w:rsidR="006C0AE3" w:rsidRPr="009A080D">
        <w:rPr>
          <w:sz w:val="24"/>
          <w:szCs w:val="24"/>
        </w:rPr>
        <w:t>ainsi que de la CNCDH</w:t>
      </w:r>
      <w:r w:rsidR="006C0AE3">
        <w:rPr>
          <w:rStyle w:val="Appelnotedebasdep"/>
          <w:sz w:val="24"/>
          <w:szCs w:val="24"/>
        </w:rPr>
        <w:footnoteReference w:id="21"/>
      </w:r>
      <w:r w:rsidR="00A674FB" w:rsidRPr="009A080D">
        <w:rPr>
          <w:sz w:val="24"/>
          <w:szCs w:val="24"/>
        </w:rPr>
        <w:t>.</w:t>
      </w:r>
      <w:r w:rsidR="00FD49D2" w:rsidRPr="009A080D">
        <w:rPr>
          <w:sz w:val="24"/>
          <w:szCs w:val="24"/>
        </w:rPr>
        <w:t xml:space="preserve"> </w:t>
      </w:r>
      <w:bookmarkStart w:id="1" w:name="_Ref162258839"/>
    </w:p>
    <w:p w14:paraId="2797FFE8" w14:textId="58D01073" w:rsidR="009A080D" w:rsidRPr="007125B7" w:rsidRDefault="007125B7" w:rsidP="007125B7">
      <w:pPr>
        <w:jc w:val="left"/>
        <w:rPr>
          <w:sz w:val="24"/>
          <w:szCs w:val="24"/>
        </w:rPr>
      </w:pPr>
      <w:r>
        <w:rPr>
          <w:sz w:val="24"/>
          <w:szCs w:val="24"/>
        </w:rPr>
        <w:br w:type="page"/>
      </w:r>
    </w:p>
    <w:p w14:paraId="79E2D982" w14:textId="28FD4682" w:rsidR="009A080D" w:rsidRPr="009A080D" w:rsidRDefault="009A080D" w:rsidP="007125B7">
      <w:pPr>
        <w:spacing w:beforeLines="120" w:before="288" w:afterLines="160" w:after="384" w:line="360" w:lineRule="auto"/>
        <w:ind w:left="732" w:firstLine="348"/>
        <w:rPr>
          <w:sz w:val="24"/>
          <w:szCs w:val="24"/>
        </w:rPr>
      </w:pPr>
      <w:r w:rsidRPr="00D464FC">
        <w:rPr>
          <w:b/>
          <w:sz w:val="24"/>
          <w:szCs w:val="24"/>
          <w:u w:val="single"/>
        </w:rPr>
        <w:lastRenderedPageBreak/>
        <w:t xml:space="preserve">Suivi observation § 14, d) </w:t>
      </w:r>
    </w:p>
    <w:p w14:paraId="6DCB6950" w14:textId="4CED9F3D" w:rsidR="0046384A" w:rsidRDefault="00F431A4" w:rsidP="007125B7">
      <w:pPr>
        <w:pStyle w:val="Paragraphedeliste"/>
        <w:numPr>
          <w:ilvl w:val="0"/>
          <w:numId w:val="11"/>
        </w:numPr>
        <w:spacing w:beforeLines="120" w:before="288" w:afterLines="160" w:after="384" w:line="360" w:lineRule="auto"/>
        <w:rPr>
          <w:sz w:val="24"/>
          <w:szCs w:val="24"/>
        </w:rPr>
      </w:pPr>
      <w:r w:rsidRPr="009A080D">
        <w:rPr>
          <w:sz w:val="24"/>
          <w:szCs w:val="24"/>
        </w:rPr>
        <w:t>Sur le plan budgétaire, en 2024, la dotation « 304 - Inclusion sociale et protection des personnes »</w:t>
      </w:r>
      <w:r w:rsidRPr="009A080D">
        <w:rPr>
          <w:rStyle w:val="Appelnotedebasdep"/>
          <w:sz w:val="24"/>
          <w:szCs w:val="24"/>
        </w:rPr>
        <w:t xml:space="preserve"> </w:t>
      </w:r>
      <w:r w:rsidRPr="009A080D">
        <w:rPr>
          <w:rStyle w:val="Appelnotedebasdep"/>
          <w:sz w:val="24"/>
          <w:szCs w:val="24"/>
        </w:rPr>
        <w:footnoteReference w:id="22"/>
      </w:r>
      <w:r w:rsidR="00C541BD" w:rsidRPr="009A080D">
        <w:rPr>
          <w:sz w:val="24"/>
          <w:szCs w:val="24"/>
        </w:rPr>
        <w:t xml:space="preserve"> –</w:t>
      </w:r>
      <w:r w:rsidR="00DE5420" w:rsidRPr="009A080D">
        <w:rPr>
          <w:sz w:val="24"/>
          <w:szCs w:val="24"/>
        </w:rPr>
        <w:t xml:space="preserve"> auquel le programm</w:t>
      </w:r>
      <w:r w:rsidR="00FF366E" w:rsidRPr="009A080D">
        <w:rPr>
          <w:sz w:val="24"/>
          <w:szCs w:val="24"/>
        </w:rPr>
        <w:t xml:space="preserve">e </w:t>
      </w:r>
      <w:r w:rsidR="00BB4064" w:rsidRPr="009A080D">
        <w:rPr>
          <w:sz w:val="24"/>
          <w:szCs w:val="24"/>
        </w:rPr>
        <w:t xml:space="preserve">de médiation scolaire est rattaché – </w:t>
      </w:r>
      <w:r w:rsidRPr="009A080D">
        <w:rPr>
          <w:sz w:val="24"/>
          <w:szCs w:val="24"/>
        </w:rPr>
        <w:t>a vu son budget augmenter</w:t>
      </w:r>
      <w:r w:rsidR="004C1462" w:rsidRPr="009A080D">
        <w:rPr>
          <w:sz w:val="24"/>
          <w:szCs w:val="24"/>
        </w:rPr>
        <w:t xml:space="preserve">, passant de 13, 987 milliard </w:t>
      </w:r>
      <w:r w:rsidR="008529B0" w:rsidRPr="009A080D">
        <w:rPr>
          <w:sz w:val="24"/>
          <w:szCs w:val="24"/>
        </w:rPr>
        <w:t>d’euros</w:t>
      </w:r>
      <w:r w:rsidR="004C1462" w:rsidRPr="009A080D">
        <w:rPr>
          <w:sz w:val="24"/>
          <w:szCs w:val="24"/>
        </w:rPr>
        <w:t xml:space="preserve"> à 14, 285 milliards </w:t>
      </w:r>
      <w:r w:rsidR="008529B0" w:rsidRPr="009A080D">
        <w:rPr>
          <w:sz w:val="24"/>
          <w:szCs w:val="24"/>
        </w:rPr>
        <w:t>d’euros</w:t>
      </w:r>
      <w:r w:rsidRPr="009A080D">
        <w:rPr>
          <w:sz w:val="24"/>
          <w:szCs w:val="24"/>
        </w:rPr>
        <w:t xml:space="preserve"> après l’adoption de la loi de finance pour 2024. Toutefois, par l’adoption d’un décret n° 2024-124 du 21 février 2024 portant annulation de crédits</w:t>
      </w:r>
      <w:r w:rsidRPr="009A080D">
        <w:rPr>
          <w:rStyle w:val="Appelnotedebasdep"/>
          <w:sz w:val="24"/>
          <w:szCs w:val="24"/>
        </w:rPr>
        <w:footnoteReference w:id="23"/>
      </w:r>
      <w:r w:rsidRPr="009A080D">
        <w:rPr>
          <w:sz w:val="24"/>
          <w:szCs w:val="24"/>
        </w:rPr>
        <w:t>,</w:t>
      </w:r>
      <w:r w:rsidR="00873D6D" w:rsidRPr="009A080D">
        <w:rPr>
          <w:sz w:val="24"/>
          <w:szCs w:val="24"/>
        </w:rPr>
        <w:t xml:space="preserve"> le programme</w:t>
      </w:r>
      <w:r w:rsidRPr="009A080D">
        <w:rPr>
          <w:sz w:val="24"/>
          <w:szCs w:val="24"/>
        </w:rPr>
        <w:t xml:space="preserve"> a subi une coupe budgétaire de</w:t>
      </w:r>
      <w:r w:rsidR="004C1462" w:rsidRPr="009A080D">
        <w:rPr>
          <w:sz w:val="24"/>
          <w:szCs w:val="24"/>
        </w:rPr>
        <w:t xml:space="preserve"> 50 millions </w:t>
      </w:r>
      <w:r w:rsidR="008529B0" w:rsidRPr="009A080D">
        <w:rPr>
          <w:sz w:val="24"/>
          <w:szCs w:val="24"/>
        </w:rPr>
        <w:t>d’euros</w:t>
      </w:r>
      <w:r w:rsidRPr="009A080D">
        <w:rPr>
          <w:sz w:val="24"/>
          <w:szCs w:val="24"/>
        </w:rPr>
        <w:t>, diminuant les crédits alloués à hauteur de 14, 235 milliards</w:t>
      </w:r>
      <w:r w:rsidRPr="009A080D">
        <w:rPr>
          <w:rStyle w:val="Appelnotedebasdep"/>
          <w:sz w:val="24"/>
          <w:szCs w:val="24"/>
        </w:rPr>
        <w:footnoteReference w:id="24"/>
      </w:r>
      <w:r w:rsidR="00ED0709" w:rsidRPr="009A080D">
        <w:rPr>
          <w:sz w:val="24"/>
          <w:szCs w:val="24"/>
        </w:rPr>
        <w:t>.</w:t>
      </w:r>
      <w:bookmarkEnd w:id="1"/>
    </w:p>
    <w:p w14:paraId="5302D0A9" w14:textId="77777777" w:rsidR="009A080D" w:rsidRPr="009A080D" w:rsidRDefault="009A080D" w:rsidP="007125B7">
      <w:pPr>
        <w:pStyle w:val="Paragraphedeliste"/>
        <w:spacing w:beforeLines="120" w:before="288" w:afterLines="160" w:after="384" w:line="360" w:lineRule="auto"/>
        <w:ind w:left="1080"/>
        <w:rPr>
          <w:sz w:val="24"/>
          <w:szCs w:val="24"/>
        </w:rPr>
      </w:pPr>
    </w:p>
    <w:p w14:paraId="402A528F" w14:textId="200D7322" w:rsidR="00475BFF" w:rsidRPr="009A080D" w:rsidRDefault="00253DB7" w:rsidP="007125B7">
      <w:pPr>
        <w:pStyle w:val="Paragraphedeliste"/>
        <w:numPr>
          <w:ilvl w:val="0"/>
          <w:numId w:val="11"/>
        </w:numPr>
        <w:spacing w:beforeLines="120" w:before="288" w:afterLines="160" w:after="384" w:line="360" w:lineRule="auto"/>
        <w:rPr>
          <w:sz w:val="24"/>
          <w:szCs w:val="24"/>
        </w:rPr>
      </w:pPr>
      <w:r w:rsidRPr="009A080D">
        <w:rPr>
          <w:sz w:val="24"/>
          <w:szCs w:val="24"/>
        </w:rPr>
        <w:t xml:space="preserve">En </w:t>
      </w:r>
      <w:r w:rsidR="00E43C5F" w:rsidRPr="009A080D">
        <w:rPr>
          <w:sz w:val="24"/>
          <w:szCs w:val="24"/>
        </w:rPr>
        <w:t>2022-2023</w:t>
      </w:r>
      <w:r w:rsidRPr="009A080D">
        <w:rPr>
          <w:sz w:val="24"/>
          <w:szCs w:val="24"/>
        </w:rPr>
        <w:t>, 3</w:t>
      </w:r>
      <w:r w:rsidR="00E43C5F" w:rsidRPr="009A080D">
        <w:rPr>
          <w:sz w:val="24"/>
          <w:szCs w:val="24"/>
        </w:rPr>
        <w:t>577</w:t>
      </w:r>
      <w:r w:rsidRPr="009A080D">
        <w:rPr>
          <w:sz w:val="24"/>
          <w:szCs w:val="24"/>
        </w:rPr>
        <w:t xml:space="preserve"> enfants ont été scolarisés dans 312</w:t>
      </w:r>
      <w:r w:rsidR="00BA3FB7" w:rsidRPr="009A080D">
        <w:rPr>
          <w:sz w:val="24"/>
          <w:szCs w:val="24"/>
        </w:rPr>
        <w:t xml:space="preserve"> établissements publics</w:t>
      </w:r>
      <w:r w:rsidRPr="009A080D">
        <w:rPr>
          <w:sz w:val="24"/>
          <w:szCs w:val="24"/>
        </w:rPr>
        <w:t xml:space="preserve"> </w:t>
      </w:r>
      <w:r w:rsidR="00916C34" w:rsidRPr="009A080D">
        <w:rPr>
          <w:sz w:val="24"/>
          <w:szCs w:val="24"/>
        </w:rPr>
        <w:t xml:space="preserve">à la </w:t>
      </w:r>
      <w:r w:rsidRPr="009A080D">
        <w:rPr>
          <w:sz w:val="24"/>
          <w:szCs w:val="24"/>
        </w:rPr>
        <w:t xml:space="preserve">suite </w:t>
      </w:r>
      <w:r w:rsidR="00916C34" w:rsidRPr="009A080D">
        <w:rPr>
          <w:sz w:val="24"/>
          <w:szCs w:val="24"/>
        </w:rPr>
        <w:t>de</w:t>
      </w:r>
      <w:r w:rsidRPr="009A080D">
        <w:rPr>
          <w:sz w:val="24"/>
          <w:szCs w:val="24"/>
        </w:rPr>
        <w:t xml:space="preserve"> l’intervention d’</w:t>
      </w:r>
      <w:r w:rsidR="00BA3FB7" w:rsidRPr="009A080D">
        <w:rPr>
          <w:sz w:val="24"/>
          <w:szCs w:val="24"/>
        </w:rPr>
        <w:t>un médiateur</w:t>
      </w:r>
      <w:r w:rsidR="00D66CA2" w:rsidRPr="009A080D">
        <w:rPr>
          <w:rStyle w:val="Appelnotedebasdep"/>
          <w:sz w:val="24"/>
          <w:szCs w:val="24"/>
        </w:rPr>
        <w:footnoteReference w:id="25"/>
      </w:r>
      <w:r w:rsidR="00CD084C" w:rsidRPr="009A080D">
        <w:rPr>
          <w:sz w:val="24"/>
          <w:szCs w:val="24"/>
        </w:rPr>
        <w:t xml:space="preserve">. </w:t>
      </w:r>
      <w:r w:rsidR="00BA3FB7" w:rsidRPr="009A080D">
        <w:rPr>
          <w:sz w:val="24"/>
          <w:szCs w:val="24"/>
        </w:rPr>
        <w:t xml:space="preserve">Le taux d’absentéisme </w:t>
      </w:r>
      <w:r w:rsidR="00CD084C" w:rsidRPr="009A080D">
        <w:rPr>
          <w:sz w:val="24"/>
          <w:szCs w:val="24"/>
        </w:rPr>
        <w:t>scolaire reste néanmoins particulièrement élevé chez les enfants roms, lequel est largement aggravé par les expulsions répétées qu’ils subissent</w:t>
      </w:r>
      <w:r w:rsidR="00CD084C" w:rsidRPr="009A080D">
        <w:rPr>
          <w:rStyle w:val="Appelnotedebasdep"/>
          <w:sz w:val="24"/>
          <w:szCs w:val="24"/>
        </w:rPr>
        <w:footnoteReference w:id="26"/>
      </w:r>
      <w:r w:rsidR="00CD084C" w:rsidRPr="009A080D">
        <w:rPr>
          <w:sz w:val="24"/>
          <w:szCs w:val="24"/>
        </w:rPr>
        <w:t xml:space="preserve">. </w:t>
      </w:r>
      <w:r w:rsidR="001360F0" w:rsidRPr="009A080D">
        <w:rPr>
          <w:sz w:val="24"/>
          <w:szCs w:val="24"/>
        </w:rPr>
        <w:t>Par ailleurs, les institutions scolaires, dans leur ensemble, restent inadaptées aux enfants roms.</w:t>
      </w:r>
    </w:p>
    <w:p w14:paraId="3F069873" w14:textId="77777777" w:rsidR="009A080D" w:rsidRPr="009A080D" w:rsidRDefault="009A080D" w:rsidP="007125B7">
      <w:pPr>
        <w:pStyle w:val="Paragraphedeliste"/>
        <w:spacing w:beforeLines="120" w:before="288" w:afterLines="160" w:after="384" w:line="360" w:lineRule="auto"/>
        <w:ind w:left="1080"/>
        <w:rPr>
          <w:color w:val="C45911" w:themeColor="accent2" w:themeShade="BF"/>
          <w:sz w:val="24"/>
          <w:szCs w:val="24"/>
        </w:rPr>
      </w:pPr>
    </w:p>
    <w:p w14:paraId="1AA73B63" w14:textId="6453886C" w:rsidR="0024540A" w:rsidRDefault="00C128B0" w:rsidP="007125B7">
      <w:pPr>
        <w:pStyle w:val="Paragraphedeliste"/>
        <w:numPr>
          <w:ilvl w:val="0"/>
          <w:numId w:val="11"/>
        </w:numPr>
        <w:spacing w:beforeLines="120" w:before="288" w:afterLines="160" w:after="384" w:line="360" w:lineRule="auto"/>
        <w:rPr>
          <w:sz w:val="24"/>
          <w:szCs w:val="24"/>
        </w:rPr>
      </w:pPr>
      <w:r w:rsidRPr="009A080D">
        <w:rPr>
          <w:sz w:val="24"/>
          <w:szCs w:val="24"/>
        </w:rPr>
        <w:t>L</w:t>
      </w:r>
      <w:r w:rsidR="00475BFF" w:rsidRPr="009A080D">
        <w:rPr>
          <w:sz w:val="24"/>
          <w:szCs w:val="24"/>
        </w:rPr>
        <w:t>a CNCDH salue l’augmentation du nombre de médiateurs scolaires en 2023, l</w:t>
      </w:r>
      <w:r w:rsidR="005815E9" w:rsidRPr="009A080D">
        <w:rPr>
          <w:sz w:val="24"/>
          <w:szCs w:val="24"/>
        </w:rPr>
        <w:t xml:space="preserve">es </w:t>
      </w:r>
      <w:r w:rsidRPr="009A080D">
        <w:rPr>
          <w:sz w:val="24"/>
          <w:szCs w:val="24"/>
        </w:rPr>
        <w:t>portant au nombre de 45, mais</w:t>
      </w:r>
      <w:r w:rsidR="00475BFF" w:rsidRPr="009A080D">
        <w:rPr>
          <w:sz w:val="24"/>
          <w:szCs w:val="24"/>
        </w:rPr>
        <w:t xml:space="preserve"> estime néanmoins qu’il convient</w:t>
      </w:r>
      <w:r w:rsidR="005815E9" w:rsidRPr="009A080D">
        <w:rPr>
          <w:sz w:val="24"/>
          <w:szCs w:val="24"/>
        </w:rPr>
        <w:t xml:space="preserve"> de poursuivre les efforts afin </w:t>
      </w:r>
      <w:r w:rsidR="00475BFF" w:rsidRPr="009A080D">
        <w:rPr>
          <w:sz w:val="24"/>
          <w:szCs w:val="24"/>
        </w:rPr>
        <w:t xml:space="preserve">d’augmenter encore les effectifs. Or à cet égard, et compte-tenu de l’objectif de 100 % d’enfants scolarisés affiché par la France, un simple budget de 2 millions </w:t>
      </w:r>
      <w:r w:rsidR="00916C34" w:rsidRPr="009A080D">
        <w:rPr>
          <w:sz w:val="24"/>
          <w:szCs w:val="24"/>
        </w:rPr>
        <w:t xml:space="preserve">d’euros </w:t>
      </w:r>
      <w:r w:rsidR="00D464FC" w:rsidRPr="009A080D">
        <w:rPr>
          <w:sz w:val="24"/>
          <w:szCs w:val="24"/>
        </w:rPr>
        <w:t>reste</w:t>
      </w:r>
      <w:r w:rsidR="00475BFF" w:rsidRPr="009A080D">
        <w:rPr>
          <w:sz w:val="24"/>
          <w:szCs w:val="24"/>
        </w:rPr>
        <w:t xml:space="preserve"> insuffisant</w:t>
      </w:r>
      <w:r w:rsidR="006470E0" w:rsidRPr="009A080D">
        <w:rPr>
          <w:sz w:val="24"/>
          <w:szCs w:val="24"/>
        </w:rPr>
        <w:t xml:space="preserve">. </w:t>
      </w:r>
      <w:r w:rsidR="0024540A" w:rsidRPr="009A080D">
        <w:rPr>
          <w:sz w:val="24"/>
          <w:szCs w:val="24"/>
        </w:rPr>
        <w:t xml:space="preserve">Il faut </w:t>
      </w:r>
      <w:r w:rsidR="0046384A" w:rsidRPr="009A080D">
        <w:rPr>
          <w:sz w:val="24"/>
          <w:szCs w:val="24"/>
        </w:rPr>
        <w:t xml:space="preserve">en outre </w:t>
      </w:r>
      <w:r w:rsidR="0024540A" w:rsidRPr="009A080D">
        <w:rPr>
          <w:sz w:val="24"/>
          <w:szCs w:val="24"/>
        </w:rPr>
        <w:t>veiller à ce que la médiation scolaire se déploie concomitamment à d’autres programmes (comme</w:t>
      </w:r>
      <w:r w:rsidR="00DE5420" w:rsidRPr="009A080D">
        <w:rPr>
          <w:sz w:val="24"/>
          <w:szCs w:val="24"/>
        </w:rPr>
        <w:t xml:space="preserve"> un suivi social ou sanitaire). La mise en œuvre de l’objectif « Garantir l’accès à l’école et la persévérance scolaire » de la</w:t>
      </w:r>
      <w:r w:rsidR="003577A0" w:rsidRPr="009A080D">
        <w:rPr>
          <w:sz w:val="24"/>
          <w:szCs w:val="24"/>
        </w:rPr>
        <w:t xml:space="preserve"> Stratégie nationale pour l’égalité, l’inclusion et la participation des Roms pour la période 2020-2030 reste donc insuffisante</w:t>
      </w:r>
      <w:r w:rsidR="006470E0" w:rsidRPr="008F7419">
        <w:rPr>
          <w:rStyle w:val="Appelnotedebasdep"/>
          <w:sz w:val="24"/>
          <w:szCs w:val="24"/>
        </w:rPr>
        <w:footnoteReference w:id="27"/>
      </w:r>
      <w:r w:rsidR="00DE5420" w:rsidRPr="009A080D">
        <w:rPr>
          <w:sz w:val="24"/>
          <w:szCs w:val="24"/>
        </w:rPr>
        <w:t>.</w:t>
      </w:r>
    </w:p>
    <w:p w14:paraId="73A59543" w14:textId="77777777" w:rsidR="009A080D" w:rsidRPr="009A080D" w:rsidRDefault="009A080D" w:rsidP="007125B7">
      <w:pPr>
        <w:pStyle w:val="Paragraphedeliste"/>
        <w:spacing w:beforeLines="120" w:before="288" w:afterLines="160" w:after="384" w:line="360" w:lineRule="auto"/>
        <w:ind w:left="1080"/>
        <w:rPr>
          <w:sz w:val="24"/>
          <w:szCs w:val="24"/>
        </w:rPr>
      </w:pPr>
    </w:p>
    <w:p w14:paraId="7DF0C5DF" w14:textId="427DBFAB" w:rsidR="00BA3FB7" w:rsidRDefault="003A7E47" w:rsidP="007125B7">
      <w:pPr>
        <w:pStyle w:val="Paragraphedeliste"/>
        <w:numPr>
          <w:ilvl w:val="0"/>
          <w:numId w:val="11"/>
        </w:numPr>
        <w:spacing w:beforeLines="120" w:before="288" w:afterLines="160" w:after="384" w:line="360" w:lineRule="auto"/>
        <w:rPr>
          <w:sz w:val="24"/>
          <w:szCs w:val="24"/>
        </w:rPr>
      </w:pPr>
      <w:r w:rsidRPr="009A080D">
        <w:rPr>
          <w:sz w:val="24"/>
          <w:szCs w:val="24"/>
        </w:rPr>
        <w:lastRenderedPageBreak/>
        <w:t xml:space="preserve">Si les raisons de la discontinuité scolaire peuvent varier, le phénomène a de fortes chances de se produire en cas </w:t>
      </w:r>
      <w:r w:rsidR="00BA3FB7" w:rsidRPr="009A080D">
        <w:rPr>
          <w:sz w:val="24"/>
          <w:szCs w:val="24"/>
        </w:rPr>
        <w:t>d’</w:t>
      </w:r>
      <w:r w:rsidRPr="009A080D">
        <w:rPr>
          <w:sz w:val="24"/>
          <w:szCs w:val="24"/>
        </w:rPr>
        <w:t>expulsion</w:t>
      </w:r>
      <w:r w:rsidR="00BA3FB7" w:rsidRPr="009A080D">
        <w:rPr>
          <w:sz w:val="24"/>
          <w:szCs w:val="24"/>
        </w:rPr>
        <w:t xml:space="preserve">. </w:t>
      </w:r>
      <w:r w:rsidR="009F6661" w:rsidRPr="009A080D">
        <w:rPr>
          <w:sz w:val="24"/>
          <w:szCs w:val="24"/>
        </w:rPr>
        <w:t>En effet, malgré l’accès difficile à des données chiffrées,</w:t>
      </w:r>
      <w:r w:rsidR="0024540A" w:rsidRPr="009A080D">
        <w:rPr>
          <w:sz w:val="24"/>
          <w:szCs w:val="24"/>
        </w:rPr>
        <w:t xml:space="preserve"> </w:t>
      </w:r>
      <w:r w:rsidR="008E59FD" w:rsidRPr="009A080D">
        <w:rPr>
          <w:sz w:val="24"/>
          <w:szCs w:val="24"/>
        </w:rPr>
        <w:t>les ONG font</w:t>
      </w:r>
      <w:r w:rsidR="009F6661" w:rsidRPr="009A080D">
        <w:rPr>
          <w:sz w:val="24"/>
          <w:szCs w:val="24"/>
        </w:rPr>
        <w:t xml:space="preserve"> </w:t>
      </w:r>
      <w:r w:rsidR="008E59FD" w:rsidRPr="009A080D">
        <w:rPr>
          <w:sz w:val="24"/>
          <w:szCs w:val="24"/>
        </w:rPr>
        <w:t>état d’</w:t>
      </w:r>
      <w:r w:rsidRPr="009A080D">
        <w:rPr>
          <w:sz w:val="24"/>
          <w:szCs w:val="24"/>
        </w:rPr>
        <w:t>expulsions ayant pour effet de briser les cycles scolaires des enfants roms</w:t>
      </w:r>
      <w:r w:rsidR="00F60F94" w:rsidRPr="004A6879">
        <w:rPr>
          <w:rStyle w:val="Appelnotedebasdep"/>
          <w:sz w:val="24"/>
          <w:szCs w:val="24"/>
        </w:rPr>
        <w:footnoteReference w:id="28"/>
      </w:r>
      <w:r w:rsidRPr="009A080D">
        <w:rPr>
          <w:sz w:val="24"/>
          <w:szCs w:val="24"/>
        </w:rPr>
        <w:t>.</w:t>
      </w:r>
      <w:r w:rsidR="003F3BF8" w:rsidRPr="009A080D">
        <w:rPr>
          <w:sz w:val="24"/>
          <w:szCs w:val="24"/>
        </w:rPr>
        <w:t xml:space="preserve"> </w:t>
      </w:r>
    </w:p>
    <w:p w14:paraId="6D2ED52A" w14:textId="77777777" w:rsidR="009A080D" w:rsidRPr="009A080D" w:rsidRDefault="009A080D" w:rsidP="007125B7">
      <w:pPr>
        <w:pStyle w:val="Paragraphedeliste"/>
        <w:spacing w:beforeLines="120" w:before="288" w:afterLines="160" w:after="384" w:line="360" w:lineRule="auto"/>
        <w:ind w:left="1080"/>
        <w:rPr>
          <w:sz w:val="24"/>
          <w:szCs w:val="24"/>
        </w:rPr>
      </w:pPr>
    </w:p>
    <w:p w14:paraId="7D76EF8E" w14:textId="2569D5ED" w:rsidR="000E333F" w:rsidRPr="007125B7" w:rsidRDefault="008E59FD" w:rsidP="007125B7">
      <w:pPr>
        <w:pStyle w:val="Paragraphedeliste"/>
        <w:numPr>
          <w:ilvl w:val="0"/>
          <w:numId w:val="11"/>
        </w:numPr>
        <w:spacing w:beforeLines="120" w:before="288" w:afterLines="160" w:after="384" w:line="360" w:lineRule="auto"/>
        <w:rPr>
          <w:sz w:val="24"/>
          <w:szCs w:val="24"/>
        </w:rPr>
      </w:pPr>
      <w:r w:rsidRPr="009A080D">
        <w:rPr>
          <w:sz w:val="24"/>
          <w:szCs w:val="24"/>
        </w:rPr>
        <w:t>Par ailleurs</w:t>
      </w:r>
      <w:r w:rsidR="00226E41" w:rsidRPr="009A080D">
        <w:rPr>
          <w:sz w:val="24"/>
          <w:szCs w:val="24"/>
        </w:rPr>
        <w:t xml:space="preserve">, des cas de discrimination </w:t>
      </w:r>
      <w:r w:rsidR="001360F0" w:rsidRPr="009A080D">
        <w:rPr>
          <w:sz w:val="24"/>
          <w:szCs w:val="24"/>
        </w:rPr>
        <w:t xml:space="preserve">à l’égard des enfants roms </w:t>
      </w:r>
      <w:r w:rsidR="00226E41" w:rsidRPr="009A080D">
        <w:rPr>
          <w:sz w:val="24"/>
          <w:szCs w:val="24"/>
        </w:rPr>
        <w:t xml:space="preserve">ont été relevés. </w:t>
      </w:r>
      <w:r w:rsidR="001360F0" w:rsidRPr="009A080D">
        <w:rPr>
          <w:sz w:val="24"/>
          <w:szCs w:val="24"/>
        </w:rPr>
        <w:t>A titre d’exemple, l</w:t>
      </w:r>
      <w:r w:rsidR="00226E41" w:rsidRPr="009A080D">
        <w:rPr>
          <w:sz w:val="24"/>
          <w:szCs w:val="24"/>
        </w:rPr>
        <w:t>a c</w:t>
      </w:r>
      <w:r w:rsidR="009F6661" w:rsidRPr="009A080D">
        <w:rPr>
          <w:sz w:val="24"/>
          <w:szCs w:val="24"/>
        </w:rPr>
        <w:t xml:space="preserve">ommune de Ris-Orangis a </w:t>
      </w:r>
      <w:r w:rsidR="00226E41" w:rsidRPr="009A080D">
        <w:rPr>
          <w:sz w:val="24"/>
          <w:szCs w:val="24"/>
        </w:rPr>
        <w:t>été condamnée par le Conseil d’Etat pour avoir délivré dans un cadre inapproprié une forme dégradée de scolarisation à douze enfants roms,</w:t>
      </w:r>
      <w:r w:rsidR="00226E41" w:rsidRPr="009A080D">
        <w:rPr>
          <w:i/>
          <w:sz w:val="24"/>
          <w:szCs w:val="24"/>
        </w:rPr>
        <w:t xml:space="preserve"> </w:t>
      </w:r>
      <w:r w:rsidR="00226E41" w:rsidRPr="009A080D">
        <w:rPr>
          <w:sz w:val="24"/>
          <w:szCs w:val="24"/>
        </w:rPr>
        <w:t>« </w:t>
      </w:r>
      <w:r w:rsidR="00226E41" w:rsidRPr="009A080D">
        <w:rPr>
          <w:i/>
          <w:sz w:val="24"/>
          <w:szCs w:val="24"/>
        </w:rPr>
        <w:t>à l'écart des autres enfants accueillis dans les écoles de la commune, sans pouvoir accéder au service de restauration scolaire et aux activités complémentaires et périscolaires organisées au sein des écoles de la commune</w:t>
      </w:r>
      <w:r w:rsidR="00226E41" w:rsidRPr="009A080D">
        <w:rPr>
          <w:sz w:val="24"/>
          <w:szCs w:val="24"/>
        </w:rPr>
        <w:t>. »</w:t>
      </w:r>
      <w:r w:rsidR="00226E41" w:rsidRPr="004A6879">
        <w:rPr>
          <w:rStyle w:val="Appelnotedebasdep"/>
          <w:sz w:val="24"/>
          <w:szCs w:val="24"/>
        </w:rPr>
        <w:footnoteReference w:id="29"/>
      </w:r>
      <w:r w:rsidR="00010263" w:rsidRPr="009A080D">
        <w:rPr>
          <w:sz w:val="24"/>
          <w:szCs w:val="24"/>
        </w:rPr>
        <w:t xml:space="preserve">. </w:t>
      </w:r>
    </w:p>
    <w:p w14:paraId="7D983406" w14:textId="20B5418B" w:rsidR="000E333F" w:rsidRPr="009A080D" w:rsidRDefault="009A080D" w:rsidP="007125B7">
      <w:pPr>
        <w:spacing w:beforeLines="120" w:before="288" w:afterLines="160" w:after="384" w:line="360" w:lineRule="auto"/>
        <w:jc w:val="center"/>
        <w:rPr>
          <w:rFonts w:cstheme="minorHAnsi"/>
          <w:b/>
          <w:sz w:val="24"/>
          <w:szCs w:val="24"/>
          <w:u w:val="single"/>
        </w:rPr>
      </w:pPr>
      <w:r w:rsidRPr="009A080D">
        <w:rPr>
          <w:rFonts w:cstheme="minorHAnsi"/>
          <w:b/>
          <w:sz w:val="24"/>
          <w:szCs w:val="24"/>
          <w:u w:val="single"/>
        </w:rPr>
        <w:t>Migrants</w:t>
      </w:r>
    </w:p>
    <w:p w14:paraId="03A06EB9" w14:textId="76653305" w:rsidR="009A080D" w:rsidRPr="000E333F" w:rsidRDefault="009A080D" w:rsidP="007125B7">
      <w:pPr>
        <w:spacing w:beforeLines="120" w:before="288" w:afterLines="160" w:after="384" w:line="360" w:lineRule="auto"/>
        <w:ind w:firstLine="708"/>
        <w:rPr>
          <w:rFonts w:cstheme="minorHAnsi"/>
          <w:b/>
          <w:sz w:val="24"/>
          <w:szCs w:val="24"/>
          <w:u w:val="single"/>
        </w:rPr>
      </w:pPr>
      <w:r w:rsidRPr="009A080D">
        <w:rPr>
          <w:rFonts w:cstheme="minorHAnsi"/>
          <w:b/>
          <w:sz w:val="24"/>
          <w:szCs w:val="24"/>
          <w:u w:val="single"/>
        </w:rPr>
        <w:t>Suivi de l’observation § 20 b</w:t>
      </w:r>
      <w:r w:rsidR="00A45991">
        <w:rPr>
          <w:rFonts w:cstheme="minorHAnsi"/>
          <w:b/>
          <w:sz w:val="24"/>
          <w:szCs w:val="24"/>
          <w:u w:val="single"/>
        </w:rPr>
        <w:t>)</w:t>
      </w:r>
      <w:r w:rsidRPr="009A080D">
        <w:rPr>
          <w:rFonts w:cstheme="minorHAnsi"/>
          <w:b/>
          <w:sz w:val="24"/>
          <w:szCs w:val="24"/>
          <w:u w:val="single"/>
        </w:rPr>
        <w:t xml:space="preserve"> </w:t>
      </w:r>
    </w:p>
    <w:p w14:paraId="5452C900" w14:textId="77777777" w:rsidR="00D464FC" w:rsidRPr="00A066CE" w:rsidRDefault="00D464FC" w:rsidP="007125B7">
      <w:pPr>
        <w:pStyle w:val="Corps"/>
        <w:numPr>
          <w:ilvl w:val="0"/>
          <w:numId w:val="11"/>
        </w:numPr>
        <w:spacing w:line="360" w:lineRule="auto"/>
        <w:jc w:val="both"/>
        <w:rPr>
          <w:rFonts w:asciiTheme="minorHAnsi" w:hAnsiTheme="minorHAnsi" w:cstheme="minorHAnsi"/>
          <w:sz w:val="24"/>
          <w:szCs w:val="24"/>
        </w:rPr>
      </w:pPr>
      <w:r w:rsidRPr="00A066CE">
        <w:rPr>
          <w:rFonts w:asciiTheme="minorHAnsi" w:hAnsiTheme="minorHAnsi" w:cstheme="minorHAnsi"/>
          <w:sz w:val="24"/>
          <w:szCs w:val="24"/>
        </w:rPr>
        <w:t>En 2023, le gouvernement avait annoncé la création de 5 900 places d’hébergement pour les réfugiés et les demandeurs d’asile, avec plus de 1000 places seront ouvertes pour les réfugiés en centres provisoires d’hébergement (CPH), 900 places dans le dispositif d’hébergement d’urgence (HUDA) en Outre-mer, 1500 places en centres d’accueil d’examen des situations (CAES) et 2500 places en centres d’accueil pour demandeur d’asile (CADA) en  attente d’une décision de l’OFPRA</w:t>
      </w:r>
      <w:r w:rsidRPr="00A066CE">
        <w:rPr>
          <w:rStyle w:val="Aucun"/>
          <w:rFonts w:asciiTheme="minorHAnsi" w:hAnsiTheme="minorHAnsi" w:cstheme="minorHAnsi"/>
          <w:sz w:val="24"/>
          <w:szCs w:val="24"/>
          <w:vertAlign w:val="superscript"/>
        </w:rPr>
        <w:footnoteReference w:id="30"/>
      </w:r>
      <w:r w:rsidRPr="00A066CE">
        <w:rPr>
          <w:rFonts w:asciiTheme="minorHAnsi" w:hAnsiTheme="minorHAnsi" w:cstheme="minorHAnsi"/>
          <w:sz w:val="24"/>
          <w:szCs w:val="24"/>
        </w:rPr>
        <w:t xml:space="preserve">. </w:t>
      </w:r>
    </w:p>
    <w:p w14:paraId="06F5F58C" w14:textId="2628823C" w:rsidR="00D464FC" w:rsidRDefault="00D464FC" w:rsidP="007125B7">
      <w:pPr>
        <w:pStyle w:val="Corps"/>
        <w:numPr>
          <w:ilvl w:val="0"/>
          <w:numId w:val="11"/>
        </w:numPr>
        <w:spacing w:line="360" w:lineRule="auto"/>
        <w:jc w:val="both"/>
        <w:rPr>
          <w:rFonts w:asciiTheme="minorHAnsi" w:hAnsiTheme="minorHAnsi" w:cstheme="minorHAnsi"/>
          <w:sz w:val="24"/>
          <w:szCs w:val="24"/>
        </w:rPr>
      </w:pPr>
      <w:r w:rsidRPr="00A066CE">
        <w:rPr>
          <w:rFonts w:asciiTheme="minorHAnsi" w:hAnsiTheme="minorHAnsi" w:cstheme="minorHAnsi"/>
          <w:sz w:val="24"/>
          <w:szCs w:val="24"/>
        </w:rPr>
        <w:t xml:space="preserve">En dépit de cette progression des capacités d’accueil et </w:t>
      </w:r>
      <w:r w:rsidR="00916C34">
        <w:rPr>
          <w:rFonts w:asciiTheme="minorHAnsi" w:hAnsiTheme="minorHAnsi" w:cstheme="minorHAnsi"/>
          <w:sz w:val="24"/>
          <w:szCs w:val="24"/>
        </w:rPr>
        <w:t>alors que le</w:t>
      </w:r>
      <w:r w:rsidRPr="00A066CE">
        <w:rPr>
          <w:rFonts w:asciiTheme="minorHAnsi" w:hAnsiTheme="minorHAnsi" w:cstheme="minorHAnsi"/>
          <w:sz w:val="24"/>
          <w:szCs w:val="24"/>
        </w:rPr>
        <w:t xml:space="preserve"> taux d’occupation</w:t>
      </w:r>
      <w:r w:rsidR="00916C34">
        <w:rPr>
          <w:rFonts w:asciiTheme="minorHAnsi" w:hAnsiTheme="minorHAnsi" w:cstheme="minorHAnsi"/>
          <w:sz w:val="24"/>
          <w:szCs w:val="24"/>
        </w:rPr>
        <w:t xml:space="preserve"> est</w:t>
      </w:r>
      <w:r w:rsidRPr="00A066CE">
        <w:rPr>
          <w:rFonts w:asciiTheme="minorHAnsi" w:hAnsiTheme="minorHAnsi" w:cstheme="minorHAnsi"/>
          <w:sz w:val="24"/>
          <w:szCs w:val="24"/>
        </w:rPr>
        <w:t xml:space="preserve"> lui-même très élevé (près de 98% depuis l’été), le dispositif national d’accueil des demandeurs d’asile (« DNA ») reste toujours en sous-effectif et seulement un demandeur d’asile en cours de procédure sur deux (51%)</w:t>
      </w:r>
      <w:r w:rsidR="009024E2">
        <w:rPr>
          <w:rFonts w:asciiTheme="minorHAnsi" w:hAnsiTheme="minorHAnsi" w:cstheme="minorHAnsi"/>
          <w:sz w:val="24"/>
          <w:szCs w:val="24"/>
        </w:rPr>
        <w:t xml:space="preserve"> est </w:t>
      </w:r>
      <w:r w:rsidR="009024E2">
        <w:rPr>
          <w:rFonts w:asciiTheme="minorHAnsi" w:hAnsiTheme="minorHAnsi" w:cstheme="minorHAnsi"/>
          <w:sz w:val="24"/>
          <w:szCs w:val="24"/>
        </w:rPr>
        <w:lastRenderedPageBreak/>
        <w:t>hébergé</w:t>
      </w:r>
      <w:r w:rsidRPr="00A066CE">
        <w:rPr>
          <w:rFonts w:asciiTheme="minorHAnsi" w:hAnsiTheme="minorHAnsi" w:cstheme="minorHAnsi"/>
          <w:sz w:val="24"/>
          <w:szCs w:val="24"/>
        </w:rPr>
        <w:t>. Cette moyenne révèle elle-même d’importantes disparités territoriales</w:t>
      </w:r>
      <w:r w:rsidRPr="00A066CE">
        <w:rPr>
          <w:rStyle w:val="Appelnotedebasdep"/>
          <w:rFonts w:asciiTheme="minorHAnsi" w:hAnsiTheme="minorHAnsi" w:cstheme="minorHAnsi"/>
          <w:sz w:val="24"/>
          <w:szCs w:val="24"/>
        </w:rPr>
        <w:footnoteReference w:id="31"/>
      </w:r>
      <w:r w:rsidRPr="00A066CE">
        <w:rPr>
          <w:rFonts w:asciiTheme="minorHAnsi" w:hAnsiTheme="minorHAnsi" w:cstheme="minorHAnsi"/>
          <w:sz w:val="24"/>
          <w:szCs w:val="24"/>
        </w:rPr>
        <w:t>. En conséquence, 30 000 personnes perçoivent le montant additionnel de l'allocation pour demandeur d'asile de 7,40€ par jour pour se loger. Environ 55 000 autres sont dépourvues de ces conditions car ayant demandé l'asile plus de 90 jours après leur arrivée, ayant formulé une demande de réexamen ou sont considérés en fuite pendant la procédure Dublin</w:t>
      </w:r>
      <w:r w:rsidRPr="00A066CE">
        <w:rPr>
          <w:rStyle w:val="Appelnotedebasdep"/>
          <w:rFonts w:asciiTheme="minorHAnsi" w:hAnsiTheme="minorHAnsi" w:cstheme="minorHAnsi"/>
          <w:sz w:val="24"/>
          <w:szCs w:val="24"/>
        </w:rPr>
        <w:footnoteReference w:id="32"/>
      </w:r>
      <w:r w:rsidRPr="00A066CE">
        <w:rPr>
          <w:rFonts w:asciiTheme="minorHAnsi" w:hAnsiTheme="minorHAnsi" w:cstheme="minorHAnsi"/>
          <w:sz w:val="24"/>
          <w:szCs w:val="24"/>
        </w:rPr>
        <w:t xml:space="preserve">. </w:t>
      </w:r>
    </w:p>
    <w:p w14:paraId="40077BC8" w14:textId="18DF2AD7" w:rsidR="009A080D" w:rsidRPr="000E333F" w:rsidRDefault="009A080D" w:rsidP="007125B7">
      <w:pPr>
        <w:spacing w:beforeLines="120" w:before="288" w:afterLines="160" w:after="384" w:line="360" w:lineRule="auto"/>
        <w:ind w:left="720"/>
        <w:rPr>
          <w:rFonts w:cstheme="minorHAnsi"/>
          <w:b/>
          <w:sz w:val="24"/>
          <w:szCs w:val="24"/>
          <w:u w:val="single"/>
        </w:rPr>
      </w:pPr>
      <w:r w:rsidRPr="009A080D">
        <w:rPr>
          <w:rFonts w:cstheme="minorHAnsi"/>
          <w:b/>
          <w:sz w:val="24"/>
          <w:szCs w:val="24"/>
          <w:u w:val="single"/>
        </w:rPr>
        <w:t>Suivi de l’observation § 20 c</w:t>
      </w:r>
      <w:r w:rsidR="00A45991">
        <w:rPr>
          <w:rFonts w:cstheme="minorHAnsi"/>
          <w:b/>
          <w:sz w:val="24"/>
          <w:szCs w:val="24"/>
          <w:u w:val="single"/>
        </w:rPr>
        <w:t>)</w:t>
      </w:r>
    </w:p>
    <w:p w14:paraId="4D25938E" w14:textId="19FE4267" w:rsidR="00D464FC" w:rsidRPr="009A080D" w:rsidRDefault="00D464FC" w:rsidP="007125B7">
      <w:pPr>
        <w:pStyle w:val="Paragraphedeliste"/>
        <w:numPr>
          <w:ilvl w:val="0"/>
          <w:numId w:val="11"/>
        </w:numPr>
        <w:spacing w:after="80" w:line="360" w:lineRule="auto"/>
        <w:rPr>
          <w:rFonts w:cstheme="minorHAnsi"/>
          <w:sz w:val="24"/>
          <w:szCs w:val="24"/>
        </w:rPr>
      </w:pPr>
      <w:r w:rsidRPr="009A080D">
        <w:rPr>
          <w:rFonts w:cstheme="minorHAnsi"/>
          <w:sz w:val="24"/>
          <w:szCs w:val="24"/>
        </w:rPr>
        <w:t xml:space="preserve">La situation des personnes traversant les frontières intérieures </w:t>
      </w:r>
      <w:r w:rsidR="00F90776" w:rsidRPr="009A080D">
        <w:rPr>
          <w:rFonts w:cstheme="minorHAnsi"/>
          <w:sz w:val="24"/>
          <w:szCs w:val="24"/>
        </w:rPr>
        <w:t xml:space="preserve">de l’UE </w:t>
      </w:r>
      <w:r w:rsidRPr="009A080D">
        <w:rPr>
          <w:rFonts w:cstheme="minorHAnsi"/>
          <w:sz w:val="24"/>
          <w:szCs w:val="24"/>
        </w:rPr>
        <w:t>a continué d’être un point de préoccupation, rapporté régulièrement à la CNCDH</w:t>
      </w:r>
      <w:r w:rsidRPr="00A066CE">
        <w:rPr>
          <w:rStyle w:val="Appelnotedebasdep"/>
          <w:rFonts w:cstheme="minorHAnsi"/>
          <w:sz w:val="24"/>
          <w:szCs w:val="24"/>
        </w:rPr>
        <w:footnoteReference w:id="33"/>
      </w:r>
      <w:r w:rsidRPr="009A080D">
        <w:rPr>
          <w:rFonts w:cstheme="minorHAnsi"/>
          <w:sz w:val="24"/>
          <w:szCs w:val="24"/>
        </w:rPr>
        <w:t>. La dernière loi du 26 janvier 2024 relative à l’immigration</w:t>
      </w:r>
      <w:r w:rsidRPr="00A066CE">
        <w:rPr>
          <w:rStyle w:val="Appelnotedebasdep"/>
          <w:rFonts w:cstheme="minorHAnsi"/>
          <w:sz w:val="24"/>
          <w:szCs w:val="24"/>
        </w:rPr>
        <w:footnoteReference w:id="34"/>
      </w:r>
      <w:r w:rsidRPr="009A080D">
        <w:rPr>
          <w:rFonts w:cstheme="minorHAnsi"/>
          <w:sz w:val="24"/>
          <w:szCs w:val="24"/>
        </w:rPr>
        <w:t xml:space="preserve"> n’a pas apporté de réponse sur ce point. Cependant, la Commission souhaite porter à la connaissance du Comité la décision du Conseil d’Etat du 2 février 2024, en réponse à un arrêt de la</w:t>
      </w:r>
      <w:r w:rsidR="006C0AE3">
        <w:rPr>
          <w:rFonts w:cstheme="minorHAnsi"/>
          <w:sz w:val="24"/>
          <w:szCs w:val="24"/>
        </w:rPr>
        <w:t xml:space="preserve"> </w:t>
      </w:r>
      <w:r w:rsidR="006C0AE3" w:rsidRPr="006C0AE3">
        <w:rPr>
          <w:rFonts w:cstheme="minorHAnsi"/>
          <w:sz w:val="24"/>
          <w:szCs w:val="24"/>
        </w:rPr>
        <w:t>Cour de justice de l'Union européenne</w:t>
      </w:r>
      <w:r w:rsidRPr="009A080D">
        <w:rPr>
          <w:rFonts w:cstheme="minorHAnsi"/>
          <w:sz w:val="24"/>
          <w:szCs w:val="24"/>
        </w:rPr>
        <w:t xml:space="preserve"> </w:t>
      </w:r>
      <w:r w:rsidR="006C0AE3">
        <w:rPr>
          <w:rFonts w:cstheme="minorHAnsi"/>
          <w:sz w:val="24"/>
          <w:szCs w:val="24"/>
        </w:rPr>
        <w:t>(</w:t>
      </w:r>
      <w:r w:rsidRPr="009A080D">
        <w:rPr>
          <w:rFonts w:cstheme="minorHAnsi"/>
          <w:sz w:val="24"/>
          <w:szCs w:val="24"/>
        </w:rPr>
        <w:t>CJUE</w:t>
      </w:r>
      <w:r w:rsidR="006C0AE3">
        <w:rPr>
          <w:rFonts w:cstheme="minorHAnsi"/>
          <w:sz w:val="24"/>
          <w:szCs w:val="24"/>
        </w:rPr>
        <w:t>)</w:t>
      </w:r>
      <w:r w:rsidRPr="009A080D">
        <w:rPr>
          <w:rFonts w:cstheme="minorHAnsi"/>
          <w:sz w:val="24"/>
          <w:szCs w:val="24"/>
        </w:rPr>
        <w:t xml:space="preserve"> du 21 septembre 2023</w:t>
      </w:r>
      <w:r w:rsidRPr="00A066CE">
        <w:rPr>
          <w:rStyle w:val="Appelnotedebasdep"/>
          <w:rFonts w:cstheme="minorHAnsi"/>
          <w:sz w:val="24"/>
          <w:szCs w:val="24"/>
        </w:rPr>
        <w:footnoteReference w:id="35"/>
      </w:r>
      <w:r w:rsidRPr="009A080D">
        <w:rPr>
          <w:rFonts w:cstheme="minorHAnsi"/>
          <w:sz w:val="24"/>
          <w:szCs w:val="24"/>
        </w:rPr>
        <w:t xml:space="preserve">, laquelle a annulé la partie du code de l’entrée et du séjour des étrangers et du droit d’asile (Ceseda) permettant aux forces de l’ordre de prononcer des refus d’entrée aux étrangers arrivés de façon irrégulière </w:t>
      </w:r>
      <w:r w:rsidRPr="009A080D">
        <w:rPr>
          <w:rStyle w:val="Accentuation"/>
          <w:rFonts w:cstheme="minorHAnsi"/>
          <w:sz w:val="24"/>
          <w:szCs w:val="24"/>
        </w:rPr>
        <w:t xml:space="preserve">« lors de vérifications effectuées à une frontière </w:t>
      </w:r>
      <w:r w:rsidRPr="009A080D">
        <w:rPr>
          <w:rFonts w:cstheme="minorHAnsi"/>
          <w:sz w:val="24"/>
          <w:szCs w:val="24"/>
        </w:rPr>
        <w:t>[intérieure] </w:t>
      </w:r>
      <w:r w:rsidRPr="009A080D">
        <w:rPr>
          <w:rStyle w:val="Accentuation"/>
          <w:rFonts w:cstheme="minorHAnsi"/>
          <w:sz w:val="24"/>
          <w:szCs w:val="24"/>
        </w:rPr>
        <w:t>»</w:t>
      </w:r>
      <w:r w:rsidRPr="009A080D">
        <w:rPr>
          <w:rFonts w:cstheme="minorHAnsi"/>
          <w:sz w:val="24"/>
          <w:szCs w:val="24"/>
        </w:rPr>
        <w:t>. Cette décision permet d’annuler partiellement le dispositif d’entrée aux frontières intérieures, lesquelles étaient rétablies depuis 2015 et devrait mettre fin aux pratiques d’enfermement aux frontières hors de tout cadre légal comme l’avait analysé la CNCDH dans son avis sur la situation à la frontière franco-italienne</w:t>
      </w:r>
      <w:r w:rsidRPr="00A066CE">
        <w:rPr>
          <w:rStyle w:val="Appelnotedebasdep"/>
          <w:rFonts w:cstheme="minorHAnsi"/>
          <w:sz w:val="24"/>
          <w:szCs w:val="24"/>
        </w:rPr>
        <w:footnoteReference w:id="36"/>
      </w:r>
      <w:r w:rsidRPr="009A080D">
        <w:rPr>
          <w:rFonts w:cstheme="minorHAnsi"/>
          <w:sz w:val="24"/>
          <w:szCs w:val="24"/>
        </w:rPr>
        <w:t xml:space="preserve">. Il conviendra d’être attentif aux évolutions des pratiques de contrôle de l’administration à la suite de cette décision. </w:t>
      </w:r>
    </w:p>
    <w:p w14:paraId="359A7B3D" w14:textId="77777777" w:rsidR="00D464FC" w:rsidRPr="00D464FC" w:rsidRDefault="00D464FC" w:rsidP="007125B7">
      <w:pPr>
        <w:spacing w:after="80" w:line="360" w:lineRule="auto"/>
        <w:ind w:left="360"/>
        <w:rPr>
          <w:rFonts w:cstheme="minorHAnsi"/>
          <w:sz w:val="24"/>
          <w:szCs w:val="24"/>
        </w:rPr>
      </w:pPr>
    </w:p>
    <w:p w14:paraId="0276A609" w14:textId="6BE8883E" w:rsidR="00D464FC" w:rsidRPr="00D464FC" w:rsidRDefault="00D464FC" w:rsidP="007125B7">
      <w:pPr>
        <w:spacing w:after="80" w:line="360" w:lineRule="auto"/>
        <w:ind w:left="360"/>
        <w:jc w:val="center"/>
        <w:rPr>
          <w:rFonts w:cstheme="minorHAnsi"/>
          <w:sz w:val="24"/>
          <w:szCs w:val="24"/>
        </w:rPr>
      </w:pPr>
      <w:r w:rsidRPr="00D464FC">
        <w:rPr>
          <w:rFonts w:cstheme="minorHAnsi"/>
          <w:b/>
          <w:sz w:val="24"/>
          <w:szCs w:val="24"/>
          <w:u w:val="single"/>
        </w:rPr>
        <w:lastRenderedPageBreak/>
        <w:t>Défenseurs des droits</w:t>
      </w:r>
      <w:r w:rsidR="007F054F">
        <w:rPr>
          <w:rFonts w:cstheme="minorHAnsi"/>
          <w:b/>
          <w:sz w:val="24"/>
          <w:szCs w:val="24"/>
          <w:u w:val="single"/>
        </w:rPr>
        <w:t xml:space="preserve"> humains</w:t>
      </w:r>
    </w:p>
    <w:p w14:paraId="1CCC56B4" w14:textId="6EEFE989" w:rsidR="00D464FC" w:rsidRPr="00D464FC" w:rsidRDefault="00D464FC" w:rsidP="007125B7">
      <w:pPr>
        <w:spacing w:beforeLines="120" w:before="288" w:afterLines="160" w:after="384" w:line="360" w:lineRule="auto"/>
        <w:ind w:left="360" w:firstLine="348"/>
        <w:rPr>
          <w:rFonts w:cstheme="minorHAnsi"/>
          <w:b/>
          <w:sz w:val="24"/>
          <w:szCs w:val="24"/>
          <w:u w:val="single"/>
        </w:rPr>
      </w:pPr>
      <w:r>
        <w:rPr>
          <w:rFonts w:cstheme="minorHAnsi"/>
          <w:b/>
          <w:sz w:val="24"/>
          <w:szCs w:val="24"/>
          <w:u w:val="single"/>
        </w:rPr>
        <w:t xml:space="preserve">Suivi observation </w:t>
      </w:r>
      <w:r w:rsidRPr="00D464FC">
        <w:rPr>
          <w:rFonts w:cstheme="minorHAnsi"/>
          <w:b/>
          <w:sz w:val="24"/>
          <w:szCs w:val="24"/>
          <w:u w:val="single"/>
        </w:rPr>
        <w:t xml:space="preserve">§ 28 </w:t>
      </w:r>
    </w:p>
    <w:p w14:paraId="6626EA0B" w14:textId="066117CF" w:rsidR="00D464FC" w:rsidRPr="00A066CE" w:rsidRDefault="00D464FC" w:rsidP="007125B7">
      <w:pPr>
        <w:pStyle w:val="PrformatHTML"/>
        <w:numPr>
          <w:ilvl w:val="0"/>
          <w:numId w:val="11"/>
        </w:numPr>
        <w:spacing w:line="360" w:lineRule="auto"/>
        <w:jc w:val="both"/>
        <w:rPr>
          <w:rStyle w:val="y2iqfc"/>
          <w:rFonts w:asciiTheme="minorHAnsi" w:hAnsiTheme="minorHAnsi" w:cstheme="minorHAnsi"/>
          <w:sz w:val="24"/>
          <w:szCs w:val="24"/>
        </w:rPr>
      </w:pPr>
      <w:r w:rsidRPr="00A066CE">
        <w:rPr>
          <w:rStyle w:val="y2iqfc"/>
          <w:rFonts w:asciiTheme="minorHAnsi" w:hAnsiTheme="minorHAnsi" w:cstheme="minorHAnsi"/>
          <w:sz w:val="24"/>
          <w:szCs w:val="24"/>
        </w:rPr>
        <w:t xml:space="preserve">La CNCDH a adopté le 30 novembre 2023 un avis </w:t>
      </w:r>
      <w:r>
        <w:rPr>
          <w:rStyle w:val="y2iqfc"/>
          <w:rFonts w:asciiTheme="minorHAnsi" w:hAnsiTheme="minorHAnsi" w:cstheme="minorHAnsi"/>
          <w:sz w:val="24"/>
          <w:szCs w:val="24"/>
        </w:rPr>
        <w:t>sur les</w:t>
      </w:r>
      <w:r w:rsidRPr="00A066CE">
        <w:rPr>
          <w:rStyle w:val="y2iqfc"/>
          <w:rFonts w:asciiTheme="minorHAnsi" w:hAnsiTheme="minorHAnsi" w:cstheme="minorHAnsi"/>
          <w:sz w:val="24"/>
          <w:szCs w:val="24"/>
        </w:rPr>
        <w:t xml:space="preserve"> défenseurs des droits de l'homme à travers lequel elle met en lumière les différentes</w:t>
      </w:r>
      <w:r>
        <w:rPr>
          <w:rStyle w:val="y2iqfc"/>
          <w:rFonts w:asciiTheme="minorHAnsi" w:hAnsiTheme="minorHAnsi" w:cstheme="minorHAnsi"/>
          <w:sz w:val="24"/>
          <w:szCs w:val="24"/>
        </w:rPr>
        <w:t xml:space="preserve"> problématiques auxquelles ils sont confronté</w:t>
      </w:r>
      <w:r w:rsidR="00F90776">
        <w:rPr>
          <w:rStyle w:val="y2iqfc"/>
          <w:rFonts w:asciiTheme="minorHAnsi" w:hAnsiTheme="minorHAnsi" w:cstheme="minorHAnsi"/>
          <w:sz w:val="24"/>
          <w:szCs w:val="24"/>
        </w:rPr>
        <w:t>s</w:t>
      </w:r>
      <w:r>
        <w:rPr>
          <w:rStyle w:val="y2iqfc"/>
          <w:rFonts w:asciiTheme="minorHAnsi" w:hAnsiTheme="minorHAnsi" w:cstheme="minorHAnsi"/>
          <w:sz w:val="24"/>
          <w:szCs w:val="24"/>
        </w:rPr>
        <w:t xml:space="preserve"> </w:t>
      </w:r>
      <w:r w:rsidRPr="00A066CE">
        <w:rPr>
          <w:rStyle w:val="y2iqfc"/>
          <w:rFonts w:asciiTheme="minorHAnsi" w:hAnsiTheme="minorHAnsi" w:cstheme="minorHAnsi"/>
          <w:sz w:val="24"/>
          <w:szCs w:val="24"/>
        </w:rPr>
        <w:t>en France : harcèlement judiciaire, entraves à la liberté d’association et campagne d’intimidation</w:t>
      </w:r>
      <w:r w:rsidRPr="00A066CE">
        <w:rPr>
          <w:rStyle w:val="Appelnotedebasdep"/>
          <w:rFonts w:asciiTheme="minorHAnsi" w:hAnsiTheme="minorHAnsi" w:cstheme="minorHAnsi"/>
          <w:sz w:val="24"/>
          <w:szCs w:val="24"/>
        </w:rPr>
        <w:footnoteReference w:id="37"/>
      </w:r>
      <w:r w:rsidRPr="00A066CE">
        <w:rPr>
          <w:rStyle w:val="y2iqfc"/>
          <w:rFonts w:asciiTheme="minorHAnsi" w:hAnsiTheme="minorHAnsi" w:cstheme="minorHAnsi"/>
          <w:sz w:val="24"/>
          <w:szCs w:val="24"/>
        </w:rPr>
        <w:t xml:space="preserve">. </w:t>
      </w:r>
    </w:p>
    <w:p w14:paraId="7DED90BE" w14:textId="77777777" w:rsidR="00D464FC" w:rsidRPr="00A066CE" w:rsidRDefault="00D464FC" w:rsidP="007125B7">
      <w:pPr>
        <w:pStyle w:val="PrformatHTML"/>
        <w:spacing w:line="360" w:lineRule="auto"/>
        <w:ind w:left="360"/>
        <w:jc w:val="both"/>
        <w:rPr>
          <w:rStyle w:val="y2iqfc"/>
          <w:rFonts w:asciiTheme="minorHAnsi" w:hAnsiTheme="minorHAnsi" w:cstheme="minorHAnsi"/>
          <w:sz w:val="24"/>
          <w:szCs w:val="24"/>
        </w:rPr>
      </w:pPr>
    </w:p>
    <w:p w14:paraId="1DD6C6AE" w14:textId="77777777" w:rsidR="00D464FC" w:rsidRPr="00A066CE" w:rsidRDefault="00D464FC" w:rsidP="007125B7">
      <w:pPr>
        <w:pStyle w:val="PrformatHTML"/>
        <w:numPr>
          <w:ilvl w:val="0"/>
          <w:numId w:val="11"/>
        </w:numPr>
        <w:spacing w:line="360" w:lineRule="auto"/>
        <w:jc w:val="both"/>
        <w:rPr>
          <w:rStyle w:val="y2iqfc"/>
          <w:rFonts w:asciiTheme="minorHAnsi" w:hAnsiTheme="minorHAnsi" w:cstheme="minorHAnsi"/>
          <w:sz w:val="24"/>
          <w:szCs w:val="24"/>
        </w:rPr>
      </w:pPr>
      <w:r w:rsidRPr="00A066CE">
        <w:rPr>
          <w:rStyle w:val="y2iqfc"/>
          <w:rFonts w:asciiTheme="minorHAnsi" w:hAnsiTheme="minorHAnsi" w:cstheme="minorHAnsi"/>
          <w:sz w:val="24"/>
          <w:szCs w:val="24"/>
        </w:rPr>
        <w:t>Plusieurs campagnes d’intimidation</w:t>
      </w:r>
      <w:r w:rsidRPr="00A066CE">
        <w:rPr>
          <w:rStyle w:val="Appelnotedebasdep"/>
          <w:rFonts w:asciiTheme="minorHAnsi" w:hAnsiTheme="minorHAnsi" w:cstheme="minorHAnsi"/>
          <w:sz w:val="24"/>
          <w:szCs w:val="24"/>
        </w:rPr>
        <w:footnoteReference w:id="38"/>
      </w:r>
      <w:r w:rsidRPr="00A066CE">
        <w:rPr>
          <w:rStyle w:val="y2iqfc"/>
          <w:rFonts w:asciiTheme="minorHAnsi" w:hAnsiTheme="minorHAnsi" w:cstheme="minorHAnsi"/>
          <w:sz w:val="24"/>
          <w:szCs w:val="24"/>
        </w:rPr>
        <w:t xml:space="preserve"> ont pu être constatées contribuant à la polarisation du débat public, à la désinformation et à la fragilisation de la situation de certaines catégories de défenseurs. Le 15 juin 2023, des experts des Nations Unies ont exprimé leur inquiétude face à la tendance à la stigmatisation et à la criminalisation en France des personnes et des organisations de la société civile œuvrant pour la défense des droits de l'homme et de l'environnement</w:t>
      </w:r>
      <w:r w:rsidRPr="00A066CE">
        <w:rPr>
          <w:rStyle w:val="Appelnotedebasdep"/>
          <w:rFonts w:asciiTheme="minorHAnsi" w:hAnsiTheme="minorHAnsi" w:cstheme="minorHAnsi"/>
          <w:sz w:val="24"/>
          <w:szCs w:val="24"/>
        </w:rPr>
        <w:footnoteReference w:id="39"/>
      </w:r>
      <w:r w:rsidRPr="00A066CE">
        <w:rPr>
          <w:rStyle w:val="y2iqfc"/>
          <w:rFonts w:asciiTheme="minorHAnsi" w:hAnsiTheme="minorHAnsi" w:cstheme="minorHAnsi"/>
          <w:sz w:val="24"/>
          <w:szCs w:val="24"/>
        </w:rPr>
        <w:t xml:space="preserve">. </w:t>
      </w:r>
    </w:p>
    <w:p w14:paraId="5390CC37" w14:textId="77777777" w:rsidR="00D464FC" w:rsidRPr="00A066CE" w:rsidRDefault="00D464FC" w:rsidP="007125B7">
      <w:pPr>
        <w:pStyle w:val="PrformatHTML"/>
        <w:spacing w:line="360" w:lineRule="auto"/>
        <w:ind w:left="360"/>
        <w:jc w:val="both"/>
        <w:rPr>
          <w:rStyle w:val="y2iqfc"/>
          <w:rFonts w:asciiTheme="minorHAnsi" w:hAnsiTheme="minorHAnsi" w:cstheme="minorHAnsi"/>
          <w:sz w:val="24"/>
          <w:szCs w:val="24"/>
        </w:rPr>
      </w:pPr>
    </w:p>
    <w:p w14:paraId="74F72D00" w14:textId="77777777" w:rsidR="00D464FC" w:rsidRPr="00A066CE" w:rsidRDefault="00D464FC" w:rsidP="007125B7">
      <w:pPr>
        <w:pStyle w:val="PrformatHTML"/>
        <w:numPr>
          <w:ilvl w:val="0"/>
          <w:numId w:val="11"/>
        </w:numPr>
        <w:spacing w:line="360" w:lineRule="auto"/>
        <w:jc w:val="both"/>
        <w:rPr>
          <w:rFonts w:asciiTheme="minorHAnsi" w:hAnsiTheme="minorHAnsi" w:cstheme="minorHAnsi"/>
          <w:sz w:val="24"/>
          <w:szCs w:val="24"/>
        </w:rPr>
      </w:pPr>
      <w:r w:rsidRPr="00A066CE">
        <w:rPr>
          <w:rFonts w:asciiTheme="minorHAnsi" w:hAnsiTheme="minorHAnsi" w:cstheme="minorHAnsi"/>
          <w:sz w:val="24"/>
          <w:szCs w:val="24"/>
        </w:rPr>
        <w:t>Par ailleurs, le 25 septembre 2023, quatre experts indépendants de l’ONU ont adressé une communication à la France au sujet du harcèlement et de la diffamation à l’encontre de la journaliste et défenseuse des droits humains, Rokhaya Diallo</w:t>
      </w:r>
      <w:r w:rsidRPr="00A066CE">
        <w:rPr>
          <w:rStyle w:val="Appelnotedebasdep"/>
          <w:rFonts w:asciiTheme="minorHAnsi" w:hAnsiTheme="minorHAnsi" w:cstheme="minorHAnsi"/>
          <w:sz w:val="24"/>
          <w:szCs w:val="24"/>
        </w:rPr>
        <w:footnoteReference w:id="40"/>
      </w:r>
      <w:r w:rsidRPr="00A066CE">
        <w:rPr>
          <w:rFonts w:asciiTheme="minorHAnsi" w:hAnsiTheme="minorHAnsi" w:cstheme="minorHAnsi"/>
          <w:sz w:val="24"/>
          <w:szCs w:val="24"/>
        </w:rPr>
        <w:t>. Les rapporteuses ont relevé des actes de menaces, de harcèlement, de violence morale à caractère raciste ayant eu lieu entre 2018 et 2023 en raison de son origine et ses activités</w:t>
      </w:r>
      <w:r w:rsidRPr="00A066CE">
        <w:rPr>
          <w:rStyle w:val="Appelnotedebasdep"/>
          <w:rFonts w:asciiTheme="minorHAnsi" w:hAnsiTheme="minorHAnsi" w:cstheme="minorHAnsi"/>
          <w:sz w:val="24"/>
          <w:szCs w:val="24"/>
        </w:rPr>
        <w:footnoteReference w:id="41"/>
      </w:r>
      <w:r w:rsidRPr="00A066CE">
        <w:rPr>
          <w:rFonts w:asciiTheme="minorHAnsi" w:hAnsiTheme="minorHAnsi" w:cstheme="minorHAnsi"/>
          <w:sz w:val="24"/>
          <w:szCs w:val="24"/>
        </w:rPr>
        <w:t xml:space="preserve">. La France a adressé une réponse </w:t>
      </w:r>
      <w:r w:rsidRPr="00A066CE">
        <w:rPr>
          <w:rFonts w:asciiTheme="minorHAnsi" w:hAnsiTheme="minorHAnsi" w:cstheme="minorHAnsi"/>
          <w:sz w:val="24"/>
          <w:szCs w:val="24"/>
        </w:rPr>
        <w:lastRenderedPageBreak/>
        <w:t>aux rapporteuses spéciales le 23 novembre 2023</w:t>
      </w:r>
      <w:r w:rsidRPr="00A066CE">
        <w:rPr>
          <w:rStyle w:val="Appelnotedebasdep"/>
          <w:rFonts w:asciiTheme="minorHAnsi" w:hAnsiTheme="minorHAnsi" w:cstheme="minorHAnsi"/>
          <w:sz w:val="24"/>
          <w:szCs w:val="24"/>
        </w:rPr>
        <w:footnoteReference w:id="42"/>
      </w:r>
      <w:r w:rsidRPr="00A066CE">
        <w:rPr>
          <w:rFonts w:asciiTheme="minorHAnsi" w:hAnsiTheme="minorHAnsi" w:cstheme="minorHAnsi"/>
          <w:sz w:val="24"/>
          <w:szCs w:val="24"/>
        </w:rPr>
        <w:t xml:space="preserve">. Depuis lors, Rokhaya Diallo a été relaxée dans le cadre du procès l’opposant à Raphael Enthoven, qui a fait appel, et a également été relaxée en appel dans le cadre du procès lui ayant été intenté par un haut fonctionnaire. Les autres procès sont toujours en cours. </w:t>
      </w:r>
    </w:p>
    <w:p w14:paraId="6B1A66A5" w14:textId="0D3AB211" w:rsidR="00F84796" w:rsidRPr="000E333F" w:rsidRDefault="00D464FC" w:rsidP="007125B7">
      <w:pPr>
        <w:pStyle w:val="Paragraphedeliste"/>
        <w:numPr>
          <w:ilvl w:val="0"/>
          <w:numId w:val="11"/>
        </w:numPr>
        <w:spacing w:beforeLines="120" w:before="288" w:afterLines="160" w:after="384" w:line="360" w:lineRule="auto"/>
        <w:rPr>
          <w:rFonts w:cstheme="minorHAnsi"/>
          <w:sz w:val="24"/>
          <w:szCs w:val="24"/>
        </w:rPr>
      </w:pPr>
      <w:r w:rsidRPr="009A080D">
        <w:rPr>
          <w:rFonts w:cstheme="minorHAnsi"/>
          <w:sz w:val="24"/>
          <w:szCs w:val="24"/>
        </w:rPr>
        <w:t>Afin d’assurer une protection effective des défenseurs en France, la CNCDH recommande l’adoption d’un texte législatif qui garantirait la reconnaissance et la protection juridique des défenseurs qui prendrait en compte les éléments suivants : définition du terme de « défenseur</w:t>
      </w:r>
      <w:r w:rsidR="00F90776" w:rsidRPr="009A080D">
        <w:rPr>
          <w:rFonts w:cstheme="minorHAnsi"/>
          <w:sz w:val="24"/>
          <w:szCs w:val="24"/>
        </w:rPr>
        <w:t xml:space="preserve"> des droits humains</w:t>
      </w:r>
      <w:r w:rsidRPr="009A080D">
        <w:rPr>
          <w:rFonts w:cstheme="minorHAnsi"/>
          <w:sz w:val="24"/>
          <w:szCs w:val="24"/>
        </w:rPr>
        <w:t xml:space="preserve"> », mise en place d’une cadre leur assurant un environnement sûr et favorable et adoption d’un mécanisme de protection. </w:t>
      </w:r>
    </w:p>
    <w:sectPr w:rsidR="00F84796" w:rsidRPr="000E333F" w:rsidSect="006C0AE3">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49A7A" w14:textId="77777777" w:rsidR="00044959" w:rsidRDefault="00044959" w:rsidP="008B7546">
      <w:pPr>
        <w:spacing w:after="0" w:line="240" w:lineRule="auto"/>
      </w:pPr>
      <w:r>
        <w:separator/>
      </w:r>
    </w:p>
  </w:endnote>
  <w:endnote w:type="continuationSeparator" w:id="0">
    <w:p w14:paraId="6E5DE6B4" w14:textId="77777777" w:rsidR="00044959" w:rsidRDefault="00044959" w:rsidP="008B7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IDFont+F5">
    <w:altName w:val="Malgun Gothic Semi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3684056"/>
      <w:docPartObj>
        <w:docPartGallery w:val="Page Numbers (Bottom of Page)"/>
        <w:docPartUnique/>
      </w:docPartObj>
    </w:sdtPr>
    <w:sdtEndPr/>
    <w:sdtContent>
      <w:p w14:paraId="0CCF515F" w14:textId="27E25BF4" w:rsidR="004425B2" w:rsidRDefault="004425B2">
        <w:pPr>
          <w:pStyle w:val="Pieddepage"/>
          <w:jc w:val="center"/>
        </w:pPr>
        <w:r>
          <w:fldChar w:fldCharType="begin"/>
        </w:r>
        <w:r>
          <w:instrText>PAGE   \* MERGEFORMAT</w:instrText>
        </w:r>
        <w:r>
          <w:fldChar w:fldCharType="separate"/>
        </w:r>
        <w:r w:rsidR="0008639B">
          <w:rPr>
            <w:noProof/>
          </w:rPr>
          <w:t>11</w:t>
        </w:r>
        <w:r>
          <w:fldChar w:fldCharType="end"/>
        </w:r>
      </w:p>
    </w:sdtContent>
  </w:sdt>
  <w:p w14:paraId="74D6319A" w14:textId="77777777" w:rsidR="004425B2" w:rsidRDefault="004425B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64405" w14:textId="77777777" w:rsidR="00044959" w:rsidRDefault="00044959" w:rsidP="008B7546">
      <w:pPr>
        <w:spacing w:after="0" w:line="240" w:lineRule="auto"/>
      </w:pPr>
      <w:r>
        <w:separator/>
      </w:r>
    </w:p>
  </w:footnote>
  <w:footnote w:type="continuationSeparator" w:id="0">
    <w:p w14:paraId="193BA296" w14:textId="77777777" w:rsidR="00044959" w:rsidRDefault="00044959" w:rsidP="008B7546">
      <w:pPr>
        <w:spacing w:after="0" w:line="240" w:lineRule="auto"/>
      </w:pPr>
      <w:r>
        <w:continuationSeparator/>
      </w:r>
    </w:p>
  </w:footnote>
  <w:footnote w:id="1">
    <w:p w14:paraId="651C5451" w14:textId="13524BD7" w:rsidR="00310D50" w:rsidRPr="007125B7" w:rsidRDefault="00310D50" w:rsidP="00F90776">
      <w:pPr>
        <w:pStyle w:val="Notedebasdepage"/>
      </w:pPr>
      <w:r w:rsidRPr="007125B7">
        <w:rPr>
          <w:rStyle w:val="Appelnotedebasdep"/>
        </w:rPr>
        <w:footnoteRef/>
      </w:r>
      <w:r w:rsidRPr="007125B7">
        <w:t xml:space="preserve"> </w:t>
      </w:r>
      <w:hyperlink r:id="rId1" w:history="1">
        <w:r w:rsidRPr="007125B7">
          <w:rPr>
            <w:rStyle w:val="Lienhypertexte"/>
          </w:rPr>
          <w:t>Projet annuel de performances, "Programme 177 - Hébergement, parcours vers le logement et insertion", 2024</w:t>
        </w:r>
      </w:hyperlink>
      <w:r w:rsidRPr="007125B7">
        <w:rPr>
          <w:rStyle w:val="Lienhypertexte"/>
          <w:color w:val="auto"/>
          <w:u w:val="none"/>
        </w:rPr>
        <w:t> ; Article 167 de la Loi n° 2023-1322 du 29 décembre 2023 de finances pour 2024</w:t>
      </w:r>
      <w:r w:rsidR="00D154E5" w:rsidRPr="007125B7">
        <w:rPr>
          <w:rStyle w:val="Lienhypertexte"/>
          <w:color w:val="auto"/>
          <w:u w:val="none"/>
        </w:rPr>
        <w:t> : le budget alloué au  programme</w:t>
      </w:r>
      <w:r w:rsidR="009B0E7E" w:rsidRPr="007125B7">
        <w:rPr>
          <w:rStyle w:val="Lienhypertexte"/>
          <w:color w:val="auto"/>
          <w:u w:val="none"/>
        </w:rPr>
        <w:t xml:space="preserve"> « 177 - Hébergement, parcours vers le logement et insertion des personnes vulnérables »</w:t>
      </w:r>
      <w:r w:rsidR="00D154E5" w:rsidRPr="007125B7">
        <w:rPr>
          <w:rStyle w:val="Lienhypertexte"/>
          <w:color w:val="auto"/>
          <w:u w:val="none"/>
        </w:rPr>
        <w:t xml:space="preserve"> par la loi de finance</w:t>
      </w:r>
      <w:r w:rsidR="009B0E7E" w:rsidRPr="007125B7">
        <w:rPr>
          <w:rStyle w:val="Lienhypertexte"/>
          <w:color w:val="auto"/>
          <w:u w:val="none"/>
        </w:rPr>
        <w:t xml:space="preserve"> de</w:t>
      </w:r>
      <w:r w:rsidR="00D154E5" w:rsidRPr="007125B7">
        <w:rPr>
          <w:rStyle w:val="Lienhypertexte"/>
          <w:color w:val="auto"/>
          <w:u w:val="none"/>
        </w:rPr>
        <w:t xml:space="preserve"> 2024 était de 2, 926 milliard d’euros</w:t>
      </w:r>
      <w:r w:rsidR="00ED5AD8" w:rsidRPr="007125B7">
        <w:rPr>
          <w:rStyle w:val="Lienhypertexte"/>
          <w:color w:val="auto"/>
          <w:u w:val="none"/>
        </w:rPr>
        <w:t>, le budget alloué à la stratégie de résorption des bidonvilles ne représente donc que 0.27% de ce budget.</w:t>
      </w:r>
    </w:p>
  </w:footnote>
  <w:footnote w:id="2">
    <w:p w14:paraId="0FEEBE91" w14:textId="5CB821F9" w:rsidR="00EB1277" w:rsidRPr="007125B7" w:rsidRDefault="00EB1277" w:rsidP="00F90776">
      <w:pPr>
        <w:pStyle w:val="Notedebasdepage"/>
      </w:pPr>
      <w:r w:rsidRPr="007125B7">
        <w:rPr>
          <w:rStyle w:val="Appelnotedebasdep"/>
        </w:rPr>
        <w:footnoteRef/>
      </w:r>
      <w:r w:rsidRPr="007125B7">
        <w:t xml:space="preserve"> </w:t>
      </w:r>
      <w:r w:rsidR="00F2552B" w:rsidRPr="007125B7">
        <w:t>CERD, Renseignements reçus de la</w:t>
      </w:r>
      <w:r w:rsidR="00AA74B8" w:rsidRPr="007125B7">
        <w:t xml:space="preserve"> France au sujet de la suite donnée aux observations finales concernant son rapport valant vingt-deuxième et vingt-troisième rapports périodiques, C/FRA/CO/22-23, § 4</w:t>
      </w:r>
      <w:r w:rsidR="00F2552B" w:rsidRPr="007125B7">
        <w:t>.</w:t>
      </w:r>
    </w:p>
  </w:footnote>
  <w:footnote w:id="3">
    <w:p w14:paraId="2539692B" w14:textId="5A31A8E8" w:rsidR="00086241" w:rsidRPr="007125B7" w:rsidRDefault="00086241" w:rsidP="00F90776">
      <w:pPr>
        <w:pStyle w:val="Notedebasdepage"/>
      </w:pPr>
      <w:r w:rsidRPr="007125B7">
        <w:rPr>
          <w:rStyle w:val="Appelnotedebasdep"/>
        </w:rPr>
        <w:footnoteRef/>
      </w:r>
      <w:r w:rsidR="009A080D" w:rsidRPr="007125B7">
        <w:t xml:space="preserve"> </w:t>
      </w:r>
      <w:hyperlink r:id="rId2" w:history="1">
        <w:r w:rsidRPr="007125B7">
          <w:rPr>
            <w:rStyle w:val="Lienhypertexte"/>
          </w:rPr>
          <w:t>https://resorption-bidonvilles.beta.gouv.fr/</w:t>
        </w:r>
      </w:hyperlink>
      <w:r w:rsidR="004C1462" w:rsidRPr="007125B7">
        <w:t>.</w:t>
      </w:r>
    </w:p>
  </w:footnote>
  <w:footnote w:id="4">
    <w:p w14:paraId="14A0E5A5" w14:textId="69D9DE20" w:rsidR="00086241" w:rsidRPr="007125B7" w:rsidRDefault="00086241" w:rsidP="00F90776">
      <w:pPr>
        <w:pStyle w:val="Notedebasdepage"/>
      </w:pPr>
      <w:r w:rsidRPr="007125B7">
        <w:rPr>
          <w:rStyle w:val="Appelnotedebasdep"/>
        </w:rPr>
        <w:footnoteRef/>
      </w:r>
      <w:r w:rsidRPr="007125B7">
        <w:t xml:space="preserve"> CERD, </w:t>
      </w:r>
      <w:r w:rsidR="008E02AE" w:rsidRPr="007125B7">
        <w:t>Renseignements reçus de la France au sujet de la suite donnée aux observations finales concernant son rapport valant vingt-deuxième et vingt-troisième rapports périodiques, C/FRA/CO/22-23</w:t>
      </w:r>
      <w:r w:rsidRPr="007125B7">
        <w:t>, § 7.</w:t>
      </w:r>
    </w:p>
  </w:footnote>
  <w:footnote w:id="5">
    <w:p w14:paraId="7B96A8D4" w14:textId="56F00877" w:rsidR="00086241" w:rsidRPr="007125B7" w:rsidRDefault="00086241" w:rsidP="00F90776">
      <w:pPr>
        <w:pStyle w:val="Notedebasdepage"/>
      </w:pPr>
      <w:r w:rsidRPr="007125B7">
        <w:rPr>
          <w:rStyle w:val="Appelnotedebasdep"/>
        </w:rPr>
        <w:footnoteRef/>
      </w:r>
      <w:r w:rsidRPr="007125B7">
        <w:t xml:space="preserve"> </w:t>
      </w:r>
      <w:hyperlink r:id="rId3" w:history="1">
        <w:r w:rsidRPr="007125B7">
          <w:rPr>
            <w:rStyle w:val="Lienhypertexte"/>
          </w:rPr>
          <w:t>Plan national de formation à destination des personnels de l'Éducation nationale</w:t>
        </w:r>
      </w:hyperlink>
      <w:r w:rsidR="004425B2" w:rsidRPr="007125B7">
        <w:t>.</w:t>
      </w:r>
    </w:p>
  </w:footnote>
  <w:footnote w:id="6">
    <w:p w14:paraId="1CA459D1" w14:textId="34C1D684" w:rsidR="008C504C" w:rsidRPr="007125B7" w:rsidRDefault="008C504C" w:rsidP="00F90776">
      <w:pPr>
        <w:pStyle w:val="Notedebasdepage"/>
      </w:pPr>
      <w:r w:rsidRPr="007125B7">
        <w:rPr>
          <w:rStyle w:val="Appelnotedebasdep"/>
        </w:rPr>
        <w:footnoteRef/>
      </w:r>
      <w:r w:rsidRPr="007125B7">
        <w:t xml:space="preserve"> DILCRAH, </w:t>
      </w:r>
      <w:hyperlink r:id="rId4" w:history="1">
        <w:r w:rsidRPr="007125B7">
          <w:rPr>
            <w:rStyle w:val="Lienhypertexte"/>
          </w:rPr>
          <w:t>Les appels</w:t>
        </w:r>
        <w:r w:rsidR="009A080D" w:rsidRPr="007125B7">
          <w:rPr>
            <w:rStyle w:val="Lienhypertexte"/>
          </w:rPr>
          <w:t xml:space="preserve"> à p</w:t>
        </w:r>
        <w:r w:rsidR="00462538" w:rsidRPr="007125B7">
          <w:rPr>
            <w:rStyle w:val="Lienhypertexte"/>
          </w:rPr>
          <w:t>rojets et les subventions</w:t>
        </w:r>
      </w:hyperlink>
      <w:r w:rsidRPr="007125B7">
        <w:t xml:space="preserve">. </w:t>
      </w:r>
    </w:p>
  </w:footnote>
  <w:footnote w:id="7">
    <w:p w14:paraId="53955873" w14:textId="166CEC83" w:rsidR="006A3CCA" w:rsidRPr="007125B7" w:rsidRDefault="006A3CCA" w:rsidP="00F90776">
      <w:pPr>
        <w:pStyle w:val="Notedebasdepage"/>
      </w:pPr>
      <w:r w:rsidRPr="007125B7">
        <w:rPr>
          <w:rStyle w:val="Appelnotedebasdep"/>
        </w:rPr>
        <w:footnoteRef/>
      </w:r>
      <w:r w:rsidRPr="007125B7">
        <w:t xml:space="preserve"> DIHAL, </w:t>
      </w:r>
      <w:hyperlink r:id="rId5" w:history="1">
        <w:r w:rsidRPr="007125B7">
          <w:rPr>
            <w:rStyle w:val="Lienhypertexte"/>
          </w:rPr>
          <w:t>État des lieux national et éléments de bi</w:t>
        </w:r>
        <w:r w:rsidR="009A080D" w:rsidRPr="007125B7">
          <w:rPr>
            <w:rStyle w:val="Lienhypertexte"/>
          </w:rPr>
          <w:t>lan</w:t>
        </w:r>
      </w:hyperlink>
      <w:r w:rsidR="009A080D" w:rsidRPr="007125B7">
        <w:t>, 2023</w:t>
      </w:r>
      <w:r w:rsidRPr="007125B7">
        <w:t>, p. 9.</w:t>
      </w:r>
    </w:p>
  </w:footnote>
  <w:footnote w:id="8">
    <w:p w14:paraId="65D1899A" w14:textId="77777777" w:rsidR="001B4C54" w:rsidRPr="007125B7" w:rsidRDefault="001B4C54" w:rsidP="00F90776">
      <w:pPr>
        <w:pStyle w:val="Notedebasdepage"/>
      </w:pPr>
      <w:r w:rsidRPr="007125B7">
        <w:rPr>
          <w:rStyle w:val="Appelnotedebasdep"/>
        </w:rPr>
        <w:footnoteRef/>
      </w:r>
      <w:r w:rsidRPr="007125B7">
        <w:t xml:space="preserve"> Comme à Nantes où un bidonville occupé par des personnes roms se situe près du périphérique de la métropole, un terrain qui a pourtant été mis à disposition des Roms par la mairie « en urgence » au cours de l’été 2023 (</w:t>
      </w:r>
      <w:hyperlink r:id="rId6" w:history="1">
        <w:r w:rsidRPr="007125B7">
          <w:rPr>
            <w:rStyle w:val="Lienhypertexte"/>
            <w:i/>
          </w:rPr>
          <w:t>Ouest France</w:t>
        </w:r>
        <w:r w:rsidRPr="007125B7">
          <w:rPr>
            <w:rStyle w:val="Lienhypertexte"/>
          </w:rPr>
          <w:t>, « On veut tous partir d’ici »: ﻿les Roms du bidonville près du périph’ de Nantes attendent « mieux », 20 février 2024</w:t>
        </w:r>
      </w:hyperlink>
      <w:r w:rsidRPr="007125B7">
        <w:rPr>
          <w:rStyle w:val="Lienhypertexte"/>
          <w:color w:val="auto"/>
          <w:u w:val="none"/>
        </w:rPr>
        <w:t>) </w:t>
      </w:r>
      <w:r w:rsidRPr="007125B7">
        <w:t>; les personne résidant dans ce même bidonville ont par la suite risqués d’être expulsés, la mairie souhaitant conduire des travaux sur le terrain ; le calendrier des expulsions reste à définir(</w:t>
      </w:r>
      <w:hyperlink r:id="rId7" w:history="1">
        <w:r w:rsidRPr="007125B7">
          <w:rPr>
            <w:rStyle w:val="Lienhypertexte"/>
            <w:i/>
          </w:rPr>
          <w:t>Le Figaro</w:t>
        </w:r>
        <w:r w:rsidRPr="007125B7">
          <w:rPr>
            <w:rStyle w:val="Lienhypertexte"/>
          </w:rPr>
          <w:t>, « Nantes : une ordonnance d’expulsion menace un camp de Roms du périphérique », 21 février 2024</w:t>
        </w:r>
      </w:hyperlink>
      <w:r w:rsidRPr="007125B7">
        <w:t>).</w:t>
      </w:r>
    </w:p>
  </w:footnote>
  <w:footnote w:id="9">
    <w:p w14:paraId="666DBF7E" w14:textId="5F7F929E" w:rsidR="002007E8" w:rsidRPr="007125B7" w:rsidRDefault="002007E8" w:rsidP="00F90776">
      <w:pPr>
        <w:pStyle w:val="Notedebasdepage"/>
      </w:pPr>
      <w:r w:rsidRPr="007125B7">
        <w:rPr>
          <w:rStyle w:val="Appelnotedebasdep"/>
        </w:rPr>
        <w:footnoteRef/>
      </w:r>
      <w:r w:rsidRPr="007125B7">
        <w:t xml:space="preserve"> </w:t>
      </w:r>
      <w:hyperlink r:id="rId8" w:history="1">
        <w:r w:rsidRPr="007125B7">
          <w:rPr>
            <w:rStyle w:val="Lienhypertexte"/>
          </w:rPr>
          <w:t>Article L 251-1 et suivants du code de l'action sociale et des familles</w:t>
        </w:r>
      </w:hyperlink>
      <w:r w:rsidR="004425B2" w:rsidRPr="007125B7">
        <w:t>.</w:t>
      </w:r>
    </w:p>
  </w:footnote>
  <w:footnote w:id="10">
    <w:p w14:paraId="1E9C30D2" w14:textId="56185503" w:rsidR="002007E8" w:rsidRPr="007125B7" w:rsidRDefault="002007E8" w:rsidP="00F90776">
      <w:pPr>
        <w:pStyle w:val="Notedebasdepage"/>
      </w:pPr>
      <w:r w:rsidRPr="007125B7">
        <w:rPr>
          <w:rStyle w:val="Appelnotedebasdep"/>
        </w:rPr>
        <w:footnoteRef/>
      </w:r>
      <w:r w:rsidRPr="007125B7">
        <w:t xml:space="preserve"> </w:t>
      </w:r>
      <w:hyperlink r:id="rId9" w:history="1">
        <w:r w:rsidRPr="007125B7">
          <w:rPr>
            <w:rStyle w:val="Lienhypertexte"/>
            <w:i/>
          </w:rPr>
          <w:t>Le Monde</w:t>
        </w:r>
        <w:r w:rsidRPr="007125B7">
          <w:rPr>
            <w:rStyle w:val="Lienhypertexte"/>
          </w:rPr>
          <w:t>, « Aide médicale d’Etat : trois questions sur sa suppression, votée au Sénat », 9 novembre 2023</w:t>
        </w:r>
      </w:hyperlink>
      <w:r w:rsidR="00462538" w:rsidRPr="007125B7">
        <w:rPr>
          <w:rStyle w:val="Lienhypertexte"/>
        </w:rPr>
        <w:t>.</w:t>
      </w:r>
      <w:r w:rsidRPr="007125B7">
        <w:t xml:space="preserve"> </w:t>
      </w:r>
    </w:p>
  </w:footnote>
  <w:footnote w:id="11">
    <w:p w14:paraId="0CA82791" w14:textId="2CDAE66E" w:rsidR="0005018B" w:rsidRPr="007125B7" w:rsidRDefault="0005018B" w:rsidP="00F90776">
      <w:pPr>
        <w:pStyle w:val="Notedebasdepage"/>
      </w:pPr>
      <w:r w:rsidRPr="007125B7">
        <w:rPr>
          <w:rStyle w:val="Appelnotedebasdep"/>
        </w:rPr>
        <w:footnoteRef/>
      </w:r>
      <w:r w:rsidRPr="007125B7">
        <w:t xml:space="preserve"> </w:t>
      </w:r>
      <w:r w:rsidR="006C0AE3" w:rsidRPr="007125B7">
        <w:t xml:space="preserve">CNCDH, </w:t>
      </w:r>
      <w:hyperlink r:id="rId10" w:history="1">
        <w:r w:rsidRPr="007125B7">
          <w:rPr>
            <w:rStyle w:val="Lienhypertexte"/>
          </w:rPr>
          <w:t>Déclaration pour le maintien de l’Aide médicale d’État (AME)</w:t>
        </w:r>
      </w:hyperlink>
      <w:r w:rsidR="00462538" w:rsidRPr="007125B7">
        <w:t xml:space="preserve">, </w:t>
      </w:r>
      <w:r w:rsidRPr="007125B7">
        <w:t xml:space="preserve">30 novembre 2023, D – 2023 - 5. </w:t>
      </w:r>
    </w:p>
  </w:footnote>
  <w:footnote w:id="12">
    <w:p w14:paraId="6425B6DE" w14:textId="431BDF28" w:rsidR="004430C5" w:rsidRPr="007125B7" w:rsidRDefault="004430C5" w:rsidP="00F90776">
      <w:pPr>
        <w:pStyle w:val="Notedebasdepage"/>
      </w:pPr>
      <w:r w:rsidRPr="007125B7">
        <w:rPr>
          <w:rStyle w:val="Appelnotedebasdep"/>
        </w:rPr>
        <w:footnoteRef/>
      </w:r>
      <w:r w:rsidRPr="007125B7">
        <w:t xml:space="preserve"> </w:t>
      </w:r>
      <w:hyperlink r:id="rId11" w:history="1">
        <w:r w:rsidR="00EB1277" w:rsidRPr="007125B7">
          <w:rPr>
            <w:rStyle w:val="Lienhypertexte"/>
          </w:rPr>
          <w:t>Proposition de loi présentée en application de l’article 11 de la Constitution n° 2324 visant à réformer l’accès aux prestations sociales des étrangers, enregistré à la Présidence de l’Assemblée nationale le 12 mars 2024.</w:t>
        </w:r>
      </w:hyperlink>
      <w:r w:rsidR="00EB1277" w:rsidRPr="007125B7">
        <w:t xml:space="preserve"> </w:t>
      </w:r>
    </w:p>
  </w:footnote>
  <w:footnote w:id="13">
    <w:p w14:paraId="481827EE" w14:textId="0FFFDD1D" w:rsidR="00A31BE3" w:rsidRPr="007125B7" w:rsidRDefault="00A31BE3" w:rsidP="00F90776">
      <w:pPr>
        <w:pStyle w:val="Notedebasdepage"/>
      </w:pPr>
      <w:r w:rsidRPr="007125B7">
        <w:rPr>
          <w:rStyle w:val="Appelnotedebasdep"/>
        </w:rPr>
        <w:footnoteRef/>
      </w:r>
      <w:r w:rsidRPr="007125B7">
        <w:t xml:space="preserve"> </w:t>
      </w:r>
      <w:r w:rsidR="00F346B1" w:rsidRPr="007125B7">
        <w:t>Observatoire des expulsio</w:t>
      </w:r>
      <w:r w:rsidR="009A080D" w:rsidRPr="007125B7">
        <w:t xml:space="preserve">ns de lieux de vie informels, </w:t>
      </w:r>
      <w:hyperlink r:id="rId12" w:history="1">
        <w:r w:rsidR="00F346B1" w:rsidRPr="007125B7">
          <w:rPr>
            <w:rStyle w:val="Lienhypertexte"/>
          </w:rPr>
          <w:t>Rapport annuel de l’Observatoire des expulsions collectives de lieux de vie informels, 1er nove</w:t>
        </w:r>
        <w:r w:rsidR="009A080D" w:rsidRPr="007125B7">
          <w:rPr>
            <w:rStyle w:val="Lienhypertexte"/>
          </w:rPr>
          <w:t>mbre 2022 – 31 octobre 2023</w:t>
        </w:r>
      </w:hyperlink>
      <w:r w:rsidR="00F346B1" w:rsidRPr="007125B7">
        <w:rPr>
          <w:rStyle w:val="Lienhypertexte"/>
          <w:color w:val="auto"/>
          <w:u w:val="none"/>
        </w:rPr>
        <w:t>, p. 8.</w:t>
      </w:r>
    </w:p>
  </w:footnote>
  <w:footnote w:id="14">
    <w:p w14:paraId="23810B59" w14:textId="4DF06875" w:rsidR="00A31BE3" w:rsidRPr="007125B7" w:rsidRDefault="00A31BE3" w:rsidP="00F90776">
      <w:pPr>
        <w:pStyle w:val="Notedebasdepage"/>
      </w:pPr>
      <w:r w:rsidRPr="007125B7">
        <w:rPr>
          <w:rStyle w:val="Appelnotedebasdep"/>
        </w:rPr>
        <w:footnoteRef/>
      </w:r>
      <w:r w:rsidRPr="007125B7">
        <w:t xml:space="preserve"> </w:t>
      </w:r>
      <w:r w:rsidR="003E4CBD" w:rsidRPr="007125B7">
        <w:t>Rapport annuel de l’</w:t>
      </w:r>
      <w:r w:rsidRPr="007125B7">
        <w:t xml:space="preserve">Observatoire des expulsions </w:t>
      </w:r>
      <w:r w:rsidR="003E4CBD" w:rsidRPr="007125B7">
        <w:t xml:space="preserve">collectives </w:t>
      </w:r>
      <w:r w:rsidRPr="007125B7">
        <w:t xml:space="preserve">de lieux de vie informels, </w:t>
      </w:r>
      <w:r w:rsidR="009A080D" w:rsidRPr="007125B7">
        <w:rPr>
          <w:i/>
        </w:rPr>
        <w:t>i</w:t>
      </w:r>
      <w:r w:rsidR="00F346B1" w:rsidRPr="007125B7">
        <w:rPr>
          <w:i/>
        </w:rPr>
        <w:t>bid.</w:t>
      </w:r>
      <w:r w:rsidRPr="007125B7">
        <w:t xml:space="preserve">, pp. 38-39 ; </w:t>
      </w:r>
      <w:hyperlink r:id="rId13" w:history="1">
        <w:r w:rsidRPr="007125B7">
          <w:rPr>
            <w:rStyle w:val="Lienhypertexte"/>
          </w:rPr>
          <w:t>Rue 89 Bordeaux, « Le bidonville de Brazza n’existe plus, une vingtaine de familles relogées », 19 juillet 2023</w:t>
        </w:r>
      </w:hyperlink>
      <w:r w:rsidRPr="007125B7">
        <w:t>.</w:t>
      </w:r>
    </w:p>
  </w:footnote>
  <w:footnote w:id="15">
    <w:p w14:paraId="289D1BD7" w14:textId="77777777" w:rsidR="00A31BE3" w:rsidRPr="007125B7" w:rsidRDefault="00A31BE3" w:rsidP="00F90776">
      <w:pPr>
        <w:pStyle w:val="Notedebasdepage"/>
      </w:pPr>
      <w:r w:rsidRPr="007125B7">
        <w:rPr>
          <w:rStyle w:val="Appelnotedebasdep"/>
        </w:rPr>
        <w:footnoteRef/>
      </w:r>
      <w:r w:rsidRPr="007125B7">
        <w:t xml:space="preserve"> Rapport annuel de l’Observatoire des expulsions collectives de lieux de vie informels, </w:t>
      </w:r>
      <w:r w:rsidRPr="007125B7">
        <w:rPr>
          <w:i/>
        </w:rPr>
        <w:t>ibid.</w:t>
      </w:r>
      <w:r w:rsidRPr="007125B7">
        <w:t>, pp. 38-39.</w:t>
      </w:r>
    </w:p>
  </w:footnote>
  <w:footnote w:id="16">
    <w:p w14:paraId="61C0BD16" w14:textId="6830D782" w:rsidR="00A31BE3" w:rsidRPr="007125B7" w:rsidRDefault="00A31BE3" w:rsidP="00F90776">
      <w:pPr>
        <w:pStyle w:val="Notedebasdepage"/>
        <w:contextualSpacing/>
        <w:rPr>
          <w:rFonts w:cstheme="minorHAnsi"/>
        </w:rPr>
      </w:pPr>
      <w:r w:rsidRPr="007125B7">
        <w:rPr>
          <w:rStyle w:val="Appelnotedebasdep"/>
          <w:rFonts w:cstheme="minorHAnsi"/>
        </w:rPr>
        <w:footnoteRef/>
      </w:r>
      <w:r w:rsidRPr="007125B7">
        <w:rPr>
          <w:rFonts w:cstheme="minorHAnsi"/>
        </w:rPr>
        <w:t xml:space="preserve"> </w:t>
      </w:r>
      <w:hyperlink r:id="rId14" w:history="1">
        <w:r w:rsidRPr="007125B7">
          <w:rPr>
            <w:rStyle w:val="Lienhypertexte"/>
            <w:rFonts w:cstheme="minorHAnsi"/>
          </w:rPr>
          <w:t>Rapport 2022 du Collectif national droits de l’homme Rome Europe,</w:t>
        </w:r>
      </w:hyperlink>
      <w:r w:rsidRPr="007125B7">
        <w:rPr>
          <w:rFonts w:cstheme="minorHAnsi"/>
        </w:rPr>
        <w:t xml:space="preserve"> p. 3</w:t>
      </w:r>
      <w:r w:rsidR="009A080D" w:rsidRPr="007125B7">
        <w:rPr>
          <w:rFonts w:cstheme="minorHAnsi"/>
        </w:rPr>
        <w:t>7.</w:t>
      </w:r>
    </w:p>
  </w:footnote>
  <w:footnote w:id="17">
    <w:p w14:paraId="0B2382D6" w14:textId="2F1B788A" w:rsidR="0098121B" w:rsidRPr="007125B7" w:rsidRDefault="0098121B" w:rsidP="00F90776">
      <w:pPr>
        <w:pStyle w:val="Notedebasdepage"/>
      </w:pPr>
      <w:r w:rsidRPr="007125B7">
        <w:rPr>
          <w:rStyle w:val="Appelnotedebasdep"/>
        </w:rPr>
        <w:footnoteRef/>
      </w:r>
      <w:r w:rsidRPr="007125B7">
        <w:t xml:space="preserve"> </w:t>
      </w:r>
      <w:r w:rsidR="007264C2" w:rsidRPr="007125B7">
        <w:t>Bilan 2023 DIHAL</w:t>
      </w:r>
      <w:r w:rsidRPr="007125B7">
        <w:t>,</w:t>
      </w:r>
      <w:r w:rsidR="00C47A25" w:rsidRPr="007125B7">
        <w:t xml:space="preserve"> </w:t>
      </w:r>
      <w:r w:rsidR="00C47A25" w:rsidRPr="007125B7">
        <w:rPr>
          <w:i/>
        </w:rPr>
        <w:t>op. cit.</w:t>
      </w:r>
      <w:r w:rsidR="00C47A25" w:rsidRPr="007125B7">
        <w:t>,</w:t>
      </w:r>
      <w:r w:rsidRPr="007125B7">
        <w:t xml:space="preserve"> p. 10</w:t>
      </w:r>
      <w:r w:rsidR="007264C2" w:rsidRPr="007125B7">
        <w:t xml:space="preserve">. </w:t>
      </w:r>
      <w:r w:rsidRPr="007125B7">
        <w:t xml:space="preserve"> </w:t>
      </w:r>
    </w:p>
  </w:footnote>
  <w:footnote w:id="18">
    <w:p w14:paraId="4B95E927" w14:textId="77777777" w:rsidR="00C47A25" w:rsidRPr="007125B7" w:rsidRDefault="00C47A25" w:rsidP="00F90776">
      <w:pPr>
        <w:pStyle w:val="Notedebasdepage"/>
      </w:pPr>
      <w:r w:rsidRPr="007125B7">
        <w:rPr>
          <w:rStyle w:val="Appelnotedebasdep"/>
        </w:rPr>
        <w:footnoteRef/>
      </w:r>
      <w:r w:rsidRPr="007125B7">
        <w:t xml:space="preserve"> </w:t>
      </w:r>
      <w:hyperlink r:id="rId15" w:history="1">
        <w:r w:rsidRPr="007125B7">
          <w:rPr>
            <w:rStyle w:val="Lienhypertexte"/>
          </w:rPr>
          <w:t>Décret n° 2023-695 du 29 juillet 2023 portant règles sanitaires d'hygiène et de salubrité des locaux d'habitation et assimilés</w:t>
        </w:r>
      </w:hyperlink>
      <w:r w:rsidRPr="007125B7">
        <w:rPr>
          <w:rStyle w:val="Lienhypertexte"/>
        </w:rPr>
        <w:t>.</w:t>
      </w:r>
    </w:p>
  </w:footnote>
  <w:footnote w:id="19">
    <w:p w14:paraId="6B0D3A39" w14:textId="568A4C33" w:rsidR="00DE5420" w:rsidRPr="007125B7" w:rsidRDefault="00DE5420" w:rsidP="00F90776">
      <w:pPr>
        <w:pStyle w:val="Notedebasdepage"/>
      </w:pPr>
      <w:r w:rsidRPr="007125B7">
        <w:rPr>
          <w:rStyle w:val="Appelnotedebasdep"/>
        </w:rPr>
        <w:footnoteRef/>
      </w:r>
      <w:r w:rsidRPr="007125B7">
        <w:t xml:space="preserve"> Article 315-1 et suivants du Code pénal.</w:t>
      </w:r>
    </w:p>
  </w:footnote>
  <w:footnote w:id="20">
    <w:p w14:paraId="69BD1FF3" w14:textId="244E2F28" w:rsidR="00A674FB" w:rsidRPr="007125B7" w:rsidRDefault="00A674FB" w:rsidP="00F90776">
      <w:pPr>
        <w:pStyle w:val="Notedebasdepage"/>
      </w:pPr>
      <w:r w:rsidRPr="007125B7">
        <w:rPr>
          <w:rStyle w:val="Appelnotedebasdep"/>
        </w:rPr>
        <w:footnoteRef/>
      </w:r>
      <w:r w:rsidRPr="007125B7">
        <w:t xml:space="preserve"> </w:t>
      </w:r>
      <w:hyperlink r:id="rId16" w:history="1">
        <w:r w:rsidR="00F47FAA" w:rsidRPr="007125B7">
          <w:rPr>
            <w:rStyle w:val="Lienhypertexte"/>
          </w:rPr>
          <w:t>Communiqué de presse</w:t>
        </w:r>
        <w:r w:rsidR="00366137" w:rsidRPr="007125B7">
          <w:rPr>
            <w:rStyle w:val="Lienhypertexte"/>
          </w:rPr>
          <w:t xml:space="preserve"> de 35 organisations de la société civile</w:t>
        </w:r>
        <w:r w:rsidR="00F47FAA" w:rsidRPr="007125B7">
          <w:rPr>
            <w:rStyle w:val="Lienhypertexte"/>
          </w:rPr>
          <w:t xml:space="preserve"> – « Loi Kasbarian-Bergé : la Constitution, dernier refuge des personnes sans domicile et mal logées »,</w:t>
        </w:r>
      </w:hyperlink>
      <w:r w:rsidR="00F47FAA" w:rsidRPr="007125B7">
        <w:t xml:space="preserve"> </w:t>
      </w:r>
      <w:r w:rsidR="009A080D" w:rsidRPr="007125B7">
        <w:t>7 juillet 2023</w:t>
      </w:r>
      <w:r w:rsidR="00366137" w:rsidRPr="007125B7">
        <w:rPr>
          <w:rStyle w:val="Lienhypertexte"/>
          <w:color w:val="auto"/>
          <w:u w:val="none"/>
        </w:rPr>
        <w:t>.</w:t>
      </w:r>
    </w:p>
  </w:footnote>
  <w:footnote w:id="21">
    <w:p w14:paraId="0F7689C2" w14:textId="548CB4E1" w:rsidR="006C0AE3" w:rsidRPr="007125B7" w:rsidRDefault="006C0AE3">
      <w:pPr>
        <w:pStyle w:val="Notedebasdepage"/>
      </w:pPr>
      <w:r w:rsidRPr="007125B7">
        <w:rPr>
          <w:rStyle w:val="Appelnotedebasdep"/>
        </w:rPr>
        <w:footnoteRef/>
      </w:r>
      <w:r w:rsidRPr="007125B7">
        <w:t xml:space="preserve"> CNCDH, </w:t>
      </w:r>
      <w:hyperlink r:id="rId17" w:history="1">
        <w:r w:rsidRPr="007125B7">
          <w:rPr>
            <w:rStyle w:val="Lienhypertexte"/>
          </w:rPr>
          <w:t>Lettre du Président au Sénat concernant la PPL visant à protéger les logements contre l'occupation illicite</w:t>
        </w:r>
      </w:hyperlink>
      <w:r w:rsidRPr="007125B7">
        <w:t xml:space="preserve">, 30 janvier 2023. </w:t>
      </w:r>
    </w:p>
  </w:footnote>
  <w:footnote w:id="22">
    <w:p w14:paraId="37D0A3D6" w14:textId="15CE219D" w:rsidR="00F431A4" w:rsidRPr="007125B7" w:rsidRDefault="00F431A4" w:rsidP="00F90776">
      <w:pPr>
        <w:pStyle w:val="Notedebasdepage"/>
      </w:pPr>
      <w:r w:rsidRPr="007125B7">
        <w:rPr>
          <w:rStyle w:val="Appelnotedebasdep"/>
        </w:rPr>
        <w:footnoteRef/>
      </w:r>
      <w:r w:rsidRPr="007125B7">
        <w:t xml:space="preserve"> </w:t>
      </w:r>
      <w:hyperlink r:id="rId18" w:history="1">
        <w:r w:rsidRPr="007125B7">
          <w:rPr>
            <w:rStyle w:val="Lienhypertexte"/>
          </w:rPr>
          <w:t>Article 170 de la loi n° 2023-1322 du 29 décembre 2023 de finances pour 2024</w:t>
        </w:r>
      </w:hyperlink>
      <w:r w:rsidR="008237EF" w:rsidRPr="007125B7">
        <w:t xml:space="preserve"> </w:t>
      </w:r>
      <w:r w:rsidRPr="007125B7">
        <w:t xml:space="preserve">; </w:t>
      </w:r>
      <w:hyperlink r:id="rId19" w:history="1">
        <w:r w:rsidRPr="007125B7">
          <w:rPr>
            <w:rStyle w:val="Lienhypertexte"/>
          </w:rPr>
          <w:t>Projet annuel de performance, "304 - Inclusion soci</w:t>
        </w:r>
        <w:r w:rsidR="00ED0709" w:rsidRPr="007125B7">
          <w:rPr>
            <w:rStyle w:val="Lienhypertexte"/>
          </w:rPr>
          <w:t>ale et protection des personnes »</w:t>
        </w:r>
        <w:r w:rsidRPr="007125B7">
          <w:rPr>
            <w:rStyle w:val="Lienhypertexte"/>
          </w:rPr>
          <w:t>, 2024</w:t>
        </w:r>
      </w:hyperlink>
      <w:r w:rsidR="00ED0709" w:rsidRPr="007125B7">
        <w:t>.</w:t>
      </w:r>
    </w:p>
  </w:footnote>
  <w:footnote w:id="23">
    <w:p w14:paraId="5A2A0BF4" w14:textId="07715F95" w:rsidR="00F431A4" w:rsidRPr="007125B7" w:rsidRDefault="00F431A4" w:rsidP="00F90776">
      <w:pPr>
        <w:pStyle w:val="Notedebasdepage"/>
      </w:pPr>
      <w:r w:rsidRPr="007125B7">
        <w:rPr>
          <w:rStyle w:val="Appelnotedebasdep"/>
        </w:rPr>
        <w:footnoteRef/>
      </w:r>
      <w:r w:rsidR="007125B7">
        <w:t xml:space="preserve"> </w:t>
      </w:r>
      <w:hyperlink r:id="rId20" w:history="1">
        <w:r w:rsidR="007125B7" w:rsidRPr="007125B7">
          <w:rPr>
            <w:rStyle w:val="Lienhypertexte"/>
          </w:rPr>
          <w:t>Décret n° 2024-124 du 21 février 2024 portant annulation de crédits</w:t>
        </w:r>
      </w:hyperlink>
      <w:r w:rsidR="00ED0709" w:rsidRPr="007125B7">
        <w:t>.</w:t>
      </w:r>
    </w:p>
  </w:footnote>
  <w:footnote w:id="24">
    <w:p w14:paraId="1A1966DC" w14:textId="2AAA69C1" w:rsidR="00F431A4" w:rsidRPr="007125B7" w:rsidRDefault="00F431A4" w:rsidP="00F90776">
      <w:pPr>
        <w:pStyle w:val="Notedebasdepage"/>
      </w:pPr>
      <w:r w:rsidRPr="007125B7">
        <w:rPr>
          <w:rStyle w:val="Appelnotedebasdep"/>
        </w:rPr>
        <w:footnoteRef/>
      </w:r>
      <w:r w:rsidRPr="007125B7">
        <w:t xml:space="preserve"> Article</w:t>
      </w:r>
      <w:r w:rsidR="00BB4064" w:rsidRPr="007125B7">
        <w:t xml:space="preserve"> 167 de la loi de finance 2024. </w:t>
      </w:r>
    </w:p>
  </w:footnote>
  <w:footnote w:id="25">
    <w:p w14:paraId="53200D4F" w14:textId="3880DB92" w:rsidR="00D66CA2" w:rsidRPr="007125B7" w:rsidRDefault="00D66CA2" w:rsidP="00F90776">
      <w:pPr>
        <w:pStyle w:val="Notedebasdepage"/>
      </w:pPr>
      <w:r w:rsidRPr="007125B7">
        <w:rPr>
          <w:rStyle w:val="Appelnotedebasdep"/>
        </w:rPr>
        <w:footnoteRef/>
      </w:r>
      <w:r w:rsidRPr="007125B7">
        <w:t xml:space="preserve"> </w:t>
      </w:r>
      <w:r w:rsidR="007264C2" w:rsidRPr="007125B7">
        <w:t xml:space="preserve">Bilan 2023 </w:t>
      </w:r>
      <w:r w:rsidRPr="007125B7">
        <w:t xml:space="preserve">DIHAL, </w:t>
      </w:r>
      <w:r w:rsidR="007264C2" w:rsidRPr="007125B7">
        <w:rPr>
          <w:i/>
        </w:rPr>
        <w:t>op. cit.</w:t>
      </w:r>
      <w:r w:rsidR="007264C2" w:rsidRPr="007125B7">
        <w:t xml:space="preserve">, </w:t>
      </w:r>
      <w:r w:rsidRPr="007125B7">
        <w:t>p. 9.</w:t>
      </w:r>
    </w:p>
  </w:footnote>
  <w:footnote w:id="26">
    <w:p w14:paraId="7C731F01" w14:textId="49301C07" w:rsidR="00CD084C" w:rsidRPr="007125B7" w:rsidRDefault="00CD084C" w:rsidP="00F90776">
      <w:pPr>
        <w:pStyle w:val="Notedebasdepage"/>
      </w:pPr>
      <w:r w:rsidRPr="007125B7">
        <w:rPr>
          <w:rStyle w:val="Appelnotedebasdep"/>
        </w:rPr>
        <w:footnoteRef/>
      </w:r>
      <w:r w:rsidRPr="007125B7">
        <w:t xml:space="preserve"> Rapport annuel de l’Observatoire des expulsions collectives de lieux de vie informels, </w:t>
      </w:r>
      <w:r w:rsidRPr="007125B7">
        <w:rPr>
          <w:i/>
        </w:rPr>
        <w:t>op. cit.</w:t>
      </w:r>
      <w:r w:rsidRPr="007125B7">
        <w:t>, p. 22.</w:t>
      </w:r>
    </w:p>
  </w:footnote>
  <w:footnote w:id="27">
    <w:p w14:paraId="57E72A13" w14:textId="1E448F7E" w:rsidR="006470E0" w:rsidRPr="007125B7" w:rsidRDefault="006470E0" w:rsidP="00F90776">
      <w:pPr>
        <w:pStyle w:val="Notedebasdepage"/>
      </w:pPr>
      <w:r w:rsidRPr="007125B7">
        <w:rPr>
          <w:rStyle w:val="Appelnotedebasdep"/>
        </w:rPr>
        <w:footnoteRef/>
      </w:r>
      <w:r w:rsidRPr="007125B7">
        <w:t xml:space="preserve"> Stratégie nationale 2020-203, </w:t>
      </w:r>
      <w:r w:rsidRPr="007125B7">
        <w:rPr>
          <w:i/>
        </w:rPr>
        <w:t>op. cit.</w:t>
      </w:r>
      <w:r w:rsidRPr="007125B7">
        <w:t>, pp. 47-49.</w:t>
      </w:r>
    </w:p>
  </w:footnote>
  <w:footnote w:id="28">
    <w:p w14:paraId="0A607922" w14:textId="31BD4500" w:rsidR="00F60F94" w:rsidRPr="007125B7" w:rsidRDefault="00F60F94" w:rsidP="00F90776">
      <w:pPr>
        <w:pStyle w:val="Notedebasdepage"/>
      </w:pPr>
      <w:r w:rsidRPr="007125B7">
        <w:rPr>
          <w:rStyle w:val="Appelnotedebasdep"/>
        </w:rPr>
        <w:footnoteRef/>
      </w:r>
      <w:r w:rsidRPr="007125B7">
        <w:t xml:space="preserve"> </w:t>
      </w:r>
      <w:r w:rsidR="007A722E" w:rsidRPr="007125B7">
        <w:t>Rapport annuel de l’Observatoire des expulsions collectives de lieux de vie informels</w:t>
      </w:r>
      <w:r w:rsidR="004B655D" w:rsidRPr="007125B7">
        <w:t xml:space="preserve">, </w:t>
      </w:r>
      <w:r w:rsidR="004B655D" w:rsidRPr="007125B7">
        <w:rPr>
          <w:i/>
        </w:rPr>
        <w:t>op. cit.</w:t>
      </w:r>
      <w:r w:rsidR="004B655D" w:rsidRPr="007125B7">
        <w:t xml:space="preserve">, </w:t>
      </w:r>
      <w:r w:rsidR="007A722E" w:rsidRPr="007125B7">
        <w:t xml:space="preserve">pp. </w:t>
      </w:r>
      <w:r w:rsidR="004B655D" w:rsidRPr="007125B7">
        <w:t>20-22</w:t>
      </w:r>
      <w:r w:rsidR="007A722E" w:rsidRPr="007125B7">
        <w:t>.</w:t>
      </w:r>
    </w:p>
  </w:footnote>
  <w:footnote w:id="29">
    <w:p w14:paraId="33912CDA" w14:textId="0BB0A693" w:rsidR="00226E41" w:rsidRPr="007125B7" w:rsidRDefault="00226E41" w:rsidP="00F90776">
      <w:pPr>
        <w:spacing w:after="0" w:line="240" w:lineRule="auto"/>
        <w:rPr>
          <w:sz w:val="20"/>
          <w:szCs w:val="20"/>
        </w:rPr>
      </w:pPr>
      <w:r w:rsidRPr="007125B7">
        <w:rPr>
          <w:rStyle w:val="Appelnotedebasdep"/>
          <w:sz w:val="20"/>
          <w:szCs w:val="20"/>
        </w:rPr>
        <w:footnoteRef/>
      </w:r>
      <w:r w:rsidR="00A45991">
        <w:rPr>
          <w:sz w:val="20"/>
          <w:szCs w:val="20"/>
        </w:rPr>
        <w:t xml:space="preserve"> </w:t>
      </w:r>
      <w:hyperlink r:id="rId21" w:history="1">
        <w:r w:rsidR="00A45991" w:rsidRPr="00A45991">
          <w:rPr>
            <w:rStyle w:val="Lienhypertexte"/>
            <w:sz w:val="20"/>
            <w:szCs w:val="20"/>
          </w:rPr>
          <w:t>Conseil d'État, 4ème - 1ère chambres réunies, 08/12/2023, 438289</w:t>
        </w:r>
      </w:hyperlink>
      <w:r w:rsidR="00FA5770" w:rsidRPr="007125B7">
        <w:rPr>
          <w:sz w:val="20"/>
          <w:szCs w:val="20"/>
        </w:rPr>
        <w:t>.</w:t>
      </w:r>
    </w:p>
  </w:footnote>
  <w:footnote w:id="30">
    <w:p w14:paraId="3DD4A2C8" w14:textId="77C79A26" w:rsidR="00D464FC" w:rsidRPr="007125B7" w:rsidRDefault="00D464FC" w:rsidP="00F90776">
      <w:pPr>
        <w:pStyle w:val="Notedebasdepage"/>
        <w:rPr>
          <w:rFonts w:cstheme="minorHAnsi"/>
        </w:rPr>
      </w:pPr>
      <w:r w:rsidRPr="007125B7">
        <w:rPr>
          <w:rStyle w:val="Aucun"/>
          <w:rFonts w:cstheme="minorHAnsi"/>
          <w:vertAlign w:val="superscript"/>
        </w:rPr>
        <w:footnoteRef/>
      </w:r>
      <w:r w:rsidRPr="007125B7">
        <w:rPr>
          <w:rFonts w:eastAsia="Arial Unicode MS" w:cstheme="minorHAnsi"/>
        </w:rPr>
        <w:t xml:space="preserve"> Info Migrants,</w:t>
      </w:r>
      <w:r w:rsidR="007125B7" w:rsidRPr="007125B7">
        <w:t xml:space="preserve"> </w:t>
      </w:r>
      <w:hyperlink r:id="rId22" w:history="1">
        <w:r w:rsidR="007125B7" w:rsidRPr="007125B7">
          <w:rPr>
            <w:rStyle w:val="Lienhypertexte"/>
            <w:rFonts w:eastAsia="Arial Unicode MS" w:cstheme="minorHAnsi"/>
          </w:rPr>
          <w:t>France : le gouvernement va créer 5 900 places d'hébergement pour les demandeurs d'asile</w:t>
        </w:r>
      </w:hyperlink>
      <w:r w:rsidR="002A4A45" w:rsidRPr="007125B7">
        <w:rPr>
          <w:rFonts w:eastAsia="Arial Unicode MS" w:cstheme="minorHAnsi"/>
        </w:rPr>
        <w:t>, 2022.</w:t>
      </w:r>
    </w:p>
  </w:footnote>
  <w:footnote w:id="31">
    <w:p w14:paraId="2175AC1F" w14:textId="248CF785"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Ministère de l’intérieur,</w:t>
      </w:r>
      <w:hyperlink r:id="rId23" w:history="1">
        <w:r w:rsidRPr="007125B7">
          <w:rPr>
            <w:rStyle w:val="Lienhypertexte"/>
            <w:rFonts w:cstheme="minorHAnsi"/>
          </w:rPr>
          <w:t xml:space="preserve"> Schéma national d’accueil des demandeurs d’asile &amp; d’intégration des réfugiés</w:t>
        </w:r>
      </w:hyperlink>
      <w:r w:rsidRPr="007125B7">
        <w:rPr>
          <w:rFonts w:cstheme="minorHAnsi"/>
        </w:rPr>
        <w:t xml:space="preserve">, 2021-2023 ; </w:t>
      </w:r>
      <w:hyperlink r:id="rId24" w:history="1">
        <w:r w:rsidRPr="007125B7">
          <w:rPr>
            <w:rStyle w:val="Lienhypertexte"/>
            <w:rFonts w:cstheme="minorHAnsi"/>
          </w:rPr>
          <w:t>Schéma national d’accueil des demandeurs d’asile et d’intégration des réfugiés 2021-2023 / Asile - Direction générale des étrangers en France - Ministère de l'Intérieur (interieur.gouv.fr)</w:t>
        </w:r>
      </w:hyperlink>
      <w:r w:rsidRPr="007125B7">
        <w:rPr>
          <w:rFonts w:cstheme="minorHAnsi"/>
        </w:rPr>
        <w:t xml:space="preserve"> </w:t>
      </w:r>
    </w:p>
  </w:footnote>
  <w:footnote w:id="32">
    <w:p w14:paraId="3A58F675" w14:textId="7A9FE7BA"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w:t>
      </w:r>
      <w:hyperlink r:id="rId25" w:history="1">
        <w:r w:rsidRPr="007125B7">
          <w:rPr>
            <w:rStyle w:val="Lienhypertexte"/>
            <w:rFonts w:cstheme="minorHAnsi"/>
          </w:rPr>
          <w:t>La Cimade, Dispositif d’accueil des demandeurs d’asile : état des lieux 2022</w:t>
        </w:r>
      </w:hyperlink>
      <w:r w:rsidR="002A4A45" w:rsidRPr="007125B7">
        <w:rPr>
          <w:rFonts w:cstheme="minorHAnsi"/>
        </w:rPr>
        <w:t>, 22 novembre 2021.</w:t>
      </w:r>
      <w:r w:rsidRPr="007125B7">
        <w:rPr>
          <w:rFonts w:cstheme="minorHAnsi"/>
        </w:rPr>
        <w:t xml:space="preserve"> </w:t>
      </w:r>
    </w:p>
  </w:footnote>
  <w:footnote w:id="33">
    <w:p w14:paraId="01F3AE24" w14:textId="7EB57B12"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Voir notamm</w:t>
      </w:r>
      <w:r w:rsidR="002A4A45" w:rsidRPr="007125B7">
        <w:rPr>
          <w:rFonts w:cstheme="minorHAnsi"/>
        </w:rPr>
        <w:t xml:space="preserve">ent </w:t>
      </w:r>
      <w:hyperlink r:id="rId26" w:history="1">
        <w:r w:rsidR="002A4A45" w:rsidRPr="007125B7">
          <w:rPr>
            <w:rStyle w:val="Lienhypertexte"/>
            <w:rFonts w:cstheme="minorHAnsi"/>
          </w:rPr>
          <w:t>les observations de l’Anafé</w:t>
        </w:r>
      </w:hyperlink>
      <w:r w:rsidR="002A4A45" w:rsidRPr="007125B7">
        <w:rPr>
          <w:rFonts w:cstheme="minorHAnsi"/>
        </w:rPr>
        <w:t>.</w:t>
      </w:r>
    </w:p>
  </w:footnote>
  <w:footnote w:id="34">
    <w:p w14:paraId="7C6C4110" w14:textId="04CB7AF6" w:rsidR="00D464FC" w:rsidRPr="007125B7" w:rsidRDefault="00D464FC" w:rsidP="00F90776">
      <w:pPr>
        <w:pStyle w:val="Titre1"/>
        <w:spacing w:before="0" w:beforeAutospacing="0" w:after="0" w:afterAutospacing="0"/>
        <w:jc w:val="both"/>
        <w:rPr>
          <w:rFonts w:asciiTheme="minorHAnsi" w:hAnsiTheme="minorHAnsi" w:cstheme="minorHAnsi"/>
          <w:sz w:val="20"/>
          <w:szCs w:val="20"/>
        </w:rPr>
      </w:pPr>
      <w:r w:rsidRPr="007125B7">
        <w:rPr>
          <w:rStyle w:val="Appelnotedebasdep"/>
          <w:rFonts w:asciiTheme="minorHAnsi" w:hAnsiTheme="minorHAnsi" w:cstheme="minorHAnsi"/>
          <w:sz w:val="20"/>
          <w:szCs w:val="20"/>
        </w:rPr>
        <w:footnoteRef/>
      </w:r>
      <w:r w:rsidRPr="007125B7">
        <w:rPr>
          <w:rFonts w:asciiTheme="minorHAnsi" w:hAnsiTheme="minorHAnsi" w:cstheme="minorHAnsi"/>
          <w:sz w:val="20"/>
          <w:szCs w:val="20"/>
        </w:rPr>
        <w:t xml:space="preserve"> </w:t>
      </w:r>
      <w:hyperlink r:id="rId27" w:history="1">
        <w:r w:rsidRPr="007125B7">
          <w:rPr>
            <w:rStyle w:val="Lienhypertexte"/>
            <w:rFonts w:asciiTheme="minorHAnsi" w:hAnsiTheme="minorHAnsi" w:cstheme="minorHAnsi"/>
            <w:b w:val="0"/>
            <w:sz w:val="20"/>
            <w:szCs w:val="20"/>
          </w:rPr>
          <w:t>Loi n° 2024-42 du 26 janvier 2024 pour contrôler l'immigration, améliorer l'intégration</w:t>
        </w:r>
      </w:hyperlink>
      <w:r w:rsidRPr="007125B7">
        <w:rPr>
          <w:rFonts w:asciiTheme="minorHAnsi" w:hAnsiTheme="minorHAnsi" w:cstheme="minorHAnsi"/>
          <w:b w:val="0"/>
          <w:sz w:val="20"/>
          <w:szCs w:val="20"/>
        </w:rPr>
        <w:t xml:space="preserve">. </w:t>
      </w:r>
    </w:p>
  </w:footnote>
  <w:footnote w:id="35">
    <w:p w14:paraId="6009068A" w14:textId="12F943D4"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w:t>
      </w:r>
      <w:r w:rsidR="002A4A45" w:rsidRPr="007125B7">
        <w:rPr>
          <w:rFonts w:cstheme="minorHAnsi"/>
        </w:rPr>
        <w:t>Si</w:t>
      </w:r>
      <w:r w:rsidRPr="007125B7">
        <w:rPr>
          <w:rFonts w:cstheme="minorHAnsi"/>
        </w:rPr>
        <w:t xml:space="preserve"> un Etat peut rétablir des contrôles à ses frontières intérieures et prononcer des refus d’entrée, il doit le faire en vertu des garanties apportées par le droit de l’Union européenne et en particulier par la directive retour de 2008</w:t>
      </w:r>
      <w:r w:rsidR="002A4A45" w:rsidRPr="007125B7">
        <w:rPr>
          <w:rFonts w:cstheme="minorHAnsi"/>
        </w:rPr>
        <w:t>.</w:t>
      </w:r>
    </w:p>
  </w:footnote>
  <w:footnote w:id="36">
    <w:p w14:paraId="554CB320" w14:textId="4C916F3D" w:rsidR="00D464FC" w:rsidRPr="007125B7" w:rsidRDefault="00D464FC" w:rsidP="00F90776">
      <w:pPr>
        <w:pStyle w:val="Titre1"/>
        <w:spacing w:before="0" w:beforeAutospacing="0" w:after="0" w:afterAutospacing="0"/>
        <w:jc w:val="both"/>
        <w:rPr>
          <w:rFonts w:asciiTheme="minorHAnsi" w:hAnsiTheme="minorHAnsi" w:cstheme="minorHAnsi"/>
          <w:sz w:val="20"/>
          <w:szCs w:val="20"/>
        </w:rPr>
      </w:pPr>
      <w:r w:rsidRPr="007125B7">
        <w:rPr>
          <w:rStyle w:val="Appelnotedebasdep"/>
          <w:rFonts w:asciiTheme="minorHAnsi" w:hAnsiTheme="minorHAnsi" w:cstheme="minorHAnsi"/>
          <w:sz w:val="20"/>
          <w:szCs w:val="20"/>
        </w:rPr>
        <w:footnoteRef/>
      </w:r>
      <w:r w:rsidR="007125B7" w:rsidRPr="007125B7">
        <w:rPr>
          <w:rFonts w:asciiTheme="minorHAnsi" w:hAnsiTheme="minorHAnsi" w:cstheme="minorHAnsi"/>
          <w:sz w:val="20"/>
          <w:szCs w:val="20"/>
        </w:rPr>
        <w:t xml:space="preserve"> </w:t>
      </w:r>
      <w:r w:rsidR="007125B7" w:rsidRPr="007125B7">
        <w:rPr>
          <w:rFonts w:asciiTheme="minorHAnsi" w:hAnsiTheme="minorHAnsi" w:cstheme="minorHAnsi"/>
          <w:b w:val="0"/>
          <w:sz w:val="20"/>
          <w:szCs w:val="20"/>
        </w:rPr>
        <w:t>CNCDH,</w:t>
      </w:r>
      <w:r w:rsidRPr="007125B7">
        <w:rPr>
          <w:rFonts w:asciiTheme="minorHAnsi" w:hAnsiTheme="minorHAnsi" w:cstheme="minorHAnsi"/>
          <w:sz w:val="20"/>
          <w:szCs w:val="20"/>
        </w:rPr>
        <w:t xml:space="preserve"> </w:t>
      </w:r>
      <w:hyperlink r:id="rId28" w:history="1">
        <w:r w:rsidRPr="007125B7">
          <w:rPr>
            <w:rStyle w:val="Lienhypertexte"/>
            <w:rFonts w:asciiTheme="minorHAnsi" w:hAnsiTheme="minorHAnsi" w:cstheme="minorHAnsi"/>
            <w:b w:val="0"/>
            <w:sz w:val="20"/>
            <w:szCs w:val="20"/>
          </w:rPr>
          <w:t>Avis sur la situation des personnes migrantes à la frontière franco-italienne</w:t>
        </w:r>
        <w:r w:rsidRPr="007125B7">
          <w:rPr>
            <w:rStyle w:val="Lienhypertexte"/>
            <w:rFonts w:asciiTheme="minorHAnsi" w:hAnsiTheme="minorHAnsi" w:cstheme="minorHAnsi"/>
            <w:sz w:val="20"/>
            <w:szCs w:val="20"/>
          </w:rPr>
          <w:t xml:space="preserve"> </w:t>
        </w:r>
        <w:r w:rsidRPr="007125B7">
          <w:rPr>
            <w:rStyle w:val="Lienhypertexte"/>
            <w:rFonts w:asciiTheme="minorHAnsi" w:hAnsiTheme="minorHAnsi" w:cstheme="minorHAnsi"/>
            <w:b w:val="0"/>
            <w:sz w:val="20"/>
            <w:szCs w:val="20"/>
          </w:rPr>
          <w:t>missions dans les Hautes-Alpes et les Alpes-Maritimes - mars-avril 2018</w:t>
        </w:r>
      </w:hyperlink>
      <w:r w:rsidRPr="007125B7">
        <w:rPr>
          <w:rFonts w:asciiTheme="minorHAnsi" w:hAnsiTheme="minorHAnsi" w:cstheme="minorHAnsi"/>
          <w:b w:val="0"/>
          <w:sz w:val="20"/>
          <w:szCs w:val="20"/>
        </w:rPr>
        <w:t xml:space="preserve">, </w:t>
      </w:r>
      <w:r w:rsidR="002A4A45" w:rsidRPr="007125B7">
        <w:rPr>
          <w:rFonts w:asciiTheme="minorHAnsi" w:hAnsiTheme="minorHAnsi" w:cstheme="minorHAnsi"/>
          <w:b w:val="0"/>
          <w:sz w:val="20"/>
          <w:szCs w:val="20"/>
        </w:rPr>
        <w:t>19 juin 2018</w:t>
      </w:r>
      <w:r w:rsidRPr="007125B7">
        <w:rPr>
          <w:rFonts w:asciiTheme="minorHAnsi" w:hAnsiTheme="minorHAnsi" w:cstheme="minorHAnsi"/>
          <w:b w:val="0"/>
          <w:sz w:val="20"/>
          <w:szCs w:val="20"/>
        </w:rPr>
        <w:t>.</w:t>
      </w:r>
    </w:p>
  </w:footnote>
  <w:footnote w:id="37">
    <w:p w14:paraId="7A80A80A" w14:textId="5EE0E17D" w:rsidR="00D464FC" w:rsidRPr="007125B7" w:rsidRDefault="00D464FC" w:rsidP="00F90776">
      <w:pPr>
        <w:pStyle w:val="Notedebasdepage"/>
        <w:rPr>
          <w:rFonts w:cstheme="minorHAnsi"/>
        </w:rPr>
      </w:pPr>
      <w:r w:rsidRPr="007125B7">
        <w:rPr>
          <w:rStyle w:val="Appelnotedebasdep"/>
          <w:rFonts w:cstheme="minorHAnsi"/>
        </w:rPr>
        <w:footnoteRef/>
      </w:r>
      <w:r w:rsidR="007125B7" w:rsidRPr="007125B7">
        <w:rPr>
          <w:rFonts w:cstheme="minorHAnsi"/>
        </w:rPr>
        <w:t xml:space="preserve"> CNCDH,</w:t>
      </w:r>
      <w:r w:rsidRPr="007125B7">
        <w:rPr>
          <w:rFonts w:cstheme="minorHAnsi"/>
        </w:rPr>
        <w:t xml:space="preserve"> </w:t>
      </w:r>
      <w:hyperlink r:id="rId29" w:history="1">
        <w:r w:rsidRPr="007125B7">
          <w:rPr>
            <w:rStyle w:val="Lienhypertexte"/>
            <w:rFonts w:cstheme="minorHAnsi"/>
          </w:rPr>
          <w:t>Avis sur les défenseurs des droits de l'homme (A-2023-5)</w:t>
        </w:r>
      </w:hyperlink>
      <w:r w:rsidRPr="007125B7">
        <w:rPr>
          <w:rFonts w:cstheme="minorHAnsi"/>
        </w:rPr>
        <w:t>, 30 novembre 2023.</w:t>
      </w:r>
    </w:p>
  </w:footnote>
  <w:footnote w:id="38">
    <w:p w14:paraId="34BB8A89" w14:textId="4E8D54A3" w:rsidR="00D464FC" w:rsidRPr="007125B7" w:rsidRDefault="00D464FC" w:rsidP="00F90776">
      <w:pPr>
        <w:pStyle w:val="PrformatHTML"/>
        <w:jc w:val="both"/>
        <w:rPr>
          <w:rFonts w:asciiTheme="minorHAnsi" w:hAnsiTheme="minorHAnsi" w:cstheme="minorHAnsi"/>
        </w:rPr>
      </w:pPr>
      <w:r w:rsidRPr="007125B7">
        <w:rPr>
          <w:rStyle w:val="Appelnotedebasdep"/>
          <w:rFonts w:asciiTheme="minorHAnsi" w:hAnsiTheme="minorHAnsi" w:cstheme="minorHAnsi"/>
        </w:rPr>
        <w:footnoteRef/>
      </w:r>
      <w:r w:rsidRPr="007125B7">
        <w:rPr>
          <w:rFonts w:asciiTheme="minorHAnsi" w:hAnsiTheme="minorHAnsi" w:cstheme="minorHAnsi"/>
        </w:rPr>
        <w:t xml:space="preserve"> </w:t>
      </w:r>
      <w:r w:rsidRPr="007125B7">
        <w:rPr>
          <w:rStyle w:val="y2iqfc"/>
          <w:rFonts w:asciiTheme="minorHAnsi" w:hAnsiTheme="minorHAnsi" w:cstheme="minorHAnsi"/>
        </w:rPr>
        <w:t xml:space="preserve">Voir par exemple voir par exemple </w:t>
      </w:r>
      <w:hyperlink r:id="rId30" w:history="1">
        <w:r w:rsidRPr="007125B7">
          <w:rPr>
            <w:rStyle w:val="Lienhypertexte"/>
            <w:rFonts w:asciiTheme="minorHAnsi" w:hAnsiTheme="minorHAnsi" w:cstheme="minorHAnsi"/>
          </w:rPr>
          <w:t>les campagnes d'intimidation contre le juriste et militant franco-palestinien Rima Hassan En soutien à Rima Hassan et aux voix (pro)palestiniennes</w:t>
        </w:r>
      </w:hyperlink>
      <w:r w:rsidRPr="007125B7">
        <w:rPr>
          <w:rFonts w:asciiTheme="minorHAnsi" w:hAnsiTheme="minorHAnsi" w:cstheme="minorHAnsi"/>
        </w:rPr>
        <w:t xml:space="preserve">, </w:t>
      </w:r>
      <w:r w:rsidR="00F90776" w:rsidRPr="007125B7">
        <w:rPr>
          <w:rFonts w:asciiTheme="minorHAnsi" w:hAnsiTheme="minorHAnsi" w:cstheme="minorHAnsi"/>
        </w:rPr>
        <w:t>février 2024.</w:t>
      </w:r>
    </w:p>
  </w:footnote>
  <w:footnote w:id="39">
    <w:p w14:paraId="19BE69D6" w14:textId="22BC7D39" w:rsidR="00D464FC" w:rsidRPr="007125B7" w:rsidRDefault="00D464FC" w:rsidP="00F90776">
      <w:pPr>
        <w:pStyle w:val="Titre1"/>
        <w:spacing w:before="0" w:beforeAutospacing="0" w:after="0" w:afterAutospacing="0"/>
        <w:jc w:val="both"/>
        <w:rPr>
          <w:rFonts w:asciiTheme="minorHAnsi" w:hAnsiTheme="minorHAnsi" w:cstheme="minorHAnsi"/>
          <w:b w:val="0"/>
          <w:sz w:val="20"/>
          <w:szCs w:val="20"/>
        </w:rPr>
      </w:pPr>
      <w:r w:rsidRPr="007125B7">
        <w:rPr>
          <w:rStyle w:val="Appelnotedebasdep"/>
          <w:rFonts w:asciiTheme="minorHAnsi" w:hAnsiTheme="minorHAnsi" w:cstheme="minorHAnsi"/>
          <w:b w:val="0"/>
          <w:sz w:val="20"/>
          <w:szCs w:val="20"/>
        </w:rPr>
        <w:footnoteRef/>
      </w:r>
      <w:r w:rsidRPr="007125B7">
        <w:rPr>
          <w:rFonts w:asciiTheme="minorHAnsi" w:hAnsiTheme="minorHAnsi" w:cstheme="minorHAnsi"/>
          <w:b w:val="0"/>
          <w:sz w:val="20"/>
          <w:szCs w:val="20"/>
        </w:rPr>
        <w:t xml:space="preserve"> </w:t>
      </w:r>
      <w:hyperlink r:id="rId31" w:history="1">
        <w:r w:rsidR="00462538" w:rsidRPr="007125B7">
          <w:rPr>
            <w:rStyle w:val="Lienhypertexte"/>
            <w:rFonts w:asciiTheme="minorHAnsi" w:hAnsiTheme="minorHAnsi" w:cstheme="minorHAnsi"/>
            <w:b w:val="0"/>
            <w:sz w:val="20"/>
            <w:szCs w:val="20"/>
          </w:rPr>
          <w:t>La France doit respecter et promouvoir le droit de réunion pacifique, déclarent des experts de l’ONU</w:t>
        </w:r>
      </w:hyperlink>
      <w:r w:rsidR="00A31DDD" w:rsidRPr="007125B7">
        <w:rPr>
          <w:rFonts w:asciiTheme="minorHAnsi" w:hAnsiTheme="minorHAnsi" w:cstheme="minorHAnsi"/>
          <w:b w:val="0"/>
          <w:sz w:val="20"/>
          <w:szCs w:val="20"/>
        </w:rPr>
        <w:t xml:space="preserve">, </w:t>
      </w:r>
      <w:r w:rsidR="00F90776" w:rsidRPr="007125B7">
        <w:rPr>
          <w:rFonts w:asciiTheme="minorHAnsi" w:hAnsiTheme="minorHAnsi" w:cstheme="minorHAnsi"/>
          <w:b w:val="0"/>
          <w:sz w:val="20"/>
          <w:szCs w:val="20"/>
        </w:rPr>
        <w:t>15 juin 2023.</w:t>
      </w:r>
    </w:p>
  </w:footnote>
  <w:footnote w:id="40">
    <w:p w14:paraId="38EEF5D5" w14:textId="6529DB56"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w:t>
      </w:r>
      <w:hyperlink r:id="rId32" w:history="1">
        <w:r w:rsidRPr="007125B7">
          <w:rPr>
            <w:rStyle w:val="Lienhypertexte"/>
            <w:rFonts w:cstheme="minorHAnsi"/>
          </w:rPr>
          <w:t>Communication conjointe de la Rapporteuse spéciale sur la situation des défenseurs des droits de l'homme; du Groupe de travail d'experts sur les personnes d'ascendance africaine; de la Rapporteuse spéciale sur la promotion et la protection du droit à la liberté d'opinion et d'expression; de la Rapporteuse spéciale sur les formes contemporaines de racisme, de discrimination raciale, de xénophobie et de l’intolérance qui y est associée et de la Rapporteuse spéciale sur la violence contre les femmes et les filles, ses causes et ses conséquences adressée</w:t>
        </w:r>
        <w:r w:rsidR="002A4A45" w:rsidRPr="007125B7">
          <w:rPr>
            <w:rStyle w:val="Lienhypertexte"/>
            <w:rFonts w:cstheme="minorHAnsi"/>
          </w:rPr>
          <w:t xml:space="preserve"> à la France</w:t>
        </w:r>
      </w:hyperlink>
      <w:r w:rsidR="002A4A45" w:rsidRPr="007125B7">
        <w:rPr>
          <w:rFonts w:cstheme="minorHAnsi"/>
        </w:rPr>
        <w:t>, 25 septembre 2024</w:t>
      </w:r>
      <w:r w:rsidRPr="007125B7">
        <w:rPr>
          <w:rFonts w:cstheme="minorHAnsi"/>
        </w:rPr>
        <w:t>.</w:t>
      </w:r>
    </w:p>
  </w:footnote>
  <w:footnote w:id="41">
    <w:p w14:paraId="4259C3F8" w14:textId="029E149C"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Les rapporteuses spéciales ont enjoint à la France de fournir toute information ou tout commentaire complémentaire en relation avec les allégations mentionnées  et de fournir des informations détaillées concernant les mesures prises par le gouvernement français pour permettre aux défenseurs des droits humains et journalistes d’exercer leurs droits à la liberté de réunion pacifique, à la liberté d’association et à la liberté d’opinion et d’expression dans le pays sans distinction aucune, y compris sur la base de la race ou de la couleur</w:t>
      </w:r>
      <w:r w:rsidR="002A4A45" w:rsidRPr="007125B7">
        <w:rPr>
          <w:rFonts w:cstheme="minorHAnsi"/>
        </w:rPr>
        <w:t>.</w:t>
      </w:r>
    </w:p>
  </w:footnote>
  <w:footnote w:id="42">
    <w:p w14:paraId="08BFE7E6" w14:textId="1DAC496A" w:rsidR="00D464FC" w:rsidRPr="007125B7" w:rsidRDefault="00D464FC" w:rsidP="00F90776">
      <w:pPr>
        <w:pStyle w:val="Notedebasdepage"/>
        <w:rPr>
          <w:rFonts w:cstheme="minorHAnsi"/>
        </w:rPr>
      </w:pPr>
      <w:r w:rsidRPr="007125B7">
        <w:rPr>
          <w:rStyle w:val="Appelnotedebasdep"/>
          <w:rFonts w:cstheme="minorHAnsi"/>
        </w:rPr>
        <w:footnoteRef/>
      </w:r>
      <w:r w:rsidRPr="007125B7">
        <w:rPr>
          <w:rFonts w:cstheme="minorHAnsi"/>
        </w:rPr>
        <w:t xml:space="preserve"> </w:t>
      </w:r>
      <w:hyperlink r:id="rId33" w:history="1">
        <w:r w:rsidRPr="007125B7">
          <w:rPr>
            <w:rStyle w:val="Lienhypertexte"/>
            <w:rFonts w:cstheme="minorHAnsi"/>
          </w:rPr>
          <w:t>Réponse du gouvernement français à la communication conjointe</w:t>
        </w:r>
      </w:hyperlink>
      <w:r w:rsidR="002A4A45" w:rsidRPr="007125B7">
        <w:rPr>
          <w:rFonts w:cstheme="minorHAnsi"/>
        </w:rPr>
        <w:t>, 23 novembre 2023</w:t>
      </w:r>
      <w:r w:rsidRPr="007125B7">
        <w:rPr>
          <w:rFonts w:cstheme="minorHAnsi"/>
        </w:rPr>
        <w:t>. La France a indiqué qu’en raison du secret de l’instruction judiciaire d’affaires en cours, elle ne pouvait apporter d’informations supplémentaires quant aux allégations concernant Mme Rokhaya Diallo. Au sujet des mesures relatives à la protection des défenseurs des droits humains et des journalistes, le gouvernement français a simplement rappelé les règles en vigueur en la matière.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F94"/>
    <w:multiLevelType w:val="hybridMultilevel"/>
    <w:tmpl w:val="51DA9A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CFA0BA5"/>
    <w:multiLevelType w:val="hybridMultilevel"/>
    <w:tmpl w:val="262CC0D2"/>
    <w:lvl w:ilvl="0" w:tplc="3D52E04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FE7BCE"/>
    <w:multiLevelType w:val="hybridMultilevel"/>
    <w:tmpl w:val="BE2ADB1A"/>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3AB281C"/>
    <w:multiLevelType w:val="hybridMultilevel"/>
    <w:tmpl w:val="E33CF39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24115080"/>
    <w:multiLevelType w:val="hybridMultilevel"/>
    <w:tmpl w:val="37B235A2"/>
    <w:lvl w:ilvl="0" w:tplc="FE2EDF48">
      <w:start w:val="1"/>
      <w:numFmt w:val="decimal"/>
      <w:lvlText w:val="%1."/>
      <w:lvlJc w:val="left"/>
      <w:pPr>
        <w:ind w:left="0" w:firstLine="360"/>
      </w:pPr>
      <w:rPr>
        <w:rFonts w:hint="default"/>
        <w:color w:val="auto"/>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8225FBC"/>
    <w:multiLevelType w:val="hybridMultilevel"/>
    <w:tmpl w:val="04F442C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2CA042B8"/>
    <w:multiLevelType w:val="hybridMultilevel"/>
    <w:tmpl w:val="E0E696B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42C96BC6"/>
    <w:multiLevelType w:val="hybridMultilevel"/>
    <w:tmpl w:val="C5F26C3E"/>
    <w:lvl w:ilvl="0" w:tplc="E7A0988E">
      <w:start w:val="1"/>
      <w:numFmt w:val="upp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56F0802"/>
    <w:multiLevelType w:val="hybridMultilevel"/>
    <w:tmpl w:val="C854E696"/>
    <w:lvl w:ilvl="0" w:tplc="8698061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2C93683"/>
    <w:multiLevelType w:val="hybridMultilevel"/>
    <w:tmpl w:val="D64A852C"/>
    <w:lvl w:ilvl="0" w:tplc="8698061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7837B41"/>
    <w:multiLevelType w:val="hybridMultilevel"/>
    <w:tmpl w:val="4E8255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4EE3946"/>
    <w:multiLevelType w:val="hybridMultilevel"/>
    <w:tmpl w:val="A3825C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6936FC"/>
    <w:multiLevelType w:val="hybridMultilevel"/>
    <w:tmpl w:val="2BFCF0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9"/>
  </w:num>
  <w:num w:numId="5">
    <w:abstractNumId w:val="4"/>
  </w:num>
  <w:num w:numId="6">
    <w:abstractNumId w:val="0"/>
  </w:num>
  <w:num w:numId="7">
    <w:abstractNumId w:val="7"/>
  </w:num>
  <w:num w:numId="8">
    <w:abstractNumId w:val="2"/>
  </w:num>
  <w:num w:numId="9">
    <w:abstractNumId w:val="10"/>
  </w:num>
  <w:num w:numId="10">
    <w:abstractNumId w:val="12"/>
  </w:num>
  <w:num w:numId="11">
    <w:abstractNumId w:val="6"/>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F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689"/>
    <w:rsid w:val="00001195"/>
    <w:rsid w:val="00010263"/>
    <w:rsid w:val="000272D0"/>
    <w:rsid w:val="00041EAD"/>
    <w:rsid w:val="0004364E"/>
    <w:rsid w:val="00044959"/>
    <w:rsid w:val="00044BBB"/>
    <w:rsid w:val="0005018B"/>
    <w:rsid w:val="00050D0B"/>
    <w:rsid w:val="00067BD4"/>
    <w:rsid w:val="00070B38"/>
    <w:rsid w:val="00086241"/>
    <w:rsid w:val="0008639B"/>
    <w:rsid w:val="00097AB3"/>
    <w:rsid w:val="000B7EFA"/>
    <w:rsid w:val="000C1B47"/>
    <w:rsid w:val="000D367F"/>
    <w:rsid w:val="000D6A6B"/>
    <w:rsid w:val="000E2A0B"/>
    <w:rsid w:val="000E333F"/>
    <w:rsid w:val="001001B3"/>
    <w:rsid w:val="0010750D"/>
    <w:rsid w:val="00115AD9"/>
    <w:rsid w:val="00116B09"/>
    <w:rsid w:val="00121004"/>
    <w:rsid w:val="001251A3"/>
    <w:rsid w:val="0013044C"/>
    <w:rsid w:val="00133281"/>
    <w:rsid w:val="001360F0"/>
    <w:rsid w:val="00141846"/>
    <w:rsid w:val="00150400"/>
    <w:rsid w:val="00161744"/>
    <w:rsid w:val="0016726C"/>
    <w:rsid w:val="00172A30"/>
    <w:rsid w:val="00174753"/>
    <w:rsid w:val="00176106"/>
    <w:rsid w:val="001839F9"/>
    <w:rsid w:val="00183E26"/>
    <w:rsid w:val="00187EE4"/>
    <w:rsid w:val="001911E2"/>
    <w:rsid w:val="001977AB"/>
    <w:rsid w:val="001A024B"/>
    <w:rsid w:val="001A192C"/>
    <w:rsid w:val="001A6380"/>
    <w:rsid w:val="001B4C54"/>
    <w:rsid w:val="001C100A"/>
    <w:rsid w:val="001C105D"/>
    <w:rsid w:val="001C6E74"/>
    <w:rsid w:val="001D6833"/>
    <w:rsid w:val="002007E8"/>
    <w:rsid w:val="0022211D"/>
    <w:rsid w:val="00226E41"/>
    <w:rsid w:val="002414D8"/>
    <w:rsid w:val="002442EA"/>
    <w:rsid w:val="00244D7D"/>
    <w:rsid w:val="0024540A"/>
    <w:rsid w:val="00246983"/>
    <w:rsid w:val="00253DB7"/>
    <w:rsid w:val="00260E40"/>
    <w:rsid w:val="00276C8C"/>
    <w:rsid w:val="002A3C51"/>
    <w:rsid w:val="002A4A45"/>
    <w:rsid w:val="002B2A18"/>
    <w:rsid w:val="002B6A25"/>
    <w:rsid w:val="002D5330"/>
    <w:rsid w:val="002E502E"/>
    <w:rsid w:val="002F0752"/>
    <w:rsid w:val="00310D50"/>
    <w:rsid w:val="00326657"/>
    <w:rsid w:val="003577A0"/>
    <w:rsid w:val="00364E19"/>
    <w:rsid w:val="00366137"/>
    <w:rsid w:val="003811B4"/>
    <w:rsid w:val="00387C35"/>
    <w:rsid w:val="00391E98"/>
    <w:rsid w:val="00393826"/>
    <w:rsid w:val="00396197"/>
    <w:rsid w:val="00396A2A"/>
    <w:rsid w:val="003A51BB"/>
    <w:rsid w:val="003A7E47"/>
    <w:rsid w:val="003B1A5D"/>
    <w:rsid w:val="003B798A"/>
    <w:rsid w:val="003D016E"/>
    <w:rsid w:val="003E2C52"/>
    <w:rsid w:val="003E4CBD"/>
    <w:rsid w:val="003F3BF8"/>
    <w:rsid w:val="004035FC"/>
    <w:rsid w:val="00403FBF"/>
    <w:rsid w:val="00415C3D"/>
    <w:rsid w:val="004425B2"/>
    <w:rsid w:val="004430C5"/>
    <w:rsid w:val="004524A0"/>
    <w:rsid w:val="0045285F"/>
    <w:rsid w:val="00453233"/>
    <w:rsid w:val="00455847"/>
    <w:rsid w:val="004602CB"/>
    <w:rsid w:val="00462538"/>
    <w:rsid w:val="0046384A"/>
    <w:rsid w:val="0047145F"/>
    <w:rsid w:val="004759FA"/>
    <w:rsid w:val="00475BFF"/>
    <w:rsid w:val="00481E9E"/>
    <w:rsid w:val="00484881"/>
    <w:rsid w:val="00491076"/>
    <w:rsid w:val="0049128A"/>
    <w:rsid w:val="004966DE"/>
    <w:rsid w:val="004A03B8"/>
    <w:rsid w:val="004A33AC"/>
    <w:rsid w:val="004A6879"/>
    <w:rsid w:val="004B3F64"/>
    <w:rsid w:val="004B4664"/>
    <w:rsid w:val="004B655D"/>
    <w:rsid w:val="004C1462"/>
    <w:rsid w:val="004C4884"/>
    <w:rsid w:val="004D5ED8"/>
    <w:rsid w:val="004D752B"/>
    <w:rsid w:val="005070B7"/>
    <w:rsid w:val="00512B3A"/>
    <w:rsid w:val="005215AE"/>
    <w:rsid w:val="00531BCE"/>
    <w:rsid w:val="0053235A"/>
    <w:rsid w:val="00537455"/>
    <w:rsid w:val="00551BEA"/>
    <w:rsid w:val="0055523A"/>
    <w:rsid w:val="00556BB4"/>
    <w:rsid w:val="005726D5"/>
    <w:rsid w:val="005742BC"/>
    <w:rsid w:val="00575D1B"/>
    <w:rsid w:val="00580CDD"/>
    <w:rsid w:val="005815E9"/>
    <w:rsid w:val="00587658"/>
    <w:rsid w:val="005A48F4"/>
    <w:rsid w:val="005A59D2"/>
    <w:rsid w:val="005A7CD2"/>
    <w:rsid w:val="005B38EC"/>
    <w:rsid w:val="005B77FA"/>
    <w:rsid w:val="005C430F"/>
    <w:rsid w:val="005C593A"/>
    <w:rsid w:val="005E2C1C"/>
    <w:rsid w:val="005E72A4"/>
    <w:rsid w:val="005F3014"/>
    <w:rsid w:val="005F7B23"/>
    <w:rsid w:val="00613F2C"/>
    <w:rsid w:val="00625B7B"/>
    <w:rsid w:val="00642D1B"/>
    <w:rsid w:val="006470E0"/>
    <w:rsid w:val="00674D7F"/>
    <w:rsid w:val="006750E1"/>
    <w:rsid w:val="00682004"/>
    <w:rsid w:val="0068237D"/>
    <w:rsid w:val="00694E47"/>
    <w:rsid w:val="00696731"/>
    <w:rsid w:val="006A3CCA"/>
    <w:rsid w:val="006A580A"/>
    <w:rsid w:val="006B044B"/>
    <w:rsid w:val="006B45FD"/>
    <w:rsid w:val="006C0AE3"/>
    <w:rsid w:val="006C0ECE"/>
    <w:rsid w:val="006C5033"/>
    <w:rsid w:val="006C766D"/>
    <w:rsid w:val="006D1631"/>
    <w:rsid w:val="006E1426"/>
    <w:rsid w:val="006E2A2A"/>
    <w:rsid w:val="006F0271"/>
    <w:rsid w:val="006F0689"/>
    <w:rsid w:val="007030CC"/>
    <w:rsid w:val="007125B7"/>
    <w:rsid w:val="00724227"/>
    <w:rsid w:val="00725D52"/>
    <w:rsid w:val="007264C2"/>
    <w:rsid w:val="00732E68"/>
    <w:rsid w:val="00756601"/>
    <w:rsid w:val="007601ED"/>
    <w:rsid w:val="007623E6"/>
    <w:rsid w:val="00763A34"/>
    <w:rsid w:val="00764093"/>
    <w:rsid w:val="007672E3"/>
    <w:rsid w:val="0078556E"/>
    <w:rsid w:val="00794418"/>
    <w:rsid w:val="007A1203"/>
    <w:rsid w:val="007A1D5E"/>
    <w:rsid w:val="007A722E"/>
    <w:rsid w:val="007B50CC"/>
    <w:rsid w:val="007C1636"/>
    <w:rsid w:val="007C21B9"/>
    <w:rsid w:val="007C78EF"/>
    <w:rsid w:val="007D5E4B"/>
    <w:rsid w:val="007D6A04"/>
    <w:rsid w:val="007D6B76"/>
    <w:rsid w:val="007F054F"/>
    <w:rsid w:val="0081500C"/>
    <w:rsid w:val="00816FC1"/>
    <w:rsid w:val="00820B2C"/>
    <w:rsid w:val="008237EF"/>
    <w:rsid w:val="008505AE"/>
    <w:rsid w:val="008529B0"/>
    <w:rsid w:val="00855AAB"/>
    <w:rsid w:val="0086314F"/>
    <w:rsid w:val="00871FA2"/>
    <w:rsid w:val="00873D6D"/>
    <w:rsid w:val="0087490A"/>
    <w:rsid w:val="008B731D"/>
    <w:rsid w:val="008B7546"/>
    <w:rsid w:val="008C0E7D"/>
    <w:rsid w:val="008C2097"/>
    <w:rsid w:val="008C295B"/>
    <w:rsid w:val="008C504C"/>
    <w:rsid w:val="008C6830"/>
    <w:rsid w:val="008E02AE"/>
    <w:rsid w:val="008E59FD"/>
    <w:rsid w:val="008F7419"/>
    <w:rsid w:val="009024E2"/>
    <w:rsid w:val="00906C5D"/>
    <w:rsid w:val="00906E97"/>
    <w:rsid w:val="00914272"/>
    <w:rsid w:val="00915961"/>
    <w:rsid w:val="00916628"/>
    <w:rsid w:val="00916C34"/>
    <w:rsid w:val="00925A4C"/>
    <w:rsid w:val="00933C38"/>
    <w:rsid w:val="00941C4B"/>
    <w:rsid w:val="00970FBE"/>
    <w:rsid w:val="0098121B"/>
    <w:rsid w:val="009975F0"/>
    <w:rsid w:val="009A080D"/>
    <w:rsid w:val="009B0E7E"/>
    <w:rsid w:val="009B3933"/>
    <w:rsid w:val="009B69A7"/>
    <w:rsid w:val="009D0C1B"/>
    <w:rsid w:val="009D7483"/>
    <w:rsid w:val="009F3134"/>
    <w:rsid w:val="009F6661"/>
    <w:rsid w:val="00A109D7"/>
    <w:rsid w:val="00A12009"/>
    <w:rsid w:val="00A21233"/>
    <w:rsid w:val="00A24EB5"/>
    <w:rsid w:val="00A302E1"/>
    <w:rsid w:val="00A31BE3"/>
    <w:rsid w:val="00A31DDD"/>
    <w:rsid w:val="00A36215"/>
    <w:rsid w:val="00A420B7"/>
    <w:rsid w:val="00A424CA"/>
    <w:rsid w:val="00A45991"/>
    <w:rsid w:val="00A470AB"/>
    <w:rsid w:val="00A53FDD"/>
    <w:rsid w:val="00A5510E"/>
    <w:rsid w:val="00A56009"/>
    <w:rsid w:val="00A56EAB"/>
    <w:rsid w:val="00A66D49"/>
    <w:rsid w:val="00A674FB"/>
    <w:rsid w:val="00A80977"/>
    <w:rsid w:val="00A929C0"/>
    <w:rsid w:val="00A92AAF"/>
    <w:rsid w:val="00A9451D"/>
    <w:rsid w:val="00A94BFA"/>
    <w:rsid w:val="00AA65A2"/>
    <w:rsid w:val="00AA74B8"/>
    <w:rsid w:val="00AA7576"/>
    <w:rsid w:val="00AB16DB"/>
    <w:rsid w:val="00AB220E"/>
    <w:rsid w:val="00AB4AE6"/>
    <w:rsid w:val="00AB77D0"/>
    <w:rsid w:val="00AC2202"/>
    <w:rsid w:val="00AD6391"/>
    <w:rsid w:val="00AD6B2B"/>
    <w:rsid w:val="00AF39C6"/>
    <w:rsid w:val="00AF71F7"/>
    <w:rsid w:val="00AF7E30"/>
    <w:rsid w:val="00B0752F"/>
    <w:rsid w:val="00B21F5F"/>
    <w:rsid w:val="00B43484"/>
    <w:rsid w:val="00B5064C"/>
    <w:rsid w:val="00B7239D"/>
    <w:rsid w:val="00BA3FB7"/>
    <w:rsid w:val="00BA7090"/>
    <w:rsid w:val="00BA79CC"/>
    <w:rsid w:val="00BB4064"/>
    <w:rsid w:val="00BC557C"/>
    <w:rsid w:val="00BD5777"/>
    <w:rsid w:val="00BE0EAC"/>
    <w:rsid w:val="00BE28B6"/>
    <w:rsid w:val="00BE4F07"/>
    <w:rsid w:val="00BF5947"/>
    <w:rsid w:val="00BF6CC4"/>
    <w:rsid w:val="00C06943"/>
    <w:rsid w:val="00C128B0"/>
    <w:rsid w:val="00C1738E"/>
    <w:rsid w:val="00C467CD"/>
    <w:rsid w:val="00C47A25"/>
    <w:rsid w:val="00C541BD"/>
    <w:rsid w:val="00C61756"/>
    <w:rsid w:val="00C74962"/>
    <w:rsid w:val="00C775FD"/>
    <w:rsid w:val="00C809CF"/>
    <w:rsid w:val="00C84557"/>
    <w:rsid w:val="00C86D81"/>
    <w:rsid w:val="00C915B4"/>
    <w:rsid w:val="00C91FEA"/>
    <w:rsid w:val="00C96BAF"/>
    <w:rsid w:val="00CA6A5B"/>
    <w:rsid w:val="00CD084C"/>
    <w:rsid w:val="00CF7885"/>
    <w:rsid w:val="00D046FE"/>
    <w:rsid w:val="00D053C4"/>
    <w:rsid w:val="00D065A7"/>
    <w:rsid w:val="00D154E5"/>
    <w:rsid w:val="00D41F83"/>
    <w:rsid w:val="00D464FC"/>
    <w:rsid w:val="00D502E6"/>
    <w:rsid w:val="00D610FF"/>
    <w:rsid w:val="00D66CA2"/>
    <w:rsid w:val="00D827F5"/>
    <w:rsid w:val="00D8525F"/>
    <w:rsid w:val="00DB3B10"/>
    <w:rsid w:val="00DC3854"/>
    <w:rsid w:val="00DE5229"/>
    <w:rsid w:val="00DE5420"/>
    <w:rsid w:val="00DE588A"/>
    <w:rsid w:val="00E03AC8"/>
    <w:rsid w:val="00E03B67"/>
    <w:rsid w:val="00E04D4E"/>
    <w:rsid w:val="00E06C36"/>
    <w:rsid w:val="00E2067E"/>
    <w:rsid w:val="00E36341"/>
    <w:rsid w:val="00E36976"/>
    <w:rsid w:val="00E40067"/>
    <w:rsid w:val="00E43C5F"/>
    <w:rsid w:val="00E454D0"/>
    <w:rsid w:val="00E56287"/>
    <w:rsid w:val="00E73416"/>
    <w:rsid w:val="00E82999"/>
    <w:rsid w:val="00E90D83"/>
    <w:rsid w:val="00E9417F"/>
    <w:rsid w:val="00E964ED"/>
    <w:rsid w:val="00E97877"/>
    <w:rsid w:val="00EA014C"/>
    <w:rsid w:val="00EB1277"/>
    <w:rsid w:val="00EB5BF5"/>
    <w:rsid w:val="00EB6B41"/>
    <w:rsid w:val="00EC6E44"/>
    <w:rsid w:val="00ED0709"/>
    <w:rsid w:val="00ED5AD8"/>
    <w:rsid w:val="00EE401B"/>
    <w:rsid w:val="00EE5742"/>
    <w:rsid w:val="00EF06AA"/>
    <w:rsid w:val="00EF14DE"/>
    <w:rsid w:val="00EF420D"/>
    <w:rsid w:val="00EF4DAC"/>
    <w:rsid w:val="00EF5461"/>
    <w:rsid w:val="00F055EA"/>
    <w:rsid w:val="00F14B80"/>
    <w:rsid w:val="00F222F8"/>
    <w:rsid w:val="00F2552B"/>
    <w:rsid w:val="00F328A4"/>
    <w:rsid w:val="00F33BF0"/>
    <w:rsid w:val="00F33C1F"/>
    <w:rsid w:val="00F346B1"/>
    <w:rsid w:val="00F34790"/>
    <w:rsid w:val="00F3730B"/>
    <w:rsid w:val="00F431A4"/>
    <w:rsid w:val="00F4611F"/>
    <w:rsid w:val="00F46953"/>
    <w:rsid w:val="00F47C40"/>
    <w:rsid w:val="00F47FAA"/>
    <w:rsid w:val="00F514F4"/>
    <w:rsid w:val="00F55D69"/>
    <w:rsid w:val="00F6068B"/>
    <w:rsid w:val="00F60F94"/>
    <w:rsid w:val="00F84796"/>
    <w:rsid w:val="00F85616"/>
    <w:rsid w:val="00F90776"/>
    <w:rsid w:val="00F970B8"/>
    <w:rsid w:val="00FA17DB"/>
    <w:rsid w:val="00FA279D"/>
    <w:rsid w:val="00FA5770"/>
    <w:rsid w:val="00FA662B"/>
    <w:rsid w:val="00FA7B19"/>
    <w:rsid w:val="00FD49D2"/>
    <w:rsid w:val="00FE5BBD"/>
    <w:rsid w:val="00FF36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C3637"/>
  <w15:chartTrackingRefBased/>
  <w15:docId w15:val="{B7DB53E7-48B4-4ABC-9A86-5174DA8EA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203"/>
    <w:pPr>
      <w:jc w:val="both"/>
    </w:pPr>
  </w:style>
  <w:style w:type="paragraph" w:styleId="Titre1">
    <w:name w:val="heading 1"/>
    <w:basedOn w:val="Normal"/>
    <w:link w:val="Titre1Car"/>
    <w:uiPriority w:val="9"/>
    <w:qFormat/>
    <w:rsid w:val="00D464FC"/>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Note de bas de page Car1 Car,Note de bas de page Car Car Car,Note de bas de page Car Car1,Note de bas de page Car Car Car Car,Note de bas de page Car1,Note de bas de page Car1 Car Car, Car, Car Char, Car Car Car Car, Car Car Car,5_G"/>
    <w:basedOn w:val="Normal"/>
    <w:link w:val="NotedebasdepageCar"/>
    <w:uiPriority w:val="99"/>
    <w:unhideWhenUsed/>
    <w:qFormat/>
    <w:rsid w:val="008B7546"/>
    <w:pPr>
      <w:spacing w:after="0" w:line="240" w:lineRule="auto"/>
    </w:pPr>
    <w:rPr>
      <w:sz w:val="20"/>
      <w:szCs w:val="20"/>
    </w:rPr>
  </w:style>
  <w:style w:type="character" w:customStyle="1" w:styleId="NotedebasdepageCar">
    <w:name w:val="Note de bas de page Car"/>
    <w:aliases w:val="Note de bas de page Car1 Car Car1,Note de bas de page Car Car Car Car1,Note de bas de page Car Car1 Car,Note de bas de page Car Car Car Car Car,Note de bas de page Car1 Car1,Note de bas de page Car1 Car Car Car, Car Car,5_G Car"/>
    <w:basedOn w:val="Policepardfaut"/>
    <w:link w:val="Notedebasdepage"/>
    <w:uiPriority w:val="99"/>
    <w:qFormat/>
    <w:rsid w:val="008B7546"/>
    <w:rPr>
      <w:sz w:val="20"/>
      <w:szCs w:val="20"/>
    </w:rPr>
  </w:style>
  <w:style w:type="character" w:styleId="Appelnotedebasdep">
    <w:name w:val="footnote reference"/>
    <w:aliases w:val="Footnote Refernece,Car Char Car Char Car Char Char Char Char Char Char Char,Footnote Refernece Char Char,Footnote Refernece Char,Car Char Car Char Car Char Char Char Char Char Char Char Char,Footnote Refernece Char Char Char Char"/>
    <w:basedOn w:val="Policepardfaut"/>
    <w:uiPriority w:val="99"/>
    <w:unhideWhenUsed/>
    <w:qFormat/>
    <w:rsid w:val="008B7546"/>
    <w:rPr>
      <w:vertAlign w:val="superscript"/>
    </w:rPr>
  </w:style>
  <w:style w:type="character" w:styleId="Lienhypertexte">
    <w:name w:val="Hyperlink"/>
    <w:basedOn w:val="Policepardfaut"/>
    <w:uiPriority w:val="99"/>
    <w:unhideWhenUsed/>
    <w:rsid w:val="008B7546"/>
    <w:rPr>
      <w:color w:val="0563C1" w:themeColor="hyperlink"/>
      <w:u w:val="single"/>
    </w:rPr>
  </w:style>
  <w:style w:type="paragraph" w:styleId="Paragraphedeliste">
    <w:name w:val="List Paragraph"/>
    <w:aliases w:val="EC,Colorful List Accent 1,Colorful List - Accent 11,List Paragraph,Dot pt,List Paragraph1,No Spacing1,List Paragraph Char Char Char,Indicator Text,Numbered Para 1,F5 List Paragraph,Bullet Points,List Paragraph2"/>
    <w:basedOn w:val="Normal"/>
    <w:link w:val="ParagraphedelisteCar"/>
    <w:uiPriority w:val="34"/>
    <w:qFormat/>
    <w:rsid w:val="00EE5742"/>
    <w:pPr>
      <w:ind w:left="720"/>
      <w:contextualSpacing/>
    </w:pPr>
  </w:style>
  <w:style w:type="character" w:customStyle="1" w:styleId="ParagraphedelisteCar">
    <w:name w:val="Paragraphe de liste Car"/>
    <w:aliases w:val="EC Car,Colorful List Accent 1 Car,Colorful List - Accent 11 Car,List Paragraph Car,Dot pt Car,List Paragraph1 Car,No Spacing1 Car,List Paragraph Char Char Char Car,Indicator Text Car,Numbered Para 1 Car,F5 List Paragraph Car"/>
    <w:basedOn w:val="Policepardfaut"/>
    <w:link w:val="Paragraphedeliste"/>
    <w:uiPriority w:val="34"/>
    <w:qFormat/>
    <w:rsid w:val="001C100A"/>
  </w:style>
  <w:style w:type="character" w:styleId="Lienhypertextesuivivisit">
    <w:name w:val="FollowedHyperlink"/>
    <w:basedOn w:val="Policepardfaut"/>
    <w:uiPriority w:val="99"/>
    <w:semiHidden/>
    <w:unhideWhenUsed/>
    <w:rsid w:val="001C100A"/>
    <w:rPr>
      <w:color w:val="954F72" w:themeColor="followedHyperlink"/>
      <w:u w:val="single"/>
    </w:rPr>
  </w:style>
  <w:style w:type="character" w:styleId="Accentuation">
    <w:name w:val="Emphasis"/>
    <w:basedOn w:val="Policepardfaut"/>
    <w:uiPriority w:val="20"/>
    <w:qFormat/>
    <w:rsid w:val="009F3134"/>
    <w:rPr>
      <w:i/>
      <w:iCs/>
    </w:rPr>
  </w:style>
  <w:style w:type="character" w:styleId="Marquedecommentaire">
    <w:name w:val="annotation reference"/>
    <w:basedOn w:val="Policepardfaut"/>
    <w:uiPriority w:val="99"/>
    <w:semiHidden/>
    <w:unhideWhenUsed/>
    <w:rsid w:val="0013044C"/>
    <w:rPr>
      <w:sz w:val="16"/>
      <w:szCs w:val="16"/>
    </w:rPr>
  </w:style>
  <w:style w:type="paragraph" w:styleId="Commentaire">
    <w:name w:val="annotation text"/>
    <w:basedOn w:val="Normal"/>
    <w:link w:val="CommentaireCar"/>
    <w:uiPriority w:val="99"/>
    <w:semiHidden/>
    <w:unhideWhenUsed/>
    <w:rsid w:val="0013044C"/>
    <w:pPr>
      <w:spacing w:line="240" w:lineRule="auto"/>
    </w:pPr>
    <w:rPr>
      <w:sz w:val="20"/>
      <w:szCs w:val="20"/>
    </w:rPr>
  </w:style>
  <w:style w:type="character" w:customStyle="1" w:styleId="CommentaireCar">
    <w:name w:val="Commentaire Car"/>
    <w:basedOn w:val="Policepardfaut"/>
    <w:link w:val="Commentaire"/>
    <w:uiPriority w:val="99"/>
    <w:semiHidden/>
    <w:rsid w:val="0013044C"/>
    <w:rPr>
      <w:sz w:val="20"/>
      <w:szCs w:val="20"/>
    </w:rPr>
  </w:style>
  <w:style w:type="paragraph" w:styleId="Objetducommentaire">
    <w:name w:val="annotation subject"/>
    <w:basedOn w:val="Commentaire"/>
    <w:next w:val="Commentaire"/>
    <w:link w:val="ObjetducommentaireCar"/>
    <w:uiPriority w:val="99"/>
    <w:semiHidden/>
    <w:unhideWhenUsed/>
    <w:rsid w:val="0013044C"/>
    <w:rPr>
      <w:b/>
      <w:bCs/>
    </w:rPr>
  </w:style>
  <w:style w:type="character" w:customStyle="1" w:styleId="ObjetducommentaireCar">
    <w:name w:val="Objet du commentaire Car"/>
    <w:basedOn w:val="CommentaireCar"/>
    <w:link w:val="Objetducommentaire"/>
    <w:uiPriority w:val="99"/>
    <w:semiHidden/>
    <w:rsid w:val="0013044C"/>
    <w:rPr>
      <w:b/>
      <w:bCs/>
      <w:sz w:val="20"/>
      <w:szCs w:val="20"/>
    </w:rPr>
  </w:style>
  <w:style w:type="paragraph" w:styleId="Textedebulles">
    <w:name w:val="Balloon Text"/>
    <w:basedOn w:val="Normal"/>
    <w:link w:val="TextedebullesCar"/>
    <w:uiPriority w:val="99"/>
    <w:semiHidden/>
    <w:unhideWhenUsed/>
    <w:rsid w:val="0013044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3044C"/>
    <w:rPr>
      <w:rFonts w:ascii="Segoe UI" w:hAnsi="Segoe UI" w:cs="Segoe UI"/>
      <w:sz w:val="18"/>
      <w:szCs w:val="18"/>
    </w:rPr>
  </w:style>
  <w:style w:type="paragraph" w:styleId="En-tte">
    <w:name w:val="header"/>
    <w:basedOn w:val="Normal"/>
    <w:link w:val="En-tteCar"/>
    <w:uiPriority w:val="99"/>
    <w:unhideWhenUsed/>
    <w:rsid w:val="00A674FB"/>
    <w:pPr>
      <w:tabs>
        <w:tab w:val="center" w:pos="4536"/>
        <w:tab w:val="right" w:pos="9072"/>
      </w:tabs>
      <w:spacing w:after="0" w:line="240" w:lineRule="auto"/>
    </w:pPr>
  </w:style>
  <w:style w:type="character" w:customStyle="1" w:styleId="En-tteCar">
    <w:name w:val="En-tête Car"/>
    <w:basedOn w:val="Policepardfaut"/>
    <w:link w:val="En-tte"/>
    <w:uiPriority w:val="99"/>
    <w:rsid w:val="00A674FB"/>
  </w:style>
  <w:style w:type="paragraph" w:styleId="Pieddepage">
    <w:name w:val="footer"/>
    <w:basedOn w:val="Normal"/>
    <w:link w:val="PieddepageCar"/>
    <w:uiPriority w:val="99"/>
    <w:unhideWhenUsed/>
    <w:rsid w:val="00A674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74FB"/>
  </w:style>
  <w:style w:type="paragraph" w:customStyle="1" w:styleId="Default">
    <w:name w:val="Default"/>
    <w:rsid w:val="009D74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Rvision">
    <w:name w:val="Revision"/>
    <w:hidden/>
    <w:uiPriority w:val="99"/>
    <w:semiHidden/>
    <w:rsid w:val="005726D5"/>
    <w:pPr>
      <w:spacing w:after="0" w:line="240" w:lineRule="auto"/>
    </w:pPr>
  </w:style>
  <w:style w:type="character" w:customStyle="1" w:styleId="Titre1Car">
    <w:name w:val="Titre 1 Car"/>
    <w:basedOn w:val="Policepardfaut"/>
    <w:link w:val="Titre1"/>
    <w:uiPriority w:val="9"/>
    <w:rsid w:val="00D464FC"/>
    <w:rPr>
      <w:rFonts w:ascii="Times New Roman" w:eastAsia="Times New Roman" w:hAnsi="Times New Roman" w:cs="Times New Roman"/>
      <w:b/>
      <w:bCs/>
      <w:kern w:val="36"/>
      <w:sz w:val="48"/>
      <w:szCs w:val="48"/>
      <w:lang w:eastAsia="fr-FR"/>
    </w:rPr>
  </w:style>
  <w:style w:type="paragraph" w:styleId="PrformatHTML">
    <w:name w:val="HTML Preformatted"/>
    <w:basedOn w:val="Normal"/>
    <w:link w:val="PrformatHTMLCar"/>
    <w:uiPriority w:val="99"/>
    <w:unhideWhenUsed/>
    <w:rsid w:val="00D46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D464FC"/>
    <w:rPr>
      <w:rFonts w:ascii="Courier New" w:eastAsia="Times New Roman" w:hAnsi="Courier New" w:cs="Courier New"/>
      <w:sz w:val="20"/>
      <w:szCs w:val="20"/>
      <w:lang w:eastAsia="fr-FR"/>
    </w:rPr>
  </w:style>
  <w:style w:type="character" w:customStyle="1" w:styleId="y2iqfc">
    <w:name w:val="y2iqfc"/>
    <w:basedOn w:val="Policepardfaut"/>
    <w:rsid w:val="00D464FC"/>
  </w:style>
  <w:style w:type="paragraph" w:customStyle="1" w:styleId="Corps">
    <w:name w:val="Corps"/>
    <w:rsid w:val="00D464FC"/>
    <w:pPr>
      <w:pBdr>
        <w:top w:val="nil"/>
        <w:left w:val="nil"/>
        <w:bottom w:val="nil"/>
        <w:right w:val="nil"/>
        <w:between w:val="nil"/>
        <w:bar w:val="nil"/>
      </w:pBdr>
    </w:pPr>
    <w:rPr>
      <w:rFonts w:ascii="Calibri" w:eastAsia="Arial Unicode MS" w:hAnsi="Calibri" w:cs="Arial Unicode MS"/>
      <w:color w:val="000000"/>
      <w:u w:color="000000"/>
      <w:bdr w:val="nil"/>
      <w:lang w:eastAsia="fr-FR"/>
      <w14:textOutline w14:w="0" w14:cap="flat" w14:cmpd="sng" w14:algn="ctr">
        <w14:noFill/>
        <w14:prstDash w14:val="solid"/>
        <w14:bevel/>
      </w14:textOutline>
    </w:rPr>
  </w:style>
  <w:style w:type="character" w:customStyle="1" w:styleId="Aucun">
    <w:name w:val="Aucun"/>
    <w:rsid w:val="00D464FC"/>
    <w:rPr>
      <w:lang w:val="fr-FR"/>
    </w:rPr>
  </w:style>
  <w:style w:type="character" w:styleId="lev">
    <w:name w:val="Strong"/>
    <w:uiPriority w:val="22"/>
    <w:qFormat/>
    <w:rsid w:val="00D464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570812">
      <w:bodyDiv w:val="1"/>
      <w:marLeft w:val="0"/>
      <w:marRight w:val="0"/>
      <w:marTop w:val="0"/>
      <w:marBottom w:val="0"/>
      <w:divBdr>
        <w:top w:val="none" w:sz="0" w:space="0" w:color="auto"/>
        <w:left w:val="none" w:sz="0" w:space="0" w:color="auto"/>
        <w:bottom w:val="none" w:sz="0" w:space="0" w:color="auto"/>
        <w:right w:val="none" w:sz="0" w:space="0" w:color="auto"/>
      </w:divBdr>
    </w:div>
    <w:div w:id="329528835">
      <w:bodyDiv w:val="1"/>
      <w:marLeft w:val="0"/>
      <w:marRight w:val="0"/>
      <w:marTop w:val="0"/>
      <w:marBottom w:val="0"/>
      <w:divBdr>
        <w:top w:val="none" w:sz="0" w:space="0" w:color="auto"/>
        <w:left w:val="none" w:sz="0" w:space="0" w:color="auto"/>
        <w:bottom w:val="none" w:sz="0" w:space="0" w:color="auto"/>
        <w:right w:val="none" w:sz="0" w:space="0" w:color="auto"/>
      </w:divBdr>
    </w:div>
    <w:div w:id="592671303">
      <w:bodyDiv w:val="1"/>
      <w:marLeft w:val="0"/>
      <w:marRight w:val="0"/>
      <w:marTop w:val="0"/>
      <w:marBottom w:val="0"/>
      <w:divBdr>
        <w:top w:val="none" w:sz="0" w:space="0" w:color="auto"/>
        <w:left w:val="none" w:sz="0" w:space="0" w:color="auto"/>
        <w:bottom w:val="none" w:sz="0" w:space="0" w:color="auto"/>
        <w:right w:val="none" w:sz="0" w:space="0" w:color="auto"/>
      </w:divBdr>
    </w:div>
    <w:div w:id="800733139">
      <w:bodyDiv w:val="1"/>
      <w:marLeft w:val="0"/>
      <w:marRight w:val="0"/>
      <w:marTop w:val="0"/>
      <w:marBottom w:val="0"/>
      <w:divBdr>
        <w:top w:val="none" w:sz="0" w:space="0" w:color="auto"/>
        <w:left w:val="none" w:sz="0" w:space="0" w:color="auto"/>
        <w:bottom w:val="none" w:sz="0" w:space="0" w:color="auto"/>
        <w:right w:val="none" w:sz="0" w:space="0" w:color="auto"/>
      </w:divBdr>
    </w:div>
    <w:div w:id="897865668">
      <w:bodyDiv w:val="1"/>
      <w:marLeft w:val="0"/>
      <w:marRight w:val="0"/>
      <w:marTop w:val="0"/>
      <w:marBottom w:val="0"/>
      <w:divBdr>
        <w:top w:val="none" w:sz="0" w:space="0" w:color="auto"/>
        <w:left w:val="none" w:sz="0" w:space="0" w:color="auto"/>
        <w:bottom w:val="none" w:sz="0" w:space="0" w:color="auto"/>
        <w:right w:val="none" w:sz="0" w:space="0" w:color="auto"/>
      </w:divBdr>
    </w:div>
    <w:div w:id="942229537">
      <w:bodyDiv w:val="1"/>
      <w:marLeft w:val="0"/>
      <w:marRight w:val="0"/>
      <w:marTop w:val="0"/>
      <w:marBottom w:val="0"/>
      <w:divBdr>
        <w:top w:val="none" w:sz="0" w:space="0" w:color="auto"/>
        <w:left w:val="none" w:sz="0" w:space="0" w:color="auto"/>
        <w:bottom w:val="none" w:sz="0" w:space="0" w:color="auto"/>
        <w:right w:val="none" w:sz="0" w:space="0" w:color="auto"/>
      </w:divBdr>
    </w:div>
    <w:div w:id="981084975">
      <w:bodyDiv w:val="1"/>
      <w:marLeft w:val="0"/>
      <w:marRight w:val="0"/>
      <w:marTop w:val="0"/>
      <w:marBottom w:val="0"/>
      <w:divBdr>
        <w:top w:val="none" w:sz="0" w:space="0" w:color="auto"/>
        <w:left w:val="none" w:sz="0" w:space="0" w:color="auto"/>
        <w:bottom w:val="none" w:sz="0" w:space="0" w:color="auto"/>
        <w:right w:val="none" w:sz="0" w:space="0" w:color="auto"/>
      </w:divBdr>
    </w:div>
    <w:div w:id="1009988356">
      <w:bodyDiv w:val="1"/>
      <w:marLeft w:val="0"/>
      <w:marRight w:val="0"/>
      <w:marTop w:val="0"/>
      <w:marBottom w:val="0"/>
      <w:divBdr>
        <w:top w:val="none" w:sz="0" w:space="0" w:color="auto"/>
        <w:left w:val="none" w:sz="0" w:space="0" w:color="auto"/>
        <w:bottom w:val="none" w:sz="0" w:space="0" w:color="auto"/>
        <w:right w:val="none" w:sz="0" w:space="0" w:color="auto"/>
      </w:divBdr>
    </w:div>
    <w:div w:id="1036583578">
      <w:bodyDiv w:val="1"/>
      <w:marLeft w:val="0"/>
      <w:marRight w:val="0"/>
      <w:marTop w:val="0"/>
      <w:marBottom w:val="0"/>
      <w:divBdr>
        <w:top w:val="none" w:sz="0" w:space="0" w:color="auto"/>
        <w:left w:val="none" w:sz="0" w:space="0" w:color="auto"/>
        <w:bottom w:val="none" w:sz="0" w:space="0" w:color="auto"/>
        <w:right w:val="none" w:sz="0" w:space="0" w:color="auto"/>
      </w:divBdr>
    </w:div>
    <w:div w:id="1266111181">
      <w:bodyDiv w:val="1"/>
      <w:marLeft w:val="0"/>
      <w:marRight w:val="0"/>
      <w:marTop w:val="0"/>
      <w:marBottom w:val="0"/>
      <w:divBdr>
        <w:top w:val="none" w:sz="0" w:space="0" w:color="auto"/>
        <w:left w:val="none" w:sz="0" w:space="0" w:color="auto"/>
        <w:bottom w:val="none" w:sz="0" w:space="0" w:color="auto"/>
        <w:right w:val="none" w:sz="0" w:space="0" w:color="auto"/>
      </w:divBdr>
    </w:div>
    <w:div w:id="1548563824">
      <w:bodyDiv w:val="1"/>
      <w:marLeft w:val="0"/>
      <w:marRight w:val="0"/>
      <w:marTop w:val="0"/>
      <w:marBottom w:val="0"/>
      <w:divBdr>
        <w:top w:val="none" w:sz="0" w:space="0" w:color="auto"/>
        <w:left w:val="none" w:sz="0" w:space="0" w:color="auto"/>
        <w:bottom w:val="none" w:sz="0" w:space="0" w:color="auto"/>
        <w:right w:val="none" w:sz="0" w:space="0" w:color="auto"/>
      </w:divBdr>
    </w:div>
    <w:div w:id="1588541337">
      <w:bodyDiv w:val="1"/>
      <w:marLeft w:val="0"/>
      <w:marRight w:val="0"/>
      <w:marTop w:val="0"/>
      <w:marBottom w:val="0"/>
      <w:divBdr>
        <w:top w:val="none" w:sz="0" w:space="0" w:color="auto"/>
        <w:left w:val="none" w:sz="0" w:space="0" w:color="auto"/>
        <w:bottom w:val="none" w:sz="0" w:space="0" w:color="auto"/>
        <w:right w:val="none" w:sz="0" w:space="0" w:color="auto"/>
      </w:divBdr>
    </w:div>
    <w:div w:id="1626888142">
      <w:bodyDiv w:val="1"/>
      <w:marLeft w:val="0"/>
      <w:marRight w:val="0"/>
      <w:marTop w:val="0"/>
      <w:marBottom w:val="0"/>
      <w:divBdr>
        <w:top w:val="none" w:sz="0" w:space="0" w:color="auto"/>
        <w:left w:val="none" w:sz="0" w:space="0" w:color="auto"/>
        <w:bottom w:val="none" w:sz="0" w:space="0" w:color="auto"/>
        <w:right w:val="none" w:sz="0" w:space="0" w:color="auto"/>
      </w:divBdr>
    </w:div>
    <w:div w:id="1642231243">
      <w:bodyDiv w:val="1"/>
      <w:marLeft w:val="0"/>
      <w:marRight w:val="0"/>
      <w:marTop w:val="0"/>
      <w:marBottom w:val="0"/>
      <w:divBdr>
        <w:top w:val="none" w:sz="0" w:space="0" w:color="auto"/>
        <w:left w:val="none" w:sz="0" w:space="0" w:color="auto"/>
        <w:bottom w:val="none" w:sz="0" w:space="0" w:color="auto"/>
        <w:right w:val="none" w:sz="0" w:space="0" w:color="auto"/>
      </w:divBdr>
    </w:div>
    <w:div w:id="1751778122">
      <w:bodyDiv w:val="1"/>
      <w:marLeft w:val="0"/>
      <w:marRight w:val="0"/>
      <w:marTop w:val="0"/>
      <w:marBottom w:val="0"/>
      <w:divBdr>
        <w:top w:val="none" w:sz="0" w:space="0" w:color="auto"/>
        <w:left w:val="none" w:sz="0" w:space="0" w:color="auto"/>
        <w:bottom w:val="none" w:sz="0" w:space="0" w:color="auto"/>
        <w:right w:val="none" w:sz="0" w:space="0" w:color="auto"/>
      </w:divBdr>
    </w:div>
    <w:div w:id="1828745734">
      <w:bodyDiv w:val="1"/>
      <w:marLeft w:val="0"/>
      <w:marRight w:val="0"/>
      <w:marTop w:val="0"/>
      <w:marBottom w:val="0"/>
      <w:divBdr>
        <w:top w:val="none" w:sz="0" w:space="0" w:color="auto"/>
        <w:left w:val="none" w:sz="0" w:space="0" w:color="auto"/>
        <w:bottom w:val="none" w:sz="0" w:space="0" w:color="auto"/>
        <w:right w:val="none" w:sz="0" w:space="0" w:color="auto"/>
      </w:divBdr>
    </w:div>
    <w:div w:id="1848009811">
      <w:bodyDiv w:val="1"/>
      <w:marLeft w:val="0"/>
      <w:marRight w:val="0"/>
      <w:marTop w:val="0"/>
      <w:marBottom w:val="0"/>
      <w:divBdr>
        <w:top w:val="none" w:sz="0" w:space="0" w:color="auto"/>
        <w:left w:val="none" w:sz="0" w:space="0" w:color="auto"/>
        <w:bottom w:val="none" w:sz="0" w:space="0" w:color="auto"/>
        <w:right w:val="none" w:sz="0" w:space="0" w:color="auto"/>
      </w:divBdr>
    </w:div>
    <w:div w:id="1853841323">
      <w:bodyDiv w:val="1"/>
      <w:marLeft w:val="0"/>
      <w:marRight w:val="0"/>
      <w:marTop w:val="0"/>
      <w:marBottom w:val="0"/>
      <w:divBdr>
        <w:top w:val="none" w:sz="0" w:space="0" w:color="auto"/>
        <w:left w:val="none" w:sz="0" w:space="0" w:color="auto"/>
        <w:bottom w:val="none" w:sz="0" w:space="0" w:color="auto"/>
        <w:right w:val="none" w:sz="0" w:space="0" w:color="auto"/>
      </w:divBdr>
    </w:div>
    <w:div w:id="2118475553">
      <w:bodyDiv w:val="1"/>
      <w:marLeft w:val="0"/>
      <w:marRight w:val="0"/>
      <w:marTop w:val="0"/>
      <w:marBottom w:val="0"/>
      <w:divBdr>
        <w:top w:val="none" w:sz="0" w:space="0" w:color="auto"/>
        <w:left w:val="none" w:sz="0" w:space="0" w:color="auto"/>
        <w:bottom w:val="none" w:sz="0" w:space="0" w:color="auto"/>
        <w:right w:val="none" w:sz="0" w:space="0" w:color="auto"/>
      </w:divBdr>
      <w:divsChild>
        <w:div w:id="1557624230">
          <w:marLeft w:val="0"/>
          <w:marRight w:val="0"/>
          <w:marTop w:val="0"/>
          <w:marBottom w:val="0"/>
          <w:divBdr>
            <w:top w:val="none" w:sz="0" w:space="0" w:color="auto"/>
            <w:left w:val="none" w:sz="0" w:space="0" w:color="auto"/>
            <w:bottom w:val="none" w:sz="0" w:space="0" w:color="auto"/>
            <w:right w:val="none" w:sz="0" w:space="0" w:color="auto"/>
          </w:divBdr>
          <w:divsChild>
            <w:div w:id="107729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rue89bordeaux.com/2023/07/le-bidonville-de-brazza-nexiste-plus-une-vingtaine-de-familles-relogees/" TargetMode="External"/><Relationship Id="rId18" Type="http://schemas.openxmlformats.org/officeDocument/2006/relationships/hyperlink" Target="https://www.legifrance.gouv.fr/loda/id/JORFTEXT000048727345" TargetMode="External"/><Relationship Id="rId26" Type="http://schemas.openxmlformats.org/officeDocument/2006/relationships/hyperlink" Target="http://www.anafe.org/spip.php?mot31" TargetMode="External"/><Relationship Id="rId3" Type="http://schemas.openxmlformats.org/officeDocument/2006/relationships/hyperlink" Target="https://www.dilcrah.gouv.fr/actualites/plan-national-de-formation-destination-des-personnels-de-leducation-nationale" TargetMode="External"/><Relationship Id="rId21" Type="http://schemas.openxmlformats.org/officeDocument/2006/relationships/hyperlink" Target="https://www.legifrance.gouv.fr/juri/id/CETATEXT000048543157" TargetMode="External"/><Relationship Id="rId7" Type="http://schemas.openxmlformats.org/officeDocument/2006/relationships/hyperlink" Target="https://www.lefigaro.fr/nantes/nantes-une-ordonnance-d-expulsion-menace-un-camp-de-roms-du-peripherique-20240221" TargetMode="External"/><Relationship Id="rId12" Type="http://schemas.openxmlformats.org/officeDocument/2006/relationships/hyperlink" Target="https://www.observatoiredesexpulsions.org/storage/wsm_publication/Zx2q8LZNRTEXdx5u5q5laKHgEQWPqpLOYahfyeb1.pdf" TargetMode="External"/><Relationship Id="rId17" Type="http://schemas.openxmlformats.org/officeDocument/2006/relationships/hyperlink" Target="https://www.cncdh.fr/publications/lettre-du-president-au-senat-concernant-la-ppl-visant-proteger-les-logements-contre" TargetMode="External"/><Relationship Id="rId25" Type="http://schemas.openxmlformats.org/officeDocument/2006/relationships/hyperlink" Target="https://www.lacimade.org/schemas-regionaux-daccueil-des-demandeurs-dasile-quel-etat-des-lieux/" TargetMode="External"/><Relationship Id="rId33" Type="http://schemas.openxmlformats.org/officeDocument/2006/relationships/hyperlink" Target="https://spcommreports.ohchr.org/TMResultsBase/DownLoadFile?gId=37838" TargetMode="External"/><Relationship Id="rId2" Type="http://schemas.openxmlformats.org/officeDocument/2006/relationships/hyperlink" Target="https://resorption-bidonvilles.beta.gouv.fr/" TargetMode="External"/><Relationship Id="rId16" Type="http://schemas.openxmlformats.org/officeDocument/2006/relationships/hyperlink" Target="https://www.romeurope.org/cp-porte-etroite-kasbarian/" TargetMode="External"/><Relationship Id="rId20" Type="http://schemas.openxmlformats.org/officeDocument/2006/relationships/hyperlink" Target="https://www.legifrance.gouv.fr/jorf/id/JORFTEXT000049180270" TargetMode="External"/><Relationship Id="rId29" Type="http://schemas.openxmlformats.org/officeDocument/2006/relationships/hyperlink" Target="https://www.legifrance.gouv.fr/jorf/id/JORFTEXT000048561010" TargetMode="External"/><Relationship Id="rId1" Type="http://schemas.openxmlformats.org/officeDocument/2006/relationships/hyperlink" Target="https://www.budget.gouv.fr/documentation/file-download/21489" TargetMode="External"/><Relationship Id="rId6" Type="http://schemas.openxmlformats.org/officeDocument/2006/relationships/hyperlink" Target="https://www.ouest-france.fr/pays-de-la-loire/reze-44400/bidonville-de-roms-on-veut-tous-partir-dici-df0f7f1c-c439-11ee-af40-0572f37cda9b" TargetMode="External"/><Relationship Id="rId11" Type="http://schemas.openxmlformats.org/officeDocument/2006/relationships/hyperlink" Target="https://www.assemblee-nationale.fr/dyn/16/textes/l16b2324_proposition-loi" TargetMode="External"/><Relationship Id="rId24" Type="http://schemas.openxmlformats.org/officeDocument/2006/relationships/hyperlink" Target="https://www.immigration.interieur.gouv.fr/Asile/Schema-national-d-accueil-des-demandeurs-d-asile-et-d-integration-des-refugies-2021-2023" TargetMode="External"/><Relationship Id="rId32" Type="http://schemas.openxmlformats.org/officeDocument/2006/relationships/hyperlink" Target="https://spcommreports.ohchr.org/TMResultsBase/DownLoadPublicCommunicationFile?gId=28363" TargetMode="External"/><Relationship Id="rId5" Type="http://schemas.openxmlformats.org/officeDocument/2006/relationships/hyperlink" Target="https://www.blog-resorption-bidonvilles.fr/post/%C3%A9tat-des-lieux-2023-et-bilan-des-actions-de-r%C3%A9sorption-de-bidonvilles" TargetMode="External"/><Relationship Id="rId15" Type="http://schemas.openxmlformats.org/officeDocument/2006/relationships/hyperlink" Target="https://www.legifrance.gouv.fr/jorf/id/JORFARTI000047903782" TargetMode="External"/><Relationship Id="rId23" Type="http://schemas.openxmlformats.org/officeDocument/2006/relationships/hyperlink" Target="https://www.immigration.interieur.gouv.fr/Asile/Schema-national-d-accueil-des-demandeurs-d-asile-et-d-integration-des-refugies-2021-2023" TargetMode="External"/><Relationship Id="rId28" Type="http://schemas.openxmlformats.org/officeDocument/2006/relationships/hyperlink" Target="https://www.legifrance.gouv.fr/jorf/id/JORFTEXT000037132534" TargetMode="External"/><Relationship Id="rId10" Type="http://schemas.openxmlformats.org/officeDocument/2006/relationships/hyperlink" Target="https://www.legifrance.gouv.fr/jorf/id/JORFTEXT000048520022" TargetMode="External"/><Relationship Id="rId19" Type="http://schemas.openxmlformats.org/officeDocument/2006/relationships/hyperlink" Target="https://www.budget.gouv.fr/documentation/file-download/21594" TargetMode="External"/><Relationship Id="rId31" Type="http://schemas.openxmlformats.org/officeDocument/2006/relationships/hyperlink" Target="https://www.ohchr.org/fr/press-releases/2023/06/france-must-respect-and-promote-right-peaceful-protest-un-experts" TargetMode="External"/><Relationship Id="rId4" Type="http://schemas.openxmlformats.org/officeDocument/2006/relationships/hyperlink" Target="https://www.dilcrah.gouv.fr/sinformer-et-etre-accompagne/les-appels-projets-et-les-subventions" TargetMode="External"/><Relationship Id="rId9" Type="http://schemas.openxmlformats.org/officeDocument/2006/relationships/hyperlink" Target="https://www.lemonde.fr/les-decodeurs/article/2023/11/09/aide-medicale-d-etat-trois-questions-sur-sa-suppression-votee-au-senat_6199192_4355770.html" TargetMode="External"/><Relationship Id="rId14" Type="http://schemas.openxmlformats.org/officeDocument/2006/relationships/hyperlink" Target="https://www.romeurope.org/wp-content/uploads/2022/05/Rapport-2022_CNDH-Romeurope.pdf" TargetMode="External"/><Relationship Id="rId22" Type="http://schemas.openxmlformats.org/officeDocument/2006/relationships/hyperlink" Target="https://www.infomigrants.net/fr/post/43651/france--le-gouvernement-va-creer-5-900-places-dhebergement-pour-les-demandeurs-dasile" TargetMode="External"/><Relationship Id="rId27" Type="http://schemas.openxmlformats.org/officeDocument/2006/relationships/hyperlink" Target="https://www.legifrance.gouv.fr/dossierlegislatif/JORFDOLE000047079143/" TargetMode="External"/><Relationship Id="rId30" Type="http://schemas.openxmlformats.org/officeDocument/2006/relationships/hyperlink" Target="https://blogs.mediapart.fr/les-invites-de-mediapart/blog/020224/en-soutien-rima-hassan-et-aux-voix-propalestiniennes" TargetMode="External"/><Relationship Id="rId8" Type="http://schemas.openxmlformats.org/officeDocument/2006/relationships/hyperlink" Target="https://www.legifrance.gouv.fr/codes/section_lc/LEGITEXT000006074069/LEGISCTA00000615760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19387-02D1-4FBE-AFCB-8192FEE80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11</Pages>
  <Words>2592</Words>
  <Characters>14256</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CNCDH</dc:creator>
  <cp:keywords/>
  <dc:description/>
  <cp:lastModifiedBy>Michel Tabbal</cp:lastModifiedBy>
  <cp:revision>202</cp:revision>
  <cp:lastPrinted>2024-04-03T11:49:00Z</cp:lastPrinted>
  <dcterms:created xsi:type="dcterms:W3CDTF">2024-03-06T12:39:00Z</dcterms:created>
  <dcterms:modified xsi:type="dcterms:W3CDTF">2024-04-03T11:50:00Z</dcterms:modified>
</cp:coreProperties>
</file>