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7D581C87" w:rsidR="00D47CCB" w:rsidRDefault="00704779" w:rsidP="00374531">
      <w:pPr>
        <w:jc w:val="center"/>
      </w:pPr>
      <w:r w:rsidRPr="00B8538A">
        <w:rPr>
          <w:rFonts w:ascii="MetaPro-Norm" w:hAnsi="MetaPro-Norm"/>
          <w:noProof/>
          <w:color w:val="2B579A"/>
          <w:shd w:val="clear" w:color="auto" w:fill="E6E6E6"/>
        </w:rPr>
        <w:drawing>
          <wp:inline distT="0" distB="0" distL="0" distR="0" wp14:anchorId="384B556A" wp14:editId="3D188C6A">
            <wp:extent cx="1066800" cy="1066800"/>
            <wp:effectExtent l="0" t="0" r="0" b="0"/>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HRW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72324" cy="1072324"/>
                    </a:xfrm>
                    <a:prstGeom prst="rect">
                      <a:avLst/>
                    </a:prstGeom>
                    <a:noFill/>
                    <a:ln>
                      <a:noFill/>
                    </a:ln>
                  </pic:spPr>
                </pic:pic>
              </a:graphicData>
            </a:graphic>
          </wp:inline>
        </w:drawing>
      </w:r>
    </w:p>
    <w:p w14:paraId="53698189" w14:textId="77777777" w:rsidR="005F1030" w:rsidRPr="00B8538A" w:rsidRDefault="005F1030" w:rsidP="00374531">
      <w:pPr>
        <w:spacing w:after="0" w:line="240" w:lineRule="auto"/>
        <w:jc w:val="center"/>
        <w:rPr>
          <w:rFonts w:ascii="MetaPro-Norm" w:hAnsi="MetaPro-Norm"/>
          <w:b/>
          <w:bCs/>
        </w:rPr>
      </w:pPr>
      <w:r w:rsidRPr="00B8538A">
        <w:rPr>
          <w:rFonts w:ascii="MetaPro-Norm" w:hAnsi="MetaPro-Norm"/>
          <w:b/>
          <w:bCs/>
        </w:rPr>
        <w:t xml:space="preserve">Human Rights Watch Submission </w:t>
      </w:r>
    </w:p>
    <w:p w14:paraId="119B5491" w14:textId="67D04D00" w:rsidR="005F1030" w:rsidRPr="00B8538A" w:rsidRDefault="005F1030" w:rsidP="00374531">
      <w:pPr>
        <w:spacing w:after="0" w:line="240" w:lineRule="auto"/>
        <w:jc w:val="center"/>
        <w:rPr>
          <w:rFonts w:ascii="MetaPro-Norm" w:hAnsi="MetaPro-Norm"/>
          <w:b/>
          <w:bCs/>
        </w:rPr>
      </w:pPr>
      <w:r w:rsidRPr="00B8538A">
        <w:rPr>
          <w:rFonts w:ascii="MetaPro-Norm" w:hAnsi="MetaPro-Norm"/>
          <w:b/>
          <w:bCs/>
        </w:rPr>
        <w:t xml:space="preserve">to the United Nations </w:t>
      </w:r>
      <w:r w:rsidR="00C902C3">
        <w:rPr>
          <w:rFonts w:ascii="MetaPro-Norm" w:hAnsi="MetaPro-Norm"/>
          <w:b/>
          <w:bCs/>
        </w:rPr>
        <w:t>Committee on Economic, Social and Cultural Rights</w:t>
      </w:r>
    </w:p>
    <w:p w14:paraId="0F07F274" w14:textId="7D9B0398" w:rsidR="005F1030" w:rsidRPr="00B8538A" w:rsidRDefault="7BE4742A" w:rsidP="00374531">
      <w:pPr>
        <w:spacing w:after="0" w:line="240" w:lineRule="auto"/>
        <w:jc w:val="center"/>
        <w:rPr>
          <w:rFonts w:ascii="MetaPro-Norm" w:hAnsi="MetaPro-Norm"/>
          <w:b/>
          <w:bCs/>
        </w:rPr>
      </w:pPr>
      <w:r w:rsidRPr="79902FC8">
        <w:rPr>
          <w:rFonts w:ascii="MetaPro-Norm" w:hAnsi="MetaPro-Norm"/>
          <w:b/>
          <w:bCs/>
        </w:rPr>
        <w:t>List of Issues</w:t>
      </w:r>
      <w:r w:rsidR="005F1030" w:rsidRPr="79902FC8">
        <w:rPr>
          <w:rFonts w:ascii="MetaPro-Norm" w:hAnsi="MetaPro-Norm"/>
          <w:b/>
          <w:bCs/>
        </w:rPr>
        <w:t xml:space="preserve"> of </w:t>
      </w:r>
      <w:r w:rsidR="00C902C3" w:rsidRPr="79902FC8">
        <w:rPr>
          <w:rFonts w:ascii="MetaPro-Norm" w:hAnsi="MetaPro-Norm"/>
          <w:b/>
          <w:bCs/>
        </w:rPr>
        <w:t>Egypt</w:t>
      </w:r>
    </w:p>
    <w:p w14:paraId="3EED1353" w14:textId="72EB392E" w:rsidR="005F1030" w:rsidRPr="00B8538A" w:rsidRDefault="00C902C3" w:rsidP="00374531">
      <w:pPr>
        <w:spacing w:after="0" w:line="240" w:lineRule="auto"/>
        <w:jc w:val="center"/>
        <w:rPr>
          <w:rFonts w:ascii="MetaPro-Norm" w:hAnsi="MetaPro-Norm" w:cstheme="minorHAnsi"/>
          <w:b/>
          <w:bCs/>
        </w:rPr>
      </w:pPr>
      <w:r>
        <w:rPr>
          <w:rFonts w:ascii="MetaPro-Norm" w:hAnsi="MetaPro-Norm" w:cstheme="minorHAnsi"/>
          <w:b/>
          <w:bCs/>
        </w:rPr>
        <w:t>79</w:t>
      </w:r>
      <w:r w:rsidRPr="00C902C3">
        <w:rPr>
          <w:rFonts w:ascii="MetaPro-Norm" w:hAnsi="MetaPro-Norm" w:cstheme="minorHAnsi"/>
          <w:b/>
          <w:bCs/>
          <w:vertAlign w:val="superscript"/>
        </w:rPr>
        <w:t>th</w:t>
      </w:r>
      <w:r>
        <w:rPr>
          <w:rFonts w:ascii="MetaPro-Norm" w:hAnsi="MetaPro-Norm" w:cstheme="minorHAnsi"/>
          <w:b/>
          <w:bCs/>
        </w:rPr>
        <w:t xml:space="preserve"> </w:t>
      </w:r>
      <w:r w:rsidR="00C862B5">
        <w:rPr>
          <w:rFonts w:ascii="MetaPro-Norm" w:hAnsi="MetaPro-Norm" w:cstheme="minorHAnsi"/>
          <w:b/>
          <w:bCs/>
        </w:rPr>
        <w:t>Session</w:t>
      </w:r>
    </w:p>
    <w:p w14:paraId="353733DA" w14:textId="680A5A9D" w:rsidR="00F57915" w:rsidRDefault="00C902C3" w:rsidP="00374531">
      <w:pPr>
        <w:spacing w:after="0"/>
        <w:jc w:val="center"/>
        <w:rPr>
          <w:rFonts w:ascii="MetaPro-Norm" w:hAnsi="MetaPro-Norm" w:cstheme="minorHAnsi"/>
          <w:b/>
          <w:bCs/>
          <w:i/>
          <w:iCs/>
        </w:rPr>
      </w:pPr>
      <w:r>
        <w:rPr>
          <w:rFonts w:ascii="MetaPro-Norm" w:hAnsi="MetaPro-Norm" w:cstheme="minorHAnsi"/>
          <w:b/>
          <w:bCs/>
          <w:i/>
          <w:iCs/>
        </w:rPr>
        <w:t>November 2025</w:t>
      </w:r>
    </w:p>
    <w:p w14:paraId="3CAD429E" w14:textId="77777777" w:rsidR="00890C8D" w:rsidRDefault="00890C8D" w:rsidP="00374531">
      <w:pPr>
        <w:spacing w:after="0"/>
        <w:jc w:val="center"/>
        <w:rPr>
          <w:rFonts w:ascii="MetaPro-Norm" w:hAnsi="MetaPro-Norm" w:cstheme="minorHAnsi"/>
          <w:b/>
          <w:bCs/>
          <w:i/>
          <w:iCs/>
        </w:rPr>
      </w:pPr>
    </w:p>
    <w:p w14:paraId="4A3FE869" w14:textId="20D24647" w:rsidR="00A87626" w:rsidRDefault="00890C8D" w:rsidP="003438BD">
      <w:pPr>
        <w:spacing w:after="0"/>
        <w:rPr>
          <w:rFonts w:ascii="MetaPro-Norm" w:hAnsi="MetaPro-Norm"/>
          <w:sz w:val="22"/>
          <w:szCs w:val="22"/>
        </w:rPr>
      </w:pPr>
      <w:r w:rsidRPr="79902FC8">
        <w:rPr>
          <w:rFonts w:ascii="MetaPro-Norm" w:hAnsi="MetaPro-Norm"/>
          <w:sz w:val="22"/>
          <w:szCs w:val="22"/>
        </w:rPr>
        <w:t>We write in advance of the</w:t>
      </w:r>
      <w:r w:rsidR="001703B6" w:rsidRPr="79902FC8">
        <w:rPr>
          <w:rFonts w:ascii="MetaPro-Norm" w:hAnsi="MetaPro-Norm"/>
          <w:sz w:val="22"/>
          <w:szCs w:val="22"/>
        </w:rPr>
        <w:t xml:space="preserve"> </w:t>
      </w:r>
      <w:r w:rsidR="00C902C3" w:rsidRPr="79902FC8">
        <w:rPr>
          <w:rFonts w:ascii="MetaPro-Norm" w:hAnsi="MetaPro-Norm"/>
          <w:sz w:val="22"/>
          <w:szCs w:val="22"/>
        </w:rPr>
        <w:t>79</w:t>
      </w:r>
      <w:r w:rsidR="00C902C3" w:rsidRPr="79902FC8">
        <w:rPr>
          <w:rFonts w:ascii="MetaPro-Norm" w:hAnsi="MetaPro-Norm"/>
          <w:sz w:val="22"/>
          <w:szCs w:val="22"/>
          <w:vertAlign w:val="superscript"/>
        </w:rPr>
        <w:t>th</w:t>
      </w:r>
      <w:r w:rsidR="00C902C3" w:rsidRPr="79902FC8">
        <w:rPr>
          <w:rFonts w:ascii="MetaPro-Norm" w:hAnsi="MetaPro-Norm"/>
          <w:sz w:val="22"/>
          <w:szCs w:val="22"/>
        </w:rPr>
        <w:t xml:space="preserve"> session</w:t>
      </w:r>
      <w:r w:rsidRPr="79902FC8">
        <w:rPr>
          <w:rFonts w:ascii="MetaPro-Norm" w:hAnsi="MetaPro-Norm"/>
          <w:sz w:val="22"/>
          <w:szCs w:val="22"/>
        </w:rPr>
        <w:t xml:space="preserve"> of the </w:t>
      </w:r>
      <w:r w:rsidR="00C902C3" w:rsidRPr="79902FC8">
        <w:rPr>
          <w:rFonts w:ascii="MetaPro-Norm" w:hAnsi="MetaPro-Norm"/>
          <w:sz w:val="22"/>
          <w:szCs w:val="22"/>
        </w:rPr>
        <w:t>Committee on Economic, Social and Cultural Rights</w:t>
      </w:r>
      <w:r w:rsidR="0085633D" w:rsidRPr="79902FC8">
        <w:rPr>
          <w:rFonts w:ascii="MetaPro-Norm" w:hAnsi="MetaPro-Norm"/>
          <w:sz w:val="22"/>
          <w:szCs w:val="22"/>
        </w:rPr>
        <w:t xml:space="preserve"> </w:t>
      </w:r>
      <w:r w:rsidRPr="79902FC8">
        <w:rPr>
          <w:rFonts w:ascii="MetaPro-Norm" w:hAnsi="MetaPro-Norm"/>
          <w:sz w:val="22"/>
          <w:szCs w:val="22"/>
        </w:rPr>
        <w:t xml:space="preserve">(the “Committee”) </w:t>
      </w:r>
      <w:r w:rsidR="002C2637" w:rsidRPr="79902FC8">
        <w:rPr>
          <w:rFonts w:ascii="MetaPro-Norm" w:hAnsi="MetaPro-Norm"/>
          <w:sz w:val="22"/>
          <w:szCs w:val="22"/>
        </w:rPr>
        <w:t xml:space="preserve">and its </w:t>
      </w:r>
      <w:r w:rsidR="60636EB5" w:rsidRPr="79902FC8">
        <w:rPr>
          <w:rFonts w:ascii="MetaPro-Norm" w:hAnsi="MetaPro-Norm"/>
          <w:sz w:val="22"/>
          <w:szCs w:val="22"/>
        </w:rPr>
        <w:t>adoption of the list of issues</w:t>
      </w:r>
      <w:r w:rsidR="002C2637" w:rsidRPr="79902FC8">
        <w:rPr>
          <w:rFonts w:ascii="MetaPro-Norm" w:hAnsi="MetaPro-Norm"/>
          <w:sz w:val="22"/>
          <w:szCs w:val="22"/>
        </w:rPr>
        <w:t xml:space="preserve"> of Egypt</w:t>
      </w:r>
      <w:r w:rsidR="002C2637" w:rsidRPr="00917415">
        <w:rPr>
          <w:rFonts w:ascii="MetaPro-Norm" w:hAnsi="MetaPro-Norm"/>
          <w:sz w:val="22"/>
          <w:szCs w:val="22"/>
        </w:rPr>
        <w:t xml:space="preserve">. </w:t>
      </w:r>
      <w:r w:rsidR="0087527B" w:rsidRPr="00917415">
        <w:rPr>
          <w:rFonts w:ascii="MetaPro-Norm" w:hAnsi="MetaPro-Norm"/>
          <w:sz w:val="22"/>
          <w:szCs w:val="22"/>
        </w:rPr>
        <w:t xml:space="preserve">This submission focuses on </w:t>
      </w:r>
      <w:r w:rsidR="00AE4C93" w:rsidRPr="00917415">
        <w:rPr>
          <w:rFonts w:ascii="MetaPro-Norm" w:hAnsi="MetaPro-Norm"/>
          <w:sz w:val="22"/>
          <w:szCs w:val="22"/>
        </w:rPr>
        <w:t xml:space="preserve">rising costs of living, </w:t>
      </w:r>
      <w:r w:rsidR="007225C6" w:rsidRPr="00917415">
        <w:rPr>
          <w:rFonts w:ascii="MetaPro-Norm" w:hAnsi="MetaPro-Norm"/>
          <w:sz w:val="22"/>
          <w:szCs w:val="22"/>
        </w:rPr>
        <w:t xml:space="preserve">poverty, education, health care, tax, and military </w:t>
      </w:r>
      <w:r w:rsidR="27F21931" w:rsidRPr="00917415">
        <w:rPr>
          <w:rFonts w:ascii="MetaPro-Norm" w:hAnsi="MetaPro-Norm"/>
          <w:sz w:val="22"/>
          <w:szCs w:val="22"/>
        </w:rPr>
        <w:t xml:space="preserve">intervention in </w:t>
      </w:r>
      <w:r w:rsidR="329A71F5" w:rsidRPr="00917415">
        <w:rPr>
          <w:rFonts w:ascii="MetaPro-Norm" w:hAnsi="MetaPro-Norm"/>
          <w:sz w:val="22"/>
          <w:szCs w:val="22"/>
        </w:rPr>
        <w:t xml:space="preserve">the </w:t>
      </w:r>
      <w:r w:rsidR="27F21931" w:rsidRPr="00917415">
        <w:rPr>
          <w:rFonts w:ascii="MetaPro-Norm" w:hAnsi="MetaPro-Norm"/>
          <w:sz w:val="22"/>
          <w:szCs w:val="22"/>
        </w:rPr>
        <w:t xml:space="preserve">civilian </w:t>
      </w:r>
      <w:r w:rsidR="65CB0B84" w:rsidRPr="00917415">
        <w:rPr>
          <w:rFonts w:ascii="MetaPro-Norm" w:hAnsi="MetaPro-Norm"/>
          <w:sz w:val="22"/>
          <w:szCs w:val="22"/>
        </w:rPr>
        <w:t>economy</w:t>
      </w:r>
      <w:r w:rsidR="0087527B" w:rsidRPr="00917415">
        <w:rPr>
          <w:rFonts w:ascii="MetaPro-Norm" w:hAnsi="MetaPro-Norm"/>
          <w:sz w:val="22"/>
          <w:szCs w:val="22"/>
        </w:rPr>
        <w:t xml:space="preserve">. </w:t>
      </w:r>
      <w:r w:rsidR="003438BD" w:rsidRPr="00917415">
        <w:rPr>
          <w:rFonts w:ascii="MetaPro-Norm" w:hAnsi="MetaPro-Norm"/>
          <w:sz w:val="22"/>
          <w:szCs w:val="22"/>
        </w:rPr>
        <w:t>We</w:t>
      </w:r>
      <w:r w:rsidR="003438BD" w:rsidRPr="79902FC8">
        <w:rPr>
          <w:rFonts w:ascii="MetaPro-Norm" w:hAnsi="MetaPro-Norm"/>
          <w:sz w:val="22"/>
          <w:szCs w:val="22"/>
        </w:rPr>
        <w:t xml:space="preserve"> hope this will inform the Committee’s preparation of its list of issues to seek further clarity </w:t>
      </w:r>
      <w:r w:rsidR="002C2637" w:rsidRPr="79902FC8">
        <w:rPr>
          <w:rFonts w:ascii="MetaPro-Norm" w:hAnsi="MetaPro-Norm"/>
          <w:sz w:val="22"/>
          <w:szCs w:val="22"/>
        </w:rPr>
        <w:t>on Egypt’s</w:t>
      </w:r>
      <w:r w:rsidR="003438BD" w:rsidRPr="79902FC8">
        <w:rPr>
          <w:rFonts w:ascii="MetaPro-Norm" w:hAnsi="MetaPro-Norm"/>
          <w:sz w:val="22"/>
          <w:szCs w:val="22"/>
        </w:rPr>
        <w:t xml:space="preserve"> compliance with the </w:t>
      </w:r>
      <w:r w:rsidR="002C2637" w:rsidRPr="79902FC8">
        <w:rPr>
          <w:rFonts w:ascii="MetaPro-Norm" w:hAnsi="MetaPro-Norm"/>
          <w:sz w:val="22"/>
          <w:szCs w:val="22"/>
        </w:rPr>
        <w:t>International Covenant on Economic, Social and Cultural Rights.</w:t>
      </w:r>
    </w:p>
    <w:p w14:paraId="26D7846E" w14:textId="77777777" w:rsidR="00822ACE" w:rsidRDefault="00822ACE" w:rsidP="003438BD">
      <w:pPr>
        <w:spacing w:after="0"/>
        <w:rPr>
          <w:rFonts w:ascii="MetaPro-Norm" w:hAnsi="MetaPro-Norm"/>
          <w:sz w:val="22"/>
          <w:szCs w:val="22"/>
        </w:rPr>
      </w:pPr>
    </w:p>
    <w:p w14:paraId="005F125C" w14:textId="3A2A37E4" w:rsidR="0BCFAFB8" w:rsidRDefault="0BCFAFB8" w:rsidP="00577D00">
      <w:pPr>
        <w:pStyle w:val="Heading2"/>
      </w:pPr>
      <w:r w:rsidRPr="56A22BD8">
        <w:t>Rising Costs of Living, Rising Pove</w:t>
      </w:r>
      <w:r w:rsidR="3772307B" w:rsidRPr="56A22BD8">
        <w:t>rt</w:t>
      </w:r>
      <w:r w:rsidRPr="56A22BD8">
        <w:t>y, and Access to Essential Public Services (articles 11</w:t>
      </w:r>
      <w:r w:rsidR="03002F43" w:rsidRPr="56A22BD8">
        <w:t xml:space="preserve"> and </w:t>
      </w:r>
      <w:r w:rsidRPr="56A22BD8">
        <w:t>13)</w:t>
      </w:r>
    </w:p>
    <w:p w14:paraId="5321D723" w14:textId="68474C7A" w:rsidR="00252920" w:rsidRDefault="04F36BFB" w:rsidP="476FDD7E">
      <w:pPr>
        <w:spacing w:after="0"/>
        <w:rPr>
          <w:rFonts w:ascii="MetaPro-Norm" w:hAnsi="MetaPro-Norm"/>
          <w:sz w:val="22"/>
          <w:szCs w:val="22"/>
        </w:rPr>
      </w:pPr>
      <w:r w:rsidRPr="2A6D3368">
        <w:rPr>
          <w:rFonts w:ascii="MetaPro-Norm" w:hAnsi="MetaPro-Norm"/>
          <w:sz w:val="22"/>
          <w:szCs w:val="22"/>
        </w:rPr>
        <w:t xml:space="preserve">Since 2014, under the government of President Abdel Fattah Al-Sisi, </w:t>
      </w:r>
      <w:r w:rsidR="5FA3932E" w:rsidRPr="2A6D3368">
        <w:rPr>
          <w:rFonts w:ascii="MetaPro-Norm" w:hAnsi="MetaPro-Norm"/>
          <w:sz w:val="22"/>
          <w:szCs w:val="22"/>
        </w:rPr>
        <w:t>E</w:t>
      </w:r>
      <w:r w:rsidR="39835241" w:rsidRPr="2A6D3368">
        <w:rPr>
          <w:rFonts w:ascii="MetaPro-Norm" w:hAnsi="MetaPro-Norm"/>
          <w:sz w:val="22"/>
          <w:szCs w:val="22"/>
        </w:rPr>
        <w:t xml:space="preserve">gypt’s </w:t>
      </w:r>
      <w:r w:rsidR="087169A2" w:rsidRPr="2A6D3368">
        <w:rPr>
          <w:rFonts w:ascii="MetaPro-Norm" w:hAnsi="MetaPro-Norm"/>
          <w:sz w:val="22"/>
          <w:szCs w:val="22"/>
        </w:rPr>
        <w:t xml:space="preserve">recurring </w:t>
      </w:r>
      <w:r w:rsidR="39835241" w:rsidRPr="2A6D3368">
        <w:rPr>
          <w:rFonts w:ascii="MetaPro-Norm" w:hAnsi="MetaPro-Norm"/>
          <w:sz w:val="22"/>
          <w:szCs w:val="22"/>
        </w:rPr>
        <w:t>economic cris</w:t>
      </w:r>
      <w:r w:rsidR="36AC69FB" w:rsidRPr="2A6D3368">
        <w:rPr>
          <w:rFonts w:ascii="MetaPro-Norm" w:hAnsi="MetaPro-Norm"/>
          <w:sz w:val="22"/>
          <w:szCs w:val="22"/>
        </w:rPr>
        <w:t>e</w:t>
      </w:r>
      <w:r w:rsidR="39835241" w:rsidRPr="2A6D3368">
        <w:rPr>
          <w:rFonts w:ascii="MetaPro-Norm" w:hAnsi="MetaPro-Norm"/>
          <w:sz w:val="22"/>
          <w:szCs w:val="22"/>
        </w:rPr>
        <w:t>s ha</w:t>
      </w:r>
      <w:r w:rsidR="505F1B0C" w:rsidRPr="2A6D3368">
        <w:rPr>
          <w:rFonts w:ascii="MetaPro-Norm" w:hAnsi="MetaPro-Norm"/>
          <w:sz w:val="22"/>
          <w:szCs w:val="22"/>
        </w:rPr>
        <w:t xml:space="preserve">ve </w:t>
      </w:r>
      <w:r w:rsidR="39835241" w:rsidRPr="2A6D3368">
        <w:rPr>
          <w:rFonts w:ascii="MetaPro-Norm" w:hAnsi="MetaPro-Norm"/>
          <w:sz w:val="22"/>
          <w:szCs w:val="22"/>
        </w:rPr>
        <w:t>had devastating effects on people’s access to economic, social and cultural rights, while authorities continue to thrive off a lack of accountability and public scrutiny.</w:t>
      </w:r>
      <w:r w:rsidR="28CD23EF" w:rsidRPr="2A6D3368">
        <w:rPr>
          <w:rFonts w:ascii="MetaPro-Norm" w:hAnsi="MetaPro-Norm"/>
          <w:sz w:val="22"/>
          <w:szCs w:val="22"/>
        </w:rPr>
        <w:t xml:space="preserve"> </w:t>
      </w:r>
      <w:r w:rsidR="06CD2F0C" w:rsidRPr="2A6D3368">
        <w:rPr>
          <w:rFonts w:ascii="MetaPro-Norm" w:hAnsi="MetaPro-Norm"/>
          <w:sz w:val="22"/>
          <w:szCs w:val="22"/>
        </w:rPr>
        <w:t>In the span of ten years, the</w:t>
      </w:r>
      <w:r w:rsidR="006A058F">
        <w:rPr>
          <w:rFonts w:ascii="MetaPro-Norm" w:hAnsi="MetaPro-Norm"/>
          <w:sz w:val="22"/>
          <w:szCs w:val="22"/>
        </w:rPr>
        <w:t xml:space="preserve"> </w:t>
      </w:r>
      <w:r w:rsidR="683DF964" w:rsidRPr="56A22BD8">
        <w:rPr>
          <w:rFonts w:ascii="MetaPro-Norm" w:hAnsi="MetaPro-Norm"/>
          <w:sz w:val="22"/>
          <w:szCs w:val="22"/>
        </w:rPr>
        <w:t xml:space="preserve">country’s foreign debt has reached unprecedented levels, exceeding </w:t>
      </w:r>
      <w:r w:rsidR="485B1ED9" w:rsidRPr="56A22BD8">
        <w:rPr>
          <w:rFonts w:ascii="MetaPro-Norm" w:hAnsi="MetaPro-Norm"/>
          <w:sz w:val="22"/>
          <w:szCs w:val="22"/>
        </w:rPr>
        <w:t>US</w:t>
      </w:r>
      <w:r w:rsidR="11C49AAA" w:rsidRPr="56A22BD8">
        <w:rPr>
          <w:rFonts w:ascii="MetaPro-Norm" w:hAnsi="MetaPro-Norm"/>
          <w:sz w:val="22"/>
          <w:szCs w:val="22"/>
        </w:rPr>
        <w:t>$</w:t>
      </w:r>
      <w:r w:rsidR="683DF964" w:rsidRPr="56A22BD8">
        <w:rPr>
          <w:rFonts w:ascii="MetaPro-Norm" w:hAnsi="MetaPro-Norm"/>
          <w:sz w:val="22"/>
          <w:szCs w:val="22"/>
        </w:rPr>
        <w:t>1</w:t>
      </w:r>
      <w:r w:rsidR="03D40A50" w:rsidRPr="56A22BD8">
        <w:rPr>
          <w:rFonts w:ascii="MetaPro-Norm" w:hAnsi="MetaPro-Norm"/>
          <w:sz w:val="22"/>
          <w:szCs w:val="22"/>
        </w:rPr>
        <w:t>68</w:t>
      </w:r>
      <w:r w:rsidR="7E2E1C10" w:rsidRPr="56A22BD8">
        <w:rPr>
          <w:rFonts w:ascii="MetaPro-Norm" w:hAnsi="MetaPro-Norm"/>
          <w:sz w:val="22"/>
          <w:szCs w:val="22"/>
        </w:rPr>
        <w:t xml:space="preserve"> billion by end of 2023</w:t>
      </w:r>
      <w:r w:rsidR="0512610C" w:rsidRPr="56A22BD8">
        <w:rPr>
          <w:rFonts w:ascii="MetaPro-Norm" w:hAnsi="MetaPro-Norm"/>
          <w:sz w:val="22"/>
          <w:szCs w:val="22"/>
        </w:rPr>
        <w:t>,</w:t>
      </w:r>
      <w:r w:rsidR="00252920" w:rsidRPr="2A6D3368">
        <w:rPr>
          <w:rStyle w:val="FootnoteReference"/>
          <w:rFonts w:ascii="MetaPro-Norm" w:hAnsi="MetaPro-Norm"/>
          <w:sz w:val="22"/>
          <w:szCs w:val="22"/>
        </w:rPr>
        <w:footnoteReference w:id="1"/>
      </w:r>
      <w:r w:rsidR="0E23EF91" w:rsidRPr="2A6D3368">
        <w:rPr>
          <w:rStyle w:val="FootnoteReference"/>
          <w:rFonts w:ascii="MetaPro-Norm" w:hAnsi="MetaPro-Norm"/>
          <w:sz w:val="22"/>
          <w:szCs w:val="22"/>
        </w:rPr>
        <w:t xml:space="preserve"> </w:t>
      </w:r>
      <w:r w:rsidR="05C43E3F" w:rsidRPr="56A22BD8">
        <w:rPr>
          <w:rFonts w:ascii="MetaPro-Norm" w:hAnsi="MetaPro-Norm"/>
          <w:sz w:val="22"/>
          <w:szCs w:val="22"/>
        </w:rPr>
        <w:t>which has come at the expense of human rights.</w:t>
      </w:r>
      <w:r w:rsidR="00252920" w:rsidRPr="2A6D3368">
        <w:rPr>
          <w:rStyle w:val="FootnoteReference"/>
          <w:rFonts w:ascii="MetaPro-Norm" w:hAnsi="MetaPro-Norm"/>
          <w:sz w:val="22"/>
          <w:szCs w:val="22"/>
        </w:rPr>
        <w:footnoteReference w:id="2"/>
      </w:r>
      <w:r w:rsidR="05C43E3F" w:rsidRPr="56A22BD8">
        <w:rPr>
          <w:rFonts w:ascii="MetaPro-Norm" w:hAnsi="MetaPro-Norm"/>
          <w:sz w:val="22"/>
          <w:szCs w:val="22"/>
        </w:rPr>
        <w:t xml:space="preserve"> </w:t>
      </w:r>
      <w:r w:rsidR="6C24C5D5" w:rsidRPr="2A6D3368">
        <w:rPr>
          <w:rFonts w:ascii="MetaPro-Norm" w:hAnsi="MetaPro-Norm"/>
          <w:sz w:val="22"/>
          <w:szCs w:val="22"/>
        </w:rPr>
        <w:t xml:space="preserve">Most recently, </w:t>
      </w:r>
      <w:r w:rsidR="6C24C5D5" w:rsidRPr="56A22BD8">
        <w:rPr>
          <w:rFonts w:ascii="MetaPro-Norm" w:hAnsi="MetaPro-Norm"/>
          <w:sz w:val="22"/>
          <w:szCs w:val="22"/>
        </w:rPr>
        <w:t xml:space="preserve">in </w:t>
      </w:r>
      <w:r w:rsidR="00252920" w:rsidRPr="56A22BD8">
        <w:rPr>
          <w:rFonts w:ascii="MetaPro-Norm" w:hAnsi="MetaPro-Norm"/>
          <w:sz w:val="22"/>
          <w:szCs w:val="22"/>
        </w:rPr>
        <w:t>February 2024, international donors</w:t>
      </w:r>
      <w:r w:rsidR="135B6CC9" w:rsidRPr="56A22BD8">
        <w:rPr>
          <w:rFonts w:ascii="MetaPro-Norm" w:hAnsi="MetaPro-Norm"/>
          <w:sz w:val="22"/>
          <w:szCs w:val="22"/>
        </w:rPr>
        <w:t xml:space="preserve"> – including the International Monetary Fund (IMF), the World Bank, the United Kingdom, and the European Union – have </w:t>
      </w:r>
      <w:r w:rsidR="00252920" w:rsidRPr="56A22BD8">
        <w:rPr>
          <w:rFonts w:ascii="MetaPro-Norm" w:hAnsi="MetaPro-Norm"/>
          <w:sz w:val="22"/>
          <w:szCs w:val="22"/>
        </w:rPr>
        <w:t>provided or promised roughly US</w:t>
      </w:r>
      <w:r w:rsidR="15F04283" w:rsidRPr="56A22BD8">
        <w:rPr>
          <w:rFonts w:ascii="MetaPro-Norm" w:hAnsi="MetaPro-Norm"/>
          <w:sz w:val="22"/>
          <w:szCs w:val="22"/>
        </w:rPr>
        <w:t>$</w:t>
      </w:r>
      <w:r w:rsidR="1C32957D" w:rsidRPr="56A22BD8">
        <w:rPr>
          <w:rFonts w:ascii="MetaPro-Norm" w:hAnsi="MetaPro-Norm"/>
          <w:sz w:val="22"/>
          <w:szCs w:val="22"/>
        </w:rPr>
        <w:t>57 billion</w:t>
      </w:r>
      <w:r w:rsidR="00252920" w:rsidRPr="56A22BD8">
        <w:rPr>
          <w:rFonts w:ascii="MetaPro-Norm" w:hAnsi="MetaPro-Norm"/>
          <w:sz w:val="22"/>
          <w:szCs w:val="22"/>
        </w:rPr>
        <w:t xml:space="preserve"> in grants and loans.</w:t>
      </w:r>
      <w:r w:rsidR="008D5817">
        <w:rPr>
          <w:rStyle w:val="FootnoteReference"/>
          <w:rFonts w:ascii="MetaPro-Norm" w:hAnsi="MetaPro-Norm"/>
          <w:sz w:val="22"/>
          <w:szCs w:val="22"/>
        </w:rPr>
        <w:footnoteReference w:id="3"/>
      </w:r>
      <w:r w:rsidR="1462431A" w:rsidRPr="2A6D3368">
        <w:rPr>
          <w:rFonts w:ascii="MetaPro-Norm" w:hAnsi="MetaPro-Norm"/>
          <w:sz w:val="22"/>
          <w:szCs w:val="22"/>
        </w:rPr>
        <w:t xml:space="preserve"> </w:t>
      </w:r>
      <w:r w:rsidR="00986219">
        <w:rPr>
          <w:rFonts w:ascii="MetaPro-Norm" w:hAnsi="MetaPro-Norm"/>
          <w:sz w:val="22"/>
          <w:szCs w:val="22"/>
        </w:rPr>
        <w:t xml:space="preserve">Some </w:t>
      </w:r>
      <w:r w:rsidR="0008239D" w:rsidRPr="2A6D3368">
        <w:rPr>
          <w:rFonts w:ascii="MetaPro-Norm" w:hAnsi="MetaPro-Norm"/>
          <w:sz w:val="22"/>
          <w:szCs w:val="22"/>
        </w:rPr>
        <w:t>polic</w:t>
      </w:r>
      <w:r w:rsidR="00986219">
        <w:rPr>
          <w:rFonts w:ascii="MetaPro-Norm" w:hAnsi="MetaPro-Norm"/>
          <w:sz w:val="22"/>
          <w:szCs w:val="22"/>
        </w:rPr>
        <w:t>y changes u</w:t>
      </w:r>
      <w:r w:rsidR="2F0A926A" w:rsidRPr="56A22BD8">
        <w:rPr>
          <w:rFonts w:ascii="MetaPro-Norm" w:hAnsi="MetaPro-Norm"/>
          <w:sz w:val="22"/>
          <w:szCs w:val="22"/>
        </w:rPr>
        <w:t xml:space="preserve">ndertaken in the context of various IMF programs have </w:t>
      </w:r>
      <w:r w:rsidR="2F0A926A" w:rsidRPr="56A22BD8">
        <w:rPr>
          <w:rFonts w:ascii="MetaPro-Norm" w:hAnsi="MetaPro-Norm"/>
          <w:sz w:val="22"/>
          <w:szCs w:val="22"/>
        </w:rPr>
        <w:lastRenderedPageBreak/>
        <w:t xml:space="preserve">been detrimental to rights, </w:t>
      </w:r>
      <w:r w:rsidR="2F0A926A" w:rsidRPr="2A6D3368">
        <w:rPr>
          <w:rFonts w:ascii="MetaPro-Norm" w:hAnsi="MetaPro-Norm"/>
          <w:sz w:val="22"/>
          <w:szCs w:val="22"/>
        </w:rPr>
        <w:t xml:space="preserve">such as the removal of food and </w:t>
      </w:r>
      <w:r w:rsidR="2F0A926A" w:rsidRPr="56A22BD8">
        <w:rPr>
          <w:rFonts w:ascii="MetaPro-Norm" w:hAnsi="MetaPro-Norm"/>
          <w:sz w:val="22"/>
          <w:szCs w:val="22"/>
        </w:rPr>
        <w:t>fuel subsidies without sufficient measures to scale up the country’s social security system and mitigate the harm</w:t>
      </w:r>
      <w:r w:rsidR="00252920" w:rsidRPr="56A22BD8">
        <w:rPr>
          <w:rStyle w:val="FootnoteReference"/>
          <w:rFonts w:ascii="MetaPro-Norm" w:hAnsi="MetaPro-Norm"/>
          <w:sz w:val="22"/>
          <w:szCs w:val="22"/>
        </w:rPr>
        <w:footnoteReference w:id="4"/>
      </w:r>
      <w:r w:rsidR="220458F2" w:rsidRPr="2A6D3368">
        <w:rPr>
          <w:rFonts w:ascii="MetaPro-Norm" w:hAnsi="MetaPro-Norm"/>
          <w:sz w:val="22"/>
          <w:szCs w:val="22"/>
        </w:rPr>
        <w:t>.</w:t>
      </w:r>
      <w:r w:rsidR="024E53FD" w:rsidRPr="2A6D3368">
        <w:rPr>
          <w:rFonts w:ascii="MetaPro-Norm" w:hAnsi="MetaPro-Norm"/>
          <w:sz w:val="22"/>
          <w:szCs w:val="22"/>
        </w:rPr>
        <w:t xml:space="preserve"> </w:t>
      </w:r>
      <w:r w:rsidR="237AC6A0" w:rsidRPr="1810F812">
        <w:rPr>
          <w:rFonts w:ascii="MetaPro-Norm" w:hAnsi="MetaPro-Norm"/>
          <w:sz w:val="22"/>
          <w:szCs w:val="22"/>
        </w:rPr>
        <w:t xml:space="preserve">Even according to official numbers, the two existing cash assistance programs, Takaful and Karama, cover only about </w:t>
      </w:r>
      <w:r w:rsidR="237AC6A0" w:rsidRPr="79902FC8">
        <w:rPr>
          <w:rFonts w:ascii="MetaPro-Norm" w:hAnsi="MetaPro-Norm"/>
          <w:sz w:val="22"/>
          <w:szCs w:val="22"/>
        </w:rPr>
        <w:t xml:space="preserve">five million families (22 million people), less than a third of those living in or near </w:t>
      </w:r>
      <w:r w:rsidR="237AC6A0" w:rsidRPr="1810F812">
        <w:rPr>
          <w:rFonts w:ascii="MetaPro-Norm" w:hAnsi="MetaPro-Norm"/>
          <w:sz w:val="22"/>
          <w:szCs w:val="22"/>
        </w:rPr>
        <w:t>poverty.</w:t>
      </w:r>
      <w:r w:rsidRPr="476FDD7E">
        <w:rPr>
          <w:rStyle w:val="FootnoteReference"/>
          <w:rFonts w:ascii="MetaPro-Norm" w:hAnsi="MetaPro-Norm"/>
          <w:sz w:val="22"/>
          <w:szCs w:val="22"/>
        </w:rPr>
        <w:footnoteReference w:id="5"/>
      </w:r>
    </w:p>
    <w:p w14:paraId="513F92AD" w14:textId="289E2630" w:rsidR="56A22BD8" w:rsidRDefault="666C08A7" w:rsidP="56A22BD8">
      <w:pPr>
        <w:spacing w:after="0"/>
        <w:rPr>
          <w:rFonts w:ascii="MetaPro-Norm" w:hAnsi="MetaPro-Norm"/>
          <w:sz w:val="22"/>
          <w:szCs w:val="22"/>
        </w:rPr>
      </w:pPr>
      <w:r w:rsidRPr="1810F812">
        <w:rPr>
          <w:rFonts w:ascii="MetaPro-Norm" w:hAnsi="MetaPro-Norm"/>
          <w:sz w:val="22"/>
          <w:szCs w:val="22"/>
        </w:rPr>
        <w:t xml:space="preserve">The value of such assistance </w:t>
      </w:r>
      <w:r w:rsidR="2B6F9C96" w:rsidRPr="1810F812">
        <w:rPr>
          <w:rFonts w:ascii="MetaPro-Norm" w:hAnsi="MetaPro-Norm"/>
          <w:sz w:val="22"/>
          <w:szCs w:val="22"/>
        </w:rPr>
        <w:t xml:space="preserve">has become </w:t>
      </w:r>
      <w:r w:rsidRPr="1810F812">
        <w:rPr>
          <w:rFonts w:ascii="MetaPro-Norm" w:hAnsi="MetaPro-Norm"/>
          <w:sz w:val="22"/>
          <w:szCs w:val="22"/>
        </w:rPr>
        <w:t>meager (average of 750 to 1</w:t>
      </w:r>
      <w:r w:rsidR="00BE38F4">
        <w:rPr>
          <w:rFonts w:ascii="MetaPro-Norm" w:hAnsi="MetaPro-Norm"/>
          <w:sz w:val="22"/>
          <w:szCs w:val="22"/>
        </w:rPr>
        <w:t>,</w:t>
      </w:r>
      <w:r w:rsidRPr="1810F812">
        <w:rPr>
          <w:rFonts w:ascii="MetaPro-Norm" w:hAnsi="MetaPro-Norm"/>
          <w:sz w:val="22"/>
          <w:szCs w:val="22"/>
        </w:rPr>
        <w:t xml:space="preserve">000 pounds or $15 to $20 per month) </w:t>
      </w:r>
      <w:r w:rsidR="48D8F6CE" w:rsidRPr="1810F812">
        <w:rPr>
          <w:rFonts w:ascii="MetaPro-Norm" w:hAnsi="MetaPro-Norm"/>
          <w:sz w:val="22"/>
          <w:szCs w:val="22"/>
        </w:rPr>
        <w:t xml:space="preserve">in the face of </w:t>
      </w:r>
      <w:r w:rsidR="42CAB7E8" w:rsidRPr="1810F812">
        <w:rPr>
          <w:rFonts w:ascii="MetaPro-Norm" w:hAnsi="MetaPro-Norm"/>
          <w:sz w:val="22"/>
          <w:szCs w:val="22"/>
        </w:rPr>
        <w:t xml:space="preserve">very high </w:t>
      </w:r>
      <w:r w:rsidRPr="1810F812">
        <w:rPr>
          <w:rFonts w:ascii="MetaPro-Norm" w:hAnsi="MetaPro-Norm"/>
          <w:sz w:val="22"/>
          <w:szCs w:val="22"/>
        </w:rPr>
        <w:t xml:space="preserve">inflation </w:t>
      </w:r>
      <w:r w:rsidR="1D378E7F" w:rsidRPr="1810F812">
        <w:rPr>
          <w:rFonts w:ascii="MetaPro-Norm" w:hAnsi="MetaPro-Norm"/>
          <w:sz w:val="22"/>
          <w:szCs w:val="22"/>
        </w:rPr>
        <w:t xml:space="preserve">rates </w:t>
      </w:r>
      <w:r w:rsidRPr="1810F812">
        <w:rPr>
          <w:rFonts w:ascii="MetaPro-Norm" w:hAnsi="MetaPro-Norm"/>
          <w:sz w:val="22"/>
          <w:szCs w:val="22"/>
        </w:rPr>
        <w:t>and some of it is con</w:t>
      </w:r>
      <w:r w:rsidR="55FF20FE" w:rsidRPr="1810F812">
        <w:rPr>
          <w:rFonts w:ascii="MetaPro-Norm" w:hAnsi="MetaPro-Norm"/>
          <w:sz w:val="22"/>
          <w:szCs w:val="22"/>
        </w:rPr>
        <w:t xml:space="preserve">ditional rather than </w:t>
      </w:r>
      <w:r w:rsidR="4366483F" w:rsidRPr="1810F812">
        <w:rPr>
          <w:rFonts w:ascii="MetaPro-Norm" w:hAnsi="MetaPro-Norm"/>
          <w:sz w:val="22"/>
          <w:szCs w:val="22"/>
        </w:rPr>
        <w:t>universal.</w:t>
      </w:r>
      <w:r w:rsidR="56A22BD8" w:rsidRPr="476FDD7E">
        <w:rPr>
          <w:rStyle w:val="FootnoteReference"/>
          <w:rFonts w:ascii="MetaPro-Norm" w:hAnsi="MetaPro-Norm"/>
          <w:sz w:val="22"/>
          <w:szCs w:val="22"/>
        </w:rPr>
        <w:footnoteReference w:id="6"/>
      </w:r>
    </w:p>
    <w:p w14:paraId="7356F531" w14:textId="77777777" w:rsidR="005B254D" w:rsidRDefault="005B254D" w:rsidP="56A22BD8">
      <w:pPr>
        <w:spacing w:after="0"/>
        <w:rPr>
          <w:rFonts w:ascii="MetaPro-Norm" w:hAnsi="MetaPro-Norm"/>
          <w:sz w:val="22"/>
          <w:szCs w:val="22"/>
        </w:rPr>
      </w:pPr>
    </w:p>
    <w:p w14:paraId="004E7552" w14:textId="3045E28A" w:rsidR="795C2D5A" w:rsidRDefault="25CD611D" w:rsidP="79902FC8">
      <w:pPr>
        <w:spacing w:after="0"/>
        <w:rPr>
          <w:rFonts w:ascii="MetaPro-Norm" w:hAnsi="MetaPro-Norm"/>
          <w:sz w:val="22"/>
          <w:szCs w:val="22"/>
        </w:rPr>
      </w:pPr>
      <w:r w:rsidRPr="2A6D3368">
        <w:rPr>
          <w:rFonts w:ascii="MetaPro-Norm" w:eastAsia="MetaPro-Norm" w:hAnsi="MetaPro-Norm" w:cs="MetaPro-Norm"/>
          <w:sz w:val="22"/>
          <w:szCs w:val="22"/>
        </w:rPr>
        <w:t xml:space="preserve">The national poverty rate </w:t>
      </w:r>
      <w:r w:rsidRPr="006D614D">
        <w:rPr>
          <w:rFonts w:ascii="MetaPro-Norm" w:eastAsia="MetaPro-Norm" w:hAnsi="MetaPro-Norm" w:cs="MetaPro-Norm"/>
          <w:sz w:val="22"/>
          <w:szCs w:val="22"/>
        </w:rPr>
        <w:t xml:space="preserve">reached </w:t>
      </w:r>
      <w:r w:rsidRPr="2A6D3368">
        <w:rPr>
          <w:rFonts w:ascii="MetaPro-Norm" w:eastAsia="MetaPro-Norm" w:hAnsi="MetaPro-Norm" w:cs="MetaPro-Norm"/>
          <w:sz w:val="22"/>
          <w:szCs w:val="22"/>
        </w:rPr>
        <w:t xml:space="preserve">almost 30 percent in 2019, after which the government reportedly </w:t>
      </w:r>
      <w:r w:rsidR="3C23B1E2" w:rsidRPr="2A6D3368">
        <w:rPr>
          <w:rFonts w:ascii="MetaPro-Norm" w:eastAsia="MetaPro-Norm" w:hAnsi="MetaPro-Norm" w:cs="MetaPro-Norm"/>
          <w:sz w:val="22"/>
          <w:szCs w:val="22"/>
        </w:rPr>
        <w:t>pressured statistics authorities to</w:t>
      </w:r>
      <w:r w:rsidRPr="2A6D3368">
        <w:rPr>
          <w:rFonts w:ascii="MetaPro-Norm" w:eastAsia="MetaPro-Norm" w:hAnsi="MetaPro-Norm" w:cs="MetaPro-Norm"/>
          <w:sz w:val="22"/>
          <w:szCs w:val="22"/>
        </w:rPr>
        <w:t xml:space="preserve"> </w:t>
      </w:r>
      <w:r w:rsidRPr="006D614D">
        <w:rPr>
          <w:rFonts w:ascii="MetaPro-Norm" w:eastAsia="MetaPro-Norm" w:hAnsi="MetaPro-Norm" w:cs="MetaPro-Norm"/>
          <w:sz w:val="22"/>
          <w:szCs w:val="22"/>
        </w:rPr>
        <w:t>obscure</w:t>
      </w:r>
      <w:r w:rsidRPr="2A6D3368">
        <w:rPr>
          <w:rFonts w:ascii="MetaPro-Norm" w:eastAsia="MetaPro-Norm" w:hAnsi="MetaPro-Norm" w:cs="MetaPro-Norm"/>
          <w:sz w:val="22"/>
          <w:szCs w:val="22"/>
        </w:rPr>
        <w:t xml:space="preserve"> poverty statistics.</w:t>
      </w:r>
      <w:r w:rsidR="005B7AE5">
        <w:rPr>
          <w:rStyle w:val="FootnoteReference"/>
          <w:rFonts w:ascii="MetaPro-Norm" w:eastAsia="MetaPro-Norm" w:hAnsi="MetaPro-Norm" w:cs="MetaPro-Norm"/>
          <w:sz w:val="22"/>
          <w:szCs w:val="22"/>
        </w:rPr>
        <w:footnoteReference w:id="7"/>
      </w:r>
      <w:r w:rsidRPr="2A6D3368">
        <w:rPr>
          <w:rFonts w:ascii="MetaPro-Norm" w:eastAsia="MetaPro-Norm" w:hAnsi="MetaPro-Norm" w:cs="MetaPro-Norm"/>
          <w:sz w:val="22"/>
          <w:szCs w:val="22"/>
        </w:rPr>
        <w:t xml:space="preserve"> In August</w:t>
      </w:r>
      <w:r w:rsidR="3C348BE7" w:rsidRPr="2A6D3368">
        <w:rPr>
          <w:rFonts w:ascii="MetaPro-Norm" w:eastAsia="MetaPro-Norm" w:hAnsi="MetaPro-Norm" w:cs="MetaPro-Norm"/>
          <w:sz w:val="22"/>
          <w:szCs w:val="22"/>
        </w:rPr>
        <w:t xml:space="preserve"> 2025</w:t>
      </w:r>
      <w:r w:rsidRPr="2A6D3368">
        <w:rPr>
          <w:rFonts w:ascii="MetaPro-Norm" w:eastAsia="MetaPro-Norm" w:hAnsi="MetaPro-Norm" w:cs="MetaPro-Norm"/>
          <w:sz w:val="22"/>
          <w:szCs w:val="22"/>
        </w:rPr>
        <w:t>, Mada Masr</w:t>
      </w:r>
      <w:r w:rsidR="1A925089" w:rsidRPr="2A6D3368">
        <w:rPr>
          <w:rFonts w:ascii="MetaPro-Norm" w:eastAsia="MetaPro-Norm" w:hAnsi="MetaPro-Norm" w:cs="MetaPro-Norm"/>
          <w:sz w:val="22"/>
          <w:szCs w:val="22"/>
        </w:rPr>
        <w:t xml:space="preserve">, an independent news website, </w:t>
      </w:r>
      <w:r w:rsidRPr="2A6D3368">
        <w:rPr>
          <w:rFonts w:ascii="MetaPro-Norm" w:eastAsia="MetaPro-Norm" w:hAnsi="MetaPro-Norm" w:cs="MetaPro-Norm"/>
          <w:sz w:val="22"/>
          <w:szCs w:val="22"/>
        </w:rPr>
        <w:t xml:space="preserve">reported that unpublished official data </w:t>
      </w:r>
      <w:r w:rsidR="4C0E6DB4" w:rsidRPr="2A6D3368">
        <w:rPr>
          <w:rFonts w:ascii="MetaPro-Norm" w:eastAsia="MetaPro-Norm" w:hAnsi="MetaPro-Norm" w:cs="MetaPro-Norm"/>
          <w:sz w:val="22"/>
          <w:szCs w:val="22"/>
        </w:rPr>
        <w:t xml:space="preserve">it obtained </w:t>
      </w:r>
      <w:r w:rsidRPr="00EC62BA">
        <w:rPr>
          <w:rFonts w:ascii="MetaPro-Norm" w:eastAsia="MetaPro-Norm" w:hAnsi="MetaPro-Norm" w:cs="MetaPro-Norm"/>
          <w:sz w:val="22"/>
          <w:szCs w:val="22"/>
        </w:rPr>
        <w:t>showed</w:t>
      </w:r>
      <w:r w:rsidR="4CB42311" w:rsidRPr="2A6D3368">
        <w:rPr>
          <w:rFonts w:ascii="MetaPro-Norm" w:eastAsia="MetaPro-Norm" w:hAnsi="MetaPro-Norm" w:cs="MetaPro-Norm"/>
          <w:sz w:val="22"/>
          <w:szCs w:val="22"/>
        </w:rPr>
        <w:t xml:space="preserve"> that</w:t>
      </w:r>
      <w:r w:rsidRPr="2A6D3368">
        <w:rPr>
          <w:rFonts w:ascii="MetaPro-Norm" w:eastAsia="MetaPro-Norm" w:hAnsi="MetaPro-Norm" w:cs="MetaPro-Norm"/>
          <w:sz w:val="22"/>
          <w:szCs w:val="22"/>
        </w:rPr>
        <w:t xml:space="preserve"> poverty had reached 34 percent in 2021-2022, the highest recorded rate in the government’s Income, Expenditure, and Consumption Survey since its inception in 1999.</w:t>
      </w:r>
      <w:r w:rsidR="006D614D">
        <w:rPr>
          <w:rStyle w:val="FootnoteReference"/>
          <w:rFonts w:ascii="MetaPro-Norm" w:eastAsia="MetaPro-Norm" w:hAnsi="MetaPro-Norm" w:cs="MetaPro-Norm"/>
          <w:sz w:val="22"/>
          <w:szCs w:val="22"/>
        </w:rPr>
        <w:footnoteReference w:id="8"/>
      </w:r>
      <w:r w:rsidRPr="2A6D3368">
        <w:rPr>
          <w:rFonts w:ascii="MetaPro-Norm" w:eastAsia="MetaPro-Norm" w:hAnsi="MetaPro-Norm" w:cs="MetaPro-Norm"/>
          <w:sz w:val="22"/>
          <w:szCs w:val="22"/>
        </w:rPr>
        <w:t xml:space="preserve"> </w:t>
      </w:r>
      <w:r w:rsidR="00931343">
        <w:rPr>
          <w:rFonts w:ascii="MetaPro-Norm" w:hAnsi="MetaPro-Norm"/>
          <w:sz w:val="22"/>
          <w:szCs w:val="22"/>
        </w:rPr>
        <w:t xml:space="preserve">The </w:t>
      </w:r>
      <w:r w:rsidR="447649E7" w:rsidRPr="56A22BD8">
        <w:rPr>
          <w:rFonts w:ascii="MetaPro-Norm" w:hAnsi="MetaPro-Norm"/>
          <w:sz w:val="22"/>
          <w:szCs w:val="22"/>
        </w:rPr>
        <w:t xml:space="preserve">IMF </w:t>
      </w:r>
      <w:r w:rsidR="75A2DE92" w:rsidRPr="56A22BD8">
        <w:rPr>
          <w:rFonts w:ascii="MetaPro-Norm" w:hAnsi="MetaPro-Norm"/>
          <w:sz w:val="22"/>
          <w:szCs w:val="22"/>
        </w:rPr>
        <w:t>estimated the rate of inflation</w:t>
      </w:r>
      <w:r w:rsidR="001637C3" w:rsidRPr="56A22BD8">
        <w:rPr>
          <w:rFonts w:ascii="MetaPro-Norm" w:hAnsi="MetaPro-Norm"/>
          <w:sz w:val="22"/>
          <w:szCs w:val="22"/>
        </w:rPr>
        <w:t>—</w:t>
      </w:r>
      <w:r w:rsidR="75A2DE92">
        <w:rPr>
          <w:rFonts w:ascii="MetaPro-Norm" w:hAnsi="MetaPro-Norm"/>
          <w:sz w:val="22"/>
          <w:szCs w:val="22"/>
        </w:rPr>
        <w:t>measured as the percent change in the average consumer price index</w:t>
      </w:r>
      <w:r w:rsidR="001637C3" w:rsidRPr="2A6D3368">
        <w:rPr>
          <w:rFonts w:ascii="MetaPro-Norm" w:hAnsi="MetaPro-Norm"/>
          <w:sz w:val="22"/>
          <w:szCs w:val="22"/>
        </w:rPr>
        <w:t>—</w:t>
      </w:r>
      <w:r w:rsidR="75A2DE92">
        <w:rPr>
          <w:rFonts w:ascii="MetaPro-Norm" w:hAnsi="MetaPro-Norm"/>
          <w:sz w:val="22"/>
          <w:szCs w:val="22"/>
        </w:rPr>
        <w:t xml:space="preserve">to be </w:t>
      </w:r>
      <w:r w:rsidR="002A709E">
        <w:rPr>
          <w:rFonts w:ascii="MetaPro-Norm" w:hAnsi="MetaPro-Norm"/>
          <w:sz w:val="22"/>
          <w:szCs w:val="22"/>
        </w:rPr>
        <w:t>20.4</w:t>
      </w:r>
      <w:r w:rsidR="75A2DE92">
        <w:rPr>
          <w:rFonts w:ascii="MetaPro-Norm" w:hAnsi="MetaPro-Norm"/>
          <w:sz w:val="22"/>
          <w:szCs w:val="22"/>
        </w:rPr>
        <w:t xml:space="preserve"> percent in </w:t>
      </w:r>
      <w:r w:rsidR="007F160E">
        <w:rPr>
          <w:rFonts w:ascii="MetaPro-Norm" w:hAnsi="MetaPro-Norm"/>
          <w:sz w:val="22"/>
          <w:szCs w:val="22"/>
        </w:rPr>
        <w:t>October</w:t>
      </w:r>
      <w:r w:rsidR="75A2DE92">
        <w:rPr>
          <w:rFonts w:ascii="MetaPro-Norm" w:hAnsi="MetaPro-Norm"/>
          <w:sz w:val="22"/>
          <w:szCs w:val="22"/>
        </w:rPr>
        <w:t xml:space="preserve"> 2025.</w:t>
      </w:r>
      <w:r w:rsidR="0070160D">
        <w:rPr>
          <w:rStyle w:val="FootnoteReference"/>
          <w:rFonts w:ascii="MetaPro-Norm" w:hAnsi="MetaPro-Norm"/>
          <w:sz w:val="22"/>
          <w:szCs w:val="22"/>
        </w:rPr>
        <w:footnoteReference w:id="9"/>
      </w:r>
      <w:r w:rsidR="56A22BD8" w:rsidRPr="56A22BD8">
        <w:rPr>
          <w:rFonts w:ascii="MetaPro-Norm" w:hAnsi="MetaPro-Norm"/>
          <w:sz w:val="22"/>
          <w:szCs w:val="22"/>
        </w:rPr>
        <w:t xml:space="preserve"> </w:t>
      </w:r>
      <w:r w:rsidR="13B19BA4" w:rsidRPr="56A22BD8">
        <w:rPr>
          <w:rFonts w:ascii="MetaPro-Norm" w:hAnsi="MetaPro-Norm"/>
          <w:sz w:val="22"/>
          <w:szCs w:val="22"/>
        </w:rPr>
        <w:t>Skyrocketing prices of food and basic commodities put the rights of millions of Egyptians in jeopardy.</w:t>
      </w:r>
      <w:r w:rsidR="674E07D4" w:rsidRPr="1810F812">
        <w:rPr>
          <w:rFonts w:ascii="MetaPro-Norm" w:hAnsi="MetaPro-Norm"/>
          <w:sz w:val="22"/>
          <w:szCs w:val="22"/>
        </w:rPr>
        <w:t xml:space="preserve"> </w:t>
      </w:r>
    </w:p>
    <w:p w14:paraId="79E43BEC" w14:textId="58B63762" w:rsidR="56A22BD8" w:rsidRDefault="56A22BD8" w:rsidP="56A22BD8">
      <w:pPr>
        <w:spacing w:after="0"/>
        <w:rPr>
          <w:rFonts w:ascii="MetaPro-Norm" w:hAnsi="MetaPro-Norm"/>
          <w:sz w:val="22"/>
          <w:szCs w:val="22"/>
        </w:rPr>
      </w:pPr>
    </w:p>
    <w:p w14:paraId="11477F1B" w14:textId="4C696143" w:rsidR="4441BAA4" w:rsidRDefault="4441BAA4" w:rsidP="56A22BD8">
      <w:pPr>
        <w:spacing w:after="0"/>
        <w:rPr>
          <w:rFonts w:ascii="MetaPro-Norm" w:hAnsi="MetaPro-Norm"/>
          <w:sz w:val="22"/>
          <w:szCs w:val="22"/>
        </w:rPr>
      </w:pPr>
      <w:r w:rsidRPr="56A22BD8">
        <w:rPr>
          <w:rFonts w:ascii="MetaPro-Norm" w:hAnsi="MetaPro-Norm"/>
          <w:sz w:val="22"/>
          <w:szCs w:val="22"/>
        </w:rPr>
        <w:t xml:space="preserve">Instead of properly addressing the </w:t>
      </w:r>
      <w:r w:rsidR="2A2652F7" w:rsidRPr="56A22BD8">
        <w:rPr>
          <w:rFonts w:ascii="MetaPro-Norm" w:hAnsi="MetaPro-Norm"/>
          <w:sz w:val="22"/>
          <w:szCs w:val="22"/>
        </w:rPr>
        <w:t xml:space="preserve">country’s </w:t>
      </w:r>
      <w:r w:rsidRPr="56A22BD8">
        <w:rPr>
          <w:rFonts w:ascii="MetaPro-Norm" w:hAnsi="MetaPro-Norm"/>
          <w:sz w:val="22"/>
          <w:szCs w:val="22"/>
        </w:rPr>
        <w:t>recurring economic crises, however, the government’s current economic approach prioritizes lavish, opaque infrastructure projects and high</w:t>
      </w:r>
      <w:r w:rsidR="1B3C816E" w:rsidRPr="56A22BD8">
        <w:rPr>
          <w:rFonts w:ascii="MetaPro-Norm" w:hAnsi="MetaPro-Norm"/>
          <w:sz w:val="22"/>
          <w:szCs w:val="22"/>
        </w:rPr>
        <w:t xml:space="preserve"> </w:t>
      </w:r>
      <w:r w:rsidRPr="56A22BD8">
        <w:rPr>
          <w:rFonts w:ascii="MetaPro-Norm" w:hAnsi="MetaPro-Norm"/>
          <w:sz w:val="22"/>
          <w:szCs w:val="22"/>
        </w:rPr>
        <w:t>levels of military spending.</w:t>
      </w:r>
      <w:r w:rsidRPr="56A22BD8">
        <w:rPr>
          <w:rStyle w:val="FootnoteReference"/>
          <w:rFonts w:ascii="MetaPro-Norm" w:hAnsi="MetaPro-Norm"/>
          <w:sz w:val="22"/>
          <w:szCs w:val="22"/>
        </w:rPr>
        <w:footnoteReference w:id="10"/>
      </w:r>
      <w:r w:rsidRPr="56A22BD8">
        <w:rPr>
          <w:rFonts w:ascii="MetaPro-Norm" w:hAnsi="MetaPro-Norm"/>
          <w:sz w:val="22"/>
          <w:szCs w:val="22"/>
        </w:rPr>
        <w:t xml:space="preserve"> President Abdel Fattah Al-Sisi's government </w:t>
      </w:r>
      <w:r w:rsidR="5A024E73" w:rsidRPr="56A22BD8">
        <w:rPr>
          <w:rFonts w:ascii="MetaPro-Norm" w:hAnsi="MetaPro-Norm"/>
          <w:sz w:val="22"/>
          <w:szCs w:val="22"/>
        </w:rPr>
        <w:t xml:space="preserve">has pursued </w:t>
      </w:r>
      <w:r w:rsidR="5A024E73" w:rsidRPr="56A22BD8">
        <w:rPr>
          <w:rFonts w:ascii="MetaPro-Norm" w:hAnsi="MetaPro-Norm"/>
          <w:sz w:val="22"/>
          <w:szCs w:val="22"/>
        </w:rPr>
        <w:lastRenderedPageBreak/>
        <w:t>massive projects that often lack feasibility studies while the military has expanded its reach over consumer markets, as it benefits from a lack of civilian oversight or scrutiny, leading to corruption and the squander</w:t>
      </w:r>
      <w:r w:rsidR="53EB341F" w:rsidRPr="56A22BD8">
        <w:rPr>
          <w:rFonts w:ascii="MetaPro-Norm" w:hAnsi="MetaPro-Norm"/>
          <w:sz w:val="22"/>
          <w:szCs w:val="22"/>
        </w:rPr>
        <w:t>ing of public resources.</w:t>
      </w:r>
      <w:r w:rsidRPr="56A22BD8">
        <w:rPr>
          <w:rStyle w:val="FootnoteReference"/>
          <w:rFonts w:ascii="MetaPro-Norm" w:hAnsi="MetaPro-Norm"/>
          <w:sz w:val="22"/>
          <w:szCs w:val="22"/>
        </w:rPr>
        <w:footnoteReference w:id="11"/>
      </w:r>
    </w:p>
    <w:p w14:paraId="57E82CF3" w14:textId="679DECEA" w:rsidR="56A22BD8" w:rsidRDefault="56A22BD8" w:rsidP="56A22BD8">
      <w:pPr>
        <w:spacing w:after="0"/>
        <w:rPr>
          <w:rFonts w:ascii="MetaPro-Norm" w:hAnsi="MetaPro-Norm"/>
          <w:sz w:val="22"/>
          <w:szCs w:val="22"/>
        </w:rPr>
      </w:pPr>
    </w:p>
    <w:p w14:paraId="74645F4F" w14:textId="268F78EC" w:rsidR="73DA1AFD" w:rsidRDefault="73DA1AFD" w:rsidP="456119BD">
      <w:pPr>
        <w:spacing w:after="0"/>
        <w:rPr>
          <w:rFonts w:ascii="MetaPro-Norm" w:hAnsi="MetaPro-Norm"/>
          <w:i/>
          <w:iCs/>
          <w:sz w:val="22"/>
          <w:szCs w:val="22"/>
        </w:rPr>
      </w:pPr>
      <w:r w:rsidRPr="456119BD">
        <w:rPr>
          <w:rFonts w:ascii="MetaPro-Norm" w:hAnsi="MetaPro-Norm"/>
          <w:i/>
          <w:iCs/>
          <w:sz w:val="22"/>
          <w:szCs w:val="22"/>
        </w:rPr>
        <w:t xml:space="preserve">Human Rights Watch recommends the Committee </w:t>
      </w:r>
      <w:r w:rsidR="00C7745D">
        <w:rPr>
          <w:rFonts w:ascii="MetaPro-Norm" w:hAnsi="MetaPro-Norm"/>
          <w:i/>
          <w:iCs/>
          <w:sz w:val="22"/>
          <w:szCs w:val="22"/>
        </w:rPr>
        <w:t>ask</w:t>
      </w:r>
      <w:r w:rsidRPr="456119BD">
        <w:rPr>
          <w:rFonts w:ascii="MetaPro-Norm" w:hAnsi="MetaPro-Norm"/>
          <w:i/>
          <w:iCs/>
          <w:sz w:val="22"/>
          <w:szCs w:val="22"/>
        </w:rPr>
        <w:t xml:space="preserve"> the government of Egypt </w:t>
      </w:r>
      <w:r w:rsidR="00C7745D">
        <w:rPr>
          <w:rFonts w:ascii="MetaPro-Norm" w:hAnsi="MetaPro-Norm"/>
          <w:i/>
          <w:iCs/>
          <w:sz w:val="22"/>
          <w:szCs w:val="22"/>
        </w:rPr>
        <w:t>to describe how it will fulfill its rights obligations</w:t>
      </w:r>
      <w:r w:rsidR="00B401F9">
        <w:rPr>
          <w:rFonts w:ascii="MetaPro-Norm" w:hAnsi="MetaPro-Norm"/>
          <w:i/>
          <w:iCs/>
          <w:sz w:val="22"/>
          <w:szCs w:val="22"/>
        </w:rPr>
        <w:t>, including by</w:t>
      </w:r>
      <w:r w:rsidRPr="456119BD">
        <w:rPr>
          <w:rFonts w:ascii="MetaPro-Norm" w:hAnsi="MetaPro-Norm"/>
          <w:i/>
          <w:iCs/>
          <w:sz w:val="22"/>
          <w:szCs w:val="22"/>
        </w:rPr>
        <w:t>:</w:t>
      </w:r>
    </w:p>
    <w:p w14:paraId="5C09A5B2" w14:textId="6E59ED98" w:rsidR="00D65185" w:rsidRDefault="0BDD26ED" w:rsidP="56A22BD8">
      <w:pPr>
        <w:pStyle w:val="ListParagraph"/>
        <w:numPr>
          <w:ilvl w:val="0"/>
          <w:numId w:val="3"/>
        </w:numPr>
        <w:spacing w:after="0"/>
        <w:rPr>
          <w:rFonts w:ascii="MetaPro-Norm" w:hAnsi="MetaPro-Norm"/>
          <w:sz w:val="22"/>
          <w:szCs w:val="22"/>
        </w:rPr>
      </w:pPr>
      <w:r w:rsidRPr="56A22BD8">
        <w:rPr>
          <w:rFonts w:ascii="MetaPro-Norm" w:hAnsi="MetaPro-Norm"/>
          <w:sz w:val="22"/>
          <w:szCs w:val="22"/>
        </w:rPr>
        <w:t>Prioritiz</w:t>
      </w:r>
      <w:r w:rsidR="00B401F9">
        <w:rPr>
          <w:rFonts w:ascii="MetaPro-Norm" w:hAnsi="MetaPro-Norm"/>
          <w:sz w:val="22"/>
          <w:szCs w:val="22"/>
        </w:rPr>
        <w:t>ing</w:t>
      </w:r>
      <w:r w:rsidRPr="56A22BD8">
        <w:rPr>
          <w:rFonts w:ascii="MetaPro-Norm" w:hAnsi="MetaPro-Norm"/>
          <w:sz w:val="22"/>
          <w:szCs w:val="22"/>
        </w:rPr>
        <w:t xml:space="preserve"> public spending on programs to help increase access to food, electricity and other essential commodities. </w:t>
      </w:r>
    </w:p>
    <w:p w14:paraId="31EA9AA5" w14:textId="11B0A5C1" w:rsidR="54255BDB" w:rsidRDefault="54255BDB" w:rsidP="2A6D3368">
      <w:pPr>
        <w:pStyle w:val="ListParagraph"/>
        <w:numPr>
          <w:ilvl w:val="0"/>
          <w:numId w:val="3"/>
        </w:numPr>
        <w:spacing w:after="0"/>
        <w:rPr>
          <w:rFonts w:ascii="MetaPro-Norm" w:hAnsi="MetaPro-Norm"/>
        </w:rPr>
      </w:pPr>
      <w:r w:rsidRPr="56A22BD8">
        <w:rPr>
          <w:rFonts w:ascii="MetaPro-Norm" w:hAnsi="MetaPro-Norm"/>
          <w:sz w:val="22"/>
          <w:szCs w:val="22"/>
        </w:rPr>
        <w:t>Expand</w:t>
      </w:r>
      <w:r w:rsidR="00B401F9">
        <w:rPr>
          <w:rFonts w:ascii="MetaPro-Norm" w:hAnsi="MetaPro-Norm"/>
          <w:sz w:val="22"/>
          <w:szCs w:val="22"/>
        </w:rPr>
        <w:t>ing</w:t>
      </w:r>
      <w:r w:rsidRPr="56A22BD8">
        <w:rPr>
          <w:rFonts w:ascii="MetaPro-Norm" w:hAnsi="MetaPro-Norm"/>
          <w:sz w:val="22"/>
          <w:szCs w:val="22"/>
        </w:rPr>
        <w:t xml:space="preserve"> social security to a universal system </w:t>
      </w:r>
      <w:r w:rsidR="1B18BB0E" w:rsidRPr="2A6D3368">
        <w:rPr>
          <w:rFonts w:ascii="MetaPro-Norm" w:hAnsi="MetaPro-Norm"/>
          <w:sz w:val="22"/>
          <w:szCs w:val="22"/>
        </w:rPr>
        <w:t xml:space="preserve">to include millions of citizens who remain uncovered </w:t>
      </w:r>
      <w:r w:rsidRPr="56A22BD8">
        <w:rPr>
          <w:rFonts w:ascii="MetaPro-Norm" w:hAnsi="MetaPro-Norm"/>
          <w:sz w:val="22"/>
          <w:szCs w:val="22"/>
        </w:rPr>
        <w:t>and to increase benefits to levels that are adequate to account for the rising cost of living and high inflation rates.</w:t>
      </w:r>
      <w:r w:rsidRPr="56A22BD8">
        <w:rPr>
          <w:rStyle w:val="FootnoteReference"/>
          <w:rFonts w:ascii="MetaPro-Norm" w:hAnsi="MetaPro-Norm"/>
          <w:sz w:val="22"/>
          <w:szCs w:val="22"/>
        </w:rPr>
        <w:footnoteReference w:id="12"/>
      </w:r>
    </w:p>
    <w:p w14:paraId="752E6BB7" w14:textId="1A754DDA" w:rsidR="704B9DB6" w:rsidRDefault="00D65185" w:rsidP="56A22BD8">
      <w:pPr>
        <w:pStyle w:val="ListParagraph"/>
        <w:numPr>
          <w:ilvl w:val="0"/>
          <w:numId w:val="3"/>
        </w:numPr>
        <w:spacing w:after="0"/>
        <w:rPr>
          <w:rFonts w:ascii="MetaPro-Norm" w:hAnsi="MetaPro-Norm"/>
          <w:sz w:val="22"/>
          <w:szCs w:val="22"/>
        </w:rPr>
      </w:pPr>
      <w:r>
        <w:rPr>
          <w:rFonts w:ascii="MetaPro-Norm" w:hAnsi="MetaPro-Norm"/>
          <w:sz w:val="22"/>
          <w:szCs w:val="22"/>
        </w:rPr>
        <w:t>T</w:t>
      </w:r>
      <w:r w:rsidR="704B9DB6" w:rsidRPr="56A22BD8">
        <w:rPr>
          <w:rFonts w:ascii="MetaPro-Norm" w:hAnsi="MetaPro-Norm"/>
          <w:sz w:val="22"/>
          <w:szCs w:val="22"/>
        </w:rPr>
        <w:t>ak</w:t>
      </w:r>
      <w:r w:rsidR="00B401F9">
        <w:rPr>
          <w:rFonts w:ascii="MetaPro-Norm" w:hAnsi="MetaPro-Norm"/>
          <w:sz w:val="22"/>
          <w:szCs w:val="22"/>
        </w:rPr>
        <w:t>ing</w:t>
      </w:r>
      <w:r w:rsidR="704B9DB6" w:rsidRPr="56A22BD8">
        <w:rPr>
          <w:rFonts w:ascii="MetaPro-Norm" w:hAnsi="MetaPro-Norm"/>
          <w:sz w:val="22"/>
          <w:szCs w:val="22"/>
        </w:rPr>
        <w:t xml:space="preserve"> steps to decrease the role of the military in the economy while making it more transparent and accountable to the public.</w:t>
      </w:r>
      <w:r w:rsidR="5B635817" w:rsidRPr="56A22BD8">
        <w:rPr>
          <w:rFonts w:ascii="MetaPro-Norm" w:hAnsi="MetaPro-Norm"/>
          <w:sz w:val="22"/>
          <w:szCs w:val="22"/>
        </w:rPr>
        <w:t xml:space="preserve"> This includes, at a minimum:</w:t>
      </w:r>
    </w:p>
    <w:p w14:paraId="54C01654" w14:textId="43CB5D6A" w:rsidR="5B635817" w:rsidRDefault="5B635817" w:rsidP="56A22BD8">
      <w:pPr>
        <w:pStyle w:val="ListParagraph"/>
        <w:numPr>
          <w:ilvl w:val="1"/>
          <w:numId w:val="3"/>
        </w:numPr>
        <w:spacing w:after="0"/>
        <w:rPr>
          <w:rFonts w:ascii="MetaPro-Norm" w:hAnsi="MetaPro-Norm"/>
          <w:sz w:val="22"/>
          <w:szCs w:val="22"/>
        </w:rPr>
      </w:pPr>
      <w:r w:rsidRPr="56A22BD8">
        <w:rPr>
          <w:rFonts w:ascii="MetaPro-Norm" w:hAnsi="MetaPro-Norm"/>
          <w:sz w:val="22"/>
          <w:szCs w:val="22"/>
        </w:rPr>
        <w:t>A</w:t>
      </w:r>
      <w:r w:rsidR="71477ADE" w:rsidRPr="56A22BD8">
        <w:rPr>
          <w:rFonts w:ascii="MetaPro-Norm" w:hAnsi="MetaPro-Norm"/>
          <w:sz w:val="22"/>
          <w:szCs w:val="22"/>
        </w:rPr>
        <w:t xml:space="preserve">dhering to certain provisions included in the IMF’s 2023 agreement with Egypt, such as those </w:t>
      </w:r>
      <w:r w:rsidR="0984CD7C" w:rsidRPr="56A22BD8">
        <w:rPr>
          <w:rFonts w:ascii="MetaPro-Norm" w:hAnsi="MetaPro-Norm"/>
          <w:sz w:val="22"/>
          <w:szCs w:val="22"/>
        </w:rPr>
        <w:t>requiring all state-owned enterprises to submit and share publicly financial accounts biannually to the Finance Ministry.</w:t>
      </w:r>
    </w:p>
    <w:p w14:paraId="6AF27CE1" w14:textId="2754DC8E" w:rsidR="4E702B6E" w:rsidRDefault="4E702B6E" w:rsidP="56A22BD8">
      <w:pPr>
        <w:pStyle w:val="ListParagraph"/>
        <w:numPr>
          <w:ilvl w:val="1"/>
          <w:numId w:val="3"/>
        </w:numPr>
        <w:spacing w:after="0"/>
      </w:pPr>
      <w:r w:rsidRPr="56A22BD8">
        <w:rPr>
          <w:rFonts w:ascii="MetaPro-Norm" w:hAnsi="MetaPro-Norm"/>
          <w:sz w:val="22"/>
          <w:szCs w:val="22"/>
        </w:rPr>
        <w:t>Publish</w:t>
      </w:r>
      <w:r w:rsidR="00B401F9">
        <w:rPr>
          <w:rFonts w:ascii="MetaPro-Norm" w:hAnsi="MetaPro-Norm"/>
          <w:sz w:val="22"/>
          <w:szCs w:val="22"/>
        </w:rPr>
        <w:t>ing</w:t>
      </w:r>
      <w:r w:rsidRPr="56A22BD8">
        <w:rPr>
          <w:rFonts w:ascii="MetaPro-Norm" w:hAnsi="MetaPro-Norm"/>
          <w:sz w:val="22"/>
          <w:szCs w:val="22"/>
        </w:rPr>
        <w:t xml:space="preserve"> all public procurement contracts exceeding 20 million pounds</w:t>
      </w:r>
      <w:r w:rsidR="00FE7FAB" w:rsidRPr="2A6D3368">
        <w:rPr>
          <w:rFonts w:ascii="MetaPro-Norm" w:hAnsi="MetaPro-Norm"/>
          <w:sz w:val="22"/>
          <w:szCs w:val="22"/>
        </w:rPr>
        <w:t>—</w:t>
      </w:r>
      <w:r w:rsidRPr="56A22BD8">
        <w:rPr>
          <w:rFonts w:ascii="MetaPro-Norm" w:hAnsi="MetaPro-Norm"/>
          <w:sz w:val="22"/>
          <w:szCs w:val="22"/>
        </w:rPr>
        <w:t xml:space="preserve">per </w:t>
      </w:r>
      <w:r w:rsidR="00FE7FAB" w:rsidRPr="2A6D3368">
        <w:rPr>
          <w:rFonts w:ascii="MetaPro-Norm" w:hAnsi="MetaPro-Norm"/>
          <w:sz w:val="22"/>
          <w:szCs w:val="22"/>
        </w:rPr>
        <w:t>the</w:t>
      </w:r>
      <w:r w:rsidRPr="56A22BD8">
        <w:rPr>
          <w:rFonts w:ascii="MetaPro-Norm" w:hAnsi="MetaPro-Norm"/>
          <w:sz w:val="22"/>
          <w:szCs w:val="22"/>
        </w:rPr>
        <w:t xml:space="preserve"> 2023 agreement with the IMF</w:t>
      </w:r>
      <w:r w:rsidR="00FE7FAB" w:rsidRPr="2A6D3368">
        <w:rPr>
          <w:rFonts w:ascii="MetaPro-Norm" w:hAnsi="MetaPro-Norm"/>
          <w:sz w:val="22"/>
          <w:szCs w:val="22"/>
        </w:rPr>
        <w:t>—</w:t>
      </w:r>
      <w:r w:rsidRPr="56A22BD8">
        <w:rPr>
          <w:rFonts w:ascii="MetaPro-Norm" w:hAnsi="MetaPro-Norm"/>
          <w:sz w:val="22"/>
          <w:szCs w:val="22"/>
        </w:rPr>
        <w:t>and commit to include beneficial ownership information for companies awarded programs, which the government committed to in an earlier IMF agreement but not in 2023.</w:t>
      </w:r>
      <w:r w:rsidRPr="56A22BD8">
        <w:rPr>
          <w:rStyle w:val="FootnoteReference"/>
          <w:rFonts w:ascii="MetaPro-Norm" w:hAnsi="MetaPro-Norm"/>
          <w:sz w:val="22"/>
          <w:szCs w:val="22"/>
        </w:rPr>
        <w:footnoteReference w:id="13"/>
      </w:r>
    </w:p>
    <w:p w14:paraId="176EA1E5" w14:textId="092D577E" w:rsidR="6D81EC46" w:rsidRDefault="6D81EC46" w:rsidP="2A6D3368">
      <w:pPr>
        <w:pStyle w:val="ListParagraph"/>
        <w:numPr>
          <w:ilvl w:val="1"/>
          <w:numId w:val="3"/>
        </w:numPr>
        <w:spacing w:after="0"/>
        <w:rPr>
          <w:rFonts w:ascii="MetaPro-Norm" w:hAnsi="MetaPro-Norm"/>
          <w:sz w:val="22"/>
          <w:szCs w:val="22"/>
        </w:rPr>
      </w:pPr>
      <w:r w:rsidRPr="2A6D3368">
        <w:rPr>
          <w:rFonts w:ascii="MetaPro-Norm" w:hAnsi="MetaPro-Norm"/>
          <w:sz w:val="22"/>
          <w:szCs w:val="22"/>
        </w:rPr>
        <w:t>Ensur</w:t>
      </w:r>
      <w:r w:rsidR="00B401F9">
        <w:rPr>
          <w:rFonts w:ascii="MetaPro-Norm" w:hAnsi="MetaPro-Norm"/>
          <w:sz w:val="22"/>
          <w:szCs w:val="22"/>
        </w:rPr>
        <w:t>ing</w:t>
      </w:r>
      <w:r w:rsidRPr="2A6D3368">
        <w:rPr>
          <w:rFonts w:ascii="MetaPro-Norm" w:hAnsi="MetaPro-Norm"/>
          <w:sz w:val="22"/>
          <w:szCs w:val="22"/>
        </w:rPr>
        <w:t xml:space="preserve"> that all business operations that involve the provision of vital services such as food </w:t>
      </w:r>
      <w:r w:rsidR="20F86572" w:rsidRPr="2A6D3368">
        <w:rPr>
          <w:rFonts w:ascii="MetaPro-Norm" w:hAnsi="MetaPro-Norm"/>
          <w:sz w:val="22"/>
          <w:szCs w:val="22"/>
        </w:rPr>
        <w:t xml:space="preserve">are </w:t>
      </w:r>
      <w:r w:rsidRPr="2A6D3368">
        <w:rPr>
          <w:rFonts w:ascii="MetaPro-Norm" w:hAnsi="MetaPro-Norm"/>
          <w:sz w:val="22"/>
          <w:szCs w:val="22"/>
        </w:rPr>
        <w:t xml:space="preserve">only run and managed by democratically elected, accountable institutions. </w:t>
      </w:r>
    </w:p>
    <w:p w14:paraId="2147D7A7" w14:textId="54BDF5EE" w:rsidR="56A22BD8" w:rsidRDefault="56A22BD8" w:rsidP="56A22BD8">
      <w:pPr>
        <w:spacing w:after="0"/>
        <w:rPr>
          <w:rFonts w:ascii="MetaPro-Norm" w:hAnsi="MetaPro-Norm"/>
        </w:rPr>
      </w:pPr>
    </w:p>
    <w:p w14:paraId="333C31C6" w14:textId="15B282BC" w:rsidR="006A058F" w:rsidRPr="006D58F9" w:rsidRDefault="73DA1AFD" w:rsidP="006D58F9">
      <w:pPr>
        <w:spacing w:after="0"/>
        <w:rPr>
          <w:rFonts w:ascii="MetaPro-Norm" w:eastAsia="MetaPro-Norm" w:hAnsi="MetaPro-Norm" w:cs="MetaPro-Norm"/>
          <w:i/>
          <w:iCs/>
          <w:sz w:val="22"/>
          <w:szCs w:val="22"/>
        </w:rPr>
      </w:pPr>
      <w:r w:rsidRPr="006D58F9">
        <w:rPr>
          <w:rFonts w:ascii="MetaPro-Norm" w:hAnsi="MetaPro-Norm"/>
          <w:i/>
          <w:iCs/>
          <w:sz w:val="22"/>
          <w:szCs w:val="22"/>
        </w:rPr>
        <w:t xml:space="preserve">Human Rights Watch </w:t>
      </w:r>
      <w:r w:rsidR="00B401F9">
        <w:rPr>
          <w:rFonts w:ascii="MetaPro-Norm" w:hAnsi="MetaPro-Norm"/>
          <w:i/>
          <w:iCs/>
          <w:sz w:val="22"/>
          <w:szCs w:val="22"/>
        </w:rPr>
        <w:t xml:space="preserve">also </w:t>
      </w:r>
      <w:r w:rsidRPr="006D58F9">
        <w:rPr>
          <w:rFonts w:ascii="MetaPro-Norm" w:hAnsi="MetaPro-Norm"/>
          <w:i/>
          <w:iCs/>
          <w:sz w:val="22"/>
          <w:szCs w:val="22"/>
        </w:rPr>
        <w:t>recommends the Committee ask the government of Egypt:</w:t>
      </w:r>
    </w:p>
    <w:p w14:paraId="2B532C53" w14:textId="3840E827" w:rsidR="56A22BD8" w:rsidRPr="006D58F9" w:rsidRDefault="5B80C22D" w:rsidP="006D58F9">
      <w:pPr>
        <w:pStyle w:val="ListParagraph"/>
        <w:numPr>
          <w:ilvl w:val="0"/>
          <w:numId w:val="19"/>
        </w:numPr>
        <w:spacing w:after="0"/>
        <w:rPr>
          <w:rFonts w:ascii="MetaPro-Norm" w:eastAsia="MetaPro-Norm" w:hAnsi="MetaPro-Norm" w:cs="MetaPro-Norm"/>
          <w:sz w:val="22"/>
          <w:szCs w:val="22"/>
        </w:rPr>
      </w:pPr>
      <w:r w:rsidRPr="79902FC8">
        <w:rPr>
          <w:rFonts w:ascii="MetaPro-Norm" w:hAnsi="MetaPro-Norm"/>
          <w:sz w:val="22"/>
          <w:szCs w:val="22"/>
        </w:rPr>
        <w:t>Why has the government obscured official data</w:t>
      </w:r>
      <w:r w:rsidR="5FDF6E23" w:rsidRPr="79902FC8">
        <w:rPr>
          <w:rFonts w:ascii="MetaPro-Norm" w:hAnsi="MetaPro-Norm"/>
          <w:sz w:val="22"/>
          <w:szCs w:val="22"/>
        </w:rPr>
        <w:t xml:space="preserve"> related to</w:t>
      </w:r>
      <w:r w:rsidRPr="79902FC8">
        <w:rPr>
          <w:rFonts w:ascii="MetaPro-Norm" w:hAnsi="MetaPro-Norm"/>
          <w:sz w:val="22"/>
          <w:szCs w:val="22"/>
        </w:rPr>
        <w:t xml:space="preserve"> </w:t>
      </w:r>
      <w:r w:rsidR="755DCCA5" w:rsidRPr="79902FC8">
        <w:rPr>
          <w:rFonts w:ascii="MetaPro-Norm" w:hAnsi="MetaPro-Norm"/>
          <w:sz w:val="22"/>
          <w:szCs w:val="22"/>
        </w:rPr>
        <w:t xml:space="preserve">the </w:t>
      </w:r>
      <w:r w:rsidR="541E43BE" w:rsidRPr="79902FC8">
        <w:rPr>
          <w:rFonts w:ascii="MetaPro-Norm" w:eastAsia="MetaPro-Norm" w:hAnsi="MetaPro-Norm" w:cs="MetaPro-Norm"/>
          <w:sz w:val="22"/>
          <w:szCs w:val="22"/>
        </w:rPr>
        <w:t>Income, Expenditure, and Consumption Survey</w:t>
      </w:r>
      <w:r w:rsidR="7EED9C59" w:rsidRPr="79902FC8">
        <w:rPr>
          <w:rFonts w:ascii="MetaPro-Norm" w:eastAsia="MetaPro-Norm" w:hAnsi="MetaPro-Norm" w:cs="MetaPro-Norm"/>
          <w:sz w:val="22"/>
          <w:szCs w:val="22"/>
        </w:rPr>
        <w:t xml:space="preserve"> since 2019? What measures are taken to ensure that such surveys are carried out independently from political </w:t>
      </w:r>
      <w:r w:rsidR="75B3EB03" w:rsidRPr="79902FC8">
        <w:rPr>
          <w:rFonts w:ascii="MetaPro-Norm" w:eastAsia="MetaPro-Norm" w:hAnsi="MetaPro-Norm" w:cs="MetaPro-Norm"/>
          <w:sz w:val="22"/>
          <w:szCs w:val="22"/>
        </w:rPr>
        <w:t>interference</w:t>
      </w:r>
      <w:r w:rsidR="7EED9C59" w:rsidRPr="79902FC8">
        <w:rPr>
          <w:rFonts w:ascii="MetaPro-Norm" w:eastAsia="MetaPro-Norm" w:hAnsi="MetaPro-Norm" w:cs="MetaPro-Norm"/>
          <w:sz w:val="22"/>
          <w:szCs w:val="22"/>
        </w:rPr>
        <w:t xml:space="preserve">? </w:t>
      </w:r>
    </w:p>
    <w:p w14:paraId="38A77D44" w14:textId="1DFD8D6E" w:rsidR="5B80C22D" w:rsidRPr="006D58F9" w:rsidRDefault="5B80C22D" w:rsidP="006D58F9">
      <w:pPr>
        <w:pStyle w:val="ListParagraph"/>
        <w:numPr>
          <w:ilvl w:val="0"/>
          <w:numId w:val="19"/>
        </w:numPr>
        <w:spacing w:after="0"/>
        <w:rPr>
          <w:rFonts w:ascii="MetaPro-Norm" w:hAnsi="MetaPro-Norm"/>
          <w:sz w:val="22"/>
          <w:szCs w:val="22"/>
        </w:rPr>
      </w:pPr>
      <w:r w:rsidRPr="006D58F9">
        <w:rPr>
          <w:rFonts w:ascii="MetaPro-Norm" w:hAnsi="MetaPro-Norm"/>
          <w:sz w:val="22"/>
          <w:szCs w:val="22"/>
        </w:rPr>
        <w:lastRenderedPageBreak/>
        <w:t>What measures were taken to enhance financial transparency of military businesses and allow independent media reporting on them?</w:t>
      </w:r>
    </w:p>
    <w:p w14:paraId="39649BC0" w14:textId="0382B525" w:rsidR="3F9DF6F1" w:rsidRPr="006D58F9" w:rsidRDefault="3F9DF6F1" w:rsidP="006D58F9">
      <w:pPr>
        <w:pStyle w:val="ListParagraph"/>
        <w:numPr>
          <w:ilvl w:val="0"/>
          <w:numId w:val="19"/>
        </w:numPr>
        <w:spacing w:after="0"/>
        <w:rPr>
          <w:rFonts w:ascii="MetaPro-Norm" w:hAnsi="MetaPro-Norm"/>
          <w:sz w:val="22"/>
          <w:szCs w:val="22"/>
        </w:rPr>
      </w:pPr>
      <w:r w:rsidRPr="006D58F9">
        <w:rPr>
          <w:rFonts w:ascii="MetaPro-Norm" w:hAnsi="MetaPro-Norm"/>
          <w:sz w:val="22"/>
          <w:szCs w:val="22"/>
        </w:rPr>
        <w:t xml:space="preserve">What measures were taken to make public all </w:t>
      </w:r>
      <w:r w:rsidR="006D58F9" w:rsidRPr="006D58F9">
        <w:rPr>
          <w:rFonts w:ascii="MetaPro-Norm" w:hAnsi="MetaPro-Norm"/>
          <w:sz w:val="22"/>
          <w:szCs w:val="22"/>
        </w:rPr>
        <w:t>feasibility</w:t>
      </w:r>
      <w:r w:rsidRPr="006D58F9">
        <w:rPr>
          <w:rFonts w:ascii="MetaPro-Norm" w:hAnsi="MetaPro-Norm"/>
          <w:sz w:val="22"/>
          <w:szCs w:val="22"/>
        </w:rPr>
        <w:t xml:space="preserve"> and due diligence studies related to large infrastructure projects, particularly those run or managed by military entities?</w:t>
      </w:r>
    </w:p>
    <w:p w14:paraId="7BAF0896" w14:textId="1A733054" w:rsidR="56A22BD8" w:rsidRDefault="56A22BD8" w:rsidP="56A22BD8">
      <w:pPr>
        <w:spacing w:after="0"/>
        <w:rPr>
          <w:rFonts w:ascii="MetaPro-Norm" w:hAnsi="MetaPro-Norm"/>
          <w:sz w:val="22"/>
          <w:szCs w:val="22"/>
        </w:rPr>
      </w:pPr>
    </w:p>
    <w:p w14:paraId="6373A66A" w14:textId="585A248E" w:rsidR="57D6FE41" w:rsidRDefault="57D6FE41" w:rsidP="008736F9">
      <w:pPr>
        <w:pStyle w:val="Heading2"/>
      </w:pPr>
      <w:r w:rsidRPr="56A22BD8">
        <w:t xml:space="preserve">Access to </w:t>
      </w:r>
      <w:r w:rsidR="6BDB9A81" w:rsidRPr="56A22BD8">
        <w:t>Education</w:t>
      </w:r>
    </w:p>
    <w:p w14:paraId="3309B05E" w14:textId="7C20E97C" w:rsidR="7EC9F3C2" w:rsidRDefault="7EC9F3C2" w:rsidP="56A22BD8">
      <w:pPr>
        <w:spacing w:after="0"/>
        <w:rPr>
          <w:rFonts w:ascii="MetaPro-Norm" w:hAnsi="MetaPro-Norm"/>
          <w:sz w:val="22"/>
          <w:szCs w:val="22"/>
        </w:rPr>
      </w:pPr>
      <w:r w:rsidRPr="56A22BD8">
        <w:rPr>
          <w:rFonts w:ascii="MetaPro-Norm" w:hAnsi="MetaPro-Norm"/>
          <w:sz w:val="22"/>
          <w:szCs w:val="22"/>
        </w:rPr>
        <w:t>Egypt</w:t>
      </w:r>
      <w:r w:rsidR="6536DDBE" w:rsidRPr="56A22BD8">
        <w:rPr>
          <w:rFonts w:ascii="MetaPro-Norm" w:hAnsi="MetaPro-Norm"/>
          <w:sz w:val="22"/>
          <w:szCs w:val="22"/>
        </w:rPr>
        <w:t xml:space="preserve">’s reduction </w:t>
      </w:r>
      <w:r w:rsidR="00DA6B9F" w:rsidRPr="2A6D3368">
        <w:rPr>
          <w:rFonts w:ascii="MetaPro-Norm" w:hAnsi="MetaPro-Norm"/>
          <w:sz w:val="22"/>
          <w:szCs w:val="22"/>
        </w:rPr>
        <w:t>in</w:t>
      </w:r>
      <w:r w:rsidR="6536DDBE" w:rsidRPr="56A22BD8">
        <w:rPr>
          <w:rFonts w:ascii="MetaPro-Norm" w:hAnsi="MetaPro-Norm"/>
          <w:sz w:val="22"/>
          <w:szCs w:val="22"/>
        </w:rPr>
        <w:t xml:space="preserve"> education spending</w:t>
      </w:r>
      <w:r w:rsidR="64822365" w:rsidRPr="2A6D3368">
        <w:rPr>
          <w:rFonts w:ascii="MetaPro-Norm" w:hAnsi="MetaPro-Norm"/>
          <w:sz w:val="22"/>
          <w:szCs w:val="22"/>
        </w:rPr>
        <w:t xml:space="preserve"> in recent years</w:t>
      </w:r>
      <w:r w:rsidR="6536DDBE" w:rsidRPr="56A22BD8">
        <w:rPr>
          <w:rFonts w:ascii="MetaPro-Norm" w:hAnsi="MetaPro-Norm"/>
          <w:sz w:val="22"/>
          <w:szCs w:val="22"/>
        </w:rPr>
        <w:t>, along with a failure to fully guarantee free primary and secondary education for every child, severely undermines the right to education.</w:t>
      </w:r>
      <w:r w:rsidRPr="56A22BD8">
        <w:rPr>
          <w:rStyle w:val="FootnoteReference"/>
          <w:rFonts w:ascii="MetaPro-Norm" w:hAnsi="MetaPro-Norm"/>
          <w:sz w:val="22"/>
          <w:szCs w:val="22"/>
        </w:rPr>
        <w:footnoteReference w:id="14"/>
      </w:r>
    </w:p>
    <w:p w14:paraId="23A36759" w14:textId="4EB55F9E" w:rsidR="56A22BD8" w:rsidRDefault="56A22BD8" w:rsidP="56A22BD8">
      <w:pPr>
        <w:spacing w:after="0"/>
        <w:rPr>
          <w:rFonts w:ascii="MetaPro-Norm" w:eastAsia="MS Mincho" w:hAnsi="MetaPro-Norm" w:cs="Arial"/>
          <w:sz w:val="22"/>
          <w:szCs w:val="22"/>
        </w:rPr>
      </w:pPr>
    </w:p>
    <w:p w14:paraId="7BF7BAE5" w14:textId="7403B341" w:rsidR="6536DDBE" w:rsidRDefault="6536DDBE" w:rsidP="56A22BD8">
      <w:pPr>
        <w:spacing w:after="0"/>
        <w:rPr>
          <w:rFonts w:ascii="MetaPro-Norm" w:eastAsia="MS Mincho" w:hAnsi="MetaPro-Norm" w:cs="Arial"/>
          <w:sz w:val="22"/>
          <w:szCs w:val="22"/>
        </w:rPr>
      </w:pPr>
      <w:r w:rsidRPr="56A22BD8">
        <w:rPr>
          <w:rFonts w:ascii="MetaPro-Norm" w:eastAsia="MS Mincho" w:hAnsi="MetaPro-Norm" w:cs="Arial"/>
          <w:sz w:val="22"/>
          <w:szCs w:val="22"/>
        </w:rPr>
        <w:t xml:space="preserve">In fiscal year 2024/25, the government proposed, and parliament approved, an education </w:t>
      </w:r>
      <w:r w:rsidRPr="00217C90">
        <w:rPr>
          <w:rFonts w:ascii="MetaPro-Norm" w:eastAsia="MS Mincho" w:hAnsi="MetaPro-Norm" w:cs="Arial"/>
          <w:sz w:val="22"/>
          <w:szCs w:val="22"/>
        </w:rPr>
        <w:t>budget</w:t>
      </w:r>
      <w:r w:rsidRPr="56A22BD8">
        <w:rPr>
          <w:rFonts w:ascii="MetaPro-Norm" w:eastAsia="MS Mincho" w:hAnsi="MetaPro-Norm" w:cs="Arial"/>
          <w:sz w:val="22"/>
          <w:szCs w:val="22"/>
        </w:rPr>
        <w:t xml:space="preserve"> of 295 billion Egyptian pounds (about US$6 billion),</w:t>
      </w:r>
      <w:r w:rsidR="000A17F7">
        <w:rPr>
          <w:rStyle w:val="FootnoteReference"/>
          <w:rFonts w:ascii="MetaPro-Norm" w:eastAsia="MS Mincho" w:hAnsi="MetaPro-Norm" w:cs="Arial"/>
          <w:sz w:val="22"/>
          <w:szCs w:val="22"/>
        </w:rPr>
        <w:footnoteReference w:id="15"/>
      </w:r>
      <w:r w:rsidRPr="56A22BD8">
        <w:rPr>
          <w:rFonts w:ascii="MetaPro-Norm" w:eastAsia="MS Mincho" w:hAnsi="MetaPro-Norm" w:cs="Arial"/>
          <w:sz w:val="22"/>
          <w:szCs w:val="22"/>
        </w:rPr>
        <w:t xml:space="preserve"> </w:t>
      </w:r>
      <w:r w:rsidRPr="00217C90">
        <w:rPr>
          <w:rFonts w:ascii="MetaPro-Norm" w:eastAsia="MS Mincho" w:hAnsi="MetaPro-Norm" w:cs="Arial"/>
          <w:sz w:val="22"/>
          <w:szCs w:val="22"/>
        </w:rPr>
        <w:t>equivalent</w:t>
      </w:r>
      <w:r w:rsidRPr="56A22BD8">
        <w:rPr>
          <w:rFonts w:ascii="MetaPro-Norm" w:eastAsia="MS Mincho" w:hAnsi="MetaPro-Norm" w:cs="Arial"/>
          <w:sz w:val="22"/>
          <w:szCs w:val="22"/>
        </w:rPr>
        <w:t xml:space="preserve"> to 1.7 percent of Egypt’s GDP of 17 trillion pounds (about $</w:t>
      </w:r>
      <w:r w:rsidRPr="00217C90">
        <w:rPr>
          <w:rFonts w:ascii="MetaPro-Norm" w:eastAsia="MS Mincho" w:hAnsi="MetaPro-Norm" w:cs="Arial"/>
          <w:sz w:val="22"/>
          <w:szCs w:val="22"/>
        </w:rPr>
        <w:t>380 billion</w:t>
      </w:r>
      <w:r w:rsidRPr="56A22BD8">
        <w:rPr>
          <w:rFonts w:ascii="MetaPro-Norm" w:eastAsia="MS Mincho" w:hAnsi="MetaPro-Norm" w:cs="Arial"/>
          <w:sz w:val="22"/>
          <w:szCs w:val="22"/>
        </w:rPr>
        <w:t>).</w:t>
      </w:r>
      <w:r w:rsidR="00DF6E53">
        <w:rPr>
          <w:rStyle w:val="FootnoteReference"/>
          <w:rFonts w:ascii="MetaPro-Norm" w:eastAsia="MS Mincho" w:hAnsi="MetaPro-Norm" w:cs="Arial"/>
          <w:sz w:val="22"/>
          <w:szCs w:val="22"/>
        </w:rPr>
        <w:footnoteReference w:id="16"/>
      </w:r>
      <w:r w:rsidRPr="56A22BD8">
        <w:rPr>
          <w:rFonts w:ascii="MetaPro-Norm" w:eastAsia="MS Mincho" w:hAnsi="MetaPro-Norm" w:cs="Arial"/>
          <w:sz w:val="22"/>
          <w:szCs w:val="22"/>
        </w:rPr>
        <w:t xml:space="preserve"> It represents 5.3 percent of total government expenditure of 5.5 trillion pounds (about $110 billion).</w:t>
      </w:r>
      <w:r w:rsidRPr="56A22BD8">
        <w:rPr>
          <w:rStyle w:val="FootnoteReference"/>
          <w:rFonts w:ascii="MetaPro-Norm" w:eastAsia="MS Mincho" w:hAnsi="MetaPro-Norm" w:cs="Arial"/>
          <w:sz w:val="22"/>
          <w:szCs w:val="22"/>
        </w:rPr>
        <w:footnoteReference w:id="17"/>
      </w:r>
    </w:p>
    <w:p w14:paraId="437A8340" w14:textId="77777777" w:rsidR="000A1442" w:rsidRDefault="000A1442" w:rsidP="56A22BD8">
      <w:pPr>
        <w:spacing w:after="0"/>
        <w:rPr>
          <w:rFonts w:ascii="MetaPro-Norm" w:eastAsia="MS Mincho" w:hAnsi="MetaPro-Norm" w:cs="Arial"/>
          <w:sz w:val="22"/>
          <w:szCs w:val="22"/>
        </w:rPr>
      </w:pPr>
    </w:p>
    <w:p w14:paraId="2671E075" w14:textId="2EB1AF47" w:rsidR="000A1442" w:rsidRDefault="000A1442" w:rsidP="000A1442">
      <w:pPr>
        <w:spacing w:after="0"/>
        <w:rPr>
          <w:rFonts w:ascii="MetaPro-Norm" w:eastAsia="MS Mincho" w:hAnsi="MetaPro-Norm" w:cs="Arial"/>
          <w:sz w:val="22"/>
          <w:szCs w:val="22"/>
        </w:rPr>
      </w:pPr>
      <w:r w:rsidRPr="2A6D3368">
        <w:rPr>
          <w:rFonts w:ascii="MetaPro-Norm" w:eastAsia="MS Mincho" w:hAnsi="MetaPro-Norm" w:cs="Arial"/>
          <w:sz w:val="22"/>
          <w:szCs w:val="22"/>
        </w:rPr>
        <w:t>While Egypt’s spending on education has nominally increased, it is falling over time in real terms and as a percentage of GDP and expenditure. Human Rights Watch analysis of the state budget found that education spending declined from 2.3 percent of GDP in 2020/2021 (6.7 percent of government expenditure) to 1.7 percent of GDP (5.3 percent of government expenditure) in the 2024/25 budget, the lowest in five years. It has declined significantly from 3.9 percent of GDP in 2014/15, the first year of President Abdel Fattah al-Sisi’s rule. Human Rights Watch analysis also found that Egypt’s spending on education has decreased 24 percent since 2014 in real terms, meaning adjusted for inflation.</w:t>
      </w:r>
      <w:r w:rsidRPr="56A22BD8">
        <w:rPr>
          <w:rStyle w:val="FootnoteReference"/>
          <w:rFonts w:ascii="MetaPro-Norm" w:eastAsia="MS Mincho" w:hAnsi="MetaPro-Norm" w:cs="Arial"/>
          <w:sz w:val="22"/>
          <w:szCs w:val="22"/>
        </w:rPr>
        <w:footnoteReference w:id="18"/>
      </w:r>
    </w:p>
    <w:p w14:paraId="74A66D64" w14:textId="7F8DFB8E" w:rsidR="56A22BD8" w:rsidRDefault="56A22BD8" w:rsidP="56A22BD8">
      <w:pPr>
        <w:spacing w:after="0"/>
        <w:ind w:left="720"/>
        <w:rPr>
          <w:rFonts w:ascii="MetaPro-Norm" w:eastAsia="MS Mincho" w:hAnsi="MetaPro-Norm" w:cs="Arial"/>
          <w:sz w:val="22"/>
          <w:szCs w:val="22"/>
        </w:rPr>
      </w:pPr>
    </w:p>
    <w:p w14:paraId="5A3EFEFC" w14:textId="1D35BE6C" w:rsidR="56A22BD8" w:rsidRDefault="24B3B2DF" w:rsidP="56A22BD8">
      <w:pPr>
        <w:spacing w:after="0"/>
        <w:rPr>
          <w:rFonts w:ascii="MetaPro-Norm" w:eastAsia="MS Mincho" w:hAnsi="MetaPro-Norm" w:cs="Arial"/>
          <w:sz w:val="22"/>
          <w:szCs w:val="22"/>
        </w:rPr>
      </w:pPr>
      <w:r w:rsidRPr="56A22BD8">
        <w:rPr>
          <w:rFonts w:ascii="MetaPro-Norm" w:eastAsia="MS Mincho" w:hAnsi="MetaPro-Norm" w:cs="Arial"/>
          <w:sz w:val="22"/>
          <w:szCs w:val="22"/>
        </w:rPr>
        <w:lastRenderedPageBreak/>
        <w:t xml:space="preserve">Egypt’s education spending is well below constitutional mandates and international benchmarks. Egypt’s 2014 </w:t>
      </w:r>
      <w:r w:rsidRPr="008F362A">
        <w:rPr>
          <w:rFonts w:ascii="MetaPro-Norm" w:eastAsia="MS Mincho" w:hAnsi="MetaPro-Norm" w:cs="Arial"/>
          <w:sz w:val="22"/>
          <w:szCs w:val="22"/>
        </w:rPr>
        <w:t>constitution</w:t>
      </w:r>
      <w:r w:rsidRPr="56A22BD8">
        <w:rPr>
          <w:rFonts w:ascii="MetaPro-Norm" w:eastAsia="MS Mincho" w:hAnsi="MetaPro-Norm" w:cs="Arial"/>
          <w:sz w:val="22"/>
          <w:szCs w:val="22"/>
        </w:rPr>
        <w:t xml:space="preserve"> committed the state to spending no less than 6 percent of GDP on education, including 4 percent on pre-university education. It set a target of fiscal year 2016/17 to achieve this while mandating that spending should gradually increase until reaching “global rates.” Prevailing </w:t>
      </w:r>
      <w:r w:rsidRPr="008F362A">
        <w:rPr>
          <w:rFonts w:ascii="MetaPro-Norm" w:eastAsia="MS Mincho" w:hAnsi="MetaPro-Norm" w:cs="Arial"/>
          <w:sz w:val="22"/>
          <w:szCs w:val="22"/>
        </w:rPr>
        <w:t>international</w:t>
      </w:r>
      <w:r w:rsidRPr="56A22BD8">
        <w:rPr>
          <w:rFonts w:ascii="MetaPro-Norm" w:eastAsia="MS Mincho" w:hAnsi="MetaPro-Norm" w:cs="Arial"/>
          <w:sz w:val="22"/>
          <w:szCs w:val="22"/>
        </w:rPr>
        <w:t xml:space="preserve"> benchmarks recommend </w:t>
      </w:r>
      <w:r w:rsidRPr="008F362A">
        <w:rPr>
          <w:rFonts w:ascii="MetaPro-Norm" w:eastAsia="MS Mincho" w:hAnsi="MetaPro-Norm" w:cs="Arial"/>
          <w:sz w:val="22"/>
          <w:szCs w:val="22"/>
        </w:rPr>
        <w:t>allocating</w:t>
      </w:r>
      <w:r w:rsidRPr="56A22BD8">
        <w:rPr>
          <w:rFonts w:ascii="MetaPro-Norm" w:eastAsia="MS Mincho" w:hAnsi="MetaPro-Norm" w:cs="Arial"/>
          <w:sz w:val="22"/>
          <w:szCs w:val="22"/>
        </w:rPr>
        <w:t xml:space="preserve"> 4 to 6 percent of </w:t>
      </w:r>
      <w:r w:rsidRPr="0057202A">
        <w:rPr>
          <w:rFonts w:ascii="MetaPro-Norm" w:eastAsia="MS Mincho" w:hAnsi="MetaPro-Norm" w:cs="Arial"/>
          <w:sz w:val="22"/>
          <w:szCs w:val="22"/>
        </w:rPr>
        <w:t>GDP</w:t>
      </w:r>
      <w:r w:rsidRPr="56A22BD8">
        <w:rPr>
          <w:rFonts w:ascii="MetaPro-Norm" w:eastAsia="MS Mincho" w:hAnsi="MetaPro-Norm" w:cs="Arial"/>
          <w:sz w:val="22"/>
          <w:szCs w:val="22"/>
        </w:rPr>
        <w:t xml:space="preserve"> and at least 15 to 20 percent of public expenditure for education.</w:t>
      </w:r>
      <w:r w:rsidRPr="56A22BD8">
        <w:rPr>
          <w:rStyle w:val="FootnoteReference"/>
          <w:rFonts w:ascii="MetaPro-Norm" w:eastAsia="MS Mincho" w:hAnsi="MetaPro-Norm" w:cs="Arial"/>
          <w:sz w:val="22"/>
          <w:szCs w:val="22"/>
        </w:rPr>
        <w:footnoteReference w:id="19"/>
      </w:r>
    </w:p>
    <w:p w14:paraId="12A141BB" w14:textId="325A7A98" w:rsidR="56A22BD8" w:rsidRDefault="56A22BD8" w:rsidP="56A22BD8">
      <w:pPr>
        <w:spacing w:after="0"/>
        <w:rPr>
          <w:rFonts w:ascii="MetaPro-Norm" w:eastAsia="MS Mincho" w:hAnsi="MetaPro-Norm" w:cs="Arial"/>
          <w:sz w:val="22"/>
          <w:szCs w:val="22"/>
        </w:rPr>
      </w:pPr>
    </w:p>
    <w:p w14:paraId="7215A898" w14:textId="3F1B7FF6" w:rsidR="00175373" w:rsidRDefault="00D03919" w:rsidP="00D03919">
      <w:pPr>
        <w:spacing w:after="0"/>
        <w:rPr>
          <w:rFonts w:ascii="MetaPro-Norm" w:eastAsia="MS Mincho" w:hAnsi="MetaPro-Norm" w:cs="Arial"/>
          <w:sz w:val="22"/>
          <w:szCs w:val="22"/>
        </w:rPr>
      </w:pPr>
      <w:r w:rsidRPr="2A6D3368">
        <w:rPr>
          <w:rFonts w:ascii="MetaPro-Norm" w:eastAsia="MS Mincho" w:hAnsi="MetaPro-Norm" w:cs="Arial"/>
          <w:sz w:val="22"/>
          <w:szCs w:val="22"/>
        </w:rPr>
        <w:t>The government has failed to meet its obligation</w:t>
      </w:r>
      <w:r w:rsidR="39567EA9" w:rsidRPr="2A6D3368">
        <w:rPr>
          <w:rFonts w:ascii="MetaPro-Norm" w:eastAsia="MS Mincho" w:hAnsi="MetaPro-Norm" w:cs="Arial"/>
          <w:sz w:val="22"/>
          <w:szCs w:val="22"/>
        </w:rPr>
        <w:t>s</w:t>
      </w:r>
      <w:r w:rsidRPr="2A6D3368">
        <w:rPr>
          <w:rFonts w:ascii="MetaPro-Norm" w:eastAsia="MS Mincho" w:hAnsi="MetaPro-Norm" w:cs="Arial"/>
          <w:sz w:val="22"/>
          <w:szCs w:val="22"/>
        </w:rPr>
        <w:t xml:space="preserve"> under the constitution, the 1981 education law, and international human rights law to provide free education. Public schools charge </w:t>
      </w:r>
      <w:r w:rsidRPr="008F362A">
        <w:rPr>
          <w:rFonts w:ascii="MetaPro-Norm" w:eastAsia="MS Mincho" w:hAnsi="MetaPro-Norm" w:cs="Arial"/>
          <w:sz w:val="22"/>
          <w:szCs w:val="22"/>
        </w:rPr>
        <w:t>fees</w:t>
      </w:r>
      <w:r w:rsidRPr="2A6D3368">
        <w:rPr>
          <w:rFonts w:ascii="MetaPro-Norm" w:eastAsia="MS Mincho" w:hAnsi="MetaPro-Norm" w:cs="Arial"/>
          <w:sz w:val="22"/>
          <w:szCs w:val="22"/>
        </w:rPr>
        <w:t> of some 210-520 Egyptian pounds (about US$5-10) per year, waived for some low-income students.</w:t>
      </w:r>
      <w:r w:rsidR="00E13E56">
        <w:rPr>
          <w:rStyle w:val="FootnoteReference"/>
          <w:rFonts w:ascii="MetaPro-Norm" w:eastAsia="MS Mincho" w:hAnsi="MetaPro-Norm" w:cs="Arial"/>
          <w:sz w:val="22"/>
          <w:szCs w:val="22"/>
        </w:rPr>
        <w:footnoteReference w:id="20"/>
      </w:r>
      <w:r w:rsidRPr="2A6D3368">
        <w:rPr>
          <w:rFonts w:ascii="MetaPro-Norm" w:eastAsia="MS Mincho" w:hAnsi="MetaPro-Norm" w:cs="Arial"/>
          <w:sz w:val="22"/>
          <w:szCs w:val="22"/>
        </w:rPr>
        <w:t xml:space="preserve"> </w:t>
      </w:r>
      <w:r w:rsidR="00175373" w:rsidRPr="2A6D3368">
        <w:rPr>
          <w:rFonts w:ascii="MetaPro-Norm" w:eastAsia="MS Mincho" w:hAnsi="MetaPro-Norm" w:cs="Arial"/>
          <w:sz w:val="22"/>
          <w:szCs w:val="22"/>
        </w:rPr>
        <w:t>Rights groups criticized a set of amendments to the country’s education law approved by the House of Representatives in July 2025, citing the increasing of registration and exam retake fees as one of several provisions which risk limiting access to education for those who cannot afford the extra costs.</w:t>
      </w:r>
      <w:r w:rsidR="00175373" w:rsidRPr="56A22BD8">
        <w:rPr>
          <w:rStyle w:val="FootnoteReference"/>
          <w:rFonts w:ascii="MetaPro-Norm" w:eastAsia="MS Mincho" w:hAnsi="MetaPro-Norm" w:cs="Arial"/>
          <w:sz w:val="22"/>
          <w:szCs w:val="22"/>
        </w:rPr>
        <w:footnoteReference w:id="21"/>
      </w:r>
    </w:p>
    <w:p w14:paraId="776D2B62" w14:textId="77777777" w:rsidR="00175373" w:rsidRDefault="00175373" w:rsidP="56A22BD8">
      <w:pPr>
        <w:spacing w:after="0"/>
        <w:rPr>
          <w:rFonts w:ascii="MetaPro-Norm" w:eastAsia="MS Mincho" w:hAnsi="MetaPro-Norm" w:cs="Arial"/>
          <w:sz w:val="22"/>
          <w:szCs w:val="22"/>
        </w:rPr>
      </w:pPr>
    </w:p>
    <w:p w14:paraId="6EF0C55D" w14:textId="73C40E01" w:rsidR="5079B2AC" w:rsidRDefault="27437148" w:rsidP="68999232">
      <w:pPr>
        <w:spacing w:after="0"/>
        <w:rPr>
          <w:rFonts w:ascii="MetaPro-Norm" w:eastAsia="MS Mincho" w:hAnsi="MetaPro-Norm" w:cs="Arial"/>
          <w:sz w:val="22"/>
          <w:szCs w:val="22"/>
        </w:rPr>
      </w:pPr>
      <w:r w:rsidRPr="56A22BD8">
        <w:rPr>
          <w:rFonts w:ascii="MetaPro-Norm" w:eastAsia="MS Mincho" w:hAnsi="MetaPro-Norm" w:cs="Arial"/>
          <w:sz w:val="22"/>
          <w:szCs w:val="22"/>
        </w:rPr>
        <w:t xml:space="preserve">In 2024, Human Rights Watch </w:t>
      </w:r>
      <w:r w:rsidR="4760320A" w:rsidRPr="56A22BD8">
        <w:rPr>
          <w:rFonts w:ascii="MetaPro-Norm" w:eastAsia="MS Mincho" w:hAnsi="MetaPro-Norm" w:cs="Arial"/>
          <w:sz w:val="22"/>
          <w:szCs w:val="22"/>
        </w:rPr>
        <w:t>interviewed 27 refugees and reviewed Egyptian laws and regulations, finding a variety of</w:t>
      </w:r>
      <w:r w:rsidRPr="56A22BD8">
        <w:rPr>
          <w:rFonts w:ascii="MetaPro-Norm" w:eastAsia="MS Mincho" w:hAnsi="MetaPro-Norm" w:cs="Arial"/>
          <w:sz w:val="22"/>
          <w:szCs w:val="22"/>
        </w:rPr>
        <w:t xml:space="preserve"> barriers keeping </w:t>
      </w:r>
      <w:r w:rsidR="118697A9" w:rsidRPr="56A22BD8">
        <w:rPr>
          <w:rFonts w:ascii="MetaPro-Norm" w:eastAsia="MS Mincho" w:hAnsi="MetaPro-Norm" w:cs="Arial"/>
          <w:sz w:val="22"/>
          <w:szCs w:val="22"/>
        </w:rPr>
        <w:t xml:space="preserve">tens of thousands of </w:t>
      </w:r>
      <w:r w:rsidRPr="56A22BD8">
        <w:rPr>
          <w:rFonts w:ascii="MetaPro-Norm" w:eastAsia="MS Mincho" w:hAnsi="MetaPro-Norm" w:cs="Arial"/>
          <w:sz w:val="22"/>
          <w:szCs w:val="22"/>
        </w:rPr>
        <w:t>refugee and asylum-seeking children out of school.</w:t>
      </w:r>
      <w:r w:rsidR="5D9CD6FD" w:rsidRPr="56A22BD8">
        <w:rPr>
          <w:rStyle w:val="FootnoteReference"/>
          <w:rFonts w:ascii="MetaPro-Norm" w:eastAsia="MS Mincho" w:hAnsi="MetaPro-Norm" w:cs="Arial"/>
          <w:sz w:val="22"/>
          <w:szCs w:val="22"/>
        </w:rPr>
        <w:footnoteReference w:id="22"/>
      </w:r>
      <w:r w:rsidR="761A26A7" w:rsidRPr="56A22BD8">
        <w:rPr>
          <w:rFonts w:ascii="MetaPro-Norm" w:eastAsia="MS Mincho" w:hAnsi="MetaPro-Norm" w:cs="Arial"/>
          <w:sz w:val="22"/>
          <w:szCs w:val="22"/>
        </w:rPr>
        <w:t xml:space="preserve"> Such barriers include </w:t>
      </w:r>
      <w:r w:rsidR="0AD2649B" w:rsidRPr="56A22BD8">
        <w:rPr>
          <w:rFonts w:ascii="MetaPro-Norm" w:eastAsia="MS Mincho" w:hAnsi="MetaPro-Norm" w:cs="Arial"/>
          <w:sz w:val="22"/>
          <w:szCs w:val="22"/>
        </w:rPr>
        <w:t xml:space="preserve">fees for placement tests and school uniforms as well as </w:t>
      </w:r>
      <w:r w:rsidR="761A26A7" w:rsidRPr="56A22BD8">
        <w:rPr>
          <w:rFonts w:ascii="MetaPro-Norm" w:eastAsia="MS Mincho" w:hAnsi="MetaPro-Norm" w:cs="Arial"/>
          <w:sz w:val="22"/>
          <w:szCs w:val="22"/>
        </w:rPr>
        <w:t>a requirement that families provide proof of residency in order to enroll in public schools, which is impossible for many of those who are refugees or seeking asylum.</w:t>
      </w:r>
      <w:r w:rsidR="3BCD3929" w:rsidRPr="56A22BD8">
        <w:rPr>
          <w:rFonts w:ascii="MetaPro-Norm" w:eastAsia="MS Mincho" w:hAnsi="MetaPro-Norm" w:cs="Arial"/>
          <w:sz w:val="22"/>
          <w:szCs w:val="22"/>
        </w:rPr>
        <w:t xml:space="preserve"> As of </w:t>
      </w:r>
      <w:r w:rsidR="68C3D1A6" w:rsidRPr="68999232">
        <w:rPr>
          <w:rFonts w:ascii="MetaPro-Norm" w:eastAsia="MS Mincho" w:hAnsi="MetaPro-Norm" w:cs="Arial"/>
          <w:sz w:val="22"/>
          <w:szCs w:val="22"/>
        </w:rPr>
        <w:t xml:space="preserve">October </w:t>
      </w:r>
      <w:r w:rsidR="3BCD3929" w:rsidRPr="56A22BD8">
        <w:rPr>
          <w:rFonts w:ascii="MetaPro-Norm" w:eastAsia="MS Mincho" w:hAnsi="MetaPro-Norm" w:cs="Arial"/>
          <w:sz w:val="22"/>
          <w:szCs w:val="22"/>
        </w:rPr>
        <w:t>2025, Egypt has more than one million refugees and asylum-seekers, with the vast majority coming from Sudan.</w:t>
      </w:r>
      <w:r w:rsidR="5D9CD6FD" w:rsidRPr="56A22BD8">
        <w:rPr>
          <w:rStyle w:val="FootnoteReference"/>
          <w:rFonts w:ascii="MetaPro-Norm" w:eastAsia="MS Mincho" w:hAnsi="MetaPro-Norm" w:cs="Arial"/>
          <w:sz w:val="22"/>
          <w:szCs w:val="22"/>
        </w:rPr>
        <w:footnoteReference w:id="23"/>
      </w:r>
      <w:r w:rsidR="2E408CF6" w:rsidRPr="56A22BD8">
        <w:rPr>
          <w:rFonts w:ascii="MetaPro-Norm" w:eastAsia="MS Mincho" w:hAnsi="MetaPro-Norm" w:cs="Arial"/>
          <w:sz w:val="22"/>
          <w:szCs w:val="22"/>
        </w:rPr>
        <w:t xml:space="preserve"> </w:t>
      </w:r>
      <w:r w:rsidR="7E054FD5" w:rsidRPr="68999232">
        <w:rPr>
          <w:rFonts w:ascii="MetaPro-Norm" w:eastAsia="MS Mincho" w:hAnsi="MetaPro-Norm" w:cs="Arial"/>
          <w:sz w:val="22"/>
          <w:szCs w:val="22"/>
        </w:rPr>
        <w:t>More than</w:t>
      </w:r>
      <w:r w:rsidR="1CB1BEF8" w:rsidRPr="56A22BD8">
        <w:rPr>
          <w:rFonts w:ascii="MetaPro-Norm" w:eastAsia="MS Mincho" w:hAnsi="MetaPro-Norm" w:cs="Arial"/>
          <w:sz w:val="22"/>
          <w:szCs w:val="22"/>
        </w:rPr>
        <w:t xml:space="preserve"> 3</w:t>
      </w:r>
      <w:r w:rsidR="23768AE2" w:rsidRPr="68999232">
        <w:rPr>
          <w:rFonts w:ascii="MetaPro-Norm" w:eastAsia="MS Mincho" w:hAnsi="MetaPro-Norm" w:cs="Arial"/>
          <w:sz w:val="22"/>
          <w:szCs w:val="22"/>
        </w:rPr>
        <w:t>2</w:t>
      </w:r>
      <w:r w:rsidR="1CB1BEF8" w:rsidRPr="56A22BD8">
        <w:rPr>
          <w:rFonts w:ascii="MetaPro-Norm" w:eastAsia="MS Mincho" w:hAnsi="MetaPro-Norm" w:cs="Arial"/>
          <w:sz w:val="22"/>
          <w:szCs w:val="22"/>
        </w:rPr>
        <w:t>6,000 are school-age children between 5 and 18.</w:t>
      </w:r>
      <w:r w:rsidR="5D9CD6FD" w:rsidRPr="56A22BD8">
        <w:rPr>
          <w:rStyle w:val="FootnoteReference"/>
          <w:rFonts w:ascii="MetaPro-Norm" w:eastAsia="MS Mincho" w:hAnsi="MetaPro-Norm" w:cs="Arial"/>
          <w:sz w:val="22"/>
          <w:szCs w:val="22"/>
        </w:rPr>
        <w:footnoteReference w:id="24"/>
      </w:r>
      <w:r w:rsidR="359D2C1E" w:rsidRPr="56A22BD8">
        <w:rPr>
          <w:rFonts w:ascii="MetaPro-Norm" w:eastAsia="MS Mincho" w:hAnsi="MetaPro-Norm" w:cs="Arial"/>
          <w:sz w:val="22"/>
          <w:szCs w:val="22"/>
        </w:rPr>
        <w:t xml:space="preserve"> </w:t>
      </w:r>
      <w:r w:rsidR="59A69FB4" w:rsidRPr="68999232">
        <w:rPr>
          <w:rFonts w:ascii="MetaPro-Norm" w:eastAsia="MS Mincho" w:hAnsi="MetaPro-Norm" w:cs="Arial"/>
          <w:sz w:val="22"/>
          <w:szCs w:val="22"/>
        </w:rPr>
        <w:t>While the</w:t>
      </w:r>
      <w:r w:rsidR="443B0668" w:rsidRPr="68999232">
        <w:rPr>
          <w:rFonts w:ascii="MetaPro-Norm" w:eastAsia="MS Mincho" w:hAnsi="MetaPro-Norm" w:cs="Arial"/>
          <w:sz w:val="22"/>
          <w:szCs w:val="22"/>
        </w:rPr>
        <w:t xml:space="preserve"> new</w:t>
      </w:r>
      <w:r w:rsidR="5476E893" w:rsidRPr="68999232">
        <w:rPr>
          <w:rFonts w:ascii="MetaPro-Norm" w:eastAsia="MS Mincho" w:hAnsi="MetaPro-Norm" w:cs="Arial"/>
          <w:sz w:val="22"/>
          <w:szCs w:val="22"/>
        </w:rPr>
        <w:t xml:space="preserve"> Law Regarding the Asylum of Foreigners</w:t>
      </w:r>
      <w:r w:rsidR="2E985514" w:rsidRPr="68999232">
        <w:rPr>
          <w:rFonts w:ascii="MetaPro-Norm" w:eastAsia="MS Mincho" w:hAnsi="MetaPro-Norm" w:cs="Arial"/>
          <w:sz w:val="22"/>
          <w:szCs w:val="22"/>
        </w:rPr>
        <w:t xml:space="preserve"> No. 164 of 2024</w:t>
      </w:r>
      <w:r w:rsidR="5476E893" w:rsidRPr="68999232">
        <w:rPr>
          <w:rFonts w:ascii="MetaPro-Norm" w:eastAsia="MS Mincho" w:hAnsi="MetaPro-Norm" w:cs="Arial"/>
          <w:sz w:val="22"/>
          <w:szCs w:val="22"/>
        </w:rPr>
        <w:t xml:space="preserve"> </w:t>
      </w:r>
      <w:r w:rsidR="2160312C" w:rsidRPr="68999232">
        <w:rPr>
          <w:rFonts w:ascii="MetaPro-Norm" w:eastAsia="MS Mincho" w:hAnsi="MetaPro-Norm" w:cs="Arial"/>
          <w:sz w:val="22"/>
          <w:szCs w:val="22"/>
        </w:rPr>
        <w:t xml:space="preserve">(hereafter ”the new asylum law”) </w:t>
      </w:r>
      <w:r w:rsidR="5476E893" w:rsidRPr="79902FC8">
        <w:rPr>
          <w:rFonts w:ascii="MetaPro-Norm" w:eastAsia="MS Mincho" w:hAnsi="MetaPro-Norm" w:cs="Arial"/>
          <w:sz w:val="22"/>
          <w:szCs w:val="22"/>
        </w:rPr>
        <w:t xml:space="preserve">that was signed into law in </w:t>
      </w:r>
      <w:r w:rsidR="5476E893" w:rsidRPr="68999232">
        <w:rPr>
          <w:rFonts w:ascii="MetaPro-Norm" w:eastAsia="MS Mincho" w:hAnsi="MetaPro-Norm" w:cs="Arial"/>
          <w:sz w:val="22"/>
          <w:szCs w:val="22"/>
        </w:rPr>
        <w:t>December</w:t>
      </w:r>
      <w:r w:rsidR="504DBAED" w:rsidRPr="56A22BD8">
        <w:rPr>
          <w:rFonts w:ascii="MetaPro-Norm" w:eastAsia="MS Mincho" w:hAnsi="MetaPro-Norm" w:cs="Arial"/>
          <w:sz w:val="22"/>
          <w:szCs w:val="22"/>
        </w:rPr>
        <w:t xml:space="preserve"> 2024</w:t>
      </w:r>
      <w:r w:rsidR="108E6DB7" w:rsidRPr="56A22BD8">
        <w:rPr>
          <w:rFonts w:ascii="MetaPro-Norm" w:eastAsia="MS Mincho" w:hAnsi="MetaPro-Norm" w:cs="Arial"/>
          <w:sz w:val="22"/>
          <w:szCs w:val="22"/>
        </w:rPr>
        <w:t xml:space="preserve"> </w:t>
      </w:r>
      <w:r w:rsidR="504DBAED" w:rsidRPr="56A22BD8">
        <w:rPr>
          <w:rFonts w:ascii="MetaPro-Norm" w:eastAsia="MS Mincho" w:hAnsi="MetaPro-Norm" w:cs="Arial"/>
          <w:sz w:val="22"/>
          <w:szCs w:val="22"/>
        </w:rPr>
        <w:t>gave refugee</w:t>
      </w:r>
      <w:r w:rsidR="4062133D" w:rsidRPr="56A22BD8">
        <w:rPr>
          <w:rFonts w:ascii="MetaPro-Norm" w:eastAsia="MS Mincho" w:hAnsi="MetaPro-Norm" w:cs="Arial"/>
          <w:sz w:val="22"/>
          <w:szCs w:val="22"/>
        </w:rPr>
        <w:t xml:space="preserve"> children</w:t>
      </w:r>
      <w:r w:rsidR="504DBAED" w:rsidRPr="56A22BD8">
        <w:rPr>
          <w:rFonts w:ascii="MetaPro-Norm" w:eastAsia="MS Mincho" w:hAnsi="MetaPro-Norm" w:cs="Arial"/>
          <w:sz w:val="22"/>
          <w:szCs w:val="22"/>
        </w:rPr>
        <w:t xml:space="preserve"> the right to “essential education”</w:t>
      </w:r>
      <w:r w:rsidR="445694F2" w:rsidRPr="56A22BD8">
        <w:rPr>
          <w:rFonts w:ascii="MetaPro-Norm" w:eastAsia="MS Mincho" w:hAnsi="MetaPro-Norm" w:cs="Arial"/>
          <w:sz w:val="22"/>
          <w:szCs w:val="22"/>
        </w:rPr>
        <w:t xml:space="preserve"> - </w:t>
      </w:r>
      <w:r w:rsidR="504DBAED" w:rsidRPr="56A22BD8">
        <w:rPr>
          <w:rFonts w:ascii="MetaPro-Norm" w:eastAsia="MS Mincho" w:hAnsi="MetaPro-Norm" w:cs="Arial"/>
          <w:sz w:val="22"/>
          <w:szCs w:val="22"/>
        </w:rPr>
        <w:lastRenderedPageBreak/>
        <w:t>meaning primary and lower secondary education</w:t>
      </w:r>
      <w:r w:rsidR="5069B07C" w:rsidRPr="2A6D3368">
        <w:rPr>
          <w:rFonts w:ascii="MetaPro-Norm" w:eastAsia="MS Mincho" w:hAnsi="MetaPro-Norm" w:cs="Arial"/>
          <w:sz w:val="22"/>
          <w:szCs w:val="22"/>
        </w:rPr>
        <w:t>—</w:t>
      </w:r>
      <w:r w:rsidR="03405A9D" w:rsidRPr="2A6D3368">
        <w:rPr>
          <w:rFonts w:ascii="MetaPro-Norm" w:eastAsia="MS Mincho" w:hAnsi="MetaPro-Norm" w:cs="Arial"/>
          <w:sz w:val="22"/>
          <w:szCs w:val="22"/>
        </w:rPr>
        <w:t xml:space="preserve"> </w:t>
      </w:r>
      <w:r w:rsidR="504DBAED" w:rsidRPr="56A22BD8">
        <w:rPr>
          <w:rFonts w:ascii="MetaPro-Norm" w:eastAsia="MS Mincho" w:hAnsi="MetaPro-Norm" w:cs="Arial"/>
          <w:sz w:val="22"/>
          <w:szCs w:val="22"/>
        </w:rPr>
        <w:t>the law failed to guarantee this right to asylum seekers.</w:t>
      </w:r>
      <w:r w:rsidR="00A93DDF">
        <w:rPr>
          <w:rStyle w:val="FootnoteReference"/>
          <w:rFonts w:ascii="MetaPro-Norm" w:eastAsia="MS Mincho" w:hAnsi="MetaPro-Norm" w:cs="Arial"/>
          <w:sz w:val="22"/>
          <w:szCs w:val="22"/>
        </w:rPr>
        <w:footnoteReference w:id="25"/>
      </w:r>
      <w:r w:rsidR="689F9B64" w:rsidRPr="56A22BD8">
        <w:rPr>
          <w:rFonts w:ascii="MetaPro-Norm" w:eastAsia="MS Mincho" w:hAnsi="MetaPro-Norm" w:cs="Arial"/>
          <w:sz w:val="22"/>
          <w:szCs w:val="22"/>
        </w:rPr>
        <w:t xml:space="preserve"> </w:t>
      </w:r>
    </w:p>
    <w:p w14:paraId="2FFDD879" w14:textId="1C4172D1" w:rsidR="56A22BD8" w:rsidRDefault="56A22BD8" w:rsidP="56A22BD8">
      <w:pPr>
        <w:spacing w:after="0" w:line="276" w:lineRule="auto"/>
        <w:rPr>
          <w:rFonts w:ascii="MetaPro-Norm" w:eastAsia="MS Mincho" w:hAnsi="MetaPro-Norm" w:cs="Arial"/>
          <w:sz w:val="22"/>
          <w:szCs w:val="22"/>
        </w:rPr>
      </w:pPr>
    </w:p>
    <w:p w14:paraId="01177FCC" w14:textId="506A6F2D" w:rsidR="1AFD2C8A" w:rsidRDefault="1AFD2C8A" w:rsidP="56A22BD8">
      <w:pPr>
        <w:spacing w:after="0" w:line="276" w:lineRule="auto"/>
        <w:rPr>
          <w:rFonts w:ascii="MetaPro-Norm" w:hAnsi="MetaPro-Norm"/>
          <w:i/>
          <w:iCs/>
          <w:sz w:val="22"/>
          <w:szCs w:val="22"/>
        </w:rPr>
      </w:pPr>
      <w:r w:rsidRPr="56A22BD8">
        <w:rPr>
          <w:rFonts w:ascii="MetaPro-Norm" w:hAnsi="MetaPro-Norm"/>
          <w:i/>
          <w:iCs/>
          <w:sz w:val="22"/>
          <w:szCs w:val="22"/>
        </w:rPr>
        <w:t xml:space="preserve">Human Rights Watch recommends that the Committee </w:t>
      </w:r>
      <w:r w:rsidR="00B401F9">
        <w:rPr>
          <w:rFonts w:ascii="MetaPro-Norm" w:hAnsi="MetaPro-Norm"/>
          <w:i/>
          <w:iCs/>
          <w:sz w:val="22"/>
          <w:szCs w:val="22"/>
        </w:rPr>
        <w:t>ask</w:t>
      </w:r>
      <w:r w:rsidR="00B401F9" w:rsidRPr="456119BD">
        <w:rPr>
          <w:rFonts w:ascii="MetaPro-Norm" w:hAnsi="MetaPro-Norm"/>
          <w:i/>
          <w:iCs/>
          <w:sz w:val="22"/>
          <w:szCs w:val="22"/>
        </w:rPr>
        <w:t xml:space="preserve"> the government of Egypt </w:t>
      </w:r>
      <w:r w:rsidR="00B401F9">
        <w:rPr>
          <w:rFonts w:ascii="MetaPro-Norm" w:hAnsi="MetaPro-Norm"/>
          <w:i/>
          <w:iCs/>
          <w:sz w:val="22"/>
          <w:szCs w:val="22"/>
        </w:rPr>
        <w:t>to describe how it will fulfill its rights obligations, including by</w:t>
      </w:r>
      <w:r w:rsidR="00B401F9" w:rsidRPr="456119BD">
        <w:rPr>
          <w:rFonts w:ascii="MetaPro-Norm" w:hAnsi="MetaPro-Norm"/>
          <w:i/>
          <w:iCs/>
          <w:sz w:val="22"/>
          <w:szCs w:val="22"/>
        </w:rPr>
        <w:t>:</w:t>
      </w:r>
    </w:p>
    <w:p w14:paraId="2CC93260" w14:textId="7C4E2C20" w:rsidR="69ECBE4D" w:rsidRDefault="69ECBE4D" w:rsidP="56A22BD8">
      <w:pPr>
        <w:pStyle w:val="NoSpacing"/>
        <w:numPr>
          <w:ilvl w:val="0"/>
          <w:numId w:val="5"/>
        </w:numPr>
        <w:spacing w:line="276" w:lineRule="auto"/>
        <w:rPr>
          <w:rFonts w:ascii="MetaPro-Norm" w:hAnsi="MetaPro-Norm"/>
          <w:sz w:val="22"/>
          <w:szCs w:val="22"/>
        </w:rPr>
      </w:pPr>
      <w:r w:rsidRPr="79902FC8">
        <w:rPr>
          <w:rFonts w:ascii="MetaPro-Norm" w:hAnsi="MetaPro-Norm"/>
          <w:sz w:val="22"/>
          <w:szCs w:val="22"/>
        </w:rPr>
        <w:t>Guarantee</w:t>
      </w:r>
      <w:r w:rsidR="00B401F9">
        <w:rPr>
          <w:rFonts w:ascii="MetaPro-Norm" w:hAnsi="MetaPro-Norm"/>
          <w:sz w:val="22"/>
          <w:szCs w:val="22"/>
        </w:rPr>
        <w:t>ing</w:t>
      </w:r>
      <w:r w:rsidRPr="79902FC8">
        <w:rPr>
          <w:rFonts w:ascii="MetaPro-Norm" w:hAnsi="MetaPro-Norm"/>
          <w:sz w:val="22"/>
          <w:szCs w:val="22"/>
        </w:rPr>
        <w:t xml:space="preserve"> free and compulsory primary education to all children</w:t>
      </w:r>
      <w:r w:rsidR="5B652210" w:rsidRPr="79902FC8">
        <w:rPr>
          <w:rFonts w:ascii="MetaPro-Norm" w:hAnsi="MetaPro-Norm"/>
          <w:sz w:val="22"/>
          <w:szCs w:val="22"/>
        </w:rPr>
        <w:t xml:space="preserve"> in Egypt, regardless of status</w:t>
      </w:r>
      <w:r w:rsidRPr="79902FC8">
        <w:rPr>
          <w:rFonts w:ascii="MetaPro-Norm" w:hAnsi="MetaPro-Norm"/>
          <w:sz w:val="22"/>
          <w:szCs w:val="22"/>
        </w:rPr>
        <w:t>, and take steps to utilize the maximum of its available resources to provide universal free secondary education.</w:t>
      </w:r>
    </w:p>
    <w:p w14:paraId="76EFF79D" w14:textId="3A4B4E9F" w:rsidR="4EA63C7C" w:rsidRDefault="4EA63C7C" w:rsidP="56A22BD8">
      <w:pPr>
        <w:pStyle w:val="NoSpacing"/>
        <w:numPr>
          <w:ilvl w:val="0"/>
          <w:numId w:val="5"/>
        </w:numPr>
        <w:spacing w:line="276" w:lineRule="auto"/>
        <w:rPr>
          <w:rStyle w:val="FootnoteReference"/>
          <w:rFonts w:ascii="MetaPro-Norm" w:eastAsia="MS Mincho" w:hAnsi="MetaPro-Norm" w:cs="Arial"/>
          <w:sz w:val="22"/>
          <w:szCs w:val="22"/>
        </w:rPr>
      </w:pPr>
      <w:r w:rsidRPr="56A22BD8">
        <w:rPr>
          <w:rFonts w:ascii="MetaPro-Norm" w:hAnsi="MetaPro-Norm"/>
          <w:sz w:val="22"/>
          <w:szCs w:val="22"/>
        </w:rPr>
        <w:t>Increas</w:t>
      </w:r>
      <w:r w:rsidR="00B401F9">
        <w:rPr>
          <w:rFonts w:ascii="MetaPro-Norm" w:hAnsi="MetaPro-Norm"/>
          <w:sz w:val="22"/>
          <w:szCs w:val="22"/>
        </w:rPr>
        <w:t>ing</w:t>
      </w:r>
      <w:r w:rsidRPr="56A22BD8">
        <w:rPr>
          <w:rFonts w:ascii="MetaPro-Norm" w:hAnsi="MetaPro-Norm"/>
          <w:sz w:val="22"/>
          <w:szCs w:val="22"/>
        </w:rPr>
        <w:t xml:space="preserve"> education spending to constitutionally-mandated levels of at least 6 percent of GDP, at a minimum, and aim to achieve widely accepted international </w:t>
      </w:r>
      <w:r w:rsidR="06E09779" w:rsidRPr="56A22BD8">
        <w:rPr>
          <w:rFonts w:ascii="MetaPro-Norm" w:hAnsi="MetaPro-Norm"/>
          <w:sz w:val="22"/>
          <w:szCs w:val="22"/>
        </w:rPr>
        <w:t xml:space="preserve">spending </w:t>
      </w:r>
      <w:r w:rsidRPr="56A22BD8">
        <w:rPr>
          <w:rFonts w:ascii="MetaPro-Norm" w:hAnsi="MetaPro-Norm"/>
          <w:sz w:val="22"/>
          <w:szCs w:val="22"/>
        </w:rPr>
        <w:t xml:space="preserve">benchmarks of </w:t>
      </w:r>
      <w:r w:rsidR="02C82111" w:rsidRPr="56A22BD8">
        <w:rPr>
          <w:rFonts w:ascii="MetaPro-Norm" w:eastAsia="MS Mincho" w:hAnsi="MetaPro-Norm" w:cs="Arial"/>
          <w:sz w:val="22"/>
          <w:szCs w:val="22"/>
        </w:rPr>
        <w:t>15 to 20 percent of public expenditure for education.</w:t>
      </w:r>
    </w:p>
    <w:p w14:paraId="7E77F274" w14:textId="76140E03" w:rsidR="1AFD2C8A" w:rsidRDefault="1AFD2C8A" w:rsidP="56A22BD8">
      <w:pPr>
        <w:pStyle w:val="NoSpacing"/>
        <w:numPr>
          <w:ilvl w:val="0"/>
          <w:numId w:val="5"/>
        </w:numPr>
        <w:spacing w:line="276" w:lineRule="auto"/>
        <w:rPr>
          <w:rFonts w:ascii="MetaPro-Norm" w:hAnsi="MetaPro-Norm"/>
          <w:sz w:val="22"/>
          <w:szCs w:val="22"/>
        </w:rPr>
      </w:pPr>
      <w:r w:rsidRPr="56A22BD8">
        <w:rPr>
          <w:rFonts w:ascii="MetaPro-Norm" w:hAnsi="MetaPro-Norm"/>
          <w:sz w:val="22"/>
          <w:szCs w:val="22"/>
        </w:rPr>
        <w:t>Amend</w:t>
      </w:r>
      <w:r w:rsidR="00B401F9">
        <w:rPr>
          <w:rFonts w:ascii="MetaPro-Norm" w:hAnsi="MetaPro-Norm"/>
          <w:sz w:val="22"/>
          <w:szCs w:val="22"/>
        </w:rPr>
        <w:t>ing</w:t>
      </w:r>
      <w:r w:rsidRPr="56A22BD8">
        <w:rPr>
          <w:rFonts w:ascii="MetaPro-Norm" w:hAnsi="MetaPro-Norm"/>
          <w:sz w:val="22"/>
          <w:szCs w:val="22"/>
        </w:rPr>
        <w:t xml:space="preserve"> the 1981 education law, which guarantees the right to free education for “citizens,” to include all children in the country, including refugees and asylum-seekers. </w:t>
      </w:r>
    </w:p>
    <w:p w14:paraId="2FA646F6" w14:textId="645591AA" w:rsidR="1AFD2C8A" w:rsidRDefault="1AFD2C8A" w:rsidP="56A22BD8">
      <w:pPr>
        <w:pStyle w:val="NoSpacing"/>
        <w:numPr>
          <w:ilvl w:val="0"/>
          <w:numId w:val="5"/>
        </w:numPr>
        <w:spacing w:line="276" w:lineRule="auto"/>
        <w:rPr>
          <w:rFonts w:ascii="MetaPro-Norm" w:hAnsi="MetaPro-Norm"/>
          <w:sz w:val="22"/>
          <w:szCs w:val="22"/>
        </w:rPr>
      </w:pPr>
      <w:r w:rsidRPr="56A22BD8">
        <w:rPr>
          <w:rFonts w:ascii="MetaPro-Norm" w:hAnsi="MetaPro-Norm"/>
          <w:sz w:val="22"/>
          <w:szCs w:val="22"/>
        </w:rPr>
        <w:t>Tak</w:t>
      </w:r>
      <w:r w:rsidR="00B401F9">
        <w:rPr>
          <w:rFonts w:ascii="MetaPro-Norm" w:hAnsi="MetaPro-Norm"/>
          <w:sz w:val="22"/>
          <w:szCs w:val="22"/>
        </w:rPr>
        <w:t>ing</w:t>
      </w:r>
      <w:r w:rsidRPr="56A22BD8">
        <w:rPr>
          <w:rFonts w:ascii="MetaPro-Norm" w:hAnsi="MetaPro-Norm"/>
          <w:sz w:val="22"/>
          <w:szCs w:val="22"/>
        </w:rPr>
        <w:t xml:space="preserve"> steps to address bullying, racism, and other forms of discrimination and stigma in schools, and ensure that families have a mechanism by which to report incidents to school authorities without prejudice.</w:t>
      </w:r>
    </w:p>
    <w:p w14:paraId="6DB306AD" w14:textId="4BFC6F7A" w:rsidR="1AFD2C8A" w:rsidRDefault="1AFD2C8A" w:rsidP="56A22BD8">
      <w:pPr>
        <w:pStyle w:val="NoSpacing"/>
        <w:numPr>
          <w:ilvl w:val="0"/>
          <w:numId w:val="5"/>
        </w:numPr>
        <w:spacing w:line="276" w:lineRule="auto"/>
        <w:rPr>
          <w:rFonts w:ascii="MetaPro-Norm" w:hAnsi="MetaPro-Norm"/>
          <w:sz w:val="22"/>
          <w:szCs w:val="22"/>
        </w:rPr>
      </w:pPr>
      <w:r w:rsidRPr="56A22BD8">
        <w:rPr>
          <w:rFonts w:ascii="MetaPro-Norm" w:hAnsi="MetaPro-Norm"/>
          <w:sz w:val="22"/>
          <w:szCs w:val="22"/>
        </w:rPr>
        <w:t>Ensur</w:t>
      </w:r>
      <w:r w:rsidR="00B401F9">
        <w:rPr>
          <w:rFonts w:ascii="MetaPro-Norm" w:hAnsi="MetaPro-Norm"/>
          <w:sz w:val="22"/>
          <w:szCs w:val="22"/>
        </w:rPr>
        <w:t>ing</w:t>
      </w:r>
      <w:r w:rsidRPr="56A22BD8">
        <w:rPr>
          <w:rFonts w:ascii="MetaPro-Norm" w:hAnsi="MetaPro-Norm"/>
          <w:sz w:val="22"/>
          <w:szCs w:val="22"/>
        </w:rPr>
        <w:t xml:space="preserve"> that all children have access to psychosocial support and counseling.</w:t>
      </w:r>
    </w:p>
    <w:p w14:paraId="18DF9DFC" w14:textId="2FF5250A" w:rsidR="56A22BD8" w:rsidRDefault="56A22BD8" w:rsidP="56A22BD8">
      <w:pPr>
        <w:pStyle w:val="NoSpacing"/>
        <w:rPr>
          <w:rFonts w:ascii="MetaPro-Norm" w:hAnsi="MetaPro-Norm"/>
          <w:i/>
          <w:iCs/>
          <w:sz w:val="22"/>
          <w:szCs w:val="22"/>
        </w:rPr>
      </w:pPr>
    </w:p>
    <w:p w14:paraId="383D7D5B" w14:textId="1BA4D9E7" w:rsidR="09C5C55E" w:rsidRDefault="09C5C55E" w:rsidP="2A6D3368">
      <w:pPr>
        <w:pStyle w:val="NoSpacing"/>
        <w:rPr>
          <w:rFonts w:ascii="MetaPro-Norm" w:hAnsi="MetaPro-Norm"/>
          <w:i/>
          <w:iCs/>
          <w:sz w:val="22"/>
          <w:szCs w:val="22"/>
        </w:rPr>
      </w:pPr>
      <w:r w:rsidRPr="2A6D3368">
        <w:rPr>
          <w:rFonts w:ascii="MetaPro-Norm" w:hAnsi="MetaPro-Norm"/>
          <w:i/>
          <w:iCs/>
          <w:sz w:val="22"/>
          <w:szCs w:val="22"/>
        </w:rPr>
        <w:t xml:space="preserve">Human Rights Watch </w:t>
      </w:r>
      <w:r w:rsidR="00B401F9">
        <w:rPr>
          <w:rFonts w:ascii="MetaPro-Norm" w:hAnsi="MetaPro-Norm"/>
          <w:i/>
          <w:iCs/>
          <w:sz w:val="22"/>
          <w:szCs w:val="22"/>
        </w:rPr>
        <w:t xml:space="preserve">also </w:t>
      </w:r>
      <w:r w:rsidRPr="2A6D3368">
        <w:rPr>
          <w:rFonts w:ascii="MetaPro-Norm" w:hAnsi="MetaPro-Norm"/>
          <w:i/>
          <w:iCs/>
          <w:sz w:val="22"/>
          <w:szCs w:val="22"/>
        </w:rPr>
        <w:t>recommends that the Committee ask the government of Egypt:</w:t>
      </w:r>
    </w:p>
    <w:p w14:paraId="4AD1D475" w14:textId="6F3F01DD" w:rsidR="2B7067B0" w:rsidRPr="007A4202" w:rsidRDefault="2B7067B0" w:rsidP="00933C17">
      <w:pPr>
        <w:pStyle w:val="NoSpacing"/>
        <w:numPr>
          <w:ilvl w:val="0"/>
          <w:numId w:val="20"/>
        </w:numPr>
        <w:rPr>
          <w:rFonts w:ascii="MetaPro-Norm" w:hAnsi="MetaPro-Norm"/>
          <w:sz w:val="22"/>
          <w:szCs w:val="22"/>
        </w:rPr>
      </w:pPr>
      <w:r w:rsidRPr="007A4202">
        <w:rPr>
          <w:rFonts w:ascii="MetaPro-Norm" w:hAnsi="MetaPro-Norm"/>
          <w:sz w:val="22"/>
          <w:szCs w:val="22"/>
        </w:rPr>
        <w:t>Why has the government reduced the real spending on education in recent years? What measures did the government considering before resorting to retrogressive action?</w:t>
      </w:r>
    </w:p>
    <w:p w14:paraId="74AEB0D2" w14:textId="75AD0337" w:rsidR="2B7067B0" w:rsidRPr="007A4202" w:rsidRDefault="2B7067B0" w:rsidP="00933C17">
      <w:pPr>
        <w:pStyle w:val="NoSpacing"/>
        <w:numPr>
          <w:ilvl w:val="0"/>
          <w:numId w:val="20"/>
        </w:numPr>
        <w:rPr>
          <w:rFonts w:ascii="MetaPro-Norm" w:hAnsi="MetaPro-Norm"/>
          <w:sz w:val="22"/>
          <w:szCs w:val="22"/>
        </w:rPr>
      </w:pPr>
      <w:r w:rsidRPr="007A4202">
        <w:rPr>
          <w:rFonts w:ascii="MetaPro-Norm" w:hAnsi="MetaPro-Norm"/>
          <w:sz w:val="22"/>
          <w:szCs w:val="22"/>
        </w:rPr>
        <w:t xml:space="preserve">Why does the government require fees for public education? </w:t>
      </w:r>
    </w:p>
    <w:p w14:paraId="3E9756B6" w14:textId="4F4E0477" w:rsidR="56A22BD8" w:rsidRPr="007A4202" w:rsidRDefault="794F00C3" w:rsidP="68999232">
      <w:pPr>
        <w:pStyle w:val="NoSpacing"/>
        <w:numPr>
          <w:ilvl w:val="0"/>
          <w:numId w:val="20"/>
        </w:numPr>
        <w:rPr>
          <w:rFonts w:ascii="MetaPro-Norm" w:hAnsi="MetaPro-Norm"/>
          <w:sz w:val="22"/>
          <w:szCs w:val="22"/>
        </w:rPr>
      </w:pPr>
      <w:r w:rsidRPr="79902FC8">
        <w:rPr>
          <w:rFonts w:ascii="MetaPro-Norm" w:hAnsi="MetaPro-Norm"/>
          <w:sz w:val="22"/>
          <w:szCs w:val="22"/>
        </w:rPr>
        <w:t xml:space="preserve">Given </w:t>
      </w:r>
      <w:r w:rsidR="363F8A14" w:rsidRPr="79902FC8">
        <w:rPr>
          <w:rFonts w:ascii="MetaPro-Norm" w:hAnsi="MetaPro-Norm"/>
          <w:sz w:val="22"/>
          <w:szCs w:val="22"/>
        </w:rPr>
        <w:t xml:space="preserve">that the </w:t>
      </w:r>
      <w:r w:rsidRPr="79902FC8">
        <w:rPr>
          <w:rFonts w:ascii="MetaPro-Norm" w:hAnsi="MetaPro-Norm"/>
          <w:sz w:val="22"/>
          <w:szCs w:val="22"/>
        </w:rPr>
        <w:t>new a</w:t>
      </w:r>
      <w:r w:rsidR="55943A78" w:rsidRPr="79902FC8">
        <w:rPr>
          <w:rFonts w:ascii="MetaPro-Norm" w:hAnsi="MetaPro-Norm"/>
          <w:sz w:val="22"/>
          <w:szCs w:val="22"/>
        </w:rPr>
        <w:t>s</w:t>
      </w:r>
      <w:r w:rsidRPr="79902FC8">
        <w:rPr>
          <w:rFonts w:ascii="MetaPro-Norm" w:hAnsi="MetaPro-Norm"/>
          <w:sz w:val="22"/>
          <w:szCs w:val="22"/>
        </w:rPr>
        <w:t>ylum law</w:t>
      </w:r>
      <w:r w:rsidR="528C05A4" w:rsidRPr="79902FC8">
        <w:rPr>
          <w:rFonts w:ascii="MetaPro-Norm" w:hAnsi="MetaPro-Norm"/>
          <w:sz w:val="22"/>
          <w:szCs w:val="22"/>
        </w:rPr>
        <w:t xml:space="preserve"> </w:t>
      </w:r>
      <w:r w:rsidR="546875C9" w:rsidRPr="79902FC8">
        <w:rPr>
          <w:rFonts w:ascii="MetaPro-Norm" w:hAnsi="MetaPro-Norm"/>
          <w:sz w:val="22"/>
          <w:szCs w:val="22"/>
        </w:rPr>
        <w:t xml:space="preserve">includes the right to access education for refugee children, what </w:t>
      </w:r>
      <w:r w:rsidR="047F7455" w:rsidRPr="79902FC8">
        <w:rPr>
          <w:rFonts w:ascii="MetaPro-Norm" w:hAnsi="MetaPro-Norm"/>
          <w:sz w:val="22"/>
          <w:szCs w:val="22"/>
        </w:rPr>
        <w:t xml:space="preserve">measures </w:t>
      </w:r>
      <w:r w:rsidR="2292E6BD" w:rsidRPr="79902FC8">
        <w:rPr>
          <w:rFonts w:ascii="MetaPro-Norm" w:hAnsi="MetaPro-Norm"/>
          <w:sz w:val="22"/>
          <w:szCs w:val="22"/>
        </w:rPr>
        <w:t xml:space="preserve">have been </w:t>
      </w:r>
      <w:r w:rsidR="047F7455" w:rsidRPr="79902FC8">
        <w:rPr>
          <w:rFonts w:ascii="MetaPro-Norm" w:hAnsi="MetaPro-Norm"/>
          <w:sz w:val="22"/>
          <w:szCs w:val="22"/>
        </w:rPr>
        <w:t xml:space="preserve">taken to facilitate and ensure </w:t>
      </w:r>
      <w:r w:rsidR="5B7191DE" w:rsidRPr="79902FC8">
        <w:rPr>
          <w:rFonts w:ascii="MetaPro-Norm" w:hAnsi="MetaPro-Norm"/>
          <w:sz w:val="22"/>
          <w:szCs w:val="22"/>
        </w:rPr>
        <w:t xml:space="preserve">that refugee children have access to </w:t>
      </w:r>
      <w:r w:rsidR="2046A5C0" w:rsidRPr="79902FC8">
        <w:rPr>
          <w:rFonts w:ascii="MetaPro-Norm" w:hAnsi="MetaPro-Norm"/>
          <w:sz w:val="22"/>
          <w:szCs w:val="22"/>
        </w:rPr>
        <w:t>education given the documented bureaucratic hurdles they have faced in the past</w:t>
      </w:r>
      <w:r w:rsidR="16123A00" w:rsidRPr="79902FC8">
        <w:rPr>
          <w:rFonts w:ascii="MetaPro-Norm" w:hAnsi="MetaPro-Norm"/>
          <w:sz w:val="22"/>
          <w:szCs w:val="22"/>
        </w:rPr>
        <w:t>?</w:t>
      </w:r>
    </w:p>
    <w:p w14:paraId="1286F183" w14:textId="1A5D1E03" w:rsidR="56A22BD8" w:rsidRPr="007A4202" w:rsidRDefault="16123A00" w:rsidP="68999232">
      <w:pPr>
        <w:pStyle w:val="NoSpacing"/>
        <w:numPr>
          <w:ilvl w:val="0"/>
          <w:numId w:val="20"/>
        </w:numPr>
        <w:rPr>
          <w:rFonts w:ascii="MetaPro-Norm" w:hAnsi="MetaPro-Norm"/>
          <w:sz w:val="22"/>
          <w:szCs w:val="22"/>
        </w:rPr>
      </w:pPr>
      <w:r w:rsidRPr="79902FC8">
        <w:rPr>
          <w:rFonts w:ascii="MetaPro-Norm" w:hAnsi="MetaPro-Norm"/>
          <w:sz w:val="22"/>
          <w:szCs w:val="22"/>
        </w:rPr>
        <w:t xml:space="preserve">Will the government of Egypt consider amending the new asylum law to include </w:t>
      </w:r>
      <w:r w:rsidR="358A2F18" w:rsidRPr="79902FC8">
        <w:rPr>
          <w:rFonts w:ascii="MetaPro-Norm" w:hAnsi="MetaPro-Norm"/>
          <w:sz w:val="22"/>
          <w:szCs w:val="22"/>
        </w:rPr>
        <w:t xml:space="preserve">in the right to education </w:t>
      </w:r>
      <w:r w:rsidRPr="79902FC8">
        <w:rPr>
          <w:rFonts w:ascii="MetaPro-Norm" w:hAnsi="MetaPro-Norm"/>
          <w:sz w:val="22"/>
          <w:szCs w:val="22"/>
        </w:rPr>
        <w:t>children whose families are awaiting</w:t>
      </w:r>
      <w:r w:rsidR="2AD9EE3B" w:rsidRPr="79902FC8">
        <w:rPr>
          <w:rFonts w:ascii="MetaPro-Norm" w:hAnsi="MetaPro-Norm"/>
          <w:sz w:val="22"/>
          <w:szCs w:val="22"/>
        </w:rPr>
        <w:t xml:space="preserve"> a final decision on their asylum claim</w:t>
      </w:r>
      <w:r w:rsidR="1D222982" w:rsidRPr="79902FC8">
        <w:rPr>
          <w:rFonts w:ascii="MetaPro-Norm" w:hAnsi="MetaPro-Norm"/>
          <w:sz w:val="22"/>
          <w:szCs w:val="22"/>
        </w:rPr>
        <w:t>s</w:t>
      </w:r>
      <w:r w:rsidR="2AD9EE3B" w:rsidRPr="79902FC8">
        <w:rPr>
          <w:rFonts w:ascii="MetaPro-Norm" w:hAnsi="MetaPro-Norm"/>
          <w:sz w:val="22"/>
          <w:szCs w:val="22"/>
        </w:rPr>
        <w:t>?</w:t>
      </w:r>
      <w:r w:rsidR="556F24E0" w:rsidRPr="79902FC8">
        <w:rPr>
          <w:rFonts w:ascii="MetaPro-Norm" w:hAnsi="MetaPro-Norm"/>
          <w:sz w:val="22"/>
          <w:szCs w:val="22"/>
        </w:rPr>
        <w:t xml:space="preserve"> </w:t>
      </w:r>
    </w:p>
    <w:p w14:paraId="5B0B7E68" w14:textId="5DA8091E" w:rsidR="3C6EF97E" w:rsidRDefault="3C6EF97E" w:rsidP="68999232">
      <w:pPr>
        <w:pStyle w:val="NoSpacing"/>
        <w:numPr>
          <w:ilvl w:val="0"/>
          <w:numId w:val="20"/>
        </w:numPr>
        <w:rPr>
          <w:rFonts w:ascii="MetaPro-Norm" w:hAnsi="MetaPro-Norm"/>
          <w:sz w:val="22"/>
          <w:szCs w:val="22"/>
        </w:rPr>
      </w:pPr>
      <w:r w:rsidRPr="79902FC8">
        <w:rPr>
          <w:rFonts w:ascii="MetaPro-Norm" w:hAnsi="MetaPro-Norm"/>
          <w:sz w:val="22"/>
          <w:szCs w:val="22"/>
        </w:rPr>
        <w:t xml:space="preserve">Will the government of Egypt consider amending the new </w:t>
      </w:r>
      <w:r w:rsidR="56F4B6EA" w:rsidRPr="79902FC8">
        <w:rPr>
          <w:rFonts w:ascii="MetaPro-Norm" w:hAnsi="MetaPro-Norm"/>
          <w:sz w:val="22"/>
          <w:szCs w:val="22"/>
        </w:rPr>
        <w:t>asylum</w:t>
      </w:r>
      <w:r w:rsidRPr="79902FC8">
        <w:rPr>
          <w:rFonts w:ascii="MetaPro-Norm" w:hAnsi="MetaPro-Norm"/>
          <w:sz w:val="22"/>
          <w:szCs w:val="22"/>
        </w:rPr>
        <w:t xml:space="preserve"> law to include</w:t>
      </w:r>
      <w:r w:rsidR="55F6431C" w:rsidRPr="79902FC8">
        <w:rPr>
          <w:rFonts w:ascii="MetaPro-Norm" w:hAnsi="MetaPro-Norm"/>
          <w:sz w:val="22"/>
          <w:szCs w:val="22"/>
        </w:rPr>
        <w:t xml:space="preserve"> the right to</w:t>
      </w:r>
      <w:r w:rsidRPr="79902FC8">
        <w:rPr>
          <w:rFonts w:ascii="MetaPro-Norm" w:hAnsi="MetaPro-Norm"/>
          <w:sz w:val="22"/>
          <w:szCs w:val="22"/>
        </w:rPr>
        <w:t xml:space="preserve"> access upper secondary education so that </w:t>
      </w:r>
      <w:r w:rsidR="066CC4BD" w:rsidRPr="79902FC8">
        <w:rPr>
          <w:rFonts w:ascii="MetaPro-Norm" w:hAnsi="MetaPro-Norm"/>
          <w:sz w:val="22"/>
          <w:szCs w:val="22"/>
        </w:rPr>
        <w:t xml:space="preserve">refugee </w:t>
      </w:r>
      <w:r w:rsidRPr="79902FC8">
        <w:rPr>
          <w:rFonts w:ascii="MetaPro-Norm" w:hAnsi="MetaPro-Norm"/>
          <w:sz w:val="22"/>
          <w:szCs w:val="22"/>
        </w:rPr>
        <w:t xml:space="preserve">children </w:t>
      </w:r>
      <w:r w:rsidR="53DB2A63" w:rsidRPr="79902FC8">
        <w:rPr>
          <w:rFonts w:ascii="MetaPro-Norm" w:hAnsi="MetaPro-Norm"/>
          <w:sz w:val="22"/>
          <w:szCs w:val="22"/>
        </w:rPr>
        <w:t xml:space="preserve">have continued </w:t>
      </w:r>
      <w:r w:rsidR="2E314DA0" w:rsidRPr="79902FC8">
        <w:rPr>
          <w:rFonts w:ascii="MetaPro-Norm" w:hAnsi="MetaPro-Norm"/>
          <w:sz w:val="22"/>
          <w:szCs w:val="22"/>
        </w:rPr>
        <w:t xml:space="preserve">access </w:t>
      </w:r>
      <w:r w:rsidR="38FA6157" w:rsidRPr="79902FC8">
        <w:rPr>
          <w:rFonts w:ascii="MetaPro-Norm" w:hAnsi="MetaPro-Norm"/>
          <w:sz w:val="22"/>
          <w:szCs w:val="22"/>
        </w:rPr>
        <w:t>to</w:t>
      </w:r>
      <w:r w:rsidR="0E0C8498" w:rsidRPr="79902FC8">
        <w:rPr>
          <w:rFonts w:ascii="MetaPro-Norm" w:hAnsi="MetaPro-Norm"/>
          <w:sz w:val="22"/>
          <w:szCs w:val="22"/>
        </w:rPr>
        <w:t xml:space="preserve"> secondary</w:t>
      </w:r>
      <w:r w:rsidR="38FA6157" w:rsidRPr="79902FC8">
        <w:rPr>
          <w:rFonts w:ascii="MetaPro-Norm" w:hAnsi="MetaPro-Norm"/>
          <w:sz w:val="22"/>
          <w:szCs w:val="22"/>
        </w:rPr>
        <w:t xml:space="preserve"> </w:t>
      </w:r>
      <w:r w:rsidR="2E314DA0" w:rsidRPr="79902FC8">
        <w:rPr>
          <w:rFonts w:ascii="MetaPro-Norm" w:hAnsi="MetaPro-Norm"/>
          <w:sz w:val="22"/>
          <w:szCs w:val="22"/>
        </w:rPr>
        <w:t>education</w:t>
      </w:r>
      <w:r w:rsidR="06CDDEED" w:rsidRPr="79902FC8">
        <w:rPr>
          <w:rFonts w:ascii="MetaPro-Norm" w:hAnsi="MetaPro-Norm"/>
          <w:sz w:val="22"/>
          <w:szCs w:val="22"/>
        </w:rPr>
        <w:t>?</w:t>
      </w:r>
    </w:p>
    <w:p w14:paraId="18B728AF" w14:textId="07B09D2B" w:rsidR="56A22BD8" w:rsidRDefault="56A22BD8" w:rsidP="56A22BD8">
      <w:pPr>
        <w:spacing w:after="0"/>
        <w:rPr>
          <w:rFonts w:ascii="MetaPro-Norm" w:hAnsi="MetaPro-Norm"/>
          <w:i/>
          <w:iCs/>
          <w:sz w:val="22"/>
          <w:szCs w:val="22"/>
        </w:rPr>
      </w:pPr>
    </w:p>
    <w:p w14:paraId="28EA957E" w14:textId="1D3B1671" w:rsidR="0BDD0F6C" w:rsidRDefault="0BDD0F6C" w:rsidP="00577D00">
      <w:pPr>
        <w:pStyle w:val="Heading2"/>
      </w:pPr>
      <w:r w:rsidRPr="56A22BD8">
        <w:lastRenderedPageBreak/>
        <w:t>Public Health</w:t>
      </w:r>
      <w:r w:rsidR="00AE4C93">
        <w:t xml:space="preserve"> </w:t>
      </w:r>
      <w:r w:rsidR="007225C6">
        <w:t>C</w:t>
      </w:r>
      <w:r w:rsidRPr="56A22BD8">
        <w:t>are Spending (article 12)</w:t>
      </w:r>
    </w:p>
    <w:p w14:paraId="6001AFFD" w14:textId="0EB3BACD" w:rsidR="251ABB05" w:rsidRDefault="251ABB05" w:rsidP="56A22BD8">
      <w:pPr>
        <w:spacing w:after="0"/>
        <w:rPr>
          <w:rStyle w:val="FootnoteReference"/>
          <w:rFonts w:ascii="MetaPro-Norm" w:hAnsi="MetaPro-Norm"/>
          <w:sz w:val="22"/>
          <w:szCs w:val="22"/>
          <w:vertAlign w:val="baseline"/>
        </w:rPr>
      </w:pPr>
      <w:r w:rsidRPr="56A22BD8">
        <w:rPr>
          <w:rStyle w:val="FootnoteReference"/>
          <w:rFonts w:ascii="MetaPro-Norm" w:hAnsi="MetaPro-Norm"/>
          <w:sz w:val="22"/>
          <w:szCs w:val="22"/>
          <w:vertAlign w:val="baseline"/>
        </w:rPr>
        <w:t>Recent Human Rights Watch analysis of the World Health Organization’s</w:t>
      </w:r>
      <w:r w:rsidR="503AAA29" w:rsidRPr="56A22BD8">
        <w:rPr>
          <w:rStyle w:val="FootnoteReference"/>
          <w:rFonts w:ascii="MetaPro-Norm" w:hAnsi="MetaPro-Norm"/>
          <w:sz w:val="22"/>
          <w:szCs w:val="22"/>
          <w:vertAlign w:val="baseline"/>
        </w:rPr>
        <w:t xml:space="preserve"> (WHO)</w:t>
      </w:r>
      <w:r w:rsidRPr="56A22BD8">
        <w:rPr>
          <w:rStyle w:val="FootnoteReference"/>
          <w:rFonts w:ascii="MetaPro-Norm" w:hAnsi="MetaPro-Norm"/>
          <w:sz w:val="22"/>
          <w:szCs w:val="22"/>
          <w:vertAlign w:val="baseline"/>
        </w:rPr>
        <w:t xml:space="preserve"> latest Global Health Expenditure Database shows that</w:t>
      </w:r>
      <w:r w:rsidRPr="56A22BD8">
        <w:rPr>
          <w:rStyle w:val="FootnoteReference"/>
          <w:rFonts w:ascii="MetaPro-Norm" w:hAnsi="MetaPro-Norm"/>
          <w:sz w:val="22"/>
          <w:szCs w:val="22"/>
        </w:rPr>
        <w:footnoteReference w:id="26"/>
      </w:r>
      <w:r w:rsidR="56A22BD8" w:rsidRPr="56A22BD8">
        <w:rPr>
          <w:rStyle w:val="FootnoteReference"/>
          <w:rFonts w:ascii="MetaPro-Norm" w:hAnsi="MetaPro-Norm"/>
          <w:sz w:val="22"/>
          <w:szCs w:val="22"/>
          <w:vertAlign w:val="baseline"/>
        </w:rPr>
        <w:t xml:space="preserve"> </w:t>
      </w:r>
      <w:r w:rsidR="00B02CC5" w:rsidRPr="2A6D3368">
        <w:rPr>
          <w:rFonts w:ascii="MetaPro-Norm" w:hAnsi="MetaPro-Norm"/>
          <w:sz w:val="22"/>
          <w:szCs w:val="22"/>
        </w:rPr>
        <w:t>i</w:t>
      </w:r>
      <w:r w:rsidR="56A22BD8" w:rsidRPr="56A22BD8">
        <w:rPr>
          <w:rStyle w:val="FootnoteReference"/>
          <w:rFonts w:ascii="MetaPro-Norm" w:hAnsi="MetaPro-Norm"/>
          <w:sz w:val="22"/>
          <w:szCs w:val="22"/>
          <w:vertAlign w:val="baseline"/>
        </w:rPr>
        <w:t>n 2022, the most recent year for which data is available, Egypt spent roughly 1.8 percent of its gross domestic product (GDP) on public health care (up from 1.3 percent in 2019) or about 7.2 percent of its national budget (up from 4.8% in 2019).</w:t>
      </w:r>
      <w:r w:rsidRPr="56A22BD8">
        <w:rPr>
          <w:rStyle w:val="FootnoteReference"/>
          <w:rFonts w:ascii="MetaPro-Norm" w:hAnsi="MetaPro-Norm"/>
          <w:sz w:val="22"/>
          <w:szCs w:val="22"/>
        </w:rPr>
        <w:footnoteReference w:id="27"/>
      </w:r>
      <w:r w:rsidR="56A22BD8" w:rsidRPr="56A22BD8">
        <w:rPr>
          <w:rStyle w:val="FootnoteReference"/>
          <w:rFonts w:ascii="MetaPro-Norm" w:hAnsi="MetaPro-Norm"/>
          <w:sz w:val="22"/>
          <w:szCs w:val="22"/>
          <w:vertAlign w:val="baseline"/>
        </w:rPr>
        <w:t xml:space="preserve"> While both of these metrics improved, they still fall short of the well-accepted international spending benchmarks of 5 percent of GDP or 15 percent of national budget.</w:t>
      </w:r>
    </w:p>
    <w:p w14:paraId="45CE1D5E" w14:textId="7B649EC0" w:rsidR="56A22BD8" w:rsidRDefault="56A22BD8" w:rsidP="56A22BD8">
      <w:pPr>
        <w:spacing w:after="0"/>
        <w:rPr>
          <w:rStyle w:val="FootnoteReference"/>
          <w:rFonts w:ascii="MetaPro-Norm" w:hAnsi="MetaPro-Norm"/>
          <w:sz w:val="22"/>
          <w:szCs w:val="22"/>
          <w:vertAlign w:val="baseline"/>
        </w:rPr>
      </w:pPr>
    </w:p>
    <w:p w14:paraId="0F8370B2" w14:textId="52EB93D4" w:rsidR="0890C06D" w:rsidRDefault="0890C06D" w:rsidP="56A22BD8">
      <w:pPr>
        <w:spacing w:after="0"/>
        <w:rPr>
          <w:rStyle w:val="FootnoteReference"/>
          <w:rFonts w:ascii="MetaPro-Norm" w:hAnsi="MetaPro-Norm"/>
          <w:sz w:val="22"/>
          <w:szCs w:val="22"/>
          <w:vertAlign w:val="baseline"/>
        </w:rPr>
      </w:pPr>
      <w:r w:rsidRPr="56A22BD8">
        <w:rPr>
          <w:rStyle w:val="FootnoteReference"/>
          <w:rFonts w:ascii="MetaPro-Norm" w:hAnsi="MetaPro-Norm"/>
          <w:sz w:val="22"/>
          <w:szCs w:val="22"/>
          <w:vertAlign w:val="baseline"/>
        </w:rPr>
        <w:t xml:space="preserve">Egypt’s public health care system is also overly reliant on household out-of-pocket payments, which </w:t>
      </w:r>
      <w:r w:rsidR="7EEE7233" w:rsidRPr="56A22BD8">
        <w:rPr>
          <w:rStyle w:val="FootnoteReference"/>
          <w:rFonts w:ascii="MetaPro-Norm" w:hAnsi="MetaPro-Norm"/>
          <w:sz w:val="22"/>
          <w:szCs w:val="22"/>
          <w:vertAlign w:val="baseline"/>
        </w:rPr>
        <w:t>account for</w:t>
      </w:r>
      <w:r w:rsidRPr="56A22BD8">
        <w:rPr>
          <w:rStyle w:val="FootnoteReference"/>
          <w:rFonts w:ascii="MetaPro-Norm" w:hAnsi="MetaPro-Norm"/>
          <w:sz w:val="22"/>
          <w:szCs w:val="22"/>
          <w:vertAlign w:val="baseline"/>
        </w:rPr>
        <w:t xml:space="preserve"> nearly 54 percent of the country’s </w:t>
      </w:r>
      <w:r w:rsidR="7DE0A818" w:rsidRPr="56A22BD8">
        <w:rPr>
          <w:rStyle w:val="FootnoteReference"/>
          <w:rFonts w:ascii="MetaPro-Norm" w:hAnsi="MetaPro-Norm"/>
          <w:sz w:val="22"/>
          <w:szCs w:val="22"/>
          <w:vertAlign w:val="baseline"/>
        </w:rPr>
        <w:t>total health</w:t>
      </w:r>
      <w:r w:rsidR="00DB5C5E" w:rsidRPr="2A6D3368">
        <w:rPr>
          <w:rFonts w:ascii="MetaPro-Norm" w:hAnsi="MetaPro-Norm"/>
          <w:sz w:val="22"/>
          <w:szCs w:val="22"/>
        </w:rPr>
        <w:t xml:space="preserve"> </w:t>
      </w:r>
      <w:r w:rsidR="7DE0A818" w:rsidRPr="56A22BD8">
        <w:rPr>
          <w:rStyle w:val="FootnoteReference"/>
          <w:rFonts w:ascii="MetaPro-Norm" w:hAnsi="MetaPro-Norm"/>
          <w:sz w:val="22"/>
          <w:szCs w:val="22"/>
          <w:vertAlign w:val="baseline"/>
        </w:rPr>
        <w:t>care spending.</w:t>
      </w:r>
      <w:r w:rsidRPr="56A22BD8">
        <w:rPr>
          <w:rStyle w:val="FootnoteReference"/>
          <w:rFonts w:ascii="MetaPro-Norm" w:hAnsi="MetaPro-Norm"/>
          <w:sz w:val="22"/>
          <w:szCs w:val="22"/>
        </w:rPr>
        <w:footnoteReference w:id="28"/>
      </w:r>
      <w:r w:rsidR="7DE0A818" w:rsidRPr="56A22BD8">
        <w:rPr>
          <w:rStyle w:val="FootnoteReference"/>
          <w:rFonts w:ascii="MetaPro-Norm" w:hAnsi="MetaPro-Norm"/>
          <w:sz w:val="22"/>
          <w:szCs w:val="22"/>
        </w:rPr>
        <w:t xml:space="preserve"> </w:t>
      </w:r>
      <w:r w:rsidR="56AC2FD0" w:rsidRPr="56A22BD8">
        <w:rPr>
          <w:rStyle w:val="FootnoteReference"/>
          <w:rFonts w:ascii="MetaPro-Norm" w:hAnsi="MetaPro-Norm"/>
          <w:sz w:val="22"/>
          <w:szCs w:val="22"/>
          <w:vertAlign w:val="baseline"/>
        </w:rPr>
        <w:t xml:space="preserve">WHO estimates that this </w:t>
      </w:r>
      <w:r w:rsidR="76D482BF" w:rsidRPr="56A22BD8">
        <w:rPr>
          <w:rStyle w:val="FootnoteReference"/>
          <w:rFonts w:ascii="MetaPro-Norm" w:hAnsi="MetaPro-Norm"/>
          <w:sz w:val="22"/>
          <w:szCs w:val="22"/>
          <w:vertAlign w:val="baseline"/>
        </w:rPr>
        <w:t xml:space="preserve">share should be no more than 15 to 20 percent in order to mitigate the risk that households will need to spend more than 40 percent of their income on health care </w:t>
      </w:r>
      <w:r w:rsidR="1BEC3CBC" w:rsidRPr="56A22BD8">
        <w:rPr>
          <w:rStyle w:val="FootnoteReference"/>
          <w:rFonts w:ascii="MetaPro-Norm" w:hAnsi="MetaPro-Norm"/>
          <w:sz w:val="22"/>
          <w:szCs w:val="22"/>
          <w:vertAlign w:val="baseline"/>
        </w:rPr>
        <w:t>after paying for necessities such as food and housing</w:t>
      </w:r>
      <w:r w:rsidR="00736C09" w:rsidRPr="2A6D3368">
        <w:rPr>
          <w:rFonts w:ascii="MetaPro-Norm" w:hAnsi="MetaPro-Norm"/>
          <w:sz w:val="22"/>
          <w:szCs w:val="22"/>
        </w:rPr>
        <w:t>—</w:t>
      </w:r>
      <w:r w:rsidR="1BEC3CBC" w:rsidRPr="56A22BD8">
        <w:rPr>
          <w:rStyle w:val="FootnoteReference"/>
          <w:rFonts w:ascii="MetaPro-Norm" w:hAnsi="MetaPro-Norm"/>
          <w:sz w:val="22"/>
          <w:szCs w:val="22"/>
          <w:vertAlign w:val="baseline"/>
        </w:rPr>
        <w:t>a level that WHO considers to be “catastrophic health spending.”</w:t>
      </w:r>
      <w:r w:rsidRPr="56A22BD8">
        <w:rPr>
          <w:rStyle w:val="FootnoteReference"/>
          <w:rFonts w:ascii="MetaPro-Norm" w:hAnsi="MetaPro-Norm"/>
          <w:sz w:val="22"/>
          <w:szCs w:val="22"/>
        </w:rPr>
        <w:footnoteReference w:id="29"/>
      </w:r>
    </w:p>
    <w:p w14:paraId="022B2AC8" w14:textId="15559BFA" w:rsidR="56A22BD8" w:rsidRDefault="56A22BD8" w:rsidP="56A22BD8">
      <w:pPr>
        <w:spacing w:after="0"/>
        <w:rPr>
          <w:rFonts w:ascii="MetaPro-Norm" w:hAnsi="MetaPro-Norm"/>
          <w:sz w:val="22"/>
          <w:szCs w:val="22"/>
        </w:rPr>
      </w:pPr>
    </w:p>
    <w:p w14:paraId="220EB957" w14:textId="60BC93D3" w:rsidR="03C82D15" w:rsidRDefault="03C82D15" w:rsidP="56A22BD8">
      <w:pPr>
        <w:spacing w:after="0"/>
        <w:rPr>
          <w:rFonts w:ascii="MetaPro-Norm" w:hAnsi="MetaPro-Norm"/>
          <w:i/>
          <w:iCs/>
          <w:sz w:val="22"/>
          <w:szCs w:val="22"/>
        </w:rPr>
      </w:pPr>
      <w:r w:rsidRPr="56A22BD8">
        <w:rPr>
          <w:rFonts w:ascii="MetaPro-Norm" w:hAnsi="MetaPro-Norm"/>
          <w:i/>
          <w:iCs/>
          <w:sz w:val="22"/>
          <w:szCs w:val="22"/>
        </w:rPr>
        <w:t xml:space="preserve">Human Rights Watch recommends that the Committee </w:t>
      </w:r>
      <w:r w:rsidR="00B401F9">
        <w:rPr>
          <w:rFonts w:ascii="MetaPro-Norm" w:hAnsi="MetaPro-Norm"/>
          <w:i/>
          <w:iCs/>
          <w:sz w:val="22"/>
          <w:szCs w:val="22"/>
        </w:rPr>
        <w:t>ask</w:t>
      </w:r>
      <w:r w:rsidR="00B401F9" w:rsidRPr="456119BD">
        <w:rPr>
          <w:rFonts w:ascii="MetaPro-Norm" w:hAnsi="MetaPro-Norm"/>
          <w:i/>
          <w:iCs/>
          <w:sz w:val="22"/>
          <w:szCs w:val="22"/>
        </w:rPr>
        <w:t xml:space="preserve"> the government of Egypt </w:t>
      </w:r>
      <w:r w:rsidR="00B401F9">
        <w:rPr>
          <w:rFonts w:ascii="MetaPro-Norm" w:hAnsi="MetaPro-Norm"/>
          <w:i/>
          <w:iCs/>
          <w:sz w:val="22"/>
          <w:szCs w:val="22"/>
        </w:rPr>
        <w:t>to describe how it will fulfill its rights obligations, including by</w:t>
      </w:r>
      <w:r w:rsidR="00B401F9" w:rsidRPr="456119BD">
        <w:rPr>
          <w:rFonts w:ascii="MetaPro-Norm" w:hAnsi="MetaPro-Norm"/>
          <w:i/>
          <w:iCs/>
          <w:sz w:val="22"/>
          <w:szCs w:val="22"/>
        </w:rPr>
        <w:t>:</w:t>
      </w:r>
    </w:p>
    <w:p w14:paraId="692B0104" w14:textId="5551102F" w:rsidR="00A37DEC" w:rsidRPr="00577D00" w:rsidRDefault="00A37DEC" w:rsidP="00A37DEC">
      <w:pPr>
        <w:pStyle w:val="ListParagraph"/>
        <w:numPr>
          <w:ilvl w:val="0"/>
          <w:numId w:val="6"/>
        </w:numPr>
        <w:spacing w:after="0"/>
        <w:rPr>
          <w:rFonts w:ascii="MetaPro-Norm" w:hAnsi="MetaPro-Norm"/>
          <w:sz w:val="22"/>
          <w:szCs w:val="22"/>
        </w:rPr>
      </w:pPr>
      <w:r w:rsidRPr="2A6D3368">
        <w:rPr>
          <w:rFonts w:ascii="MetaPro-Norm" w:hAnsi="MetaPro-Norm"/>
          <w:sz w:val="22"/>
          <w:szCs w:val="22"/>
        </w:rPr>
        <w:t>Increas</w:t>
      </w:r>
      <w:r w:rsidR="00B401F9">
        <w:rPr>
          <w:rFonts w:ascii="MetaPro-Norm" w:hAnsi="MetaPro-Norm"/>
          <w:sz w:val="22"/>
          <w:szCs w:val="22"/>
        </w:rPr>
        <w:t>ing</w:t>
      </w:r>
      <w:r w:rsidRPr="2A6D3368">
        <w:rPr>
          <w:rFonts w:ascii="MetaPro-Norm" w:hAnsi="MetaPro-Norm"/>
          <w:sz w:val="22"/>
          <w:szCs w:val="22"/>
        </w:rPr>
        <w:t xml:space="preserve"> spending on education and health to meet constitutionally mandated levels, at a minimum.</w:t>
      </w:r>
      <w:r w:rsidRPr="56A22BD8">
        <w:rPr>
          <w:rStyle w:val="FootnoteReference"/>
          <w:rFonts w:ascii="MetaPro-Norm" w:hAnsi="MetaPro-Norm"/>
          <w:sz w:val="22"/>
          <w:szCs w:val="22"/>
        </w:rPr>
        <w:footnoteReference w:id="30"/>
      </w:r>
    </w:p>
    <w:p w14:paraId="3AAD2E19" w14:textId="2C7D723F" w:rsidR="52BA187C" w:rsidRDefault="52BA187C" w:rsidP="56A22BD8">
      <w:pPr>
        <w:pStyle w:val="ListParagraph"/>
        <w:numPr>
          <w:ilvl w:val="0"/>
          <w:numId w:val="6"/>
        </w:numPr>
        <w:spacing w:after="0"/>
        <w:rPr>
          <w:rFonts w:ascii="MetaPro-Norm" w:hAnsi="MetaPro-Norm"/>
          <w:sz w:val="22"/>
          <w:szCs w:val="22"/>
        </w:rPr>
      </w:pPr>
      <w:r w:rsidRPr="56A22BD8">
        <w:rPr>
          <w:rFonts w:ascii="MetaPro-Norm" w:hAnsi="MetaPro-Norm"/>
          <w:sz w:val="22"/>
          <w:szCs w:val="22"/>
        </w:rPr>
        <w:t>Tak</w:t>
      </w:r>
      <w:r w:rsidR="00B401F9">
        <w:rPr>
          <w:rFonts w:ascii="MetaPro-Norm" w:hAnsi="MetaPro-Norm"/>
          <w:sz w:val="22"/>
          <w:szCs w:val="22"/>
        </w:rPr>
        <w:t>ing</w:t>
      </w:r>
      <w:r w:rsidRPr="56A22BD8">
        <w:rPr>
          <w:rFonts w:ascii="MetaPro-Norm" w:hAnsi="MetaPro-Norm"/>
          <w:sz w:val="22"/>
          <w:szCs w:val="22"/>
        </w:rPr>
        <w:t xml:space="preserve"> all necessary steps to avoid further decreases in public health care funding. Ensure that any such decreases are subject to human rights impact assessments and are fully justified as outlined by the Committee in its General Comment No. 3 on the nature of states parties’ obligations under the ICESCR.</w:t>
      </w:r>
      <w:r w:rsidRPr="56A22BD8">
        <w:rPr>
          <w:rStyle w:val="FootnoteReference"/>
          <w:rFonts w:ascii="MetaPro-Norm" w:hAnsi="MetaPro-Norm"/>
          <w:sz w:val="22"/>
          <w:szCs w:val="22"/>
        </w:rPr>
        <w:footnoteReference w:id="31"/>
      </w:r>
    </w:p>
    <w:p w14:paraId="6E2A2CA7" w14:textId="517C4D74" w:rsidR="7D482304" w:rsidRDefault="7D482304" w:rsidP="56A22BD8">
      <w:pPr>
        <w:pStyle w:val="ListParagraph"/>
        <w:numPr>
          <w:ilvl w:val="0"/>
          <w:numId w:val="6"/>
        </w:numPr>
        <w:spacing w:after="0"/>
        <w:rPr>
          <w:rFonts w:ascii="MetaPro-Norm" w:hAnsi="MetaPro-Norm"/>
          <w:sz w:val="22"/>
          <w:szCs w:val="22"/>
        </w:rPr>
      </w:pPr>
      <w:r w:rsidRPr="56A22BD8">
        <w:rPr>
          <w:rFonts w:ascii="MetaPro-Norm" w:hAnsi="MetaPro-Norm"/>
          <w:sz w:val="22"/>
          <w:szCs w:val="22"/>
        </w:rPr>
        <w:t>Commit</w:t>
      </w:r>
      <w:r w:rsidR="00B401F9">
        <w:rPr>
          <w:rFonts w:ascii="MetaPro-Norm" w:hAnsi="MetaPro-Norm"/>
          <w:sz w:val="22"/>
          <w:szCs w:val="22"/>
        </w:rPr>
        <w:t>ting</w:t>
      </w:r>
      <w:r w:rsidRPr="56A22BD8">
        <w:rPr>
          <w:rFonts w:ascii="MetaPro-Norm" w:hAnsi="MetaPro-Norm"/>
          <w:sz w:val="22"/>
          <w:szCs w:val="22"/>
        </w:rPr>
        <w:t xml:space="preserve"> and take steps necessary to reduce the share of healthcare expenditures that come from out-of-pocket payments.</w:t>
      </w:r>
    </w:p>
    <w:p w14:paraId="7C6B4026" w14:textId="1AF10B02" w:rsidR="56A22BD8" w:rsidRPr="002D3A11" w:rsidRDefault="339D01F6" w:rsidP="56A22BD8">
      <w:pPr>
        <w:pStyle w:val="ListParagraph"/>
        <w:numPr>
          <w:ilvl w:val="0"/>
          <w:numId w:val="6"/>
        </w:numPr>
        <w:spacing w:after="0"/>
        <w:rPr>
          <w:rFonts w:ascii="MetaPro-Norm" w:hAnsi="MetaPro-Norm"/>
        </w:rPr>
      </w:pPr>
      <w:r w:rsidRPr="56A22BD8">
        <w:rPr>
          <w:rFonts w:ascii="MetaPro-Norm" w:hAnsi="MetaPro-Norm"/>
          <w:sz w:val="22"/>
          <w:szCs w:val="22"/>
        </w:rPr>
        <w:lastRenderedPageBreak/>
        <w:t>Mak</w:t>
      </w:r>
      <w:r w:rsidR="00B401F9">
        <w:rPr>
          <w:rFonts w:ascii="MetaPro-Norm" w:hAnsi="MetaPro-Norm"/>
          <w:sz w:val="22"/>
          <w:szCs w:val="22"/>
        </w:rPr>
        <w:t xml:space="preserve">ing </w:t>
      </w:r>
      <w:r w:rsidRPr="56A22BD8">
        <w:rPr>
          <w:rFonts w:ascii="MetaPro-Norm" w:hAnsi="MetaPro-Norm"/>
          <w:sz w:val="22"/>
          <w:szCs w:val="22"/>
        </w:rPr>
        <w:t>public commitments to achieving levels of public health spending which are, at a minimum, 5 percent of GDP or 15 percent of the national budget.</w:t>
      </w:r>
    </w:p>
    <w:p w14:paraId="01F9571D" w14:textId="77777777" w:rsidR="002D3A11" w:rsidRPr="002D3A11" w:rsidRDefault="002D3A11" w:rsidP="002D3A11">
      <w:pPr>
        <w:pStyle w:val="ListParagraph"/>
        <w:spacing w:after="0"/>
        <w:rPr>
          <w:rFonts w:ascii="MetaPro-Norm" w:hAnsi="MetaPro-Norm"/>
        </w:rPr>
      </w:pPr>
    </w:p>
    <w:p w14:paraId="605CB448" w14:textId="513F0ED8" w:rsidR="40434D85" w:rsidRDefault="40434D85" w:rsidP="00577D00">
      <w:pPr>
        <w:pStyle w:val="Heading2"/>
      </w:pPr>
      <w:r w:rsidRPr="56A22BD8">
        <w:t xml:space="preserve">UN Framework </w:t>
      </w:r>
      <w:r w:rsidRPr="00AE4C93">
        <w:t>Convention</w:t>
      </w:r>
      <w:r w:rsidRPr="56A22BD8">
        <w:t xml:space="preserve"> on International Tax Cooperation (article 2)</w:t>
      </w:r>
    </w:p>
    <w:p w14:paraId="02A041FD" w14:textId="0E35A2B3" w:rsidR="000DFAD8" w:rsidRDefault="000DFAD8" w:rsidP="56A22BD8">
      <w:pPr>
        <w:spacing w:after="0"/>
        <w:rPr>
          <w:rFonts w:ascii="MetaPro-Norm" w:hAnsi="MetaPro-Norm"/>
          <w:sz w:val="22"/>
          <w:szCs w:val="22"/>
        </w:rPr>
      </w:pPr>
      <w:r w:rsidRPr="56A22BD8">
        <w:rPr>
          <w:rFonts w:ascii="MetaPro-Norm" w:hAnsi="MetaPro-Norm"/>
          <w:sz w:val="22"/>
          <w:szCs w:val="22"/>
        </w:rPr>
        <w:t xml:space="preserve">Human Rights Watch notes with appreciation the support Egypt </w:t>
      </w:r>
      <w:proofErr w:type="gramStart"/>
      <w:r w:rsidRPr="56A22BD8">
        <w:rPr>
          <w:rFonts w:ascii="MetaPro-Norm" w:hAnsi="MetaPro-Norm"/>
          <w:sz w:val="22"/>
          <w:szCs w:val="22"/>
        </w:rPr>
        <w:t>has</w:t>
      </w:r>
      <w:proofErr w:type="gramEnd"/>
      <w:r w:rsidRPr="56A22BD8">
        <w:rPr>
          <w:rFonts w:ascii="MetaPro-Norm" w:hAnsi="MetaPro-Norm"/>
          <w:sz w:val="22"/>
          <w:szCs w:val="22"/>
        </w:rPr>
        <w:t xml:space="preserve"> shown thus far to the UN Framework Convention on International Tax Cooperation, including the fact that the Intergovernmental Negotiating Commit</w:t>
      </w:r>
      <w:r w:rsidR="23403273" w:rsidRPr="56A22BD8">
        <w:rPr>
          <w:rFonts w:ascii="MetaPro-Norm" w:hAnsi="MetaPro-Norm"/>
          <w:sz w:val="22"/>
          <w:szCs w:val="22"/>
        </w:rPr>
        <w:t>tee (INC) is chaired by the country’s Deputy Minister of Finance for Tax Policy and Reforms.</w:t>
      </w:r>
      <w:r w:rsidRPr="56A22BD8">
        <w:rPr>
          <w:rStyle w:val="FootnoteReference"/>
          <w:rFonts w:ascii="MetaPro-Norm" w:hAnsi="MetaPro-Norm"/>
          <w:sz w:val="22"/>
          <w:szCs w:val="22"/>
        </w:rPr>
        <w:footnoteReference w:id="32"/>
      </w:r>
    </w:p>
    <w:p w14:paraId="5A64AEA9" w14:textId="46F3F624" w:rsidR="56A22BD8" w:rsidRDefault="56A22BD8" w:rsidP="56A22BD8">
      <w:pPr>
        <w:spacing w:after="0"/>
        <w:rPr>
          <w:rFonts w:ascii="MetaPro-Norm" w:hAnsi="MetaPro-Norm"/>
          <w:sz w:val="22"/>
          <w:szCs w:val="22"/>
        </w:rPr>
      </w:pPr>
    </w:p>
    <w:p w14:paraId="167B662A" w14:textId="05EC4F88" w:rsidR="088A7BE7" w:rsidRDefault="088A7BE7" w:rsidP="2A6D3368">
      <w:pPr>
        <w:spacing w:after="0"/>
        <w:rPr>
          <w:rFonts w:ascii="MetaPro-Norm" w:hAnsi="MetaPro-Norm"/>
          <w:sz w:val="22"/>
          <w:szCs w:val="22"/>
        </w:rPr>
      </w:pPr>
      <w:r w:rsidRPr="134F4D0E">
        <w:rPr>
          <w:rFonts w:ascii="MetaPro-Norm" w:hAnsi="MetaPro-Norm"/>
          <w:sz w:val="22"/>
          <w:szCs w:val="22"/>
        </w:rPr>
        <w:t xml:space="preserve">According to Tax Justice Network (TJN), Egypt loses more than $438 million each year to global tax abuse, </w:t>
      </w:r>
      <w:r w:rsidR="2875C968" w:rsidRPr="134F4D0E">
        <w:rPr>
          <w:rFonts w:ascii="MetaPro-Norm" w:hAnsi="MetaPro-Norm"/>
          <w:sz w:val="22"/>
          <w:szCs w:val="22"/>
        </w:rPr>
        <w:t xml:space="preserve">equivalent to </w:t>
      </w:r>
      <w:r w:rsidR="42226AAD" w:rsidRPr="134F4D0E">
        <w:rPr>
          <w:rFonts w:ascii="MetaPro-Norm" w:hAnsi="MetaPro-Norm"/>
          <w:sz w:val="22"/>
          <w:szCs w:val="22"/>
        </w:rPr>
        <w:t xml:space="preserve">7.3 </w:t>
      </w:r>
      <w:r w:rsidR="2875C968" w:rsidRPr="134F4D0E">
        <w:rPr>
          <w:rFonts w:ascii="MetaPro-Norm" w:hAnsi="MetaPro-Norm"/>
          <w:sz w:val="22"/>
          <w:szCs w:val="22"/>
        </w:rPr>
        <w:t xml:space="preserve">percent of the country’s </w:t>
      </w:r>
      <w:r w:rsidR="06E5B29C" w:rsidRPr="134F4D0E">
        <w:rPr>
          <w:rFonts w:ascii="MetaPro-Norm" w:hAnsi="MetaPro-Norm"/>
          <w:sz w:val="22"/>
          <w:szCs w:val="22"/>
        </w:rPr>
        <w:t xml:space="preserve">education </w:t>
      </w:r>
      <w:r w:rsidR="2875C968" w:rsidRPr="134F4D0E">
        <w:rPr>
          <w:rFonts w:ascii="MetaPro-Norm" w:hAnsi="MetaPro-Norm"/>
          <w:sz w:val="22"/>
          <w:szCs w:val="22"/>
        </w:rPr>
        <w:t>budget</w:t>
      </w:r>
      <w:r w:rsidR="04CD60FB" w:rsidRPr="134F4D0E">
        <w:rPr>
          <w:rFonts w:ascii="MetaPro-Norm" w:hAnsi="MetaPro-Norm"/>
          <w:sz w:val="22"/>
          <w:szCs w:val="22"/>
        </w:rPr>
        <w:t xml:space="preserve"> in 2024/25</w:t>
      </w:r>
      <w:r w:rsidR="2875C968" w:rsidRPr="134F4D0E">
        <w:rPr>
          <w:rFonts w:ascii="MetaPro-Norm" w:hAnsi="MetaPro-Norm"/>
          <w:sz w:val="22"/>
          <w:szCs w:val="22"/>
        </w:rPr>
        <w:t>.</w:t>
      </w:r>
      <w:r w:rsidRPr="2A6D3368">
        <w:rPr>
          <w:rStyle w:val="FootnoteReference"/>
          <w:rFonts w:ascii="MetaPro-Norm" w:hAnsi="MetaPro-Norm"/>
          <w:sz w:val="22"/>
          <w:szCs w:val="22"/>
        </w:rPr>
        <w:footnoteReference w:id="33"/>
      </w:r>
      <w:r w:rsidR="2875C968" w:rsidRPr="134F4D0E">
        <w:rPr>
          <w:rFonts w:ascii="MetaPro-Norm" w:hAnsi="MetaPro-Norm"/>
          <w:sz w:val="22"/>
          <w:szCs w:val="22"/>
        </w:rPr>
        <w:t xml:space="preserve"> More than half of this lost revenue is due to “global tax abuse committed by multinational corporations.</w:t>
      </w:r>
      <w:r w:rsidR="28CD7718" w:rsidRPr="134F4D0E">
        <w:rPr>
          <w:rFonts w:ascii="MetaPro-Norm" w:hAnsi="MetaPro-Norm"/>
          <w:sz w:val="22"/>
          <w:szCs w:val="22"/>
        </w:rPr>
        <w:t>”</w:t>
      </w:r>
      <w:r w:rsidRPr="2A6D3368">
        <w:rPr>
          <w:rStyle w:val="FootnoteReference"/>
          <w:rFonts w:ascii="MetaPro-Norm" w:hAnsi="MetaPro-Norm"/>
          <w:sz w:val="22"/>
          <w:szCs w:val="22"/>
        </w:rPr>
        <w:footnoteReference w:id="34"/>
      </w:r>
    </w:p>
    <w:p w14:paraId="29DAA2F4" w14:textId="28221E29" w:rsidR="2A6D3368" w:rsidRDefault="2A6D3368" w:rsidP="2A6D3368">
      <w:pPr>
        <w:spacing w:after="0"/>
        <w:rPr>
          <w:rFonts w:ascii="MetaPro-Norm" w:hAnsi="MetaPro-Norm"/>
          <w:sz w:val="22"/>
          <w:szCs w:val="22"/>
        </w:rPr>
      </w:pPr>
    </w:p>
    <w:p w14:paraId="3D8AEBAF" w14:textId="1B37051E" w:rsidR="7EB08A1A" w:rsidRDefault="7EB08A1A" w:rsidP="56A22BD8">
      <w:pPr>
        <w:spacing w:after="0"/>
        <w:rPr>
          <w:rFonts w:ascii="MetaPro-Norm" w:hAnsi="MetaPro-Norm"/>
          <w:sz w:val="22"/>
          <w:szCs w:val="22"/>
        </w:rPr>
      </w:pPr>
      <w:r w:rsidRPr="56A22BD8">
        <w:rPr>
          <w:rFonts w:ascii="MetaPro-Norm" w:hAnsi="MetaPro-Norm"/>
          <w:sz w:val="22"/>
          <w:szCs w:val="22"/>
        </w:rPr>
        <w:t>Equitable global tax rules are crucial to supporting human rights economies that align domestic and international economic decision-making with the realization and fulfilment of rights. The ICESCR obliges states parties to use the maximum of their available resources to fulfill rights</w:t>
      </w:r>
      <w:r w:rsidR="24A964A6" w:rsidRPr="56A22BD8">
        <w:rPr>
          <w:rFonts w:ascii="MetaPro-Norm" w:hAnsi="MetaPro-Norm"/>
          <w:sz w:val="22"/>
          <w:szCs w:val="22"/>
        </w:rPr>
        <w:t>, including through international cooperation.</w:t>
      </w:r>
      <w:r w:rsidRPr="56A22BD8">
        <w:rPr>
          <w:rStyle w:val="FootnoteReference"/>
          <w:rFonts w:ascii="MetaPro-Norm" w:hAnsi="MetaPro-Norm"/>
          <w:sz w:val="22"/>
          <w:szCs w:val="22"/>
        </w:rPr>
        <w:footnoteReference w:id="35"/>
      </w:r>
      <w:r w:rsidR="06161B79" w:rsidRPr="56A22BD8">
        <w:rPr>
          <w:rFonts w:ascii="MetaPro-Norm" w:hAnsi="MetaPro-Norm"/>
          <w:sz w:val="22"/>
          <w:szCs w:val="22"/>
        </w:rPr>
        <w:t xml:space="preserve"> Tax cooperation helps make it possible for government to raise adequate revenues while reducing inequality within and between countries. The Committee has consistently urged states parties to align their tax systems with their human rights obligations and has emphasized the importance of </w:t>
      </w:r>
      <w:r w:rsidR="7FE38192" w:rsidRPr="56A22BD8">
        <w:rPr>
          <w:rFonts w:ascii="MetaPro-Norm" w:hAnsi="MetaPro-Norm"/>
          <w:sz w:val="22"/>
          <w:szCs w:val="22"/>
        </w:rPr>
        <w:t>strengthening international cooperation.</w:t>
      </w:r>
      <w:r w:rsidRPr="56A22BD8">
        <w:rPr>
          <w:rStyle w:val="FootnoteReference"/>
          <w:rFonts w:ascii="MetaPro-Norm" w:hAnsi="MetaPro-Norm"/>
          <w:sz w:val="22"/>
          <w:szCs w:val="22"/>
        </w:rPr>
        <w:footnoteReference w:id="36"/>
      </w:r>
    </w:p>
    <w:p w14:paraId="5F6FF6D2" w14:textId="616B1F03" w:rsidR="56A22BD8" w:rsidRDefault="56A22BD8" w:rsidP="56A22BD8">
      <w:pPr>
        <w:spacing w:after="0"/>
        <w:rPr>
          <w:rFonts w:ascii="MetaPro-Norm" w:hAnsi="MetaPro-Norm"/>
          <w:sz w:val="22"/>
          <w:szCs w:val="22"/>
        </w:rPr>
      </w:pPr>
    </w:p>
    <w:p w14:paraId="5D3C8CD1" w14:textId="30BE6922" w:rsidR="61ED8739" w:rsidRDefault="61ED8739" w:rsidP="56A22BD8">
      <w:pPr>
        <w:spacing w:after="0"/>
        <w:rPr>
          <w:rFonts w:ascii="MetaPro-Norm" w:hAnsi="MetaPro-Norm"/>
          <w:b/>
          <w:bCs/>
          <w:sz w:val="22"/>
          <w:szCs w:val="22"/>
        </w:rPr>
      </w:pPr>
      <w:r w:rsidRPr="56A22BD8">
        <w:rPr>
          <w:rFonts w:ascii="MetaPro-Norm" w:hAnsi="MetaPro-Norm"/>
          <w:b/>
          <w:bCs/>
          <w:sz w:val="22"/>
          <w:szCs w:val="22"/>
        </w:rPr>
        <w:t>Recommendations</w:t>
      </w:r>
    </w:p>
    <w:p w14:paraId="3C177BE1" w14:textId="71BB67C2" w:rsidR="61ED8739" w:rsidRDefault="61ED8739" w:rsidP="56A22BD8">
      <w:pPr>
        <w:spacing w:after="0"/>
        <w:rPr>
          <w:rFonts w:ascii="MetaPro-Norm" w:hAnsi="MetaPro-Norm"/>
          <w:i/>
          <w:iCs/>
          <w:sz w:val="22"/>
          <w:szCs w:val="22"/>
        </w:rPr>
      </w:pPr>
      <w:r w:rsidRPr="56A22BD8">
        <w:rPr>
          <w:rFonts w:ascii="MetaPro-Norm" w:hAnsi="MetaPro-Norm"/>
          <w:i/>
          <w:iCs/>
          <w:sz w:val="22"/>
          <w:szCs w:val="22"/>
        </w:rPr>
        <w:t xml:space="preserve">Human Rights Watch recommends that the Committee </w:t>
      </w:r>
      <w:r w:rsidR="00B401F9">
        <w:rPr>
          <w:rFonts w:ascii="MetaPro-Norm" w:hAnsi="MetaPro-Norm"/>
          <w:i/>
          <w:iCs/>
          <w:sz w:val="22"/>
          <w:szCs w:val="22"/>
        </w:rPr>
        <w:t>ask</w:t>
      </w:r>
      <w:r w:rsidR="00B401F9" w:rsidRPr="456119BD">
        <w:rPr>
          <w:rFonts w:ascii="MetaPro-Norm" w:hAnsi="MetaPro-Norm"/>
          <w:i/>
          <w:iCs/>
          <w:sz w:val="22"/>
          <w:szCs w:val="22"/>
        </w:rPr>
        <w:t xml:space="preserve"> the government of Egypt </w:t>
      </w:r>
      <w:r w:rsidR="00B401F9">
        <w:rPr>
          <w:rFonts w:ascii="MetaPro-Norm" w:hAnsi="MetaPro-Norm"/>
          <w:i/>
          <w:iCs/>
          <w:sz w:val="22"/>
          <w:szCs w:val="22"/>
        </w:rPr>
        <w:t>to describe how it will fulfill its rights obligations, including by</w:t>
      </w:r>
      <w:r w:rsidR="00B401F9" w:rsidRPr="456119BD">
        <w:rPr>
          <w:rFonts w:ascii="MetaPro-Norm" w:hAnsi="MetaPro-Norm"/>
          <w:i/>
          <w:iCs/>
          <w:sz w:val="22"/>
          <w:szCs w:val="22"/>
        </w:rPr>
        <w:t>:</w:t>
      </w:r>
    </w:p>
    <w:p w14:paraId="577CC8AE" w14:textId="2D3CCA6D" w:rsidR="48686ECE" w:rsidRDefault="48686ECE" w:rsidP="56A22BD8">
      <w:pPr>
        <w:pStyle w:val="ListParagraph"/>
        <w:numPr>
          <w:ilvl w:val="0"/>
          <w:numId w:val="8"/>
        </w:numPr>
        <w:spacing w:after="0"/>
        <w:rPr>
          <w:rFonts w:ascii="MetaPro-Norm" w:eastAsia="MetaPro-Norm" w:hAnsi="MetaPro-Norm" w:cs="MetaPro-Norm"/>
          <w:color w:val="000000" w:themeColor="text1"/>
          <w:sz w:val="22"/>
          <w:szCs w:val="22"/>
        </w:rPr>
      </w:pPr>
      <w:r w:rsidRPr="56A22BD8">
        <w:rPr>
          <w:rFonts w:ascii="MetaPro-Norm" w:eastAsia="MetaPro-Norm" w:hAnsi="MetaPro-Norm" w:cs="MetaPro-Norm"/>
          <w:color w:val="000000" w:themeColor="text1"/>
          <w:sz w:val="22"/>
          <w:szCs w:val="22"/>
        </w:rPr>
        <w:lastRenderedPageBreak/>
        <w:t>Continu</w:t>
      </w:r>
      <w:r w:rsidR="00B401F9">
        <w:rPr>
          <w:rFonts w:ascii="MetaPro-Norm" w:hAnsi="MetaPro-Norm"/>
          <w:sz w:val="22"/>
          <w:szCs w:val="22"/>
        </w:rPr>
        <w:t>ing</w:t>
      </w:r>
      <w:r w:rsidRPr="56A22BD8">
        <w:rPr>
          <w:rFonts w:ascii="MetaPro-Norm" w:eastAsia="MetaPro-Norm" w:hAnsi="MetaPro-Norm" w:cs="MetaPro-Norm"/>
          <w:color w:val="000000" w:themeColor="text1"/>
          <w:sz w:val="22"/>
          <w:szCs w:val="22"/>
        </w:rPr>
        <w:t xml:space="preserve"> to support and engage in </w:t>
      </w:r>
      <w:r w:rsidR="61ED8739" w:rsidRPr="56A22BD8">
        <w:rPr>
          <w:rFonts w:ascii="MetaPro-Norm" w:eastAsia="MetaPro-Norm" w:hAnsi="MetaPro-Norm" w:cs="MetaPro-Norm"/>
          <w:color w:val="000000" w:themeColor="text1"/>
          <w:sz w:val="22"/>
          <w:szCs w:val="22"/>
        </w:rPr>
        <w:t>the United Nations Framework Convention on International Tax Cooperation</w:t>
      </w:r>
      <w:r w:rsidR="0BAC589E" w:rsidRPr="56A22BD8">
        <w:rPr>
          <w:rFonts w:ascii="MetaPro-Norm" w:eastAsia="MetaPro-Norm" w:hAnsi="MetaPro-Norm" w:cs="MetaPro-Norm"/>
          <w:color w:val="000000" w:themeColor="text1"/>
          <w:sz w:val="22"/>
          <w:szCs w:val="22"/>
        </w:rPr>
        <w:t xml:space="preserve"> negotiating process.</w:t>
      </w:r>
      <w:r w:rsidR="61591E2B" w:rsidRPr="56A22BD8">
        <w:rPr>
          <w:rFonts w:ascii="MetaPro-Norm" w:eastAsia="MetaPro-Norm" w:hAnsi="MetaPro-Norm" w:cs="MetaPro-Norm"/>
          <w:color w:val="000000" w:themeColor="text1"/>
          <w:sz w:val="22"/>
          <w:szCs w:val="22"/>
        </w:rPr>
        <w:t xml:space="preserve"> </w:t>
      </w:r>
    </w:p>
    <w:p w14:paraId="7C23C0C9" w14:textId="0CC8B4A8" w:rsidR="61ED8739" w:rsidRDefault="61ED8739" w:rsidP="524BEB75">
      <w:pPr>
        <w:pStyle w:val="ListParagraph"/>
        <w:numPr>
          <w:ilvl w:val="0"/>
          <w:numId w:val="8"/>
        </w:numPr>
        <w:spacing w:after="0"/>
        <w:rPr>
          <w:rFonts w:ascii="MetaPro-Norm" w:eastAsia="MetaPro-Norm" w:hAnsi="MetaPro-Norm" w:cs="MetaPro-Norm"/>
          <w:color w:val="000000" w:themeColor="text1"/>
        </w:rPr>
      </w:pPr>
      <w:r w:rsidRPr="56A22BD8">
        <w:rPr>
          <w:rFonts w:ascii="MetaPro-Norm" w:eastAsia="MetaPro-Norm" w:hAnsi="MetaPro-Norm" w:cs="MetaPro-Norm"/>
          <w:color w:val="000000" w:themeColor="text1"/>
          <w:sz w:val="22"/>
          <w:szCs w:val="22"/>
        </w:rPr>
        <w:t>In line with the Committee’s previous recommendations to states parties,</w:t>
      </w:r>
      <w:r w:rsidRPr="56A22BD8">
        <w:rPr>
          <w:rStyle w:val="FootnoteReference"/>
          <w:rFonts w:ascii="MetaPro-Norm" w:eastAsia="MetaPro-Norm" w:hAnsi="MetaPro-Norm" w:cs="MetaPro-Norm"/>
          <w:color w:val="000000" w:themeColor="text1"/>
          <w:sz w:val="22"/>
          <w:szCs w:val="22"/>
        </w:rPr>
        <w:footnoteReference w:id="37"/>
      </w:r>
      <w:r w:rsidRPr="56A22BD8">
        <w:rPr>
          <w:rFonts w:ascii="MetaPro-Norm" w:eastAsia="MetaPro-Norm" w:hAnsi="MetaPro-Norm" w:cs="MetaPro-Norm"/>
          <w:color w:val="000000" w:themeColor="text1"/>
          <w:sz w:val="22"/>
          <w:szCs w:val="22"/>
        </w:rPr>
        <w:t xml:space="preserve"> tak</w:t>
      </w:r>
      <w:r w:rsidR="00B401F9">
        <w:rPr>
          <w:rFonts w:ascii="MetaPro-Norm" w:hAnsi="MetaPro-Norm"/>
          <w:sz w:val="22"/>
          <w:szCs w:val="22"/>
        </w:rPr>
        <w:t>ing</w:t>
      </w:r>
      <w:r w:rsidRPr="56A22BD8">
        <w:rPr>
          <w:rFonts w:ascii="MetaPro-Norm" w:eastAsia="MetaPro-Norm" w:hAnsi="MetaPro-Norm" w:cs="MetaPro-Norm"/>
          <w:color w:val="000000" w:themeColor="text1"/>
          <w:sz w:val="22"/>
          <w:szCs w:val="22"/>
        </w:rPr>
        <w:t xml:space="preserve"> the necessary steps to examine the impact of its taxation policies on reducing poverty and inequality, and make any adjustments necessary to ensure its policies are redistributive and increase the resources available for the progressive realization of economic, social and cultural rights.</w:t>
      </w:r>
    </w:p>
    <w:p w14:paraId="7753D276" w14:textId="77777777" w:rsidR="0088763C" w:rsidRDefault="0088763C" w:rsidP="56A22BD8">
      <w:pPr>
        <w:pStyle w:val="NoSpacing"/>
        <w:rPr>
          <w:rFonts w:ascii="MetaPro-Norm" w:hAnsi="MetaPro-Norm"/>
          <w:i/>
          <w:iCs/>
          <w:sz w:val="22"/>
          <w:szCs w:val="22"/>
        </w:rPr>
      </w:pPr>
    </w:p>
    <w:p w14:paraId="7D463F84" w14:textId="70297500" w:rsidR="6B6CDE8F" w:rsidRDefault="315E1614" w:rsidP="00577D00">
      <w:pPr>
        <w:pStyle w:val="Heading2"/>
      </w:pPr>
      <w:r w:rsidRPr="56A22BD8">
        <w:t xml:space="preserve">Military Businesses </w:t>
      </w:r>
    </w:p>
    <w:p w14:paraId="23CADB03" w14:textId="698F756B" w:rsidR="00374531" w:rsidRDefault="6BEB694E" w:rsidP="56A22BD8">
      <w:pPr>
        <w:spacing w:after="0"/>
        <w:rPr>
          <w:rFonts w:ascii="MetaPro-Norm" w:hAnsi="MetaPro-Norm"/>
          <w:sz w:val="22"/>
          <w:szCs w:val="22"/>
        </w:rPr>
      </w:pPr>
      <w:r w:rsidRPr="56A22BD8">
        <w:rPr>
          <w:rFonts w:ascii="MetaPro-Norm" w:hAnsi="MetaPro-Norm"/>
          <w:sz w:val="22"/>
          <w:szCs w:val="22"/>
        </w:rPr>
        <w:t>The government’s economic approach prioritizes lavish and opaque spending on military projects, all while prices skyrocket and poverty increases.</w:t>
      </w:r>
      <w:r w:rsidR="009C3482" w:rsidRPr="56A22BD8">
        <w:rPr>
          <w:rStyle w:val="FootnoteReference"/>
          <w:rFonts w:ascii="MetaPro-Norm" w:hAnsi="MetaPro-Norm"/>
          <w:sz w:val="22"/>
          <w:szCs w:val="22"/>
        </w:rPr>
        <w:footnoteReference w:id="38"/>
      </w:r>
      <w:r w:rsidR="00E71750" w:rsidRPr="2A6D3368">
        <w:rPr>
          <w:rFonts w:ascii="MetaPro-Norm" w:hAnsi="MetaPro-Norm"/>
          <w:sz w:val="22"/>
          <w:szCs w:val="22"/>
        </w:rPr>
        <w:t xml:space="preserve"> The military’s increasing and unaccountable role in Egypt’s economy is a major contributing factor in the country’s chronic economic woes.</w:t>
      </w:r>
      <w:r w:rsidR="00E71750" w:rsidRPr="56A22BD8">
        <w:rPr>
          <w:rStyle w:val="FootnoteReference"/>
          <w:rFonts w:ascii="MetaPro-Norm" w:hAnsi="MetaPro-Norm"/>
          <w:sz w:val="22"/>
          <w:szCs w:val="22"/>
        </w:rPr>
        <w:footnoteReference w:id="39"/>
      </w:r>
    </w:p>
    <w:p w14:paraId="38432255" w14:textId="77777777" w:rsidR="009476AF" w:rsidRDefault="009476AF" w:rsidP="009476AF">
      <w:pPr>
        <w:spacing w:after="0"/>
        <w:rPr>
          <w:rFonts w:ascii="MetaPro-Norm" w:hAnsi="MetaPro-Norm"/>
          <w:sz w:val="22"/>
          <w:szCs w:val="22"/>
        </w:rPr>
      </w:pPr>
    </w:p>
    <w:p w14:paraId="08022A80" w14:textId="7F546E3B" w:rsidR="00DF0205" w:rsidRDefault="00DF0205" w:rsidP="00DF0205">
      <w:pPr>
        <w:spacing w:after="0"/>
        <w:rPr>
          <w:rFonts w:ascii="MetaPro-Norm" w:hAnsi="MetaPro-Norm"/>
          <w:sz w:val="22"/>
          <w:szCs w:val="22"/>
        </w:rPr>
      </w:pPr>
      <w:r w:rsidRPr="2A6D3368">
        <w:rPr>
          <w:rFonts w:ascii="MetaPro-Norm" w:hAnsi="MetaPro-Norm"/>
          <w:sz w:val="22"/>
          <w:szCs w:val="22"/>
        </w:rPr>
        <w:t>Egypt’s military has emerged since the 1980s as a </w:t>
      </w:r>
      <w:r w:rsidRPr="008F362A">
        <w:rPr>
          <w:rFonts w:ascii="MetaPro-Norm" w:hAnsi="MetaPro-Norm"/>
          <w:sz w:val="22"/>
          <w:szCs w:val="22"/>
        </w:rPr>
        <w:t>signi</w:t>
      </w:r>
      <w:r w:rsidRPr="008F362A">
        <w:rPr>
          <w:rFonts w:ascii="MetaPro-Norm" w:hAnsi="MetaPro-Norm"/>
          <w:sz w:val="22"/>
          <w:szCs w:val="22"/>
        </w:rPr>
        <w:t>f</w:t>
      </w:r>
      <w:r w:rsidRPr="008F362A">
        <w:rPr>
          <w:rFonts w:ascii="MetaPro-Norm" w:hAnsi="MetaPro-Norm"/>
          <w:sz w:val="22"/>
          <w:szCs w:val="22"/>
        </w:rPr>
        <w:t>icant</w:t>
      </w:r>
      <w:r w:rsidRPr="2A6D3368">
        <w:rPr>
          <w:rFonts w:ascii="MetaPro-Norm" w:hAnsi="MetaPro-Norm"/>
          <w:sz w:val="22"/>
          <w:szCs w:val="22"/>
        </w:rPr>
        <w:t> and growing economic actor, spanning several civilian sectors as diverse as infrastructure, imports, chemical manufacturing, and production of food and household appliances.</w:t>
      </w:r>
      <w:r w:rsidR="008F362A">
        <w:rPr>
          <w:rStyle w:val="FootnoteReference"/>
          <w:rFonts w:ascii="MetaPro-Norm" w:hAnsi="MetaPro-Norm"/>
          <w:sz w:val="22"/>
          <w:szCs w:val="22"/>
        </w:rPr>
        <w:footnoteReference w:id="40"/>
      </w:r>
      <w:r w:rsidRPr="2A6D3368">
        <w:rPr>
          <w:rFonts w:ascii="MetaPro-Norm" w:hAnsi="MetaPro-Norm"/>
          <w:sz w:val="22"/>
          <w:szCs w:val="22"/>
        </w:rPr>
        <w:t xml:space="preserve"> But since the military takeover in 2013, the expansion of military businesses has been unprecedented. Although the military economy “captures a disproportionate share of public revenues,” it operates </w:t>
      </w:r>
      <w:r w:rsidRPr="008F362A">
        <w:rPr>
          <w:rFonts w:ascii="MetaPro-Norm" w:hAnsi="MetaPro-Norm"/>
          <w:sz w:val="22"/>
          <w:szCs w:val="22"/>
        </w:rPr>
        <w:t xml:space="preserve">in near total </w:t>
      </w:r>
      <w:r w:rsidRPr="008F362A">
        <w:rPr>
          <w:rFonts w:ascii="MetaPro-Norm" w:hAnsi="MetaPro-Norm"/>
          <w:sz w:val="22"/>
          <w:szCs w:val="22"/>
        </w:rPr>
        <w:t>s</w:t>
      </w:r>
      <w:r w:rsidRPr="008F362A">
        <w:rPr>
          <w:rFonts w:ascii="MetaPro-Norm" w:hAnsi="MetaPro-Norm"/>
          <w:sz w:val="22"/>
          <w:szCs w:val="22"/>
        </w:rPr>
        <w:t>ecrecy</w:t>
      </w:r>
      <w:r w:rsidRPr="2A6D3368">
        <w:rPr>
          <w:rFonts w:ascii="MetaPro-Norm" w:hAnsi="MetaPro-Norm"/>
          <w:sz w:val="22"/>
          <w:szCs w:val="22"/>
        </w:rPr>
        <w:t>, most likely masking “inefficiencies and hidden losses</w:t>
      </w:r>
      <w:r w:rsidR="00B9021F" w:rsidRPr="2A6D3368">
        <w:rPr>
          <w:rFonts w:ascii="MetaPro-Norm" w:hAnsi="MetaPro-Norm"/>
          <w:sz w:val="22"/>
          <w:szCs w:val="22"/>
        </w:rPr>
        <w:t>.”</w:t>
      </w:r>
      <w:r w:rsidR="008F362A">
        <w:rPr>
          <w:rStyle w:val="FootnoteReference"/>
          <w:rFonts w:ascii="MetaPro-Norm" w:hAnsi="MetaPro-Norm"/>
          <w:sz w:val="22"/>
          <w:szCs w:val="22"/>
        </w:rPr>
        <w:footnoteReference w:id="41"/>
      </w:r>
      <w:r w:rsidRPr="2A6D3368">
        <w:rPr>
          <w:rFonts w:ascii="MetaPro-Norm" w:hAnsi="MetaPro-Norm"/>
          <w:sz w:val="22"/>
          <w:szCs w:val="22"/>
        </w:rPr>
        <w:t xml:space="preserve"> The military most likely uses thousands of young men as unpaid labor through the country’s mandatory conscription system, according to over a dozen interviews Human Rights Watch conducted with former conscripts and experts.</w:t>
      </w:r>
      <w:r w:rsidR="00005CA5">
        <w:rPr>
          <w:rStyle w:val="FootnoteReference"/>
          <w:rFonts w:ascii="MetaPro-Norm" w:hAnsi="MetaPro-Norm"/>
          <w:sz w:val="22"/>
          <w:szCs w:val="22"/>
        </w:rPr>
        <w:footnoteReference w:id="42"/>
      </w:r>
    </w:p>
    <w:p w14:paraId="02515578" w14:textId="77777777" w:rsidR="00DF0205" w:rsidRDefault="00DF0205" w:rsidP="009476AF">
      <w:pPr>
        <w:spacing w:after="0"/>
        <w:rPr>
          <w:rFonts w:ascii="MetaPro-Norm" w:hAnsi="MetaPro-Norm"/>
          <w:sz w:val="22"/>
          <w:szCs w:val="22"/>
        </w:rPr>
      </w:pPr>
    </w:p>
    <w:p w14:paraId="118946E9" w14:textId="5918B0BE" w:rsidR="00374531" w:rsidRPr="009C3482" w:rsidRDefault="009476AF" w:rsidP="56A22BD8">
      <w:pPr>
        <w:spacing w:after="0"/>
        <w:rPr>
          <w:rFonts w:ascii="MetaPro-Norm" w:hAnsi="MetaPro-Norm"/>
          <w:sz w:val="22"/>
          <w:szCs w:val="22"/>
        </w:rPr>
      </w:pPr>
      <w:r w:rsidRPr="009476AF">
        <w:rPr>
          <w:rFonts w:ascii="MetaPro-Norm" w:hAnsi="MetaPro-Norm"/>
          <w:sz w:val="22"/>
          <w:szCs w:val="22"/>
        </w:rPr>
        <w:t xml:space="preserve">The financial dealings of businesses owned by military agencies, which mainly produce civilian goods, are completely shrouded from public view, making them ripe for corruption and undermining civilian oversight of the funding for Egypt’s military, which is responsible for serious </w:t>
      </w:r>
      <w:r w:rsidRPr="009476AF">
        <w:rPr>
          <w:rFonts w:ascii="MetaPro-Norm" w:hAnsi="MetaPro-Norm"/>
          <w:sz w:val="22"/>
          <w:szCs w:val="22"/>
        </w:rPr>
        <w:lastRenderedPageBreak/>
        <w:t>abuses.</w:t>
      </w:r>
      <w:r w:rsidR="009B756B">
        <w:rPr>
          <w:rFonts w:ascii="MetaPro-Norm" w:hAnsi="MetaPro-Norm"/>
          <w:sz w:val="22"/>
          <w:szCs w:val="22"/>
        </w:rPr>
        <w:t xml:space="preserve"> </w:t>
      </w:r>
      <w:r w:rsidR="00797ACA" w:rsidRPr="2A6D3368">
        <w:rPr>
          <w:rFonts w:ascii="MetaPro-Norm" w:hAnsi="MetaPro-Norm"/>
          <w:sz w:val="22"/>
          <w:szCs w:val="22"/>
        </w:rPr>
        <w:t>Transparency and accountability in military-owned businesses are key to addressing corruption and mismanagement, which squander precious public resources that could otherwise be invested in securing rights such as health care, housing, food, and social protection.</w:t>
      </w:r>
      <w:r w:rsidR="00797ACA">
        <w:rPr>
          <w:rStyle w:val="FootnoteReference"/>
          <w:rFonts w:ascii="MetaPro-Norm" w:hAnsi="MetaPro-Norm"/>
          <w:sz w:val="22"/>
          <w:szCs w:val="22"/>
        </w:rPr>
        <w:footnoteReference w:id="43"/>
      </w:r>
    </w:p>
    <w:p w14:paraId="6339BA7D" w14:textId="4045D02B" w:rsidR="00374531" w:rsidRPr="009C3482" w:rsidRDefault="00374531" w:rsidP="56A22BD8">
      <w:pPr>
        <w:spacing w:after="0"/>
        <w:rPr>
          <w:rFonts w:ascii="MetaPro-Norm" w:hAnsi="MetaPro-Norm"/>
          <w:sz w:val="22"/>
          <w:szCs w:val="22"/>
        </w:rPr>
      </w:pPr>
    </w:p>
    <w:p w14:paraId="01D413E9" w14:textId="33BE2243" w:rsidR="00C82C48" w:rsidRPr="00C82C48" w:rsidRDefault="00C82C48" w:rsidP="00C82C48">
      <w:pPr>
        <w:pStyle w:val="NoSpacing"/>
        <w:rPr>
          <w:rFonts w:ascii="MetaPro-Norm" w:hAnsi="MetaPro-Norm"/>
          <w:sz w:val="22"/>
          <w:szCs w:val="22"/>
        </w:rPr>
      </w:pPr>
      <w:r w:rsidRPr="56A22BD8">
        <w:rPr>
          <w:rFonts w:ascii="MetaPro-Norm" w:hAnsi="MetaPro-Norm"/>
          <w:i/>
          <w:iCs/>
          <w:sz w:val="22"/>
          <w:szCs w:val="22"/>
        </w:rPr>
        <w:t xml:space="preserve">Human Rights Watch recommends that the Committee </w:t>
      </w:r>
      <w:r w:rsidR="00B401F9">
        <w:rPr>
          <w:rFonts w:ascii="MetaPro-Norm" w:hAnsi="MetaPro-Norm"/>
          <w:i/>
          <w:iCs/>
          <w:sz w:val="22"/>
          <w:szCs w:val="22"/>
        </w:rPr>
        <w:t>ask</w:t>
      </w:r>
      <w:r w:rsidR="00B401F9" w:rsidRPr="456119BD">
        <w:rPr>
          <w:rFonts w:ascii="MetaPro-Norm" w:hAnsi="MetaPro-Norm"/>
          <w:i/>
          <w:iCs/>
          <w:sz w:val="22"/>
          <w:szCs w:val="22"/>
        </w:rPr>
        <w:t xml:space="preserve"> the government of Egypt </w:t>
      </w:r>
      <w:r w:rsidR="00B401F9">
        <w:rPr>
          <w:rFonts w:ascii="MetaPro-Norm" w:hAnsi="MetaPro-Norm"/>
          <w:i/>
          <w:iCs/>
          <w:sz w:val="22"/>
          <w:szCs w:val="22"/>
        </w:rPr>
        <w:t>to describe how it will fulfill its rights obligations, including by</w:t>
      </w:r>
      <w:r w:rsidR="00B401F9" w:rsidRPr="456119BD">
        <w:rPr>
          <w:rFonts w:ascii="MetaPro-Norm" w:hAnsi="MetaPro-Norm"/>
          <w:i/>
          <w:iCs/>
          <w:sz w:val="22"/>
          <w:szCs w:val="22"/>
        </w:rPr>
        <w:t>:</w:t>
      </w:r>
    </w:p>
    <w:p w14:paraId="2A51BCCD" w14:textId="1B736BB1" w:rsidR="00F277F8" w:rsidRPr="00577D00" w:rsidRDefault="00C82C48" w:rsidP="00577D00">
      <w:pPr>
        <w:pStyle w:val="NoSpacing"/>
        <w:numPr>
          <w:ilvl w:val="0"/>
          <w:numId w:val="18"/>
        </w:numPr>
        <w:rPr>
          <w:rFonts w:ascii="MetaPro-Norm" w:hAnsi="MetaPro-Norm"/>
          <w:sz w:val="22"/>
          <w:szCs w:val="22"/>
        </w:rPr>
      </w:pPr>
      <w:r>
        <w:rPr>
          <w:rFonts w:ascii="MetaPro-Norm" w:hAnsi="MetaPro-Norm"/>
          <w:sz w:val="22"/>
          <w:szCs w:val="22"/>
        </w:rPr>
        <w:t>D</w:t>
      </w:r>
      <w:r w:rsidR="00F277F8" w:rsidRPr="00577D00">
        <w:rPr>
          <w:rFonts w:ascii="MetaPro-Norm" w:hAnsi="MetaPro-Norm"/>
          <w:sz w:val="22"/>
          <w:szCs w:val="22"/>
        </w:rPr>
        <w:t>isclos</w:t>
      </w:r>
      <w:r w:rsidR="00B401F9">
        <w:rPr>
          <w:rFonts w:ascii="MetaPro-Norm" w:hAnsi="MetaPro-Norm"/>
          <w:sz w:val="22"/>
          <w:szCs w:val="22"/>
        </w:rPr>
        <w:t>ing</w:t>
      </w:r>
      <w:r w:rsidR="00F277F8" w:rsidRPr="00577D00">
        <w:rPr>
          <w:rFonts w:ascii="MetaPro-Norm" w:hAnsi="MetaPro-Norm"/>
          <w:sz w:val="22"/>
          <w:szCs w:val="22"/>
        </w:rPr>
        <w:t xml:space="preserve"> financial information about military-owned businesses</w:t>
      </w:r>
      <w:r>
        <w:rPr>
          <w:rFonts w:ascii="MetaPro-Norm" w:hAnsi="MetaPro-Norm"/>
          <w:sz w:val="22"/>
          <w:szCs w:val="22"/>
        </w:rPr>
        <w:t>.</w:t>
      </w:r>
      <w:r w:rsidR="00F277F8" w:rsidRPr="00577D00">
        <w:rPr>
          <w:rFonts w:ascii="MetaPro-Norm" w:hAnsi="MetaPro-Norm"/>
          <w:sz w:val="22"/>
          <w:szCs w:val="22"/>
        </w:rPr>
        <w:t> </w:t>
      </w:r>
    </w:p>
    <w:p w14:paraId="2DAD73F2" w14:textId="35F72704" w:rsidR="732574FD" w:rsidRPr="00577D00" w:rsidRDefault="732574FD" w:rsidP="00577D00">
      <w:pPr>
        <w:pStyle w:val="NoSpacing"/>
        <w:numPr>
          <w:ilvl w:val="0"/>
          <w:numId w:val="18"/>
        </w:numPr>
        <w:rPr>
          <w:rFonts w:ascii="MetaPro-Norm" w:hAnsi="MetaPro-Norm"/>
          <w:sz w:val="22"/>
          <w:szCs w:val="22"/>
        </w:rPr>
      </w:pPr>
      <w:r w:rsidRPr="2A6D3368">
        <w:rPr>
          <w:rFonts w:ascii="MetaPro-Norm" w:hAnsi="MetaPro-Norm"/>
          <w:sz w:val="22"/>
          <w:szCs w:val="22"/>
        </w:rPr>
        <w:t>Bring</w:t>
      </w:r>
      <w:r w:rsidR="00B401F9">
        <w:rPr>
          <w:rFonts w:ascii="MetaPro-Norm" w:hAnsi="MetaPro-Norm"/>
          <w:sz w:val="22"/>
          <w:szCs w:val="22"/>
        </w:rPr>
        <w:t>ing</w:t>
      </w:r>
      <w:r w:rsidRPr="2A6D3368">
        <w:rPr>
          <w:rFonts w:ascii="MetaPro-Norm" w:hAnsi="MetaPro-Norm"/>
          <w:sz w:val="22"/>
          <w:szCs w:val="22"/>
        </w:rPr>
        <w:t xml:space="preserve"> all military businesses under strict civilian government supervision.</w:t>
      </w:r>
    </w:p>
    <w:p w14:paraId="018AC18B" w14:textId="65A08364" w:rsidR="732574FD" w:rsidRPr="00577D00" w:rsidRDefault="732574FD" w:rsidP="00577D00">
      <w:pPr>
        <w:pStyle w:val="NoSpacing"/>
        <w:numPr>
          <w:ilvl w:val="0"/>
          <w:numId w:val="18"/>
        </w:numPr>
        <w:rPr>
          <w:rFonts w:ascii="MetaPro-Norm" w:hAnsi="MetaPro-Norm"/>
          <w:sz w:val="22"/>
          <w:szCs w:val="22"/>
        </w:rPr>
      </w:pPr>
      <w:r w:rsidRPr="2A6D3368">
        <w:rPr>
          <w:rFonts w:ascii="MetaPro-Norm" w:hAnsi="MetaPro-Norm"/>
          <w:sz w:val="22"/>
          <w:szCs w:val="22"/>
        </w:rPr>
        <w:t>Publish</w:t>
      </w:r>
      <w:r w:rsidR="00B401F9">
        <w:rPr>
          <w:rFonts w:ascii="MetaPro-Norm" w:hAnsi="MetaPro-Norm"/>
          <w:sz w:val="22"/>
          <w:szCs w:val="22"/>
        </w:rPr>
        <w:t>ing</w:t>
      </w:r>
      <w:r w:rsidRPr="2A6D3368">
        <w:rPr>
          <w:rFonts w:ascii="MetaPro-Norm" w:hAnsi="MetaPro-Norm"/>
          <w:sz w:val="22"/>
          <w:szCs w:val="22"/>
        </w:rPr>
        <w:t xml:space="preserve"> </w:t>
      </w:r>
      <w:r w:rsidR="3C9E140C" w:rsidRPr="2A6D3368">
        <w:rPr>
          <w:rFonts w:ascii="MetaPro-Norm" w:hAnsi="MetaPro-Norm"/>
          <w:sz w:val="22"/>
          <w:szCs w:val="22"/>
        </w:rPr>
        <w:t>feasibility</w:t>
      </w:r>
      <w:r w:rsidRPr="2A6D3368">
        <w:rPr>
          <w:rFonts w:ascii="MetaPro-Norm" w:hAnsi="MetaPro-Norm"/>
          <w:sz w:val="22"/>
          <w:szCs w:val="22"/>
        </w:rPr>
        <w:t xml:space="preserve"> and due diligence studies related to military projects, particularly large infrastructure and construction projects. </w:t>
      </w:r>
    </w:p>
    <w:p w14:paraId="3E868E10" w14:textId="59DD8358" w:rsidR="6005841D" w:rsidRPr="00577D00" w:rsidRDefault="6005841D" w:rsidP="00577D00">
      <w:pPr>
        <w:pStyle w:val="NoSpacing"/>
        <w:numPr>
          <w:ilvl w:val="0"/>
          <w:numId w:val="18"/>
        </w:numPr>
        <w:rPr>
          <w:rFonts w:ascii="MetaPro-Norm" w:hAnsi="MetaPro-Norm"/>
          <w:sz w:val="22"/>
          <w:szCs w:val="22"/>
        </w:rPr>
      </w:pPr>
      <w:r w:rsidRPr="2A6D3368">
        <w:rPr>
          <w:rFonts w:ascii="MetaPro-Norm" w:hAnsi="MetaPro-Norm"/>
          <w:sz w:val="22"/>
          <w:szCs w:val="22"/>
        </w:rPr>
        <w:t>Allow</w:t>
      </w:r>
      <w:r w:rsidR="00B401F9">
        <w:rPr>
          <w:rFonts w:ascii="MetaPro-Norm" w:hAnsi="MetaPro-Norm"/>
          <w:sz w:val="22"/>
          <w:szCs w:val="22"/>
        </w:rPr>
        <w:t>ing</w:t>
      </w:r>
      <w:r w:rsidRPr="2A6D3368">
        <w:rPr>
          <w:rFonts w:ascii="MetaPro-Norm" w:hAnsi="MetaPro-Norm"/>
          <w:sz w:val="22"/>
          <w:szCs w:val="22"/>
        </w:rPr>
        <w:t xml:space="preserve"> independent reporting in military project sites.</w:t>
      </w:r>
    </w:p>
    <w:p w14:paraId="42632CE5" w14:textId="2204B604" w:rsidR="00374531" w:rsidRPr="003A6444" w:rsidRDefault="6005841D" w:rsidP="56A22BD8">
      <w:pPr>
        <w:pStyle w:val="NoSpacing"/>
        <w:numPr>
          <w:ilvl w:val="0"/>
          <w:numId w:val="18"/>
        </w:numPr>
        <w:rPr>
          <w:rFonts w:ascii="MetaPro-Norm" w:hAnsi="MetaPro-Norm"/>
          <w:sz w:val="22"/>
          <w:szCs w:val="22"/>
        </w:rPr>
      </w:pPr>
      <w:r w:rsidRPr="2A6D3368">
        <w:rPr>
          <w:rFonts w:ascii="MetaPro-Norm" w:hAnsi="MetaPro-Norm"/>
          <w:sz w:val="22"/>
          <w:szCs w:val="22"/>
        </w:rPr>
        <w:t>End</w:t>
      </w:r>
      <w:r w:rsidR="00B401F9">
        <w:rPr>
          <w:rFonts w:ascii="MetaPro-Norm" w:hAnsi="MetaPro-Norm"/>
          <w:sz w:val="22"/>
          <w:szCs w:val="22"/>
        </w:rPr>
        <w:t>ing</w:t>
      </w:r>
      <w:r w:rsidRPr="2A6D3368">
        <w:rPr>
          <w:rFonts w:ascii="MetaPro-Norm" w:hAnsi="MetaPro-Norm"/>
          <w:sz w:val="22"/>
          <w:szCs w:val="22"/>
        </w:rPr>
        <w:t xml:space="preserve"> military prosecutions of civilians working in civilian businesses run by the military.</w:t>
      </w:r>
    </w:p>
    <w:sectPr w:rsidR="00374531" w:rsidRPr="003A6444">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F242D9" w14:textId="77777777" w:rsidR="00657CB5" w:rsidRDefault="00657CB5" w:rsidP="00606C2E">
      <w:pPr>
        <w:spacing w:after="0" w:line="240" w:lineRule="auto"/>
      </w:pPr>
      <w:r>
        <w:separator/>
      </w:r>
    </w:p>
  </w:endnote>
  <w:endnote w:type="continuationSeparator" w:id="0">
    <w:p w14:paraId="71A68AD0" w14:textId="77777777" w:rsidR="00657CB5" w:rsidRDefault="00657CB5" w:rsidP="00606C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etaPro-Norm">
    <w:altName w:val="Calibri"/>
    <w:panose1 w:val="020B0604020202020204"/>
    <w:charset w:val="00"/>
    <w:family w:val="swiss"/>
    <w:notTrueType/>
    <w:pitch w:val="variable"/>
    <w:sig w:usb0="A00002F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MetaPro-Medi">
    <w:panose1 w:val="020B0604020202020204"/>
    <w:charset w:val="00"/>
    <w:family w:val="swiss"/>
    <w:notTrueType/>
    <w:pitch w:val="variable"/>
    <w:sig w:usb0="A00002F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MetaPro-Medi" w:hAnsi="MetaPro-Medi"/>
        <w:sz w:val="20"/>
        <w:szCs w:val="20"/>
      </w:rPr>
      <w:id w:val="1586654098"/>
      <w:docPartObj>
        <w:docPartGallery w:val="Page Numbers (Bottom of Page)"/>
        <w:docPartUnique/>
      </w:docPartObj>
    </w:sdtPr>
    <w:sdtEndPr>
      <w:rPr>
        <w:noProof/>
      </w:rPr>
    </w:sdtEndPr>
    <w:sdtContent>
      <w:p w14:paraId="459473CD" w14:textId="0374B4D2" w:rsidR="00606C2E" w:rsidRPr="00A14380" w:rsidRDefault="00606C2E">
        <w:pPr>
          <w:pStyle w:val="Footer"/>
          <w:jc w:val="center"/>
          <w:rPr>
            <w:rFonts w:ascii="MetaPro-Medi" w:hAnsi="MetaPro-Medi"/>
            <w:sz w:val="20"/>
            <w:szCs w:val="20"/>
          </w:rPr>
        </w:pPr>
        <w:r w:rsidRPr="00A14380">
          <w:rPr>
            <w:rFonts w:ascii="MetaPro-Medi" w:hAnsi="MetaPro-Medi"/>
            <w:sz w:val="20"/>
            <w:szCs w:val="20"/>
          </w:rPr>
          <w:fldChar w:fldCharType="begin"/>
        </w:r>
        <w:r w:rsidRPr="00A14380">
          <w:rPr>
            <w:rFonts w:ascii="MetaPro-Medi" w:hAnsi="MetaPro-Medi"/>
            <w:sz w:val="20"/>
            <w:szCs w:val="20"/>
          </w:rPr>
          <w:instrText xml:space="preserve"> PAGE   \* MERGEFORMAT </w:instrText>
        </w:r>
        <w:r w:rsidRPr="00A14380">
          <w:rPr>
            <w:rFonts w:ascii="MetaPro-Medi" w:hAnsi="MetaPro-Medi"/>
            <w:sz w:val="20"/>
            <w:szCs w:val="20"/>
          </w:rPr>
          <w:fldChar w:fldCharType="separate"/>
        </w:r>
        <w:r w:rsidRPr="00A14380">
          <w:rPr>
            <w:rFonts w:ascii="MetaPro-Medi" w:hAnsi="MetaPro-Medi"/>
            <w:noProof/>
            <w:sz w:val="20"/>
            <w:szCs w:val="20"/>
          </w:rPr>
          <w:t>2</w:t>
        </w:r>
        <w:r w:rsidRPr="00A14380">
          <w:rPr>
            <w:rFonts w:ascii="MetaPro-Medi" w:hAnsi="MetaPro-Medi"/>
            <w:noProof/>
            <w:sz w:val="20"/>
            <w:szCs w:val="20"/>
          </w:rPr>
          <w:fldChar w:fldCharType="end"/>
        </w:r>
      </w:p>
    </w:sdtContent>
  </w:sdt>
  <w:p w14:paraId="0982EE42" w14:textId="77777777" w:rsidR="00606C2E" w:rsidRDefault="00606C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BE7883" w14:textId="77777777" w:rsidR="00657CB5" w:rsidRDefault="00657CB5" w:rsidP="00606C2E">
      <w:pPr>
        <w:spacing w:after="0" w:line="240" w:lineRule="auto"/>
      </w:pPr>
      <w:r>
        <w:separator/>
      </w:r>
    </w:p>
  </w:footnote>
  <w:footnote w:type="continuationSeparator" w:id="0">
    <w:p w14:paraId="76C2D883" w14:textId="77777777" w:rsidR="00657CB5" w:rsidRDefault="00657CB5" w:rsidP="00606C2E">
      <w:pPr>
        <w:spacing w:after="0" w:line="240" w:lineRule="auto"/>
      </w:pPr>
      <w:r>
        <w:continuationSeparator/>
      </w:r>
    </w:p>
  </w:footnote>
  <w:footnote w:id="1">
    <w:p w14:paraId="5462FA37" w14:textId="3D7CD1F0" w:rsidR="2A6D3368" w:rsidRPr="00BE38F4" w:rsidRDefault="2A6D3368" w:rsidP="00577D00">
      <w:pPr>
        <w:pStyle w:val="FootnoteText"/>
        <w:rPr>
          <w:rFonts w:ascii="MetaPro-Norm" w:hAnsi="MetaPro-Norm"/>
          <w:sz w:val="16"/>
          <w:szCs w:val="16"/>
        </w:rPr>
      </w:pPr>
      <w:r w:rsidRPr="00BE38F4">
        <w:rPr>
          <w:rStyle w:val="FootnoteReference"/>
          <w:rFonts w:ascii="MetaPro-Norm" w:hAnsi="MetaPro-Norm"/>
          <w:sz w:val="16"/>
          <w:szCs w:val="16"/>
        </w:rPr>
        <w:footnoteRef/>
      </w:r>
      <w:r w:rsidRPr="00BE38F4">
        <w:rPr>
          <w:rFonts w:ascii="MetaPro-Norm" w:hAnsi="MetaPro-Norm"/>
          <w:sz w:val="16"/>
          <w:szCs w:val="16"/>
        </w:rPr>
        <w:t xml:space="preserve"> </w:t>
      </w:r>
      <w:r w:rsidR="00BA12F0" w:rsidRPr="00BE38F4">
        <w:rPr>
          <w:rFonts w:ascii="MetaPro-Norm" w:hAnsi="MetaPro-Norm"/>
          <w:sz w:val="16"/>
          <w:szCs w:val="16"/>
        </w:rPr>
        <w:t xml:space="preserve">Patrick Werr, “Egypt’s foreign debt drops $7.4 billion in first quarter,” </w:t>
      </w:r>
      <w:r w:rsidR="00BA12F0" w:rsidRPr="00BE38F4">
        <w:rPr>
          <w:rFonts w:ascii="MetaPro-Norm" w:hAnsi="MetaPro-Norm"/>
          <w:i/>
          <w:iCs/>
          <w:sz w:val="16"/>
          <w:szCs w:val="16"/>
        </w:rPr>
        <w:t xml:space="preserve">Reuters, </w:t>
      </w:r>
      <w:r w:rsidR="00BA12F0" w:rsidRPr="00BE38F4">
        <w:rPr>
          <w:rFonts w:ascii="MetaPro-Norm" w:hAnsi="MetaPro-Norm"/>
          <w:sz w:val="16"/>
          <w:szCs w:val="16"/>
        </w:rPr>
        <w:t xml:space="preserve">August 21, 2024, </w:t>
      </w:r>
      <w:r w:rsidRPr="00BE38F4">
        <w:rPr>
          <w:rFonts w:ascii="MetaPro-Norm" w:hAnsi="MetaPro-Norm"/>
          <w:sz w:val="16"/>
          <w:szCs w:val="16"/>
        </w:rPr>
        <w:t>https://www.reuters.com/world/africa/egypts-foreign-debt-drops-74-billion-first-quarter-2024-08-20/</w:t>
      </w:r>
      <w:r w:rsidR="00BA12F0" w:rsidRPr="00BE38F4">
        <w:rPr>
          <w:rFonts w:ascii="MetaPro-Norm" w:hAnsi="MetaPro-Norm"/>
          <w:sz w:val="16"/>
          <w:szCs w:val="16"/>
        </w:rPr>
        <w:t xml:space="preserve"> (accessed October 22, 2025).</w:t>
      </w:r>
    </w:p>
  </w:footnote>
  <w:footnote w:id="2">
    <w:p w14:paraId="15AEE2DE" w14:textId="75381C01" w:rsidR="2A6D3368" w:rsidRPr="00BE38F4" w:rsidRDefault="2A6D3368" w:rsidP="00577D00">
      <w:pPr>
        <w:pStyle w:val="FootnoteText"/>
        <w:rPr>
          <w:rFonts w:ascii="MetaPro-Norm" w:hAnsi="MetaPro-Norm"/>
          <w:sz w:val="16"/>
          <w:szCs w:val="16"/>
        </w:rPr>
      </w:pPr>
      <w:r w:rsidRPr="00BE38F4">
        <w:rPr>
          <w:rStyle w:val="FootnoteReference"/>
          <w:rFonts w:ascii="MetaPro-Norm" w:hAnsi="MetaPro-Norm"/>
          <w:sz w:val="16"/>
          <w:szCs w:val="16"/>
        </w:rPr>
        <w:footnoteRef/>
      </w:r>
      <w:r w:rsidRPr="00BE38F4">
        <w:rPr>
          <w:rFonts w:ascii="MetaPro-Norm" w:hAnsi="MetaPro-Norm"/>
          <w:sz w:val="16"/>
          <w:szCs w:val="16"/>
        </w:rPr>
        <w:t xml:space="preserve"> </w:t>
      </w:r>
      <w:r w:rsidR="00EC5E1D" w:rsidRPr="00BE38F4">
        <w:rPr>
          <w:rFonts w:ascii="MetaPro-Norm" w:hAnsi="MetaPro-Norm"/>
          <w:sz w:val="16"/>
          <w:szCs w:val="16"/>
        </w:rPr>
        <w:t xml:space="preserve">“Egypt: IMF Bailout Highlights Risks of Austerity, Corruption,” Human Rights Watch news release, January 31, 2023, </w:t>
      </w:r>
      <w:r w:rsidRPr="00BE38F4">
        <w:rPr>
          <w:rFonts w:ascii="MetaPro-Norm" w:hAnsi="MetaPro-Norm"/>
          <w:sz w:val="16"/>
          <w:szCs w:val="16"/>
        </w:rPr>
        <w:t>https://www.hrw.org/news/2023/01/31/egypt-imf-bailout-highlights-risks-austerity-corruption</w:t>
      </w:r>
      <w:r w:rsidR="00EC5E1D" w:rsidRPr="00BE38F4">
        <w:rPr>
          <w:rFonts w:ascii="MetaPro-Norm" w:hAnsi="MetaPro-Norm"/>
          <w:sz w:val="16"/>
          <w:szCs w:val="16"/>
        </w:rPr>
        <w:t>.</w:t>
      </w:r>
    </w:p>
  </w:footnote>
  <w:footnote w:id="3">
    <w:p w14:paraId="78D4DE15" w14:textId="270E4DC3" w:rsidR="008D5817" w:rsidRPr="00BE38F4" w:rsidRDefault="008D5817">
      <w:pPr>
        <w:pStyle w:val="FootnoteText"/>
        <w:rPr>
          <w:rFonts w:ascii="MetaPro-Norm" w:hAnsi="MetaPro-Norm"/>
          <w:sz w:val="16"/>
          <w:szCs w:val="16"/>
        </w:rPr>
      </w:pPr>
      <w:r w:rsidRPr="00BE38F4">
        <w:rPr>
          <w:rStyle w:val="FootnoteReference"/>
          <w:rFonts w:ascii="MetaPro-Norm" w:hAnsi="MetaPro-Norm"/>
          <w:sz w:val="16"/>
          <w:szCs w:val="16"/>
        </w:rPr>
        <w:footnoteRef/>
      </w:r>
      <w:r w:rsidRPr="00BE38F4">
        <w:rPr>
          <w:rFonts w:ascii="MetaPro-Norm" w:hAnsi="MetaPro-Norm"/>
          <w:sz w:val="16"/>
          <w:szCs w:val="16"/>
        </w:rPr>
        <w:t xml:space="preserve"> Human Rights Watch, </w:t>
      </w:r>
      <w:r w:rsidRPr="00BE38F4">
        <w:rPr>
          <w:rFonts w:ascii="MetaPro-Norm" w:hAnsi="MetaPro-Norm"/>
          <w:i/>
          <w:iCs/>
          <w:sz w:val="16"/>
          <w:szCs w:val="16"/>
        </w:rPr>
        <w:t>World Report 2025</w:t>
      </w:r>
      <w:r w:rsidRPr="00BE38F4">
        <w:rPr>
          <w:rFonts w:ascii="MetaPro-Norm" w:hAnsi="MetaPro-Norm"/>
          <w:sz w:val="16"/>
          <w:szCs w:val="16"/>
        </w:rPr>
        <w:t xml:space="preserve"> (New York: Human Rights Watch, 2025), Egypt chapter, https://www.hrw.org/world-report/2025/country-chapters/egypt#4483b2.</w:t>
      </w:r>
    </w:p>
  </w:footnote>
  <w:footnote w:id="4">
    <w:p w14:paraId="6CC6553E" w14:textId="3EE54895" w:rsidR="56A22BD8" w:rsidRPr="00BE38F4" w:rsidRDefault="56A22BD8" w:rsidP="56A22BD8">
      <w:pPr>
        <w:pStyle w:val="FootnoteText"/>
        <w:rPr>
          <w:rFonts w:ascii="MetaPro-Norm" w:hAnsi="MetaPro-Norm"/>
          <w:sz w:val="16"/>
          <w:szCs w:val="16"/>
        </w:rPr>
      </w:pPr>
      <w:r w:rsidRPr="00BE38F4">
        <w:rPr>
          <w:rStyle w:val="FootnoteReference"/>
          <w:rFonts w:ascii="MetaPro-Norm" w:hAnsi="MetaPro-Norm"/>
          <w:sz w:val="16"/>
          <w:szCs w:val="16"/>
        </w:rPr>
        <w:footnoteRef/>
      </w:r>
      <w:r w:rsidRPr="00BE38F4">
        <w:rPr>
          <w:rFonts w:ascii="MetaPro-Norm" w:hAnsi="MetaPro-Norm"/>
          <w:sz w:val="16"/>
          <w:szCs w:val="16"/>
        </w:rPr>
        <w:t xml:space="preserve"> Amr Magdi (Human Rights Watch), “Egypt’s Al-Sisi has Caged Himself In,” Op-ed, </w:t>
      </w:r>
      <w:r w:rsidRPr="00BE38F4">
        <w:rPr>
          <w:rFonts w:ascii="MetaPro-Norm" w:hAnsi="MetaPro-Norm"/>
          <w:i/>
          <w:iCs/>
          <w:sz w:val="16"/>
          <w:szCs w:val="16"/>
        </w:rPr>
        <w:t xml:space="preserve">Foreign Policy in Focus, </w:t>
      </w:r>
      <w:r w:rsidRPr="00BE38F4">
        <w:rPr>
          <w:rFonts w:ascii="MetaPro-Norm" w:hAnsi="MetaPro-Norm"/>
          <w:sz w:val="16"/>
          <w:szCs w:val="16"/>
        </w:rPr>
        <w:t>February 26, 2024, https://www.hrw.org/news/2024/02/26/egypts-al-sisi-has-caged-himself.</w:t>
      </w:r>
    </w:p>
  </w:footnote>
  <w:footnote w:id="5">
    <w:p w14:paraId="2284CE60" w14:textId="77718836" w:rsidR="476FDD7E" w:rsidRPr="00BE38F4" w:rsidRDefault="476FDD7E" w:rsidP="79902FC8">
      <w:pPr>
        <w:pStyle w:val="FootnoteText"/>
        <w:rPr>
          <w:rFonts w:ascii="MetaPro-Norm" w:hAnsi="MetaPro-Norm"/>
          <w:sz w:val="16"/>
          <w:szCs w:val="16"/>
        </w:rPr>
      </w:pPr>
      <w:r w:rsidRPr="00BE38F4">
        <w:rPr>
          <w:rStyle w:val="FootnoteReference"/>
          <w:rFonts w:ascii="MetaPro-Norm" w:hAnsi="MetaPro-Norm"/>
          <w:sz w:val="16"/>
          <w:szCs w:val="16"/>
        </w:rPr>
        <w:footnoteRef/>
      </w:r>
      <w:r w:rsidR="79902FC8" w:rsidRPr="00BE38F4">
        <w:rPr>
          <w:rFonts w:ascii="MetaPro-Norm" w:hAnsi="MetaPro-Norm"/>
          <w:sz w:val="16"/>
          <w:szCs w:val="16"/>
        </w:rPr>
        <w:t xml:space="preserve"> https://www.elwatannews.com/news/details/7651713</w:t>
      </w:r>
    </w:p>
  </w:footnote>
  <w:footnote w:id="6">
    <w:p w14:paraId="00F8D0F2" w14:textId="5E6D2741" w:rsidR="476FDD7E" w:rsidRPr="00BE38F4" w:rsidRDefault="476FDD7E" w:rsidP="79902FC8">
      <w:pPr>
        <w:pStyle w:val="FootnoteText"/>
        <w:rPr>
          <w:rFonts w:ascii="MetaPro-Norm" w:hAnsi="MetaPro-Norm"/>
          <w:sz w:val="16"/>
          <w:szCs w:val="16"/>
        </w:rPr>
      </w:pPr>
      <w:r w:rsidRPr="00BE38F4">
        <w:rPr>
          <w:rStyle w:val="FootnoteReference"/>
          <w:rFonts w:ascii="MetaPro-Norm" w:hAnsi="MetaPro-Norm"/>
          <w:sz w:val="16"/>
          <w:szCs w:val="16"/>
        </w:rPr>
        <w:footnoteRef/>
      </w:r>
      <w:r w:rsidR="79902FC8" w:rsidRPr="00BE38F4">
        <w:rPr>
          <w:rFonts w:ascii="MetaPro-Norm" w:hAnsi="MetaPro-Norm"/>
          <w:sz w:val="16"/>
          <w:szCs w:val="16"/>
        </w:rPr>
        <w:t xml:space="preserve"> Ibid.</w:t>
      </w:r>
    </w:p>
  </w:footnote>
  <w:footnote w:id="7">
    <w:p w14:paraId="3CA08727" w14:textId="0D6DB55F" w:rsidR="005B7AE5" w:rsidRPr="00BE38F4" w:rsidRDefault="005B7AE5">
      <w:pPr>
        <w:pStyle w:val="FootnoteText"/>
        <w:rPr>
          <w:rFonts w:ascii="MetaPro-Norm" w:hAnsi="MetaPro-Norm"/>
          <w:sz w:val="16"/>
          <w:szCs w:val="16"/>
        </w:rPr>
      </w:pPr>
      <w:r w:rsidRPr="00BE38F4">
        <w:rPr>
          <w:rStyle w:val="FootnoteReference"/>
          <w:rFonts w:ascii="MetaPro-Norm" w:hAnsi="MetaPro-Norm"/>
          <w:sz w:val="16"/>
          <w:szCs w:val="16"/>
        </w:rPr>
        <w:footnoteRef/>
      </w:r>
      <w:r w:rsidRPr="00BE38F4">
        <w:rPr>
          <w:rFonts w:ascii="MetaPro-Norm" w:hAnsi="MetaPro-Norm"/>
          <w:sz w:val="16"/>
          <w:szCs w:val="16"/>
        </w:rPr>
        <w:t xml:space="preserve"> </w:t>
      </w:r>
      <w:r w:rsidR="004B6C25" w:rsidRPr="00BE38F4">
        <w:rPr>
          <w:rFonts w:ascii="MetaPro-Norm" w:hAnsi="MetaPro-Norm"/>
          <w:sz w:val="16"/>
          <w:szCs w:val="16"/>
        </w:rPr>
        <w:t xml:space="preserve">“Egypt, Arab Rep.,” World Bank </w:t>
      </w:r>
      <w:r w:rsidR="00FD50AF" w:rsidRPr="00BE38F4">
        <w:rPr>
          <w:rFonts w:ascii="MetaPro-Norm" w:hAnsi="MetaPro-Norm"/>
          <w:sz w:val="16"/>
          <w:szCs w:val="16"/>
        </w:rPr>
        <w:t xml:space="preserve">Country Profile webpage, https://pip.worldbank.org/country-profiles/EGY, accessed October 22, 2025; </w:t>
      </w:r>
      <w:r w:rsidR="0003017B" w:rsidRPr="00BE38F4">
        <w:rPr>
          <w:rFonts w:ascii="MetaPro-Norm" w:hAnsi="MetaPro-Norm"/>
          <w:sz w:val="16"/>
          <w:szCs w:val="16"/>
        </w:rPr>
        <w:t xml:space="preserve">Bisan Kassab, “Unpublished data from the Ministry of Income and Expenditure reveals the reasons for burying it for years.,” </w:t>
      </w:r>
      <w:r w:rsidR="00931343" w:rsidRPr="00BE38F4">
        <w:rPr>
          <w:rFonts w:ascii="MetaPro-Norm" w:hAnsi="MetaPro-Norm"/>
          <w:i/>
          <w:iCs/>
          <w:sz w:val="16"/>
          <w:szCs w:val="16"/>
        </w:rPr>
        <w:t>Mada Masr</w:t>
      </w:r>
      <w:r w:rsidR="0003017B" w:rsidRPr="00BE38F4">
        <w:rPr>
          <w:rFonts w:ascii="MetaPro-Norm" w:hAnsi="MetaPro-Norm"/>
          <w:i/>
          <w:iCs/>
          <w:sz w:val="16"/>
          <w:szCs w:val="16"/>
        </w:rPr>
        <w:t xml:space="preserve">, </w:t>
      </w:r>
      <w:r w:rsidR="0003017B" w:rsidRPr="00BE38F4">
        <w:rPr>
          <w:rFonts w:ascii="MetaPro-Norm" w:hAnsi="MetaPro-Norm"/>
          <w:sz w:val="16"/>
          <w:szCs w:val="16"/>
        </w:rPr>
        <w:t xml:space="preserve">August 9, 2025, </w:t>
      </w:r>
      <w:r w:rsidR="006D614D" w:rsidRPr="00BE38F4">
        <w:rPr>
          <w:rFonts w:ascii="MetaPro-Norm" w:hAnsi="MetaPro-Norm"/>
          <w:sz w:val="16"/>
          <w:szCs w:val="16"/>
        </w:rPr>
        <w:t>https://www.madamasr.com/2025/08/09/feature/%D8%A7%D9%82%D8%AA%D8%B5%D8%A7%D8%AF/%D8%A8%D9%8A%D8%A7%D9%86%D8%A7%D8%AA-%D8%BA%D9%8A%D8%B1-%D9%85%D9%86%D8%B4%D9%88%D8%B1%D8%A9-%D9%85%D9%86-%D8%A7%D9%84%D8%AF%D8%AE%D9%84-%D9%88%D8%A7%D9%84%D8%A5%D9%86%D9%81%D8%A7%D9%82/</w:t>
      </w:r>
      <w:r w:rsidR="00667B20" w:rsidRPr="00BE38F4">
        <w:rPr>
          <w:rFonts w:ascii="MetaPro-Norm" w:hAnsi="MetaPro-Norm"/>
          <w:sz w:val="16"/>
          <w:szCs w:val="16"/>
        </w:rPr>
        <w:t xml:space="preserve"> </w:t>
      </w:r>
      <w:r w:rsidR="00460EB6" w:rsidRPr="00BE38F4">
        <w:rPr>
          <w:rFonts w:ascii="MetaPro-Norm" w:hAnsi="MetaPro-Norm"/>
          <w:sz w:val="16"/>
          <w:szCs w:val="16"/>
        </w:rPr>
        <w:t>(accessed October 22, 2025).</w:t>
      </w:r>
    </w:p>
  </w:footnote>
  <w:footnote w:id="8">
    <w:p w14:paraId="447A1503" w14:textId="09F77554" w:rsidR="006D614D" w:rsidRPr="00BE38F4" w:rsidRDefault="006D614D">
      <w:pPr>
        <w:pStyle w:val="FootnoteText"/>
        <w:rPr>
          <w:rFonts w:ascii="MetaPro-Norm" w:hAnsi="MetaPro-Norm"/>
          <w:sz w:val="16"/>
          <w:szCs w:val="16"/>
        </w:rPr>
      </w:pPr>
      <w:r w:rsidRPr="00BE38F4">
        <w:rPr>
          <w:rStyle w:val="FootnoteReference"/>
          <w:rFonts w:ascii="MetaPro-Norm" w:hAnsi="MetaPro-Norm"/>
          <w:sz w:val="16"/>
          <w:szCs w:val="16"/>
        </w:rPr>
        <w:footnoteRef/>
      </w:r>
      <w:r w:rsidRPr="00BE38F4">
        <w:rPr>
          <w:rFonts w:ascii="MetaPro-Norm" w:hAnsi="MetaPro-Norm"/>
          <w:sz w:val="16"/>
          <w:szCs w:val="16"/>
        </w:rPr>
        <w:t xml:space="preserve"> </w:t>
      </w:r>
      <w:r w:rsidR="00053981" w:rsidRPr="00BE38F4">
        <w:rPr>
          <w:rFonts w:ascii="MetaPro-Norm" w:hAnsi="MetaPro-Norm"/>
          <w:sz w:val="16"/>
          <w:szCs w:val="16"/>
        </w:rPr>
        <w:t xml:space="preserve">Bisan Kassab, “Unpublished data from the Ministry of Income and Expenditure reveals the reasons for burying it for years.,” </w:t>
      </w:r>
      <w:r w:rsidR="00931343" w:rsidRPr="00BE38F4">
        <w:rPr>
          <w:rFonts w:ascii="MetaPro-Norm" w:hAnsi="MetaPro-Norm"/>
          <w:i/>
          <w:iCs/>
          <w:sz w:val="16"/>
          <w:szCs w:val="16"/>
        </w:rPr>
        <w:t>Mada Masr</w:t>
      </w:r>
      <w:r w:rsidR="00053981" w:rsidRPr="00BE38F4">
        <w:rPr>
          <w:rFonts w:ascii="MetaPro-Norm" w:hAnsi="MetaPro-Norm"/>
          <w:i/>
          <w:iCs/>
          <w:sz w:val="16"/>
          <w:szCs w:val="16"/>
        </w:rPr>
        <w:t xml:space="preserve">, </w:t>
      </w:r>
      <w:r w:rsidR="00053981" w:rsidRPr="00BE38F4">
        <w:rPr>
          <w:rFonts w:ascii="MetaPro-Norm" w:hAnsi="MetaPro-Norm"/>
          <w:sz w:val="16"/>
          <w:szCs w:val="16"/>
        </w:rPr>
        <w:t>August 9, 2025, https://www.madamasr.com/2025/08/09/feature/%D8%A7%D9%82%D8%AA%D8%B5%D8%A7%D8%AF/%D8%A8%D9%8A%D8%A7%D9%86%D8%A7%D8%AA-%D8%BA%D9%8A%D8%B1-%D9%85%D9%86%D8%B4%D9%88%D8%B1%D8%A9-%D9%85%D9%86-%D8%A7%D9%84%D8%AF%D8%AE%D9%84-%D9%88%D8%A7%D9%84%D8%A5%D9%86%D9%81%D8%A7%D9%82/ (accessed October 22, 2025).</w:t>
      </w:r>
    </w:p>
  </w:footnote>
  <w:footnote w:id="9">
    <w:p w14:paraId="65FBCC52" w14:textId="143E40BB" w:rsidR="0070160D" w:rsidRPr="00BE38F4" w:rsidRDefault="0070160D">
      <w:pPr>
        <w:pStyle w:val="FootnoteText"/>
        <w:rPr>
          <w:rFonts w:ascii="MetaPro-Norm" w:hAnsi="MetaPro-Norm"/>
          <w:sz w:val="16"/>
          <w:szCs w:val="16"/>
        </w:rPr>
      </w:pPr>
      <w:r w:rsidRPr="00BE38F4">
        <w:rPr>
          <w:rStyle w:val="FootnoteReference"/>
          <w:rFonts w:ascii="MetaPro-Norm" w:hAnsi="MetaPro-Norm"/>
          <w:sz w:val="16"/>
          <w:szCs w:val="16"/>
        </w:rPr>
        <w:footnoteRef/>
      </w:r>
      <w:r w:rsidRPr="00BE38F4">
        <w:rPr>
          <w:rFonts w:ascii="MetaPro-Norm" w:hAnsi="MetaPro-Norm"/>
          <w:sz w:val="16"/>
          <w:szCs w:val="16"/>
        </w:rPr>
        <w:t xml:space="preserve"> IMF, “Inflation rate, average consumer prices: annual percent change,” webpage, </w:t>
      </w:r>
      <w:r w:rsidR="00C6203F" w:rsidRPr="00BE38F4">
        <w:rPr>
          <w:rFonts w:ascii="MetaPro-Norm" w:hAnsi="MetaPro-Norm"/>
          <w:sz w:val="16"/>
          <w:szCs w:val="16"/>
        </w:rPr>
        <w:t>https://www.imf.org/external/datamapper/PCPIPCH@WEO/ADVEC/EGY (accessed October 22, 2025).</w:t>
      </w:r>
    </w:p>
  </w:footnote>
  <w:footnote w:id="10">
    <w:p w14:paraId="3D14C25C" w14:textId="5E1EBAFD" w:rsidR="56A22BD8" w:rsidRPr="00BE38F4" w:rsidRDefault="56A22BD8" w:rsidP="56A22BD8">
      <w:pPr>
        <w:pStyle w:val="FootnoteText"/>
        <w:rPr>
          <w:rFonts w:ascii="MetaPro-Norm" w:hAnsi="MetaPro-Norm"/>
          <w:sz w:val="16"/>
          <w:szCs w:val="16"/>
        </w:rPr>
      </w:pPr>
      <w:r w:rsidRPr="00BE38F4">
        <w:rPr>
          <w:rStyle w:val="FootnoteReference"/>
          <w:rFonts w:ascii="MetaPro-Norm" w:hAnsi="MetaPro-Norm"/>
          <w:sz w:val="16"/>
          <w:szCs w:val="16"/>
        </w:rPr>
        <w:footnoteRef/>
      </w:r>
      <w:r w:rsidRPr="00BE38F4">
        <w:rPr>
          <w:rFonts w:ascii="MetaPro-Norm" w:hAnsi="MetaPro-Norm"/>
          <w:sz w:val="16"/>
          <w:szCs w:val="16"/>
        </w:rPr>
        <w:t xml:space="preserve"> Amr Magdi (Human Rights Watch), “Egypt’s Al-Sisi has Caged Himself In,” Op-ed, </w:t>
      </w:r>
      <w:r w:rsidRPr="00BE38F4">
        <w:rPr>
          <w:rFonts w:ascii="MetaPro-Norm" w:hAnsi="MetaPro-Norm"/>
          <w:i/>
          <w:iCs/>
          <w:sz w:val="16"/>
          <w:szCs w:val="16"/>
        </w:rPr>
        <w:t xml:space="preserve">Foreign Policy in Focus, </w:t>
      </w:r>
      <w:r w:rsidRPr="00BE38F4">
        <w:rPr>
          <w:rFonts w:ascii="MetaPro-Norm" w:hAnsi="MetaPro-Norm"/>
          <w:sz w:val="16"/>
          <w:szCs w:val="16"/>
        </w:rPr>
        <w:t>February 26, 2024, https://www.hrw.org/news/2024/02/26/egypts-al-sisi-has-caged-himself.</w:t>
      </w:r>
    </w:p>
  </w:footnote>
  <w:footnote w:id="11">
    <w:p w14:paraId="4F3B5F59" w14:textId="3601CDE7" w:rsidR="56A22BD8" w:rsidRPr="00BE38F4" w:rsidRDefault="56A22BD8" w:rsidP="56A22BD8">
      <w:pPr>
        <w:pStyle w:val="FootnoteText"/>
        <w:rPr>
          <w:rFonts w:ascii="MetaPro-Norm" w:hAnsi="MetaPro-Norm"/>
          <w:sz w:val="16"/>
          <w:szCs w:val="16"/>
        </w:rPr>
      </w:pPr>
      <w:r w:rsidRPr="00BE38F4">
        <w:rPr>
          <w:rStyle w:val="FootnoteReference"/>
          <w:rFonts w:ascii="MetaPro-Norm" w:hAnsi="MetaPro-Norm"/>
          <w:sz w:val="16"/>
          <w:szCs w:val="16"/>
        </w:rPr>
        <w:footnoteRef/>
      </w:r>
      <w:r w:rsidRPr="00BE38F4">
        <w:rPr>
          <w:rFonts w:ascii="MetaPro-Norm" w:hAnsi="MetaPro-Norm"/>
          <w:sz w:val="16"/>
          <w:szCs w:val="16"/>
        </w:rPr>
        <w:t xml:space="preserve"> Amr Magdi (Human Rights Watch), “Egypt’s Al-Sisi has Caged Himself In,” Op-ed, </w:t>
      </w:r>
      <w:r w:rsidRPr="00BE38F4">
        <w:rPr>
          <w:rFonts w:ascii="MetaPro-Norm" w:hAnsi="MetaPro-Norm"/>
          <w:i/>
          <w:iCs/>
          <w:sz w:val="16"/>
          <w:szCs w:val="16"/>
        </w:rPr>
        <w:t xml:space="preserve">Foreign Policy in Focus, </w:t>
      </w:r>
      <w:r w:rsidRPr="00BE38F4">
        <w:rPr>
          <w:rFonts w:ascii="MetaPro-Norm" w:hAnsi="MetaPro-Norm"/>
          <w:sz w:val="16"/>
          <w:szCs w:val="16"/>
        </w:rPr>
        <w:t>February 26, 2024, https://www.hrw.org/news/2024/02/26/egypts-al-sisi-has-caged-himself.</w:t>
      </w:r>
    </w:p>
  </w:footnote>
  <w:footnote w:id="12">
    <w:p w14:paraId="29C71AC7" w14:textId="69528D99" w:rsidR="56A22BD8" w:rsidRPr="00BE38F4" w:rsidRDefault="56A22BD8" w:rsidP="56A22BD8">
      <w:pPr>
        <w:pStyle w:val="FootnoteText"/>
        <w:rPr>
          <w:rFonts w:ascii="MetaPro-Norm" w:hAnsi="MetaPro-Norm"/>
          <w:sz w:val="16"/>
          <w:szCs w:val="16"/>
        </w:rPr>
      </w:pPr>
      <w:r w:rsidRPr="00BE38F4">
        <w:rPr>
          <w:rStyle w:val="FootnoteReference"/>
          <w:rFonts w:ascii="MetaPro-Norm" w:hAnsi="MetaPro-Norm"/>
          <w:sz w:val="16"/>
          <w:szCs w:val="16"/>
        </w:rPr>
        <w:footnoteRef/>
      </w:r>
      <w:r w:rsidRPr="00BE38F4">
        <w:rPr>
          <w:rFonts w:ascii="MetaPro-Norm" w:hAnsi="MetaPro-Norm"/>
          <w:sz w:val="16"/>
          <w:szCs w:val="16"/>
        </w:rPr>
        <w:t xml:space="preserve"> “Human Rights Watch Submission to the Universal Periodic Review of Egypt: 48</w:t>
      </w:r>
      <w:r w:rsidRPr="00BE38F4">
        <w:rPr>
          <w:rFonts w:ascii="MetaPro-Norm" w:hAnsi="MetaPro-Norm"/>
          <w:sz w:val="16"/>
          <w:szCs w:val="16"/>
          <w:vertAlign w:val="superscript"/>
        </w:rPr>
        <w:t>th</w:t>
      </w:r>
      <w:r w:rsidRPr="00BE38F4">
        <w:rPr>
          <w:rFonts w:ascii="MetaPro-Norm" w:hAnsi="MetaPro-Norm"/>
          <w:sz w:val="16"/>
          <w:szCs w:val="16"/>
        </w:rPr>
        <w:t xml:space="preserve"> Session of the United Nations Universal Periodic Review; 4</w:t>
      </w:r>
      <w:r w:rsidRPr="00BE38F4">
        <w:rPr>
          <w:rFonts w:ascii="MetaPro-Norm" w:hAnsi="MetaPro-Norm"/>
          <w:sz w:val="16"/>
          <w:szCs w:val="16"/>
          <w:vertAlign w:val="superscript"/>
        </w:rPr>
        <w:t>th</w:t>
      </w:r>
      <w:r w:rsidRPr="00BE38F4">
        <w:rPr>
          <w:rFonts w:ascii="MetaPro-Norm" w:hAnsi="MetaPro-Norm"/>
          <w:sz w:val="16"/>
          <w:szCs w:val="16"/>
        </w:rPr>
        <w:t xml:space="preserve"> Cycle,” Human Rights Watch, July 15, 2024, https://www.hrw.org/news/2024/07/15/human-rights-watch-submission-universal-periodic-review-egypt.</w:t>
      </w:r>
    </w:p>
  </w:footnote>
  <w:footnote w:id="13">
    <w:p w14:paraId="2453AD33" w14:textId="553D6810" w:rsidR="56A22BD8" w:rsidRPr="00BE38F4" w:rsidRDefault="56A22BD8" w:rsidP="56A22BD8">
      <w:pPr>
        <w:pStyle w:val="FootnoteText"/>
        <w:rPr>
          <w:rFonts w:ascii="MetaPro-Norm" w:hAnsi="MetaPro-Norm"/>
          <w:sz w:val="16"/>
          <w:szCs w:val="16"/>
        </w:rPr>
      </w:pPr>
      <w:r w:rsidRPr="00BE38F4">
        <w:rPr>
          <w:rStyle w:val="FootnoteReference"/>
          <w:rFonts w:ascii="MetaPro-Norm" w:hAnsi="MetaPro-Norm"/>
          <w:sz w:val="16"/>
          <w:szCs w:val="16"/>
        </w:rPr>
        <w:footnoteRef/>
      </w:r>
      <w:r w:rsidRPr="00BE38F4">
        <w:rPr>
          <w:rFonts w:ascii="MetaPro-Norm" w:hAnsi="MetaPro-Norm"/>
          <w:sz w:val="16"/>
          <w:szCs w:val="16"/>
        </w:rPr>
        <w:t xml:space="preserve"> “Egypt: IMF Bailout Highlights Risks of Austerity, Corruption,” Human Rights Watch news release, January 31, 2023, https://www.hrw.org/news/2023/01/31/egypt-imf-bailout-highlights-risks-austerity-corruption.</w:t>
      </w:r>
    </w:p>
  </w:footnote>
  <w:footnote w:id="14">
    <w:p w14:paraId="110FEE9F" w14:textId="6F726CAC" w:rsidR="56A22BD8" w:rsidRPr="00BE38F4" w:rsidRDefault="56A22BD8" w:rsidP="56A22BD8">
      <w:pPr>
        <w:pStyle w:val="FootnoteText"/>
        <w:rPr>
          <w:rFonts w:ascii="MetaPro-Norm" w:hAnsi="MetaPro-Norm"/>
          <w:sz w:val="16"/>
          <w:szCs w:val="16"/>
        </w:rPr>
      </w:pPr>
      <w:r w:rsidRPr="00BE38F4">
        <w:rPr>
          <w:rStyle w:val="FootnoteReference"/>
          <w:rFonts w:ascii="MetaPro-Norm" w:hAnsi="MetaPro-Norm"/>
          <w:sz w:val="16"/>
          <w:szCs w:val="16"/>
        </w:rPr>
        <w:footnoteRef/>
      </w:r>
      <w:r w:rsidRPr="00BE38F4">
        <w:rPr>
          <w:rFonts w:ascii="MetaPro-Norm" w:hAnsi="MetaPro-Norm"/>
          <w:sz w:val="16"/>
          <w:szCs w:val="16"/>
        </w:rPr>
        <w:t xml:space="preserve"> “Egypt: Declining Funding Undermines Education,” Human Rights Watch news release, January 27, 2025, </w:t>
      </w:r>
      <w:r w:rsidRPr="00BE38F4">
        <w:rPr>
          <w:rFonts w:ascii="MetaPro-Norm" w:eastAsia="Segoe UI" w:hAnsi="MetaPro-Norm" w:cs="Segoe UI"/>
          <w:color w:val="000000" w:themeColor="text1"/>
          <w:sz w:val="16"/>
          <w:szCs w:val="16"/>
        </w:rPr>
        <w:t>https://www.hrw.org/news/2025/01/27/egypt-declining-funding-undermines-education.</w:t>
      </w:r>
    </w:p>
  </w:footnote>
  <w:footnote w:id="15">
    <w:p w14:paraId="032A0B7E" w14:textId="48A02B24" w:rsidR="000A17F7" w:rsidRPr="00BE38F4" w:rsidRDefault="000A17F7">
      <w:pPr>
        <w:pStyle w:val="FootnoteText"/>
        <w:rPr>
          <w:rFonts w:ascii="MetaPro-Norm" w:hAnsi="MetaPro-Norm"/>
          <w:sz w:val="16"/>
          <w:szCs w:val="16"/>
        </w:rPr>
      </w:pPr>
      <w:r w:rsidRPr="00BE38F4">
        <w:rPr>
          <w:rStyle w:val="FootnoteReference"/>
          <w:rFonts w:ascii="MetaPro-Norm" w:hAnsi="MetaPro-Norm"/>
          <w:sz w:val="16"/>
          <w:szCs w:val="16"/>
        </w:rPr>
        <w:footnoteRef/>
      </w:r>
      <w:r w:rsidRPr="00BE38F4">
        <w:rPr>
          <w:rFonts w:ascii="MetaPro-Norm" w:hAnsi="MetaPro-Norm"/>
          <w:sz w:val="16"/>
          <w:szCs w:val="16"/>
        </w:rPr>
        <w:t xml:space="preserve"> </w:t>
      </w:r>
      <w:r w:rsidR="00DF6E53" w:rsidRPr="00BE38F4">
        <w:rPr>
          <w:rFonts w:ascii="MetaPro-Norm" w:hAnsi="MetaPro-Norm"/>
          <w:sz w:val="16"/>
          <w:szCs w:val="16"/>
        </w:rPr>
        <w:t>Egypt State General Budget for the Fiscal Year 2024-2025, available at https://mof.gov.eg/ar/posts/stateGeneralBudget/65911fe582bd240008c29151/%D9%85%D9%88%D8%A7%D8%B2%D9%86%D8%A9%20%D8%B9%D8%A7%D9%85%D8%A9%202024%2025 (accessed October 22, 2025).</w:t>
      </w:r>
    </w:p>
  </w:footnote>
  <w:footnote w:id="16">
    <w:p w14:paraId="033CF2C0" w14:textId="52305E78" w:rsidR="00DF6E53" w:rsidRPr="00BE38F4" w:rsidRDefault="00DF6E53">
      <w:pPr>
        <w:pStyle w:val="FootnoteText"/>
        <w:rPr>
          <w:rFonts w:ascii="MetaPro-Norm" w:hAnsi="MetaPro-Norm"/>
          <w:sz w:val="16"/>
          <w:szCs w:val="16"/>
        </w:rPr>
      </w:pPr>
      <w:r w:rsidRPr="00BE38F4">
        <w:rPr>
          <w:rStyle w:val="FootnoteReference"/>
          <w:rFonts w:ascii="MetaPro-Norm" w:hAnsi="MetaPro-Norm"/>
          <w:sz w:val="16"/>
          <w:szCs w:val="16"/>
        </w:rPr>
        <w:footnoteRef/>
      </w:r>
      <w:r w:rsidRPr="00BE38F4">
        <w:rPr>
          <w:rFonts w:ascii="MetaPro-Norm" w:hAnsi="MetaPro-Norm"/>
          <w:sz w:val="16"/>
          <w:szCs w:val="16"/>
        </w:rPr>
        <w:t xml:space="preserve"> </w:t>
      </w:r>
      <w:r w:rsidR="00C41508" w:rsidRPr="00BE38F4">
        <w:rPr>
          <w:rFonts w:ascii="MetaPro-Norm" w:hAnsi="MetaPro-Norm"/>
          <w:sz w:val="16"/>
          <w:szCs w:val="16"/>
        </w:rPr>
        <w:t xml:space="preserve">Beesan Kassab, “New budget: Health, education spending less than half constitutionally required amount,” </w:t>
      </w:r>
      <w:r w:rsidR="00C41508" w:rsidRPr="00BE38F4">
        <w:rPr>
          <w:rFonts w:ascii="MetaPro-Norm" w:hAnsi="MetaPro-Norm"/>
          <w:i/>
          <w:iCs/>
          <w:sz w:val="16"/>
          <w:szCs w:val="16"/>
        </w:rPr>
        <w:t xml:space="preserve">Mada Masr, </w:t>
      </w:r>
      <w:r w:rsidR="00C41508" w:rsidRPr="00BE38F4">
        <w:rPr>
          <w:rFonts w:ascii="MetaPro-Norm" w:hAnsi="MetaPro-Norm"/>
          <w:sz w:val="16"/>
          <w:szCs w:val="16"/>
        </w:rPr>
        <w:t>April 24, 2024, https://mof.gov.eg/ar/posts/stateGeneralBudget/65911fe582bd240008c29151/%D9%85%D9%88%D8%A7%D8%B2%D9%86%D8%A9%20%D8%B9%D8%A7%D9%85%D8%A9%202024%2025 (accessed October 22, 2025)</w:t>
      </w:r>
      <w:r w:rsidR="00E64937" w:rsidRPr="00BE38F4">
        <w:rPr>
          <w:rFonts w:ascii="MetaPro-Norm" w:hAnsi="MetaPro-Norm"/>
          <w:sz w:val="16"/>
          <w:szCs w:val="16"/>
        </w:rPr>
        <w:t>; IMF, “Egypt: datasets,” webpage, https://www.imf.org/external/datamapper/profile/EGY</w:t>
      </w:r>
      <w:r w:rsidR="00217C90" w:rsidRPr="00BE38F4">
        <w:rPr>
          <w:rFonts w:ascii="MetaPro-Norm" w:hAnsi="MetaPro-Norm"/>
          <w:sz w:val="16"/>
          <w:szCs w:val="16"/>
        </w:rPr>
        <w:t xml:space="preserve"> (accessed October 22, 2025).</w:t>
      </w:r>
    </w:p>
  </w:footnote>
  <w:footnote w:id="17">
    <w:p w14:paraId="28F4489E" w14:textId="6BFF7FD7" w:rsidR="56A22BD8" w:rsidRPr="00BE38F4" w:rsidRDefault="56A22BD8" w:rsidP="56A22BD8">
      <w:pPr>
        <w:pStyle w:val="FootnoteText"/>
        <w:rPr>
          <w:rFonts w:ascii="MetaPro-Norm" w:hAnsi="MetaPro-Norm"/>
          <w:sz w:val="16"/>
          <w:szCs w:val="16"/>
        </w:rPr>
      </w:pPr>
      <w:r w:rsidRPr="00BE38F4">
        <w:rPr>
          <w:rStyle w:val="FootnoteReference"/>
          <w:rFonts w:ascii="MetaPro-Norm" w:hAnsi="MetaPro-Norm"/>
          <w:sz w:val="16"/>
          <w:szCs w:val="16"/>
        </w:rPr>
        <w:footnoteRef/>
      </w:r>
      <w:r w:rsidRPr="00BE38F4">
        <w:rPr>
          <w:rFonts w:ascii="MetaPro-Norm" w:hAnsi="MetaPro-Norm"/>
          <w:sz w:val="16"/>
          <w:szCs w:val="16"/>
        </w:rPr>
        <w:t xml:space="preserve"> “Egypt: Declining Funding Undermines Education,” Human Rights Watch news release, January 27, 2025, </w:t>
      </w:r>
      <w:r w:rsidRPr="00BE38F4">
        <w:rPr>
          <w:rFonts w:ascii="MetaPro-Norm" w:eastAsia="Segoe UI" w:hAnsi="MetaPro-Norm" w:cs="Segoe UI"/>
          <w:color w:val="000000" w:themeColor="text1"/>
          <w:sz w:val="16"/>
          <w:szCs w:val="16"/>
        </w:rPr>
        <w:t>https://www.hrw.org/news/2025/01/27/egypt-declining-funding-undermines-education.</w:t>
      </w:r>
    </w:p>
  </w:footnote>
  <w:footnote w:id="18">
    <w:p w14:paraId="65C14787" w14:textId="77777777" w:rsidR="000A1442" w:rsidRPr="00BE38F4" w:rsidRDefault="000A1442" w:rsidP="000A1442">
      <w:pPr>
        <w:pStyle w:val="FootnoteText"/>
        <w:rPr>
          <w:rFonts w:ascii="MetaPro-Norm" w:hAnsi="MetaPro-Norm"/>
          <w:sz w:val="16"/>
          <w:szCs w:val="16"/>
        </w:rPr>
      </w:pPr>
      <w:r w:rsidRPr="00BE38F4">
        <w:rPr>
          <w:rStyle w:val="FootnoteReference"/>
          <w:rFonts w:ascii="MetaPro-Norm" w:hAnsi="MetaPro-Norm"/>
          <w:sz w:val="16"/>
          <w:szCs w:val="16"/>
        </w:rPr>
        <w:footnoteRef/>
      </w:r>
      <w:r w:rsidRPr="00BE38F4">
        <w:rPr>
          <w:rFonts w:ascii="MetaPro-Norm" w:hAnsi="MetaPro-Norm"/>
          <w:sz w:val="16"/>
          <w:szCs w:val="16"/>
        </w:rPr>
        <w:t xml:space="preserve"> “Egypt: Declining Funding Undermines Education,” Human Rights Watch news release, January 27, 2025, </w:t>
      </w:r>
      <w:r w:rsidRPr="00BE38F4">
        <w:rPr>
          <w:rFonts w:ascii="MetaPro-Norm" w:eastAsia="Segoe UI" w:hAnsi="MetaPro-Norm" w:cs="Segoe UI"/>
          <w:color w:val="000000" w:themeColor="text1"/>
          <w:sz w:val="16"/>
          <w:szCs w:val="16"/>
        </w:rPr>
        <w:t>https://www.hrw.org/news/2025/01/27/egypt-declining-funding-undermines-education.</w:t>
      </w:r>
    </w:p>
  </w:footnote>
  <w:footnote w:id="19">
    <w:p w14:paraId="5DBDBB40" w14:textId="293CD760" w:rsidR="56A22BD8" w:rsidRPr="00BE38F4" w:rsidRDefault="56A22BD8" w:rsidP="56A22BD8">
      <w:pPr>
        <w:pStyle w:val="FootnoteText"/>
        <w:rPr>
          <w:rFonts w:ascii="MetaPro-Norm" w:hAnsi="MetaPro-Norm"/>
          <w:sz w:val="16"/>
          <w:szCs w:val="16"/>
        </w:rPr>
      </w:pPr>
      <w:r w:rsidRPr="00BE38F4">
        <w:rPr>
          <w:rStyle w:val="FootnoteReference"/>
          <w:rFonts w:ascii="MetaPro-Norm" w:hAnsi="MetaPro-Norm"/>
          <w:sz w:val="16"/>
          <w:szCs w:val="16"/>
        </w:rPr>
        <w:footnoteRef/>
      </w:r>
      <w:r w:rsidRPr="00BE38F4">
        <w:rPr>
          <w:rFonts w:ascii="MetaPro-Norm" w:hAnsi="MetaPro-Norm"/>
          <w:sz w:val="16"/>
          <w:szCs w:val="16"/>
        </w:rPr>
        <w:t xml:space="preserve"> “Egypt: Declining Funding Undermines Education,” Human Rights Watch news release, January 27, 2025, </w:t>
      </w:r>
      <w:r w:rsidRPr="00BE38F4">
        <w:rPr>
          <w:rFonts w:ascii="MetaPro-Norm" w:eastAsia="Segoe UI" w:hAnsi="MetaPro-Norm" w:cs="Segoe UI"/>
          <w:color w:val="000000" w:themeColor="text1"/>
          <w:sz w:val="16"/>
          <w:szCs w:val="16"/>
        </w:rPr>
        <w:t>https://www.hrw.org/news/2025/01/27/egypt-declining-funding-undermines-education.</w:t>
      </w:r>
    </w:p>
  </w:footnote>
  <w:footnote w:id="20">
    <w:p w14:paraId="2EEBF609" w14:textId="16233D70" w:rsidR="00E13E56" w:rsidRPr="00BE38F4" w:rsidRDefault="00E13E56">
      <w:pPr>
        <w:pStyle w:val="FootnoteText"/>
        <w:rPr>
          <w:rFonts w:ascii="MetaPro-Norm" w:hAnsi="MetaPro-Norm"/>
          <w:sz w:val="16"/>
          <w:szCs w:val="16"/>
        </w:rPr>
      </w:pPr>
      <w:r w:rsidRPr="00BE38F4">
        <w:rPr>
          <w:rStyle w:val="FootnoteReference"/>
          <w:rFonts w:ascii="MetaPro-Norm" w:hAnsi="MetaPro-Norm"/>
          <w:sz w:val="16"/>
          <w:szCs w:val="16"/>
        </w:rPr>
        <w:footnoteRef/>
      </w:r>
      <w:r w:rsidRPr="00BE38F4">
        <w:rPr>
          <w:rFonts w:ascii="MetaPro-Norm" w:hAnsi="MetaPro-Norm"/>
          <w:sz w:val="16"/>
          <w:szCs w:val="16"/>
        </w:rPr>
        <w:t xml:space="preserve"> </w:t>
      </w:r>
      <w:r w:rsidR="008F362A">
        <w:rPr>
          <w:rFonts w:ascii="MetaPro-Norm" w:hAnsi="MetaPro-Norm"/>
          <w:sz w:val="16"/>
          <w:szCs w:val="16"/>
        </w:rPr>
        <w:t xml:space="preserve">“Egypt announces tuition increases for private and public schools,” Ahram Online news release, September 5, 2023, </w:t>
      </w:r>
      <w:r w:rsidRPr="00BE38F4">
        <w:rPr>
          <w:rFonts w:ascii="MetaPro-Norm" w:hAnsi="MetaPro-Norm"/>
          <w:sz w:val="16"/>
          <w:szCs w:val="16"/>
        </w:rPr>
        <w:t>https://english.ahram.org.eg/NewsContent/1/2/507815/Egypt/Society/Egypt-announces-tuition-increases-for-private-and-.aspx</w:t>
      </w:r>
      <w:r w:rsidR="008F362A">
        <w:rPr>
          <w:rFonts w:ascii="MetaPro-Norm" w:hAnsi="MetaPro-Norm"/>
          <w:sz w:val="16"/>
          <w:szCs w:val="16"/>
        </w:rPr>
        <w:t>.</w:t>
      </w:r>
    </w:p>
  </w:footnote>
  <w:footnote w:id="21">
    <w:p w14:paraId="43F1C05C" w14:textId="77777777" w:rsidR="00175373" w:rsidRPr="00BE38F4" w:rsidRDefault="00175373" w:rsidP="00175373">
      <w:pPr>
        <w:pStyle w:val="FootnoteText"/>
        <w:rPr>
          <w:rFonts w:ascii="MetaPro-Norm" w:hAnsi="MetaPro-Norm"/>
          <w:sz w:val="16"/>
          <w:szCs w:val="16"/>
        </w:rPr>
      </w:pPr>
      <w:r w:rsidRPr="00BE38F4">
        <w:rPr>
          <w:rStyle w:val="FootnoteReference"/>
          <w:rFonts w:ascii="MetaPro-Norm" w:hAnsi="MetaPro-Norm"/>
          <w:sz w:val="16"/>
          <w:szCs w:val="16"/>
        </w:rPr>
        <w:footnoteRef/>
      </w:r>
      <w:r w:rsidRPr="00BE38F4">
        <w:rPr>
          <w:rFonts w:ascii="MetaPro-Norm" w:hAnsi="MetaPro-Norm"/>
          <w:sz w:val="16"/>
          <w:szCs w:val="16"/>
        </w:rPr>
        <w:t xml:space="preserve"> “Education law amendments perpetuate social inequality and increase burdens on families,” Egyptian Initiative for Personal Rights, press release, July 7, 2025, https://eipr.org/en/press/2025/07/educational-law-amendments-perpetuate-social-inequality-and-increase-burdens-families.</w:t>
      </w:r>
    </w:p>
  </w:footnote>
  <w:footnote w:id="22">
    <w:p w14:paraId="2339E9A9" w14:textId="1C2087AA" w:rsidR="56A22BD8" w:rsidRPr="00BE38F4" w:rsidRDefault="56A22BD8" w:rsidP="56A22BD8">
      <w:pPr>
        <w:pStyle w:val="FootnoteText"/>
        <w:rPr>
          <w:rFonts w:ascii="MetaPro-Norm" w:hAnsi="MetaPro-Norm"/>
          <w:sz w:val="16"/>
          <w:szCs w:val="16"/>
        </w:rPr>
      </w:pPr>
      <w:r w:rsidRPr="00BE38F4">
        <w:rPr>
          <w:rStyle w:val="FootnoteReference"/>
          <w:rFonts w:ascii="MetaPro-Norm" w:hAnsi="MetaPro-Norm"/>
          <w:sz w:val="16"/>
          <w:szCs w:val="16"/>
        </w:rPr>
        <w:footnoteRef/>
      </w:r>
      <w:r w:rsidRPr="00BE38F4">
        <w:rPr>
          <w:rFonts w:ascii="MetaPro-Norm" w:hAnsi="MetaPro-Norm"/>
          <w:sz w:val="16"/>
          <w:szCs w:val="16"/>
        </w:rPr>
        <w:t xml:space="preserve"> “Egypt: Education Restricted for Refugees,” Human Rights Watch news release, December 2, 2024, https://www.hrw.org/news/2024/12/02/egypt-education-restricted-refugees.</w:t>
      </w:r>
    </w:p>
  </w:footnote>
  <w:footnote w:id="23">
    <w:p w14:paraId="76703B4E" w14:textId="13D7E577" w:rsidR="56A22BD8" w:rsidRPr="00BE38F4" w:rsidRDefault="56A22BD8" w:rsidP="56A22BD8">
      <w:pPr>
        <w:pStyle w:val="FootnoteText"/>
        <w:rPr>
          <w:rFonts w:ascii="MetaPro-Norm" w:hAnsi="MetaPro-Norm"/>
          <w:sz w:val="16"/>
          <w:szCs w:val="16"/>
        </w:rPr>
      </w:pPr>
      <w:r w:rsidRPr="00BE38F4">
        <w:rPr>
          <w:rStyle w:val="FootnoteReference"/>
          <w:rFonts w:ascii="MetaPro-Norm" w:hAnsi="MetaPro-Norm"/>
          <w:sz w:val="16"/>
          <w:szCs w:val="16"/>
        </w:rPr>
        <w:footnoteRef/>
      </w:r>
      <w:r w:rsidR="79902FC8" w:rsidRPr="00BE38F4">
        <w:rPr>
          <w:rFonts w:ascii="MetaPro-Norm" w:hAnsi="MetaPro-Norm"/>
          <w:sz w:val="16"/>
          <w:szCs w:val="16"/>
        </w:rPr>
        <w:t xml:space="preserve"> UNHCR, “Egypt: Operational Data Portal,” website, accessed November 6, 2025, https://data.unhcr.org/en/country/egy.</w:t>
      </w:r>
    </w:p>
  </w:footnote>
  <w:footnote w:id="24">
    <w:p w14:paraId="22391F28" w14:textId="240EC679" w:rsidR="56A22BD8" w:rsidRPr="00BE38F4" w:rsidRDefault="56A22BD8" w:rsidP="56A22BD8">
      <w:pPr>
        <w:pStyle w:val="FootnoteText"/>
        <w:rPr>
          <w:rFonts w:ascii="MetaPro-Norm" w:hAnsi="MetaPro-Norm"/>
          <w:sz w:val="16"/>
          <w:szCs w:val="16"/>
        </w:rPr>
      </w:pPr>
      <w:r w:rsidRPr="00BE38F4">
        <w:rPr>
          <w:rStyle w:val="FootnoteReference"/>
          <w:rFonts w:ascii="MetaPro-Norm" w:hAnsi="MetaPro-Norm"/>
          <w:sz w:val="16"/>
          <w:szCs w:val="16"/>
        </w:rPr>
        <w:footnoteRef/>
      </w:r>
      <w:r w:rsidRPr="00BE38F4">
        <w:rPr>
          <w:rFonts w:ascii="MetaPro-Norm" w:hAnsi="MetaPro-Norm"/>
          <w:sz w:val="16"/>
          <w:szCs w:val="16"/>
        </w:rPr>
        <w:t xml:space="preserve"> UNHCR, “Egypt: Operational Data Portal,” website, accessed September 11, 2025, https://data.unhcr.org/en/country/egy.</w:t>
      </w:r>
    </w:p>
  </w:footnote>
  <w:footnote w:id="25">
    <w:p w14:paraId="435A22DE" w14:textId="0F8D12DE" w:rsidR="00A93DDF" w:rsidRPr="00BE38F4" w:rsidRDefault="00A93DDF">
      <w:pPr>
        <w:pStyle w:val="FootnoteText"/>
        <w:rPr>
          <w:rFonts w:ascii="MetaPro-Norm" w:hAnsi="MetaPro-Norm"/>
          <w:sz w:val="16"/>
          <w:szCs w:val="16"/>
        </w:rPr>
      </w:pPr>
      <w:r w:rsidRPr="00BE38F4">
        <w:rPr>
          <w:rStyle w:val="FootnoteReference"/>
          <w:rFonts w:ascii="MetaPro-Norm" w:hAnsi="MetaPro-Norm"/>
          <w:sz w:val="16"/>
          <w:szCs w:val="16"/>
        </w:rPr>
        <w:footnoteRef/>
      </w:r>
      <w:r w:rsidRPr="00BE38F4">
        <w:rPr>
          <w:rFonts w:ascii="MetaPro-Norm" w:hAnsi="MetaPro-Norm"/>
          <w:sz w:val="16"/>
          <w:szCs w:val="16"/>
        </w:rPr>
        <w:t xml:space="preserve"> “Egypt: Education Restricted for Refugees,” Human Rights Watch news release, </w:t>
      </w:r>
      <w:r w:rsidR="00386DB2" w:rsidRPr="00BE38F4">
        <w:rPr>
          <w:rFonts w:ascii="MetaPro-Norm" w:hAnsi="MetaPro-Norm"/>
          <w:sz w:val="16"/>
          <w:szCs w:val="16"/>
        </w:rPr>
        <w:t xml:space="preserve">December 2, 2024, https://www.hrw.org/news/2024/12/02/egypt-education-restricted-for-refugees; “22 NGOs in a Joint Statement: Grave risks posed by the passing of proposed Foreign Asylum Bill,” Egyptian Initiative for Personal Rights </w:t>
      </w:r>
      <w:r w:rsidR="00C66509" w:rsidRPr="00BE38F4">
        <w:rPr>
          <w:rFonts w:ascii="MetaPro-Norm" w:hAnsi="MetaPro-Norm"/>
          <w:sz w:val="16"/>
          <w:szCs w:val="16"/>
        </w:rPr>
        <w:t>press release, November 15, 2024, https://eipr.org/en/press/2024/11/22-ngos-joint-statement-grave-risks-posed-passing-proposed-foreign-asylum-bill (accessed November 17, 2025).</w:t>
      </w:r>
    </w:p>
  </w:footnote>
  <w:footnote w:id="26">
    <w:p w14:paraId="1478EB12" w14:textId="010E332D" w:rsidR="56A22BD8" w:rsidRPr="00BE38F4" w:rsidRDefault="56A22BD8" w:rsidP="56A22BD8">
      <w:pPr>
        <w:pStyle w:val="FootnoteText"/>
        <w:rPr>
          <w:rFonts w:ascii="MetaPro-Norm" w:hAnsi="MetaPro-Norm"/>
          <w:sz w:val="16"/>
          <w:szCs w:val="16"/>
        </w:rPr>
      </w:pPr>
      <w:r w:rsidRPr="00BE38F4">
        <w:rPr>
          <w:rStyle w:val="FootnoteReference"/>
          <w:rFonts w:ascii="MetaPro-Norm" w:hAnsi="MetaPro-Norm"/>
          <w:sz w:val="16"/>
          <w:szCs w:val="16"/>
        </w:rPr>
        <w:footnoteRef/>
      </w:r>
      <w:r w:rsidRPr="00BE38F4">
        <w:rPr>
          <w:rFonts w:ascii="MetaPro-Norm" w:hAnsi="MetaPro-Norm"/>
          <w:sz w:val="16"/>
          <w:szCs w:val="16"/>
        </w:rPr>
        <w:t xml:space="preserve"> Human Rights Watch, “New Data Exposes Global Health Funding Inequalities,” report, April 10, 2025, https://www.hrw.org/news/2025/04/10/new-data-exposes-global-healthcare-funding-inequalities.</w:t>
      </w:r>
    </w:p>
  </w:footnote>
  <w:footnote w:id="27">
    <w:p w14:paraId="750F8CF2" w14:textId="3A3D40FC" w:rsidR="56A22BD8" w:rsidRPr="00BE38F4" w:rsidRDefault="56A22BD8" w:rsidP="56A22BD8">
      <w:pPr>
        <w:pStyle w:val="FootnoteText"/>
        <w:rPr>
          <w:rFonts w:ascii="MetaPro-Norm" w:hAnsi="MetaPro-Norm"/>
          <w:sz w:val="16"/>
          <w:szCs w:val="16"/>
        </w:rPr>
      </w:pPr>
      <w:r w:rsidRPr="00BE38F4">
        <w:rPr>
          <w:rStyle w:val="FootnoteReference"/>
          <w:rFonts w:ascii="MetaPro-Norm" w:hAnsi="MetaPro-Norm"/>
          <w:sz w:val="16"/>
          <w:szCs w:val="16"/>
        </w:rPr>
        <w:footnoteRef/>
      </w:r>
      <w:r w:rsidRPr="00BE38F4">
        <w:rPr>
          <w:rFonts w:ascii="MetaPro-Norm" w:hAnsi="MetaPro-Norm"/>
          <w:sz w:val="16"/>
          <w:szCs w:val="16"/>
        </w:rPr>
        <w:t xml:space="preserve"> </w:t>
      </w:r>
      <w:r w:rsidR="00BE38F4">
        <w:rPr>
          <w:rFonts w:ascii="MetaPro-Norm" w:hAnsi="MetaPro-Norm"/>
          <w:sz w:val="16"/>
          <w:szCs w:val="16"/>
        </w:rPr>
        <w:t>Ibid</w:t>
      </w:r>
      <w:r w:rsidRPr="00BE38F4">
        <w:rPr>
          <w:rFonts w:ascii="MetaPro-Norm" w:hAnsi="MetaPro-Norm"/>
          <w:sz w:val="16"/>
          <w:szCs w:val="16"/>
        </w:rPr>
        <w:t>.</w:t>
      </w:r>
    </w:p>
  </w:footnote>
  <w:footnote w:id="28">
    <w:p w14:paraId="709D242C" w14:textId="68336E91" w:rsidR="56A22BD8" w:rsidRPr="00BE38F4" w:rsidRDefault="56A22BD8" w:rsidP="56A22BD8">
      <w:pPr>
        <w:pStyle w:val="FootnoteText"/>
        <w:rPr>
          <w:rFonts w:ascii="MetaPro-Norm" w:hAnsi="MetaPro-Norm"/>
          <w:sz w:val="16"/>
          <w:szCs w:val="16"/>
        </w:rPr>
      </w:pPr>
      <w:r w:rsidRPr="00BE38F4">
        <w:rPr>
          <w:rStyle w:val="FootnoteReference"/>
          <w:rFonts w:ascii="MetaPro-Norm" w:hAnsi="MetaPro-Norm"/>
          <w:sz w:val="16"/>
          <w:szCs w:val="16"/>
        </w:rPr>
        <w:footnoteRef/>
      </w:r>
      <w:r w:rsidRPr="00BE38F4">
        <w:rPr>
          <w:rFonts w:ascii="MetaPro-Norm" w:hAnsi="MetaPro-Norm"/>
          <w:sz w:val="16"/>
          <w:szCs w:val="16"/>
        </w:rPr>
        <w:t xml:space="preserve"> </w:t>
      </w:r>
      <w:r w:rsidR="00BE38F4">
        <w:rPr>
          <w:rFonts w:ascii="MetaPro-Norm" w:hAnsi="MetaPro-Norm"/>
          <w:sz w:val="16"/>
          <w:szCs w:val="16"/>
        </w:rPr>
        <w:t>Ibid</w:t>
      </w:r>
      <w:r w:rsidRPr="00BE38F4">
        <w:rPr>
          <w:rFonts w:ascii="MetaPro-Norm" w:hAnsi="MetaPro-Norm"/>
          <w:sz w:val="16"/>
          <w:szCs w:val="16"/>
        </w:rPr>
        <w:t>.</w:t>
      </w:r>
    </w:p>
  </w:footnote>
  <w:footnote w:id="29">
    <w:p w14:paraId="2738B367" w14:textId="2A1D6BF4" w:rsidR="56A22BD8" w:rsidRPr="00BE38F4" w:rsidRDefault="56A22BD8" w:rsidP="56A22BD8">
      <w:pPr>
        <w:pStyle w:val="FootnoteText"/>
        <w:rPr>
          <w:rFonts w:ascii="MetaPro-Norm" w:hAnsi="MetaPro-Norm"/>
          <w:sz w:val="16"/>
          <w:szCs w:val="16"/>
        </w:rPr>
      </w:pPr>
      <w:r w:rsidRPr="00BE38F4">
        <w:rPr>
          <w:rStyle w:val="FootnoteReference"/>
          <w:rFonts w:ascii="MetaPro-Norm" w:hAnsi="MetaPro-Norm"/>
          <w:sz w:val="16"/>
          <w:szCs w:val="16"/>
        </w:rPr>
        <w:footnoteRef/>
      </w:r>
      <w:r w:rsidRPr="00BE38F4">
        <w:rPr>
          <w:rFonts w:ascii="MetaPro-Norm" w:hAnsi="MetaPro-Norm"/>
          <w:sz w:val="16"/>
          <w:szCs w:val="16"/>
        </w:rPr>
        <w:t xml:space="preserve"> </w:t>
      </w:r>
      <w:r w:rsidR="00BE38F4">
        <w:rPr>
          <w:rFonts w:ascii="MetaPro-Norm" w:hAnsi="MetaPro-Norm"/>
          <w:sz w:val="16"/>
          <w:szCs w:val="16"/>
        </w:rPr>
        <w:t>Ibid</w:t>
      </w:r>
      <w:r w:rsidRPr="00BE38F4">
        <w:rPr>
          <w:rFonts w:ascii="MetaPro-Norm" w:hAnsi="MetaPro-Norm"/>
          <w:sz w:val="16"/>
          <w:szCs w:val="16"/>
        </w:rPr>
        <w:t>.</w:t>
      </w:r>
    </w:p>
  </w:footnote>
  <w:footnote w:id="30">
    <w:p w14:paraId="397F5352" w14:textId="77777777" w:rsidR="00A37DEC" w:rsidRPr="00BE38F4" w:rsidRDefault="00A37DEC" w:rsidP="00A37DEC">
      <w:pPr>
        <w:pStyle w:val="FootnoteText"/>
        <w:rPr>
          <w:rFonts w:ascii="MetaPro-Norm" w:hAnsi="MetaPro-Norm"/>
          <w:sz w:val="16"/>
          <w:szCs w:val="16"/>
        </w:rPr>
      </w:pPr>
      <w:r w:rsidRPr="00BE38F4">
        <w:rPr>
          <w:rStyle w:val="FootnoteReference"/>
          <w:rFonts w:ascii="MetaPro-Norm" w:hAnsi="MetaPro-Norm"/>
          <w:sz w:val="16"/>
          <w:szCs w:val="16"/>
        </w:rPr>
        <w:footnoteRef/>
      </w:r>
      <w:r w:rsidRPr="00BE38F4">
        <w:rPr>
          <w:rFonts w:ascii="MetaPro-Norm" w:hAnsi="MetaPro-Norm"/>
          <w:sz w:val="16"/>
          <w:szCs w:val="16"/>
        </w:rPr>
        <w:t xml:space="preserve"> “Human Rights Watch Submission to the Universal Periodic Review of Egypt: 48</w:t>
      </w:r>
      <w:r w:rsidRPr="00BE38F4">
        <w:rPr>
          <w:rFonts w:ascii="MetaPro-Norm" w:hAnsi="MetaPro-Norm"/>
          <w:sz w:val="16"/>
          <w:szCs w:val="16"/>
          <w:vertAlign w:val="superscript"/>
        </w:rPr>
        <w:t>th</w:t>
      </w:r>
      <w:r w:rsidRPr="00BE38F4">
        <w:rPr>
          <w:rFonts w:ascii="MetaPro-Norm" w:hAnsi="MetaPro-Norm"/>
          <w:sz w:val="16"/>
          <w:szCs w:val="16"/>
        </w:rPr>
        <w:t xml:space="preserve"> Session of the United Nations Universal Periodic Review; 4</w:t>
      </w:r>
      <w:r w:rsidRPr="00BE38F4">
        <w:rPr>
          <w:rFonts w:ascii="MetaPro-Norm" w:hAnsi="MetaPro-Norm"/>
          <w:sz w:val="16"/>
          <w:szCs w:val="16"/>
          <w:vertAlign w:val="superscript"/>
        </w:rPr>
        <w:t>th</w:t>
      </w:r>
      <w:r w:rsidRPr="00BE38F4">
        <w:rPr>
          <w:rFonts w:ascii="MetaPro-Norm" w:hAnsi="MetaPro-Norm"/>
          <w:sz w:val="16"/>
          <w:szCs w:val="16"/>
        </w:rPr>
        <w:t xml:space="preserve"> Cycle,” Human Rights Watch, July 15, 2024, https://www.hrw.org/news/2024/07/15/human-rights-watch-submission-universal-periodic-review-egypt.</w:t>
      </w:r>
    </w:p>
  </w:footnote>
  <w:footnote w:id="31">
    <w:p w14:paraId="12485049" w14:textId="2AE55750" w:rsidR="56A22BD8" w:rsidRPr="00BE38F4" w:rsidRDefault="56A22BD8" w:rsidP="56A22BD8">
      <w:pPr>
        <w:pStyle w:val="FootnoteText"/>
        <w:rPr>
          <w:rFonts w:ascii="MetaPro-Norm" w:hAnsi="MetaPro-Norm"/>
          <w:sz w:val="16"/>
          <w:szCs w:val="16"/>
        </w:rPr>
      </w:pPr>
      <w:r w:rsidRPr="00BE38F4">
        <w:rPr>
          <w:rStyle w:val="FootnoteReference"/>
          <w:rFonts w:ascii="MetaPro-Norm" w:hAnsi="MetaPro-Norm"/>
          <w:sz w:val="16"/>
          <w:szCs w:val="16"/>
        </w:rPr>
        <w:footnoteRef/>
      </w:r>
      <w:r w:rsidRPr="00BE38F4">
        <w:rPr>
          <w:rFonts w:ascii="MetaPro-Norm" w:hAnsi="MetaPro-Norm"/>
          <w:sz w:val="16"/>
          <w:szCs w:val="16"/>
        </w:rPr>
        <w:t xml:space="preserve"> </w:t>
      </w:r>
      <w:r w:rsidRPr="00BE38F4">
        <w:rPr>
          <w:rFonts w:ascii="MetaPro-Norm" w:eastAsia="Aptos" w:hAnsi="MetaPro-Norm" w:cs="Aptos"/>
          <w:color w:val="000000" w:themeColor="text1"/>
          <w:sz w:val="16"/>
          <w:szCs w:val="16"/>
        </w:rPr>
        <w:t>UN Committee on Economic, Social and Cultural Rights, General Comment No. 3, The Nature of States Parties’ Obligations, U.N. Doc. E/1991/23, December 14, 1990, https://www.refworld.org/legal/general/cescr/1990/en/129827.</w:t>
      </w:r>
    </w:p>
  </w:footnote>
  <w:footnote w:id="32">
    <w:p w14:paraId="78D2D520" w14:textId="6C551581" w:rsidR="56A22BD8" w:rsidRPr="00BE38F4" w:rsidRDefault="56A22BD8" w:rsidP="56A22BD8">
      <w:pPr>
        <w:pStyle w:val="FootnoteText"/>
        <w:rPr>
          <w:rFonts w:ascii="MetaPro-Norm" w:hAnsi="MetaPro-Norm"/>
          <w:sz w:val="16"/>
          <w:szCs w:val="16"/>
        </w:rPr>
      </w:pPr>
      <w:r w:rsidRPr="00BE38F4">
        <w:rPr>
          <w:rStyle w:val="FootnoteReference"/>
          <w:rFonts w:ascii="MetaPro-Norm" w:hAnsi="MetaPro-Norm"/>
          <w:sz w:val="16"/>
          <w:szCs w:val="16"/>
        </w:rPr>
        <w:footnoteRef/>
      </w:r>
      <w:r w:rsidRPr="00BE38F4">
        <w:rPr>
          <w:rFonts w:ascii="MetaPro-Norm" w:hAnsi="MetaPro-Norm"/>
          <w:sz w:val="16"/>
          <w:szCs w:val="16"/>
        </w:rPr>
        <w:t xml:space="preserve"> “Updates from the First and Second Sessions of the historic Intergovernmental Negotiating Committee (INC) on the United Nations Framework Convention on International Tax Cooperation,” Tax Justice Network Africa news release, August 5, 2025, https://taxjusticeafrica.net/resources/news/updates-first-and-second-sessions-historic-intergovernmental-negotiating-committee.</w:t>
      </w:r>
    </w:p>
  </w:footnote>
  <w:footnote w:id="33">
    <w:p w14:paraId="35793DC0" w14:textId="2C1E8F4F" w:rsidR="2A6D3368" w:rsidRPr="00BE38F4" w:rsidRDefault="2A6D3368" w:rsidP="00577D00">
      <w:pPr>
        <w:pStyle w:val="FootnoteText"/>
        <w:rPr>
          <w:rFonts w:ascii="MetaPro-Norm" w:hAnsi="MetaPro-Norm"/>
          <w:sz w:val="16"/>
          <w:szCs w:val="16"/>
        </w:rPr>
      </w:pPr>
      <w:r w:rsidRPr="00BE38F4">
        <w:rPr>
          <w:rStyle w:val="FootnoteReference"/>
          <w:rFonts w:ascii="MetaPro-Norm" w:hAnsi="MetaPro-Norm"/>
          <w:sz w:val="16"/>
          <w:szCs w:val="16"/>
        </w:rPr>
        <w:footnoteRef/>
      </w:r>
      <w:r w:rsidRPr="00BE38F4">
        <w:rPr>
          <w:rFonts w:ascii="MetaPro-Norm" w:hAnsi="MetaPro-Norm"/>
          <w:sz w:val="16"/>
          <w:szCs w:val="16"/>
        </w:rPr>
        <w:t xml:space="preserve"> Tax Justice Network, </w:t>
      </w:r>
      <w:r w:rsidRPr="00BE38F4">
        <w:rPr>
          <w:rFonts w:ascii="MetaPro-Norm" w:hAnsi="MetaPro-Norm"/>
          <w:i/>
          <w:iCs/>
          <w:sz w:val="16"/>
          <w:szCs w:val="16"/>
        </w:rPr>
        <w:t xml:space="preserve">Egypt, </w:t>
      </w:r>
      <w:r w:rsidRPr="00BE38F4">
        <w:rPr>
          <w:rFonts w:ascii="MetaPro-Norm" w:hAnsi="MetaPro-Norm"/>
          <w:sz w:val="16"/>
          <w:szCs w:val="16"/>
        </w:rPr>
        <w:t>country profiles webpage, accessed October 9, 2025, https://taxjustice.net/country-profiles/egypt/.</w:t>
      </w:r>
    </w:p>
  </w:footnote>
  <w:footnote w:id="34">
    <w:p w14:paraId="05B6D977" w14:textId="4B046A26" w:rsidR="2A6D3368" w:rsidRPr="00BE38F4" w:rsidRDefault="2A6D3368" w:rsidP="00577D00">
      <w:pPr>
        <w:pStyle w:val="FootnoteText"/>
        <w:rPr>
          <w:rFonts w:ascii="MetaPro-Norm" w:hAnsi="MetaPro-Norm"/>
          <w:sz w:val="16"/>
          <w:szCs w:val="16"/>
        </w:rPr>
      </w:pPr>
      <w:r w:rsidRPr="00BE38F4">
        <w:rPr>
          <w:rStyle w:val="FootnoteReference"/>
          <w:rFonts w:ascii="MetaPro-Norm" w:hAnsi="MetaPro-Norm"/>
          <w:sz w:val="16"/>
          <w:szCs w:val="16"/>
        </w:rPr>
        <w:footnoteRef/>
      </w:r>
      <w:r w:rsidRPr="00BE38F4">
        <w:rPr>
          <w:rFonts w:ascii="MetaPro-Norm" w:hAnsi="MetaPro-Norm"/>
          <w:sz w:val="16"/>
          <w:szCs w:val="16"/>
        </w:rPr>
        <w:t xml:space="preserve"> </w:t>
      </w:r>
      <w:r w:rsidR="00B00A0F">
        <w:rPr>
          <w:rFonts w:ascii="MetaPro-Norm" w:hAnsi="MetaPro-Norm"/>
          <w:sz w:val="16"/>
          <w:szCs w:val="16"/>
        </w:rPr>
        <w:t>Ibid.</w:t>
      </w:r>
    </w:p>
  </w:footnote>
  <w:footnote w:id="35">
    <w:p w14:paraId="5E29D54A" w14:textId="3922D0BA" w:rsidR="56A22BD8" w:rsidRPr="00BE38F4" w:rsidRDefault="56A22BD8" w:rsidP="56A22BD8">
      <w:pPr>
        <w:pStyle w:val="FootnoteText"/>
        <w:rPr>
          <w:rFonts w:ascii="MetaPro-Norm" w:hAnsi="MetaPro-Norm"/>
          <w:sz w:val="16"/>
          <w:szCs w:val="16"/>
        </w:rPr>
      </w:pPr>
      <w:r w:rsidRPr="00BE38F4">
        <w:rPr>
          <w:rStyle w:val="FootnoteReference"/>
          <w:rFonts w:ascii="MetaPro-Norm" w:hAnsi="MetaPro-Norm"/>
          <w:sz w:val="16"/>
          <w:szCs w:val="16"/>
        </w:rPr>
        <w:footnoteRef/>
      </w:r>
      <w:r w:rsidRPr="00BE38F4">
        <w:rPr>
          <w:rFonts w:ascii="MetaPro-Norm" w:hAnsi="MetaPro-Norm"/>
          <w:sz w:val="16"/>
          <w:szCs w:val="16"/>
        </w:rPr>
        <w:t xml:space="preserve"> Sarah Saadoun, “Negotiations for UN Tax Treaty Present Historic Opportunity for Rights,” commentary, Human Rights Watch dispatch, February 10, 2025, https://www.hrw.org/news/2025/02/10/negotiations-un-tax-treaty-present-historic-opportunity-rights.</w:t>
      </w:r>
    </w:p>
  </w:footnote>
  <w:footnote w:id="36">
    <w:p w14:paraId="1EDC6193" w14:textId="505C6DDF" w:rsidR="56A22BD8" w:rsidRPr="00BE38F4" w:rsidRDefault="56A22BD8" w:rsidP="56A22BD8">
      <w:pPr>
        <w:pStyle w:val="FootnoteText"/>
        <w:rPr>
          <w:rFonts w:ascii="MetaPro-Norm" w:hAnsi="MetaPro-Norm"/>
          <w:sz w:val="16"/>
          <w:szCs w:val="16"/>
        </w:rPr>
      </w:pPr>
      <w:r w:rsidRPr="00BE38F4">
        <w:rPr>
          <w:rStyle w:val="FootnoteReference"/>
          <w:rFonts w:ascii="MetaPro-Norm" w:hAnsi="MetaPro-Norm"/>
          <w:sz w:val="16"/>
          <w:szCs w:val="16"/>
        </w:rPr>
        <w:footnoteRef/>
      </w:r>
      <w:r w:rsidRPr="00BE38F4">
        <w:rPr>
          <w:rFonts w:ascii="MetaPro-Norm" w:hAnsi="MetaPro-Norm"/>
          <w:sz w:val="16"/>
          <w:szCs w:val="16"/>
        </w:rPr>
        <w:t xml:space="preserve"> See Human Rights Watch, “Database of UN Human Rights Treaty Bodies’ Statements on Taxation,” last updated July 8, 2025, https://www.hrw.org/feature/2025/07/14/database-of-un-human-rights-treaty-bodies-statements-on-taxation. </w:t>
      </w:r>
    </w:p>
  </w:footnote>
  <w:footnote w:id="37">
    <w:p w14:paraId="66538A6C" w14:textId="23C5B966" w:rsidR="56A22BD8" w:rsidRPr="00BE38F4" w:rsidRDefault="56A22BD8" w:rsidP="56A22BD8">
      <w:pPr>
        <w:pStyle w:val="FootnoteText"/>
        <w:rPr>
          <w:rFonts w:ascii="MetaPro-Norm" w:hAnsi="MetaPro-Norm"/>
          <w:sz w:val="16"/>
          <w:szCs w:val="16"/>
        </w:rPr>
      </w:pPr>
      <w:r w:rsidRPr="00BE38F4">
        <w:rPr>
          <w:rStyle w:val="FootnoteReference"/>
          <w:rFonts w:ascii="MetaPro-Norm" w:hAnsi="MetaPro-Norm"/>
          <w:sz w:val="16"/>
          <w:szCs w:val="16"/>
        </w:rPr>
        <w:footnoteRef/>
      </w:r>
      <w:r w:rsidRPr="00BE38F4">
        <w:rPr>
          <w:rFonts w:ascii="MetaPro-Norm" w:hAnsi="MetaPro-Norm"/>
          <w:sz w:val="16"/>
          <w:szCs w:val="16"/>
        </w:rPr>
        <w:t xml:space="preserve"> Human Rights Watch, </w:t>
      </w:r>
      <w:r w:rsidRPr="00BE38F4">
        <w:rPr>
          <w:rFonts w:ascii="MetaPro-Norm" w:hAnsi="MetaPro-Norm"/>
          <w:i/>
          <w:iCs/>
          <w:sz w:val="16"/>
          <w:szCs w:val="16"/>
        </w:rPr>
        <w:t xml:space="preserve">Human Rights Treaty Bodies and Tax, </w:t>
      </w:r>
      <w:r w:rsidRPr="00BE38F4">
        <w:rPr>
          <w:rFonts w:ascii="MetaPro-Norm" w:hAnsi="MetaPro-Norm"/>
          <w:sz w:val="16"/>
          <w:szCs w:val="16"/>
        </w:rPr>
        <w:t>background briefing, June 26, 2025, https://www.hrw.org/news/2025/06/26/human-rights-treaty-bodies-and-tax.</w:t>
      </w:r>
    </w:p>
  </w:footnote>
  <w:footnote w:id="38">
    <w:p w14:paraId="2C995F65" w14:textId="7629971D" w:rsidR="56A22BD8" w:rsidRPr="00BE38F4" w:rsidRDefault="56A22BD8" w:rsidP="56A22BD8">
      <w:pPr>
        <w:pStyle w:val="FootnoteText"/>
        <w:rPr>
          <w:rFonts w:ascii="MetaPro-Norm" w:hAnsi="MetaPro-Norm"/>
          <w:sz w:val="16"/>
          <w:szCs w:val="16"/>
        </w:rPr>
      </w:pPr>
      <w:r w:rsidRPr="00BE38F4">
        <w:rPr>
          <w:rStyle w:val="FootnoteReference"/>
          <w:rFonts w:ascii="MetaPro-Norm" w:hAnsi="MetaPro-Norm"/>
          <w:sz w:val="16"/>
          <w:szCs w:val="16"/>
        </w:rPr>
        <w:footnoteRef/>
      </w:r>
      <w:r w:rsidRPr="00BE38F4">
        <w:rPr>
          <w:rFonts w:ascii="MetaPro-Norm" w:hAnsi="MetaPro-Norm"/>
          <w:sz w:val="16"/>
          <w:szCs w:val="16"/>
        </w:rPr>
        <w:t xml:space="preserve"> Human Rights Watch, </w:t>
      </w:r>
      <w:r w:rsidRPr="00BE38F4">
        <w:rPr>
          <w:rFonts w:ascii="MetaPro-Norm" w:hAnsi="MetaPro-Norm"/>
          <w:i/>
          <w:iCs/>
          <w:sz w:val="16"/>
          <w:szCs w:val="16"/>
        </w:rPr>
        <w:t>World Report 2025</w:t>
      </w:r>
      <w:r w:rsidRPr="00BE38F4">
        <w:rPr>
          <w:rFonts w:ascii="MetaPro-Norm" w:hAnsi="MetaPro-Norm"/>
          <w:sz w:val="16"/>
          <w:szCs w:val="16"/>
        </w:rPr>
        <w:t xml:space="preserve"> (New York: Human Rights Watch, 2025), Egypt chapter, https://www.hrw.org/world-report/2025/country-chapters/egypt#4483b2.</w:t>
      </w:r>
    </w:p>
  </w:footnote>
  <w:footnote w:id="39">
    <w:p w14:paraId="588461BD" w14:textId="77777777" w:rsidR="00E71750" w:rsidRPr="00BE38F4" w:rsidRDefault="00E71750" w:rsidP="00E71750">
      <w:pPr>
        <w:pStyle w:val="FootnoteText"/>
        <w:rPr>
          <w:rFonts w:ascii="MetaPro-Norm" w:hAnsi="MetaPro-Norm"/>
          <w:sz w:val="16"/>
          <w:szCs w:val="16"/>
        </w:rPr>
      </w:pPr>
      <w:r w:rsidRPr="00BE38F4">
        <w:rPr>
          <w:rStyle w:val="FootnoteReference"/>
          <w:rFonts w:ascii="MetaPro-Norm" w:hAnsi="MetaPro-Norm"/>
          <w:sz w:val="16"/>
          <w:szCs w:val="16"/>
        </w:rPr>
        <w:footnoteRef/>
      </w:r>
      <w:r w:rsidRPr="00BE38F4">
        <w:rPr>
          <w:rFonts w:ascii="MetaPro-Norm" w:hAnsi="MetaPro-Norm"/>
          <w:sz w:val="16"/>
          <w:szCs w:val="16"/>
        </w:rPr>
        <w:t xml:space="preserve"> “Egypt: IMF Bailout Highlights Risks of Austerity, Corruption,” Human Rights Watch news release, January 31, 2023, https://www.hrw.org/news/2023/01/31/egypt-imf-bailout-highlights-risks-austerity-corruption.</w:t>
      </w:r>
    </w:p>
  </w:footnote>
  <w:footnote w:id="40">
    <w:p w14:paraId="234104E6" w14:textId="462C09B0" w:rsidR="008F362A" w:rsidRPr="008F362A" w:rsidRDefault="008F362A">
      <w:pPr>
        <w:pStyle w:val="FootnoteText"/>
        <w:rPr>
          <w:sz w:val="16"/>
          <w:szCs w:val="16"/>
        </w:rPr>
      </w:pPr>
      <w:r w:rsidRPr="008F362A">
        <w:rPr>
          <w:rStyle w:val="FootnoteReference"/>
          <w:sz w:val="16"/>
          <w:szCs w:val="16"/>
        </w:rPr>
        <w:footnoteRef/>
      </w:r>
      <w:r w:rsidRPr="008F362A">
        <w:rPr>
          <w:sz w:val="16"/>
          <w:szCs w:val="16"/>
        </w:rPr>
        <w:t xml:space="preserve"> Yezid Sayigh, “Owners of the Republic: An Anatomy or Egypt’s Military Economy,” Carnegie Middle East Center report, 2019, </w:t>
      </w:r>
      <w:r w:rsidRPr="008F362A">
        <w:rPr>
          <w:sz w:val="16"/>
          <w:szCs w:val="16"/>
        </w:rPr>
        <w:t>https://carnegieendowment.org/files/Sayigh-Egypt_full_final2.pdf</w:t>
      </w:r>
      <w:r w:rsidRPr="008F362A">
        <w:rPr>
          <w:sz w:val="16"/>
          <w:szCs w:val="16"/>
        </w:rPr>
        <w:t>.</w:t>
      </w:r>
    </w:p>
  </w:footnote>
  <w:footnote w:id="41">
    <w:p w14:paraId="7931EB16" w14:textId="46B3F8D3" w:rsidR="008F362A" w:rsidRDefault="008F362A">
      <w:pPr>
        <w:pStyle w:val="FootnoteText"/>
      </w:pPr>
      <w:r w:rsidRPr="008F362A">
        <w:rPr>
          <w:rStyle w:val="FootnoteReference"/>
          <w:sz w:val="16"/>
          <w:szCs w:val="16"/>
        </w:rPr>
        <w:footnoteRef/>
      </w:r>
      <w:r w:rsidRPr="008F362A">
        <w:rPr>
          <w:sz w:val="16"/>
          <w:szCs w:val="16"/>
        </w:rPr>
        <w:t xml:space="preserve"> Wael Gamal, “The military: Our projects are the domain of the Ministry of Defense… and we will not allow the state to interfere in them,” </w:t>
      </w:r>
      <w:proofErr w:type="spellStart"/>
      <w:r w:rsidRPr="008F362A">
        <w:rPr>
          <w:sz w:val="16"/>
          <w:szCs w:val="16"/>
        </w:rPr>
        <w:t>Shorouk</w:t>
      </w:r>
      <w:proofErr w:type="spellEnd"/>
      <w:r w:rsidRPr="008F362A">
        <w:rPr>
          <w:sz w:val="16"/>
          <w:szCs w:val="16"/>
        </w:rPr>
        <w:t xml:space="preserve"> news, March 27, 2012, </w:t>
      </w:r>
      <w:r w:rsidRPr="008F362A">
        <w:rPr>
          <w:sz w:val="16"/>
          <w:szCs w:val="16"/>
        </w:rPr>
        <w:t>https://www.shorouknews.com/news/view.aspx?cdate=27032012&amp;id=0de8ea0c-136a-4270-9a7c-79b576b91b51</w:t>
      </w:r>
      <w:r w:rsidRPr="008F362A">
        <w:rPr>
          <w:sz w:val="16"/>
          <w:szCs w:val="16"/>
        </w:rPr>
        <w:t>.</w:t>
      </w:r>
    </w:p>
  </w:footnote>
  <w:footnote w:id="42">
    <w:p w14:paraId="26203182" w14:textId="55DE9CB6" w:rsidR="00005CA5" w:rsidRPr="00BE38F4" w:rsidRDefault="00005CA5" w:rsidP="00005CA5">
      <w:pPr>
        <w:pStyle w:val="FootnoteText"/>
        <w:rPr>
          <w:rFonts w:ascii="MetaPro-Norm" w:hAnsi="MetaPro-Norm"/>
          <w:sz w:val="16"/>
          <w:szCs w:val="16"/>
        </w:rPr>
      </w:pPr>
      <w:r w:rsidRPr="00BE38F4">
        <w:rPr>
          <w:rStyle w:val="FootnoteReference"/>
          <w:rFonts w:ascii="MetaPro-Norm" w:hAnsi="MetaPro-Norm"/>
          <w:sz w:val="16"/>
          <w:szCs w:val="16"/>
        </w:rPr>
        <w:footnoteRef/>
      </w:r>
      <w:r w:rsidRPr="00BE38F4">
        <w:rPr>
          <w:rFonts w:ascii="MetaPro-Norm" w:hAnsi="MetaPro-Norm"/>
          <w:sz w:val="16"/>
          <w:szCs w:val="16"/>
        </w:rPr>
        <w:t xml:space="preserve"> </w:t>
      </w:r>
      <w:r w:rsidR="0031528C" w:rsidRPr="00BE38F4">
        <w:rPr>
          <w:rFonts w:ascii="MetaPro-Norm" w:hAnsi="MetaPro-Norm"/>
          <w:sz w:val="16"/>
          <w:szCs w:val="16"/>
        </w:rPr>
        <w:t xml:space="preserve">“IMF: Demand Transparency for Egypt Military’s Firms,” Human Rights Watch news release, November 30, 2020, </w:t>
      </w:r>
      <w:r w:rsidRPr="00BE38F4">
        <w:rPr>
          <w:rFonts w:ascii="MetaPro-Norm" w:hAnsi="MetaPro-Norm"/>
          <w:sz w:val="16"/>
          <w:szCs w:val="16"/>
        </w:rPr>
        <w:t>https://www.hrw.org/news/2020/11/30/imf-demand-transparency-egypt-militarys-firms</w:t>
      </w:r>
      <w:r w:rsidR="0031528C" w:rsidRPr="00BE38F4">
        <w:rPr>
          <w:rFonts w:ascii="MetaPro-Norm" w:hAnsi="MetaPro-Norm"/>
          <w:sz w:val="16"/>
          <w:szCs w:val="16"/>
        </w:rPr>
        <w:t>.</w:t>
      </w:r>
    </w:p>
  </w:footnote>
  <w:footnote w:id="43">
    <w:p w14:paraId="44E7ECD8" w14:textId="0E3EDC33" w:rsidR="00797ACA" w:rsidRPr="00BE38F4" w:rsidRDefault="00797ACA" w:rsidP="00797ACA">
      <w:pPr>
        <w:pStyle w:val="FootnoteText"/>
        <w:rPr>
          <w:rFonts w:ascii="MetaPro-Norm" w:hAnsi="MetaPro-Norm"/>
          <w:sz w:val="16"/>
          <w:szCs w:val="16"/>
        </w:rPr>
      </w:pPr>
      <w:r w:rsidRPr="00BE38F4">
        <w:rPr>
          <w:rStyle w:val="FootnoteReference"/>
          <w:rFonts w:ascii="MetaPro-Norm" w:hAnsi="MetaPro-Norm"/>
          <w:sz w:val="16"/>
          <w:szCs w:val="16"/>
        </w:rPr>
        <w:footnoteRef/>
      </w:r>
      <w:r w:rsidRPr="00BE38F4">
        <w:rPr>
          <w:rFonts w:ascii="MetaPro-Norm" w:hAnsi="MetaPro-Norm"/>
          <w:sz w:val="16"/>
          <w:szCs w:val="16"/>
        </w:rPr>
        <w:t xml:space="preserve"> </w:t>
      </w:r>
      <w:r w:rsidR="0031528C" w:rsidRPr="00BE38F4">
        <w:rPr>
          <w:rFonts w:ascii="MetaPro-Norm" w:hAnsi="MetaPro-Norm"/>
          <w:sz w:val="16"/>
          <w:szCs w:val="16"/>
        </w:rPr>
        <w:t>“IMF: Demand Transparency for Egypt Military’s Firms,” Human Rights Watch news release, November 30, 2020, https://www.hrw.org/news/2020/11/30/imf-demand-transparency-egypt-militarys-firms.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D6CA8"/>
    <w:multiLevelType w:val="hybridMultilevel"/>
    <w:tmpl w:val="528887FE"/>
    <w:lvl w:ilvl="0" w:tplc="8AC0830C">
      <w:start w:val="1"/>
      <w:numFmt w:val="decimal"/>
      <w:lvlText w:val="%1."/>
      <w:lvlJc w:val="left"/>
      <w:pPr>
        <w:ind w:left="1020" w:hanging="360"/>
      </w:pPr>
    </w:lvl>
    <w:lvl w:ilvl="1" w:tplc="0CAC6838">
      <w:start w:val="1"/>
      <w:numFmt w:val="decimal"/>
      <w:lvlText w:val="%2."/>
      <w:lvlJc w:val="left"/>
      <w:pPr>
        <w:ind w:left="1020" w:hanging="360"/>
      </w:pPr>
    </w:lvl>
    <w:lvl w:ilvl="2" w:tplc="9304ADBC">
      <w:start w:val="1"/>
      <w:numFmt w:val="decimal"/>
      <w:lvlText w:val="%3."/>
      <w:lvlJc w:val="left"/>
      <w:pPr>
        <w:ind w:left="1020" w:hanging="360"/>
      </w:pPr>
    </w:lvl>
    <w:lvl w:ilvl="3" w:tplc="784EB2EA">
      <w:start w:val="1"/>
      <w:numFmt w:val="decimal"/>
      <w:lvlText w:val="%4."/>
      <w:lvlJc w:val="left"/>
      <w:pPr>
        <w:ind w:left="1020" w:hanging="360"/>
      </w:pPr>
    </w:lvl>
    <w:lvl w:ilvl="4" w:tplc="735AE6EA">
      <w:start w:val="1"/>
      <w:numFmt w:val="decimal"/>
      <w:lvlText w:val="%5."/>
      <w:lvlJc w:val="left"/>
      <w:pPr>
        <w:ind w:left="1020" w:hanging="360"/>
      </w:pPr>
    </w:lvl>
    <w:lvl w:ilvl="5" w:tplc="1F28C214">
      <w:start w:val="1"/>
      <w:numFmt w:val="decimal"/>
      <w:lvlText w:val="%6."/>
      <w:lvlJc w:val="left"/>
      <w:pPr>
        <w:ind w:left="1020" w:hanging="360"/>
      </w:pPr>
    </w:lvl>
    <w:lvl w:ilvl="6" w:tplc="2896557C">
      <w:start w:val="1"/>
      <w:numFmt w:val="decimal"/>
      <w:lvlText w:val="%7."/>
      <w:lvlJc w:val="left"/>
      <w:pPr>
        <w:ind w:left="1020" w:hanging="360"/>
      </w:pPr>
    </w:lvl>
    <w:lvl w:ilvl="7" w:tplc="D5EC5050">
      <w:start w:val="1"/>
      <w:numFmt w:val="decimal"/>
      <w:lvlText w:val="%8."/>
      <w:lvlJc w:val="left"/>
      <w:pPr>
        <w:ind w:left="1020" w:hanging="360"/>
      </w:pPr>
    </w:lvl>
    <w:lvl w:ilvl="8" w:tplc="6C0ED8FA">
      <w:start w:val="1"/>
      <w:numFmt w:val="decimal"/>
      <w:lvlText w:val="%9."/>
      <w:lvlJc w:val="left"/>
      <w:pPr>
        <w:ind w:left="1020" w:hanging="360"/>
      </w:pPr>
    </w:lvl>
  </w:abstractNum>
  <w:abstractNum w:abstractNumId="1" w15:restartNumberingAfterBreak="0">
    <w:nsid w:val="0C4D0538"/>
    <w:multiLevelType w:val="hybridMultilevel"/>
    <w:tmpl w:val="B0A89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33BA45"/>
    <w:multiLevelType w:val="hybridMultilevel"/>
    <w:tmpl w:val="EDE8A618"/>
    <w:lvl w:ilvl="0" w:tplc="69AEA190">
      <w:start w:val="1"/>
      <w:numFmt w:val="bullet"/>
      <w:lvlText w:val=""/>
      <w:lvlJc w:val="left"/>
      <w:pPr>
        <w:ind w:left="720" w:hanging="360"/>
      </w:pPr>
      <w:rPr>
        <w:rFonts w:ascii="Symbol" w:hAnsi="Symbol" w:hint="default"/>
      </w:rPr>
    </w:lvl>
    <w:lvl w:ilvl="1" w:tplc="8A00A1CC">
      <w:start w:val="1"/>
      <w:numFmt w:val="bullet"/>
      <w:lvlText w:val="o"/>
      <w:lvlJc w:val="left"/>
      <w:pPr>
        <w:ind w:left="1440" w:hanging="360"/>
      </w:pPr>
      <w:rPr>
        <w:rFonts w:ascii="Courier New" w:hAnsi="Courier New" w:hint="default"/>
      </w:rPr>
    </w:lvl>
    <w:lvl w:ilvl="2" w:tplc="8258F086">
      <w:start w:val="1"/>
      <w:numFmt w:val="bullet"/>
      <w:lvlText w:val=""/>
      <w:lvlJc w:val="left"/>
      <w:pPr>
        <w:ind w:left="2160" w:hanging="360"/>
      </w:pPr>
      <w:rPr>
        <w:rFonts w:ascii="Wingdings" w:hAnsi="Wingdings" w:hint="default"/>
      </w:rPr>
    </w:lvl>
    <w:lvl w:ilvl="3" w:tplc="D234A8B0">
      <w:start w:val="1"/>
      <w:numFmt w:val="bullet"/>
      <w:lvlText w:val=""/>
      <w:lvlJc w:val="left"/>
      <w:pPr>
        <w:ind w:left="2880" w:hanging="360"/>
      </w:pPr>
      <w:rPr>
        <w:rFonts w:ascii="Symbol" w:hAnsi="Symbol" w:hint="default"/>
      </w:rPr>
    </w:lvl>
    <w:lvl w:ilvl="4" w:tplc="1A267D20">
      <w:start w:val="1"/>
      <w:numFmt w:val="bullet"/>
      <w:lvlText w:val="o"/>
      <w:lvlJc w:val="left"/>
      <w:pPr>
        <w:ind w:left="3600" w:hanging="360"/>
      </w:pPr>
      <w:rPr>
        <w:rFonts w:ascii="Courier New" w:hAnsi="Courier New" w:hint="default"/>
      </w:rPr>
    </w:lvl>
    <w:lvl w:ilvl="5" w:tplc="A6DE0038">
      <w:start w:val="1"/>
      <w:numFmt w:val="bullet"/>
      <w:lvlText w:val=""/>
      <w:lvlJc w:val="left"/>
      <w:pPr>
        <w:ind w:left="4320" w:hanging="360"/>
      </w:pPr>
      <w:rPr>
        <w:rFonts w:ascii="Wingdings" w:hAnsi="Wingdings" w:hint="default"/>
      </w:rPr>
    </w:lvl>
    <w:lvl w:ilvl="6" w:tplc="C2F497CC">
      <w:start w:val="1"/>
      <w:numFmt w:val="bullet"/>
      <w:lvlText w:val=""/>
      <w:lvlJc w:val="left"/>
      <w:pPr>
        <w:ind w:left="5040" w:hanging="360"/>
      </w:pPr>
      <w:rPr>
        <w:rFonts w:ascii="Symbol" w:hAnsi="Symbol" w:hint="default"/>
      </w:rPr>
    </w:lvl>
    <w:lvl w:ilvl="7" w:tplc="EF72667E">
      <w:start w:val="1"/>
      <w:numFmt w:val="bullet"/>
      <w:lvlText w:val="o"/>
      <w:lvlJc w:val="left"/>
      <w:pPr>
        <w:ind w:left="5760" w:hanging="360"/>
      </w:pPr>
      <w:rPr>
        <w:rFonts w:ascii="Courier New" w:hAnsi="Courier New" w:hint="default"/>
      </w:rPr>
    </w:lvl>
    <w:lvl w:ilvl="8" w:tplc="7AC07C90">
      <w:start w:val="1"/>
      <w:numFmt w:val="bullet"/>
      <w:lvlText w:val=""/>
      <w:lvlJc w:val="left"/>
      <w:pPr>
        <w:ind w:left="6480" w:hanging="360"/>
      </w:pPr>
      <w:rPr>
        <w:rFonts w:ascii="Wingdings" w:hAnsi="Wingdings" w:hint="default"/>
      </w:rPr>
    </w:lvl>
  </w:abstractNum>
  <w:abstractNum w:abstractNumId="3" w15:restartNumberingAfterBreak="0">
    <w:nsid w:val="18800DB6"/>
    <w:multiLevelType w:val="hybridMultilevel"/>
    <w:tmpl w:val="5226E534"/>
    <w:lvl w:ilvl="0" w:tplc="A022A7FA">
      <w:start w:val="1"/>
      <w:numFmt w:val="decimal"/>
      <w:lvlText w:val="%1."/>
      <w:lvlJc w:val="left"/>
      <w:pPr>
        <w:ind w:left="1020" w:hanging="360"/>
      </w:pPr>
    </w:lvl>
    <w:lvl w:ilvl="1" w:tplc="C070F8F2">
      <w:start w:val="1"/>
      <w:numFmt w:val="decimal"/>
      <w:lvlText w:val="%2."/>
      <w:lvlJc w:val="left"/>
      <w:pPr>
        <w:ind w:left="1020" w:hanging="360"/>
      </w:pPr>
    </w:lvl>
    <w:lvl w:ilvl="2" w:tplc="0A048CBA">
      <w:start w:val="1"/>
      <w:numFmt w:val="decimal"/>
      <w:lvlText w:val="%3."/>
      <w:lvlJc w:val="left"/>
      <w:pPr>
        <w:ind w:left="1020" w:hanging="360"/>
      </w:pPr>
    </w:lvl>
    <w:lvl w:ilvl="3" w:tplc="452C3CE2">
      <w:start w:val="1"/>
      <w:numFmt w:val="decimal"/>
      <w:lvlText w:val="%4."/>
      <w:lvlJc w:val="left"/>
      <w:pPr>
        <w:ind w:left="1020" w:hanging="360"/>
      </w:pPr>
    </w:lvl>
    <w:lvl w:ilvl="4" w:tplc="3B7C613E">
      <w:start w:val="1"/>
      <w:numFmt w:val="decimal"/>
      <w:lvlText w:val="%5."/>
      <w:lvlJc w:val="left"/>
      <w:pPr>
        <w:ind w:left="1020" w:hanging="360"/>
      </w:pPr>
    </w:lvl>
    <w:lvl w:ilvl="5" w:tplc="1068DEA0">
      <w:start w:val="1"/>
      <w:numFmt w:val="decimal"/>
      <w:lvlText w:val="%6."/>
      <w:lvlJc w:val="left"/>
      <w:pPr>
        <w:ind w:left="1020" w:hanging="360"/>
      </w:pPr>
    </w:lvl>
    <w:lvl w:ilvl="6" w:tplc="29DADD96">
      <w:start w:val="1"/>
      <w:numFmt w:val="decimal"/>
      <w:lvlText w:val="%7."/>
      <w:lvlJc w:val="left"/>
      <w:pPr>
        <w:ind w:left="1020" w:hanging="360"/>
      </w:pPr>
    </w:lvl>
    <w:lvl w:ilvl="7" w:tplc="65C46BB2">
      <w:start w:val="1"/>
      <w:numFmt w:val="decimal"/>
      <w:lvlText w:val="%8."/>
      <w:lvlJc w:val="left"/>
      <w:pPr>
        <w:ind w:left="1020" w:hanging="360"/>
      </w:pPr>
    </w:lvl>
    <w:lvl w:ilvl="8" w:tplc="FC88A42C">
      <w:start w:val="1"/>
      <w:numFmt w:val="decimal"/>
      <w:lvlText w:val="%9."/>
      <w:lvlJc w:val="left"/>
      <w:pPr>
        <w:ind w:left="1020" w:hanging="360"/>
      </w:pPr>
    </w:lvl>
  </w:abstractNum>
  <w:abstractNum w:abstractNumId="4" w15:restartNumberingAfterBreak="0">
    <w:nsid w:val="18970DAC"/>
    <w:multiLevelType w:val="hybridMultilevel"/>
    <w:tmpl w:val="802208B2"/>
    <w:lvl w:ilvl="0" w:tplc="CFB86BAA">
      <w:start w:val="1"/>
      <w:numFmt w:val="decimal"/>
      <w:lvlText w:val="%1."/>
      <w:lvlJc w:val="left"/>
      <w:pPr>
        <w:ind w:left="1020" w:hanging="360"/>
      </w:pPr>
    </w:lvl>
    <w:lvl w:ilvl="1" w:tplc="C4105104">
      <w:start w:val="1"/>
      <w:numFmt w:val="decimal"/>
      <w:lvlText w:val="%2."/>
      <w:lvlJc w:val="left"/>
      <w:pPr>
        <w:ind w:left="1020" w:hanging="360"/>
      </w:pPr>
    </w:lvl>
    <w:lvl w:ilvl="2" w:tplc="A0B49F12">
      <w:start w:val="1"/>
      <w:numFmt w:val="decimal"/>
      <w:lvlText w:val="%3."/>
      <w:lvlJc w:val="left"/>
      <w:pPr>
        <w:ind w:left="1020" w:hanging="360"/>
      </w:pPr>
    </w:lvl>
    <w:lvl w:ilvl="3" w:tplc="DE8E6ECE">
      <w:start w:val="1"/>
      <w:numFmt w:val="decimal"/>
      <w:lvlText w:val="%4."/>
      <w:lvlJc w:val="left"/>
      <w:pPr>
        <w:ind w:left="1020" w:hanging="360"/>
      </w:pPr>
    </w:lvl>
    <w:lvl w:ilvl="4" w:tplc="4370ADCA">
      <w:start w:val="1"/>
      <w:numFmt w:val="decimal"/>
      <w:lvlText w:val="%5."/>
      <w:lvlJc w:val="left"/>
      <w:pPr>
        <w:ind w:left="1020" w:hanging="360"/>
      </w:pPr>
    </w:lvl>
    <w:lvl w:ilvl="5" w:tplc="A00EA316">
      <w:start w:val="1"/>
      <w:numFmt w:val="decimal"/>
      <w:lvlText w:val="%6."/>
      <w:lvlJc w:val="left"/>
      <w:pPr>
        <w:ind w:left="1020" w:hanging="360"/>
      </w:pPr>
    </w:lvl>
    <w:lvl w:ilvl="6" w:tplc="23EEC192">
      <w:start w:val="1"/>
      <w:numFmt w:val="decimal"/>
      <w:lvlText w:val="%7."/>
      <w:lvlJc w:val="left"/>
      <w:pPr>
        <w:ind w:left="1020" w:hanging="360"/>
      </w:pPr>
    </w:lvl>
    <w:lvl w:ilvl="7" w:tplc="7BA03B82">
      <w:start w:val="1"/>
      <w:numFmt w:val="decimal"/>
      <w:lvlText w:val="%8."/>
      <w:lvlJc w:val="left"/>
      <w:pPr>
        <w:ind w:left="1020" w:hanging="360"/>
      </w:pPr>
    </w:lvl>
    <w:lvl w:ilvl="8" w:tplc="547A3112">
      <w:start w:val="1"/>
      <w:numFmt w:val="decimal"/>
      <w:lvlText w:val="%9."/>
      <w:lvlJc w:val="left"/>
      <w:pPr>
        <w:ind w:left="1020" w:hanging="360"/>
      </w:pPr>
    </w:lvl>
  </w:abstractNum>
  <w:abstractNum w:abstractNumId="5" w15:restartNumberingAfterBreak="0">
    <w:nsid w:val="1DC65FCC"/>
    <w:multiLevelType w:val="hybridMultilevel"/>
    <w:tmpl w:val="B65A08F8"/>
    <w:lvl w:ilvl="0" w:tplc="7BE8162E">
      <w:start w:val="1"/>
      <w:numFmt w:val="bullet"/>
      <w:lvlText w:val=""/>
      <w:lvlJc w:val="left"/>
      <w:pPr>
        <w:ind w:left="720" w:hanging="360"/>
      </w:pPr>
      <w:rPr>
        <w:rFonts w:ascii="Symbol" w:hAnsi="Symbol" w:hint="default"/>
      </w:rPr>
    </w:lvl>
    <w:lvl w:ilvl="1" w:tplc="565EBB86">
      <w:start w:val="1"/>
      <w:numFmt w:val="bullet"/>
      <w:lvlText w:val="o"/>
      <w:lvlJc w:val="left"/>
      <w:pPr>
        <w:ind w:left="1440" w:hanging="360"/>
      </w:pPr>
      <w:rPr>
        <w:rFonts w:ascii="Courier New" w:hAnsi="Courier New" w:hint="default"/>
      </w:rPr>
    </w:lvl>
    <w:lvl w:ilvl="2" w:tplc="91062340">
      <w:start w:val="1"/>
      <w:numFmt w:val="bullet"/>
      <w:lvlText w:val=""/>
      <w:lvlJc w:val="left"/>
      <w:pPr>
        <w:ind w:left="2160" w:hanging="360"/>
      </w:pPr>
      <w:rPr>
        <w:rFonts w:ascii="Wingdings" w:hAnsi="Wingdings" w:hint="default"/>
      </w:rPr>
    </w:lvl>
    <w:lvl w:ilvl="3" w:tplc="C9544E34">
      <w:start w:val="1"/>
      <w:numFmt w:val="bullet"/>
      <w:lvlText w:val=""/>
      <w:lvlJc w:val="left"/>
      <w:pPr>
        <w:ind w:left="2880" w:hanging="360"/>
      </w:pPr>
      <w:rPr>
        <w:rFonts w:ascii="Symbol" w:hAnsi="Symbol" w:hint="default"/>
      </w:rPr>
    </w:lvl>
    <w:lvl w:ilvl="4" w:tplc="B6B244DC">
      <w:start w:val="1"/>
      <w:numFmt w:val="bullet"/>
      <w:lvlText w:val="o"/>
      <w:lvlJc w:val="left"/>
      <w:pPr>
        <w:ind w:left="3600" w:hanging="360"/>
      </w:pPr>
      <w:rPr>
        <w:rFonts w:ascii="Courier New" w:hAnsi="Courier New" w:hint="default"/>
      </w:rPr>
    </w:lvl>
    <w:lvl w:ilvl="5" w:tplc="130038CA">
      <w:start w:val="1"/>
      <w:numFmt w:val="bullet"/>
      <w:lvlText w:val=""/>
      <w:lvlJc w:val="left"/>
      <w:pPr>
        <w:ind w:left="4320" w:hanging="360"/>
      </w:pPr>
      <w:rPr>
        <w:rFonts w:ascii="Wingdings" w:hAnsi="Wingdings" w:hint="default"/>
      </w:rPr>
    </w:lvl>
    <w:lvl w:ilvl="6" w:tplc="F7F29428">
      <w:start w:val="1"/>
      <w:numFmt w:val="bullet"/>
      <w:lvlText w:val=""/>
      <w:lvlJc w:val="left"/>
      <w:pPr>
        <w:ind w:left="5040" w:hanging="360"/>
      </w:pPr>
      <w:rPr>
        <w:rFonts w:ascii="Symbol" w:hAnsi="Symbol" w:hint="default"/>
      </w:rPr>
    </w:lvl>
    <w:lvl w:ilvl="7" w:tplc="325C3E1A">
      <w:start w:val="1"/>
      <w:numFmt w:val="bullet"/>
      <w:lvlText w:val="o"/>
      <w:lvlJc w:val="left"/>
      <w:pPr>
        <w:ind w:left="5760" w:hanging="360"/>
      </w:pPr>
      <w:rPr>
        <w:rFonts w:ascii="Courier New" w:hAnsi="Courier New" w:hint="default"/>
      </w:rPr>
    </w:lvl>
    <w:lvl w:ilvl="8" w:tplc="EFD43DC0">
      <w:start w:val="1"/>
      <w:numFmt w:val="bullet"/>
      <w:lvlText w:val=""/>
      <w:lvlJc w:val="left"/>
      <w:pPr>
        <w:ind w:left="6480" w:hanging="360"/>
      </w:pPr>
      <w:rPr>
        <w:rFonts w:ascii="Wingdings" w:hAnsi="Wingdings" w:hint="default"/>
      </w:rPr>
    </w:lvl>
  </w:abstractNum>
  <w:abstractNum w:abstractNumId="6" w15:restartNumberingAfterBreak="0">
    <w:nsid w:val="218102FA"/>
    <w:multiLevelType w:val="hybridMultilevel"/>
    <w:tmpl w:val="BACE179E"/>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27529970"/>
    <w:multiLevelType w:val="hybridMultilevel"/>
    <w:tmpl w:val="423458B2"/>
    <w:lvl w:ilvl="0" w:tplc="2C7615B0">
      <w:start w:val="1"/>
      <w:numFmt w:val="bullet"/>
      <w:lvlText w:val=""/>
      <w:lvlJc w:val="left"/>
      <w:pPr>
        <w:ind w:left="720" w:hanging="360"/>
      </w:pPr>
      <w:rPr>
        <w:rFonts w:ascii="Symbol" w:hAnsi="Symbol" w:hint="default"/>
      </w:rPr>
    </w:lvl>
    <w:lvl w:ilvl="1" w:tplc="75DAD042">
      <w:start w:val="1"/>
      <w:numFmt w:val="bullet"/>
      <w:lvlText w:val="o"/>
      <w:lvlJc w:val="left"/>
      <w:pPr>
        <w:ind w:left="1440" w:hanging="360"/>
      </w:pPr>
      <w:rPr>
        <w:rFonts w:ascii="Courier New" w:hAnsi="Courier New" w:hint="default"/>
      </w:rPr>
    </w:lvl>
    <w:lvl w:ilvl="2" w:tplc="F7B20F82">
      <w:start w:val="1"/>
      <w:numFmt w:val="bullet"/>
      <w:lvlText w:val=""/>
      <w:lvlJc w:val="left"/>
      <w:pPr>
        <w:ind w:left="2160" w:hanging="360"/>
      </w:pPr>
      <w:rPr>
        <w:rFonts w:ascii="Wingdings" w:hAnsi="Wingdings" w:hint="default"/>
      </w:rPr>
    </w:lvl>
    <w:lvl w:ilvl="3" w:tplc="6A92E72A">
      <w:start w:val="1"/>
      <w:numFmt w:val="bullet"/>
      <w:lvlText w:val=""/>
      <w:lvlJc w:val="left"/>
      <w:pPr>
        <w:ind w:left="2880" w:hanging="360"/>
      </w:pPr>
      <w:rPr>
        <w:rFonts w:ascii="Symbol" w:hAnsi="Symbol" w:hint="default"/>
      </w:rPr>
    </w:lvl>
    <w:lvl w:ilvl="4" w:tplc="ED86B5A2">
      <w:start w:val="1"/>
      <w:numFmt w:val="bullet"/>
      <w:lvlText w:val="o"/>
      <w:lvlJc w:val="left"/>
      <w:pPr>
        <w:ind w:left="3600" w:hanging="360"/>
      </w:pPr>
      <w:rPr>
        <w:rFonts w:ascii="Courier New" w:hAnsi="Courier New" w:hint="default"/>
      </w:rPr>
    </w:lvl>
    <w:lvl w:ilvl="5" w:tplc="82521F54">
      <w:start w:val="1"/>
      <w:numFmt w:val="bullet"/>
      <w:lvlText w:val=""/>
      <w:lvlJc w:val="left"/>
      <w:pPr>
        <w:ind w:left="4320" w:hanging="360"/>
      </w:pPr>
      <w:rPr>
        <w:rFonts w:ascii="Wingdings" w:hAnsi="Wingdings" w:hint="default"/>
      </w:rPr>
    </w:lvl>
    <w:lvl w:ilvl="6" w:tplc="1AD00682">
      <w:start w:val="1"/>
      <w:numFmt w:val="bullet"/>
      <w:lvlText w:val=""/>
      <w:lvlJc w:val="left"/>
      <w:pPr>
        <w:ind w:left="5040" w:hanging="360"/>
      </w:pPr>
      <w:rPr>
        <w:rFonts w:ascii="Symbol" w:hAnsi="Symbol" w:hint="default"/>
      </w:rPr>
    </w:lvl>
    <w:lvl w:ilvl="7" w:tplc="21E6E154">
      <w:start w:val="1"/>
      <w:numFmt w:val="bullet"/>
      <w:lvlText w:val="o"/>
      <w:lvlJc w:val="left"/>
      <w:pPr>
        <w:ind w:left="5760" w:hanging="360"/>
      </w:pPr>
      <w:rPr>
        <w:rFonts w:ascii="Courier New" w:hAnsi="Courier New" w:hint="default"/>
      </w:rPr>
    </w:lvl>
    <w:lvl w:ilvl="8" w:tplc="0A42DC30">
      <w:start w:val="1"/>
      <w:numFmt w:val="bullet"/>
      <w:lvlText w:val=""/>
      <w:lvlJc w:val="left"/>
      <w:pPr>
        <w:ind w:left="6480" w:hanging="360"/>
      </w:pPr>
      <w:rPr>
        <w:rFonts w:ascii="Wingdings" w:hAnsi="Wingdings" w:hint="default"/>
      </w:rPr>
    </w:lvl>
  </w:abstractNum>
  <w:abstractNum w:abstractNumId="8" w15:restartNumberingAfterBreak="0">
    <w:nsid w:val="2E133C55"/>
    <w:multiLevelType w:val="hybridMultilevel"/>
    <w:tmpl w:val="72F81D70"/>
    <w:lvl w:ilvl="0" w:tplc="B3C05A98">
      <w:start w:val="1"/>
      <w:numFmt w:val="decimal"/>
      <w:lvlText w:val="%1."/>
      <w:lvlJc w:val="left"/>
      <w:pPr>
        <w:ind w:left="1020" w:hanging="360"/>
      </w:pPr>
    </w:lvl>
    <w:lvl w:ilvl="1" w:tplc="02D05B6E">
      <w:start w:val="1"/>
      <w:numFmt w:val="decimal"/>
      <w:lvlText w:val="%2."/>
      <w:lvlJc w:val="left"/>
      <w:pPr>
        <w:ind w:left="1020" w:hanging="360"/>
      </w:pPr>
    </w:lvl>
    <w:lvl w:ilvl="2" w:tplc="019E472A">
      <w:start w:val="1"/>
      <w:numFmt w:val="decimal"/>
      <w:lvlText w:val="%3."/>
      <w:lvlJc w:val="left"/>
      <w:pPr>
        <w:ind w:left="1020" w:hanging="360"/>
      </w:pPr>
    </w:lvl>
    <w:lvl w:ilvl="3" w:tplc="84A2A1B2">
      <w:start w:val="1"/>
      <w:numFmt w:val="decimal"/>
      <w:lvlText w:val="%4."/>
      <w:lvlJc w:val="left"/>
      <w:pPr>
        <w:ind w:left="1020" w:hanging="360"/>
      </w:pPr>
    </w:lvl>
    <w:lvl w:ilvl="4" w:tplc="B8540556">
      <w:start w:val="1"/>
      <w:numFmt w:val="decimal"/>
      <w:lvlText w:val="%5."/>
      <w:lvlJc w:val="left"/>
      <w:pPr>
        <w:ind w:left="1020" w:hanging="360"/>
      </w:pPr>
    </w:lvl>
    <w:lvl w:ilvl="5" w:tplc="280A530E">
      <w:start w:val="1"/>
      <w:numFmt w:val="decimal"/>
      <w:lvlText w:val="%6."/>
      <w:lvlJc w:val="left"/>
      <w:pPr>
        <w:ind w:left="1020" w:hanging="360"/>
      </w:pPr>
    </w:lvl>
    <w:lvl w:ilvl="6" w:tplc="BEEC0918">
      <w:start w:val="1"/>
      <w:numFmt w:val="decimal"/>
      <w:lvlText w:val="%7."/>
      <w:lvlJc w:val="left"/>
      <w:pPr>
        <w:ind w:left="1020" w:hanging="360"/>
      </w:pPr>
    </w:lvl>
    <w:lvl w:ilvl="7" w:tplc="37C6FC14">
      <w:start w:val="1"/>
      <w:numFmt w:val="decimal"/>
      <w:lvlText w:val="%8."/>
      <w:lvlJc w:val="left"/>
      <w:pPr>
        <w:ind w:left="1020" w:hanging="360"/>
      </w:pPr>
    </w:lvl>
    <w:lvl w:ilvl="8" w:tplc="0EC4F944">
      <w:start w:val="1"/>
      <w:numFmt w:val="decimal"/>
      <w:lvlText w:val="%9."/>
      <w:lvlJc w:val="left"/>
      <w:pPr>
        <w:ind w:left="1020" w:hanging="360"/>
      </w:pPr>
    </w:lvl>
  </w:abstractNum>
  <w:abstractNum w:abstractNumId="9" w15:restartNumberingAfterBreak="0">
    <w:nsid w:val="2FC84610"/>
    <w:multiLevelType w:val="hybridMultilevel"/>
    <w:tmpl w:val="D936A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5567237"/>
    <w:multiLevelType w:val="hybridMultilevel"/>
    <w:tmpl w:val="F7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6B3A70A"/>
    <w:multiLevelType w:val="hybridMultilevel"/>
    <w:tmpl w:val="C8760BBE"/>
    <w:lvl w:ilvl="0" w:tplc="F0EC1AD8">
      <w:start w:val="1"/>
      <w:numFmt w:val="bullet"/>
      <w:lvlText w:val=""/>
      <w:lvlJc w:val="left"/>
      <w:pPr>
        <w:ind w:left="720" w:hanging="360"/>
      </w:pPr>
      <w:rPr>
        <w:rFonts w:ascii="Symbol" w:hAnsi="Symbol" w:hint="default"/>
      </w:rPr>
    </w:lvl>
    <w:lvl w:ilvl="1" w:tplc="41B04FB0">
      <w:start w:val="1"/>
      <w:numFmt w:val="bullet"/>
      <w:lvlText w:val="o"/>
      <w:lvlJc w:val="left"/>
      <w:pPr>
        <w:ind w:left="1440" w:hanging="360"/>
      </w:pPr>
      <w:rPr>
        <w:rFonts w:ascii="Courier New" w:hAnsi="Courier New" w:hint="default"/>
      </w:rPr>
    </w:lvl>
    <w:lvl w:ilvl="2" w:tplc="64CA3A06">
      <w:start w:val="1"/>
      <w:numFmt w:val="bullet"/>
      <w:lvlText w:val=""/>
      <w:lvlJc w:val="left"/>
      <w:pPr>
        <w:ind w:left="2160" w:hanging="360"/>
      </w:pPr>
      <w:rPr>
        <w:rFonts w:ascii="Wingdings" w:hAnsi="Wingdings" w:hint="default"/>
      </w:rPr>
    </w:lvl>
    <w:lvl w:ilvl="3" w:tplc="3FFC380C">
      <w:start w:val="1"/>
      <w:numFmt w:val="bullet"/>
      <w:lvlText w:val=""/>
      <w:lvlJc w:val="left"/>
      <w:pPr>
        <w:ind w:left="2880" w:hanging="360"/>
      </w:pPr>
      <w:rPr>
        <w:rFonts w:ascii="Symbol" w:hAnsi="Symbol" w:hint="default"/>
      </w:rPr>
    </w:lvl>
    <w:lvl w:ilvl="4" w:tplc="A372B66E">
      <w:start w:val="1"/>
      <w:numFmt w:val="bullet"/>
      <w:lvlText w:val="o"/>
      <w:lvlJc w:val="left"/>
      <w:pPr>
        <w:ind w:left="3600" w:hanging="360"/>
      </w:pPr>
      <w:rPr>
        <w:rFonts w:ascii="Courier New" w:hAnsi="Courier New" w:hint="default"/>
      </w:rPr>
    </w:lvl>
    <w:lvl w:ilvl="5" w:tplc="3F0C1F2C">
      <w:start w:val="1"/>
      <w:numFmt w:val="bullet"/>
      <w:lvlText w:val=""/>
      <w:lvlJc w:val="left"/>
      <w:pPr>
        <w:ind w:left="4320" w:hanging="360"/>
      </w:pPr>
      <w:rPr>
        <w:rFonts w:ascii="Wingdings" w:hAnsi="Wingdings" w:hint="default"/>
      </w:rPr>
    </w:lvl>
    <w:lvl w:ilvl="6" w:tplc="506239B6">
      <w:start w:val="1"/>
      <w:numFmt w:val="bullet"/>
      <w:lvlText w:val=""/>
      <w:lvlJc w:val="left"/>
      <w:pPr>
        <w:ind w:left="5040" w:hanging="360"/>
      </w:pPr>
      <w:rPr>
        <w:rFonts w:ascii="Symbol" w:hAnsi="Symbol" w:hint="default"/>
      </w:rPr>
    </w:lvl>
    <w:lvl w:ilvl="7" w:tplc="700AA1FC">
      <w:start w:val="1"/>
      <w:numFmt w:val="bullet"/>
      <w:lvlText w:val="o"/>
      <w:lvlJc w:val="left"/>
      <w:pPr>
        <w:ind w:left="5760" w:hanging="360"/>
      </w:pPr>
      <w:rPr>
        <w:rFonts w:ascii="Courier New" w:hAnsi="Courier New" w:hint="default"/>
      </w:rPr>
    </w:lvl>
    <w:lvl w:ilvl="8" w:tplc="C598E1A0">
      <w:start w:val="1"/>
      <w:numFmt w:val="bullet"/>
      <w:lvlText w:val=""/>
      <w:lvlJc w:val="left"/>
      <w:pPr>
        <w:ind w:left="6480" w:hanging="360"/>
      </w:pPr>
      <w:rPr>
        <w:rFonts w:ascii="Wingdings" w:hAnsi="Wingdings" w:hint="default"/>
      </w:rPr>
    </w:lvl>
  </w:abstractNum>
  <w:abstractNum w:abstractNumId="12" w15:restartNumberingAfterBreak="0">
    <w:nsid w:val="44DA3F2F"/>
    <w:multiLevelType w:val="hybridMultilevel"/>
    <w:tmpl w:val="A482B8AE"/>
    <w:lvl w:ilvl="0" w:tplc="9BAA3B70">
      <w:start w:val="1"/>
      <w:numFmt w:val="bullet"/>
      <w:lvlText w:val=""/>
      <w:lvlJc w:val="left"/>
      <w:pPr>
        <w:ind w:left="720" w:hanging="360"/>
      </w:pPr>
      <w:rPr>
        <w:rFonts w:ascii="Symbol" w:hAnsi="Symbol" w:hint="default"/>
      </w:rPr>
    </w:lvl>
    <w:lvl w:ilvl="1" w:tplc="85C2CFBA">
      <w:start w:val="1"/>
      <w:numFmt w:val="bullet"/>
      <w:lvlText w:val="o"/>
      <w:lvlJc w:val="left"/>
      <w:pPr>
        <w:ind w:left="1440" w:hanging="360"/>
      </w:pPr>
      <w:rPr>
        <w:rFonts w:ascii="Courier New" w:hAnsi="Courier New" w:hint="default"/>
      </w:rPr>
    </w:lvl>
    <w:lvl w:ilvl="2" w:tplc="C87AA242">
      <w:start w:val="1"/>
      <w:numFmt w:val="bullet"/>
      <w:lvlText w:val=""/>
      <w:lvlJc w:val="left"/>
      <w:pPr>
        <w:ind w:left="2160" w:hanging="360"/>
      </w:pPr>
      <w:rPr>
        <w:rFonts w:ascii="Wingdings" w:hAnsi="Wingdings" w:hint="default"/>
      </w:rPr>
    </w:lvl>
    <w:lvl w:ilvl="3" w:tplc="258A684A">
      <w:start w:val="1"/>
      <w:numFmt w:val="bullet"/>
      <w:lvlText w:val=""/>
      <w:lvlJc w:val="left"/>
      <w:pPr>
        <w:ind w:left="2880" w:hanging="360"/>
      </w:pPr>
      <w:rPr>
        <w:rFonts w:ascii="Symbol" w:hAnsi="Symbol" w:hint="default"/>
      </w:rPr>
    </w:lvl>
    <w:lvl w:ilvl="4" w:tplc="64360B6E">
      <w:start w:val="1"/>
      <w:numFmt w:val="bullet"/>
      <w:lvlText w:val="o"/>
      <w:lvlJc w:val="left"/>
      <w:pPr>
        <w:ind w:left="3600" w:hanging="360"/>
      </w:pPr>
      <w:rPr>
        <w:rFonts w:ascii="Courier New" w:hAnsi="Courier New" w:hint="default"/>
      </w:rPr>
    </w:lvl>
    <w:lvl w:ilvl="5" w:tplc="EDC2EC06">
      <w:start w:val="1"/>
      <w:numFmt w:val="bullet"/>
      <w:lvlText w:val=""/>
      <w:lvlJc w:val="left"/>
      <w:pPr>
        <w:ind w:left="4320" w:hanging="360"/>
      </w:pPr>
      <w:rPr>
        <w:rFonts w:ascii="Wingdings" w:hAnsi="Wingdings" w:hint="default"/>
      </w:rPr>
    </w:lvl>
    <w:lvl w:ilvl="6" w:tplc="676ABF76">
      <w:start w:val="1"/>
      <w:numFmt w:val="bullet"/>
      <w:lvlText w:val=""/>
      <w:lvlJc w:val="left"/>
      <w:pPr>
        <w:ind w:left="5040" w:hanging="360"/>
      </w:pPr>
      <w:rPr>
        <w:rFonts w:ascii="Symbol" w:hAnsi="Symbol" w:hint="default"/>
      </w:rPr>
    </w:lvl>
    <w:lvl w:ilvl="7" w:tplc="BF603B64">
      <w:start w:val="1"/>
      <w:numFmt w:val="bullet"/>
      <w:lvlText w:val="o"/>
      <w:lvlJc w:val="left"/>
      <w:pPr>
        <w:ind w:left="5760" w:hanging="360"/>
      </w:pPr>
      <w:rPr>
        <w:rFonts w:ascii="Courier New" w:hAnsi="Courier New" w:hint="default"/>
      </w:rPr>
    </w:lvl>
    <w:lvl w:ilvl="8" w:tplc="C3DC730E">
      <w:start w:val="1"/>
      <w:numFmt w:val="bullet"/>
      <w:lvlText w:val=""/>
      <w:lvlJc w:val="left"/>
      <w:pPr>
        <w:ind w:left="6480" w:hanging="360"/>
      </w:pPr>
      <w:rPr>
        <w:rFonts w:ascii="Wingdings" w:hAnsi="Wingdings" w:hint="default"/>
      </w:rPr>
    </w:lvl>
  </w:abstractNum>
  <w:abstractNum w:abstractNumId="13" w15:restartNumberingAfterBreak="0">
    <w:nsid w:val="45CC7512"/>
    <w:multiLevelType w:val="hybridMultilevel"/>
    <w:tmpl w:val="FCC82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1445753"/>
    <w:multiLevelType w:val="hybridMultilevel"/>
    <w:tmpl w:val="930E0D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CAA3F54"/>
    <w:multiLevelType w:val="hybridMultilevel"/>
    <w:tmpl w:val="9AF07F00"/>
    <w:lvl w:ilvl="0" w:tplc="B9D6B7C4">
      <w:start w:val="1"/>
      <w:numFmt w:val="decimal"/>
      <w:lvlText w:val="%1."/>
      <w:lvlJc w:val="left"/>
      <w:pPr>
        <w:ind w:left="1020" w:hanging="360"/>
      </w:pPr>
    </w:lvl>
    <w:lvl w:ilvl="1" w:tplc="67A209D6">
      <w:start w:val="1"/>
      <w:numFmt w:val="decimal"/>
      <w:lvlText w:val="%2."/>
      <w:lvlJc w:val="left"/>
      <w:pPr>
        <w:ind w:left="1020" w:hanging="360"/>
      </w:pPr>
    </w:lvl>
    <w:lvl w:ilvl="2" w:tplc="B708326A">
      <w:start w:val="1"/>
      <w:numFmt w:val="decimal"/>
      <w:lvlText w:val="%3."/>
      <w:lvlJc w:val="left"/>
      <w:pPr>
        <w:ind w:left="1020" w:hanging="360"/>
      </w:pPr>
    </w:lvl>
    <w:lvl w:ilvl="3" w:tplc="96F014EA">
      <w:start w:val="1"/>
      <w:numFmt w:val="decimal"/>
      <w:lvlText w:val="%4."/>
      <w:lvlJc w:val="left"/>
      <w:pPr>
        <w:ind w:left="1020" w:hanging="360"/>
      </w:pPr>
    </w:lvl>
    <w:lvl w:ilvl="4" w:tplc="9BDA9274">
      <w:start w:val="1"/>
      <w:numFmt w:val="decimal"/>
      <w:lvlText w:val="%5."/>
      <w:lvlJc w:val="left"/>
      <w:pPr>
        <w:ind w:left="1020" w:hanging="360"/>
      </w:pPr>
    </w:lvl>
    <w:lvl w:ilvl="5" w:tplc="D99CC8C2">
      <w:start w:val="1"/>
      <w:numFmt w:val="decimal"/>
      <w:lvlText w:val="%6."/>
      <w:lvlJc w:val="left"/>
      <w:pPr>
        <w:ind w:left="1020" w:hanging="360"/>
      </w:pPr>
    </w:lvl>
    <w:lvl w:ilvl="6" w:tplc="51CC6588">
      <w:start w:val="1"/>
      <w:numFmt w:val="decimal"/>
      <w:lvlText w:val="%7."/>
      <w:lvlJc w:val="left"/>
      <w:pPr>
        <w:ind w:left="1020" w:hanging="360"/>
      </w:pPr>
    </w:lvl>
    <w:lvl w:ilvl="7" w:tplc="814837C0">
      <w:start w:val="1"/>
      <w:numFmt w:val="decimal"/>
      <w:lvlText w:val="%8."/>
      <w:lvlJc w:val="left"/>
      <w:pPr>
        <w:ind w:left="1020" w:hanging="360"/>
      </w:pPr>
    </w:lvl>
    <w:lvl w:ilvl="8" w:tplc="450AEF06">
      <w:start w:val="1"/>
      <w:numFmt w:val="decimal"/>
      <w:lvlText w:val="%9."/>
      <w:lvlJc w:val="left"/>
      <w:pPr>
        <w:ind w:left="1020" w:hanging="360"/>
      </w:pPr>
    </w:lvl>
  </w:abstractNum>
  <w:abstractNum w:abstractNumId="16" w15:restartNumberingAfterBreak="0">
    <w:nsid w:val="684F1580"/>
    <w:multiLevelType w:val="hybridMultilevel"/>
    <w:tmpl w:val="18B64582"/>
    <w:lvl w:ilvl="0" w:tplc="085893E4">
      <w:start w:val="1"/>
      <w:numFmt w:val="decimal"/>
      <w:lvlText w:val="%1-"/>
      <w:lvlJc w:val="left"/>
      <w:pPr>
        <w:ind w:left="720" w:hanging="360"/>
      </w:pPr>
    </w:lvl>
    <w:lvl w:ilvl="1" w:tplc="05166792">
      <w:start w:val="1"/>
      <w:numFmt w:val="lowerLetter"/>
      <w:lvlText w:val="%2."/>
      <w:lvlJc w:val="left"/>
      <w:pPr>
        <w:ind w:left="1440" w:hanging="360"/>
      </w:pPr>
    </w:lvl>
    <w:lvl w:ilvl="2" w:tplc="C9EE3EDE">
      <w:start w:val="1"/>
      <w:numFmt w:val="lowerRoman"/>
      <w:lvlText w:val="%3."/>
      <w:lvlJc w:val="right"/>
      <w:pPr>
        <w:ind w:left="2160" w:hanging="180"/>
      </w:pPr>
    </w:lvl>
    <w:lvl w:ilvl="3" w:tplc="58CC18CC">
      <w:start w:val="1"/>
      <w:numFmt w:val="decimal"/>
      <w:lvlText w:val="%4."/>
      <w:lvlJc w:val="left"/>
      <w:pPr>
        <w:ind w:left="2880" w:hanging="360"/>
      </w:pPr>
    </w:lvl>
    <w:lvl w:ilvl="4" w:tplc="8BEECBFA">
      <w:start w:val="1"/>
      <w:numFmt w:val="lowerLetter"/>
      <w:lvlText w:val="%5."/>
      <w:lvlJc w:val="left"/>
      <w:pPr>
        <w:ind w:left="3600" w:hanging="360"/>
      </w:pPr>
    </w:lvl>
    <w:lvl w:ilvl="5" w:tplc="D9B221BE">
      <w:start w:val="1"/>
      <w:numFmt w:val="lowerRoman"/>
      <w:lvlText w:val="%6."/>
      <w:lvlJc w:val="right"/>
      <w:pPr>
        <w:ind w:left="4320" w:hanging="180"/>
      </w:pPr>
    </w:lvl>
    <w:lvl w:ilvl="6" w:tplc="C0BA5416">
      <w:start w:val="1"/>
      <w:numFmt w:val="decimal"/>
      <w:lvlText w:val="%7."/>
      <w:lvlJc w:val="left"/>
      <w:pPr>
        <w:ind w:left="5040" w:hanging="360"/>
      </w:pPr>
    </w:lvl>
    <w:lvl w:ilvl="7" w:tplc="582284C0">
      <w:start w:val="1"/>
      <w:numFmt w:val="lowerLetter"/>
      <w:lvlText w:val="%8."/>
      <w:lvlJc w:val="left"/>
      <w:pPr>
        <w:ind w:left="5760" w:hanging="360"/>
      </w:pPr>
    </w:lvl>
    <w:lvl w:ilvl="8" w:tplc="3F38BFDC">
      <w:start w:val="1"/>
      <w:numFmt w:val="lowerRoman"/>
      <w:lvlText w:val="%9."/>
      <w:lvlJc w:val="right"/>
      <w:pPr>
        <w:ind w:left="6480" w:hanging="180"/>
      </w:pPr>
    </w:lvl>
  </w:abstractNum>
  <w:abstractNum w:abstractNumId="17" w15:restartNumberingAfterBreak="0">
    <w:nsid w:val="7697431C"/>
    <w:multiLevelType w:val="hybridMultilevel"/>
    <w:tmpl w:val="B698651E"/>
    <w:lvl w:ilvl="0" w:tplc="977602FA">
      <w:start w:val="1"/>
      <w:numFmt w:val="decimal"/>
      <w:lvlText w:val="%1."/>
      <w:lvlJc w:val="left"/>
      <w:pPr>
        <w:ind w:left="1020" w:hanging="360"/>
      </w:pPr>
    </w:lvl>
    <w:lvl w:ilvl="1" w:tplc="6CFEA7EC">
      <w:start w:val="1"/>
      <w:numFmt w:val="decimal"/>
      <w:lvlText w:val="%2."/>
      <w:lvlJc w:val="left"/>
      <w:pPr>
        <w:ind w:left="1020" w:hanging="360"/>
      </w:pPr>
    </w:lvl>
    <w:lvl w:ilvl="2" w:tplc="723850A4">
      <w:start w:val="1"/>
      <w:numFmt w:val="decimal"/>
      <w:lvlText w:val="%3."/>
      <w:lvlJc w:val="left"/>
      <w:pPr>
        <w:ind w:left="1020" w:hanging="360"/>
      </w:pPr>
    </w:lvl>
    <w:lvl w:ilvl="3" w:tplc="0BBEDC7A">
      <w:start w:val="1"/>
      <w:numFmt w:val="decimal"/>
      <w:lvlText w:val="%4."/>
      <w:lvlJc w:val="left"/>
      <w:pPr>
        <w:ind w:left="1020" w:hanging="360"/>
      </w:pPr>
    </w:lvl>
    <w:lvl w:ilvl="4" w:tplc="F1FABEE2">
      <w:start w:val="1"/>
      <w:numFmt w:val="decimal"/>
      <w:lvlText w:val="%5."/>
      <w:lvlJc w:val="left"/>
      <w:pPr>
        <w:ind w:left="1020" w:hanging="360"/>
      </w:pPr>
    </w:lvl>
    <w:lvl w:ilvl="5" w:tplc="671E79A6">
      <w:start w:val="1"/>
      <w:numFmt w:val="decimal"/>
      <w:lvlText w:val="%6."/>
      <w:lvlJc w:val="left"/>
      <w:pPr>
        <w:ind w:left="1020" w:hanging="360"/>
      </w:pPr>
    </w:lvl>
    <w:lvl w:ilvl="6" w:tplc="3EFA6EDE">
      <w:start w:val="1"/>
      <w:numFmt w:val="decimal"/>
      <w:lvlText w:val="%7."/>
      <w:lvlJc w:val="left"/>
      <w:pPr>
        <w:ind w:left="1020" w:hanging="360"/>
      </w:pPr>
    </w:lvl>
    <w:lvl w:ilvl="7" w:tplc="CE48154C">
      <w:start w:val="1"/>
      <w:numFmt w:val="decimal"/>
      <w:lvlText w:val="%8."/>
      <w:lvlJc w:val="left"/>
      <w:pPr>
        <w:ind w:left="1020" w:hanging="360"/>
      </w:pPr>
    </w:lvl>
    <w:lvl w:ilvl="8" w:tplc="671C2E04">
      <w:start w:val="1"/>
      <w:numFmt w:val="decimal"/>
      <w:lvlText w:val="%9."/>
      <w:lvlJc w:val="left"/>
      <w:pPr>
        <w:ind w:left="1020" w:hanging="360"/>
      </w:pPr>
    </w:lvl>
  </w:abstractNum>
  <w:abstractNum w:abstractNumId="18" w15:restartNumberingAfterBreak="0">
    <w:nsid w:val="7C03266C"/>
    <w:multiLevelType w:val="hybridMultilevel"/>
    <w:tmpl w:val="908A7DB4"/>
    <w:lvl w:ilvl="0" w:tplc="BFC21C50">
      <w:start w:val="1"/>
      <w:numFmt w:val="bullet"/>
      <w:lvlText w:val=""/>
      <w:lvlJc w:val="left"/>
      <w:pPr>
        <w:ind w:left="720" w:hanging="360"/>
      </w:pPr>
      <w:rPr>
        <w:rFonts w:ascii="Symbol" w:hAnsi="Symbol" w:hint="default"/>
      </w:rPr>
    </w:lvl>
    <w:lvl w:ilvl="1" w:tplc="A052DC14">
      <w:start w:val="1"/>
      <w:numFmt w:val="bullet"/>
      <w:lvlText w:val="o"/>
      <w:lvlJc w:val="left"/>
      <w:pPr>
        <w:ind w:left="1440" w:hanging="360"/>
      </w:pPr>
      <w:rPr>
        <w:rFonts w:ascii="Courier New" w:hAnsi="Courier New" w:hint="default"/>
      </w:rPr>
    </w:lvl>
    <w:lvl w:ilvl="2" w:tplc="ADFAC990">
      <w:start w:val="1"/>
      <w:numFmt w:val="bullet"/>
      <w:lvlText w:val=""/>
      <w:lvlJc w:val="left"/>
      <w:pPr>
        <w:ind w:left="2160" w:hanging="360"/>
      </w:pPr>
      <w:rPr>
        <w:rFonts w:ascii="Wingdings" w:hAnsi="Wingdings" w:hint="default"/>
      </w:rPr>
    </w:lvl>
    <w:lvl w:ilvl="3" w:tplc="55DA1C24">
      <w:start w:val="1"/>
      <w:numFmt w:val="bullet"/>
      <w:lvlText w:val=""/>
      <w:lvlJc w:val="left"/>
      <w:pPr>
        <w:ind w:left="2880" w:hanging="360"/>
      </w:pPr>
      <w:rPr>
        <w:rFonts w:ascii="Symbol" w:hAnsi="Symbol" w:hint="default"/>
      </w:rPr>
    </w:lvl>
    <w:lvl w:ilvl="4" w:tplc="F08CE624">
      <w:start w:val="1"/>
      <w:numFmt w:val="bullet"/>
      <w:lvlText w:val="o"/>
      <w:lvlJc w:val="left"/>
      <w:pPr>
        <w:ind w:left="3600" w:hanging="360"/>
      </w:pPr>
      <w:rPr>
        <w:rFonts w:ascii="Courier New" w:hAnsi="Courier New" w:hint="default"/>
      </w:rPr>
    </w:lvl>
    <w:lvl w:ilvl="5" w:tplc="7D4EBD06">
      <w:start w:val="1"/>
      <w:numFmt w:val="bullet"/>
      <w:lvlText w:val=""/>
      <w:lvlJc w:val="left"/>
      <w:pPr>
        <w:ind w:left="4320" w:hanging="360"/>
      </w:pPr>
      <w:rPr>
        <w:rFonts w:ascii="Wingdings" w:hAnsi="Wingdings" w:hint="default"/>
      </w:rPr>
    </w:lvl>
    <w:lvl w:ilvl="6" w:tplc="08D2ADF4">
      <w:start w:val="1"/>
      <w:numFmt w:val="bullet"/>
      <w:lvlText w:val=""/>
      <w:lvlJc w:val="left"/>
      <w:pPr>
        <w:ind w:left="5040" w:hanging="360"/>
      </w:pPr>
      <w:rPr>
        <w:rFonts w:ascii="Symbol" w:hAnsi="Symbol" w:hint="default"/>
      </w:rPr>
    </w:lvl>
    <w:lvl w:ilvl="7" w:tplc="FDF66736">
      <w:start w:val="1"/>
      <w:numFmt w:val="bullet"/>
      <w:lvlText w:val="o"/>
      <w:lvlJc w:val="left"/>
      <w:pPr>
        <w:ind w:left="5760" w:hanging="360"/>
      </w:pPr>
      <w:rPr>
        <w:rFonts w:ascii="Courier New" w:hAnsi="Courier New" w:hint="default"/>
      </w:rPr>
    </w:lvl>
    <w:lvl w:ilvl="8" w:tplc="F8A0A090">
      <w:start w:val="1"/>
      <w:numFmt w:val="bullet"/>
      <w:lvlText w:val=""/>
      <w:lvlJc w:val="left"/>
      <w:pPr>
        <w:ind w:left="6480" w:hanging="360"/>
      </w:pPr>
      <w:rPr>
        <w:rFonts w:ascii="Wingdings" w:hAnsi="Wingdings" w:hint="default"/>
      </w:rPr>
    </w:lvl>
  </w:abstractNum>
  <w:abstractNum w:abstractNumId="19" w15:restartNumberingAfterBreak="0">
    <w:nsid w:val="7DE5FA27"/>
    <w:multiLevelType w:val="hybridMultilevel"/>
    <w:tmpl w:val="02523C44"/>
    <w:lvl w:ilvl="0" w:tplc="764262EE">
      <w:start w:val="1"/>
      <w:numFmt w:val="bullet"/>
      <w:lvlText w:val=""/>
      <w:lvlJc w:val="left"/>
      <w:pPr>
        <w:ind w:left="720" w:hanging="360"/>
      </w:pPr>
      <w:rPr>
        <w:rFonts w:ascii="Symbol" w:hAnsi="Symbol" w:hint="default"/>
      </w:rPr>
    </w:lvl>
    <w:lvl w:ilvl="1" w:tplc="AB50A9AE">
      <w:start w:val="1"/>
      <w:numFmt w:val="bullet"/>
      <w:lvlText w:val="o"/>
      <w:lvlJc w:val="left"/>
      <w:pPr>
        <w:ind w:left="1440" w:hanging="360"/>
      </w:pPr>
      <w:rPr>
        <w:rFonts w:ascii="Courier New" w:hAnsi="Courier New" w:hint="default"/>
      </w:rPr>
    </w:lvl>
    <w:lvl w:ilvl="2" w:tplc="12AE0D46">
      <w:start w:val="1"/>
      <w:numFmt w:val="bullet"/>
      <w:lvlText w:val=""/>
      <w:lvlJc w:val="left"/>
      <w:pPr>
        <w:ind w:left="2160" w:hanging="360"/>
      </w:pPr>
      <w:rPr>
        <w:rFonts w:ascii="Wingdings" w:hAnsi="Wingdings" w:hint="default"/>
      </w:rPr>
    </w:lvl>
    <w:lvl w:ilvl="3" w:tplc="721058B2">
      <w:start w:val="1"/>
      <w:numFmt w:val="bullet"/>
      <w:lvlText w:val=""/>
      <w:lvlJc w:val="left"/>
      <w:pPr>
        <w:ind w:left="2880" w:hanging="360"/>
      </w:pPr>
      <w:rPr>
        <w:rFonts w:ascii="Symbol" w:hAnsi="Symbol" w:hint="default"/>
      </w:rPr>
    </w:lvl>
    <w:lvl w:ilvl="4" w:tplc="30C2E162">
      <w:start w:val="1"/>
      <w:numFmt w:val="bullet"/>
      <w:lvlText w:val="o"/>
      <w:lvlJc w:val="left"/>
      <w:pPr>
        <w:ind w:left="3600" w:hanging="360"/>
      </w:pPr>
      <w:rPr>
        <w:rFonts w:ascii="Courier New" w:hAnsi="Courier New" w:hint="default"/>
      </w:rPr>
    </w:lvl>
    <w:lvl w:ilvl="5" w:tplc="2BFA910E">
      <w:start w:val="1"/>
      <w:numFmt w:val="bullet"/>
      <w:lvlText w:val=""/>
      <w:lvlJc w:val="left"/>
      <w:pPr>
        <w:ind w:left="4320" w:hanging="360"/>
      </w:pPr>
      <w:rPr>
        <w:rFonts w:ascii="Wingdings" w:hAnsi="Wingdings" w:hint="default"/>
      </w:rPr>
    </w:lvl>
    <w:lvl w:ilvl="6" w:tplc="6CE03CA6">
      <w:start w:val="1"/>
      <w:numFmt w:val="bullet"/>
      <w:lvlText w:val=""/>
      <w:lvlJc w:val="left"/>
      <w:pPr>
        <w:ind w:left="5040" w:hanging="360"/>
      </w:pPr>
      <w:rPr>
        <w:rFonts w:ascii="Symbol" w:hAnsi="Symbol" w:hint="default"/>
      </w:rPr>
    </w:lvl>
    <w:lvl w:ilvl="7" w:tplc="3E1AC552">
      <w:start w:val="1"/>
      <w:numFmt w:val="bullet"/>
      <w:lvlText w:val="o"/>
      <w:lvlJc w:val="left"/>
      <w:pPr>
        <w:ind w:left="5760" w:hanging="360"/>
      </w:pPr>
      <w:rPr>
        <w:rFonts w:ascii="Courier New" w:hAnsi="Courier New" w:hint="default"/>
      </w:rPr>
    </w:lvl>
    <w:lvl w:ilvl="8" w:tplc="6B1C80DE">
      <w:start w:val="1"/>
      <w:numFmt w:val="bullet"/>
      <w:lvlText w:val=""/>
      <w:lvlJc w:val="left"/>
      <w:pPr>
        <w:ind w:left="6480" w:hanging="360"/>
      </w:pPr>
      <w:rPr>
        <w:rFonts w:ascii="Wingdings" w:hAnsi="Wingdings" w:hint="default"/>
      </w:rPr>
    </w:lvl>
  </w:abstractNum>
  <w:num w:numId="1" w16cid:durableId="989677424">
    <w:abstractNumId w:val="7"/>
  </w:num>
  <w:num w:numId="2" w16cid:durableId="932131629">
    <w:abstractNumId w:val="16"/>
  </w:num>
  <w:num w:numId="3" w16cid:durableId="1067340580">
    <w:abstractNumId w:val="2"/>
  </w:num>
  <w:num w:numId="4" w16cid:durableId="1289898368">
    <w:abstractNumId w:val="18"/>
  </w:num>
  <w:num w:numId="5" w16cid:durableId="1713267854">
    <w:abstractNumId w:val="5"/>
  </w:num>
  <w:num w:numId="6" w16cid:durableId="486289768">
    <w:abstractNumId w:val="19"/>
  </w:num>
  <w:num w:numId="7" w16cid:durableId="1019048232">
    <w:abstractNumId w:val="11"/>
  </w:num>
  <w:num w:numId="8" w16cid:durableId="475226569">
    <w:abstractNumId w:val="12"/>
  </w:num>
  <w:num w:numId="9" w16cid:durableId="1196889877">
    <w:abstractNumId w:val="10"/>
  </w:num>
  <w:num w:numId="10" w16cid:durableId="697241331">
    <w:abstractNumId w:val="13"/>
  </w:num>
  <w:num w:numId="11" w16cid:durableId="468132056">
    <w:abstractNumId w:val="15"/>
  </w:num>
  <w:num w:numId="12" w16cid:durableId="1435780329">
    <w:abstractNumId w:val="17"/>
  </w:num>
  <w:num w:numId="13" w16cid:durableId="1727994354">
    <w:abstractNumId w:val="3"/>
  </w:num>
  <w:num w:numId="14" w16cid:durableId="531961678">
    <w:abstractNumId w:val="8"/>
  </w:num>
  <w:num w:numId="15" w16cid:durableId="1277180079">
    <w:abstractNumId w:val="0"/>
  </w:num>
  <w:num w:numId="16" w16cid:durableId="1713310260">
    <w:abstractNumId w:val="4"/>
  </w:num>
  <w:num w:numId="17" w16cid:durableId="202447151">
    <w:abstractNumId w:val="14"/>
  </w:num>
  <w:num w:numId="18" w16cid:durableId="2098015117">
    <w:abstractNumId w:val="1"/>
  </w:num>
  <w:num w:numId="19" w16cid:durableId="1374766086">
    <w:abstractNumId w:val="6"/>
  </w:num>
  <w:num w:numId="20" w16cid:durableId="7335052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1"/>
  <w:hideSpellingErrors/>
  <w:hideGrammaticalError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D3CE4F7"/>
    <w:rsid w:val="00005CA5"/>
    <w:rsid w:val="0000654A"/>
    <w:rsid w:val="00007497"/>
    <w:rsid w:val="00024809"/>
    <w:rsid w:val="000255BA"/>
    <w:rsid w:val="00026F13"/>
    <w:rsid w:val="0003017B"/>
    <w:rsid w:val="000306BE"/>
    <w:rsid w:val="0004136D"/>
    <w:rsid w:val="0004656C"/>
    <w:rsid w:val="00053981"/>
    <w:rsid w:val="0006094F"/>
    <w:rsid w:val="00061035"/>
    <w:rsid w:val="00064C9B"/>
    <w:rsid w:val="0008239D"/>
    <w:rsid w:val="0008754F"/>
    <w:rsid w:val="000979D2"/>
    <w:rsid w:val="000A1442"/>
    <w:rsid w:val="000A17F7"/>
    <w:rsid w:val="000A5759"/>
    <w:rsid w:val="000B547F"/>
    <w:rsid w:val="000D169E"/>
    <w:rsid w:val="000DFAD8"/>
    <w:rsid w:val="000F1F6D"/>
    <w:rsid w:val="000F256F"/>
    <w:rsid w:val="001168E1"/>
    <w:rsid w:val="001264E1"/>
    <w:rsid w:val="0013534F"/>
    <w:rsid w:val="001631D5"/>
    <w:rsid w:val="001637C3"/>
    <w:rsid w:val="001703B6"/>
    <w:rsid w:val="00170B8D"/>
    <w:rsid w:val="00174176"/>
    <w:rsid w:val="00175373"/>
    <w:rsid w:val="001A37C5"/>
    <w:rsid w:val="001A3DE9"/>
    <w:rsid w:val="001C5293"/>
    <w:rsid w:val="001D10CF"/>
    <w:rsid w:val="001E5E4D"/>
    <w:rsid w:val="002013B3"/>
    <w:rsid w:val="002056DF"/>
    <w:rsid w:val="002072C9"/>
    <w:rsid w:val="002073D9"/>
    <w:rsid w:val="00217C90"/>
    <w:rsid w:val="00230B66"/>
    <w:rsid w:val="00247C7D"/>
    <w:rsid w:val="00252920"/>
    <w:rsid w:val="002A709E"/>
    <w:rsid w:val="002C1063"/>
    <w:rsid w:val="002C2637"/>
    <w:rsid w:val="002D3A11"/>
    <w:rsid w:val="002F26E4"/>
    <w:rsid w:val="0031528C"/>
    <w:rsid w:val="003334F5"/>
    <w:rsid w:val="00335659"/>
    <w:rsid w:val="00335EA3"/>
    <w:rsid w:val="003438BD"/>
    <w:rsid w:val="00374531"/>
    <w:rsid w:val="00386DB2"/>
    <w:rsid w:val="003A6444"/>
    <w:rsid w:val="003B6D9D"/>
    <w:rsid w:val="003D2B3F"/>
    <w:rsid w:val="004047D8"/>
    <w:rsid w:val="00410246"/>
    <w:rsid w:val="004156BB"/>
    <w:rsid w:val="00443FA1"/>
    <w:rsid w:val="00446637"/>
    <w:rsid w:val="00460EB6"/>
    <w:rsid w:val="00465025"/>
    <w:rsid w:val="004664E4"/>
    <w:rsid w:val="00466B79"/>
    <w:rsid w:val="00477E8B"/>
    <w:rsid w:val="00494BB6"/>
    <w:rsid w:val="004B127E"/>
    <w:rsid w:val="004B6C25"/>
    <w:rsid w:val="004C43FC"/>
    <w:rsid w:val="004D0045"/>
    <w:rsid w:val="004D0EB0"/>
    <w:rsid w:val="004E48A7"/>
    <w:rsid w:val="00506C27"/>
    <w:rsid w:val="005609F9"/>
    <w:rsid w:val="0056205D"/>
    <w:rsid w:val="0057202A"/>
    <w:rsid w:val="00577D00"/>
    <w:rsid w:val="005857AC"/>
    <w:rsid w:val="00586F49"/>
    <w:rsid w:val="00594D41"/>
    <w:rsid w:val="00596A7B"/>
    <w:rsid w:val="005B254D"/>
    <w:rsid w:val="005B4C46"/>
    <w:rsid w:val="005B7AE5"/>
    <w:rsid w:val="005B7C4F"/>
    <w:rsid w:val="005C0B2B"/>
    <w:rsid w:val="005C279E"/>
    <w:rsid w:val="005D6953"/>
    <w:rsid w:val="005F1030"/>
    <w:rsid w:val="005F68D0"/>
    <w:rsid w:val="00606A1B"/>
    <w:rsid w:val="00606C2E"/>
    <w:rsid w:val="0060757C"/>
    <w:rsid w:val="00618C78"/>
    <w:rsid w:val="00637064"/>
    <w:rsid w:val="00657CB5"/>
    <w:rsid w:val="00667B20"/>
    <w:rsid w:val="0067498D"/>
    <w:rsid w:val="00683315"/>
    <w:rsid w:val="00686936"/>
    <w:rsid w:val="00693EE1"/>
    <w:rsid w:val="006A058F"/>
    <w:rsid w:val="006C6327"/>
    <w:rsid w:val="006D58F9"/>
    <w:rsid w:val="006D614D"/>
    <w:rsid w:val="00700A5B"/>
    <w:rsid w:val="0070160D"/>
    <w:rsid w:val="00704779"/>
    <w:rsid w:val="00714D35"/>
    <w:rsid w:val="00721727"/>
    <w:rsid w:val="007225C6"/>
    <w:rsid w:val="0073632F"/>
    <w:rsid w:val="00736C09"/>
    <w:rsid w:val="00754631"/>
    <w:rsid w:val="00783AD9"/>
    <w:rsid w:val="00787810"/>
    <w:rsid w:val="00797ACA"/>
    <w:rsid w:val="007A4202"/>
    <w:rsid w:val="007A4E79"/>
    <w:rsid w:val="007D585E"/>
    <w:rsid w:val="007F160E"/>
    <w:rsid w:val="00810A4F"/>
    <w:rsid w:val="00822ACE"/>
    <w:rsid w:val="00830438"/>
    <w:rsid w:val="00842F0B"/>
    <w:rsid w:val="00843ECE"/>
    <w:rsid w:val="008459C2"/>
    <w:rsid w:val="00846292"/>
    <w:rsid w:val="0085633D"/>
    <w:rsid w:val="008736F9"/>
    <w:rsid w:val="0087527B"/>
    <w:rsid w:val="008759BD"/>
    <w:rsid w:val="00876C3F"/>
    <w:rsid w:val="00884AC8"/>
    <w:rsid w:val="0088763C"/>
    <w:rsid w:val="00890C8D"/>
    <w:rsid w:val="008B6EB5"/>
    <w:rsid w:val="008C215A"/>
    <w:rsid w:val="008D5817"/>
    <w:rsid w:val="008F362A"/>
    <w:rsid w:val="00903C69"/>
    <w:rsid w:val="00906312"/>
    <w:rsid w:val="00911811"/>
    <w:rsid w:val="00917415"/>
    <w:rsid w:val="00931343"/>
    <w:rsid w:val="00933C17"/>
    <w:rsid w:val="009476AF"/>
    <w:rsid w:val="00963806"/>
    <w:rsid w:val="00973967"/>
    <w:rsid w:val="00985F86"/>
    <w:rsid w:val="00986219"/>
    <w:rsid w:val="00986D15"/>
    <w:rsid w:val="009A7464"/>
    <w:rsid w:val="009B70C6"/>
    <w:rsid w:val="009B756B"/>
    <w:rsid w:val="009C3482"/>
    <w:rsid w:val="009C5FF4"/>
    <w:rsid w:val="009D4A5D"/>
    <w:rsid w:val="009D56FA"/>
    <w:rsid w:val="00A075F5"/>
    <w:rsid w:val="00A14380"/>
    <w:rsid w:val="00A37730"/>
    <w:rsid w:val="00A37DEC"/>
    <w:rsid w:val="00A40289"/>
    <w:rsid w:val="00A63A87"/>
    <w:rsid w:val="00A64CE3"/>
    <w:rsid w:val="00A66C45"/>
    <w:rsid w:val="00A70929"/>
    <w:rsid w:val="00A77900"/>
    <w:rsid w:val="00A822B1"/>
    <w:rsid w:val="00A87626"/>
    <w:rsid w:val="00A93DDF"/>
    <w:rsid w:val="00A953AA"/>
    <w:rsid w:val="00A96449"/>
    <w:rsid w:val="00AB37EA"/>
    <w:rsid w:val="00AB6BAA"/>
    <w:rsid w:val="00AC3435"/>
    <w:rsid w:val="00AC4E93"/>
    <w:rsid w:val="00AD3956"/>
    <w:rsid w:val="00AD7786"/>
    <w:rsid w:val="00AE31A3"/>
    <w:rsid w:val="00AE4C93"/>
    <w:rsid w:val="00B00A0F"/>
    <w:rsid w:val="00B02CC5"/>
    <w:rsid w:val="00B07925"/>
    <w:rsid w:val="00B153FC"/>
    <w:rsid w:val="00B23EDB"/>
    <w:rsid w:val="00B37028"/>
    <w:rsid w:val="00B401F9"/>
    <w:rsid w:val="00B5070C"/>
    <w:rsid w:val="00B55100"/>
    <w:rsid w:val="00B563CB"/>
    <w:rsid w:val="00B56729"/>
    <w:rsid w:val="00B62CEE"/>
    <w:rsid w:val="00B9021F"/>
    <w:rsid w:val="00B94FFC"/>
    <w:rsid w:val="00BA12F0"/>
    <w:rsid w:val="00BA6DCC"/>
    <w:rsid w:val="00BB1A1F"/>
    <w:rsid w:val="00BE38F4"/>
    <w:rsid w:val="00C00BAE"/>
    <w:rsid w:val="00C201F6"/>
    <w:rsid w:val="00C24B67"/>
    <w:rsid w:val="00C32CCD"/>
    <w:rsid w:val="00C41508"/>
    <w:rsid w:val="00C461A1"/>
    <w:rsid w:val="00C46B88"/>
    <w:rsid w:val="00C6203F"/>
    <w:rsid w:val="00C66509"/>
    <w:rsid w:val="00C743DE"/>
    <w:rsid w:val="00C7745D"/>
    <w:rsid w:val="00C8094A"/>
    <w:rsid w:val="00C82C48"/>
    <w:rsid w:val="00C862B5"/>
    <w:rsid w:val="00C902C3"/>
    <w:rsid w:val="00CB4160"/>
    <w:rsid w:val="00CB5284"/>
    <w:rsid w:val="00CB56A1"/>
    <w:rsid w:val="00CC483A"/>
    <w:rsid w:val="00CF27AE"/>
    <w:rsid w:val="00D005C7"/>
    <w:rsid w:val="00D03919"/>
    <w:rsid w:val="00D16CB0"/>
    <w:rsid w:val="00D34A9D"/>
    <w:rsid w:val="00D44EB2"/>
    <w:rsid w:val="00D47CCB"/>
    <w:rsid w:val="00D538EC"/>
    <w:rsid w:val="00D557FC"/>
    <w:rsid w:val="00D65185"/>
    <w:rsid w:val="00D7104C"/>
    <w:rsid w:val="00D76D1B"/>
    <w:rsid w:val="00D9302E"/>
    <w:rsid w:val="00DA3046"/>
    <w:rsid w:val="00DA6B9F"/>
    <w:rsid w:val="00DA8672"/>
    <w:rsid w:val="00DB5C5E"/>
    <w:rsid w:val="00DCE342"/>
    <w:rsid w:val="00DD0AAF"/>
    <w:rsid w:val="00DE76EC"/>
    <w:rsid w:val="00DF0205"/>
    <w:rsid w:val="00DF1533"/>
    <w:rsid w:val="00DF4ACD"/>
    <w:rsid w:val="00DF6E53"/>
    <w:rsid w:val="00E0F964"/>
    <w:rsid w:val="00E13E56"/>
    <w:rsid w:val="00E26C51"/>
    <w:rsid w:val="00E36FA5"/>
    <w:rsid w:val="00E52A4D"/>
    <w:rsid w:val="00E55CFD"/>
    <w:rsid w:val="00E64937"/>
    <w:rsid w:val="00E71750"/>
    <w:rsid w:val="00E7622D"/>
    <w:rsid w:val="00E94560"/>
    <w:rsid w:val="00EB0C7F"/>
    <w:rsid w:val="00EB5D0E"/>
    <w:rsid w:val="00EC5E1D"/>
    <w:rsid w:val="00EC62BA"/>
    <w:rsid w:val="00EC6833"/>
    <w:rsid w:val="00ED04E5"/>
    <w:rsid w:val="00EF63D2"/>
    <w:rsid w:val="00F05DF9"/>
    <w:rsid w:val="00F277F8"/>
    <w:rsid w:val="00F341B1"/>
    <w:rsid w:val="00F454B6"/>
    <w:rsid w:val="00F57915"/>
    <w:rsid w:val="00FA134B"/>
    <w:rsid w:val="00FA1A10"/>
    <w:rsid w:val="00FB0A88"/>
    <w:rsid w:val="00FC5257"/>
    <w:rsid w:val="00FD50AF"/>
    <w:rsid w:val="00FE4877"/>
    <w:rsid w:val="00FE7FAB"/>
    <w:rsid w:val="00FFC3EC"/>
    <w:rsid w:val="018CE974"/>
    <w:rsid w:val="024E53FD"/>
    <w:rsid w:val="024E8878"/>
    <w:rsid w:val="029A0B56"/>
    <w:rsid w:val="02C82111"/>
    <w:rsid w:val="03002F43"/>
    <w:rsid w:val="03405A9D"/>
    <w:rsid w:val="03A80935"/>
    <w:rsid w:val="03C82D15"/>
    <w:rsid w:val="03D40A50"/>
    <w:rsid w:val="03D6E666"/>
    <w:rsid w:val="040D8CD3"/>
    <w:rsid w:val="0426DAB5"/>
    <w:rsid w:val="0433C64F"/>
    <w:rsid w:val="045B8470"/>
    <w:rsid w:val="047F7455"/>
    <w:rsid w:val="04CD60FB"/>
    <w:rsid w:val="04F36BFB"/>
    <w:rsid w:val="0512610C"/>
    <w:rsid w:val="053AF316"/>
    <w:rsid w:val="05C43E3F"/>
    <w:rsid w:val="05F09663"/>
    <w:rsid w:val="0602F830"/>
    <w:rsid w:val="06161B79"/>
    <w:rsid w:val="066CC4BD"/>
    <w:rsid w:val="069B01F8"/>
    <w:rsid w:val="06CD2F0C"/>
    <w:rsid w:val="06CDDEED"/>
    <w:rsid w:val="06D6871C"/>
    <w:rsid w:val="06E09779"/>
    <w:rsid w:val="06E5B29C"/>
    <w:rsid w:val="073CB28E"/>
    <w:rsid w:val="0745A12E"/>
    <w:rsid w:val="07D32644"/>
    <w:rsid w:val="081AAFAC"/>
    <w:rsid w:val="082DC696"/>
    <w:rsid w:val="0846A330"/>
    <w:rsid w:val="086D86D0"/>
    <w:rsid w:val="086DA514"/>
    <w:rsid w:val="087169A2"/>
    <w:rsid w:val="088A7BE7"/>
    <w:rsid w:val="0890C06D"/>
    <w:rsid w:val="08B81228"/>
    <w:rsid w:val="08D22CE5"/>
    <w:rsid w:val="08D9281C"/>
    <w:rsid w:val="08DEDFDF"/>
    <w:rsid w:val="093FD32E"/>
    <w:rsid w:val="09614552"/>
    <w:rsid w:val="0984CD7C"/>
    <w:rsid w:val="09C5C55E"/>
    <w:rsid w:val="09D30088"/>
    <w:rsid w:val="0A16FE2E"/>
    <w:rsid w:val="0A896505"/>
    <w:rsid w:val="0AD2649B"/>
    <w:rsid w:val="0ADCB2C6"/>
    <w:rsid w:val="0B0C3332"/>
    <w:rsid w:val="0B197D4E"/>
    <w:rsid w:val="0BAC589E"/>
    <w:rsid w:val="0BCFAFB8"/>
    <w:rsid w:val="0BDD0F6C"/>
    <w:rsid w:val="0BDD26ED"/>
    <w:rsid w:val="0BE6FFD4"/>
    <w:rsid w:val="0BF1B776"/>
    <w:rsid w:val="0C603715"/>
    <w:rsid w:val="0C679FE6"/>
    <w:rsid w:val="0C91499A"/>
    <w:rsid w:val="0CAC2DD2"/>
    <w:rsid w:val="0CEC8950"/>
    <w:rsid w:val="0D2CC565"/>
    <w:rsid w:val="0DA8FE25"/>
    <w:rsid w:val="0DAED379"/>
    <w:rsid w:val="0DBBBAF1"/>
    <w:rsid w:val="0DD231A8"/>
    <w:rsid w:val="0DE89447"/>
    <w:rsid w:val="0E0C8498"/>
    <w:rsid w:val="0E23EF91"/>
    <w:rsid w:val="0E628279"/>
    <w:rsid w:val="0E707FE7"/>
    <w:rsid w:val="0EC5783A"/>
    <w:rsid w:val="0EE487EE"/>
    <w:rsid w:val="0F4F9BBE"/>
    <w:rsid w:val="0FAB2E07"/>
    <w:rsid w:val="0FF388BF"/>
    <w:rsid w:val="1014F1F6"/>
    <w:rsid w:val="108E6DB7"/>
    <w:rsid w:val="10F6C669"/>
    <w:rsid w:val="10FA8183"/>
    <w:rsid w:val="113B3B86"/>
    <w:rsid w:val="118697A9"/>
    <w:rsid w:val="118D1EC3"/>
    <w:rsid w:val="11C49AAA"/>
    <w:rsid w:val="12CA11A7"/>
    <w:rsid w:val="12FD1B26"/>
    <w:rsid w:val="1320939C"/>
    <w:rsid w:val="134F4D0E"/>
    <w:rsid w:val="135B6CC9"/>
    <w:rsid w:val="13667788"/>
    <w:rsid w:val="1387276E"/>
    <w:rsid w:val="13B19BA4"/>
    <w:rsid w:val="13C3ABA3"/>
    <w:rsid w:val="13EE896F"/>
    <w:rsid w:val="1430C6B6"/>
    <w:rsid w:val="143D9F42"/>
    <w:rsid w:val="1462431A"/>
    <w:rsid w:val="148B8D5C"/>
    <w:rsid w:val="14C27783"/>
    <w:rsid w:val="14C5382B"/>
    <w:rsid w:val="14D8279E"/>
    <w:rsid w:val="14E26B49"/>
    <w:rsid w:val="14F46FA0"/>
    <w:rsid w:val="15A2ABF6"/>
    <w:rsid w:val="15CE9108"/>
    <w:rsid w:val="15F04283"/>
    <w:rsid w:val="16123A00"/>
    <w:rsid w:val="1658A816"/>
    <w:rsid w:val="16727A05"/>
    <w:rsid w:val="16A6725F"/>
    <w:rsid w:val="16F8A5F6"/>
    <w:rsid w:val="17C1D049"/>
    <w:rsid w:val="17F22344"/>
    <w:rsid w:val="17FA5007"/>
    <w:rsid w:val="1810F812"/>
    <w:rsid w:val="1819CFB1"/>
    <w:rsid w:val="181A7043"/>
    <w:rsid w:val="1836E868"/>
    <w:rsid w:val="18D3376E"/>
    <w:rsid w:val="1901369E"/>
    <w:rsid w:val="19191A90"/>
    <w:rsid w:val="1990F5E8"/>
    <w:rsid w:val="19948584"/>
    <w:rsid w:val="19AAD948"/>
    <w:rsid w:val="1A031E3F"/>
    <w:rsid w:val="1A513DC0"/>
    <w:rsid w:val="1A925089"/>
    <w:rsid w:val="1A9B575B"/>
    <w:rsid w:val="1AFD2C8A"/>
    <w:rsid w:val="1B0BC686"/>
    <w:rsid w:val="1B18BB0E"/>
    <w:rsid w:val="1B27B5FC"/>
    <w:rsid w:val="1B3370A5"/>
    <w:rsid w:val="1B3C816E"/>
    <w:rsid w:val="1B574967"/>
    <w:rsid w:val="1B6E8BB8"/>
    <w:rsid w:val="1BB6F764"/>
    <w:rsid w:val="1BEC3CBC"/>
    <w:rsid w:val="1BEE0B76"/>
    <w:rsid w:val="1C32957D"/>
    <w:rsid w:val="1C648322"/>
    <w:rsid w:val="1CB1BEF8"/>
    <w:rsid w:val="1CF37651"/>
    <w:rsid w:val="1D09576F"/>
    <w:rsid w:val="1D222982"/>
    <w:rsid w:val="1D378E7F"/>
    <w:rsid w:val="1D7E419F"/>
    <w:rsid w:val="1DA0DDDF"/>
    <w:rsid w:val="1DB1FE41"/>
    <w:rsid w:val="1DCE1853"/>
    <w:rsid w:val="1DDC2DC4"/>
    <w:rsid w:val="1E23CF66"/>
    <w:rsid w:val="1E8B3EC4"/>
    <w:rsid w:val="1EA83695"/>
    <w:rsid w:val="1EBEFE1A"/>
    <w:rsid w:val="1EF90A6A"/>
    <w:rsid w:val="1F68C1BD"/>
    <w:rsid w:val="1FB26E73"/>
    <w:rsid w:val="1FF2D29B"/>
    <w:rsid w:val="2046A5C0"/>
    <w:rsid w:val="204D3E63"/>
    <w:rsid w:val="209AC127"/>
    <w:rsid w:val="20BC6B98"/>
    <w:rsid w:val="20F86572"/>
    <w:rsid w:val="20FF284B"/>
    <w:rsid w:val="2133E2F9"/>
    <w:rsid w:val="214BBC85"/>
    <w:rsid w:val="2160312C"/>
    <w:rsid w:val="21944B86"/>
    <w:rsid w:val="220458F2"/>
    <w:rsid w:val="221F6A7A"/>
    <w:rsid w:val="2234E006"/>
    <w:rsid w:val="22896D8B"/>
    <w:rsid w:val="2292E6BD"/>
    <w:rsid w:val="229ECC1F"/>
    <w:rsid w:val="22BF3CA1"/>
    <w:rsid w:val="230774D4"/>
    <w:rsid w:val="2337EAAD"/>
    <w:rsid w:val="23403273"/>
    <w:rsid w:val="2374FC05"/>
    <w:rsid w:val="23768AE2"/>
    <w:rsid w:val="237AC6A0"/>
    <w:rsid w:val="23E625A3"/>
    <w:rsid w:val="2465FFC2"/>
    <w:rsid w:val="2475BFBB"/>
    <w:rsid w:val="248B3FE8"/>
    <w:rsid w:val="24A964A6"/>
    <w:rsid w:val="24AAA7D1"/>
    <w:rsid w:val="24B3B2DF"/>
    <w:rsid w:val="24EDE2DA"/>
    <w:rsid w:val="250FA9F7"/>
    <w:rsid w:val="251ABB05"/>
    <w:rsid w:val="25521A4C"/>
    <w:rsid w:val="25A2AF76"/>
    <w:rsid w:val="25CD611D"/>
    <w:rsid w:val="25D64127"/>
    <w:rsid w:val="2654B026"/>
    <w:rsid w:val="26750395"/>
    <w:rsid w:val="267EAC7F"/>
    <w:rsid w:val="2687FDE1"/>
    <w:rsid w:val="26974D12"/>
    <w:rsid w:val="269AFF27"/>
    <w:rsid w:val="26B95EDB"/>
    <w:rsid w:val="26C64ECF"/>
    <w:rsid w:val="27437148"/>
    <w:rsid w:val="27575082"/>
    <w:rsid w:val="275831D2"/>
    <w:rsid w:val="2795A525"/>
    <w:rsid w:val="27A285FB"/>
    <w:rsid w:val="27A92E48"/>
    <w:rsid w:val="27F21931"/>
    <w:rsid w:val="286895EA"/>
    <w:rsid w:val="2875C968"/>
    <w:rsid w:val="288FCA49"/>
    <w:rsid w:val="28CD23EF"/>
    <w:rsid w:val="28CD7718"/>
    <w:rsid w:val="28F0961A"/>
    <w:rsid w:val="29093B0E"/>
    <w:rsid w:val="2913009C"/>
    <w:rsid w:val="29328AA5"/>
    <w:rsid w:val="293BE050"/>
    <w:rsid w:val="2A07F867"/>
    <w:rsid w:val="2A0FA434"/>
    <w:rsid w:val="2A2652F7"/>
    <w:rsid w:val="2A372419"/>
    <w:rsid w:val="2A3C8EF7"/>
    <w:rsid w:val="2A48F2BB"/>
    <w:rsid w:val="2A6D3368"/>
    <w:rsid w:val="2A7593EF"/>
    <w:rsid w:val="2A872E64"/>
    <w:rsid w:val="2AD9EE3B"/>
    <w:rsid w:val="2B6157C4"/>
    <w:rsid w:val="2B6F9C96"/>
    <w:rsid w:val="2B7067B0"/>
    <w:rsid w:val="2B85217B"/>
    <w:rsid w:val="2BD86D53"/>
    <w:rsid w:val="2CFA124B"/>
    <w:rsid w:val="2D1FFDCA"/>
    <w:rsid w:val="2DBD6DD1"/>
    <w:rsid w:val="2E314DA0"/>
    <w:rsid w:val="2E408CF6"/>
    <w:rsid w:val="2E542674"/>
    <w:rsid w:val="2E985514"/>
    <w:rsid w:val="2EA996CE"/>
    <w:rsid w:val="2F0A926A"/>
    <w:rsid w:val="2F5211AB"/>
    <w:rsid w:val="2F6CA09C"/>
    <w:rsid w:val="2F72F5DD"/>
    <w:rsid w:val="2F934B59"/>
    <w:rsid w:val="2FA6CE9B"/>
    <w:rsid w:val="2FBFA21D"/>
    <w:rsid w:val="301F0EAE"/>
    <w:rsid w:val="30C05AE3"/>
    <w:rsid w:val="30F48360"/>
    <w:rsid w:val="3125E20B"/>
    <w:rsid w:val="314C4EC0"/>
    <w:rsid w:val="31528268"/>
    <w:rsid w:val="315E1614"/>
    <w:rsid w:val="322F34C8"/>
    <w:rsid w:val="32551696"/>
    <w:rsid w:val="326507BA"/>
    <w:rsid w:val="326A8C9B"/>
    <w:rsid w:val="327FFEC4"/>
    <w:rsid w:val="328D73D1"/>
    <w:rsid w:val="329A71F5"/>
    <w:rsid w:val="329CA112"/>
    <w:rsid w:val="32B3A403"/>
    <w:rsid w:val="3393E325"/>
    <w:rsid w:val="339D01F6"/>
    <w:rsid w:val="33C2E997"/>
    <w:rsid w:val="33FAB4A4"/>
    <w:rsid w:val="3443A9E6"/>
    <w:rsid w:val="344662CC"/>
    <w:rsid w:val="34890C10"/>
    <w:rsid w:val="34B10317"/>
    <w:rsid w:val="34C586BB"/>
    <w:rsid w:val="34EF0588"/>
    <w:rsid w:val="355E4BB6"/>
    <w:rsid w:val="35744517"/>
    <w:rsid w:val="358A2F18"/>
    <w:rsid w:val="359D2C1E"/>
    <w:rsid w:val="362A9EA8"/>
    <w:rsid w:val="363F8A14"/>
    <w:rsid w:val="36AC69FB"/>
    <w:rsid w:val="36E12492"/>
    <w:rsid w:val="373CB218"/>
    <w:rsid w:val="375D79C3"/>
    <w:rsid w:val="37634FBB"/>
    <w:rsid w:val="3772307B"/>
    <w:rsid w:val="37D9AC47"/>
    <w:rsid w:val="386DFAF1"/>
    <w:rsid w:val="388DC541"/>
    <w:rsid w:val="388E4CF9"/>
    <w:rsid w:val="38A1391E"/>
    <w:rsid w:val="38D1297F"/>
    <w:rsid w:val="38FA6157"/>
    <w:rsid w:val="390D4248"/>
    <w:rsid w:val="391FD5F4"/>
    <w:rsid w:val="392ECF2B"/>
    <w:rsid w:val="393FFFD1"/>
    <w:rsid w:val="39567EA9"/>
    <w:rsid w:val="39835241"/>
    <w:rsid w:val="39B0E789"/>
    <w:rsid w:val="39D221C5"/>
    <w:rsid w:val="3A90EE74"/>
    <w:rsid w:val="3AEB8A32"/>
    <w:rsid w:val="3B7E19AE"/>
    <w:rsid w:val="3BB6FEDC"/>
    <w:rsid w:val="3BCD3929"/>
    <w:rsid w:val="3BD5A640"/>
    <w:rsid w:val="3C11C6BF"/>
    <w:rsid w:val="3C23B1E2"/>
    <w:rsid w:val="3C348BE7"/>
    <w:rsid w:val="3C6EF97E"/>
    <w:rsid w:val="3C87B879"/>
    <w:rsid w:val="3C9E140C"/>
    <w:rsid w:val="3CDF568D"/>
    <w:rsid w:val="3D5C70E9"/>
    <w:rsid w:val="3DF60D8F"/>
    <w:rsid w:val="3E2EB21A"/>
    <w:rsid w:val="3EA6B9E1"/>
    <w:rsid w:val="3F24C770"/>
    <w:rsid w:val="3F3877B4"/>
    <w:rsid w:val="3F4D8834"/>
    <w:rsid w:val="3F8CF8D3"/>
    <w:rsid w:val="3F9DF6F1"/>
    <w:rsid w:val="3FC95049"/>
    <w:rsid w:val="3FFC8234"/>
    <w:rsid w:val="4042D774"/>
    <w:rsid w:val="40434D85"/>
    <w:rsid w:val="4062133D"/>
    <w:rsid w:val="407C31C2"/>
    <w:rsid w:val="42226AAD"/>
    <w:rsid w:val="428AE1D8"/>
    <w:rsid w:val="42CAB7E8"/>
    <w:rsid w:val="43465C17"/>
    <w:rsid w:val="4366483F"/>
    <w:rsid w:val="437F134C"/>
    <w:rsid w:val="43EC876E"/>
    <w:rsid w:val="443B0668"/>
    <w:rsid w:val="4441BAA4"/>
    <w:rsid w:val="445694F2"/>
    <w:rsid w:val="4474D382"/>
    <w:rsid w:val="447649E7"/>
    <w:rsid w:val="4477CC7A"/>
    <w:rsid w:val="44D23A9F"/>
    <w:rsid w:val="452C8C39"/>
    <w:rsid w:val="452DB9BC"/>
    <w:rsid w:val="456119BD"/>
    <w:rsid w:val="45A1A90A"/>
    <w:rsid w:val="45D31D55"/>
    <w:rsid w:val="4623F45A"/>
    <w:rsid w:val="465ABD68"/>
    <w:rsid w:val="46870984"/>
    <w:rsid w:val="4716F3A8"/>
    <w:rsid w:val="4760320A"/>
    <w:rsid w:val="476FDD7E"/>
    <w:rsid w:val="479D8494"/>
    <w:rsid w:val="47A54401"/>
    <w:rsid w:val="47BF6D13"/>
    <w:rsid w:val="47CB4EBE"/>
    <w:rsid w:val="47CE9BD4"/>
    <w:rsid w:val="47E0C154"/>
    <w:rsid w:val="485B1ED9"/>
    <w:rsid w:val="48686ECE"/>
    <w:rsid w:val="48D6DEAD"/>
    <w:rsid w:val="48D8F6CE"/>
    <w:rsid w:val="48DBDF7A"/>
    <w:rsid w:val="48F1EA84"/>
    <w:rsid w:val="491B80A1"/>
    <w:rsid w:val="495E5B23"/>
    <w:rsid w:val="49E1497C"/>
    <w:rsid w:val="4A017BC0"/>
    <w:rsid w:val="4A174359"/>
    <w:rsid w:val="4A33D85D"/>
    <w:rsid w:val="4AA6D310"/>
    <w:rsid w:val="4ABB9E62"/>
    <w:rsid w:val="4B4908AA"/>
    <w:rsid w:val="4B828761"/>
    <w:rsid w:val="4B8BDE98"/>
    <w:rsid w:val="4BC22782"/>
    <w:rsid w:val="4C038BEB"/>
    <w:rsid w:val="4C0E6DB4"/>
    <w:rsid w:val="4C4A8AA5"/>
    <w:rsid w:val="4C8A691A"/>
    <w:rsid w:val="4CB42311"/>
    <w:rsid w:val="4CB4EEF4"/>
    <w:rsid w:val="4CB7B8C3"/>
    <w:rsid w:val="4D6B50B5"/>
    <w:rsid w:val="4DB2467D"/>
    <w:rsid w:val="4E702B6E"/>
    <w:rsid w:val="4EA63C7C"/>
    <w:rsid w:val="4FB90571"/>
    <w:rsid w:val="5015FBC5"/>
    <w:rsid w:val="501A8663"/>
    <w:rsid w:val="503AAA29"/>
    <w:rsid w:val="504DBAED"/>
    <w:rsid w:val="505F1B0C"/>
    <w:rsid w:val="5069B07C"/>
    <w:rsid w:val="5079B2AC"/>
    <w:rsid w:val="50DB0EF4"/>
    <w:rsid w:val="517EB169"/>
    <w:rsid w:val="522EE9AC"/>
    <w:rsid w:val="524BEB75"/>
    <w:rsid w:val="525EA823"/>
    <w:rsid w:val="527568EC"/>
    <w:rsid w:val="528919AF"/>
    <w:rsid w:val="528C05A4"/>
    <w:rsid w:val="52BA187C"/>
    <w:rsid w:val="533409D9"/>
    <w:rsid w:val="53A110AF"/>
    <w:rsid w:val="53BC03B3"/>
    <w:rsid w:val="53DB2A63"/>
    <w:rsid w:val="53DC9600"/>
    <w:rsid w:val="53EB341F"/>
    <w:rsid w:val="54147EA9"/>
    <w:rsid w:val="541899A9"/>
    <w:rsid w:val="541E43BE"/>
    <w:rsid w:val="54255BDB"/>
    <w:rsid w:val="5435C9CE"/>
    <w:rsid w:val="546875C9"/>
    <w:rsid w:val="5476E893"/>
    <w:rsid w:val="54A4A27C"/>
    <w:rsid w:val="54AACAD5"/>
    <w:rsid w:val="54B1AD85"/>
    <w:rsid w:val="55319414"/>
    <w:rsid w:val="556F24E0"/>
    <w:rsid w:val="55943A78"/>
    <w:rsid w:val="55C108FD"/>
    <w:rsid w:val="55F6431C"/>
    <w:rsid w:val="55FF20FE"/>
    <w:rsid w:val="5656A6A9"/>
    <w:rsid w:val="569C6789"/>
    <w:rsid w:val="56A22BD8"/>
    <w:rsid w:val="56AC2FD0"/>
    <w:rsid w:val="56D16FA2"/>
    <w:rsid w:val="56F4B6EA"/>
    <w:rsid w:val="574E19A6"/>
    <w:rsid w:val="57D6FE41"/>
    <w:rsid w:val="59008651"/>
    <w:rsid w:val="59A69FB4"/>
    <w:rsid w:val="5A024E73"/>
    <w:rsid w:val="5A0B3EB0"/>
    <w:rsid w:val="5AAB022F"/>
    <w:rsid w:val="5AAF646A"/>
    <w:rsid w:val="5AD799B5"/>
    <w:rsid w:val="5B132ECB"/>
    <w:rsid w:val="5B635817"/>
    <w:rsid w:val="5B652210"/>
    <w:rsid w:val="5B7191DE"/>
    <w:rsid w:val="5B80C22D"/>
    <w:rsid w:val="5BC64486"/>
    <w:rsid w:val="5BD9CB9F"/>
    <w:rsid w:val="5C48292F"/>
    <w:rsid w:val="5C828611"/>
    <w:rsid w:val="5CBFAC24"/>
    <w:rsid w:val="5CF3B9FB"/>
    <w:rsid w:val="5D522CC5"/>
    <w:rsid w:val="5D9CD6FD"/>
    <w:rsid w:val="5DA22A98"/>
    <w:rsid w:val="5DCDC2F1"/>
    <w:rsid w:val="5DED46F9"/>
    <w:rsid w:val="5E1A6968"/>
    <w:rsid w:val="5E2D82B9"/>
    <w:rsid w:val="5F48CFE6"/>
    <w:rsid w:val="5F59A82F"/>
    <w:rsid w:val="5F63A46A"/>
    <w:rsid w:val="5F67E679"/>
    <w:rsid w:val="5F8A55D2"/>
    <w:rsid w:val="5F9C9298"/>
    <w:rsid w:val="5FA3932E"/>
    <w:rsid w:val="5FDF6E23"/>
    <w:rsid w:val="5FF3E354"/>
    <w:rsid w:val="6005841D"/>
    <w:rsid w:val="6010E3EB"/>
    <w:rsid w:val="60169778"/>
    <w:rsid w:val="601CF220"/>
    <w:rsid w:val="60636EB5"/>
    <w:rsid w:val="607D154C"/>
    <w:rsid w:val="60AA0767"/>
    <w:rsid w:val="60CC2398"/>
    <w:rsid w:val="610B965B"/>
    <w:rsid w:val="610D3269"/>
    <w:rsid w:val="61591E2B"/>
    <w:rsid w:val="615AA87C"/>
    <w:rsid w:val="61D7C44A"/>
    <w:rsid w:val="61E3711C"/>
    <w:rsid w:val="61ED8739"/>
    <w:rsid w:val="61EE3B73"/>
    <w:rsid w:val="625AE405"/>
    <w:rsid w:val="62B3A700"/>
    <w:rsid w:val="63201BC9"/>
    <w:rsid w:val="639C7583"/>
    <w:rsid w:val="63D10FE5"/>
    <w:rsid w:val="63F5497D"/>
    <w:rsid w:val="646D2DCE"/>
    <w:rsid w:val="64822365"/>
    <w:rsid w:val="64847B3D"/>
    <w:rsid w:val="64B8872D"/>
    <w:rsid w:val="64CA720C"/>
    <w:rsid w:val="64CEB410"/>
    <w:rsid w:val="64F1E723"/>
    <w:rsid w:val="651EB7BE"/>
    <w:rsid w:val="652EA1DA"/>
    <w:rsid w:val="6536DDBE"/>
    <w:rsid w:val="656456E3"/>
    <w:rsid w:val="65B312DD"/>
    <w:rsid w:val="65CB0B84"/>
    <w:rsid w:val="65FF352E"/>
    <w:rsid w:val="666C08A7"/>
    <w:rsid w:val="667D26DA"/>
    <w:rsid w:val="669B82F5"/>
    <w:rsid w:val="674E07D4"/>
    <w:rsid w:val="676F0BE2"/>
    <w:rsid w:val="677A7846"/>
    <w:rsid w:val="67B33A49"/>
    <w:rsid w:val="67D5DA52"/>
    <w:rsid w:val="6820E743"/>
    <w:rsid w:val="683DF964"/>
    <w:rsid w:val="684748AF"/>
    <w:rsid w:val="68999232"/>
    <w:rsid w:val="689F9B64"/>
    <w:rsid w:val="68C0E9E3"/>
    <w:rsid w:val="68C3D1A6"/>
    <w:rsid w:val="68DEF24D"/>
    <w:rsid w:val="690AF8D3"/>
    <w:rsid w:val="69393E3C"/>
    <w:rsid w:val="694AE35C"/>
    <w:rsid w:val="69559DB8"/>
    <w:rsid w:val="69922083"/>
    <w:rsid w:val="69ECBE4D"/>
    <w:rsid w:val="6A052A5F"/>
    <w:rsid w:val="6A0E265F"/>
    <w:rsid w:val="6A5624D6"/>
    <w:rsid w:val="6A81D033"/>
    <w:rsid w:val="6A8C6125"/>
    <w:rsid w:val="6A8CDC5E"/>
    <w:rsid w:val="6AAAD7B6"/>
    <w:rsid w:val="6AF26218"/>
    <w:rsid w:val="6B4D64CF"/>
    <w:rsid w:val="6B53462E"/>
    <w:rsid w:val="6B6BC0FB"/>
    <w:rsid w:val="6B6CDE8F"/>
    <w:rsid w:val="6BDB9A81"/>
    <w:rsid w:val="6BEB694E"/>
    <w:rsid w:val="6C137EB6"/>
    <w:rsid w:val="6C24C5D5"/>
    <w:rsid w:val="6C6F2D4C"/>
    <w:rsid w:val="6C737CFF"/>
    <w:rsid w:val="6C89E043"/>
    <w:rsid w:val="6C9A8606"/>
    <w:rsid w:val="6CABF5D6"/>
    <w:rsid w:val="6CB87916"/>
    <w:rsid w:val="6CDD3716"/>
    <w:rsid w:val="6CE505E4"/>
    <w:rsid w:val="6D2B282F"/>
    <w:rsid w:val="6D59B2F4"/>
    <w:rsid w:val="6D6E18EC"/>
    <w:rsid w:val="6D81EC46"/>
    <w:rsid w:val="6E51F21C"/>
    <w:rsid w:val="6EC5398E"/>
    <w:rsid w:val="6ECEC3DB"/>
    <w:rsid w:val="6F97D983"/>
    <w:rsid w:val="6FB763B7"/>
    <w:rsid w:val="700B6A02"/>
    <w:rsid w:val="7023EEC8"/>
    <w:rsid w:val="704B9DB6"/>
    <w:rsid w:val="70913EE0"/>
    <w:rsid w:val="70BDA00F"/>
    <w:rsid w:val="713D9487"/>
    <w:rsid w:val="71477ADE"/>
    <w:rsid w:val="714F4C72"/>
    <w:rsid w:val="71B45E1C"/>
    <w:rsid w:val="72032A10"/>
    <w:rsid w:val="728D98A4"/>
    <w:rsid w:val="732574FD"/>
    <w:rsid w:val="734888F5"/>
    <w:rsid w:val="73DA1AFD"/>
    <w:rsid w:val="7420E906"/>
    <w:rsid w:val="7474EE70"/>
    <w:rsid w:val="74D2F1F4"/>
    <w:rsid w:val="755DCCA5"/>
    <w:rsid w:val="7568DDC6"/>
    <w:rsid w:val="75A2DE92"/>
    <w:rsid w:val="75B3EB03"/>
    <w:rsid w:val="761A26A7"/>
    <w:rsid w:val="768CE276"/>
    <w:rsid w:val="76C4810D"/>
    <w:rsid w:val="76D482BF"/>
    <w:rsid w:val="77627D69"/>
    <w:rsid w:val="77B7C149"/>
    <w:rsid w:val="77CB0708"/>
    <w:rsid w:val="77D82A62"/>
    <w:rsid w:val="78B3BE2B"/>
    <w:rsid w:val="79163BBA"/>
    <w:rsid w:val="792B7DA3"/>
    <w:rsid w:val="794F00C3"/>
    <w:rsid w:val="795C2D5A"/>
    <w:rsid w:val="79777572"/>
    <w:rsid w:val="79902FC8"/>
    <w:rsid w:val="7A75970F"/>
    <w:rsid w:val="7A9AB17B"/>
    <w:rsid w:val="7AF862B2"/>
    <w:rsid w:val="7B1E01FF"/>
    <w:rsid w:val="7B434B86"/>
    <w:rsid w:val="7B5331D7"/>
    <w:rsid w:val="7BE4742A"/>
    <w:rsid w:val="7C088E83"/>
    <w:rsid w:val="7C184FE2"/>
    <w:rsid w:val="7C197E1C"/>
    <w:rsid w:val="7C41508C"/>
    <w:rsid w:val="7C43627D"/>
    <w:rsid w:val="7CE39170"/>
    <w:rsid w:val="7CF70674"/>
    <w:rsid w:val="7CFA7E76"/>
    <w:rsid w:val="7D3CE4F7"/>
    <w:rsid w:val="7D482304"/>
    <w:rsid w:val="7D53A309"/>
    <w:rsid w:val="7DAA64FB"/>
    <w:rsid w:val="7DCDD6E9"/>
    <w:rsid w:val="7DCE7543"/>
    <w:rsid w:val="7DE03A2E"/>
    <w:rsid w:val="7DE0A818"/>
    <w:rsid w:val="7DE52143"/>
    <w:rsid w:val="7DECC280"/>
    <w:rsid w:val="7E054FD5"/>
    <w:rsid w:val="7E16F0FB"/>
    <w:rsid w:val="7E2E1C10"/>
    <w:rsid w:val="7E5F1A97"/>
    <w:rsid w:val="7E9B7D36"/>
    <w:rsid w:val="7E9E75D5"/>
    <w:rsid w:val="7EB08A1A"/>
    <w:rsid w:val="7EC89E77"/>
    <w:rsid w:val="7EC9F3C2"/>
    <w:rsid w:val="7EED9C59"/>
    <w:rsid w:val="7EEE7233"/>
    <w:rsid w:val="7EFF3E2D"/>
    <w:rsid w:val="7F3296EF"/>
    <w:rsid w:val="7F650384"/>
    <w:rsid w:val="7F6C66AA"/>
    <w:rsid w:val="7F9A5AA5"/>
    <w:rsid w:val="7FD53F11"/>
    <w:rsid w:val="7FE3819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CE4F7"/>
  <w15:chartTrackingRefBased/>
  <w15:docId w15:val="{114961B8-2A40-4D94-B21C-4DDAF3791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CommentReference">
    <w:name w:val="annotation reference"/>
    <w:basedOn w:val="DefaultParagraphFont"/>
    <w:uiPriority w:val="99"/>
    <w:semiHidden/>
    <w:unhideWhenUsed/>
    <w:rsid w:val="000306BE"/>
    <w:rPr>
      <w:sz w:val="16"/>
      <w:szCs w:val="16"/>
    </w:rPr>
  </w:style>
  <w:style w:type="paragraph" w:styleId="CommentText">
    <w:name w:val="annotation text"/>
    <w:basedOn w:val="Normal"/>
    <w:link w:val="CommentTextChar"/>
    <w:uiPriority w:val="99"/>
    <w:unhideWhenUsed/>
    <w:rsid w:val="000306BE"/>
    <w:pPr>
      <w:spacing w:line="240" w:lineRule="auto"/>
    </w:pPr>
    <w:rPr>
      <w:sz w:val="20"/>
      <w:szCs w:val="20"/>
    </w:rPr>
  </w:style>
  <w:style w:type="character" w:customStyle="1" w:styleId="CommentTextChar">
    <w:name w:val="Comment Text Char"/>
    <w:basedOn w:val="DefaultParagraphFont"/>
    <w:link w:val="CommentText"/>
    <w:uiPriority w:val="99"/>
    <w:rsid w:val="000306BE"/>
    <w:rPr>
      <w:sz w:val="20"/>
      <w:szCs w:val="20"/>
    </w:rPr>
  </w:style>
  <w:style w:type="paragraph" w:styleId="CommentSubject">
    <w:name w:val="annotation subject"/>
    <w:basedOn w:val="CommentText"/>
    <w:next w:val="CommentText"/>
    <w:link w:val="CommentSubjectChar"/>
    <w:uiPriority w:val="99"/>
    <w:semiHidden/>
    <w:unhideWhenUsed/>
    <w:rsid w:val="000306BE"/>
    <w:rPr>
      <w:b/>
      <w:bCs/>
    </w:rPr>
  </w:style>
  <w:style w:type="character" w:customStyle="1" w:styleId="CommentSubjectChar">
    <w:name w:val="Comment Subject Char"/>
    <w:basedOn w:val="CommentTextChar"/>
    <w:link w:val="CommentSubject"/>
    <w:uiPriority w:val="99"/>
    <w:semiHidden/>
    <w:rsid w:val="000306BE"/>
    <w:rPr>
      <w:b/>
      <w:bCs/>
      <w:sz w:val="20"/>
      <w:szCs w:val="20"/>
    </w:rPr>
  </w:style>
  <w:style w:type="paragraph" w:styleId="NoSpacing">
    <w:name w:val="No Spacing"/>
    <w:uiPriority w:val="1"/>
    <w:qFormat/>
    <w:rsid w:val="001C5293"/>
    <w:pPr>
      <w:spacing w:after="0" w:line="240" w:lineRule="auto"/>
    </w:pPr>
    <w:rPr>
      <w:rFonts w:eastAsiaTheme="minorHAnsi"/>
      <w:kern w:val="2"/>
      <w:lang w:eastAsia="en-US"/>
      <w14:ligatures w14:val="standardContextual"/>
    </w:rPr>
  </w:style>
  <w:style w:type="paragraph" w:styleId="Header">
    <w:name w:val="header"/>
    <w:basedOn w:val="Normal"/>
    <w:link w:val="HeaderChar"/>
    <w:uiPriority w:val="99"/>
    <w:unhideWhenUsed/>
    <w:rsid w:val="00606C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6C2E"/>
  </w:style>
  <w:style w:type="paragraph" w:styleId="Footer">
    <w:name w:val="footer"/>
    <w:basedOn w:val="Normal"/>
    <w:link w:val="FooterChar"/>
    <w:uiPriority w:val="99"/>
    <w:unhideWhenUsed/>
    <w:rsid w:val="00606C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6C2E"/>
  </w:style>
  <w:style w:type="character" w:styleId="Hyperlink">
    <w:name w:val="Hyperlink"/>
    <w:basedOn w:val="DefaultParagraphFont"/>
    <w:uiPriority w:val="99"/>
    <w:unhideWhenUsed/>
    <w:rsid w:val="00B07925"/>
    <w:rPr>
      <w:color w:val="467886" w:themeColor="hyperlink"/>
      <w:u w:val="single"/>
    </w:rPr>
  </w:style>
  <w:style w:type="character" w:styleId="UnresolvedMention">
    <w:name w:val="Unresolved Mention"/>
    <w:basedOn w:val="DefaultParagraphFont"/>
    <w:uiPriority w:val="99"/>
    <w:semiHidden/>
    <w:unhideWhenUsed/>
    <w:rsid w:val="00B07925"/>
    <w:rPr>
      <w:color w:val="605E5C"/>
      <w:shd w:val="clear" w:color="auto" w:fill="E1DFDD"/>
    </w:rPr>
  </w:style>
  <w:style w:type="paragraph" w:styleId="Revision">
    <w:name w:val="Revision"/>
    <w:hidden/>
    <w:uiPriority w:val="99"/>
    <w:semiHidden/>
    <w:rsid w:val="00822ACE"/>
    <w:pPr>
      <w:spacing w:after="0" w:line="240" w:lineRule="auto"/>
    </w:pPr>
  </w:style>
  <w:style w:type="paragraph" w:styleId="ListParagraph">
    <w:name w:val="List Paragraph"/>
    <w:basedOn w:val="Normal"/>
    <w:uiPriority w:val="34"/>
    <w:qFormat/>
    <w:rsid w:val="00822ACE"/>
    <w:pPr>
      <w:ind w:left="720"/>
      <w:contextualSpacing/>
    </w:pPr>
  </w:style>
  <w:style w:type="paragraph" w:styleId="FootnoteText">
    <w:name w:val="footnote text"/>
    <w:basedOn w:val="Normal"/>
    <w:uiPriority w:val="99"/>
    <w:semiHidden/>
    <w:unhideWhenUsed/>
    <w:rsid w:val="56A22BD8"/>
    <w:pPr>
      <w:spacing w:after="0" w:line="240" w:lineRule="auto"/>
    </w:pPr>
    <w:rPr>
      <w:sz w:val="20"/>
      <w:szCs w:val="20"/>
    </w:rPr>
  </w:style>
  <w:style w:type="character" w:styleId="FootnoteReference">
    <w:name w:val="footnote reference"/>
    <w:basedOn w:val="DefaultParagraphFont"/>
    <w:uiPriority w:val="99"/>
    <w:semiHidden/>
    <w:unhideWhenUsed/>
    <w:rsid w:val="56A22BD8"/>
    <w:rPr>
      <w:vertAlign w:val="superscript"/>
    </w:rPr>
  </w:style>
  <w:style w:type="character" w:styleId="Mention">
    <w:name w:val="Mention"/>
    <w:basedOn w:val="DefaultParagraphFont"/>
    <w:uiPriority w:val="99"/>
    <w:unhideWhenUsed/>
    <w:rsid w:val="00A66C45"/>
    <w:rPr>
      <w:color w:val="2B579A"/>
      <w:shd w:val="clear" w:color="auto" w:fill="E1DFDD"/>
    </w:rPr>
  </w:style>
  <w:style w:type="character" w:styleId="FollowedHyperlink">
    <w:name w:val="FollowedHyperlink"/>
    <w:basedOn w:val="DefaultParagraphFont"/>
    <w:uiPriority w:val="99"/>
    <w:semiHidden/>
    <w:unhideWhenUsed/>
    <w:rsid w:val="005B7AE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microsoft.com/office/2019/05/relationships/documenttasks" Target="documenttasks/documenttasks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documenttasks/documenttasks1.xml><?xml version="1.0" encoding="utf-8"?>
<t:Tasks xmlns:t="http://schemas.microsoft.com/office/tasks/2019/documenttasks" xmlns:oel="http://schemas.microsoft.com/office/2019/extlst">
  <t:Task id="{5920C7F5-7C46-7B4A-BD39-EE17AABE4314}">
    <t:Anchor>
      <t:Comment id="524499430"/>
    </t:Anchor>
    <t:History>
      <t:Event id="{130356BC-0A6B-1444-91A5-22ADF0C8E09A}" time="2025-10-22T19:25:19.67Z">
        <t:Attribution userId="S::spehnj@hrw.org::923f8777-c2ff-4983-b34e-9247bb01c720" userProvider="AD" userName="Jack Spehn"/>
        <t:Anchor>
          <t:Comment id="524499430"/>
        </t:Anchor>
        <t:Create/>
      </t:Event>
      <t:Event id="{305BC676-4650-4447-9DF2-FC0213A69653}" time="2025-10-22T19:25:19.67Z">
        <t:Attribution userId="S::spehnj@hrw.org::923f8777-c2ff-4983-b34e-9247bb01c720" userProvider="AD" userName="Jack Spehn"/>
        <t:Anchor>
          <t:Comment id="524499430"/>
        </t:Anchor>
        <t:Assign userId="S::saadous@hrw.org::e4a89df1-78da-48c2-93bc-9979643d7d30" userProvider="AD" userName="Sarah Saadoun"/>
      </t:Event>
      <t:Event id="{8CA9DA94-5578-5848-90D3-6E4C7D958F4A}" time="2025-10-22T19:25:19.67Z">
        <t:Attribution userId="S::spehnj@hrw.org::923f8777-c2ff-4983-b34e-9247bb01c720" userProvider="AD" userName="Jack Spehn"/>
        <t:Anchor>
          <t:Comment id="524499430"/>
        </t:Anchor>
        <t:SetTitle title="@Sarah Saadoun are there any questions we'd like to ask Egypt in their capacity as chair of the negotiating committee? Or anything else tax-related? "/>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E9C90EAE099A48BC8D5DEE6FADFE32" ma:contentTypeVersion="5" ma:contentTypeDescription="Create a new document." ma:contentTypeScope="" ma:versionID="7e8629a0679a15ed4793ec2f1c249cca">
  <xsd:schema xmlns:xsd="http://www.w3.org/2001/XMLSchema" xmlns:xs="http://www.w3.org/2001/XMLSchema" xmlns:p="http://schemas.microsoft.com/office/2006/metadata/properties" xmlns:ns2="e6bc6bff-1a5a-4088-970d-585926332f63" targetNamespace="http://schemas.microsoft.com/office/2006/metadata/properties" ma:root="true" ma:fieldsID="3ccfa95410db211625e6d1ee1e3d02af" ns2:_="">
    <xsd:import namespace="e6bc6bff-1a5a-4088-970d-585926332f6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bc6bff-1a5a-4088-970d-585926332f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133B04-72BD-4A51-89D5-7AD96F0812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bc6bff-1a5a-4088-970d-585926332f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FF24274-5C52-CE48-8B64-F32B95CF6BDB}">
  <ds:schemaRefs>
    <ds:schemaRef ds:uri="http://schemas.openxmlformats.org/officeDocument/2006/bibliography"/>
  </ds:schemaRefs>
</ds:datastoreItem>
</file>

<file path=customXml/itemProps3.xml><?xml version="1.0" encoding="utf-8"?>
<ds:datastoreItem xmlns:ds="http://schemas.openxmlformats.org/officeDocument/2006/customXml" ds:itemID="{AAA0875A-514F-4E21-B2D1-B54881A64C41}">
  <ds:schemaRefs>
    <ds:schemaRef ds:uri="http://schemas.microsoft.com/sharepoint/v3/contenttype/forms"/>
  </ds:schemaRefs>
</ds:datastoreItem>
</file>

<file path=customXml/itemProps4.xml><?xml version="1.0" encoding="utf-8"?>
<ds:datastoreItem xmlns:ds="http://schemas.openxmlformats.org/officeDocument/2006/customXml" ds:itemID="{7C0ECA08-BBDE-4420-BDE4-A20C81780B9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10</Pages>
  <Words>2489</Words>
  <Characters>14191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Joya Fadel</dc:creator>
  <cp:keywords/>
  <dc:description/>
  <cp:lastModifiedBy>Jack Spehn</cp:lastModifiedBy>
  <cp:revision>7</cp:revision>
  <dcterms:created xsi:type="dcterms:W3CDTF">2025-11-25T21:12:00Z</dcterms:created>
  <dcterms:modified xsi:type="dcterms:W3CDTF">2025-11-25T21:25:00Z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0x010100ACE9C90EAE099A48BC8D5DEE6FADFE32</vt:lpwstr>
  </property>
</Properties>
</file>