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07E5FA" w14:textId="7353D451" w:rsidR="00BA4105" w:rsidRPr="0020440D" w:rsidRDefault="007256A7" w:rsidP="0066310D">
      <w:pPr>
        <w:jc w:val="center"/>
        <w:rPr>
          <w:rFonts w:cstheme="minorHAnsi"/>
          <w:b/>
          <w:sz w:val="24"/>
          <w:szCs w:val="24"/>
        </w:rPr>
      </w:pPr>
      <w:r>
        <w:rPr>
          <w:rFonts w:cstheme="minorHAnsi"/>
          <w:b/>
          <w:sz w:val="24"/>
          <w:szCs w:val="24"/>
        </w:rPr>
        <w:t>Mercy Foundation</w:t>
      </w:r>
      <w:r w:rsidR="00BA4105" w:rsidRPr="0020440D">
        <w:rPr>
          <w:rFonts w:cstheme="minorHAnsi"/>
          <w:b/>
          <w:sz w:val="24"/>
          <w:szCs w:val="24"/>
        </w:rPr>
        <w:t xml:space="preserve"> Contribution to the List of Issues Prior to Reporting</w:t>
      </w:r>
    </w:p>
    <w:p w14:paraId="1183418A" w14:textId="77777777" w:rsidR="006F26C5" w:rsidRPr="0020440D" w:rsidRDefault="00BA4105" w:rsidP="005A0EF3">
      <w:pPr>
        <w:jc w:val="center"/>
        <w:rPr>
          <w:rFonts w:cstheme="minorHAnsi"/>
          <w:b/>
          <w:sz w:val="24"/>
          <w:szCs w:val="24"/>
          <w:u w:val="single"/>
        </w:rPr>
      </w:pPr>
      <w:r w:rsidRPr="0020440D">
        <w:rPr>
          <w:rFonts w:cstheme="minorHAnsi"/>
          <w:b/>
          <w:sz w:val="24"/>
          <w:szCs w:val="24"/>
          <w:u w:val="single"/>
        </w:rPr>
        <w:t xml:space="preserve">Australia </w:t>
      </w:r>
    </w:p>
    <w:p w14:paraId="3E0E4FAF" w14:textId="1B76D91F" w:rsidR="00BA4105" w:rsidRDefault="00BA4105" w:rsidP="005A0EF3">
      <w:pPr>
        <w:jc w:val="center"/>
        <w:rPr>
          <w:rFonts w:cstheme="minorHAnsi"/>
          <w:b/>
          <w:sz w:val="24"/>
          <w:szCs w:val="24"/>
        </w:rPr>
      </w:pPr>
      <w:r w:rsidRPr="0020440D">
        <w:rPr>
          <w:rFonts w:cstheme="minorHAnsi"/>
          <w:b/>
          <w:sz w:val="24"/>
          <w:szCs w:val="24"/>
        </w:rPr>
        <w:t>6</w:t>
      </w:r>
      <w:r w:rsidRPr="0020440D">
        <w:rPr>
          <w:rFonts w:cstheme="minorHAnsi"/>
          <w:b/>
          <w:sz w:val="24"/>
          <w:szCs w:val="24"/>
          <w:vertAlign w:val="superscript"/>
        </w:rPr>
        <w:t>th</w:t>
      </w:r>
      <w:r w:rsidRPr="0020440D">
        <w:rPr>
          <w:rFonts w:cstheme="minorHAnsi"/>
          <w:b/>
          <w:sz w:val="24"/>
          <w:szCs w:val="24"/>
        </w:rPr>
        <w:t xml:space="preserve"> Reporting Cycle to the UN Committee on Economic Social and Cultural Rights, 70</w:t>
      </w:r>
      <w:r w:rsidRPr="0020440D">
        <w:rPr>
          <w:rFonts w:cstheme="minorHAnsi"/>
          <w:b/>
          <w:sz w:val="24"/>
          <w:szCs w:val="24"/>
          <w:vertAlign w:val="superscript"/>
        </w:rPr>
        <w:t>th</w:t>
      </w:r>
      <w:r w:rsidRPr="0020440D">
        <w:rPr>
          <w:rFonts w:cstheme="minorHAnsi"/>
          <w:b/>
          <w:sz w:val="24"/>
          <w:szCs w:val="24"/>
        </w:rPr>
        <w:t xml:space="preserve"> Session (March 2022)</w:t>
      </w:r>
    </w:p>
    <w:p w14:paraId="3974402C" w14:textId="4A550664" w:rsidR="007256A7" w:rsidRPr="007256A7" w:rsidRDefault="007256A7" w:rsidP="007256A7">
      <w:pPr>
        <w:jc w:val="center"/>
        <w:rPr>
          <w:rFonts w:cstheme="minorHAnsi"/>
          <w:bCs/>
        </w:rPr>
      </w:pPr>
      <w:r w:rsidRPr="007256A7">
        <w:rPr>
          <w:rFonts w:cstheme="minorHAnsi"/>
          <w:bCs/>
        </w:rPr>
        <w:t>Contact: Suzanne Mowbray, Chief Executive Officer, Mercy Foundation</w:t>
      </w:r>
    </w:p>
    <w:p w14:paraId="3AE3116E" w14:textId="1F14F034" w:rsidR="007256A7" w:rsidRPr="007256A7" w:rsidRDefault="007256A7" w:rsidP="007256A7">
      <w:pPr>
        <w:jc w:val="center"/>
        <w:rPr>
          <w:rFonts w:cstheme="minorHAnsi"/>
          <w:bCs/>
        </w:rPr>
      </w:pPr>
      <w:r w:rsidRPr="007256A7">
        <w:rPr>
          <w:rFonts w:cstheme="minorHAnsi"/>
          <w:bCs/>
        </w:rPr>
        <w:t>Email: sue.mowbray@mercyfoundation.com.au</w:t>
      </w:r>
    </w:p>
    <w:p w14:paraId="6F7AC099" w14:textId="1200B13B" w:rsidR="0069692A" w:rsidRPr="0020440D" w:rsidRDefault="0069692A" w:rsidP="005A0EF3">
      <w:pPr>
        <w:pBdr>
          <w:bottom w:val="single" w:sz="12" w:space="1" w:color="auto"/>
        </w:pBdr>
        <w:jc w:val="center"/>
        <w:rPr>
          <w:rFonts w:cstheme="minorHAnsi"/>
          <w:b/>
          <w:sz w:val="24"/>
          <w:szCs w:val="24"/>
        </w:rPr>
      </w:pPr>
    </w:p>
    <w:p w14:paraId="4613B854" w14:textId="05FEEBC0" w:rsidR="00BA4105" w:rsidRPr="0020440D" w:rsidRDefault="00BA4105">
      <w:pPr>
        <w:rPr>
          <w:rFonts w:cstheme="minorHAnsi"/>
          <w:sz w:val="24"/>
          <w:szCs w:val="24"/>
        </w:rPr>
      </w:pPr>
    </w:p>
    <w:p w14:paraId="7D933A7D" w14:textId="5F48818C" w:rsidR="00BA4105" w:rsidRPr="0020440D" w:rsidRDefault="00BA4105">
      <w:pPr>
        <w:rPr>
          <w:rFonts w:cstheme="minorHAnsi"/>
          <w:b/>
          <w:sz w:val="24"/>
          <w:szCs w:val="24"/>
        </w:rPr>
      </w:pPr>
      <w:r w:rsidRPr="0020440D">
        <w:rPr>
          <w:rFonts w:cstheme="minorHAnsi"/>
          <w:b/>
          <w:sz w:val="24"/>
          <w:szCs w:val="24"/>
        </w:rPr>
        <w:t>Not</w:t>
      </w:r>
      <w:r w:rsidR="00A52E9F" w:rsidRPr="0020440D">
        <w:rPr>
          <w:rFonts w:cstheme="minorHAnsi"/>
          <w:b/>
          <w:sz w:val="24"/>
          <w:szCs w:val="24"/>
        </w:rPr>
        <w:t xml:space="preserve">e by the NGO (Mercy Foundation), </w:t>
      </w:r>
      <w:r w:rsidR="0069692A" w:rsidRPr="0020440D">
        <w:rPr>
          <w:rFonts w:cstheme="minorHAnsi"/>
          <w:b/>
          <w:sz w:val="24"/>
          <w:szCs w:val="24"/>
        </w:rPr>
        <w:t>on</w:t>
      </w:r>
      <w:r w:rsidR="00A52E9F" w:rsidRPr="0020440D">
        <w:rPr>
          <w:rFonts w:cstheme="minorHAnsi"/>
          <w:b/>
          <w:sz w:val="24"/>
          <w:szCs w:val="24"/>
        </w:rPr>
        <w:t xml:space="preserve"> submission </w:t>
      </w:r>
      <w:r w:rsidR="0069692A" w:rsidRPr="0020440D">
        <w:rPr>
          <w:rFonts w:cstheme="minorHAnsi"/>
          <w:b/>
          <w:sz w:val="24"/>
          <w:szCs w:val="24"/>
        </w:rPr>
        <w:t>on the list of issues for the 6th</w:t>
      </w:r>
      <w:r w:rsidR="00A52E9F" w:rsidRPr="0020440D">
        <w:rPr>
          <w:rFonts w:cstheme="minorHAnsi"/>
          <w:b/>
          <w:sz w:val="24"/>
          <w:szCs w:val="24"/>
        </w:rPr>
        <w:t xml:space="preserve"> periodic review of Australia </w:t>
      </w:r>
    </w:p>
    <w:p w14:paraId="1437D4A9" w14:textId="06F88F75" w:rsidR="00A52E9F" w:rsidRPr="0020440D" w:rsidRDefault="00A52E9F">
      <w:pPr>
        <w:rPr>
          <w:rFonts w:cstheme="minorHAnsi"/>
          <w:sz w:val="24"/>
          <w:szCs w:val="24"/>
        </w:rPr>
      </w:pPr>
      <w:r w:rsidRPr="0020440D">
        <w:rPr>
          <w:rFonts w:cstheme="minorHAnsi"/>
          <w:sz w:val="24"/>
          <w:szCs w:val="24"/>
        </w:rPr>
        <w:t>On the occasion of the Committee on Economic, Social and Cultural Rights’ review of Australia during its 70</w:t>
      </w:r>
      <w:r w:rsidRPr="0020440D">
        <w:rPr>
          <w:rFonts w:cstheme="minorHAnsi"/>
          <w:sz w:val="24"/>
          <w:szCs w:val="24"/>
          <w:vertAlign w:val="superscript"/>
        </w:rPr>
        <w:t>th</w:t>
      </w:r>
      <w:r w:rsidRPr="0020440D">
        <w:rPr>
          <w:rFonts w:cstheme="minorHAnsi"/>
          <w:sz w:val="24"/>
          <w:szCs w:val="24"/>
        </w:rPr>
        <w:t xml:space="preserve"> session, we submit </w:t>
      </w:r>
      <w:r w:rsidR="0069692A" w:rsidRPr="0020440D">
        <w:rPr>
          <w:rFonts w:cstheme="minorHAnsi"/>
          <w:sz w:val="24"/>
          <w:szCs w:val="24"/>
        </w:rPr>
        <w:t>the following questions</w:t>
      </w:r>
      <w:r w:rsidRPr="0020440D">
        <w:rPr>
          <w:rFonts w:cstheme="minorHAnsi"/>
          <w:sz w:val="24"/>
          <w:szCs w:val="24"/>
        </w:rPr>
        <w:t xml:space="preserve"> to inform the Committee’s preparation of a list of issues, with a view to guiding and focusing the dialogue between the State party’s delegation and t</w:t>
      </w:r>
      <w:r w:rsidR="0066310D" w:rsidRPr="0020440D">
        <w:rPr>
          <w:rFonts w:cstheme="minorHAnsi"/>
          <w:sz w:val="24"/>
          <w:szCs w:val="24"/>
        </w:rPr>
        <w:t>he Committee</w:t>
      </w:r>
      <w:r w:rsidR="00F60240" w:rsidRPr="0020440D">
        <w:rPr>
          <w:rFonts w:cstheme="minorHAnsi"/>
          <w:sz w:val="24"/>
          <w:szCs w:val="24"/>
        </w:rPr>
        <w:t>, under the S</w:t>
      </w:r>
      <w:r w:rsidRPr="0020440D">
        <w:rPr>
          <w:rFonts w:cstheme="minorHAnsi"/>
          <w:sz w:val="24"/>
          <w:szCs w:val="24"/>
        </w:rPr>
        <w:t>implif</w:t>
      </w:r>
      <w:r w:rsidR="00F60240" w:rsidRPr="0020440D">
        <w:rPr>
          <w:rFonts w:cstheme="minorHAnsi"/>
          <w:sz w:val="24"/>
          <w:szCs w:val="24"/>
        </w:rPr>
        <w:t>ied Reporting P</w:t>
      </w:r>
      <w:r w:rsidRPr="0020440D">
        <w:rPr>
          <w:rFonts w:cstheme="minorHAnsi"/>
          <w:sz w:val="24"/>
          <w:szCs w:val="24"/>
        </w:rPr>
        <w:t xml:space="preserve">rocedure. </w:t>
      </w:r>
    </w:p>
    <w:p w14:paraId="23C70962" w14:textId="4EE82078" w:rsidR="00F60240" w:rsidRPr="0020440D" w:rsidRDefault="00BD4DF0">
      <w:pPr>
        <w:rPr>
          <w:rFonts w:cstheme="minorHAnsi"/>
          <w:sz w:val="24"/>
          <w:szCs w:val="24"/>
        </w:rPr>
      </w:pPr>
      <w:r w:rsidRPr="0020440D">
        <w:rPr>
          <w:rFonts w:cstheme="minorHAnsi"/>
          <w:sz w:val="24"/>
          <w:szCs w:val="24"/>
        </w:rPr>
        <w:t>T</w:t>
      </w:r>
      <w:r w:rsidR="00686DBA" w:rsidRPr="0020440D">
        <w:rPr>
          <w:rFonts w:cstheme="minorHAnsi"/>
          <w:sz w:val="24"/>
          <w:szCs w:val="24"/>
        </w:rPr>
        <w:t>he Mercy F</w:t>
      </w:r>
      <w:r w:rsidRPr="0020440D">
        <w:rPr>
          <w:rFonts w:cstheme="minorHAnsi"/>
          <w:sz w:val="24"/>
          <w:szCs w:val="24"/>
        </w:rPr>
        <w:t>oundation strives to</w:t>
      </w:r>
      <w:r w:rsidR="003D5209" w:rsidRPr="0020440D">
        <w:rPr>
          <w:rFonts w:cstheme="minorHAnsi"/>
          <w:sz w:val="24"/>
          <w:szCs w:val="24"/>
        </w:rPr>
        <w:t xml:space="preserve"> </w:t>
      </w:r>
      <w:r w:rsidRPr="0020440D">
        <w:rPr>
          <w:rFonts w:cstheme="minorHAnsi"/>
          <w:bCs/>
          <w:sz w:val="24"/>
          <w:szCs w:val="24"/>
        </w:rPr>
        <w:t>end homelessness</w:t>
      </w:r>
      <w:r w:rsidRPr="0020440D">
        <w:rPr>
          <w:rFonts w:cstheme="minorHAnsi"/>
          <w:sz w:val="24"/>
          <w:szCs w:val="24"/>
        </w:rPr>
        <w:t>, </w:t>
      </w:r>
      <w:r w:rsidRPr="0020440D">
        <w:rPr>
          <w:rFonts w:cstheme="minorHAnsi"/>
          <w:bCs/>
          <w:sz w:val="24"/>
          <w:szCs w:val="24"/>
        </w:rPr>
        <w:t>end human trafficking and slavery</w:t>
      </w:r>
      <w:r w:rsidRPr="0020440D">
        <w:rPr>
          <w:rFonts w:cstheme="minorHAnsi"/>
          <w:sz w:val="24"/>
          <w:szCs w:val="24"/>
        </w:rPr>
        <w:t> and bring about </w:t>
      </w:r>
      <w:r w:rsidRPr="0020440D">
        <w:rPr>
          <w:rFonts w:cstheme="minorHAnsi"/>
          <w:bCs/>
          <w:sz w:val="24"/>
          <w:szCs w:val="24"/>
        </w:rPr>
        <w:t>greater social justice</w:t>
      </w:r>
      <w:r w:rsidRPr="0020440D">
        <w:rPr>
          <w:rFonts w:cstheme="minorHAnsi"/>
          <w:sz w:val="24"/>
          <w:szCs w:val="24"/>
        </w:rPr>
        <w:t> in com</w:t>
      </w:r>
      <w:r w:rsidR="00686DBA" w:rsidRPr="0020440D">
        <w:rPr>
          <w:rFonts w:cstheme="minorHAnsi"/>
          <w:sz w:val="24"/>
          <w:szCs w:val="24"/>
        </w:rPr>
        <w:t>munities across Australia. The Mercy F</w:t>
      </w:r>
      <w:r w:rsidRPr="0020440D">
        <w:rPr>
          <w:rFonts w:cstheme="minorHAnsi"/>
          <w:sz w:val="24"/>
          <w:szCs w:val="24"/>
        </w:rPr>
        <w:t>oundation is committed to social justice and addressing the </w:t>
      </w:r>
      <w:r w:rsidRPr="0020440D">
        <w:rPr>
          <w:rFonts w:cstheme="minorHAnsi"/>
          <w:bCs/>
          <w:sz w:val="24"/>
          <w:szCs w:val="24"/>
        </w:rPr>
        <w:t>root causes of poverty and inequality</w:t>
      </w:r>
      <w:r w:rsidRPr="0020440D">
        <w:rPr>
          <w:rFonts w:cstheme="minorHAnsi"/>
          <w:sz w:val="24"/>
          <w:szCs w:val="24"/>
        </w:rPr>
        <w:t> in our community.</w:t>
      </w:r>
      <w:r w:rsidR="008B0CD3" w:rsidRPr="0020440D">
        <w:rPr>
          <w:rStyle w:val="FootnoteReference"/>
          <w:rFonts w:cstheme="minorHAnsi"/>
          <w:sz w:val="24"/>
          <w:szCs w:val="24"/>
        </w:rPr>
        <w:footnoteReference w:id="1"/>
      </w:r>
      <w:r w:rsidR="00F60240" w:rsidRPr="0020440D">
        <w:rPr>
          <w:rFonts w:cstheme="minorHAnsi"/>
          <w:sz w:val="24"/>
          <w:szCs w:val="24"/>
        </w:rPr>
        <w:t xml:space="preserve"> </w:t>
      </w:r>
    </w:p>
    <w:p w14:paraId="1F60D90B" w14:textId="46F5C084" w:rsidR="002A7856" w:rsidRPr="0020440D" w:rsidRDefault="002A7856">
      <w:pPr>
        <w:rPr>
          <w:rFonts w:cstheme="minorHAnsi"/>
          <w:sz w:val="24"/>
          <w:szCs w:val="24"/>
        </w:rPr>
      </w:pPr>
      <w:r w:rsidRPr="0020440D">
        <w:rPr>
          <w:rFonts w:cstheme="minorHAnsi"/>
          <w:sz w:val="24"/>
          <w:szCs w:val="24"/>
        </w:rPr>
        <w:t xml:space="preserve">The </w:t>
      </w:r>
      <w:r w:rsidR="00686DBA" w:rsidRPr="0020440D">
        <w:rPr>
          <w:rFonts w:cstheme="minorHAnsi"/>
          <w:sz w:val="24"/>
          <w:szCs w:val="24"/>
        </w:rPr>
        <w:t>submission to inform</w:t>
      </w:r>
      <w:r w:rsidRPr="0020440D">
        <w:rPr>
          <w:rFonts w:cstheme="minorHAnsi"/>
          <w:sz w:val="24"/>
          <w:szCs w:val="24"/>
        </w:rPr>
        <w:t xml:space="preserve"> the list of issues reflects the Mercy Foundation’s Mission, but the Foundation recognises the </w:t>
      </w:r>
      <w:r w:rsidR="0069692A" w:rsidRPr="0020440D">
        <w:rPr>
          <w:rFonts w:cstheme="minorHAnsi"/>
          <w:sz w:val="24"/>
          <w:szCs w:val="24"/>
        </w:rPr>
        <w:t>indivisibility and interdependency among</w:t>
      </w:r>
      <w:r w:rsidRPr="0020440D">
        <w:rPr>
          <w:rFonts w:cstheme="minorHAnsi"/>
          <w:sz w:val="24"/>
          <w:szCs w:val="24"/>
        </w:rPr>
        <w:t xml:space="preserve"> all human rights,</w:t>
      </w:r>
      <w:r w:rsidR="0069692A" w:rsidRPr="0020440D">
        <w:rPr>
          <w:rStyle w:val="FootnoteReference"/>
          <w:rFonts w:cstheme="minorHAnsi"/>
          <w:sz w:val="24"/>
          <w:szCs w:val="24"/>
        </w:rPr>
        <w:footnoteReference w:id="2"/>
      </w:r>
      <w:r w:rsidRPr="0020440D">
        <w:rPr>
          <w:rFonts w:cstheme="minorHAnsi"/>
          <w:sz w:val="24"/>
          <w:szCs w:val="24"/>
        </w:rPr>
        <w:t xml:space="preserve"> and stresses that the Sta</w:t>
      </w:r>
      <w:r w:rsidR="00F60240" w:rsidRPr="0020440D">
        <w:rPr>
          <w:rFonts w:cstheme="minorHAnsi"/>
          <w:sz w:val="24"/>
          <w:szCs w:val="24"/>
        </w:rPr>
        <w:t>te p</w:t>
      </w:r>
      <w:r w:rsidRPr="0020440D">
        <w:rPr>
          <w:rFonts w:cstheme="minorHAnsi"/>
          <w:sz w:val="24"/>
          <w:szCs w:val="24"/>
        </w:rPr>
        <w:t xml:space="preserve">arty’s fulfilment of its obligations with respect to </w:t>
      </w:r>
      <w:r w:rsidR="00686DBA" w:rsidRPr="0020440D">
        <w:rPr>
          <w:rFonts w:cstheme="minorHAnsi"/>
          <w:sz w:val="24"/>
          <w:szCs w:val="24"/>
        </w:rPr>
        <w:t>any of the rights</w:t>
      </w:r>
      <w:r w:rsidRPr="0020440D">
        <w:rPr>
          <w:rFonts w:cstheme="minorHAnsi"/>
          <w:sz w:val="24"/>
          <w:szCs w:val="24"/>
        </w:rPr>
        <w:t xml:space="preserve"> </w:t>
      </w:r>
      <w:r w:rsidR="00F60240" w:rsidRPr="0020440D">
        <w:rPr>
          <w:rFonts w:cstheme="minorHAnsi"/>
          <w:sz w:val="24"/>
          <w:szCs w:val="24"/>
        </w:rPr>
        <w:t>will</w:t>
      </w:r>
      <w:r w:rsidRPr="0020440D">
        <w:rPr>
          <w:rFonts w:cstheme="minorHAnsi"/>
          <w:sz w:val="24"/>
          <w:szCs w:val="24"/>
        </w:rPr>
        <w:t xml:space="preserve"> lead to greater enjoyment of </w:t>
      </w:r>
      <w:r w:rsidR="00721036" w:rsidRPr="0020440D">
        <w:rPr>
          <w:rFonts w:cstheme="minorHAnsi"/>
          <w:sz w:val="24"/>
          <w:szCs w:val="24"/>
        </w:rPr>
        <w:t xml:space="preserve">all </w:t>
      </w:r>
      <w:r w:rsidR="00686DBA" w:rsidRPr="0020440D">
        <w:rPr>
          <w:rFonts w:cstheme="minorHAnsi"/>
          <w:sz w:val="24"/>
          <w:szCs w:val="24"/>
        </w:rPr>
        <w:t>I</w:t>
      </w:r>
      <w:r w:rsidR="00721036" w:rsidRPr="0020440D">
        <w:rPr>
          <w:rFonts w:cstheme="minorHAnsi"/>
          <w:sz w:val="24"/>
          <w:szCs w:val="24"/>
        </w:rPr>
        <w:t xml:space="preserve">CESCR </w:t>
      </w:r>
      <w:r w:rsidRPr="0020440D">
        <w:rPr>
          <w:rFonts w:cstheme="minorHAnsi"/>
          <w:sz w:val="24"/>
          <w:szCs w:val="24"/>
        </w:rPr>
        <w:t xml:space="preserve">rights.  </w:t>
      </w:r>
    </w:p>
    <w:p w14:paraId="3CE605A0" w14:textId="77777777" w:rsidR="00A52E9F" w:rsidRPr="0020440D" w:rsidRDefault="00A52E9F">
      <w:pPr>
        <w:rPr>
          <w:rFonts w:cstheme="minorHAnsi"/>
          <w:sz w:val="24"/>
          <w:szCs w:val="24"/>
        </w:rPr>
      </w:pPr>
    </w:p>
    <w:p w14:paraId="5F72A7BC" w14:textId="0070C275" w:rsidR="00A52E9F" w:rsidRPr="0020440D" w:rsidRDefault="008B127C" w:rsidP="009D76A6">
      <w:pPr>
        <w:rPr>
          <w:rFonts w:cstheme="minorHAnsi"/>
          <w:b/>
          <w:sz w:val="24"/>
          <w:szCs w:val="24"/>
        </w:rPr>
      </w:pPr>
      <w:r w:rsidRPr="0020440D">
        <w:rPr>
          <w:rFonts w:cstheme="minorHAnsi"/>
          <w:b/>
          <w:sz w:val="24"/>
          <w:szCs w:val="24"/>
        </w:rPr>
        <w:t xml:space="preserve">Incorporation of </w:t>
      </w:r>
      <w:r w:rsidR="00A52E9F" w:rsidRPr="0020440D">
        <w:rPr>
          <w:rFonts w:cstheme="minorHAnsi"/>
          <w:b/>
          <w:sz w:val="24"/>
          <w:szCs w:val="24"/>
        </w:rPr>
        <w:t>Convention</w:t>
      </w:r>
      <w:r w:rsidRPr="0020440D">
        <w:rPr>
          <w:rFonts w:cstheme="minorHAnsi"/>
          <w:b/>
          <w:sz w:val="24"/>
          <w:szCs w:val="24"/>
        </w:rPr>
        <w:t xml:space="preserve"> Rights in Domestic Law and Ability to Claim and Enforce Covenant Rights:</w:t>
      </w:r>
    </w:p>
    <w:p w14:paraId="158636E8" w14:textId="44DCAC83" w:rsidR="00F60240" w:rsidRPr="0020440D" w:rsidRDefault="008B127C" w:rsidP="009D76A6">
      <w:pPr>
        <w:pStyle w:val="ListParagraph"/>
        <w:numPr>
          <w:ilvl w:val="0"/>
          <w:numId w:val="8"/>
        </w:numPr>
        <w:rPr>
          <w:rFonts w:cstheme="minorHAnsi"/>
          <w:sz w:val="24"/>
          <w:szCs w:val="24"/>
        </w:rPr>
      </w:pPr>
      <w:r w:rsidRPr="0020440D">
        <w:rPr>
          <w:rFonts w:cstheme="minorHAnsi"/>
          <w:sz w:val="24"/>
          <w:szCs w:val="24"/>
        </w:rPr>
        <w:t xml:space="preserve">Provide information, in accordance with the Committee’s </w:t>
      </w:r>
      <w:r w:rsidR="00F60240" w:rsidRPr="0020440D">
        <w:rPr>
          <w:rFonts w:cstheme="minorHAnsi"/>
          <w:sz w:val="24"/>
          <w:szCs w:val="24"/>
        </w:rPr>
        <w:t xml:space="preserve">recommendation in the </w:t>
      </w:r>
      <w:r w:rsidRPr="0020440D">
        <w:rPr>
          <w:rFonts w:cstheme="minorHAnsi"/>
          <w:sz w:val="24"/>
          <w:szCs w:val="24"/>
        </w:rPr>
        <w:t xml:space="preserve">Concluding Obligations on the </w:t>
      </w:r>
      <w:r w:rsidR="00F60240" w:rsidRPr="0020440D">
        <w:rPr>
          <w:rFonts w:cstheme="minorHAnsi"/>
          <w:sz w:val="24"/>
          <w:szCs w:val="24"/>
        </w:rPr>
        <w:t xml:space="preserve">State’s </w:t>
      </w:r>
      <w:r w:rsidR="00B055BD" w:rsidRPr="0020440D">
        <w:rPr>
          <w:rFonts w:cstheme="minorHAnsi"/>
          <w:sz w:val="24"/>
          <w:szCs w:val="24"/>
        </w:rPr>
        <w:t>Fifth P</w:t>
      </w:r>
      <w:r w:rsidRPr="0020440D">
        <w:rPr>
          <w:rFonts w:cstheme="minorHAnsi"/>
          <w:sz w:val="24"/>
          <w:szCs w:val="24"/>
        </w:rPr>
        <w:t xml:space="preserve">eriodic </w:t>
      </w:r>
      <w:r w:rsidR="00B055BD" w:rsidRPr="0020440D">
        <w:rPr>
          <w:rFonts w:cstheme="minorHAnsi"/>
          <w:sz w:val="24"/>
          <w:szCs w:val="24"/>
        </w:rPr>
        <w:t>R</w:t>
      </w:r>
      <w:r w:rsidRPr="0020440D">
        <w:rPr>
          <w:rFonts w:cstheme="minorHAnsi"/>
          <w:sz w:val="24"/>
          <w:szCs w:val="24"/>
        </w:rPr>
        <w:t>eport</w:t>
      </w:r>
      <w:r w:rsidR="00076284" w:rsidRPr="0020440D">
        <w:rPr>
          <w:rStyle w:val="FootnoteReference"/>
          <w:rFonts w:cstheme="minorHAnsi"/>
          <w:sz w:val="24"/>
          <w:szCs w:val="24"/>
        </w:rPr>
        <w:footnoteReference w:id="3"/>
      </w:r>
      <w:r w:rsidR="00F60240" w:rsidRPr="0020440D">
        <w:rPr>
          <w:rFonts w:cstheme="minorHAnsi"/>
          <w:sz w:val="24"/>
          <w:szCs w:val="24"/>
        </w:rPr>
        <w:t xml:space="preserve"> on:</w:t>
      </w:r>
    </w:p>
    <w:p w14:paraId="73FA6FD8" w14:textId="605D12AE" w:rsidR="00F60240" w:rsidRPr="0020440D" w:rsidRDefault="00F60240" w:rsidP="009D76A6">
      <w:pPr>
        <w:pStyle w:val="ListParagraph"/>
        <w:numPr>
          <w:ilvl w:val="1"/>
          <w:numId w:val="8"/>
        </w:numPr>
        <w:rPr>
          <w:rFonts w:cstheme="minorHAnsi"/>
          <w:sz w:val="24"/>
          <w:szCs w:val="24"/>
        </w:rPr>
      </w:pPr>
      <w:r w:rsidRPr="0020440D">
        <w:rPr>
          <w:rFonts w:cstheme="minorHAnsi"/>
          <w:sz w:val="24"/>
          <w:szCs w:val="24"/>
        </w:rPr>
        <w:t>the State party’s</w:t>
      </w:r>
      <w:r w:rsidR="008B127C" w:rsidRPr="0020440D">
        <w:rPr>
          <w:rFonts w:cstheme="minorHAnsi"/>
          <w:sz w:val="24"/>
          <w:szCs w:val="24"/>
        </w:rPr>
        <w:t xml:space="preserve"> immediate steps to incorporate fully the Co</w:t>
      </w:r>
      <w:r w:rsidRPr="0020440D">
        <w:rPr>
          <w:rFonts w:cstheme="minorHAnsi"/>
          <w:sz w:val="24"/>
          <w:szCs w:val="24"/>
        </w:rPr>
        <w:t>venant rights into domestic law</w:t>
      </w:r>
      <w:r w:rsidR="00CF2014" w:rsidRPr="0020440D">
        <w:rPr>
          <w:rFonts w:cstheme="minorHAnsi"/>
          <w:sz w:val="24"/>
          <w:szCs w:val="24"/>
        </w:rPr>
        <w:t>;</w:t>
      </w:r>
      <w:r w:rsidR="008B127C" w:rsidRPr="0020440D">
        <w:rPr>
          <w:rFonts w:cstheme="minorHAnsi"/>
          <w:sz w:val="24"/>
          <w:szCs w:val="24"/>
        </w:rPr>
        <w:t xml:space="preserve"> </w:t>
      </w:r>
    </w:p>
    <w:p w14:paraId="482B52BF" w14:textId="2709EAAF" w:rsidR="008B127C" w:rsidRPr="0020440D" w:rsidRDefault="008B127C" w:rsidP="009D76A6">
      <w:pPr>
        <w:pStyle w:val="ListParagraph"/>
        <w:numPr>
          <w:ilvl w:val="1"/>
          <w:numId w:val="8"/>
        </w:numPr>
        <w:rPr>
          <w:rFonts w:cstheme="minorHAnsi"/>
          <w:sz w:val="24"/>
          <w:szCs w:val="24"/>
        </w:rPr>
      </w:pPr>
      <w:r w:rsidRPr="0020440D">
        <w:rPr>
          <w:rFonts w:cstheme="minorHAnsi"/>
          <w:sz w:val="24"/>
          <w:szCs w:val="24"/>
        </w:rPr>
        <w:t>the State party’s progress in ensuring legal access to the Covenant rights and individuals’ ability to claim and enforce the Covenant rights.</w:t>
      </w:r>
    </w:p>
    <w:p w14:paraId="49FC9579" w14:textId="05A13443" w:rsidR="008B127C" w:rsidRPr="0020440D" w:rsidRDefault="008B127C" w:rsidP="009D76A6">
      <w:pPr>
        <w:pStyle w:val="ListParagraph"/>
        <w:numPr>
          <w:ilvl w:val="0"/>
          <w:numId w:val="8"/>
        </w:numPr>
        <w:rPr>
          <w:rFonts w:cstheme="minorHAnsi"/>
          <w:sz w:val="24"/>
          <w:szCs w:val="24"/>
        </w:rPr>
      </w:pPr>
      <w:r w:rsidRPr="0020440D">
        <w:rPr>
          <w:rFonts w:cstheme="minorHAnsi"/>
          <w:sz w:val="24"/>
          <w:szCs w:val="24"/>
        </w:rPr>
        <w:t>Provide information on plans to ratify the Optional Protocol to the Covenant.</w:t>
      </w:r>
    </w:p>
    <w:p w14:paraId="7C60C08E" w14:textId="48436BCA" w:rsidR="005A0EF3" w:rsidRPr="0020440D" w:rsidRDefault="005A0EF3" w:rsidP="005A0EF3">
      <w:pPr>
        <w:rPr>
          <w:rFonts w:cstheme="minorHAnsi"/>
          <w:sz w:val="24"/>
          <w:szCs w:val="24"/>
        </w:rPr>
      </w:pPr>
    </w:p>
    <w:p w14:paraId="5D8AED5D" w14:textId="5BD56CC8" w:rsidR="005A0EF3" w:rsidRPr="0020440D" w:rsidRDefault="005A0EF3" w:rsidP="009D76A6">
      <w:pPr>
        <w:rPr>
          <w:rFonts w:cstheme="minorHAnsi"/>
          <w:b/>
          <w:sz w:val="24"/>
          <w:szCs w:val="24"/>
        </w:rPr>
      </w:pPr>
      <w:r w:rsidRPr="0020440D">
        <w:rPr>
          <w:rFonts w:cstheme="minorHAnsi"/>
          <w:b/>
          <w:sz w:val="24"/>
          <w:szCs w:val="24"/>
        </w:rPr>
        <w:t>Federal/Commonwealth Government’s International Obligations for the Right to Housing</w:t>
      </w:r>
      <w:r w:rsidR="00F479FB" w:rsidRPr="0020440D">
        <w:rPr>
          <w:rFonts w:cstheme="minorHAnsi"/>
          <w:b/>
          <w:sz w:val="24"/>
          <w:szCs w:val="24"/>
        </w:rPr>
        <w:t>:</w:t>
      </w:r>
    </w:p>
    <w:p w14:paraId="002AB7CF" w14:textId="427D103E" w:rsidR="005A0EF3" w:rsidRPr="0020440D" w:rsidRDefault="00CB2CA1" w:rsidP="009D76A6">
      <w:pPr>
        <w:pStyle w:val="ListParagraph"/>
        <w:numPr>
          <w:ilvl w:val="0"/>
          <w:numId w:val="8"/>
        </w:numPr>
        <w:rPr>
          <w:rFonts w:cstheme="minorHAnsi"/>
          <w:sz w:val="24"/>
          <w:szCs w:val="24"/>
        </w:rPr>
      </w:pPr>
      <w:r w:rsidRPr="0020440D">
        <w:rPr>
          <w:rFonts w:cstheme="minorHAnsi"/>
          <w:sz w:val="24"/>
          <w:szCs w:val="24"/>
        </w:rPr>
        <w:t>Provide information on how the State party</w:t>
      </w:r>
      <w:r w:rsidR="005A0EF3" w:rsidRPr="0020440D">
        <w:rPr>
          <w:rFonts w:cstheme="minorHAnsi"/>
          <w:sz w:val="24"/>
          <w:szCs w:val="24"/>
        </w:rPr>
        <w:t xml:space="preserve"> supports States and Territories within Australia’s federal system to progressively realise the right to housing, including through financial arrangements, in accordance with the State’s ultimate obligations for the Covenant rights under international law.</w:t>
      </w:r>
    </w:p>
    <w:p w14:paraId="55B75556" w14:textId="16906417" w:rsidR="00BD4DF0" w:rsidRPr="0020440D" w:rsidRDefault="00BD4DF0" w:rsidP="00BD4DF0">
      <w:pPr>
        <w:rPr>
          <w:rFonts w:cstheme="minorHAnsi"/>
          <w:sz w:val="24"/>
          <w:szCs w:val="24"/>
        </w:rPr>
      </w:pPr>
    </w:p>
    <w:p w14:paraId="3C5C872B" w14:textId="64755C9B" w:rsidR="008B14B3" w:rsidRPr="0020440D" w:rsidRDefault="00F32C54" w:rsidP="009D76A6">
      <w:pPr>
        <w:rPr>
          <w:rFonts w:cstheme="minorHAnsi"/>
          <w:b/>
          <w:sz w:val="24"/>
          <w:szCs w:val="24"/>
        </w:rPr>
      </w:pPr>
      <w:r w:rsidRPr="0020440D">
        <w:rPr>
          <w:rFonts w:cstheme="minorHAnsi"/>
          <w:b/>
          <w:sz w:val="24"/>
          <w:szCs w:val="24"/>
        </w:rPr>
        <w:t>Self-Determination (Art</w:t>
      </w:r>
      <w:r w:rsidR="00F479FB" w:rsidRPr="0020440D">
        <w:rPr>
          <w:rFonts w:cstheme="minorHAnsi"/>
          <w:b/>
          <w:sz w:val="24"/>
          <w:szCs w:val="24"/>
        </w:rPr>
        <w:t>icle</w:t>
      </w:r>
      <w:r w:rsidRPr="0020440D">
        <w:rPr>
          <w:rFonts w:cstheme="minorHAnsi"/>
          <w:b/>
          <w:sz w:val="24"/>
          <w:szCs w:val="24"/>
        </w:rPr>
        <w:t xml:space="preserve"> 1)</w:t>
      </w:r>
      <w:r w:rsidR="003620FB" w:rsidRPr="0020440D">
        <w:rPr>
          <w:rFonts w:cstheme="minorHAnsi"/>
          <w:b/>
          <w:sz w:val="24"/>
          <w:szCs w:val="24"/>
        </w:rPr>
        <w:t>:</w:t>
      </w:r>
    </w:p>
    <w:p w14:paraId="6F18AF7C" w14:textId="79357B34" w:rsidR="000D4F2F" w:rsidRPr="0020440D" w:rsidRDefault="000D4F2F" w:rsidP="009D76A6">
      <w:pPr>
        <w:pStyle w:val="ListParagraph"/>
        <w:numPr>
          <w:ilvl w:val="0"/>
          <w:numId w:val="8"/>
        </w:numPr>
        <w:rPr>
          <w:rFonts w:cstheme="minorHAnsi"/>
          <w:sz w:val="24"/>
          <w:szCs w:val="24"/>
        </w:rPr>
      </w:pPr>
      <w:r w:rsidRPr="0020440D">
        <w:rPr>
          <w:rFonts w:cstheme="minorHAnsi"/>
          <w:sz w:val="24"/>
          <w:szCs w:val="24"/>
        </w:rPr>
        <w:t xml:space="preserve">Provide information on steps taken to guarantee meaningful self-determination to Australia’s </w:t>
      </w:r>
      <w:r w:rsidR="006108BA" w:rsidRPr="0020440D">
        <w:rPr>
          <w:rFonts w:cstheme="minorHAnsi"/>
          <w:sz w:val="24"/>
          <w:szCs w:val="24"/>
        </w:rPr>
        <w:t xml:space="preserve">First Nations </w:t>
      </w:r>
      <w:r w:rsidR="003D5209" w:rsidRPr="0020440D">
        <w:rPr>
          <w:rFonts w:cstheme="minorHAnsi"/>
          <w:sz w:val="24"/>
          <w:szCs w:val="24"/>
        </w:rPr>
        <w:t>P</w:t>
      </w:r>
      <w:r w:rsidR="006108BA" w:rsidRPr="0020440D">
        <w:rPr>
          <w:rFonts w:cstheme="minorHAnsi"/>
          <w:sz w:val="24"/>
          <w:szCs w:val="24"/>
        </w:rPr>
        <w:t>eoples</w:t>
      </w:r>
      <w:r w:rsidR="00407A32" w:rsidRPr="0020440D">
        <w:rPr>
          <w:rFonts w:cstheme="minorHAnsi"/>
          <w:sz w:val="24"/>
          <w:szCs w:val="24"/>
        </w:rPr>
        <w:t xml:space="preserve">, including through the </w:t>
      </w:r>
      <w:r w:rsidRPr="0020440D">
        <w:rPr>
          <w:rFonts w:cstheme="minorHAnsi"/>
          <w:sz w:val="24"/>
          <w:szCs w:val="24"/>
        </w:rPr>
        <w:t>State party’s immediate steps to incorporate fully the UNDRIP into domestic law</w:t>
      </w:r>
      <w:r w:rsidR="00407A32" w:rsidRPr="0020440D">
        <w:rPr>
          <w:rFonts w:cstheme="minorHAnsi"/>
          <w:sz w:val="24"/>
          <w:szCs w:val="24"/>
        </w:rPr>
        <w:t>.</w:t>
      </w:r>
    </w:p>
    <w:p w14:paraId="1F50725C" w14:textId="2B44586D" w:rsidR="009D76A6" w:rsidRPr="0020440D" w:rsidRDefault="009D76A6" w:rsidP="0066310D">
      <w:pPr>
        <w:pStyle w:val="ListParagraph"/>
        <w:rPr>
          <w:rFonts w:cstheme="minorHAnsi"/>
          <w:sz w:val="24"/>
          <w:szCs w:val="24"/>
        </w:rPr>
      </w:pPr>
    </w:p>
    <w:p w14:paraId="51EB4FF4" w14:textId="129EBD70" w:rsidR="005A0EF3" w:rsidRPr="0020440D" w:rsidRDefault="005A0EF3" w:rsidP="009D76A6">
      <w:pPr>
        <w:rPr>
          <w:rFonts w:cstheme="minorHAnsi"/>
          <w:b/>
          <w:sz w:val="24"/>
          <w:szCs w:val="24"/>
        </w:rPr>
      </w:pPr>
      <w:r w:rsidRPr="0020440D">
        <w:rPr>
          <w:rFonts w:cstheme="minorHAnsi"/>
          <w:b/>
          <w:sz w:val="24"/>
          <w:szCs w:val="24"/>
        </w:rPr>
        <w:t>Non Discrimination and Equality in the Enjoyment of Covenant Rights (Art</w:t>
      </w:r>
      <w:r w:rsidR="00686DBA" w:rsidRPr="0020440D">
        <w:rPr>
          <w:rFonts w:cstheme="minorHAnsi"/>
          <w:b/>
          <w:sz w:val="24"/>
          <w:szCs w:val="24"/>
        </w:rPr>
        <w:t>icle</w:t>
      </w:r>
      <w:r w:rsidRPr="0020440D">
        <w:rPr>
          <w:rFonts w:cstheme="minorHAnsi"/>
          <w:b/>
          <w:sz w:val="24"/>
          <w:szCs w:val="24"/>
        </w:rPr>
        <w:t xml:space="preserve"> 2(2); Art</w:t>
      </w:r>
      <w:r w:rsidR="00686DBA" w:rsidRPr="0020440D">
        <w:rPr>
          <w:rFonts w:cstheme="minorHAnsi"/>
          <w:b/>
          <w:sz w:val="24"/>
          <w:szCs w:val="24"/>
        </w:rPr>
        <w:t>icle</w:t>
      </w:r>
      <w:r w:rsidRPr="0020440D">
        <w:rPr>
          <w:rFonts w:cstheme="minorHAnsi"/>
          <w:b/>
          <w:sz w:val="24"/>
          <w:szCs w:val="24"/>
        </w:rPr>
        <w:t xml:space="preserve"> 3)</w:t>
      </w:r>
      <w:r w:rsidR="00F479FB" w:rsidRPr="0020440D">
        <w:rPr>
          <w:rFonts w:cstheme="minorHAnsi"/>
          <w:b/>
          <w:sz w:val="24"/>
          <w:szCs w:val="24"/>
        </w:rPr>
        <w:t>:</w:t>
      </w:r>
    </w:p>
    <w:p w14:paraId="65954CFD" w14:textId="02D3516B" w:rsidR="005A0EF3" w:rsidRPr="0020440D" w:rsidRDefault="00AC607D" w:rsidP="009D76A6">
      <w:pPr>
        <w:pStyle w:val="ListParagraph"/>
        <w:numPr>
          <w:ilvl w:val="0"/>
          <w:numId w:val="8"/>
        </w:numPr>
        <w:rPr>
          <w:rFonts w:cstheme="minorHAnsi"/>
          <w:sz w:val="24"/>
          <w:szCs w:val="24"/>
        </w:rPr>
      </w:pPr>
      <w:r w:rsidRPr="0020440D">
        <w:rPr>
          <w:rFonts w:cstheme="minorHAnsi"/>
          <w:sz w:val="24"/>
          <w:szCs w:val="24"/>
        </w:rPr>
        <w:t>Provide information on steps to end discrimination in housing policy on an immediate basis, reflecting the status of non-discrimination as a norm of customary international law</w:t>
      </w:r>
      <w:r w:rsidR="00CB2CA1" w:rsidRPr="0020440D">
        <w:rPr>
          <w:rFonts w:cstheme="minorHAnsi"/>
          <w:sz w:val="24"/>
          <w:szCs w:val="24"/>
        </w:rPr>
        <w:t xml:space="preserve"> as well as a Covenant right.</w:t>
      </w:r>
      <w:r w:rsidRPr="0020440D">
        <w:rPr>
          <w:rFonts w:cstheme="minorHAnsi"/>
          <w:sz w:val="24"/>
          <w:szCs w:val="24"/>
        </w:rPr>
        <w:t xml:space="preserve">  </w:t>
      </w:r>
      <w:r w:rsidR="00CB2CA1" w:rsidRPr="0020440D">
        <w:rPr>
          <w:rFonts w:cstheme="minorHAnsi"/>
          <w:sz w:val="24"/>
          <w:szCs w:val="24"/>
        </w:rPr>
        <w:t xml:space="preserve">The State party should provide </w:t>
      </w:r>
      <w:r w:rsidRPr="0020440D">
        <w:rPr>
          <w:rFonts w:cstheme="minorHAnsi"/>
          <w:sz w:val="24"/>
          <w:szCs w:val="24"/>
        </w:rPr>
        <w:t xml:space="preserve">specific </w:t>
      </w:r>
      <w:r w:rsidR="00CB2CA1" w:rsidRPr="0020440D">
        <w:rPr>
          <w:rFonts w:cstheme="minorHAnsi"/>
          <w:sz w:val="24"/>
          <w:szCs w:val="24"/>
        </w:rPr>
        <w:t>information on:</w:t>
      </w:r>
      <w:r w:rsidRPr="0020440D">
        <w:rPr>
          <w:rFonts w:cstheme="minorHAnsi"/>
          <w:sz w:val="24"/>
          <w:szCs w:val="24"/>
        </w:rPr>
        <w:t xml:space="preserve"> </w:t>
      </w:r>
    </w:p>
    <w:p w14:paraId="44C174C3" w14:textId="65ED40DD" w:rsidR="00AC607D" w:rsidRPr="0020440D" w:rsidRDefault="00AC607D" w:rsidP="009D76A6">
      <w:pPr>
        <w:pStyle w:val="ListParagraph"/>
        <w:numPr>
          <w:ilvl w:val="1"/>
          <w:numId w:val="8"/>
        </w:numPr>
        <w:rPr>
          <w:rFonts w:cstheme="minorHAnsi"/>
          <w:sz w:val="24"/>
          <w:szCs w:val="24"/>
        </w:rPr>
      </w:pPr>
      <w:r w:rsidRPr="0020440D">
        <w:rPr>
          <w:rFonts w:cstheme="minorHAnsi"/>
          <w:sz w:val="24"/>
          <w:szCs w:val="24"/>
        </w:rPr>
        <w:t>Discriminatory policy with respect to housing for</w:t>
      </w:r>
      <w:r w:rsidR="000D4F2F" w:rsidRPr="0020440D">
        <w:rPr>
          <w:rFonts w:cstheme="minorHAnsi"/>
          <w:sz w:val="24"/>
          <w:szCs w:val="24"/>
        </w:rPr>
        <w:t xml:space="preserve"> Australia’s </w:t>
      </w:r>
      <w:r w:rsidR="006108BA" w:rsidRPr="0020440D">
        <w:rPr>
          <w:rFonts w:cstheme="minorHAnsi"/>
          <w:sz w:val="24"/>
          <w:szCs w:val="24"/>
        </w:rPr>
        <w:t xml:space="preserve">First Nations </w:t>
      </w:r>
      <w:r w:rsidR="003D5209" w:rsidRPr="0020440D">
        <w:rPr>
          <w:rFonts w:cstheme="minorHAnsi"/>
          <w:sz w:val="24"/>
          <w:szCs w:val="24"/>
        </w:rPr>
        <w:t>P</w:t>
      </w:r>
      <w:r w:rsidR="006108BA" w:rsidRPr="0020440D">
        <w:rPr>
          <w:rFonts w:cstheme="minorHAnsi"/>
          <w:sz w:val="24"/>
          <w:szCs w:val="24"/>
        </w:rPr>
        <w:t xml:space="preserve">eoples </w:t>
      </w:r>
      <w:r w:rsidRPr="0020440D">
        <w:rPr>
          <w:rFonts w:cstheme="minorHAnsi"/>
          <w:sz w:val="24"/>
          <w:szCs w:val="24"/>
        </w:rPr>
        <w:t>including in the provision and quality of housing</w:t>
      </w:r>
      <w:r w:rsidR="00CF2014" w:rsidRPr="0020440D">
        <w:rPr>
          <w:rFonts w:cstheme="minorHAnsi"/>
          <w:sz w:val="24"/>
          <w:szCs w:val="24"/>
        </w:rPr>
        <w:t>;</w:t>
      </w:r>
    </w:p>
    <w:p w14:paraId="6F848C2F" w14:textId="52230F86" w:rsidR="00AC607D" w:rsidRPr="0020440D" w:rsidRDefault="00AC607D" w:rsidP="009D76A6">
      <w:pPr>
        <w:pStyle w:val="ListParagraph"/>
        <w:numPr>
          <w:ilvl w:val="1"/>
          <w:numId w:val="8"/>
        </w:numPr>
        <w:rPr>
          <w:rFonts w:cstheme="minorHAnsi"/>
          <w:sz w:val="24"/>
          <w:szCs w:val="24"/>
        </w:rPr>
      </w:pPr>
      <w:r w:rsidRPr="0020440D">
        <w:rPr>
          <w:rFonts w:cstheme="minorHAnsi"/>
          <w:sz w:val="24"/>
          <w:szCs w:val="24"/>
        </w:rPr>
        <w:t>Broader discriminatory policy and law – such as restrictive income management schemes for Aboriginal people</w:t>
      </w:r>
      <w:r w:rsidR="008338B9" w:rsidRPr="0020440D">
        <w:rPr>
          <w:rFonts w:cstheme="minorHAnsi"/>
          <w:sz w:val="24"/>
          <w:szCs w:val="24"/>
        </w:rPr>
        <w:t xml:space="preserve"> noted </w:t>
      </w:r>
      <w:r w:rsidR="00F479FB" w:rsidRPr="0020440D">
        <w:rPr>
          <w:rFonts w:cstheme="minorHAnsi"/>
          <w:sz w:val="24"/>
          <w:szCs w:val="24"/>
        </w:rPr>
        <w:t xml:space="preserve">as </w:t>
      </w:r>
      <w:r w:rsidR="008338B9" w:rsidRPr="0020440D">
        <w:rPr>
          <w:rFonts w:cstheme="minorHAnsi"/>
          <w:sz w:val="24"/>
          <w:szCs w:val="24"/>
        </w:rPr>
        <w:t>of concern in the Committee’s previous Concluding Observations</w:t>
      </w:r>
      <w:r w:rsidR="008338B9" w:rsidRPr="0020440D">
        <w:rPr>
          <w:rStyle w:val="FootnoteReference"/>
          <w:rFonts w:cstheme="minorHAnsi"/>
          <w:sz w:val="24"/>
          <w:szCs w:val="24"/>
        </w:rPr>
        <w:footnoteReference w:id="4"/>
      </w:r>
      <w:r w:rsidRPr="0020440D">
        <w:rPr>
          <w:rFonts w:cstheme="minorHAnsi"/>
          <w:sz w:val="24"/>
          <w:szCs w:val="24"/>
        </w:rPr>
        <w:t xml:space="preserve"> – and their impact on ability to enjoy the right to housing, and </w:t>
      </w:r>
      <w:r w:rsidR="00721036" w:rsidRPr="0020440D">
        <w:rPr>
          <w:rFonts w:cstheme="minorHAnsi"/>
          <w:sz w:val="24"/>
          <w:szCs w:val="24"/>
        </w:rPr>
        <w:t>C</w:t>
      </w:r>
      <w:r w:rsidRPr="0020440D">
        <w:rPr>
          <w:rFonts w:cstheme="minorHAnsi"/>
          <w:sz w:val="24"/>
          <w:szCs w:val="24"/>
        </w:rPr>
        <w:t>ovenant rights more broadly</w:t>
      </w:r>
      <w:r w:rsidR="00CF2014" w:rsidRPr="0020440D">
        <w:rPr>
          <w:rFonts w:cstheme="minorHAnsi"/>
          <w:sz w:val="24"/>
          <w:szCs w:val="24"/>
        </w:rPr>
        <w:t>;</w:t>
      </w:r>
    </w:p>
    <w:p w14:paraId="2E3851A9" w14:textId="73EAC282" w:rsidR="003237D6" w:rsidRPr="0020440D" w:rsidRDefault="00F479FB" w:rsidP="009D76A6">
      <w:pPr>
        <w:pStyle w:val="ListParagraph"/>
        <w:numPr>
          <w:ilvl w:val="1"/>
          <w:numId w:val="8"/>
        </w:numPr>
        <w:rPr>
          <w:rFonts w:cstheme="minorHAnsi"/>
          <w:sz w:val="24"/>
          <w:szCs w:val="24"/>
        </w:rPr>
      </w:pPr>
      <w:r w:rsidRPr="0020440D">
        <w:rPr>
          <w:rFonts w:cstheme="minorHAnsi"/>
          <w:sz w:val="24"/>
          <w:szCs w:val="24"/>
        </w:rPr>
        <w:t>Ability of women to enjoy C</w:t>
      </w:r>
      <w:r w:rsidR="00AC607D" w:rsidRPr="0020440D">
        <w:rPr>
          <w:rFonts w:cstheme="minorHAnsi"/>
          <w:sz w:val="24"/>
          <w:szCs w:val="24"/>
        </w:rPr>
        <w:t>ovenant rights on an equal basis with men</w:t>
      </w:r>
      <w:r w:rsidR="008338B9" w:rsidRPr="0020440D">
        <w:rPr>
          <w:rFonts w:cstheme="minorHAnsi"/>
          <w:sz w:val="24"/>
          <w:szCs w:val="24"/>
        </w:rPr>
        <w:t xml:space="preserve">, as </w:t>
      </w:r>
      <w:r w:rsidRPr="0020440D">
        <w:rPr>
          <w:rFonts w:cstheme="minorHAnsi"/>
          <w:sz w:val="24"/>
          <w:szCs w:val="24"/>
        </w:rPr>
        <w:t>brought to the State p</w:t>
      </w:r>
      <w:r w:rsidR="008338B9" w:rsidRPr="0020440D">
        <w:rPr>
          <w:rFonts w:cstheme="minorHAnsi"/>
          <w:sz w:val="24"/>
          <w:szCs w:val="24"/>
        </w:rPr>
        <w:t>arty’s attention in previous Concluding Observations</w:t>
      </w:r>
      <w:r w:rsidR="00AC607D" w:rsidRPr="0020440D">
        <w:rPr>
          <w:rFonts w:cstheme="minorHAnsi"/>
          <w:sz w:val="24"/>
          <w:szCs w:val="24"/>
        </w:rPr>
        <w:t>.</w:t>
      </w:r>
      <w:r w:rsidR="008338B9" w:rsidRPr="0020440D">
        <w:rPr>
          <w:rStyle w:val="FootnoteReference"/>
          <w:rFonts w:cstheme="minorHAnsi"/>
          <w:sz w:val="24"/>
          <w:szCs w:val="24"/>
        </w:rPr>
        <w:footnoteReference w:id="5"/>
      </w:r>
      <w:r w:rsidR="00AC607D" w:rsidRPr="0020440D">
        <w:rPr>
          <w:rFonts w:cstheme="minorHAnsi"/>
          <w:sz w:val="24"/>
          <w:szCs w:val="24"/>
        </w:rPr>
        <w:t xml:space="preserve">  The state should provide information in particular</w:t>
      </w:r>
      <w:r w:rsidR="003237D6" w:rsidRPr="0020440D">
        <w:rPr>
          <w:rFonts w:cstheme="minorHAnsi"/>
          <w:sz w:val="24"/>
          <w:szCs w:val="24"/>
        </w:rPr>
        <w:t xml:space="preserve"> on:</w:t>
      </w:r>
    </w:p>
    <w:p w14:paraId="6D147F15" w14:textId="2617560E" w:rsidR="003237D6" w:rsidRPr="0020440D" w:rsidRDefault="00AC607D" w:rsidP="009D76A6">
      <w:pPr>
        <w:pStyle w:val="ListParagraph"/>
        <w:numPr>
          <w:ilvl w:val="2"/>
          <w:numId w:val="8"/>
        </w:numPr>
        <w:rPr>
          <w:rFonts w:cstheme="minorHAnsi"/>
          <w:sz w:val="24"/>
          <w:szCs w:val="24"/>
        </w:rPr>
      </w:pPr>
      <w:r w:rsidRPr="0020440D">
        <w:rPr>
          <w:rFonts w:cstheme="minorHAnsi"/>
          <w:sz w:val="24"/>
          <w:szCs w:val="24"/>
        </w:rPr>
        <w:t>high and rising levels of homelessness among older women</w:t>
      </w:r>
      <w:r w:rsidR="00CF2014" w:rsidRPr="0020440D">
        <w:rPr>
          <w:rFonts w:cstheme="minorHAnsi"/>
          <w:sz w:val="24"/>
          <w:szCs w:val="24"/>
        </w:rPr>
        <w:t>;</w:t>
      </w:r>
      <w:r w:rsidR="00D205D8" w:rsidRPr="0020440D">
        <w:rPr>
          <w:rStyle w:val="FootnoteReference"/>
          <w:rFonts w:cstheme="minorHAnsi"/>
          <w:sz w:val="24"/>
          <w:szCs w:val="24"/>
        </w:rPr>
        <w:footnoteReference w:id="6"/>
      </w:r>
      <w:r w:rsidRPr="0020440D">
        <w:rPr>
          <w:rFonts w:cstheme="minorHAnsi"/>
          <w:sz w:val="24"/>
          <w:szCs w:val="24"/>
        </w:rPr>
        <w:t xml:space="preserve"> </w:t>
      </w:r>
    </w:p>
    <w:p w14:paraId="5B046056" w14:textId="368BC4A2" w:rsidR="003237D6" w:rsidRPr="0020440D" w:rsidRDefault="00AC607D" w:rsidP="009D76A6">
      <w:pPr>
        <w:pStyle w:val="ListParagraph"/>
        <w:numPr>
          <w:ilvl w:val="2"/>
          <w:numId w:val="8"/>
        </w:numPr>
        <w:rPr>
          <w:rFonts w:cstheme="minorHAnsi"/>
          <w:sz w:val="24"/>
          <w:szCs w:val="24"/>
        </w:rPr>
      </w:pPr>
      <w:r w:rsidRPr="0020440D">
        <w:rPr>
          <w:rFonts w:cstheme="minorHAnsi"/>
          <w:sz w:val="24"/>
          <w:szCs w:val="24"/>
        </w:rPr>
        <w:t>poverty among women and its impact on the ability to access adequate housing, and</w:t>
      </w:r>
      <w:r w:rsidR="00CF2014" w:rsidRPr="0020440D">
        <w:rPr>
          <w:rFonts w:cstheme="minorHAnsi"/>
          <w:sz w:val="24"/>
          <w:szCs w:val="24"/>
        </w:rPr>
        <w:t>;</w:t>
      </w:r>
      <w:r w:rsidRPr="0020440D">
        <w:rPr>
          <w:rFonts w:cstheme="minorHAnsi"/>
          <w:sz w:val="24"/>
          <w:szCs w:val="24"/>
        </w:rPr>
        <w:t xml:space="preserve"> </w:t>
      </w:r>
    </w:p>
    <w:p w14:paraId="1C08C8A0" w14:textId="2C589D81" w:rsidR="00AC607D" w:rsidRPr="0020440D" w:rsidRDefault="00AC607D" w:rsidP="009D76A6">
      <w:pPr>
        <w:pStyle w:val="ListParagraph"/>
        <w:numPr>
          <w:ilvl w:val="2"/>
          <w:numId w:val="8"/>
        </w:numPr>
        <w:rPr>
          <w:rFonts w:cstheme="minorHAnsi"/>
          <w:sz w:val="24"/>
          <w:szCs w:val="24"/>
        </w:rPr>
      </w:pPr>
      <w:r w:rsidRPr="0020440D">
        <w:rPr>
          <w:rFonts w:cstheme="minorHAnsi"/>
          <w:sz w:val="24"/>
          <w:szCs w:val="24"/>
        </w:rPr>
        <w:t>broader social policy such as superannuation and pension entitlements for women.</w:t>
      </w:r>
      <w:r w:rsidR="00F479FB" w:rsidRPr="0020440D">
        <w:rPr>
          <w:rStyle w:val="FootnoteReference"/>
          <w:rFonts w:cstheme="minorHAnsi"/>
          <w:sz w:val="24"/>
          <w:szCs w:val="24"/>
        </w:rPr>
        <w:footnoteReference w:id="7"/>
      </w:r>
    </w:p>
    <w:p w14:paraId="19EF4F31" w14:textId="32863495" w:rsidR="00783302" w:rsidRPr="0020440D" w:rsidRDefault="00783302" w:rsidP="009D76A6">
      <w:pPr>
        <w:pStyle w:val="ListParagraph"/>
        <w:numPr>
          <w:ilvl w:val="0"/>
          <w:numId w:val="8"/>
        </w:numPr>
        <w:rPr>
          <w:rFonts w:cstheme="minorHAnsi"/>
          <w:sz w:val="24"/>
          <w:szCs w:val="24"/>
        </w:rPr>
      </w:pPr>
      <w:r w:rsidRPr="0020440D">
        <w:rPr>
          <w:rFonts w:cstheme="minorHAnsi"/>
          <w:sz w:val="24"/>
          <w:szCs w:val="24"/>
        </w:rPr>
        <w:lastRenderedPageBreak/>
        <w:t>Please also provide information on the State party’s ability to suspend the Racial Discrimination Act,</w:t>
      </w:r>
      <w:r w:rsidRPr="0020440D">
        <w:rPr>
          <w:rStyle w:val="FootnoteReference"/>
          <w:rFonts w:cstheme="minorHAnsi"/>
          <w:sz w:val="24"/>
          <w:szCs w:val="24"/>
        </w:rPr>
        <w:footnoteReference w:id="8"/>
      </w:r>
      <w:r w:rsidRPr="0020440D">
        <w:rPr>
          <w:rFonts w:cstheme="minorHAnsi"/>
          <w:sz w:val="24"/>
          <w:szCs w:val="24"/>
        </w:rPr>
        <w:t xml:space="preserve"> and its plans to end this practice</w:t>
      </w:r>
      <w:r w:rsidR="003237D6" w:rsidRPr="0020440D">
        <w:rPr>
          <w:rFonts w:cstheme="minorHAnsi"/>
          <w:sz w:val="24"/>
          <w:szCs w:val="24"/>
        </w:rPr>
        <w:t>,</w:t>
      </w:r>
      <w:r w:rsidRPr="0020440D">
        <w:rPr>
          <w:rFonts w:cstheme="minorHAnsi"/>
          <w:sz w:val="24"/>
          <w:szCs w:val="24"/>
        </w:rPr>
        <w:t xml:space="preserve"> which the State party uses to enact discriminatory laws and policies against First Nations Peoples, including with respect to their land and housing rights.</w:t>
      </w:r>
      <w:r w:rsidRPr="0020440D">
        <w:rPr>
          <w:rStyle w:val="FootnoteReference"/>
          <w:rFonts w:cstheme="minorHAnsi"/>
          <w:sz w:val="24"/>
          <w:szCs w:val="24"/>
        </w:rPr>
        <w:footnoteReference w:id="9"/>
      </w:r>
    </w:p>
    <w:p w14:paraId="619BF485" w14:textId="10AE0503" w:rsidR="00A42651" w:rsidRPr="0020440D" w:rsidRDefault="00A42651" w:rsidP="009D76A6">
      <w:pPr>
        <w:pStyle w:val="ListParagraph"/>
        <w:numPr>
          <w:ilvl w:val="0"/>
          <w:numId w:val="8"/>
        </w:numPr>
        <w:rPr>
          <w:rFonts w:cstheme="minorHAnsi"/>
          <w:sz w:val="24"/>
          <w:szCs w:val="24"/>
        </w:rPr>
      </w:pPr>
      <w:r w:rsidRPr="0020440D">
        <w:rPr>
          <w:rFonts w:cstheme="minorHAnsi"/>
          <w:sz w:val="24"/>
          <w:szCs w:val="24"/>
        </w:rPr>
        <w:t>Provide information on the State party’s policies to address growing social inequity, where income and wealth continues to be unfairly distributed across households in Australia.</w:t>
      </w:r>
      <w:r w:rsidRPr="0020440D">
        <w:rPr>
          <w:rStyle w:val="FootnoteReference"/>
          <w:rFonts w:cstheme="minorHAnsi"/>
          <w:sz w:val="24"/>
          <w:szCs w:val="24"/>
        </w:rPr>
        <w:footnoteReference w:id="10"/>
      </w:r>
    </w:p>
    <w:p w14:paraId="5B321A53" w14:textId="77777777" w:rsidR="00AC607D" w:rsidRPr="0020440D" w:rsidRDefault="00AC607D" w:rsidP="00BD4DF0">
      <w:pPr>
        <w:rPr>
          <w:rFonts w:cstheme="minorHAnsi"/>
          <w:sz w:val="24"/>
          <w:szCs w:val="24"/>
        </w:rPr>
      </w:pPr>
    </w:p>
    <w:p w14:paraId="030CEFC4" w14:textId="67EC9D28" w:rsidR="005A0EF3" w:rsidRPr="0020440D" w:rsidRDefault="005A0EF3" w:rsidP="009D76A6">
      <w:pPr>
        <w:rPr>
          <w:rFonts w:cstheme="minorHAnsi"/>
          <w:b/>
          <w:sz w:val="24"/>
          <w:szCs w:val="24"/>
        </w:rPr>
      </w:pPr>
      <w:r w:rsidRPr="0020440D">
        <w:rPr>
          <w:rFonts w:cstheme="minorHAnsi"/>
          <w:b/>
          <w:sz w:val="24"/>
          <w:szCs w:val="24"/>
        </w:rPr>
        <w:t>Right to Social Security and Social Insurance (Article 9)</w:t>
      </w:r>
      <w:r w:rsidR="00F479FB" w:rsidRPr="0020440D">
        <w:rPr>
          <w:rFonts w:cstheme="minorHAnsi"/>
          <w:b/>
          <w:sz w:val="24"/>
          <w:szCs w:val="24"/>
        </w:rPr>
        <w:t>:</w:t>
      </w:r>
    </w:p>
    <w:p w14:paraId="4C845443" w14:textId="1518FA4F" w:rsidR="00CB2CA1" w:rsidRPr="0020440D" w:rsidRDefault="00AC607D" w:rsidP="009D76A6">
      <w:pPr>
        <w:pStyle w:val="ListParagraph"/>
        <w:numPr>
          <w:ilvl w:val="0"/>
          <w:numId w:val="8"/>
        </w:numPr>
        <w:rPr>
          <w:rFonts w:cstheme="minorHAnsi"/>
          <w:sz w:val="24"/>
          <w:szCs w:val="24"/>
        </w:rPr>
      </w:pPr>
      <w:r w:rsidRPr="0020440D">
        <w:rPr>
          <w:rFonts w:cstheme="minorHAnsi"/>
          <w:sz w:val="24"/>
          <w:szCs w:val="24"/>
        </w:rPr>
        <w:t xml:space="preserve">Provide information on how social security and social insurance is adequate to </w:t>
      </w:r>
      <w:r w:rsidR="00CF2014" w:rsidRPr="0020440D">
        <w:rPr>
          <w:rFonts w:cstheme="minorHAnsi"/>
          <w:sz w:val="24"/>
          <w:szCs w:val="24"/>
        </w:rPr>
        <w:t>ensure an adequate s</w:t>
      </w:r>
      <w:r w:rsidR="0066310D" w:rsidRPr="0020440D">
        <w:rPr>
          <w:rFonts w:cstheme="minorHAnsi"/>
          <w:sz w:val="24"/>
          <w:szCs w:val="24"/>
        </w:rPr>
        <w:t xml:space="preserve">tandard of living, and </w:t>
      </w:r>
      <w:r w:rsidR="00CF2014" w:rsidRPr="0020440D">
        <w:rPr>
          <w:rFonts w:cstheme="minorHAnsi"/>
          <w:sz w:val="24"/>
          <w:szCs w:val="24"/>
        </w:rPr>
        <w:t>to</w:t>
      </w:r>
      <w:r w:rsidR="0066310D" w:rsidRPr="0020440D">
        <w:rPr>
          <w:rFonts w:cstheme="minorHAnsi"/>
          <w:sz w:val="24"/>
          <w:szCs w:val="24"/>
        </w:rPr>
        <w:t xml:space="preserve"> ensure people can</w:t>
      </w:r>
      <w:r w:rsidR="00CF2014" w:rsidRPr="0020440D">
        <w:rPr>
          <w:rFonts w:cstheme="minorHAnsi"/>
          <w:sz w:val="24"/>
          <w:szCs w:val="24"/>
        </w:rPr>
        <w:t xml:space="preserve"> access adequate housing </w:t>
      </w:r>
      <w:r w:rsidRPr="0020440D">
        <w:rPr>
          <w:rFonts w:cstheme="minorHAnsi"/>
          <w:sz w:val="24"/>
          <w:szCs w:val="24"/>
        </w:rPr>
        <w:t xml:space="preserve">and </w:t>
      </w:r>
      <w:r w:rsidR="0066310D" w:rsidRPr="0020440D">
        <w:rPr>
          <w:rFonts w:cstheme="minorHAnsi"/>
          <w:sz w:val="24"/>
          <w:szCs w:val="24"/>
        </w:rPr>
        <w:t xml:space="preserve">are </w:t>
      </w:r>
      <w:r w:rsidRPr="0020440D">
        <w:rPr>
          <w:rFonts w:cstheme="minorHAnsi"/>
          <w:sz w:val="24"/>
          <w:szCs w:val="24"/>
        </w:rPr>
        <w:t xml:space="preserve">not pushed into insecure housing or homelessness. </w:t>
      </w:r>
      <w:r w:rsidR="003620FB" w:rsidRPr="0020440D">
        <w:rPr>
          <w:rFonts w:cstheme="minorHAnsi"/>
          <w:sz w:val="24"/>
          <w:szCs w:val="24"/>
        </w:rPr>
        <w:t xml:space="preserve"> The S</w:t>
      </w:r>
      <w:r w:rsidR="008338B9" w:rsidRPr="0020440D">
        <w:rPr>
          <w:rFonts w:cstheme="minorHAnsi"/>
          <w:sz w:val="24"/>
          <w:szCs w:val="24"/>
        </w:rPr>
        <w:t>tate</w:t>
      </w:r>
      <w:r w:rsidR="003620FB" w:rsidRPr="0020440D">
        <w:rPr>
          <w:rFonts w:cstheme="minorHAnsi"/>
          <w:sz w:val="24"/>
          <w:szCs w:val="24"/>
        </w:rPr>
        <w:t xml:space="preserve"> party</w:t>
      </w:r>
      <w:r w:rsidR="008338B9" w:rsidRPr="0020440D">
        <w:rPr>
          <w:rFonts w:cstheme="minorHAnsi"/>
          <w:sz w:val="24"/>
          <w:szCs w:val="24"/>
        </w:rPr>
        <w:t xml:space="preserve"> should provide information on how it has addressed concerns around poverty,</w:t>
      </w:r>
      <w:r w:rsidR="00FE68CA" w:rsidRPr="0020440D">
        <w:rPr>
          <w:rStyle w:val="FootnoteReference"/>
          <w:rFonts w:cstheme="minorHAnsi"/>
          <w:sz w:val="24"/>
          <w:szCs w:val="24"/>
        </w:rPr>
        <w:footnoteReference w:id="11"/>
      </w:r>
      <w:r w:rsidR="008338B9" w:rsidRPr="0020440D">
        <w:rPr>
          <w:rFonts w:cstheme="minorHAnsi"/>
          <w:sz w:val="24"/>
          <w:szCs w:val="24"/>
        </w:rPr>
        <w:t xml:space="preserve"> unemployment</w:t>
      </w:r>
      <w:r w:rsidR="00CF2014" w:rsidRPr="0020440D">
        <w:rPr>
          <w:rFonts w:cstheme="minorHAnsi"/>
          <w:sz w:val="24"/>
          <w:szCs w:val="24"/>
        </w:rPr>
        <w:t>,</w:t>
      </w:r>
      <w:r w:rsidR="008338B9" w:rsidRPr="0020440D">
        <w:rPr>
          <w:rFonts w:cstheme="minorHAnsi"/>
          <w:sz w:val="24"/>
          <w:szCs w:val="24"/>
        </w:rPr>
        <w:t xml:space="preserve"> and income support in p</w:t>
      </w:r>
      <w:r w:rsidR="00B8171B" w:rsidRPr="0020440D">
        <w:rPr>
          <w:rFonts w:cstheme="minorHAnsi"/>
          <w:sz w:val="24"/>
          <w:szCs w:val="24"/>
        </w:rPr>
        <w:t>revious Concluding Observations.</w:t>
      </w:r>
      <w:r w:rsidR="008338B9" w:rsidRPr="0020440D">
        <w:rPr>
          <w:rStyle w:val="FootnoteReference"/>
          <w:rFonts w:cstheme="minorHAnsi"/>
          <w:sz w:val="24"/>
          <w:szCs w:val="24"/>
        </w:rPr>
        <w:footnoteReference w:id="12"/>
      </w:r>
      <w:r w:rsidR="0066310D" w:rsidRPr="0020440D">
        <w:rPr>
          <w:rFonts w:cstheme="minorHAnsi"/>
          <w:sz w:val="24"/>
          <w:szCs w:val="24"/>
        </w:rPr>
        <w:t xml:space="preserve"> The S</w:t>
      </w:r>
      <w:r w:rsidRPr="0020440D">
        <w:rPr>
          <w:rFonts w:cstheme="minorHAnsi"/>
          <w:sz w:val="24"/>
          <w:szCs w:val="24"/>
        </w:rPr>
        <w:t>tate party should make particular reference to</w:t>
      </w:r>
      <w:r w:rsidR="00CB2CA1" w:rsidRPr="0020440D">
        <w:rPr>
          <w:rFonts w:cstheme="minorHAnsi"/>
          <w:sz w:val="24"/>
          <w:szCs w:val="24"/>
        </w:rPr>
        <w:t>:</w:t>
      </w:r>
    </w:p>
    <w:p w14:paraId="13E63327" w14:textId="16A6B7E7" w:rsidR="005A0EF3" w:rsidRPr="0020440D" w:rsidRDefault="00CF2014" w:rsidP="009D76A6">
      <w:pPr>
        <w:pStyle w:val="ListParagraph"/>
        <w:numPr>
          <w:ilvl w:val="1"/>
          <w:numId w:val="8"/>
        </w:numPr>
        <w:rPr>
          <w:rFonts w:cstheme="minorHAnsi"/>
          <w:sz w:val="24"/>
          <w:szCs w:val="24"/>
        </w:rPr>
      </w:pPr>
      <w:r w:rsidRPr="0020440D">
        <w:rPr>
          <w:rFonts w:cstheme="minorHAnsi"/>
          <w:sz w:val="24"/>
          <w:szCs w:val="24"/>
        </w:rPr>
        <w:t>people seeking asylum</w:t>
      </w:r>
      <w:r w:rsidR="003237D6" w:rsidRPr="0020440D">
        <w:rPr>
          <w:rFonts w:cstheme="minorHAnsi"/>
          <w:sz w:val="24"/>
          <w:szCs w:val="24"/>
        </w:rPr>
        <w:t>;</w:t>
      </w:r>
      <w:r w:rsidR="003237D6" w:rsidRPr="0020440D">
        <w:rPr>
          <w:rStyle w:val="FootnoteReference"/>
          <w:rFonts w:cstheme="minorHAnsi"/>
          <w:sz w:val="24"/>
          <w:szCs w:val="24"/>
        </w:rPr>
        <w:footnoteReference w:id="13"/>
      </w:r>
    </w:p>
    <w:p w14:paraId="43327C25" w14:textId="14E9CC66" w:rsidR="00793950" w:rsidRPr="0020440D" w:rsidRDefault="003620FB" w:rsidP="009D76A6">
      <w:pPr>
        <w:pStyle w:val="ListParagraph"/>
        <w:numPr>
          <w:ilvl w:val="1"/>
          <w:numId w:val="8"/>
        </w:numPr>
        <w:rPr>
          <w:rFonts w:cstheme="minorHAnsi"/>
          <w:sz w:val="24"/>
          <w:szCs w:val="24"/>
        </w:rPr>
      </w:pPr>
      <w:r w:rsidRPr="0020440D">
        <w:rPr>
          <w:rFonts w:cstheme="minorHAnsi"/>
          <w:sz w:val="24"/>
          <w:szCs w:val="24"/>
        </w:rPr>
        <w:t>p</w:t>
      </w:r>
      <w:r w:rsidR="00CB2CA1" w:rsidRPr="0020440D">
        <w:rPr>
          <w:rFonts w:cstheme="minorHAnsi"/>
          <w:sz w:val="24"/>
          <w:szCs w:val="24"/>
        </w:rPr>
        <w:t>eople on income support</w:t>
      </w:r>
      <w:r w:rsidR="00793950" w:rsidRPr="0020440D">
        <w:rPr>
          <w:rFonts w:cstheme="minorHAnsi"/>
          <w:sz w:val="24"/>
          <w:szCs w:val="24"/>
        </w:rPr>
        <w:t>, which in real terms has not risen in 25 years</w:t>
      </w:r>
      <w:r w:rsidR="00CF2014" w:rsidRPr="0020440D">
        <w:rPr>
          <w:rFonts w:cstheme="minorHAnsi"/>
          <w:sz w:val="24"/>
          <w:szCs w:val="24"/>
        </w:rPr>
        <w:t>;</w:t>
      </w:r>
      <w:r w:rsidR="00793950" w:rsidRPr="0020440D">
        <w:rPr>
          <w:rStyle w:val="FootnoteReference"/>
          <w:rFonts w:cstheme="minorHAnsi"/>
          <w:sz w:val="24"/>
          <w:szCs w:val="24"/>
        </w:rPr>
        <w:footnoteReference w:id="14"/>
      </w:r>
    </w:p>
    <w:p w14:paraId="66D5C432" w14:textId="55A7992C" w:rsidR="00CB2CA1" w:rsidRPr="0020440D" w:rsidRDefault="006108BA" w:rsidP="009D76A6">
      <w:pPr>
        <w:pStyle w:val="ListParagraph"/>
        <w:numPr>
          <w:ilvl w:val="1"/>
          <w:numId w:val="8"/>
        </w:numPr>
        <w:rPr>
          <w:rFonts w:cstheme="minorHAnsi"/>
          <w:sz w:val="24"/>
          <w:szCs w:val="24"/>
        </w:rPr>
      </w:pPr>
      <w:r w:rsidRPr="0020440D">
        <w:rPr>
          <w:rFonts w:cstheme="minorHAnsi"/>
          <w:sz w:val="24"/>
          <w:szCs w:val="24"/>
        </w:rPr>
        <w:t xml:space="preserve">First Nations </w:t>
      </w:r>
      <w:r w:rsidR="00CF2014" w:rsidRPr="0020440D">
        <w:rPr>
          <w:rFonts w:cstheme="minorHAnsi"/>
          <w:sz w:val="24"/>
          <w:szCs w:val="24"/>
        </w:rPr>
        <w:t>P</w:t>
      </w:r>
      <w:r w:rsidRPr="0020440D">
        <w:rPr>
          <w:rFonts w:cstheme="minorHAnsi"/>
          <w:sz w:val="24"/>
          <w:szCs w:val="24"/>
        </w:rPr>
        <w:t>eoples</w:t>
      </w:r>
      <w:r w:rsidR="00CF2014" w:rsidRPr="0020440D">
        <w:rPr>
          <w:rFonts w:cstheme="minorHAnsi"/>
          <w:sz w:val="24"/>
          <w:szCs w:val="24"/>
        </w:rPr>
        <w:t>;</w:t>
      </w:r>
    </w:p>
    <w:p w14:paraId="79C4AEB6" w14:textId="6FC4E160" w:rsidR="006108BA" w:rsidRPr="0020440D" w:rsidRDefault="003620FB" w:rsidP="00FA7A80">
      <w:pPr>
        <w:pStyle w:val="ListParagraph"/>
        <w:numPr>
          <w:ilvl w:val="1"/>
          <w:numId w:val="8"/>
        </w:numPr>
        <w:rPr>
          <w:rFonts w:cstheme="minorHAnsi"/>
          <w:sz w:val="24"/>
          <w:szCs w:val="24"/>
        </w:rPr>
      </w:pPr>
      <w:r w:rsidRPr="0020440D">
        <w:rPr>
          <w:rFonts w:cstheme="minorHAnsi"/>
          <w:sz w:val="24"/>
          <w:szCs w:val="24"/>
        </w:rPr>
        <w:t>y</w:t>
      </w:r>
      <w:r w:rsidR="0069692A" w:rsidRPr="0020440D">
        <w:rPr>
          <w:rFonts w:cstheme="minorHAnsi"/>
          <w:sz w:val="24"/>
          <w:szCs w:val="24"/>
        </w:rPr>
        <w:t>oung people</w:t>
      </w:r>
      <w:r w:rsidR="00CF2014" w:rsidRPr="0020440D">
        <w:rPr>
          <w:rFonts w:cstheme="minorHAnsi"/>
          <w:sz w:val="24"/>
          <w:szCs w:val="24"/>
        </w:rPr>
        <w:t>;</w:t>
      </w:r>
      <w:r w:rsidR="00301EB5" w:rsidRPr="0020440D">
        <w:rPr>
          <w:rStyle w:val="FootnoteReference"/>
          <w:rFonts w:cstheme="minorHAnsi"/>
          <w:sz w:val="24"/>
          <w:szCs w:val="24"/>
        </w:rPr>
        <w:footnoteReference w:id="15"/>
      </w:r>
    </w:p>
    <w:p w14:paraId="5C3F72EC" w14:textId="00BCD5AA" w:rsidR="006108BA" w:rsidRPr="0020440D" w:rsidRDefault="003620FB" w:rsidP="00FA7A80">
      <w:pPr>
        <w:pStyle w:val="ListParagraph"/>
        <w:numPr>
          <w:ilvl w:val="1"/>
          <w:numId w:val="8"/>
        </w:numPr>
        <w:rPr>
          <w:rFonts w:cstheme="minorHAnsi"/>
          <w:sz w:val="24"/>
          <w:szCs w:val="24"/>
        </w:rPr>
      </w:pPr>
      <w:r w:rsidRPr="0020440D">
        <w:rPr>
          <w:rFonts w:cstheme="minorHAnsi"/>
          <w:sz w:val="24"/>
          <w:szCs w:val="24"/>
        </w:rPr>
        <w:t>t</w:t>
      </w:r>
      <w:r w:rsidR="0069692A" w:rsidRPr="0020440D">
        <w:rPr>
          <w:rFonts w:cstheme="minorHAnsi"/>
          <w:sz w:val="24"/>
          <w:szCs w:val="24"/>
        </w:rPr>
        <w:t xml:space="preserve">hose subjected to </w:t>
      </w:r>
      <w:r w:rsidR="001B5AB7" w:rsidRPr="0020440D">
        <w:rPr>
          <w:rFonts w:cstheme="minorHAnsi"/>
          <w:sz w:val="24"/>
          <w:szCs w:val="24"/>
        </w:rPr>
        <w:t xml:space="preserve">family and </w:t>
      </w:r>
      <w:r w:rsidR="0069692A" w:rsidRPr="0020440D">
        <w:rPr>
          <w:rFonts w:cstheme="minorHAnsi"/>
          <w:sz w:val="24"/>
          <w:szCs w:val="24"/>
        </w:rPr>
        <w:t>domestic violence, particularly women and children</w:t>
      </w:r>
      <w:r w:rsidR="00CF2014" w:rsidRPr="0020440D">
        <w:rPr>
          <w:rFonts w:cstheme="minorHAnsi"/>
          <w:sz w:val="24"/>
          <w:szCs w:val="24"/>
        </w:rPr>
        <w:t>;</w:t>
      </w:r>
      <w:r w:rsidR="00301EB5" w:rsidRPr="0020440D">
        <w:rPr>
          <w:rStyle w:val="FootnoteReference"/>
          <w:rFonts w:cstheme="minorHAnsi"/>
          <w:sz w:val="24"/>
          <w:szCs w:val="24"/>
        </w:rPr>
        <w:footnoteReference w:id="16"/>
      </w:r>
    </w:p>
    <w:p w14:paraId="3987F4BC" w14:textId="120B091A" w:rsidR="003237D6" w:rsidRPr="0020440D" w:rsidRDefault="003620FB" w:rsidP="009D76A6">
      <w:pPr>
        <w:pStyle w:val="ListParagraph"/>
        <w:numPr>
          <w:ilvl w:val="1"/>
          <w:numId w:val="8"/>
        </w:numPr>
        <w:rPr>
          <w:rFonts w:cstheme="minorHAnsi"/>
          <w:sz w:val="24"/>
          <w:szCs w:val="24"/>
        </w:rPr>
      </w:pPr>
      <w:r w:rsidRPr="0020440D">
        <w:rPr>
          <w:rFonts w:cstheme="minorHAnsi"/>
          <w:sz w:val="24"/>
          <w:szCs w:val="24"/>
        </w:rPr>
        <w:lastRenderedPageBreak/>
        <w:t>v</w:t>
      </w:r>
      <w:r w:rsidR="003237D6" w:rsidRPr="0020440D">
        <w:rPr>
          <w:rFonts w:cstheme="minorHAnsi"/>
          <w:sz w:val="24"/>
          <w:szCs w:val="24"/>
        </w:rPr>
        <w:t>ictim/survivors of trafficking and forced labour</w:t>
      </w:r>
      <w:r w:rsidR="00CF2014" w:rsidRPr="0020440D">
        <w:rPr>
          <w:rFonts w:cstheme="minorHAnsi"/>
          <w:sz w:val="24"/>
          <w:szCs w:val="24"/>
        </w:rPr>
        <w:t>.</w:t>
      </w:r>
      <w:r w:rsidR="00A91641" w:rsidRPr="0020440D">
        <w:rPr>
          <w:rStyle w:val="FootnoteReference"/>
          <w:rFonts w:cstheme="minorHAnsi"/>
          <w:sz w:val="24"/>
          <w:szCs w:val="24"/>
        </w:rPr>
        <w:footnoteReference w:id="17"/>
      </w:r>
    </w:p>
    <w:p w14:paraId="28153C7C" w14:textId="77777777" w:rsidR="0069692A" w:rsidRPr="0020440D" w:rsidRDefault="0069692A" w:rsidP="00BD4DF0">
      <w:pPr>
        <w:rPr>
          <w:rFonts w:cstheme="minorHAnsi"/>
          <w:b/>
          <w:sz w:val="24"/>
          <w:szCs w:val="24"/>
        </w:rPr>
      </w:pPr>
    </w:p>
    <w:p w14:paraId="3C611C5F" w14:textId="1B63496B" w:rsidR="00150B2C" w:rsidRPr="0020440D" w:rsidRDefault="00BD4DF0" w:rsidP="009D76A6">
      <w:pPr>
        <w:rPr>
          <w:rFonts w:cstheme="minorHAnsi"/>
          <w:b/>
          <w:sz w:val="24"/>
          <w:szCs w:val="24"/>
        </w:rPr>
      </w:pPr>
      <w:r w:rsidRPr="0020440D">
        <w:rPr>
          <w:rFonts w:cstheme="minorHAnsi"/>
          <w:b/>
          <w:sz w:val="24"/>
          <w:szCs w:val="24"/>
        </w:rPr>
        <w:t>Right to an Adequate Standard of Living with a focus on access to adequate housing (Art</w:t>
      </w:r>
      <w:r w:rsidR="003620FB" w:rsidRPr="0020440D">
        <w:rPr>
          <w:rFonts w:cstheme="minorHAnsi"/>
          <w:b/>
          <w:sz w:val="24"/>
          <w:szCs w:val="24"/>
        </w:rPr>
        <w:t>icle</w:t>
      </w:r>
      <w:r w:rsidRPr="0020440D">
        <w:rPr>
          <w:rFonts w:cstheme="minorHAnsi"/>
          <w:b/>
          <w:sz w:val="24"/>
          <w:szCs w:val="24"/>
        </w:rPr>
        <w:t xml:space="preserve"> 11(1)</w:t>
      </w:r>
      <w:r w:rsidR="003620FB" w:rsidRPr="0020440D">
        <w:rPr>
          <w:rFonts w:cstheme="minorHAnsi"/>
          <w:b/>
          <w:sz w:val="24"/>
          <w:szCs w:val="24"/>
        </w:rPr>
        <w:t>:</w:t>
      </w:r>
    </w:p>
    <w:p w14:paraId="7F7A01F5" w14:textId="77777777" w:rsidR="0066310D" w:rsidRPr="0020440D" w:rsidRDefault="0066310D" w:rsidP="009D76A6">
      <w:pPr>
        <w:rPr>
          <w:rFonts w:cstheme="minorHAnsi"/>
          <w:b/>
          <w:i/>
          <w:sz w:val="24"/>
          <w:szCs w:val="24"/>
        </w:rPr>
      </w:pPr>
    </w:p>
    <w:p w14:paraId="2866B999" w14:textId="228FBE08" w:rsidR="002C2F44" w:rsidRPr="0020440D" w:rsidRDefault="005A0EF3" w:rsidP="009D76A6">
      <w:pPr>
        <w:rPr>
          <w:rFonts w:cstheme="minorHAnsi"/>
          <w:b/>
          <w:i/>
          <w:sz w:val="24"/>
          <w:szCs w:val="24"/>
        </w:rPr>
      </w:pPr>
      <w:r w:rsidRPr="0020440D">
        <w:rPr>
          <w:rFonts w:cstheme="minorHAnsi"/>
          <w:b/>
          <w:i/>
          <w:sz w:val="24"/>
          <w:szCs w:val="24"/>
        </w:rPr>
        <w:t xml:space="preserve">Homelessness </w:t>
      </w:r>
    </w:p>
    <w:p w14:paraId="428C9C82" w14:textId="375F834D" w:rsidR="005A0EF3" w:rsidRPr="0020440D" w:rsidRDefault="005A0EF3" w:rsidP="009D76A6">
      <w:pPr>
        <w:pStyle w:val="ListParagraph"/>
        <w:numPr>
          <w:ilvl w:val="0"/>
          <w:numId w:val="8"/>
        </w:numPr>
        <w:rPr>
          <w:rFonts w:cstheme="minorHAnsi"/>
          <w:sz w:val="24"/>
          <w:szCs w:val="24"/>
        </w:rPr>
      </w:pPr>
      <w:r w:rsidRPr="0020440D">
        <w:rPr>
          <w:rFonts w:cstheme="minorHAnsi"/>
          <w:sz w:val="24"/>
          <w:szCs w:val="24"/>
        </w:rPr>
        <w:t xml:space="preserve">Homelessness is a violation of the core </w:t>
      </w:r>
      <w:r w:rsidR="002A7856" w:rsidRPr="0020440D">
        <w:rPr>
          <w:rFonts w:cstheme="minorHAnsi"/>
          <w:sz w:val="24"/>
          <w:szCs w:val="24"/>
        </w:rPr>
        <w:t>o</w:t>
      </w:r>
      <w:r w:rsidRPr="0020440D">
        <w:rPr>
          <w:rFonts w:cstheme="minorHAnsi"/>
          <w:sz w:val="24"/>
          <w:szCs w:val="24"/>
        </w:rPr>
        <w:t>f the right to housing,</w:t>
      </w:r>
      <w:r w:rsidRPr="0020440D">
        <w:rPr>
          <w:rStyle w:val="FootnoteReference"/>
          <w:rFonts w:cstheme="minorHAnsi"/>
          <w:sz w:val="24"/>
          <w:szCs w:val="24"/>
        </w:rPr>
        <w:footnoteReference w:id="18"/>
      </w:r>
      <w:r w:rsidRPr="0020440D">
        <w:rPr>
          <w:rFonts w:cstheme="minorHAnsi"/>
          <w:sz w:val="24"/>
          <w:szCs w:val="24"/>
        </w:rPr>
        <w:t xml:space="preserve"> yet homelessness continues to increase in the State party</w:t>
      </w:r>
      <w:r w:rsidR="002A7856" w:rsidRPr="0020440D">
        <w:rPr>
          <w:rFonts w:cstheme="minorHAnsi"/>
          <w:sz w:val="24"/>
          <w:szCs w:val="24"/>
        </w:rPr>
        <w:t>,</w:t>
      </w:r>
      <w:r w:rsidRPr="0020440D">
        <w:rPr>
          <w:rStyle w:val="FootnoteReference"/>
          <w:rFonts w:cstheme="minorHAnsi"/>
          <w:sz w:val="24"/>
          <w:szCs w:val="24"/>
        </w:rPr>
        <w:footnoteReference w:id="19"/>
      </w:r>
      <w:r w:rsidR="002A7856" w:rsidRPr="0020440D">
        <w:rPr>
          <w:rFonts w:cstheme="minorHAnsi"/>
          <w:sz w:val="24"/>
          <w:szCs w:val="24"/>
        </w:rPr>
        <w:t xml:space="preserve"> </w:t>
      </w:r>
      <w:r w:rsidR="00D56D52" w:rsidRPr="0020440D">
        <w:rPr>
          <w:rFonts w:cstheme="minorHAnsi"/>
          <w:sz w:val="24"/>
          <w:szCs w:val="24"/>
        </w:rPr>
        <w:t xml:space="preserve">and was </w:t>
      </w:r>
      <w:r w:rsidR="000F6CE3" w:rsidRPr="0020440D">
        <w:rPr>
          <w:rFonts w:cstheme="minorHAnsi"/>
          <w:sz w:val="24"/>
          <w:szCs w:val="24"/>
        </w:rPr>
        <w:t xml:space="preserve">a </w:t>
      </w:r>
      <w:r w:rsidR="00D56D52" w:rsidRPr="0020440D">
        <w:rPr>
          <w:rFonts w:cstheme="minorHAnsi"/>
          <w:sz w:val="24"/>
          <w:szCs w:val="24"/>
        </w:rPr>
        <w:t xml:space="preserve">subject </w:t>
      </w:r>
      <w:r w:rsidR="000F6CE3" w:rsidRPr="0020440D">
        <w:rPr>
          <w:rFonts w:cstheme="minorHAnsi"/>
          <w:sz w:val="24"/>
          <w:szCs w:val="24"/>
        </w:rPr>
        <w:t>of</w:t>
      </w:r>
      <w:r w:rsidR="00D56D52" w:rsidRPr="0020440D">
        <w:rPr>
          <w:rFonts w:cstheme="minorHAnsi"/>
          <w:sz w:val="24"/>
          <w:szCs w:val="24"/>
        </w:rPr>
        <w:t xml:space="preserve"> concern in the Committee’s previous Concluding Observations,</w:t>
      </w:r>
      <w:r w:rsidR="00D56D52" w:rsidRPr="0020440D">
        <w:rPr>
          <w:rStyle w:val="FootnoteReference"/>
          <w:rFonts w:cstheme="minorHAnsi"/>
          <w:sz w:val="24"/>
          <w:szCs w:val="24"/>
        </w:rPr>
        <w:footnoteReference w:id="20"/>
      </w:r>
      <w:r w:rsidR="00D56D52" w:rsidRPr="0020440D">
        <w:rPr>
          <w:rFonts w:cstheme="minorHAnsi"/>
          <w:sz w:val="24"/>
          <w:szCs w:val="24"/>
        </w:rPr>
        <w:t xml:space="preserve"> </w:t>
      </w:r>
      <w:r w:rsidR="002A7856" w:rsidRPr="0020440D">
        <w:rPr>
          <w:rFonts w:cstheme="minorHAnsi"/>
          <w:sz w:val="24"/>
          <w:szCs w:val="24"/>
        </w:rPr>
        <w:t xml:space="preserve">indicating retrogression in enjoyment of </w:t>
      </w:r>
      <w:r w:rsidR="000F6CE3" w:rsidRPr="0020440D">
        <w:rPr>
          <w:rFonts w:cstheme="minorHAnsi"/>
          <w:sz w:val="24"/>
          <w:szCs w:val="24"/>
        </w:rPr>
        <w:t>Article 11(1).  Accordingly, the S</w:t>
      </w:r>
      <w:r w:rsidR="002A7856" w:rsidRPr="0020440D">
        <w:rPr>
          <w:rFonts w:cstheme="minorHAnsi"/>
          <w:sz w:val="24"/>
          <w:szCs w:val="24"/>
        </w:rPr>
        <w:t>tate party should:</w:t>
      </w:r>
    </w:p>
    <w:p w14:paraId="098E467D" w14:textId="7B90D027" w:rsidR="002A7856" w:rsidRPr="0020440D" w:rsidRDefault="000C35C4" w:rsidP="009D76A6">
      <w:pPr>
        <w:pStyle w:val="ListParagraph"/>
        <w:numPr>
          <w:ilvl w:val="1"/>
          <w:numId w:val="8"/>
        </w:numPr>
        <w:rPr>
          <w:rFonts w:cstheme="minorHAnsi"/>
          <w:sz w:val="24"/>
          <w:szCs w:val="24"/>
        </w:rPr>
      </w:pPr>
      <w:r w:rsidRPr="0020440D">
        <w:rPr>
          <w:rFonts w:cstheme="minorHAnsi"/>
          <w:sz w:val="24"/>
          <w:szCs w:val="24"/>
        </w:rPr>
        <w:t>p</w:t>
      </w:r>
      <w:r w:rsidR="002A7856" w:rsidRPr="0020440D">
        <w:rPr>
          <w:rFonts w:cstheme="minorHAnsi"/>
          <w:sz w:val="24"/>
          <w:szCs w:val="24"/>
        </w:rPr>
        <w:t>rovide information on steps taken to reduce and eliminate homelessness, including with attention to efforts to increase social and affordable housing,</w:t>
      </w:r>
      <w:r w:rsidR="00124339" w:rsidRPr="0020440D">
        <w:rPr>
          <w:rStyle w:val="FootnoteReference"/>
          <w:rFonts w:cstheme="minorHAnsi"/>
          <w:sz w:val="24"/>
          <w:szCs w:val="24"/>
        </w:rPr>
        <w:footnoteReference w:id="21"/>
      </w:r>
      <w:r w:rsidR="002A7856" w:rsidRPr="0020440D">
        <w:rPr>
          <w:rFonts w:cstheme="minorHAnsi"/>
          <w:sz w:val="24"/>
          <w:szCs w:val="24"/>
        </w:rPr>
        <w:t xml:space="preserve"> and to pursue ‘housing first’ policies</w:t>
      </w:r>
      <w:r w:rsidR="00150B2C" w:rsidRPr="0020440D">
        <w:rPr>
          <w:rFonts w:cstheme="minorHAnsi"/>
          <w:sz w:val="24"/>
          <w:szCs w:val="24"/>
        </w:rPr>
        <w:t>;</w:t>
      </w:r>
    </w:p>
    <w:p w14:paraId="31903A5D" w14:textId="59330E42" w:rsidR="002A7856" w:rsidRPr="0020440D" w:rsidRDefault="000C35C4" w:rsidP="009D76A6">
      <w:pPr>
        <w:pStyle w:val="ListParagraph"/>
        <w:numPr>
          <w:ilvl w:val="1"/>
          <w:numId w:val="8"/>
        </w:numPr>
        <w:rPr>
          <w:rFonts w:cstheme="minorHAnsi"/>
          <w:sz w:val="24"/>
          <w:szCs w:val="24"/>
        </w:rPr>
      </w:pPr>
      <w:r w:rsidRPr="0020440D">
        <w:rPr>
          <w:rFonts w:cstheme="minorHAnsi"/>
          <w:sz w:val="24"/>
          <w:szCs w:val="24"/>
        </w:rPr>
        <w:t>p</w:t>
      </w:r>
      <w:r w:rsidR="002A7856" w:rsidRPr="0020440D">
        <w:rPr>
          <w:rFonts w:cstheme="minorHAnsi"/>
          <w:sz w:val="24"/>
          <w:szCs w:val="24"/>
        </w:rPr>
        <w:t xml:space="preserve">rovide information on steps taken to ensure pathways out of homelessness, which remains at very high levels, with particular attention to pathways into </w:t>
      </w:r>
      <w:r w:rsidR="006108BA" w:rsidRPr="0020440D">
        <w:rPr>
          <w:rFonts w:cstheme="minorHAnsi"/>
          <w:sz w:val="24"/>
          <w:szCs w:val="24"/>
        </w:rPr>
        <w:t xml:space="preserve">appropriate, </w:t>
      </w:r>
      <w:r w:rsidR="002A7856" w:rsidRPr="0020440D">
        <w:rPr>
          <w:rFonts w:cstheme="minorHAnsi"/>
          <w:sz w:val="24"/>
          <w:szCs w:val="24"/>
        </w:rPr>
        <w:t>secure and long</w:t>
      </w:r>
      <w:r w:rsidR="0069692A" w:rsidRPr="0020440D">
        <w:rPr>
          <w:rFonts w:cstheme="minorHAnsi"/>
          <w:sz w:val="24"/>
          <w:szCs w:val="24"/>
        </w:rPr>
        <w:t>-</w:t>
      </w:r>
      <w:r w:rsidR="002A7856" w:rsidRPr="0020440D">
        <w:rPr>
          <w:rFonts w:cstheme="minorHAnsi"/>
          <w:sz w:val="24"/>
          <w:szCs w:val="24"/>
        </w:rPr>
        <w:t>term housing</w:t>
      </w:r>
      <w:r w:rsidR="00150B2C" w:rsidRPr="0020440D">
        <w:rPr>
          <w:rFonts w:cstheme="minorHAnsi"/>
          <w:sz w:val="24"/>
          <w:szCs w:val="24"/>
        </w:rPr>
        <w:t>;</w:t>
      </w:r>
      <w:r w:rsidR="00D205D8" w:rsidRPr="0020440D">
        <w:rPr>
          <w:rStyle w:val="FootnoteReference"/>
          <w:rFonts w:cstheme="minorHAnsi"/>
          <w:sz w:val="24"/>
          <w:szCs w:val="24"/>
        </w:rPr>
        <w:footnoteReference w:id="22"/>
      </w:r>
    </w:p>
    <w:p w14:paraId="4325C7F5" w14:textId="00363B9A" w:rsidR="002A7856" w:rsidRPr="0020440D" w:rsidRDefault="000C35C4" w:rsidP="009D76A6">
      <w:pPr>
        <w:pStyle w:val="ListParagraph"/>
        <w:numPr>
          <w:ilvl w:val="1"/>
          <w:numId w:val="8"/>
        </w:numPr>
        <w:rPr>
          <w:rFonts w:cstheme="minorHAnsi"/>
          <w:sz w:val="24"/>
          <w:szCs w:val="24"/>
        </w:rPr>
      </w:pPr>
      <w:r w:rsidRPr="0020440D">
        <w:rPr>
          <w:rFonts w:cstheme="minorHAnsi"/>
          <w:sz w:val="24"/>
          <w:szCs w:val="24"/>
        </w:rPr>
        <w:t>p</w:t>
      </w:r>
      <w:r w:rsidR="002A7856" w:rsidRPr="0020440D">
        <w:rPr>
          <w:rFonts w:cstheme="minorHAnsi"/>
          <w:sz w:val="24"/>
          <w:szCs w:val="24"/>
        </w:rPr>
        <w:t>rovide information on steps taken to provide adequate housing for those in hidden homelessness and overcrowded</w:t>
      </w:r>
      <w:r w:rsidR="00CE17EF" w:rsidRPr="0020440D">
        <w:rPr>
          <w:rStyle w:val="FootnoteReference"/>
          <w:rFonts w:cstheme="minorHAnsi"/>
          <w:sz w:val="24"/>
          <w:szCs w:val="24"/>
        </w:rPr>
        <w:footnoteReference w:id="23"/>
      </w:r>
      <w:r w:rsidR="002A7856" w:rsidRPr="0020440D">
        <w:rPr>
          <w:rFonts w:cstheme="minorHAnsi"/>
          <w:sz w:val="24"/>
          <w:szCs w:val="24"/>
        </w:rPr>
        <w:t xml:space="preserve"> or inadequate housing</w:t>
      </w:r>
      <w:r w:rsidR="00150B2C" w:rsidRPr="0020440D">
        <w:rPr>
          <w:rFonts w:cstheme="minorHAnsi"/>
          <w:sz w:val="24"/>
          <w:szCs w:val="24"/>
        </w:rPr>
        <w:t>;</w:t>
      </w:r>
    </w:p>
    <w:p w14:paraId="3F227BC1" w14:textId="21660426" w:rsidR="00150B2C" w:rsidRPr="0020440D" w:rsidRDefault="000C35C4" w:rsidP="0066310D">
      <w:pPr>
        <w:pStyle w:val="ListParagraph"/>
        <w:numPr>
          <w:ilvl w:val="1"/>
          <w:numId w:val="8"/>
        </w:numPr>
        <w:rPr>
          <w:rFonts w:cstheme="minorHAnsi"/>
          <w:sz w:val="24"/>
          <w:szCs w:val="24"/>
        </w:rPr>
      </w:pPr>
      <w:r w:rsidRPr="0020440D">
        <w:rPr>
          <w:rFonts w:cstheme="minorHAnsi"/>
          <w:sz w:val="24"/>
          <w:szCs w:val="24"/>
        </w:rPr>
        <w:t>p</w:t>
      </w:r>
      <w:r w:rsidR="007E5A70" w:rsidRPr="0020440D">
        <w:rPr>
          <w:rFonts w:cstheme="minorHAnsi"/>
          <w:sz w:val="24"/>
          <w:szCs w:val="24"/>
        </w:rPr>
        <w:t xml:space="preserve">rovide information on steps taken to ensure domestic </w:t>
      </w:r>
      <w:r w:rsidR="00872DCE" w:rsidRPr="0020440D">
        <w:rPr>
          <w:rFonts w:cstheme="minorHAnsi"/>
          <w:sz w:val="24"/>
          <w:szCs w:val="24"/>
        </w:rPr>
        <w:t xml:space="preserve">and family </w:t>
      </w:r>
      <w:r w:rsidR="007E5A70" w:rsidRPr="0020440D">
        <w:rPr>
          <w:rFonts w:cstheme="minorHAnsi"/>
          <w:sz w:val="24"/>
          <w:szCs w:val="24"/>
        </w:rPr>
        <w:t>violence does not lead to homelessness, as domestic and family violence is the leading cause of homelessness for women and their children.</w:t>
      </w:r>
      <w:r w:rsidR="007E5A70" w:rsidRPr="0020440D">
        <w:rPr>
          <w:rStyle w:val="FootnoteReference"/>
          <w:rFonts w:cstheme="minorHAnsi"/>
          <w:sz w:val="24"/>
          <w:szCs w:val="24"/>
        </w:rPr>
        <w:footnoteReference w:id="24"/>
      </w:r>
    </w:p>
    <w:p w14:paraId="30AB0128" w14:textId="77777777" w:rsidR="0066310D" w:rsidRPr="0020440D" w:rsidRDefault="0066310D" w:rsidP="009D76A6">
      <w:pPr>
        <w:rPr>
          <w:rFonts w:cstheme="minorHAnsi"/>
          <w:b/>
          <w:i/>
          <w:sz w:val="24"/>
          <w:szCs w:val="24"/>
        </w:rPr>
      </w:pPr>
    </w:p>
    <w:p w14:paraId="579561DB" w14:textId="4BC0708F" w:rsidR="002A7856" w:rsidRPr="0020440D" w:rsidRDefault="002A7856" w:rsidP="009D76A6">
      <w:pPr>
        <w:rPr>
          <w:rFonts w:cstheme="minorHAnsi"/>
          <w:b/>
          <w:i/>
          <w:sz w:val="24"/>
          <w:szCs w:val="24"/>
        </w:rPr>
      </w:pPr>
      <w:r w:rsidRPr="0020440D">
        <w:rPr>
          <w:rFonts w:cstheme="minorHAnsi"/>
          <w:b/>
          <w:i/>
          <w:sz w:val="24"/>
          <w:szCs w:val="24"/>
        </w:rPr>
        <w:t xml:space="preserve">Security of Tenure </w:t>
      </w:r>
    </w:p>
    <w:p w14:paraId="184558AE" w14:textId="0C698326" w:rsidR="0069692A" w:rsidRPr="0020440D" w:rsidRDefault="0069692A" w:rsidP="009D76A6">
      <w:pPr>
        <w:pStyle w:val="ListParagraph"/>
        <w:numPr>
          <w:ilvl w:val="0"/>
          <w:numId w:val="8"/>
        </w:numPr>
        <w:rPr>
          <w:rFonts w:cstheme="minorHAnsi"/>
          <w:sz w:val="24"/>
          <w:szCs w:val="24"/>
        </w:rPr>
      </w:pPr>
      <w:r w:rsidRPr="0020440D">
        <w:rPr>
          <w:rFonts w:cstheme="minorHAnsi"/>
          <w:sz w:val="24"/>
          <w:szCs w:val="24"/>
        </w:rPr>
        <w:t>Security of tenure forms the cornerstone of a right to housing.</w:t>
      </w:r>
      <w:r w:rsidRPr="0020440D">
        <w:rPr>
          <w:rStyle w:val="FootnoteReference"/>
          <w:rFonts w:cstheme="minorHAnsi"/>
          <w:sz w:val="24"/>
          <w:szCs w:val="24"/>
        </w:rPr>
        <w:footnoteReference w:id="25"/>
      </w:r>
      <w:r w:rsidR="00997E5C" w:rsidRPr="0020440D">
        <w:rPr>
          <w:rFonts w:cstheme="minorHAnsi"/>
          <w:sz w:val="24"/>
          <w:szCs w:val="24"/>
        </w:rPr>
        <w:t xml:space="preserve"> The S</w:t>
      </w:r>
      <w:r w:rsidRPr="0020440D">
        <w:rPr>
          <w:rFonts w:cstheme="minorHAnsi"/>
          <w:sz w:val="24"/>
          <w:szCs w:val="24"/>
        </w:rPr>
        <w:t>tate party should provide information on</w:t>
      </w:r>
      <w:r w:rsidR="00D56D52" w:rsidRPr="0020440D">
        <w:rPr>
          <w:rFonts w:cstheme="minorHAnsi"/>
          <w:sz w:val="24"/>
          <w:szCs w:val="24"/>
        </w:rPr>
        <w:t>:</w:t>
      </w:r>
    </w:p>
    <w:p w14:paraId="6DA42B2B" w14:textId="4C5547B3" w:rsidR="002A7856" w:rsidRPr="0020440D" w:rsidRDefault="000C35C4" w:rsidP="009D76A6">
      <w:pPr>
        <w:pStyle w:val="ListParagraph"/>
        <w:numPr>
          <w:ilvl w:val="1"/>
          <w:numId w:val="8"/>
        </w:numPr>
        <w:rPr>
          <w:rFonts w:cstheme="minorHAnsi"/>
          <w:sz w:val="24"/>
          <w:szCs w:val="24"/>
        </w:rPr>
      </w:pPr>
      <w:r w:rsidRPr="0020440D">
        <w:rPr>
          <w:rFonts w:cstheme="minorHAnsi"/>
          <w:sz w:val="24"/>
          <w:szCs w:val="24"/>
        </w:rPr>
        <w:t>t</w:t>
      </w:r>
      <w:r w:rsidR="0069692A" w:rsidRPr="0020440D">
        <w:rPr>
          <w:rFonts w:cstheme="minorHAnsi"/>
          <w:sz w:val="24"/>
          <w:szCs w:val="24"/>
        </w:rPr>
        <w:t>he impact of no</w:t>
      </w:r>
      <w:r w:rsidR="001B5AB7" w:rsidRPr="0020440D">
        <w:rPr>
          <w:rFonts w:cstheme="minorHAnsi"/>
          <w:sz w:val="24"/>
          <w:szCs w:val="24"/>
        </w:rPr>
        <w:t>-</w:t>
      </w:r>
      <w:r w:rsidR="00564F45" w:rsidRPr="0020440D">
        <w:rPr>
          <w:rFonts w:cstheme="minorHAnsi"/>
          <w:sz w:val="24"/>
          <w:szCs w:val="24"/>
        </w:rPr>
        <w:t xml:space="preserve">fault evictions </w:t>
      </w:r>
      <w:r w:rsidR="0069692A" w:rsidRPr="0020440D">
        <w:rPr>
          <w:rFonts w:cstheme="minorHAnsi"/>
          <w:sz w:val="24"/>
          <w:szCs w:val="24"/>
        </w:rPr>
        <w:t xml:space="preserve">on tenure security in the State </w:t>
      </w:r>
      <w:r w:rsidRPr="0020440D">
        <w:rPr>
          <w:rFonts w:cstheme="minorHAnsi"/>
          <w:sz w:val="24"/>
          <w:szCs w:val="24"/>
        </w:rPr>
        <w:t>p</w:t>
      </w:r>
      <w:r w:rsidR="0069692A" w:rsidRPr="0020440D">
        <w:rPr>
          <w:rFonts w:cstheme="minorHAnsi"/>
          <w:sz w:val="24"/>
          <w:szCs w:val="24"/>
        </w:rPr>
        <w:t>arty and the efforts taken to improve tenure security, particularly in private rentals</w:t>
      </w:r>
      <w:r w:rsidRPr="0020440D">
        <w:rPr>
          <w:rFonts w:cstheme="minorHAnsi"/>
          <w:sz w:val="24"/>
          <w:szCs w:val="24"/>
        </w:rPr>
        <w:t>;</w:t>
      </w:r>
      <w:r w:rsidR="00181D08" w:rsidRPr="0020440D">
        <w:rPr>
          <w:rStyle w:val="FootnoteReference"/>
          <w:rFonts w:cstheme="minorHAnsi"/>
          <w:sz w:val="24"/>
          <w:szCs w:val="24"/>
        </w:rPr>
        <w:footnoteReference w:id="26"/>
      </w:r>
    </w:p>
    <w:p w14:paraId="051A89EB" w14:textId="726D6175" w:rsidR="0069692A" w:rsidRPr="0020440D" w:rsidRDefault="000C35C4" w:rsidP="009D76A6">
      <w:pPr>
        <w:pStyle w:val="ListParagraph"/>
        <w:numPr>
          <w:ilvl w:val="1"/>
          <w:numId w:val="8"/>
        </w:numPr>
        <w:rPr>
          <w:rFonts w:cstheme="minorHAnsi"/>
          <w:sz w:val="24"/>
          <w:szCs w:val="24"/>
        </w:rPr>
      </w:pPr>
      <w:r w:rsidRPr="0020440D">
        <w:rPr>
          <w:rFonts w:cstheme="minorHAnsi"/>
          <w:sz w:val="24"/>
          <w:szCs w:val="24"/>
        </w:rPr>
        <w:t>e</w:t>
      </w:r>
      <w:r w:rsidR="0069692A" w:rsidRPr="0020440D">
        <w:rPr>
          <w:rFonts w:cstheme="minorHAnsi"/>
          <w:sz w:val="24"/>
          <w:szCs w:val="24"/>
        </w:rPr>
        <w:t xml:space="preserve">fforts taken to improve tenure security in light of </w:t>
      </w:r>
      <w:r w:rsidR="00D56D52" w:rsidRPr="0020440D">
        <w:rPr>
          <w:rFonts w:cstheme="minorHAnsi"/>
          <w:sz w:val="24"/>
          <w:szCs w:val="24"/>
        </w:rPr>
        <w:t xml:space="preserve">ongoing </w:t>
      </w:r>
      <w:r w:rsidR="009322ED" w:rsidRPr="0020440D">
        <w:rPr>
          <w:rFonts w:cstheme="minorHAnsi"/>
          <w:sz w:val="24"/>
          <w:szCs w:val="24"/>
        </w:rPr>
        <w:t>pandemic</w:t>
      </w:r>
      <w:r w:rsidR="0069692A" w:rsidRPr="0020440D">
        <w:rPr>
          <w:rFonts w:cstheme="minorHAnsi"/>
          <w:sz w:val="24"/>
          <w:szCs w:val="24"/>
        </w:rPr>
        <w:t>-related job losses and income insecurity</w:t>
      </w:r>
      <w:r w:rsidRPr="0020440D">
        <w:rPr>
          <w:rFonts w:cstheme="minorHAnsi"/>
          <w:sz w:val="24"/>
          <w:szCs w:val="24"/>
        </w:rPr>
        <w:t>;</w:t>
      </w:r>
      <w:r w:rsidR="00181D08" w:rsidRPr="0020440D">
        <w:rPr>
          <w:rStyle w:val="FootnoteReference"/>
          <w:rFonts w:cstheme="minorHAnsi"/>
          <w:sz w:val="24"/>
          <w:szCs w:val="24"/>
        </w:rPr>
        <w:footnoteReference w:id="27"/>
      </w:r>
    </w:p>
    <w:p w14:paraId="7B7FFED7" w14:textId="0A129143" w:rsidR="0069692A" w:rsidRPr="0020440D" w:rsidRDefault="000C35C4" w:rsidP="0066310D">
      <w:pPr>
        <w:pStyle w:val="ListParagraph"/>
        <w:numPr>
          <w:ilvl w:val="1"/>
          <w:numId w:val="8"/>
        </w:numPr>
        <w:rPr>
          <w:rFonts w:cstheme="minorHAnsi"/>
          <w:sz w:val="24"/>
          <w:szCs w:val="24"/>
        </w:rPr>
      </w:pPr>
      <w:r w:rsidRPr="0020440D">
        <w:rPr>
          <w:rFonts w:cstheme="minorHAnsi"/>
          <w:sz w:val="24"/>
          <w:szCs w:val="24"/>
        </w:rPr>
        <w:t>t</w:t>
      </w:r>
      <w:r w:rsidR="0069692A" w:rsidRPr="0020440D">
        <w:rPr>
          <w:rFonts w:cstheme="minorHAnsi"/>
          <w:sz w:val="24"/>
          <w:szCs w:val="24"/>
        </w:rPr>
        <w:t xml:space="preserve">he impact of </w:t>
      </w:r>
      <w:r w:rsidR="00564F45" w:rsidRPr="0020440D">
        <w:rPr>
          <w:rFonts w:cstheme="minorHAnsi"/>
          <w:sz w:val="24"/>
          <w:szCs w:val="24"/>
        </w:rPr>
        <w:t xml:space="preserve">very high rents, very high mortgage debt, </w:t>
      </w:r>
      <w:r w:rsidR="0069692A" w:rsidRPr="0020440D">
        <w:rPr>
          <w:rFonts w:cstheme="minorHAnsi"/>
          <w:sz w:val="24"/>
          <w:szCs w:val="24"/>
        </w:rPr>
        <w:t xml:space="preserve">and rapidly rising house prices </w:t>
      </w:r>
      <w:r w:rsidR="00564F45" w:rsidRPr="0020440D">
        <w:rPr>
          <w:rFonts w:cstheme="minorHAnsi"/>
          <w:sz w:val="24"/>
          <w:szCs w:val="24"/>
        </w:rPr>
        <w:t>on security of tenure.</w:t>
      </w:r>
      <w:r w:rsidR="00181D08" w:rsidRPr="0020440D">
        <w:rPr>
          <w:rStyle w:val="FootnoteReference"/>
          <w:rFonts w:cstheme="minorHAnsi"/>
          <w:sz w:val="24"/>
          <w:szCs w:val="24"/>
        </w:rPr>
        <w:footnoteReference w:id="28"/>
      </w:r>
      <w:r w:rsidR="00564F45" w:rsidRPr="0020440D">
        <w:rPr>
          <w:rFonts w:cstheme="minorHAnsi"/>
          <w:sz w:val="24"/>
          <w:szCs w:val="24"/>
        </w:rPr>
        <w:t xml:space="preserve">  </w:t>
      </w:r>
    </w:p>
    <w:p w14:paraId="1240D0FA" w14:textId="77777777" w:rsidR="0066310D" w:rsidRPr="0020440D" w:rsidRDefault="0066310D" w:rsidP="009D76A6">
      <w:pPr>
        <w:rPr>
          <w:rFonts w:cstheme="minorHAnsi"/>
          <w:b/>
          <w:i/>
          <w:sz w:val="24"/>
          <w:szCs w:val="24"/>
        </w:rPr>
      </w:pPr>
    </w:p>
    <w:p w14:paraId="560C9539" w14:textId="74D10885" w:rsidR="002C2F44" w:rsidRPr="0020440D" w:rsidRDefault="002C2F44" w:rsidP="009D76A6">
      <w:pPr>
        <w:rPr>
          <w:rFonts w:cstheme="minorHAnsi"/>
          <w:b/>
          <w:i/>
          <w:sz w:val="24"/>
          <w:szCs w:val="24"/>
        </w:rPr>
      </w:pPr>
      <w:r w:rsidRPr="0020440D">
        <w:rPr>
          <w:rFonts w:cstheme="minorHAnsi"/>
          <w:b/>
          <w:i/>
          <w:sz w:val="24"/>
          <w:szCs w:val="24"/>
        </w:rPr>
        <w:t xml:space="preserve">Housing Affordability </w:t>
      </w:r>
    </w:p>
    <w:p w14:paraId="04D411CD" w14:textId="4D004E18" w:rsidR="00BD4DF0" w:rsidRPr="0020440D" w:rsidRDefault="00BD4DF0" w:rsidP="009D76A6">
      <w:pPr>
        <w:pStyle w:val="ListParagraph"/>
        <w:numPr>
          <w:ilvl w:val="0"/>
          <w:numId w:val="8"/>
        </w:numPr>
        <w:rPr>
          <w:rFonts w:cstheme="minorHAnsi"/>
          <w:sz w:val="24"/>
          <w:szCs w:val="24"/>
        </w:rPr>
      </w:pPr>
      <w:r w:rsidRPr="0020440D">
        <w:rPr>
          <w:rFonts w:cstheme="minorHAnsi"/>
          <w:sz w:val="24"/>
          <w:szCs w:val="24"/>
        </w:rPr>
        <w:t>Given rapidly rising housing prices across rental and owned homes,</w:t>
      </w:r>
      <w:r w:rsidRPr="0020440D">
        <w:rPr>
          <w:rStyle w:val="FootnoteReference"/>
          <w:rFonts w:cstheme="minorHAnsi"/>
          <w:sz w:val="24"/>
          <w:szCs w:val="24"/>
        </w:rPr>
        <w:footnoteReference w:id="29"/>
      </w:r>
      <w:r w:rsidRPr="0020440D">
        <w:rPr>
          <w:rFonts w:cstheme="minorHAnsi"/>
          <w:sz w:val="24"/>
          <w:szCs w:val="24"/>
        </w:rPr>
        <w:t xml:space="preserve"> leading to widely experienced housing insecurity and inability to access adequate housing</w:t>
      </w:r>
      <w:r w:rsidR="001B5AB7" w:rsidRPr="0020440D">
        <w:rPr>
          <w:rFonts w:cstheme="minorHAnsi"/>
          <w:sz w:val="24"/>
          <w:szCs w:val="24"/>
        </w:rPr>
        <w:t>,</w:t>
      </w:r>
      <w:r w:rsidR="00AC7457" w:rsidRPr="0020440D">
        <w:rPr>
          <w:rFonts w:cstheme="minorHAnsi"/>
          <w:sz w:val="24"/>
          <w:szCs w:val="24"/>
        </w:rPr>
        <w:t xml:space="preserve"> and </w:t>
      </w:r>
      <w:r w:rsidR="00D43B84" w:rsidRPr="0020440D">
        <w:rPr>
          <w:rFonts w:cstheme="minorHAnsi"/>
          <w:sz w:val="24"/>
          <w:szCs w:val="24"/>
        </w:rPr>
        <w:t xml:space="preserve">to </w:t>
      </w:r>
      <w:r w:rsidR="00AC7457" w:rsidRPr="0020440D">
        <w:rPr>
          <w:rFonts w:cstheme="minorHAnsi"/>
          <w:sz w:val="24"/>
          <w:szCs w:val="24"/>
        </w:rPr>
        <w:t>homelessness</w:t>
      </w:r>
      <w:r w:rsidRPr="0020440D">
        <w:rPr>
          <w:rStyle w:val="FootnoteReference"/>
          <w:rFonts w:cstheme="minorHAnsi"/>
          <w:sz w:val="24"/>
          <w:szCs w:val="24"/>
        </w:rPr>
        <w:footnoteReference w:id="30"/>
      </w:r>
      <w:r w:rsidR="00997E5C" w:rsidRPr="0020440D">
        <w:rPr>
          <w:rFonts w:cstheme="minorHAnsi"/>
          <w:sz w:val="24"/>
          <w:szCs w:val="24"/>
        </w:rPr>
        <w:t xml:space="preserve"> the State p</w:t>
      </w:r>
      <w:r w:rsidR="00F32C54" w:rsidRPr="0020440D">
        <w:rPr>
          <w:rFonts w:cstheme="minorHAnsi"/>
          <w:sz w:val="24"/>
          <w:szCs w:val="24"/>
        </w:rPr>
        <w:t xml:space="preserve">arty should </w:t>
      </w:r>
      <w:r w:rsidRPr="0020440D">
        <w:rPr>
          <w:rFonts w:cstheme="minorHAnsi"/>
          <w:sz w:val="24"/>
          <w:szCs w:val="24"/>
        </w:rPr>
        <w:t xml:space="preserve">provide information on </w:t>
      </w:r>
      <w:r w:rsidR="00AC7457" w:rsidRPr="0020440D">
        <w:rPr>
          <w:rFonts w:cstheme="minorHAnsi"/>
          <w:sz w:val="24"/>
          <w:szCs w:val="24"/>
        </w:rPr>
        <w:t>policies, legislation,</w:t>
      </w:r>
      <w:r w:rsidRPr="0020440D">
        <w:rPr>
          <w:rFonts w:cstheme="minorHAnsi"/>
          <w:sz w:val="24"/>
          <w:szCs w:val="24"/>
        </w:rPr>
        <w:t xml:space="preserve"> and other efforts to ensure housing affordability</w:t>
      </w:r>
      <w:r w:rsidR="00F32C54" w:rsidRPr="0020440D">
        <w:rPr>
          <w:rFonts w:cstheme="minorHAnsi"/>
          <w:sz w:val="24"/>
          <w:szCs w:val="24"/>
        </w:rPr>
        <w:t xml:space="preserve">. </w:t>
      </w:r>
      <w:r w:rsidR="00076284" w:rsidRPr="0020440D">
        <w:rPr>
          <w:rFonts w:cstheme="minorHAnsi"/>
          <w:sz w:val="24"/>
          <w:szCs w:val="24"/>
        </w:rPr>
        <w:t xml:space="preserve"> </w:t>
      </w:r>
      <w:r w:rsidR="00F32C54" w:rsidRPr="0020440D">
        <w:rPr>
          <w:rFonts w:cstheme="minorHAnsi"/>
          <w:sz w:val="24"/>
          <w:szCs w:val="24"/>
        </w:rPr>
        <w:t>Specifically:</w:t>
      </w:r>
    </w:p>
    <w:p w14:paraId="3D45C7EB" w14:textId="6480F9BB" w:rsidR="00AC7457" w:rsidRPr="0020440D" w:rsidRDefault="000C35C4" w:rsidP="009D76A6">
      <w:pPr>
        <w:pStyle w:val="ListParagraph"/>
        <w:numPr>
          <w:ilvl w:val="1"/>
          <w:numId w:val="8"/>
        </w:numPr>
        <w:rPr>
          <w:rFonts w:cstheme="minorHAnsi"/>
          <w:sz w:val="24"/>
          <w:szCs w:val="24"/>
        </w:rPr>
      </w:pPr>
      <w:r w:rsidRPr="0020440D">
        <w:rPr>
          <w:rFonts w:cstheme="minorHAnsi"/>
          <w:sz w:val="24"/>
          <w:szCs w:val="24"/>
        </w:rPr>
        <w:t>p</w:t>
      </w:r>
      <w:r w:rsidR="00AC7457" w:rsidRPr="0020440D">
        <w:rPr>
          <w:rFonts w:cstheme="minorHAnsi"/>
          <w:sz w:val="24"/>
          <w:szCs w:val="24"/>
        </w:rPr>
        <w:t xml:space="preserve">rovide information on steps taken to </w:t>
      </w:r>
      <w:r w:rsidR="008B14B3" w:rsidRPr="0020440D">
        <w:rPr>
          <w:rFonts w:cstheme="minorHAnsi"/>
          <w:sz w:val="24"/>
          <w:szCs w:val="24"/>
        </w:rPr>
        <w:t>make</w:t>
      </w:r>
      <w:r w:rsidR="00AC7457" w:rsidRPr="0020440D">
        <w:rPr>
          <w:rFonts w:cstheme="minorHAnsi"/>
          <w:sz w:val="24"/>
          <w:szCs w:val="24"/>
        </w:rPr>
        <w:t xml:space="preserve"> social and affordable housing </w:t>
      </w:r>
      <w:r w:rsidR="008B14B3" w:rsidRPr="0020440D">
        <w:rPr>
          <w:rFonts w:cstheme="minorHAnsi"/>
          <w:sz w:val="24"/>
          <w:szCs w:val="24"/>
        </w:rPr>
        <w:t>available and accessible</w:t>
      </w:r>
      <w:r w:rsidR="009322ED" w:rsidRPr="0020440D">
        <w:rPr>
          <w:rFonts w:cstheme="minorHAnsi"/>
          <w:sz w:val="24"/>
          <w:szCs w:val="24"/>
        </w:rPr>
        <w:t>, given current lack of supply and long waiting lists</w:t>
      </w:r>
      <w:r w:rsidRPr="0020440D">
        <w:rPr>
          <w:rFonts w:cstheme="minorHAnsi"/>
          <w:sz w:val="24"/>
          <w:szCs w:val="24"/>
        </w:rPr>
        <w:t>;</w:t>
      </w:r>
      <w:r w:rsidR="009322ED" w:rsidRPr="0020440D">
        <w:rPr>
          <w:rStyle w:val="FootnoteReference"/>
          <w:rFonts w:cstheme="minorHAnsi"/>
          <w:sz w:val="24"/>
          <w:szCs w:val="24"/>
        </w:rPr>
        <w:footnoteReference w:id="31"/>
      </w:r>
      <w:r w:rsidR="008B14B3" w:rsidRPr="0020440D">
        <w:rPr>
          <w:rFonts w:cstheme="minorHAnsi"/>
          <w:sz w:val="24"/>
          <w:szCs w:val="24"/>
        </w:rPr>
        <w:t xml:space="preserve"> </w:t>
      </w:r>
    </w:p>
    <w:p w14:paraId="587BBF9A" w14:textId="752CDF75" w:rsidR="002C2F44" w:rsidRPr="0020440D" w:rsidRDefault="000C35C4" w:rsidP="009D76A6">
      <w:pPr>
        <w:pStyle w:val="ListParagraph"/>
        <w:numPr>
          <w:ilvl w:val="1"/>
          <w:numId w:val="8"/>
        </w:numPr>
        <w:rPr>
          <w:rFonts w:cstheme="minorHAnsi"/>
          <w:sz w:val="24"/>
          <w:szCs w:val="24"/>
        </w:rPr>
      </w:pPr>
      <w:r w:rsidRPr="0020440D">
        <w:rPr>
          <w:rFonts w:cstheme="minorHAnsi"/>
          <w:sz w:val="24"/>
          <w:szCs w:val="24"/>
        </w:rPr>
        <w:lastRenderedPageBreak/>
        <w:t>p</w:t>
      </w:r>
      <w:r w:rsidR="002C2F44" w:rsidRPr="0020440D">
        <w:rPr>
          <w:rFonts w:cstheme="minorHAnsi"/>
          <w:sz w:val="24"/>
          <w:szCs w:val="24"/>
        </w:rPr>
        <w:t xml:space="preserve">rovide information on how the State party </w:t>
      </w:r>
      <w:r w:rsidR="008B14B3" w:rsidRPr="0020440D">
        <w:rPr>
          <w:rFonts w:cstheme="minorHAnsi"/>
          <w:sz w:val="24"/>
          <w:szCs w:val="24"/>
        </w:rPr>
        <w:t>is taking steps to ensure investment in housing (</w:t>
      </w:r>
      <w:r w:rsidR="00997E5C" w:rsidRPr="0020440D">
        <w:rPr>
          <w:rFonts w:cstheme="minorHAnsi"/>
          <w:sz w:val="24"/>
          <w:szCs w:val="24"/>
        </w:rPr>
        <w:t>and housing financializ</w:t>
      </w:r>
      <w:r w:rsidR="008B14B3" w:rsidRPr="0020440D">
        <w:rPr>
          <w:rFonts w:cstheme="minorHAnsi"/>
          <w:sz w:val="24"/>
          <w:szCs w:val="24"/>
        </w:rPr>
        <w:t>ation) does not lead to retrogression in the enjoyment of the right to housing, particularly with regard to housing affordability</w:t>
      </w:r>
      <w:r w:rsidRPr="0020440D">
        <w:rPr>
          <w:rFonts w:cstheme="minorHAnsi"/>
          <w:sz w:val="24"/>
          <w:szCs w:val="24"/>
        </w:rPr>
        <w:t>.</w:t>
      </w:r>
      <w:r w:rsidR="00F32C54" w:rsidRPr="0020440D">
        <w:rPr>
          <w:rFonts w:cstheme="minorHAnsi"/>
          <w:sz w:val="24"/>
          <w:szCs w:val="24"/>
        </w:rPr>
        <w:t xml:space="preserve">  The State party should provide information with respect to ‘negative gearing’ and capital gains tax concessions that encourage high income earners to invest in housing at the expense of homeownership for low income earners</w:t>
      </w:r>
      <w:r w:rsidR="00873EE2" w:rsidRPr="0020440D">
        <w:rPr>
          <w:rFonts w:cstheme="minorHAnsi"/>
          <w:sz w:val="24"/>
          <w:szCs w:val="24"/>
        </w:rPr>
        <w:t>.</w:t>
      </w:r>
      <w:r w:rsidR="00873EE2" w:rsidRPr="0020440D">
        <w:rPr>
          <w:rStyle w:val="FootnoteReference"/>
          <w:rFonts w:cstheme="minorHAnsi"/>
          <w:sz w:val="24"/>
          <w:szCs w:val="24"/>
        </w:rPr>
        <w:footnoteReference w:id="32"/>
      </w:r>
    </w:p>
    <w:p w14:paraId="7D74BF14" w14:textId="6D31A16A" w:rsidR="00BD4DF0" w:rsidRPr="0020440D" w:rsidRDefault="00BD4DF0" w:rsidP="008B14B3">
      <w:pPr>
        <w:rPr>
          <w:rFonts w:cstheme="minorHAnsi"/>
          <w:sz w:val="24"/>
          <w:szCs w:val="24"/>
        </w:rPr>
      </w:pPr>
    </w:p>
    <w:p w14:paraId="240A5F6A" w14:textId="6D0ED944" w:rsidR="008B14B3" w:rsidRPr="0020440D" w:rsidRDefault="008B14B3" w:rsidP="009D76A6">
      <w:pPr>
        <w:rPr>
          <w:rFonts w:cstheme="minorHAnsi"/>
          <w:b/>
          <w:i/>
          <w:sz w:val="24"/>
          <w:szCs w:val="24"/>
        </w:rPr>
      </w:pPr>
      <w:r w:rsidRPr="0020440D">
        <w:rPr>
          <w:rFonts w:cstheme="minorHAnsi"/>
          <w:b/>
          <w:i/>
          <w:sz w:val="24"/>
          <w:szCs w:val="24"/>
        </w:rPr>
        <w:t xml:space="preserve">Access to Housing for Vulnerable Groups </w:t>
      </w:r>
    </w:p>
    <w:p w14:paraId="6DB208C0" w14:textId="4520BF24" w:rsidR="008B14B3" w:rsidRPr="0020440D" w:rsidRDefault="005A0EF3" w:rsidP="009D76A6">
      <w:pPr>
        <w:pStyle w:val="ListParagraph"/>
        <w:numPr>
          <w:ilvl w:val="0"/>
          <w:numId w:val="8"/>
        </w:numPr>
        <w:rPr>
          <w:rFonts w:cstheme="minorHAnsi"/>
          <w:sz w:val="24"/>
          <w:szCs w:val="24"/>
        </w:rPr>
      </w:pPr>
      <w:r w:rsidRPr="0020440D">
        <w:rPr>
          <w:rFonts w:cstheme="minorHAnsi"/>
          <w:sz w:val="24"/>
          <w:szCs w:val="24"/>
        </w:rPr>
        <w:t xml:space="preserve">State parties must take additional steps to ensure that adequate housing is accessible for vulnerable groups, yet </w:t>
      </w:r>
      <w:r w:rsidR="008B14B3" w:rsidRPr="0020440D">
        <w:rPr>
          <w:rFonts w:cstheme="minorHAnsi"/>
          <w:sz w:val="24"/>
          <w:szCs w:val="24"/>
        </w:rPr>
        <w:t>vulnerable groups are experiencing serious impediments in access to a</w:t>
      </w:r>
      <w:r w:rsidR="00873EE2" w:rsidRPr="0020440D">
        <w:rPr>
          <w:rFonts w:cstheme="minorHAnsi"/>
          <w:sz w:val="24"/>
          <w:szCs w:val="24"/>
        </w:rPr>
        <w:t xml:space="preserve">dequate housing.  The State </w:t>
      </w:r>
      <w:r w:rsidR="00997E5C" w:rsidRPr="0020440D">
        <w:rPr>
          <w:rFonts w:cstheme="minorHAnsi"/>
          <w:sz w:val="24"/>
          <w:szCs w:val="24"/>
        </w:rPr>
        <w:t>p</w:t>
      </w:r>
      <w:r w:rsidR="00873EE2" w:rsidRPr="0020440D">
        <w:rPr>
          <w:rFonts w:cstheme="minorHAnsi"/>
          <w:sz w:val="24"/>
          <w:szCs w:val="24"/>
        </w:rPr>
        <w:t>arty should p</w:t>
      </w:r>
      <w:r w:rsidR="008B14B3" w:rsidRPr="0020440D">
        <w:rPr>
          <w:rFonts w:cstheme="minorHAnsi"/>
          <w:sz w:val="24"/>
          <w:szCs w:val="24"/>
        </w:rPr>
        <w:t xml:space="preserve">rovide information on: </w:t>
      </w:r>
    </w:p>
    <w:p w14:paraId="25752B5F" w14:textId="009F27A3" w:rsidR="005A0EF3"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5A0EF3" w:rsidRPr="0020440D">
        <w:rPr>
          <w:rFonts w:cstheme="minorHAnsi"/>
          <w:sz w:val="24"/>
          <w:szCs w:val="24"/>
        </w:rPr>
        <w:t xml:space="preserve">teps to combat </w:t>
      </w:r>
      <w:r w:rsidRPr="0020440D">
        <w:rPr>
          <w:rFonts w:cstheme="minorHAnsi"/>
          <w:sz w:val="24"/>
          <w:szCs w:val="24"/>
        </w:rPr>
        <w:t>h</w:t>
      </w:r>
      <w:r w:rsidR="005A0EF3" w:rsidRPr="0020440D">
        <w:rPr>
          <w:rFonts w:cstheme="minorHAnsi"/>
          <w:sz w:val="24"/>
          <w:szCs w:val="24"/>
        </w:rPr>
        <w:t>omelessness in older women</w:t>
      </w:r>
      <w:r w:rsidR="00873EE2" w:rsidRPr="0020440D">
        <w:rPr>
          <w:rFonts w:cstheme="minorHAnsi"/>
          <w:sz w:val="24"/>
          <w:szCs w:val="24"/>
        </w:rPr>
        <w:t>, the fastest growing cohort of homeless people</w:t>
      </w:r>
      <w:r w:rsidRPr="0020440D">
        <w:rPr>
          <w:rFonts w:cstheme="minorHAnsi"/>
          <w:sz w:val="24"/>
          <w:szCs w:val="24"/>
        </w:rPr>
        <w:t>;</w:t>
      </w:r>
      <w:r w:rsidR="00873EE2" w:rsidRPr="0020440D">
        <w:rPr>
          <w:rStyle w:val="FootnoteReference"/>
          <w:rFonts w:cstheme="minorHAnsi"/>
          <w:sz w:val="24"/>
          <w:szCs w:val="24"/>
        </w:rPr>
        <w:footnoteReference w:id="33"/>
      </w:r>
    </w:p>
    <w:p w14:paraId="01225901" w14:textId="49240E91" w:rsidR="00AA00E9"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 xml:space="preserve">teps to support </w:t>
      </w:r>
      <w:r w:rsidRPr="0020440D">
        <w:rPr>
          <w:rFonts w:cstheme="minorHAnsi"/>
          <w:sz w:val="24"/>
          <w:szCs w:val="24"/>
        </w:rPr>
        <w:t>First Nations people</w:t>
      </w:r>
      <w:r w:rsidR="00AA00E9" w:rsidRPr="0020440D">
        <w:rPr>
          <w:rFonts w:cstheme="minorHAnsi"/>
          <w:sz w:val="24"/>
          <w:szCs w:val="24"/>
        </w:rPr>
        <w:t xml:space="preserve"> in housing, rectifying past and ongoing discrimination and disadvantage (as recognised in the Committee’s Past Concluding Observations</w:t>
      </w:r>
      <w:r w:rsidR="00AA00E9" w:rsidRPr="0020440D">
        <w:rPr>
          <w:rStyle w:val="FootnoteReference"/>
          <w:rFonts w:cstheme="minorHAnsi"/>
          <w:sz w:val="24"/>
          <w:szCs w:val="24"/>
        </w:rPr>
        <w:footnoteReference w:id="34"/>
      </w:r>
      <w:r w:rsidR="00AA00E9" w:rsidRPr="0020440D">
        <w:rPr>
          <w:rFonts w:cstheme="minorHAnsi"/>
          <w:sz w:val="24"/>
          <w:szCs w:val="24"/>
        </w:rPr>
        <w:t>) and including self-determined housing choices</w:t>
      </w:r>
      <w:r w:rsidRPr="0020440D">
        <w:rPr>
          <w:rFonts w:cstheme="minorHAnsi"/>
          <w:sz w:val="24"/>
          <w:szCs w:val="24"/>
        </w:rPr>
        <w:t>;</w:t>
      </w:r>
    </w:p>
    <w:p w14:paraId="1335EA3A" w14:textId="074F9A2F" w:rsidR="005A0EF3"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upport for y</w:t>
      </w:r>
      <w:r w:rsidR="005A0EF3" w:rsidRPr="0020440D">
        <w:rPr>
          <w:rFonts w:cstheme="minorHAnsi"/>
          <w:sz w:val="24"/>
          <w:szCs w:val="24"/>
        </w:rPr>
        <w:t>oung people leaving care</w:t>
      </w:r>
      <w:r w:rsidR="00873EE2" w:rsidRPr="0020440D">
        <w:rPr>
          <w:rFonts w:cstheme="minorHAnsi"/>
          <w:sz w:val="24"/>
          <w:szCs w:val="24"/>
        </w:rPr>
        <w:t>;</w:t>
      </w:r>
      <w:r w:rsidR="00873EE2" w:rsidRPr="0020440D">
        <w:rPr>
          <w:rStyle w:val="FootnoteReference"/>
          <w:rFonts w:cstheme="minorHAnsi"/>
          <w:sz w:val="24"/>
          <w:szCs w:val="24"/>
        </w:rPr>
        <w:footnoteReference w:id="35"/>
      </w:r>
      <w:r w:rsidR="00873EE2" w:rsidRPr="0020440D">
        <w:rPr>
          <w:rFonts w:cstheme="minorHAnsi"/>
          <w:sz w:val="24"/>
          <w:szCs w:val="24"/>
        </w:rPr>
        <w:t xml:space="preserve"> </w:t>
      </w:r>
    </w:p>
    <w:p w14:paraId="1AF0453A" w14:textId="13DAB7D2" w:rsidR="005A0EF3"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upport for v</w:t>
      </w:r>
      <w:r w:rsidR="005A0EF3" w:rsidRPr="0020440D">
        <w:rPr>
          <w:rFonts w:cstheme="minorHAnsi"/>
          <w:sz w:val="24"/>
          <w:szCs w:val="24"/>
        </w:rPr>
        <w:t>ulnerable people exiting prison</w:t>
      </w:r>
      <w:r w:rsidRPr="0020440D">
        <w:rPr>
          <w:rFonts w:cstheme="minorHAnsi"/>
          <w:sz w:val="24"/>
          <w:szCs w:val="24"/>
        </w:rPr>
        <w:t>;</w:t>
      </w:r>
      <w:r w:rsidR="00873EE2" w:rsidRPr="0020440D">
        <w:rPr>
          <w:rStyle w:val="FootnoteReference"/>
          <w:rFonts w:cstheme="minorHAnsi"/>
          <w:sz w:val="24"/>
          <w:szCs w:val="24"/>
        </w:rPr>
        <w:footnoteReference w:id="36"/>
      </w:r>
      <w:r w:rsidR="005A0EF3" w:rsidRPr="0020440D">
        <w:rPr>
          <w:rFonts w:cstheme="minorHAnsi"/>
          <w:sz w:val="24"/>
          <w:szCs w:val="24"/>
        </w:rPr>
        <w:t xml:space="preserve"> </w:t>
      </w:r>
    </w:p>
    <w:p w14:paraId="62C6703C" w14:textId="23C263FA" w:rsidR="005A0EF3"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 xml:space="preserve">upport for </w:t>
      </w:r>
      <w:r w:rsidR="006108BA" w:rsidRPr="0020440D">
        <w:rPr>
          <w:rFonts w:cstheme="minorHAnsi"/>
          <w:sz w:val="24"/>
          <w:szCs w:val="24"/>
        </w:rPr>
        <w:t>people seeking asylum</w:t>
      </w:r>
      <w:r w:rsidRPr="0020440D">
        <w:rPr>
          <w:rFonts w:cstheme="minorHAnsi"/>
          <w:sz w:val="24"/>
          <w:szCs w:val="24"/>
        </w:rPr>
        <w:t>;</w:t>
      </w:r>
      <w:r w:rsidR="006108BA" w:rsidRPr="0020440D">
        <w:rPr>
          <w:rFonts w:cstheme="minorHAnsi"/>
          <w:sz w:val="24"/>
          <w:szCs w:val="24"/>
        </w:rPr>
        <w:t xml:space="preserve"> </w:t>
      </w:r>
      <w:r w:rsidR="00873EE2" w:rsidRPr="0020440D">
        <w:rPr>
          <w:rStyle w:val="FootnoteReference"/>
          <w:rFonts w:cstheme="minorHAnsi"/>
          <w:sz w:val="24"/>
          <w:szCs w:val="24"/>
        </w:rPr>
        <w:footnoteReference w:id="37"/>
      </w:r>
    </w:p>
    <w:p w14:paraId="594A6063" w14:textId="65F8C79A" w:rsidR="005A0EF3"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 xml:space="preserve">upport for </w:t>
      </w:r>
      <w:r w:rsidRPr="0020440D">
        <w:rPr>
          <w:rFonts w:cstheme="minorHAnsi"/>
          <w:sz w:val="24"/>
          <w:szCs w:val="24"/>
        </w:rPr>
        <w:t>c</w:t>
      </w:r>
      <w:r w:rsidR="0069692A" w:rsidRPr="0020440D">
        <w:rPr>
          <w:rFonts w:cstheme="minorHAnsi"/>
          <w:sz w:val="24"/>
          <w:szCs w:val="24"/>
        </w:rPr>
        <w:t>hildren</w:t>
      </w:r>
      <w:r w:rsidRPr="0020440D">
        <w:rPr>
          <w:rFonts w:cstheme="minorHAnsi"/>
          <w:sz w:val="24"/>
          <w:szCs w:val="24"/>
        </w:rPr>
        <w:t>;</w:t>
      </w:r>
      <w:r w:rsidR="00873EE2" w:rsidRPr="0020440D">
        <w:rPr>
          <w:rStyle w:val="FootnoteReference"/>
          <w:rFonts w:cstheme="minorHAnsi"/>
          <w:sz w:val="24"/>
          <w:szCs w:val="24"/>
        </w:rPr>
        <w:footnoteReference w:id="38"/>
      </w:r>
    </w:p>
    <w:p w14:paraId="229BEC4B" w14:textId="140E4D78" w:rsidR="0069692A" w:rsidRPr="0020440D" w:rsidRDefault="000C35C4" w:rsidP="009D76A6">
      <w:pPr>
        <w:pStyle w:val="ListParagraph"/>
        <w:numPr>
          <w:ilvl w:val="1"/>
          <w:numId w:val="8"/>
        </w:numPr>
        <w:rPr>
          <w:rFonts w:cstheme="minorHAnsi"/>
          <w:sz w:val="24"/>
          <w:szCs w:val="24"/>
        </w:rPr>
      </w:pPr>
      <w:r w:rsidRPr="0020440D">
        <w:rPr>
          <w:rFonts w:cstheme="minorHAnsi"/>
          <w:sz w:val="24"/>
          <w:szCs w:val="24"/>
        </w:rPr>
        <w:t>s</w:t>
      </w:r>
      <w:r w:rsidR="00AA00E9" w:rsidRPr="0020440D">
        <w:rPr>
          <w:rFonts w:cstheme="minorHAnsi"/>
          <w:sz w:val="24"/>
          <w:szCs w:val="24"/>
        </w:rPr>
        <w:t xml:space="preserve">upport for </w:t>
      </w:r>
      <w:r w:rsidR="00997E5C" w:rsidRPr="0020440D">
        <w:rPr>
          <w:rFonts w:cstheme="minorHAnsi"/>
          <w:sz w:val="24"/>
          <w:szCs w:val="24"/>
        </w:rPr>
        <w:t>p</w:t>
      </w:r>
      <w:r w:rsidR="0069692A" w:rsidRPr="0020440D">
        <w:rPr>
          <w:rFonts w:cstheme="minorHAnsi"/>
          <w:sz w:val="24"/>
          <w:szCs w:val="24"/>
        </w:rPr>
        <w:t>eople with disabilities</w:t>
      </w:r>
      <w:r w:rsidRPr="0020440D">
        <w:rPr>
          <w:rFonts w:cstheme="minorHAnsi"/>
          <w:sz w:val="24"/>
          <w:szCs w:val="24"/>
        </w:rPr>
        <w:t>.</w:t>
      </w:r>
      <w:r w:rsidR="00873EE2" w:rsidRPr="0020440D">
        <w:rPr>
          <w:rStyle w:val="FootnoteReference"/>
          <w:rFonts w:cstheme="minorHAnsi"/>
          <w:sz w:val="24"/>
          <w:szCs w:val="24"/>
        </w:rPr>
        <w:footnoteReference w:id="39"/>
      </w:r>
      <w:r w:rsidR="0069692A" w:rsidRPr="0020440D">
        <w:rPr>
          <w:rFonts w:cstheme="minorHAnsi"/>
          <w:sz w:val="24"/>
          <w:szCs w:val="24"/>
        </w:rPr>
        <w:t xml:space="preserve"> </w:t>
      </w:r>
    </w:p>
    <w:p w14:paraId="0E503BEA" w14:textId="0FD54E30" w:rsidR="00F32C54" w:rsidRPr="0020440D" w:rsidRDefault="00F32C54" w:rsidP="00F32C54">
      <w:pPr>
        <w:rPr>
          <w:rFonts w:cstheme="minorHAnsi"/>
          <w:sz w:val="24"/>
          <w:szCs w:val="24"/>
        </w:rPr>
      </w:pPr>
    </w:p>
    <w:p w14:paraId="6F570CF8" w14:textId="4E95C1B5" w:rsidR="00F32C54" w:rsidRPr="0020440D" w:rsidRDefault="00F32C54" w:rsidP="009D76A6">
      <w:pPr>
        <w:rPr>
          <w:rFonts w:cstheme="minorHAnsi"/>
          <w:b/>
          <w:i/>
          <w:sz w:val="24"/>
          <w:szCs w:val="24"/>
        </w:rPr>
      </w:pPr>
      <w:r w:rsidRPr="0020440D">
        <w:rPr>
          <w:rFonts w:cstheme="minorHAnsi"/>
          <w:b/>
          <w:i/>
          <w:sz w:val="24"/>
          <w:szCs w:val="24"/>
        </w:rPr>
        <w:t>Housing Quality and Habitability</w:t>
      </w:r>
      <w:r w:rsidR="00AC607D" w:rsidRPr="0020440D">
        <w:rPr>
          <w:rFonts w:cstheme="minorHAnsi"/>
          <w:b/>
          <w:i/>
          <w:sz w:val="24"/>
          <w:szCs w:val="24"/>
        </w:rPr>
        <w:t xml:space="preserve"> </w:t>
      </w:r>
    </w:p>
    <w:p w14:paraId="464FDB82" w14:textId="03BEA500" w:rsidR="005A0EF3" w:rsidRPr="0020440D" w:rsidRDefault="005A0EF3" w:rsidP="009D76A6">
      <w:pPr>
        <w:pStyle w:val="ListParagraph"/>
        <w:numPr>
          <w:ilvl w:val="0"/>
          <w:numId w:val="8"/>
        </w:numPr>
        <w:rPr>
          <w:rFonts w:cstheme="minorHAnsi"/>
          <w:sz w:val="24"/>
          <w:szCs w:val="24"/>
        </w:rPr>
      </w:pPr>
      <w:r w:rsidRPr="0020440D">
        <w:rPr>
          <w:rFonts w:cstheme="minorHAnsi"/>
          <w:sz w:val="24"/>
          <w:szCs w:val="24"/>
        </w:rPr>
        <w:t xml:space="preserve">As a developed State, with well-developed housing infrastructure, all Australian housing should meet quality standards commensurate with human dignity, peace and security. However some housing falls </w:t>
      </w:r>
      <w:r w:rsidR="00D56D52" w:rsidRPr="0020440D">
        <w:rPr>
          <w:rFonts w:cstheme="minorHAnsi"/>
          <w:sz w:val="24"/>
          <w:szCs w:val="24"/>
        </w:rPr>
        <w:t xml:space="preserve">well </w:t>
      </w:r>
      <w:r w:rsidRPr="0020440D">
        <w:rPr>
          <w:rFonts w:cstheme="minorHAnsi"/>
          <w:sz w:val="24"/>
          <w:szCs w:val="24"/>
        </w:rPr>
        <w:t>below basic standards of habitability.  Accordingly, the State</w:t>
      </w:r>
      <w:r w:rsidR="00D6316D" w:rsidRPr="0020440D">
        <w:rPr>
          <w:rFonts w:cstheme="minorHAnsi"/>
          <w:sz w:val="24"/>
          <w:szCs w:val="24"/>
        </w:rPr>
        <w:t xml:space="preserve"> party</w:t>
      </w:r>
      <w:r w:rsidRPr="0020440D">
        <w:rPr>
          <w:rFonts w:cstheme="minorHAnsi"/>
          <w:sz w:val="24"/>
          <w:szCs w:val="24"/>
        </w:rPr>
        <w:t xml:space="preserve"> should provide information on the following:</w:t>
      </w:r>
    </w:p>
    <w:p w14:paraId="29A470D6" w14:textId="33D1BBA4" w:rsidR="00F32C54" w:rsidRPr="0020440D" w:rsidRDefault="009A7A79" w:rsidP="009D76A6">
      <w:pPr>
        <w:pStyle w:val="ListParagraph"/>
        <w:numPr>
          <w:ilvl w:val="1"/>
          <w:numId w:val="8"/>
        </w:numPr>
        <w:rPr>
          <w:rFonts w:cstheme="minorHAnsi"/>
          <w:sz w:val="24"/>
          <w:szCs w:val="24"/>
        </w:rPr>
      </w:pPr>
      <w:r w:rsidRPr="0020440D">
        <w:rPr>
          <w:rFonts w:cstheme="minorHAnsi"/>
          <w:sz w:val="24"/>
          <w:szCs w:val="24"/>
        </w:rPr>
        <w:lastRenderedPageBreak/>
        <w:t>s</w:t>
      </w:r>
      <w:r w:rsidR="005A0EF3" w:rsidRPr="0020440D">
        <w:rPr>
          <w:rFonts w:cstheme="minorHAnsi"/>
          <w:sz w:val="24"/>
          <w:szCs w:val="24"/>
        </w:rPr>
        <w:t>teps taken to end poor housing conditions for Australia’s First Nations</w:t>
      </w:r>
      <w:r w:rsidR="00997E5C" w:rsidRPr="0020440D">
        <w:rPr>
          <w:rFonts w:cstheme="minorHAnsi"/>
          <w:sz w:val="24"/>
          <w:szCs w:val="24"/>
        </w:rPr>
        <w:t xml:space="preserve"> </w:t>
      </w:r>
      <w:r w:rsidRPr="0020440D">
        <w:rPr>
          <w:rFonts w:cstheme="minorHAnsi"/>
          <w:sz w:val="24"/>
          <w:szCs w:val="24"/>
        </w:rPr>
        <w:t>P</w:t>
      </w:r>
      <w:r w:rsidR="00997E5C" w:rsidRPr="0020440D">
        <w:rPr>
          <w:rFonts w:cstheme="minorHAnsi"/>
          <w:sz w:val="24"/>
          <w:szCs w:val="24"/>
        </w:rPr>
        <w:t>eoples</w:t>
      </w:r>
      <w:r w:rsidRPr="0020440D">
        <w:rPr>
          <w:rFonts w:cstheme="minorHAnsi"/>
          <w:sz w:val="24"/>
          <w:szCs w:val="24"/>
        </w:rPr>
        <w:t>;</w:t>
      </w:r>
      <w:r w:rsidR="005A0EF3" w:rsidRPr="0020440D">
        <w:rPr>
          <w:rStyle w:val="FootnoteReference"/>
          <w:rFonts w:cstheme="minorHAnsi"/>
          <w:sz w:val="24"/>
          <w:szCs w:val="24"/>
        </w:rPr>
        <w:footnoteReference w:id="40"/>
      </w:r>
      <w:r w:rsidR="005A0EF3" w:rsidRPr="0020440D">
        <w:rPr>
          <w:rFonts w:cstheme="minorHAnsi"/>
          <w:sz w:val="24"/>
          <w:szCs w:val="24"/>
        </w:rPr>
        <w:t xml:space="preserve"> </w:t>
      </w:r>
    </w:p>
    <w:p w14:paraId="2CA65B6A" w14:textId="10184544" w:rsidR="005A0EF3" w:rsidRPr="0020440D" w:rsidRDefault="009A7A79" w:rsidP="009D76A6">
      <w:pPr>
        <w:pStyle w:val="ListParagraph"/>
        <w:numPr>
          <w:ilvl w:val="1"/>
          <w:numId w:val="8"/>
        </w:numPr>
        <w:rPr>
          <w:rFonts w:cstheme="minorHAnsi"/>
          <w:sz w:val="24"/>
          <w:szCs w:val="24"/>
        </w:rPr>
      </w:pPr>
      <w:r w:rsidRPr="0020440D">
        <w:rPr>
          <w:rFonts w:cstheme="minorHAnsi"/>
          <w:sz w:val="24"/>
          <w:szCs w:val="24"/>
        </w:rPr>
        <w:t>s</w:t>
      </w:r>
      <w:r w:rsidR="005A0EF3" w:rsidRPr="0020440D">
        <w:rPr>
          <w:rFonts w:cstheme="minorHAnsi"/>
          <w:sz w:val="24"/>
          <w:szCs w:val="24"/>
        </w:rPr>
        <w:t>teps</w:t>
      </w:r>
      <w:r w:rsidR="001A0D6E" w:rsidRPr="0020440D">
        <w:rPr>
          <w:rFonts w:cstheme="minorHAnsi"/>
          <w:sz w:val="24"/>
          <w:szCs w:val="24"/>
        </w:rPr>
        <w:t xml:space="preserve"> taken</w:t>
      </w:r>
      <w:r w:rsidR="005A0EF3" w:rsidRPr="0020440D">
        <w:rPr>
          <w:rFonts w:cstheme="minorHAnsi"/>
          <w:sz w:val="24"/>
          <w:szCs w:val="24"/>
        </w:rPr>
        <w:t xml:space="preserve"> to remedy disinvestment in social housing, which has led to poor standards and disrepair in social housing</w:t>
      </w:r>
      <w:r w:rsidR="00997E5C" w:rsidRPr="0020440D">
        <w:rPr>
          <w:rFonts w:cstheme="minorHAnsi"/>
          <w:sz w:val="24"/>
          <w:szCs w:val="24"/>
        </w:rPr>
        <w:t>;</w:t>
      </w:r>
      <w:r w:rsidR="005A0EF3" w:rsidRPr="0020440D">
        <w:rPr>
          <w:rFonts w:cstheme="minorHAnsi"/>
          <w:sz w:val="24"/>
          <w:szCs w:val="24"/>
        </w:rPr>
        <w:t xml:space="preserve"> </w:t>
      </w:r>
      <w:r w:rsidR="000B1F5A" w:rsidRPr="0020440D">
        <w:rPr>
          <w:rFonts w:cstheme="minorHAnsi"/>
          <w:sz w:val="24"/>
          <w:szCs w:val="24"/>
        </w:rPr>
        <w:t>and to improve housing quality in that sector.</w:t>
      </w:r>
      <w:r w:rsidR="001A0D6E" w:rsidRPr="0020440D">
        <w:rPr>
          <w:rStyle w:val="FootnoteReference"/>
          <w:rFonts w:cstheme="minorHAnsi"/>
          <w:sz w:val="24"/>
          <w:szCs w:val="24"/>
        </w:rPr>
        <w:footnoteReference w:id="41"/>
      </w:r>
    </w:p>
    <w:p w14:paraId="3F2E5FC7" w14:textId="0E260E82" w:rsidR="0069692A" w:rsidRPr="0020440D" w:rsidRDefault="0069692A" w:rsidP="009D76A6">
      <w:pPr>
        <w:pStyle w:val="ListParagraph"/>
        <w:numPr>
          <w:ilvl w:val="0"/>
          <w:numId w:val="8"/>
        </w:numPr>
        <w:rPr>
          <w:rFonts w:cstheme="minorHAnsi"/>
          <w:sz w:val="24"/>
          <w:szCs w:val="24"/>
        </w:rPr>
      </w:pPr>
      <w:r w:rsidRPr="0020440D">
        <w:rPr>
          <w:rFonts w:cstheme="minorHAnsi"/>
          <w:sz w:val="24"/>
          <w:szCs w:val="24"/>
        </w:rPr>
        <w:t xml:space="preserve">With </w:t>
      </w:r>
      <w:r w:rsidR="000B1F5A" w:rsidRPr="0020440D">
        <w:rPr>
          <w:rFonts w:cstheme="minorHAnsi"/>
          <w:sz w:val="24"/>
          <w:szCs w:val="24"/>
        </w:rPr>
        <w:t xml:space="preserve">climate change contributing to </w:t>
      </w:r>
      <w:r w:rsidRPr="0020440D">
        <w:rPr>
          <w:rFonts w:cstheme="minorHAnsi"/>
          <w:sz w:val="24"/>
          <w:szCs w:val="24"/>
        </w:rPr>
        <w:t>unprecedented fires</w:t>
      </w:r>
      <w:r w:rsidR="00AA00E9" w:rsidRPr="0020440D">
        <w:rPr>
          <w:rStyle w:val="FootnoteReference"/>
          <w:rFonts w:cstheme="minorHAnsi"/>
          <w:sz w:val="24"/>
          <w:szCs w:val="24"/>
        </w:rPr>
        <w:footnoteReference w:id="42"/>
      </w:r>
      <w:r w:rsidRPr="0020440D">
        <w:rPr>
          <w:rFonts w:cstheme="minorHAnsi"/>
          <w:sz w:val="24"/>
          <w:szCs w:val="24"/>
        </w:rPr>
        <w:t xml:space="preserve"> and flooding</w:t>
      </w:r>
      <w:r w:rsidR="009A7A79" w:rsidRPr="0020440D">
        <w:rPr>
          <w:rFonts w:cstheme="minorHAnsi"/>
          <w:sz w:val="24"/>
          <w:szCs w:val="24"/>
        </w:rPr>
        <w:t>,</w:t>
      </w:r>
      <w:r w:rsidR="00AA00E9" w:rsidRPr="0020440D">
        <w:rPr>
          <w:rStyle w:val="FootnoteReference"/>
          <w:rFonts w:cstheme="minorHAnsi"/>
          <w:sz w:val="24"/>
          <w:szCs w:val="24"/>
        </w:rPr>
        <w:footnoteReference w:id="43"/>
      </w:r>
      <w:r w:rsidR="009A7A79" w:rsidRPr="0020440D">
        <w:rPr>
          <w:rFonts w:cstheme="minorHAnsi"/>
          <w:sz w:val="24"/>
          <w:szCs w:val="24"/>
        </w:rPr>
        <w:t xml:space="preserve"> destroying</w:t>
      </w:r>
      <w:r w:rsidRPr="0020440D">
        <w:rPr>
          <w:rFonts w:cstheme="minorHAnsi"/>
          <w:sz w:val="24"/>
          <w:szCs w:val="24"/>
        </w:rPr>
        <w:t xml:space="preserve"> houses</w:t>
      </w:r>
      <w:r w:rsidR="00AA00E9" w:rsidRPr="0020440D">
        <w:rPr>
          <w:rFonts w:cstheme="minorHAnsi"/>
          <w:sz w:val="24"/>
          <w:szCs w:val="24"/>
        </w:rPr>
        <w:t xml:space="preserve"> and communities</w:t>
      </w:r>
      <w:r w:rsidRPr="0020440D">
        <w:rPr>
          <w:rFonts w:cstheme="minorHAnsi"/>
          <w:sz w:val="24"/>
          <w:szCs w:val="24"/>
        </w:rPr>
        <w:t xml:space="preserve"> across Australia in recent years, pr</w:t>
      </w:r>
      <w:r w:rsidR="00997E5C" w:rsidRPr="0020440D">
        <w:rPr>
          <w:rFonts w:cstheme="minorHAnsi"/>
          <w:sz w:val="24"/>
          <w:szCs w:val="24"/>
        </w:rPr>
        <w:t>ovide information on the State p</w:t>
      </w:r>
      <w:r w:rsidRPr="0020440D">
        <w:rPr>
          <w:rFonts w:cstheme="minorHAnsi"/>
          <w:sz w:val="24"/>
          <w:szCs w:val="24"/>
        </w:rPr>
        <w:t>arty’s climate and emissions policy</w:t>
      </w:r>
      <w:r w:rsidR="00997E5C" w:rsidRPr="0020440D">
        <w:rPr>
          <w:rFonts w:cstheme="minorHAnsi"/>
          <w:sz w:val="24"/>
          <w:szCs w:val="24"/>
        </w:rPr>
        <w:t xml:space="preserve"> and human rights impact assessment of these policies</w:t>
      </w:r>
      <w:r w:rsidRPr="0020440D">
        <w:rPr>
          <w:rFonts w:cstheme="minorHAnsi"/>
          <w:sz w:val="24"/>
          <w:szCs w:val="24"/>
        </w:rPr>
        <w:t>.</w:t>
      </w:r>
    </w:p>
    <w:p w14:paraId="36220092" w14:textId="4414D122" w:rsidR="002A7856" w:rsidRPr="0020440D" w:rsidRDefault="002A7856" w:rsidP="002A7856">
      <w:pPr>
        <w:rPr>
          <w:rFonts w:cstheme="minorHAnsi"/>
          <w:sz w:val="24"/>
          <w:szCs w:val="24"/>
        </w:rPr>
      </w:pPr>
    </w:p>
    <w:p w14:paraId="6BC16F0E" w14:textId="5A5E3547" w:rsidR="002A7856" w:rsidRPr="0020440D" w:rsidRDefault="002A7856" w:rsidP="009D76A6">
      <w:pPr>
        <w:rPr>
          <w:rFonts w:cstheme="minorHAnsi"/>
          <w:b/>
          <w:sz w:val="24"/>
          <w:szCs w:val="24"/>
        </w:rPr>
      </w:pPr>
      <w:r w:rsidRPr="0020440D">
        <w:rPr>
          <w:rFonts w:cstheme="minorHAnsi"/>
          <w:b/>
          <w:sz w:val="24"/>
          <w:szCs w:val="24"/>
        </w:rPr>
        <w:t>The Right to the Highest Attainable Standard of Physical and Mental Health (Art</w:t>
      </w:r>
      <w:r w:rsidR="00997E5C" w:rsidRPr="0020440D">
        <w:rPr>
          <w:rFonts w:cstheme="minorHAnsi"/>
          <w:b/>
          <w:sz w:val="24"/>
          <w:szCs w:val="24"/>
        </w:rPr>
        <w:t>icle</w:t>
      </w:r>
      <w:r w:rsidRPr="0020440D">
        <w:rPr>
          <w:rFonts w:cstheme="minorHAnsi"/>
          <w:b/>
          <w:sz w:val="24"/>
          <w:szCs w:val="24"/>
        </w:rPr>
        <w:t xml:space="preserve"> 12</w:t>
      </w:r>
      <w:r w:rsidR="00AC607D" w:rsidRPr="0020440D">
        <w:rPr>
          <w:rFonts w:cstheme="minorHAnsi"/>
          <w:b/>
          <w:sz w:val="24"/>
          <w:szCs w:val="24"/>
        </w:rPr>
        <w:t>)</w:t>
      </w:r>
      <w:r w:rsidR="00997E5C" w:rsidRPr="0020440D">
        <w:rPr>
          <w:rFonts w:cstheme="minorHAnsi"/>
          <w:b/>
          <w:sz w:val="24"/>
          <w:szCs w:val="24"/>
        </w:rPr>
        <w:t>:</w:t>
      </w:r>
    </w:p>
    <w:p w14:paraId="042C03BA" w14:textId="2DE07EE2" w:rsidR="002A7856" w:rsidRPr="0020440D" w:rsidRDefault="002A7856" w:rsidP="009D76A6">
      <w:pPr>
        <w:pStyle w:val="ListParagraph"/>
        <w:numPr>
          <w:ilvl w:val="0"/>
          <w:numId w:val="8"/>
        </w:numPr>
        <w:rPr>
          <w:rFonts w:cstheme="minorHAnsi"/>
          <w:sz w:val="24"/>
          <w:szCs w:val="24"/>
        </w:rPr>
      </w:pPr>
      <w:r w:rsidRPr="0020440D">
        <w:rPr>
          <w:rFonts w:cstheme="minorHAnsi"/>
          <w:sz w:val="24"/>
          <w:szCs w:val="24"/>
        </w:rPr>
        <w:t xml:space="preserve">Housing is a key social determinant of health. </w:t>
      </w:r>
      <w:r w:rsidR="00E82474" w:rsidRPr="0020440D">
        <w:rPr>
          <w:rFonts w:cstheme="minorHAnsi"/>
          <w:sz w:val="24"/>
          <w:szCs w:val="24"/>
        </w:rPr>
        <w:t xml:space="preserve"> </w:t>
      </w:r>
      <w:r w:rsidRPr="0020440D">
        <w:rPr>
          <w:rFonts w:cstheme="minorHAnsi"/>
          <w:sz w:val="24"/>
          <w:szCs w:val="24"/>
        </w:rPr>
        <w:t>As the global Corona virus pandemic has demonstrated, housing is of fundamental importance to the physical and mental health of all individuals and broader commun</w:t>
      </w:r>
      <w:r w:rsidR="00997E5C" w:rsidRPr="0020440D">
        <w:rPr>
          <w:rFonts w:cstheme="minorHAnsi"/>
          <w:sz w:val="24"/>
          <w:szCs w:val="24"/>
        </w:rPr>
        <w:t>ities.  Accordingly, the State p</w:t>
      </w:r>
      <w:r w:rsidRPr="0020440D">
        <w:rPr>
          <w:rFonts w:cstheme="minorHAnsi"/>
          <w:sz w:val="24"/>
          <w:szCs w:val="24"/>
        </w:rPr>
        <w:t>arty should</w:t>
      </w:r>
      <w:r w:rsidR="00595B98" w:rsidRPr="0020440D">
        <w:rPr>
          <w:rFonts w:cstheme="minorHAnsi"/>
          <w:sz w:val="24"/>
          <w:szCs w:val="24"/>
        </w:rPr>
        <w:t>:</w:t>
      </w:r>
    </w:p>
    <w:p w14:paraId="3CE27C4E" w14:textId="63EED309" w:rsidR="002A7856" w:rsidRPr="0020440D" w:rsidRDefault="00595B98" w:rsidP="009D76A6">
      <w:pPr>
        <w:pStyle w:val="ListParagraph"/>
        <w:numPr>
          <w:ilvl w:val="1"/>
          <w:numId w:val="8"/>
        </w:numPr>
        <w:rPr>
          <w:rFonts w:cstheme="minorHAnsi"/>
          <w:sz w:val="24"/>
          <w:szCs w:val="24"/>
        </w:rPr>
      </w:pPr>
      <w:r w:rsidRPr="0020440D">
        <w:rPr>
          <w:rFonts w:cstheme="minorHAnsi"/>
          <w:sz w:val="24"/>
          <w:szCs w:val="24"/>
        </w:rPr>
        <w:t>p</w:t>
      </w:r>
      <w:r w:rsidR="002A7856" w:rsidRPr="0020440D">
        <w:rPr>
          <w:rFonts w:cstheme="minorHAnsi"/>
          <w:sz w:val="24"/>
          <w:szCs w:val="24"/>
        </w:rPr>
        <w:t>rovide information on how its housing policies and legislation are targeted to protect physical and mental health</w:t>
      </w:r>
      <w:r w:rsidRPr="0020440D">
        <w:rPr>
          <w:rFonts w:cstheme="minorHAnsi"/>
          <w:sz w:val="24"/>
          <w:szCs w:val="24"/>
        </w:rPr>
        <w:t>;</w:t>
      </w:r>
      <w:r w:rsidR="002A7856" w:rsidRPr="0020440D">
        <w:rPr>
          <w:rFonts w:cstheme="minorHAnsi"/>
          <w:sz w:val="24"/>
          <w:szCs w:val="24"/>
        </w:rPr>
        <w:t xml:space="preserve"> </w:t>
      </w:r>
    </w:p>
    <w:p w14:paraId="5AB47D0D" w14:textId="5C22DA08" w:rsidR="002A7856" w:rsidRPr="0020440D" w:rsidRDefault="00595B98" w:rsidP="009D76A6">
      <w:pPr>
        <w:pStyle w:val="ListParagraph"/>
        <w:numPr>
          <w:ilvl w:val="1"/>
          <w:numId w:val="8"/>
        </w:numPr>
        <w:rPr>
          <w:rFonts w:cstheme="minorHAnsi"/>
          <w:sz w:val="24"/>
          <w:szCs w:val="24"/>
        </w:rPr>
      </w:pPr>
      <w:r w:rsidRPr="0020440D">
        <w:rPr>
          <w:rFonts w:cstheme="minorHAnsi"/>
          <w:sz w:val="24"/>
          <w:szCs w:val="24"/>
        </w:rPr>
        <w:t>p</w:t>
      </w:r>
      <w:r w:rsidR="002A7856" w:rsidRPr="0020440D">
        <w:rPr>
          <w:rFonts w:cstheme="minorHAnsi"/>
          <w:sz w:val="24"/>
          <w:szCs w:val="24"/>
        </w:rPr>
        <w:t>rovide information on its policies to secure access to housing for all, with particular attention to the vulnerable, amid the continuing impact of Covid-19 on health, and housing insecurity caused by job losses and lockdowns.</w:t>
      </w:r>
    </w:p>
    <w:sectPr w:rsidR="002A7856" w:rsidRPr="0020440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BE08B4" w14:textId="77777777" w:rsidR="007132D3" w:rsidRDefault="007132D3" w:rsidP="00BA4105">
      <w:pPr>
        <w:spacing w:after="0" w:line="240" w:lineRule="auto"/>
      </w:pPr>
      <w:r>
        <w:separator/>
      </w:r>
    </w:p>
  </w:endnote>
  <w:endnote w:type="continuationSeparator" w:id="0">
    <w:p w14:paraId="1B661ED5" w14:textId="77777777" w:rsidR="007132D3" w:rsidRDefault="007132D3" w:rsidP="00BA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07F76" w14:textId="77777777" w:rsidR="00FA7A80" w:rsidRDefault="00FA7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5383393"/>
      <w:docPartObj>
        <w:docPartGallery w:val="Page Numbers (Bottom of Page)"/>
        <w:docPartUnique/>
      </w:docPartObj>
    </w:sdtPr>
    <w:sdtEndPr>
      <w:rPr>
        <w:noProof/>
      </w:rPr>
    </w:sdtEndPr>
    <w:sdtContent>
      <w:p w14:paraId="4343750B" w14:textId="19FA6687" w:rsidR="00FA7A80" w:rsidRDefault="00FA7A80">
        <w:pPr>
          <w:pStyle w:val="Footer"/>
          <w:jc w:val="center"/>
        </w:pPr>
        <w:r>
          <w:fldChar w:fldCharType="begin"/>
        </w:r>
        <w:r>
          <w:instrText xml:space="preserve"> PAGE   \* MERGEFORMAT </w:instrText>
        </w:r>
        <w:r>
          <w:fldChar w:fldCharType="separate"/>
        </w:r>
        <w:r w:rsidR="003B0EC4">
          <w:rPr>
            <w:noProof/>
          </w:rPr>
          <w:t>7</w:t>
        </w:r>
        <w:r>
          <w:rPr>
            <w:noProof/>
          </w:rPr>
          <w:fldChar w:fldCharType="end"/>
        </w:r>
      </w:p>
    </w:sdtContent>
  </w:sdt>
  <w:p w14:paraId="46AFEA59" w14:textId="77777777" w:rsidR="00FA7A80" w:rsidRDefault="00FA7A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1EA99" w14:textId="77777777" w:rsidR="00FA7A80" w:rsidRDefault="00FA7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CC620" w14:textId="77777777" w:rsidR="007132D3" w:rsidRDefault="007132D3" w:rsidP="00BA4105">
      <w:pPr>
        <w:spacing w:after="0" w:line="240" w:lineRule="auto"/>
      </w:pPr>
      <w:r>
        <w:separator/>
      </w:r>
    </w:p>
  </w:footnote>
  <w:footnote w:type="continuationSeparator" w:id="0">
    <w:p w14:paraId="2EB55450" w14:textId="77777777" w:rsidR="007132D3" w:rsidRDefault="007132D3" w:rsidP="00BA4105">
      <w:pPr>
        <w:spacing w:after="0" w:line="240" w:lineRule="auto"/>
      </w:pPr>
      <w:r>
        <w:continuationSeparator/>
      </w:r>
    </w:p>
  </w:footnote>
  <w:footnote w:id="1">
    <w:p w14:paraId="1E9AEAC2" w14:textId="3BAE06F2"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Mercy Foundation </w:t>
      </w:r>
      <w:hyperlink r:id="rId1" w:history="1">
        <w:r w:rsidRPr="003B0EC4">
          <w:rPr>
            <w:rStyle w:val="Hyperlink"/>
            <w:rFonts w:cstheme="minorHAnsi"/>
          </w:rPr>
          <w:t>https://www.mercyfoundation.com.au/</w:t>
        </w:r>
      </w:hyperlink>
      <w:r w:rsidRPr="003B0EC4">
        <w:rPr>
          <w:rFonts w:cstheme="minorHAnsi"/>
        </w:rPr>
        <w:t>.</w:t>
      </w:r>
    </w:p>
  </w:footnote>
  <w:footnote w:id="2">
    <w:p w14:paraId="400238C7" w14:textId="401355F9"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United Nations, Vienna Declaration and Programme of Action A/Conf.157/23 (1993) Part 1, para 5.</w:t>
      </w:r>
    </w:p>
  </w:footnote>
  <w:footnote w:id="3">
    <w:p w14:paraId="60D2FDB9" w14:textId="77777777" w:rsidR="00076284" w:rsidRPr="003B0EC4" w:rsidRDefault="00076284" w:rsidP="00076284">
      <w:pPr>
        <w:pStyle w:val="FootnoteText"/>
        <w:rPr>
          <w:rFonts w:cstheme="minorHAnsi"/>
        </w:rPr>
      </w:pPr>
      <w:r w:rsidRPr="003B0EC4">
        <w:rPr>
          <w:rStyle w:val="FootnoteReference"/>
          <w:rFonts w:cstheme="minorHAnsi"/>
        </w:rPr>
        <w:footnoteRef/>
      </w:r>
      <w:r w:rsidRPr="003B0EC4">
        <w:rPr>
          <w:rFonts w:cstheme="minorHAnsi"/>
        </w:rPr>
        <w:t xml:space="preserve"> CESCR, Concluding Observations on the Fifth Periodic Report of Australia (11 July 2017) </w:t>
      </w:r>
      <w:r w:rsidRPr="003B0EC4">
        <w:rPr>
          <w:rFonts w:cstheme="minorHAnsi"/>
          <w:lang w:val="en-GB"/>
        </w:rPr>
        <w:t>E/C.12/AUS/CO/5 paras 5-6.</w:t>
      </w:r>
    </w:p>
  </w:footnote>
  <w:footnote w:id="4">
    <w:p w14:paraId="5132EFD0" w14:textId="26D94B57"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CESCR Concluding Observations Australia (2017) (note 3) para 31(c).</w:t>
      </w:r>
    </w:p>
  </w:footnote>
  <w:footnote w:id="5">
    <w:p w14:paraId="5ACF4DBE" w14:textId="6C3A81ED"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Ibid. para 21.</w:t>
      </w:r>
    </w:p>
  </w:footnote>
  <w:footnote w:id="6">
    <w:p w14:paraId="2E469E1B" w14:textId="0AEBFEA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Mercy Foundation ‘Older Women and Homelessness’ </w:t>
      </w:r>
      <w:hyperlink r:id="rId2" w:history="1">
        <w:r w:rsidRPr="003B0EC4">
          <w:rPr>
            <w:rStyle w:val="Hyperlink"/>
            <w:rFonts w:cstheme="minorHAnsi"/>
          </w:rPr>
          <w:t>https://www.mercyfoundation.com.au/our-focus/ending-homelessness/older-women-and-homelessness/</w:t>
        </w:r>
      </w:hyperlink>
      <w:r w:rsidR="001B5AB7" w:rsidRPr="003B0EC4">
        <w:rPr>
          <w:rFonts w:cstheme="minorHAnsi"/>
        </w:rPr>
        <w:t xml:space="preserve">; </w:t>
      </w:r>
      <w:r w:rsidRPr="003B0EC4">
        <w:rPr>
          <w:rFonts w:cstheme="minorHAnsi"/>
        </w:rPr>
        <w:t>Ageing on the Edge NSW Forum, ‘Home at Last: Solutions to End Homelessness of Older People in NSW’ December 2021</w:t>
      </w:r>
      <w:r w:rsidR="001B5AB7" w:rsidRPr="003B0EC4">
        <w:rPr>
          <w:rFonts w:cstheme="minorHAnsi"/>
        </w:rPr>
        <w:t xml:space="preserve"> </w:t>
      </w:r>
      <w:hyperlink r:id="rId3" w:history="1">
        <w:r w:rsidRPr="003B0EC4">
          <w:rPr>
            <w:rStyle w:val="Hyperlink"/>
            <w:rFonts w:cstheme="minorHAnsi"/>
          </w:rPr>
          <w:t>https://www.mercyfoundation.com.au/wp-content/uploads/2021/12/home_at_last_report_web.pdf</w:t>
        </w:r>
      </w:hyperlink>
      <w:r w:rsidR="0066310D" w:rsidRPr="003B0EC4">
        <w:rPr>
          <w:rFonts w:cstheme="minorHAnsi"/>
        </w:rPr>
        <w:t>.</w:t>
      </w:r>
    </w:p>
  </w:footnote>
  <w:footnote w:id="7">
    <w:p w14:paraId="5E9F23EB" w14:textId="05B9057B" w:rsidR="00FA7A80" w:rsidRPr="003B0EC4" w:rsidRDefault="00FA7A80" w:rsidP="00F479FB">
      <w:pPr>
        <w:pStyle w:val="FootnoteText"/>
        <w:rPr>
          <w:rFonts w:cstheme="minorHAnsi"/>
        </w:rPr>
      </w:pPr>
      <w:r w:rsidRPr="003B0EC4">
        <w:rPr>
          <w:rStyle w:val="FootnoteReference"/>
          <w:rFonts w:cstheme="minorHAnsi"/>
        </w:rPr>
        <w:footnoteRef/>
      </w:r>
      <w:r w:rsidRPr="003B0EC4">
        <w:rPr>
          <w:rFonts w:cstheme="minorHAnsi"/>
        </w:rPr>
        <w:t xml:space="preserve"> Workplace Gender Equality Agency ‘Women’s economic security in retirement’ </w:t>
      </w:r>
      <w:hyperlink r:id="rId4" w:history="1">
        <w:r w:rsidRPr="003B0EC4">
          <w:rPr>
            <w:rStyle w:val="Hyperlink"/>
            <w:rFonts w:cstheme="minorHAnsi"/>
          </w:rPr>
          <w:t>https://www.wgea.gov.au/sites/default/files/documents/Women%27s%20economic%20security%20in%20retirement.pdf</w:t>
        </w:r>
      </w:hyperlink>
      <w:r w:rsidR="0066310D" w:rsidRPr="003B0EC4">
        <w:rPr>
          <w:rFonts w:cstheme="minorHAnsi"/>
        </w:rPr>
        <w:t>.</w:t>
      </w:r>
    </w:p>
  </w:footnote>
  <w:footnote w:id="8">
    <w:p w14:paraId="226FF6A5" w14:textId="68511A02"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Racial Discrimination Act (1975) (Commonwealth) </w:t>
      </w:r>
      <w:hyperlink r:id="rId5" w:history="1">
        <w:r w:rsidRPr="003B0EC4">
          <w:rPr>
            <w:rStyle w:val="Hyperlink"/>
            <w:rFonts w:cstheme="minorHAnsi"/>
          </w:rPr>
          <w:t>https://www.legislation.gov.au/Details/C2016C00089</w:t>
        </w:r>
      </w:hyperlink>
      <w:r w:rsidR="001B5AB7" w:rsidRPr="003B0EC4">
        <w:rPr>
          <w:rFonts w:cstheme="minorHAnsi"/>
        </w:rPr>
        <w:t>.</w:t>
      </w:r>
    </w:p>
  </w:footnote>
  <w:footnote w:id="9">
    <w:p w14:paraId="35C854F0" w14:textId="56D2A2D6"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Australian Human Rights Commission (AHRC) ‘The Suspension and Reinstatement of the RDA and Special Measures in the NTER’ </w:t>
      </w:r>
      <w:hyperlink r:id="rId6" w:history="1">
        <w:r w:rsidRPr="003B0EC4">
          <w:rPr>
            <w:rStyle w:val="Hyperlink"/>
            <w:rFonts w:cstheme="minorHAnsi"/>
          </w:rPr>
          <w:t>https://humanrights.gov.au/our-work/suspension-and-reinstatement-rda-and-special-measures-nter-0</w:t>
        </w:r>
      </w:hyperlink>
      <w:r w:rsidRPr="003B0EC4">
        <w:rPr>
          <w:rFonts w:cstheme="minorHAnsi"/>
        </w:rPr>
        <w:t xml:space="preserve">. </w:t>
      </w:r>
    </w:p>
  </w:footnote>
  <w:footnote w:id="10">
    <w:p w14:paraId="5CADE850" w14:textId="47047F05" w:rsidR="00A42651" w:rsidRPr="003B0EC4" w:rsidRDefault="00A42651">
      <w:pPr>
        <w:pStyle w:val="FootnoteText"/>
        <w:rPr>
          <w:rFonts w:cstheme="minorHAnsi"/>
        </w:rPr>
      </w:pPr>
      <w:r w:rsidRPr="003B0EC4">
        <w:rPr>
          <w:rStyle w:val="FootnoteReference"/>
          <w:rFonts w:cstheme="minorHAnsi"/>
        </w:rPr>
        <w:footnoteRef/>
      </w:r>
      <w:r w:rsidRPr="003B0EC4">
        <w:rPr>
          <w:rFonts w:cstheme="minorHAnsi"/>
        </w:rPr>
        <w:t xml:space="preserve"> </w:t>
      </w:r>
      <w:r w:rsidRPr="003B0EC4">
        <w:rPr>
          <w:rFonts w:cstheme="minorHAnsi"/>
          <w:color w:val="202124"/>
          <w:shd w:val="clear" w:color="auto" w:fill="FFFFFF"/>
          <w:lang w:eastAsia="en-GB"/>
        </w:rPr>
        <w:t>In Australia, a person in the </w:t>
      </w:r>
      <w:r w:rsidRPr="003B0EC4">
        <w:rPr>
          <w:rFonts w:cstheme="minorHAnsi"/>
          <w:color w:val="202124"/>
          <w:lang w:eastAsia="en-GB"/>
        </w:rPr>
        <w:t>highest 20% of the income scale lives</w:t>
      </w:r>
      <w:r w:rsidRPr="003B0EC4">
        <w:rPr>
          <w:rFonts w:cstheme="minorHAnsi"/>
          <w:color w:val="202124"/>
          <w:shd w:val="clear" w:color="auto" w:fill="FFFFFF"/>
          <w:lang w:eastAsia="en-GB"/>
        </w:rPr>
        <w:t xml:space="preserve"> in a household with almost six times as much income as a person in the lowest 20% of the income scale.  See </w:t>
      </w:r>
      <w:r w:rsidR="00076284" w:rsidRPr="003B0EC4">
        <w:rPr>
          <w:rFonts w:cstheme="minorHAnsi"/>
          <w:color w:val="202124"/>
          <w:shd w:val="clear" w:color="auto" w:fill="FFFFFF"/>
          <w:lang w:eastAsia="en-GB"/>
        </w:rPr>
        <w:t>Australian Council of Social Services (</w:t>
      </w:r>
      <w:r w:rsidRPr="003B0EC4">
        <w:rPr>
          <w:rFonts w:cstheme="minorHAnsi"/>
          <w:color w:val="202124"/>
          <w:shd w:val="clear" w:color="auto" w:fill="FFFFFF"/>
          <w:lang w:eastAsia="en-GB"/>
        </w:rPr>
        <w:t>ACOSS</w:t>
      </w:r>
      <w:r w:rsidR="00076284" w:rsidRPr="003B0EC4">
        <w:rPr>
          <w:rFonts w:cstheme="minorHAnsi"/>
          <w:color w:val="202124"/>
          <w:shd w:val="clear" w:color="auto" w:fill="FFFFFF"/>
          <w:lang w:eastAsia="en-GB"/>
        </w:rPr>
        <w:t>)</w:t>
      </w:r>
      <w:r w:rsidRPr="003B0EC4">
        <w:rPr>
          <w:rFonts w:cstheme="minorHAnsi"/>
          <w:color w:val="202124"/>
          <w:shd w:val="clear" w:color="auto" w:fill="FFFFFF"/>
          <w:lang w:eastAsia="en-GB"/>
        </w:rPr>
        <w:t xml:space="preserve"> ‘Inequality in Australia: What is Inequality?’ (2020) </w:t>
      </w:r>
      <w:hyperlink r:id="rId7" w:history="1">
        <w:r w:rsidRPr="003B0EC4">
          <w:rPr>
            <w:rStyle w:val="Hyperlink"/>
            <w:rFonts w:cstheme="minorHAnsi"/>
            <w:shd w:val="clear" w:color="auto" w:fill="FFFFFF"/>
            <w:lang w:eastAsia="en-GB"/>
          </w:rPr>
          <w:t>https://povertyandinequality.acoss.org.au/inequality/</w:t>
        </w:r>
      </w:hyperlink>
      <w:r w:rsidRPr="003B0EC4">
        <w:rPr>
          <w:rFonts w:cstheme="minorHAnsi"/>
          <w:color w:val="202124"/>
          <w:shd w:val="clear" w:color="auto" w:fill="FFFFFF"/>
          <w:lang w:eastAsia="en-GB"/>
        </w:rPr>
        <w:t>.  Income inequality has risen significantly since</w:t>
      </w:r>
      <w:r w:rsidR="001B5AB7" w:rsidRPr="003B0EC4">
        <w:rPr>
          <w:rFonts w:cstheme="minorHAnsi"/>
          <w:color w:val="202124"/>
          <w:shd w:val="clear" w:color="auto" w:fill="FFFFFF"/>
          <w:lang w:eastAsia="en-GB"/>
        </w:rPr>
        <w:t xml:space="preserve"> 2015-16, when the ratio</w:t>
      </w:r>
      <w:r w:rsidRPr="003B0EC4">
        <w:rPr>
          <w:rFonts w:cstheme="minorHAnsi"/>
          <w:color w:val="202124"/>
          <w:shd w:val="clear" w:color="auto" w:fill="FFFFFF"/>
          <w:lang w:eastAsia="en-GB"/>
        </w:rPr>
        <w:t xml:space="preserve"> was five times as much income for the highest 20%.  See D Taylor ‘Rich getting richer and poor slipping further back, with youth inequality growing fastest, ACOSS says’ ABC News (2 Sept 2020) at </w:t>
      </w:r>
      <w:hyperlink r:id="rId8" w:history="1">
        <w:r w:rsidRPr="003B0EC4">
          <w:rPr>
            <w:rStyle w:val="Hyperlink"/>
            <w:rFonts w:cstheme="minorHAnsi"/>
            <w:shd w:val="clear" w:color="auto" w:fill="FFFFFF"/>
            <w:lang w:eastAsia="en-GB"/>
          </w:rPr>
          <w:t>https://www.abc.net.au/news/2020-09-02/wealth-inequality-rising-sharply-especially-among-young-acoss/12618120</w:t>
        </w:r>
      </w:hyperlink>
      <w:r w:rsidRPr="003B0EC4">
        <w:rPr>
          <w:rFonts w:cstheme="minorHAnsi"/>
          <w:color w:val="202124"/>
          <w:shd w:val="clear" w:color="auto" w:fill="FFFFFF"/>
          <w:lang w:eastAsia="en-GB"/>
        </w:rPr>
        <w:t xml:space="preserve">.  </w:t>
      </w:r>
    </w:p>
  </w:footnote>
  <w:footnote w:id="11">
    <w:p w14:paraId="5576B92D" w14:textId="6F090DF1" w:rsidR="00FA7A80" w:rsidRPr="003B0EC4" w:rsidRDefault="00FA7A80" w:rsidP="00FE68CA">
      <w:pPr>
        <w:pStyle w:val="EndnoteText"/>
        <w:rPr>
          <w:rFonts w:asciiTheme="minorHAnsi" w:hAnsiTheme="minorHAnsi" w:cstheme="minorHAnsi"/>
        </w:rPr>
      </w:pPr>
      <w:r w:rsidRPr="003B0EC4">
        <w:rPr>
          <w:rStyle w:val="FootnoteReference"/>
          <w:rFonts w:asciiTheme="minorHAnsi" w:hAnsiTheme="minorHAnsi" w:cstheme="minorHAnsi"/>
        </w:rPr>
        <w:footnoteRef/>
      </w:r>
      <w:r w:rsidRPr="003B0EC4">
        <w:rPr>
          <w:rFonts w:asciiTheme="minorHAnsi" w:hAnsiTheme="minorHAnsi" w:cstheme="minorHAnsi"/>
        </w:rPr>
        <w:t xml:space="preserve"> </w:t>
      </w:r>
      <w:r w:rsidRPr="003B0EC4">
        <w:rPr>
          <w:rFonts w:asciiTheme="minorHAnsi" w:hAnsiTheme="minorHAnsi" w:cstheme="minorHAnsi"/>
          <w:color w:val="00061D"/>
          <w:lang w:eastAsia="en-AU"/>
        </w:rPr>
        <w:t>More than one in eight adults and more than one in six children are living in poverty in Australia.  See Australian Council of Social Services (ACOSS)</w:t>
      </w:r>
      <w:r w:rsidRPr="003B0EC4">
        <w:rPr>
          <w:rFonts w:asciiTheme="minorHAnsi" w:hAnsiTheme="minorHAnsi" w:cstheme="minorHAnsi"/>
        </w:rPr>
        <w:t xml:space="preserve"> </w:t>
      </w:r>
      <w:hyperlink r:id="rId9" w:anchor="what-is-poverty" w:history="1">
        <w:r w:rsidRPr="003B0EC4">
          <w:rPr>
            <w:rStyle w:val="Hyperlink"/>
            <w:rFonts w:asciiTheme="minorHAnsi" w:hAnsiTheme="minorHAnsi" w:cstheme="minorHAnsi"/>
          </w:rPr>
          <w:t>https://povertyandinequality.acoss.org.au/poverty/#what-is-poverty</w:t>
        </w:r>
      </w:hyperlink>
      <w:r w:rsidRPr="003B0EC4">
        <w:rPr>
          <w:rStyle w:val="Hyperlink"/>
          <w:rFonts w:asciiTheme="minorHAnsi" w:hAnsiTheme="minorHAnsi" w:cstheme="minorHAnsi"/>
        </w:rPr>
        <w:t>.</w:t>
      </w:r>
    </w:p>
  </w:footnote>
  <w:footnote w:id="12">
    <w:p w14:paraId="120507C9" w14:textId="3E990A5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CESCR Concluding Observations Australia (2017) (note 3) para 23-4, 31-32, 39-40.</w:t>
      </w:r>
    </w:p>
  </w:footnote>
  <w:footnote w:id="13">
    <w:p w14:paraId="7AD6567A" w14:textId="715645C0"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A Roberts, E Conroy &amp; N </w:t>
      </w:r>
      <w:r w:rsidR="0066310D" w:rsidRPr="003B0EC4">
        <w:rPr>
          <w:rFonts w:cstheme="minorHAnsi"/>
        </w:rPr>
        <w:t>Rego,</w:t>
      </w:r>
      <w:r w:rsidRPr="003B0EC4">
        <w:rPr>
          <w:rFonts w:cstheme="minorHAnsi"/>
        </w:rPr>
        <w:t xml:space="preserve"> ‘A Place to Call Home: Experiences of homelessness and housing exclusion among people seeking asylum in Greater Sydney’ (2021) https://aus.jrs.net/en/ housing-research/.  </w:t>
      </w:r>
    </w:p>
  </w:footnote>
  <w:footnote w:id="14">
    <w:p w14:paraId="3AAF365A" w14:textId="1044FFA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Australian Council of Social Services (ACOSS) </w:t>
      </w:r>
      <w:r w:rsidR="001B5AB7" w:rsidRPr="003B0EC4">
        <w:rPr>
          <w:rFonts w:cstheme="minorHAnsi"/>
        </w:rPr>
        <w:t xml:space="preserve">‘Income Support and Employment’ </w:t>
      </w:r>
      <w:hyperlink r:id="rId10" w:history="1">
        <w:r w:rsidRPr="003B0EC4">
          <w:rPr>
            <w:rStyle w:val="Hyperlink"/>
            <w:rFonts w:cstheme="minorHAnsi"/>
          </w:rPr>
          <w:t>https://www.acoss.org.au/employment-income-support/</w:t>
        </w:r>
      </w:hyperlink>
      <w:r w:rsidRPr="003B0EC4">
        <w:rPr>
          <w:rStyle w:val="Hyperlink"/>
          <w:rFonts w:cstheme="minorHAnsi"/>
        </w:rPr>
        <w:t>.</w:t>
      </w:r>
      <w:r w:rsidRPr="003B0EC4">
        <w:rPr>
          <w:rFonts w:cstheme="minorHAnsi"/>
        </w:rPr>
        <w:t xml:space="preserve"> </w:t>
      </w:r>
    </w:p>
  </w:footnote>
  <w:footnote w:id="15">
    <w:p w14:paraId="23AEE0FF" w14:textId="14B154F9"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Raise the Rate, ‘Starved of Opportunity: Young People’s Experience of Youth Allowance and Newstart’ </w:t>
      </w:r>
      <w:hyperlink r:id="rId11" w:history="1">
        <w:r w:rsidRPr="003B0EC4">
          <w:rPr>
            <w:rStyle w:val="Hyperlink"/>
            <w:rFonts w:cstheme="minorHAnsi"/>
          </w:rPr>
          <w:t>https://raisetherate.org.au/wp-content/uploads/2020/02/Starved-Of-Opportunity-Young-Peoples-Experience-Of-Youth-Allowance-And-Newstart-November-25th.pdf</w:t>
        </w:r>
      </w:hyperlink>
      <w:r w:rsidRPr="003B0EC4">
        <w:rPr>
          <w:rStyle w:val="Hyperlink"/>
          <w:rFonts w:cstheme="minorHAnsi"/>
        </w:rPr>
        <w:t>.</w:t>
      </w:r>
      <w:r w:rsidRPr="003B0EC4">
        <w:rPr>
          <w:rFonts w:cstheme="minorHAnsi"/>
        </w:rPr>
        <w:t xml:space="preserve"> </w:t>
      </w:r>
    </w:p>
  </w:footnote>
  <w:footnote w:id="16">
    <w:p w14:paraId="1BBDFA49" w14:textId="7DCD0CF9"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National Social Security Rights Network ‘How well does Australia’s Social Security System Support Victims of Family and Domestic Violence?’ (August 2018) </w:t>
      </w:r>
      <w:hyperlink r:id="rId12" w:history="1">
        <w:r w:rsidRPr="003B0EC4">
          <w:rPr>
            <w:rStyle w:val="Hyperlink"/>
            <w:rFonts w:cstheme="minorHAnsi"/>
          </w:rPr>
          <w:t>http://ejaustralia.org.au/wp/wp-content/uploads/2018/08/NSSRN_Report2018_FamilyViolence_SocialSecurity_sm.pdf</w:t>
        </w:r>
      </w:hyperlink>
      <w:r w:rsidRPr="003B0EC4">
        <w:rPr>
          <w:rFonts w:cstheme="minorHAnsi"/>
        </w:rPr>
        <w:t xml:space="preserve"> </w:t>
      </w:r>
      <w:r w:rsidR="0066310D" w:rsidRPr="003B0EC4">
        <w:rPr>
          <w:rFonts w:cstheme="minorHAnsi"/>
        </w:rPr>
        <w:t xml:space="preserve">p </w:t>
      </w:r>
      <w:r w:rsidRPr="003B0EC4">
        <w:rPr>
          <w:rFonts w:cstheme="minorHAnsi"/>
        </w:rPr>
        <w:t>22.</w:t>
      </w:r>
    </w:p>
  </w:footnote>
  <w:footnote w:id="17">
    <w:p w14:paraId="257464D3" w14:textId="4567627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Parliament of the Commonwealth of Australia Joint Standing Committee on Foreign Affairs, Defence and Trade, ‘Hidden in Plain Sight: An inquiry into establishing a Modern Slavery Act in Australia’ (December 2017), Recommendation 24.</w:t>
      </w:r>
    </w:p>
  </w:footnote>
  <w:footnote w:id="18">
    <w:p w14:paraId="52C1B698" w14:textId="38DC9199" w:rsidR="00FA7A80" w:rsidRPr="003B0EC4" w:rsidRDefault="00FA7A80" w:rsidP="00181D08">
      <w:pPr>
        <w:pStyle w:val="FootnoteText"/>
        <w:rPr>
          <w:rFonts w:cstheme="minorHAnsi"/>
        </w:rPr>
      </w:pPr>
      <w:r w:rsidRPr="003B0EC4">
        <w:rPr>
          <w:rStyle w:val="FootnoteReference"/>
          <w:rFonts w:cstheme="minorHAnsi"/>
        </w:rPr>
        <w:footnoteRef/>
      </w:r>
      <w:r w:rsidRPr="003B0EC4">
        <w:rPr>
          <w:rFonts w:cstheme="minorHAnsi"/>
        </w:rPr>
        <w:t xml:space="preserve"> CESCR General Comment No. 3: The Nature of States Parties’ Obligations (Art. 2, Para. 1, of the Covenant) (14 December 1990) E/1991/23, para 10.</w:t>
      </w:r>
    </w:p>
  </w:footnote>
  <w:footnote w:id="19">
    <w:p w14:paraId="43EA84D6" w14:textId="43A89388" w:rsidR="00FA7A80" w:rsidRPr="003B0EC4" w:rsidRDefault="00FA7A80" w:rsidP="00D205D8">
      <w:pPr>
        <w:pStyle w:val="FootnoteText"/>
        <w:rPr>
          <w:rFonts w:cstheme="minorHAnsi"/>
        </w:rPr>
      </w:pPr>
      <w:r w:rsidRPr="003B0EC4">
        <w:rPr>
          <w:rStyle w:val="FootnoteReference"/>
          <w:rFonts w:cstheme="minorHAnsi"/>
        </w:rPr>
        <w:footnoteRef/>
      </w:r>
      <w:r w:rsidRPr="003B0EC4">
        <w:rPr>
          <w:rFonts w:cstheme="minorHAnsi"/>
        </w:rPr>
        <w:t xml:space="preserve"> The number of people experiencing homelessness is consistently growing nationally with an estimated national homelessness rate of 50 persons for every 10,000 people. P Flatau et al </w:t>
      </w:r>
      <w:r w:rsidRPr="003B0EC4">
        <w:rPr>
          <w:rFonts w:cstheme="minorHAnsi"/>
          <w:i/>
        </w:rPr>
        <w:t>‘</w:t>
      </w:r>
      <w:r w:rsidRPr="003B0EC4">
        <w:rPr>
          <w:rFonts w:cstheme="minorHAnsi"/>
        </w:rPr>
        <w:t xml:space="preserve">Ending homelessness in Australia: An evidence and policy deep dive’ </w:t>
      </w:r>
      <w:r w:rsidR="001B5AB7" w:rsidRPr="003B0EC4">
        <w:rPr>
          <w:rFonts w:cstheme="minorHAnsi"/>
        </w:rPr>
        <w:t>(20</w:t>
      </w:r>
      <w:r w:rsidRPr="003B0EC4">
        <w:rPr>
          <w:rFonts w:cstheme="minorHAnsi"/>
        </w:rPr>
        <w:t xml:space="preserve">21) Centre for Social Impact, The University of Western Australia and the University of New South Wales, p xx; Australian Bureau of Statistics, Census of population and housing: Estimating homelessness (2018) https://www.abs.gov.au/ statistics/people/housing/census-population-and-housing-estimating-homelessness/latest-release.     </w:t>
      </w:r>
    </w:p>
  </w:footnote>
  <w:footnote w:id="20">
    <w:p w14:paraId="7F3521B2" w14:textId="3A5591DD"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CESCR Concluding Observations Australia (2017) (note 3) para 41(b), (d).</w:t>
      </w:r>
    </w:p>
  </w:footnote>
  <w:footnote w:id="21">
    <w:p w14:paraId="7C6F6296" w14:textId="558F9A63" w:rsidR="00FA7A80" w:rsidRPr="003B0EC4" w:rsidRDefault="00FA7A80" w:rsidP="00A53C71">
      <w:pPr>
        <w:pStyle w:val="FootnoteText"/>
        <w:rPr>
          <w:rFonts w:cstheme="minorHAnsi"/>
        </w:rPr>
      </w:pPr>
      <w:r w:rsidRPr="003B0EC4">
        <w:rPr>
          <w:rStyle w:val="FootnoteReference"/>
          <w:rFonts w:cstheme="minorHAnsi"/>
        </w:rPr>
        <w:footnoteRef/>
      </w:r>
      <w:r w:rsidRPr="003B0EC4">
        <w:rPr>
          <w:rFonts w:cstheme="minorHAnsi"/>
        </w:rPr>
        <w:t xml:space="preserve"> A 2018 study estimated a national shortfall of social and affordable housing of 437,586 dwellings. It also estimated that by 2036 there will be a shortfall of nearly 730,000 dwellings. Lawson et al, ‘Social housing as infrastructure: an investment pathway</w:t>
      </w:r>
      <w:r w:rsidR="00076284" w:rsidRPr="003B0EC4">
        <w:rPr>
          <w:rFonts w:cstheme="minorHAnsi"/>
        </w:rPr>
        <w:t>’ AHURI Final Report 306, (</w:t>
      </w:r>
      <w:r w:rsidRPr="003B0EC4">
        <w:rPr>
          <w:rFonts w:cstheme="minorHAnsi"/>
        </w:rPr>
        <w:t>Australian</w:t>
      </w:r>
      <w:r w:rsidR="00076284" w:rsidRPr="003B0EC4">
        <w:rPr>
          <w:rFonts w:cstheme="minorHAnsi"/>
        </w:rPr>
        <w:t xml:space="preserve"> </w:t>
      </w:r>
      <w:r w:rsidRPr="003B0EC4">
        <w:rPr>
          <w:rFonts w:cstheme="minorHAnsi"/>
        </w:rPr>
        <w:t xml:space="preserve">Housing and Urban Research Institute 2018) </w:t>
      </w:r>
      <w:hyperlink r:id="rId13" w:history="1">
        <w:r w:rsidRPr="003B0EC4">
          <w:rPr>
            <w:rStyle w:val="Hyperlink"/>
            <w:rFonts w:cstheme="minorHAnsi"/>
          </w:rPr>
          <w:t>http://www.ahuri.edu.au/research/final-reports/306</w:t>
        </w:r>
      </w:hyperlink>
      <w:r w:rsidRPr="003B0EC4">
        <w:rPr>
          <w:rFonts w:cstheme="minorHAnsi"/>
        </w:rPr>
        <w:t>.  Social housing as a proportion of total housing stock has declined across Australia, from 6% in 1994 to just over 4% see Australian Bureau of Statistics (ABS), ‘Social Trends’ (2021)</w:t>
      </w:r>
      <w:r w:rsidR="00076284" w:rsidRPr="003B0EC4">
        <w:rPr>
          <w:rFonts w:cstheme="minorHAnsi"/>
        </w:rPr>
        <w:t>.</w:t>
      </w:r>
      <w:r w:rsidRPr="003B0EC4">
        <w:rPr>
          <w:rFonts w:cstheme="minorHAnsi"/>
        </w:rPr>
        <w:t xml:space="preserve"> </w:t>
      </w:r>
    </w:p>
  </w:footnote>
  <w:footnote w:id="22">
    <w:p w14:paraId="1297CCC7" w14:textId="6297D8F6"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w:t>
      </w:r>
      <w:proofErr w:type="spellStart"/>
      <w:r w:rsidRPr="003B0EC4">
        <w:rPr>
          <w:rFonts w:cstheme="minorHAnsi"/>
        </w:rPr>
        <w:t>Eg</w:t>
      </w:r>
      <w:proofErr w:type="spellEnd"/>
      <w:r w:rsidRPr="003B0EC4">
        <w:rPr>
          <w:rFonts w:cstheme="minorHAnsi"/>
        </w:rPr>
        <w:t xml:space="preserve">, a Parliamentary inquiry into homelessness (in the sub-national state of Victoria) found in 2021 that lack of secure and affordable housing was a major contributor to homelessness.  See Legal and Social Issues Committee, Parliament of Victoria, ‘Inquiry into Homelessness in Victoria’ (Final Report, March 2021) Ch 6. </w:t>
      </w:r>
    </w:p>
  </w:footnote>
  <w:footnote w:id="23">
    <w:p w14:paraId="25C8FE44" w14:textId="6A6CF6C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Overcrowding accounts for 44% of homeless persons in A</w:t>
      </w:r>
      <w:r w:rsidR="00076284" w:rsidRPr="003B0EC4">
        <w:rPr>
          <w:rFonts w:cstheme="minorHAnsi"/>
        </w:rPr>
        <w:t>ustralia.  Flatau et al (note 19</w:t>
      </w:r>
      <w:r w:rsidRPr="003B0EC4">
        <w:rPr>
          <w:rFonts w:cstheme="minorHAnsi"/>
        </w:rPr>
        <w:t>) p 25.</w:t>
      </w:r>
    </w:p>
  </w:footnote>
  <w:footnote w:id="24">
    <w:p w14:paraId="7320FE5D" w14:textId="31D77A20"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Australian Institut</w:t>
      </w:r>
      <w:r w:rsidR="00076284" w:rsidRPr="003B0EC4">
        <w:rPr>
          <w:rFonts w:cstheme="minorHAnsi"/>
        </w:rPr>
        <w:t>e of Health and Welfare (AIHW)</w:t>
      </w:r>
      <w:r w:rsidRPr="003B0EC4">
        <w:rPr>
          <w:rFonts w:cstheme="minorHAnsi"/>
        </w:rPr>
        <w:t xml:space="preserve"> ‘Specialist homelessness services annual report (No. HOU 322)’ (2020) https://www. aihw.gov.au/reports/homelessness-services/specialist-homelessness-services-annual-report/contents/summary; </w:t>
      </w:r>
      <w:r w:rsidRPr="003B0EC4">
        <w:rPr>
          <w:rFonts w:eastAsia="Times New Roman" w:cstheme="minorHAnsi"/>
          <w:shd w:val="clear" w:color="auto" w:fill="FFFFFF"/>
          <w:lang w:eastAsia="en-GB"/>
        </w:rPr>
        <w:t>Equity Economics estimates that 7,690 women have returned to a violent partner because there was nowhere to go, and that 9,120 women and children face homelessness each year after leaving a violent partner. Equity Economics, ‘</w:t>
      </w:r>
      <w:r w:rsidRPr="003B0EC4">
        <w:rPr>
          <w:rFonts w:eastAsia="Times New Roman" w:cstheme="minorHAnsi"/>
          <w:iCs/>
          <w:shd w:val="clear" w:color="auto" w:fill="FFFFFF"/>
          <w:lang w:eastAsia="en-GB"/>
        </w:rPr>
        <w:t>Nowhere to go: The benefits of providing long term social housing to women that have experienced domestic and family violence’</w:t>
      </w:r>
      <w:r w:rsidRPr="003B0EC4">
        <w:rPr>
          <w:rFonts w:eastAsia="Times New Roman" w:cstheme="minorHAnsi"/>
          <w:shd w:val="clear" w:color="auto" w:fill="FFFFFF"/>
          <w:lang w:eastAsia="en-GB"/>
        </w:rPr>
        <w:t xml:space="preserve"> </w:t>
      </w:r>
      <w:r w:rsidR="001B5AB7" w:rsidRPr="003B0EC4">
        <w:rPr>
          <w:rFonts w:eastAsia="Times New Roman" w:cstheme="minorHAnsi"/>
          <w:shd w:val="clear" w:color="auto" w:fill="FFFFFF"/>
          <w:lang w:eastAsia="en-GB"/>
        </w:rPr>
        <w:t>(</w:t>
      </w:r>
      <w:r w:rsidRPr="003B0EC4">
        <w:rPr>
          <w:rFonts w:eastAsia="Times New Roman" w:cstheme="minorHAnsi"/>
          <w:shd w:val="clear" w:color="auto" w:fill="FFFFFF"/>
          <w:lang w:eastAsia="en-GB"/>
        </w:rPr>
        <w:t>2021</w:t>
      </w:r>
      <w:r w:rsidR="001B5AB7" w:rsidRPr="003B0EC4">
        <w:rPr>
          <w:rFonts w:eastAsia="Times New Roman" w:cstheme="minorHAnsi"/>
          <w:shd w:val="clear" w:color="auto" w:fill="FFFFFF"/>
          <w:lang w:eastAsia="en-GB"/>
        </w:rPr>
        <w:t>)</w:t>
      </w:r>
      <w:r w:rsidRPr="003B0EC4">
        <w:rPr>
          <w:rFonts w:eastAsia="Times New Roman" w:cstheme="minorHAnsi"/>
          <w:shd w:val="clear" w:color="auto" w:fill="FFFFFF"/>
          <w:lang w:eastAsia="en-GB"/>
        </w:rPr>
        <w:t>.</w:t>
      </w:r>
    </w:p>
  </w:footnote>
  <w:footnote w:id="25">
    <w:p w14:paraId="4920CFF0" w14:textId="2E964A9F"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J Hohmann </w:t>
      </w:r>
      <w:r w:rsidRPr="003B0EC4">
        <w:rPr>
          <w:rFonts w:cstheme="minorHAnsi"/>
          <w:i/>
        </w:rPr>
        <w:t>The Right to Housing: Law, Concepts, Possibilities</w:t>
      </w:r>
      <w:r w:rsidRPr="003B0EC4">
        <w:rPr>
          <w:rFonts w:cstheme="minorHAnsi"/>
        </w:rPr>
        <w:t xml:space="preserve"> (Hart, 2013), p 21.</w:t>
      </w:r>
    </w:p>
  </w:footnote>
  <w:footnote w:id="26">
    <w:p w14:paraId="24DAB412" w14:textId="3A5EEBB9"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S Convery ‘Calls for end to ‘no-grounds’ evictions in NSW as lockdown moratorium lifts’ The Guardian, 14 Feb 2022 </w:t>
      </w:r>
      <w:hyperlink r:id="rId14" w:history="1">
        <w:r w:rsidRPr="003B0EC4">
          <w:rPr>
            <w:rStyle w:val="Hyperlink"/>
            <w:rFonts w:cstheme="minorHAnsi"/>
          </w:rPr>
          <w:t>https://www.theguardian.com/australia-news/2022/feb/14/calls-for-end-to-no-grounds-evictions-in-nsw-as-lockdown-moratorium-lifts</w:t>
        </w:r>
      </w:hyperlink>
      <w:r w:rsidRPr="003B0EC4">
        <w:rPr>
          <w:rFonts w:cstheme="minorHAnsi"/>
        </w:rPr>
        <w:t xml:space="preserve">; Tenants Union of New South Wales ‘Eviction, Hardship and the Housing Crisis: Building a Crisis-Resilient Renting System’ (February 2022) </w:t>
      </w:r>
      <w:hyperlink r:id="rId15" w:history="1">
        <w:r w:rsidRPr="003B0EC4">
          <w:rPr>
            <w:rStyle w:val="Hyperlink"/>
            <w:rFonts w:cstheme="minorHAnsi"/>
          </w:rPr>
          <w:t>https://files.tenants.org.au/policy/2022-Eviction-Hardship-and-the-Housing-Crisis-TUNSW.pdf</w:t>
        </w:r>
      </w:hyperlink>
      <w:r w:rsidRPr="003B0EC4">
        <w:rPr>
          <w:rStyle w:val="Hyperlink"/>
          <w:rFonts w:cstheme="minorHAnsi"/>
        </w:rPr>
        <w:t>.</w:t>
      </w:r>
      <w:r w:rsidRPr="003B0EC4">
        <w:rPr>
          <w:rFonts w:cstheme="minorHAnsi"/>
        </w:rPr>
        <w:t xml:space="preserve"> </w:t>
      </w:r>
    </w:p>
  </w:footnote>
  <w:footnote w:id="27">
    <w:p w14:paraId="1C775CD0" w14:textId="01EAE95E"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Convery, ibid.</w:t>
      </w:r>
    </w:p>
  </w:footnote>
  <w:footnote w:id="28">
    <w:p w14:paraId="09E984F9" w14:textId="612A081D" w:rsidR="00FA7A80" w:rsidRPr="003B0EC4" w:rsidRDefault="00FA7A80" w:rsidP="008803BE">
      <w:pPr>
        <w:pStyle w:val="FootnoteText"/>
        <w:rPr>
          <w:rFonts w:cstheme="minorHAnsi"/>
          <w:i/>
          <w:iCs/>
        </w:rPr>
      </w:pPr>
      <w:r w:rsidRPr="003B0EC4">
        <w:rPr>
          <w:rStyle w:val="FootnoteReference"/>
          <w:rFonts w:cstheme="minorHAnsi"/>
        </w:rPr>
        <w:footnoteRef/>
      </w:r>
      <w:r w:rsidRPr="003B0EC4">
        <w:rPr>
          <w:rFonts w:cstheme="minorHAnsi"/>
        </w:rPr>
        <w:t xml:space="preserve"> A Duncan, A James &amp; S Rowley,</w:t>
      </w:r>
      <w:r w:rsidR="00076284" w:rsidRPr="003B0EC4">
        <w:rPr>
          <w:rFonts w:cstheme="minorHAnsi"/>
        </w:rPr>
        <w:t xml:space="preserve"> ‘</w:t>
      </w:r>
      <w:r w:rsidRPr="003B0EC4">
        <w:rPr>
          <w:rFonts w:cstheme="minorHAnsi"/>
          <w:iCs/>
        </w:rPr>
        <w:t>Getting Our House in Order: BCEC Housing</w:t>
      </w:r>
      <w:r w:rsidR="00076284" w:rsidRPr="003B0EC4">
        <w:rPr>
          <w:rFonts w:cstheme="minorHAnsi"/>
          <w:iCs/>
        </w:rPr>
        <w:t xml:space="preserve"> </w:t>
      </w:r>
      <w:r w:rsidRPr="003B0EC4">
        <w:rPr>
          <w:rFonts w:cstheme="minorHAnsi"/>
          <w:iCs/>
        </w:rPr>
        <w:t>Affordability Report 2019</w:t>
      </w:r>
      <w:r w:rsidR="00076284" w:rsidRPr="003B0EC4">
        <w:rPr>
          <w:rFonts w:cstheme="minorHAnsi"/>
          <w:iCs/>
        </w:rPr>
        <w:t>’</w:t>
      </w:r>
      <w:r w:rsidR="00076284" w:rsidRPr="003B0EC4">
        <w:rPr>
          <w:rFonts w:cstheme="minorHAnsi"/>
        </w:rPr>
        <w:t xml:space="preserve"> </w:t>
      </w:r>
      <w:r w:rsidRPr="003B0EC4">
        <w:rPr>
          <w:rFonts w:cstheme="minorHAnsi"/>
        </w:rPr>
        <w:t>Bankwest Curtin Economic Centre, Focus on Western Australia Series,</w:t>
      </w:r>
      <w:r w:rsidR="00076284" w:rsidRPr="003B0EC4">
        <w:rPr>
          <w:rFonts w:cstheme="minorHAnsi"/>
          <w:i/>
          <w:iCs/>
        </w:rPr>
        <w:t xml:space="preserve"> </w:t>
      </w:r>
      <w:r w:rsidRPr="003B0EC4">
        <w:rPr>
          <w:rFonts w:cstheme="minorHAnsi"/>
        </w:rPr>
        <w:t>Issue 12, (May 2019).</w:t>
      </w:r>
    </w:p>
  </w:footnote>
  <w:footnote w:id="29">
    <w:p w14:paraId="7446DC68" w14:textId="6FA413DB"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In the year to December 2021, rents increased by 9.4% across Australia and 12.1% in regional areas, and house prices exploded by 22.4%. (</w:t>
      </w:r>
      <w:proofErr w:type="spellStart"/>
      <w:r w:rsidRPr="003B0EC4">
        <w:rPr>
          <w:rFonts w:cstheme="minorHAnsi"/>
        </w:rPr>
        <w:t>Corelogic</w:t>
      </w:r>
      <w:proofErr w:type="spellEnd"/>
      <w:r w:rsidRPr="003B0EC4">
        <w:rPr>
          <w:rFonts w:cstheme="minorHAnsi"/>
        </w:rPr>
        <w:t xml:space="preserve"> data, https://www.corelogic.com.au/); See also Editorial ‘Through the Roof Home Prices Nothing Short of a Crisis’ </w:t>
      </w:r>
      <w:r w:rsidRPr="003B0EC4">
        <w:rPr>
          <w:rFonts w:cstheme="minorHAnsi"/>
          <w:i/>
        </w:rPr>
        <w:t>The Age</w:t>
      </w:r>
      <w:r w:rsidR="00087289" w:rsidRPr="003B0EC4">
        <w:rPr>
          <w:rFonts w:cstheme="minorHAnsi"/>
        </w:rPr>
        <w:t xml:space="preserve"> (2 August 2021) </w:t>
      </w:r>
      <w:hyperlink r:id="rId16" w:history="1">
        <w:r w:rsidRPr="003B0EC4">
          <w:rPr>
            <w:rStyle w:val="Hyperlink"/>
            <w:rFonts w:cstheme="minorHAnsi"/>
          </w:rPr>
          <w:t>https://www.theage.com.au/national/through-the-roof-home-prices-nothing-short-of-a-crisis-20210801-p58erx.html</w:t>
        </w:r>
      </w:hyperlink>
      <w:r w:rsidRPr="003B0EC4">
        <w:rPr>
          <w:rStyle w:val="Hyperlink"/>
          <w:rFonts w:cstheme="minorHAnsi"/>
        </w:rPr>
        <w:t>.</w:t>
      </w:r>
      <w:r w:rsidRPr="003B0EC4">
        <w:rPr>
          <w:rFonts w:cstheme="minorHAnsi"/>
        </w:rPr>
        <w:t xml:space="preserve"> </w:t>
      </w:r>
    </w:p>
  </w:footnote>
  <w:footnote w:id="30">
    <w:p w14:paraId="50186C26" w14:textId="0739E861"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J Hohmann, ‘Toward a right to housing for Australia: Reframing affordability debates through article 11(1) of the International Covenant on Economic, Social and Cultural Rights’ (2020) 26(2) </w:t>
      </w:r>
      <w:r w:rsidRPr="003B0EC4">
        <w:rPr>
          <w:rFonts w:cstheme="minorHAnsi"/>
          <w:i/>
        </w:rPr>
        <w:t>Australian Journal of Human Rights</w:t>
      </w:r>
      <w:r w:rsidRPr="003B0EC4">
        <w:rPr>
          <w:rFonts w:cstheme="minorHAnsi"/>
        </w:rPr>
        <w:t xml:space="preserve"> 292-307.</w:t>
      </w:r>
    </w:p>
  </w:footnote>
  <w:footnote w:id="31">
    <w:p w14:paraId="421993F1" w14:textId="54DEF37A" w:rsidR="00FA7A80" w:rsidRPr="003B0EC4" w:rsidRDefault="00FA7A80" w:rsidP="00644E30">
      <w:pPr>
        <w:pStyle w:val="FootnoteText"/>
        <w:snapToGrid w:val="0"/>
        <w:rPr>
          <w:rFonts w:cstheme="minorHAnsi"/>
        </w:rPr>
      </w:pPr>
      <w:r w:rsidRPr="003B0EC4">
        <w:rPr>
          <w:rStyle w:val="FootnoteReference"/>
          <w:rFonts w:cstheme="minorHAnsi"/>
        </w:rPr>
        <w:footnoteRef/>
      </w:r>
      <w:r w:rsidR="00076284" w:rsidRPr="003B0EC4">
        <w:rPr>
          <w:rFonts w:cstheme="minorHAnsi"/>
        </w:rPr>
        <w:t xml:space="preserve"> Lawson et al, (note 21</w:t>
      </w:r>
      <w:r w:rsidR="00087289" w:rsidRPr="003B0EC4">
        <w:rPr>
          <w:rFonts w:cstheme="minorHAnsi"/>
        </w:rPr>
        <w:t>).</w:t>
      </w:r>
      <w:r w:rsidRPr="003B0EC4">
        <w:rPr>
          <w:rFonts w:cstheme="minorHAnsi"/>
        </w:rPr>
        <w:t xml:space="preserve">  In NSW, for example, the current expected wait for social housing in some areas tops 10 years for all property types, with a total of 46,087 applicants on the waiting list.  See NSW Communities and Justice, ‘Expected Waiting Times’, </w:t>
      </w:r>
      <w:hyperlink r:id="rId17" w:history="1">
        <w:r w:rsidRPr="003B0EC4">
          <w:rPr>
            <w:rStyle w:val="Hyperlink"/>
            <w:rFonts w:cstheme="minorHAnsi"/>
          </w:rPr>
          <w:t>https://www.facs.nsw.gov.au/housing/help/applying-assistance/expected-waiting-times</w:t>
        </w:r>
      </w:hyperlink>
      <w:r w:rsidRPr="003B0EC4">
        <w:rPr>
          <w:rFonts w:cstheme="minorHAnsi"/>
        </w:rPr>
        <w:t xml:space="preserve">. Figures are similar in Queensland, where numbers on the waitlist have increased by 70% in three years.  See Brisbane Times, ‘Social Housing Waiting List Could Fill a Town Larger than Gladstone’, </w:t>
      </w:r>
      <w:hyperlink r:id="rId18" w:history="1">
        <w:r w:rsidRPr="003B0EC4">
          <w:rPr>
            <w:rStyle w:val="Hyperlink"/>
            <w:rFonts w:cstheme="minorHAnsi"/>
          </w:rPr>
          <w:t>https://www.brisbanetimes.com.au/politics/queensland/social-housing-waiting-list-could-fill-a-town-larger-than-gladstone-20210429-p57nd3.html</w:t>
        </w:r>
      </w:hyperlink>
      <w:r w:rsidRPr="003B0EC4">
        <w:rPr>
          <w:rFonts w:cstheme="minorHAnsi"/>
        </w:rPr>
        <w:t>.</w:t>
      </w:r>
    </w:p>
  </w:footnote>
  <w:footnote w:id="32">
    <w:p w14:paraId="5E8ED65E" w14:textId="0ED3F1F1"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See ‘Editorial’ (n</w:t>
      </w:r>
      <w:r w:rsidR="00076284" w:rsidRPr="003B0EC4">
        <w:rPr>
          <w:rFonts w:cstheme="minorHAnsi"/>
        </w:rPr>
        <w:t>ote 29</w:t>
      </w:r>
      <w:r w:rsidRPr="003B0EC4">
        <w:rPr>
          <w:rFonts w:cstheme="minorHAnsi"/>
        </w:rPr>
        <w:t>).</w:t>
      </w:r>
    </w:p>
  </w:footnote>
  <w:footnote w:id="33">
    <w:p w14:paraId="4C66CA7E" w14:textId="2D157733"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Mercy Foundation ‘Older Women and Homelessness’ (note 6) Ageing on the Edge (note 6).</w:t>
      </w:r>
    </w:p>
  </w:footnote>
  <w:footnote w:id="34">
    <w:p w14:paraId="17ECBB0B" w14:textId="4F5EC5A7"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CESCR Concluding Observations Australia (2017) (note 3)</w:t>
      </w:r>
      <w:r w:rsidR="00076284" w:rsidRPr="003B0EC4">
        <w:rPr>
          <w:rFonts w:cstheme="minorHAnsi"/>
        </w:rPr>
        <w:t xml:space="preserve"> </w:t>
      </w:r>
      <w:r w:rsidRPr="003B0EC4">
        <w:rPr>
          <w:rFonts w:cstheme="minorHAnsi"/>
        </w:rPr>
        <w:t>para 15-16.</w:t>
      </w:r>
    </w:p>
  </w:footnote>
  <w:footnote w:id="35">
    <w:p w14:paraId="31EE96F4" w14:textId="64E68C31" w:rsidR="00FA7A80" w:rsidRPr="003B0EC4" w:rsidRDefault="00FA7A80" w:rsidP="0066310D">
      <w:pPr>
        <w:pStyle w:val="NormalWeb"/>
        <w:snapToGrid w:val="0"/>
        <w:spacing w:after="0" w:line="240" w:lineRule="auto"/>
        <w:rPr>
          <w:rFonts w:asciiTheme="minorHAnsi" w:hAnsiTheme="minorHAnsi" w:cstheme="minorHAnsi"/>
          <w:sz w:val="20"/>
          <w:szCs w:val="20"/>
        </w:rPr>
      </w:pPr>
      <w:r w:rsidRPr="003B0EC4">
        <w:rPr>
          <w:rStyle w:val="FootnoteReference"/>
          <w:rFonts w:asciiTheme="minorHAnsi" w:hAnsiTheme="minorHAnsi" w:cstheme="minorHAnsi"/>
          <w:sz w:val="20"/>
          <w:szCs w:val="20"/>
        </w:rPr>
        <w:footnoteRef/>
      </w:r>
      <w:r w:rsidRPr="003B0EC4">
        <w:rPr>
          <w:rFonts w:asciiTheme="minorHAnsi" w:hAnsiTheme="minorHAnsi" w:cstheme="minorHAnsi"/>
          <w:sz w:val="20"/>
          <w:szCs w:val="20"/>
        </w:rPr>
        <w:t xml:space="preserve"> P </w:t>
      </w:r>
      <w:r w:rsidRPr="003B0EC4">
        <w:rPr>
          <w:rFonts w:asciiTheme="minorHAnsi" w:eastAsia="Times New Roman" w:hAnsiTheme="minorHAnsi" w:cstheme="minorHAnsi"/>
          <w:color w:val="3F3F3F"/>
          <w:sz w:val="20"/>
          <w:szCs w:val="20"/>
          <w:lang w:eastAsia="en-GB"/>
        </w:rPr>
        <w:t xml:space="preserve">Flatau, et </w:t>
      </w:r>
      <w:proofErr w:type="spellStart"/>
      <w:proofErr w:type="gramStart"/>
      <w:r w:rsidRPr="003B0EC4">
        <w:rPr>
          <w:rFonts w:asciiTheme="minorHAnsi" w:eastAsia="Times New Roman" w:hAnsiTheme="minorHAnsi" w:cstheme="minorHAnsi"/>
          <w:color w:val="3F3F3F"/>
          <w:sz w:val="20"/>
          <w:szCs w:val="20"/>
          <w:lang w:eastAsia="en-GB"/>
        </w:rPr>
        <w:t>al,‘</w:t>
      </w:r>
      <w:proofErr w:type="gramEnd"/>
      <w:r w:rsidRPr="003B0EC4">
        <w:rPr>
          <w:rFonts w:asciiTheme="minorHAnsi" w:eastAsia="Times New Roman" w:hAnsiTheme="minorHAnsi" w:cstheme="minorHAnsi"/>
          <w:color w:val="3F3F3F"/>
          <w:sz w:val="20"/>
          <w:szCs w:val="20"/>
          <w:lang w:eastAsia="en-GB"/>
        </w:rPr>
        <w:t>The</w:t>
      </w:r>
      <w:proofErr w:type="spellEnd"/>
      <w:r w:rsidRPr="003B0EC4">
        <w:rPr>
          <w:rFonts w:asciiTheme="minorHAnsi" w:eastAsia="Times New Roman" w:hAnsiTheme="minorHAnsi" w:cstheme="minorHAnsi"/>
          <w:color w:val="3F3F3F"/>
          <w:sz w:val="20"/>
          <w:szCs w:val="20"/>
          <w:lang w:eastAsia="en-GB"/>
        </w:rPr>
        <w:t xml:space="preserve"> cost of youth homelessness in Australia study: snapshot report 1. Analysis &amp; Policy Operatory’ (2015) </w:t>
      </w:r>
      <w:hyperlink r:id="rId19" w:history="1">
        <w:r w:rsidRPr="003B0EC4">
          <w:rPr>
            <w:rStyle w:val="Hyperlink"/>
            <w:rFonts w:asciiTheme="minorHAnsi" w:eastAsia="Times New Roman" w:hAnsiTheme="minorHAnsi" w:cstheme="minorHAnsi"/>
            <w:sz w:val="20"/>
            <w:szCs w:val="20"/>
            <w:lang w:eastAsia="en-GB"/>
          </w:rPr>
          <w:t>http://doi.org/10.4225/50/55AC3D19B3DAE</w:t>
        </w:r>
      </w:hyperlink>
      <w:r w:rsidRPr="003B0EC4">
        <w:rPr>
          <w:rFonts w:asciiTheme="minorHAnsi" w:eastAsia="Times New Roman" w:hAnsiTheme="minorHAnsi" w:cstheme="minorHAnsi"/>
          <w:color w:val="919396"/>
          <w:sz w:val="20"/>
          <w:szCs w:val="20"/>
          <w:lang w:eastAsia="en-GB"/>
        </w:rPr>
        <w:t xml:space="preserve">. </w:t>
      </w:r>
    </w:p>
  </w:footnote>
  <w:footnote w:id="36">
    <w:p w14:paraId="45F4B965" w14:textId="530392D0" w:rsidR="00FA7A80" w:rsidRPr="003B0EC4" w:rsidRDefault="00FA7A80" w:rsidP="00644E30">
      <w:pPr>
        <w:pStyle w:val="NormalWeb"/>
        <w:snapToGrid w:val="0"/>
        <w:spacing w:after="0" w:line="240" w:lineRule="auto"/>
        <w:rPr>
          <w:rFonts w:asciiTheme="minorHAnsi" w:hAnsiTheme="minorHAnsi" w:cstheme="minorHAnsi"/>
          <w:sz w:val="20"/>
          <w:szCs w:val="20"/>
        </w:rPr>
      </w:pPr>
      <w:r w:rsidRPr="003B0EC4">
        <w:rPr>
          <w:rStyle w:val="FootnoteReference"/>
          <w:rFonts w:asciiTheme="minorHAnsi" w:hAnsiTheme="minorHAnsi" w:cstheme="minorHAnsi"/>
          <w:sz w:val="20"/>
          <w:szCs w:val="20"/>
        </w:rPr>
        <w:footnoteRef/>
      </w:r>
      <w:r w:rsidRPr="003B0EC4">
        <w:rPr>
          <w:rFonts w:asciiTheme="minorHAnsi" w:hAnsiTheme="minorHAnsi" w:cstheme="minorHAnsi"/>
          <w:sz w:val="20"/>
          <w:szCs w:val="20"/>
        </w:rPr>
        <w:t xml:space="preserve"> </w:t>
      </w:r>
      <w:r w:rsidRPr="003B0EC4">
        <w:rPr>
          <w:rFonts w:asciiTheme="minorHAnsi" w:eastAsia="Times New Roman" w:hAnsiTheme="minorHAnsi" w:cstheme="minorHAnsi"/>
          <w:color w:val="3F3F3F"/>
          <w:sz w:val="20"/>
          <w:szCs w:val="20"/>
          <w:lang w:eastAsia="en-GB"/>
        </w:rPr>
        <w:t>Flatau</w:t>
      </w:r>
      <w:r w:rsidR="00076284" w:rsidRPr="003B0EC4">
        <w:rPr>
          <w:rFonts w:asciiTheme="minorHAnsi" w:eastAsia="Times New Roman" w:hAnsiTheme="minorHAnsi" w:cstheme="minorHAnsi"/>
          <w:color w:val="3F3F3F"/>
          <w:sz w:val="20"/>
          <w:szCs w:val="20"/>
          <w:lang w:eastAsia="en-GB"/>
        </w:rPr>
        <w:t xml:space="preserve"> et al (note 19</w:t>
      </w:r>
      <w:r w:rsidR="009A7A79" w:rsidRPr="003B0EC4">
        <w:rPr>
          <w:rFonts w:asciiTheme="minorHAnsi" w:eastAsia="Times New Roman" w:hAnsiTheme="minorHAnsi" w:cstheme="minorHAnsi"/>
          <w:color w:val="3F3F3F"/>
          <w:sz w:val="20"/>
          <w:szCs w:val="20"/>
          <w:lang w:eastAsia="en-GB"/>
        </w:rPr>
        <w:t>).</w:t>
      </w:r>
    </w:p>
  </w:footnote>
  <w:footnote w:id="37">
    <w:p w14:paraId="36C74F5F" w14:textId="40C2FED8"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Roberts, Conroy</w:t>
      </w:r>
      <w:r w:rsidR="009A7A79" w:rsidRPr="003B0EC4">
        <w:rPr>
          <w:rFonts w:cstheme="minorHAnsi"/>
        </w:rPr>
        <w:t xml:space="preserve"> &amp;</w:t>
      </w:r>
      <w:r w:rsidRPr="003B0EC4">
        <w:rPr>
          <w:rFonts w:cstheme="minorHAnsi"/>
        </w:rPr>
        <w:t xml:space="preserve"> Rego (note </w:t>
      </w:r>
      <w:r w:rsidR="00076284" w:rsidRPr="003B0EC4">
        <w:rPr>
          <w:rFonts w:cstheme="minorHAnsi"/>
        </w:rPr>
        <w:t>13</w:t>
      </w:r>
      <w:r w:rsidRPr="003B0EC4">
        <w:rPr>
          <w:rFonts w:cstheme="minorHAnsi"/>
        </w:rPr>
        <w:t>).</w:t>
      </w:r>
    </w:p>
  </w:footnote>
  <w:footnote w:id="38">
    <w:p w14:paraId="55840A47" w14:textId="40275C3F" w:rsidR="00FA7A80" w:rsidRPr="003B0EC4" w:rsidRDefault="00FA7A80" w:rsidP="00644E30">
      <w:pPr>
        <w:pStyle w:val="FootnoteText"/>
        <w:snapToGrid w:val="0"/>
        <w:rPr>
          <w:rFonts w:cstheme="minorHAnsi"/>
        </w:rPr>
      </w:pPr>
      <w:r w:rsidRPr="003B0EC4">
        <w:rPr>
          <w:rStyle w:val="FootnoteReference"/>
          <w:rFonts w:cstheme="minorHAnsi"/>
        </w:rPr>
        <w:footnoteRef/>
      </w:r>
      <w:r w:rsidRPr="003B0EC4">
        <w:rPr>
          <w:rFonts w:cstheme="minorHAnsi"/>
        </w:rPr>
        <w:t xml:space="preserve"> A</w:t>
      </w:r>
      <w:r w:rsidR="009A7A79" w:rsidRPr="003B0EC4">
        <w:rPr>
          <w:rFonts w:cstheme="minorHAnsi"/>
        </w:rPr>
        <w:t xml:space="preserve">ustralian Institute of Health and Welfare (AIHW) </w:t>
      </w:r>
      <w:r w:rsidRPr="003B0EC4">
        <w:rPr>
          <w:rFonts w:cstheme="minorHAnsi"/>
        </w:rPr>
        <w:t xml:space="preserve">‘Australia’s Children: Homelessness’ (03 April 2020) </w:t>
      </w:r>
      <w:hyperlink r:id="rId20" w:history="1">
        <w:r w:rsidRPr="003B0EC4">
          <w:rPr>
            <w:rStyle w:val="Hyperlink"/>
            <w:rFonts w:cstheme="minorHAnsi"/>
          </w:rPr>
          <w:t>https://www.aihw.gov.au/reports/children-youth/australias-children/contents/housing/homelessness</w:t>
        </w:r>
      </w:hyperlink>
      <w:r w:rsidR="00076284" w:rsidRPr="003B0EC4">
        <w:rPr>
          <w:rStyle w:val="Hyperlink"/>
          <w:rFonts w:cstheme="minorHAnsi"/>
        </w:rPr>
        <w:t>.</w:t>
      </w:r>
      <w:r w:rsidRPr="003B0EC4">
        <w:rPr>
          <w:rFonts w:cstheme="minorHAnsi"/>
        </w:rPr>
        <w:t xml:space="preserve"> </w:t>
      </w:r>
    </w:p>
  </w:footnote>
  <w:footnote w:id="39">
    <w:p w14:paraId="66E1B956" w14:textId="6B5D5D2A"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Australian Human Rights Commission</w:t>
      </w:r>
      <w:r w:rsidR="009A7A79" w:rsidRPr="003B0EC4">
        <w:rPr>
          <w:rFonts w:cstheme="minorHAnsi"/>
        </w:rPr>
        <w:t xml:space="preserve"> (AHRC)</w:t>
      </w:r>
      <w:r w:rsidRPr="003B0EC4">
        <w:rPr>
          <w:rFonts w:cstheme="minorHAnsi"/>
        </w:rPr>
        <w:t xml:space="preserve"> ‘</w:t>
      </w:r>
      <w:r w:rsidR="009A7A79" w:rsidRPr="003B0EC4">
        <w:rPr>
          <w:rFonts w:cstheme="minorHAnsi"/>
        </w:rPr>
        <w:t>T</w:t>
      </w:r>
      <w:r w:rsidRPr="003B0EC4">
        <w:rPr>
          <w:rFonts w:cstheme="minorHAnsi"/>
        </w:rPr>
        <w:t xml:space="preserve">he Rights of People with Disabilities: Areas of Need for Increased Protection’ </w:t>
      </w:r>
      <w:hyperlink r:id="rId21" w:history="1">
        <w:r w:rsidRPr="003B0EC4">
          <w:rPr>
            <w:rStyle w:val="Hyperlink"/>
            <w:rFonts w:cstheme="minorHAnsi"/>
          </w:rPr>
          <w:t>https://humanrights.gov.au/our-work/rights-people-disabilities-areas-need-increased-protection-chapter-4-accommodation</w:t>
        </w:r>
      </w:hyperlink>
      <w:r w:rsidRPr="003B0EC4">
        <w:rPr>
          <w:rFonts w:cstheme="minorHAnsi"/>
        </w:rPr>
        <w:t xml:space="preserve"> Ch 4 - accommodation.</w:t>
      </w:r>
    </w:p>
  </w:footnote>
  <w:footnote w:id="40">
    <w:p w14:paraId="2EABD079" w14:textId="617ED927" w:rsidR="00FA7A80" w:rsidRPr="003B0EC4" w:rsidRDefault="00FA7A80" w:rsidP="00D6316D">
      <w:pPr>
        <w:pStyle w:val="FootnoteText"/>
        <w:rPr>
          <w:rFonts w:cstheme="minorHAnsi"/>
        </w:rPr>
      </w:pPr>
      <w:r w:rsidRPr="003B0EC4">
        <w:rPr>
          <w:rStyle w:val="FootnoteReference"/>
          <w:rFonts w:cstheme="minorHAnsi"/>
        </w:rPr>
        <w:footnoteRef/>
      </w:r>
      <w:r w:rsidRPr="003B0EC4">
        <w:rPr>
          <w:rFonts w:cstheme="minorHAnsi"/>
        </w:rPr>
        <w:t xml:space="preserve"> The Australian Institute of Health and</w:t>
      </w:r>
      <w:r w:rsidR="00076284" w:rsidRPr="003B0EC4">
        <w:rPr>
          <w:rFonts w:cstheme="minorHAnsi"/>
        </w:rPr>
        <w:t xml:space="preserve"> Welfare (AIHW) found that in</w:t>
      </w:r>
      <w:r w:rsidRPr="003B0EC4">
        <w:rPr>
          <w:rFonts w:cstheme="minorHAnsi"/>
        </w:rPr>
        <w:t xml:space="preserve"> 2018–19</w:t>
      </w:r>
      <w:r w:rsidR="00076284" w:rsidRPr="003B0EC4">
        <w:rPr>
          <w:rFonts w:cstheme="minorHAnsi"/>
        </w:rPr>
        <w:t>,</w:t>
      </w:r>
      <w:r w:rsidRPr="003B0EC4">
        <w:rPr>
          <w:rFonts w:cstheme="minorHAnsi"/>
        </w:rPr>
        <w:t xml:space="preserve"> 20% of Indigenous households were living in dwellings that did not meet an acceptable standard – defined as having at least 1 basic household facility that was unavailable or having more than 2 major structural problems.  33% of Indigenous households were living in dwellings with at least 1 major structural problem. Indigenous households in remote areas were more likely to live in dwellings with structural problems than those in non-remote areas (46% and 31%, respectively), and 9.1% of Indigenous households had no access to working facilities for food preparation, 4.5% had no access to working facilities to wash clothes and bedding and 2.8% had no access to working facilities to wash household residents. AIHW Indigenous housing Snapshot (16 Sep 2021) </w:t>
      </w:r>
      <w:hyperlink r:id="rId22" w:history="1">
        <w:r w:rsidRPr="003B0EC4">
          <w:rPr>
            <w:rStyle w:val="Hyperlink"/>
            <w:rFonts w:cstheme="minorHAnsi"/>
          </w:rPr>
          <w:t>https://www.aihw.gov.au/reports/australias-welfare/indigenous-housing</w:t>
        </w:r>
      </w:hyperlink>
      <w:r w:rsidR="00076284" w:rsidRPr="003B0EC4">
        <w:rPr>
          <w:rStyle w:val="Hyperlink"/>
          <w:rFonts w:cstheme="minorHAnsi"/>
        </w:rPr>
        <w:t>.</w:t>
      </w:r>
      <w:r w:rsidRPr="003B0EC4">
        <w:rPr>
          <w:rFonts w:cstheme="minorHAnsi"/>
        </w:rPr>
        <w:t xml:space="preserve"> </w:t>
      </w:r>
    </w:p>
  </w:footnote>
  <w:footnote w:id="41">
    <w:p w14:paraId="13458783" w14:textId="36AC9B04"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Lawson et al (note </w:t>
      </w:r>
      <w:r w:rsidR="00076284" w:rsidRPr="003B0EC4">
        <w:rPr>
          <w:rFonts w:cstheme="minorHAnsi"/>
        </w:rPr>
        <w:t>21</w:t>
      </w:r>
      <w:r w:rsidRPr="003B0EC4">
        <w:rPr>
          <w:rFonts w:cstheme="minorHAnsi"/>
        </w:rPr>
        <w:t>)</w:t>
      </w:r>
      <w:r w:rsidR="009A7A79" w:rsidRPr="003B0EC4">
        <w:rPr>
          <w:rFonts w:cstheme="minorHAnsi"/>
        </w:rPr>
        <w:t>.</w:t>
      </w:r>
    </w:p>
  </w:footnote>
  <w:footnote w:id="42">
    <w:p w14:paraId="1021CF06" w14:textId="1B905A14"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‘The bushfires burned more than 46 million acres (72,000 square miles) – roughly the same area as the entire country of Syria. At least 3,500 homes and thousands of other buildings were lost and 34 people died in the thousands of fires between September 2019 and March 2020.’  </w:t>
      </w:r>
      <w:proofErr w:type="spellStart"/>
      <w:r w:rsidRPr="003B0EC4">
        <w:rPr>
          <w:rFonts w:cstheme="minorHAnsi"/>
        </w:rPr>
        <w:t>Center</w:t>
      </w:r>
      <w:proofErr w:type="spellEnd"/>
      <w:r w:rsidRPr="003B0EC4">
        <w:rPr>
          <w:rFonts w:cstheme="minorHAnsi"/>
        </w:rPr>
        <w:t xml:space="preserve"> for Disaster Philanthropy, </w:t>
      </w:r>
      <w:r w:rsidR="009A7A79" w:rsidRPr="003B0EC4">
        <w:rPr>
          <w:rFonts w:cstheme="minorHAnsi"/>
        </w:rPr>
        <w:t>‘</w:t>
      </w:r>
      <w:r w:rsidRPr="003B0EC4">
        <w:rPr>
          <w:rFonts w:cstheme="minorHAnsi"/>
        </w:rPr>
        <w:t xml:space="preserve">2019-2020 Australian </w:t>
      </w:r>
      <w:proofErr w:type="spellStart"/>
      <w:r w:rsidRPr="003B0EC4">
        <w:rPr>
          <w:rFonts w:cstheme="minorHAnsi"/>
        </w:rPr>
        <w:t>Bushfires</w:t>
      </w:r>
      <w:r w:rsidR="009A7A79" w:rsidRPr="003B0EC4">
        <w:rPr>
          <w:rFonts w:cstheme="minorHAnsi"/>
        </w:rPr>
        <w:t>’</w:t>
      </w:r>
      <w:proofErr w:type="spellEnd"/>
      <w:r w:rsidRPr="003B0EC4">
        <w:rPr>
          <w:rFonts w:cstheme="minorHAnsi"/>
        </w:rPr>
        <w:t xml:space="preserve"> </w:t>
      </w:r>
      <w:hyperlink r:id="rId23" w:history="1">
        <w:r w:rsidRPr="003B0EC4">
          <w:rPr>
            <w:rStyle w:val="Hyperlink"/>
            <w:rFonts w:cstheme="minorHAnsi"/>
          </w:rPr>
          <w:t>https://disasterphilanthropy.org/disaster/2019-australian-wildfires/</w:t>
        </w:r>
      </w:hyperlink>
      <w:r w:rsidR="009A7A79" w:rsidRPr="003B0EC4">
        <w:rPr>
          <w:rStyle w:val="Hyperlink"/>
          <w:rFonts w:cstheme="minorHAnsi"/>
        </w:rPr>
        <w:t>.</w:t>
      </w:r>
      <w:r w:rsidRPr="003B0EC4">
        <w:rPr>
          <w:rFonts w:cstheme="minorHAnsi"/>
        </w:rPr>
        <w:t xml:space="preserve"> </w:t>
      </w:r>
    </w:p>
  </w:footnote>
  <w:footnote w:id="43">
    <w:p w14:paraId="1C748A84" w14:textId="29E28006" w:rsidR="00FA7A80" w:rsidRPr="003B0EC4" w:rsidRDefault="00FA7A80">
      <w:pPr>
        <w:pStyle w:val="FootnoteText"/>
        <w:rPr>
          <w:rFonts w:cstheme="minorHAnsi"/>
        </w:rPr>
      </w:pPr>
      <w:r w:rsidRPr="003B0EC4">
        <w:rPr>
          <w:rStyle w:val="FootnoteReference"/>
          <w:rFonts w:cstheme="minorHAnsi"/>
        </w:rPr>
        <w:footnoteRef/>
      </w:r>
      <w:r w:rsidRPr="003B0EC4">
        <w:rPr>
          <w:rFonts w:cstheme="minorHAnsi"/>
        </w:rPr>
        <w:t xml:space="preserve"> SBS News ‘Floods in Australia among most expensive climate events of 2021, report finds</w:t>
      </w:r>
      <w:r w:rsidR="009A7A79" w:rsidRPr="003B0EC4">
        <w:rPr>
          <w:rFonts w:cstheme="minorHAnsi"/>
        </w:rPr>
        <w:t>’</w:t>
      </w:r>
      <w:r w:rsidRPr="003B0EC4">
        <w:rPr>
          <w:rFonts w:cstheme="minorHAnsi"/>
        </w:rPr>
        <w:t xml:space="preserve"> (21 February 2022) </w:t>
      </w:r>
      <w:hyperlink r:id="rId24" w:history="1">
        <w:r w:rsidRPr="003B0EC4">
          <w:rPr>
            <w:rStyle w:val="Hyperlink"/>
            <w:rFonts w:cstheme="minorHAnsi"/>
          </w:rPr>
          <w:t>https://www.sbs.com.au/news/floods-in-australia-among-most-expensive-climate-events-of-2021-report-finds/1c863e45-f319-49d4-b991-4100fbcb02f1</w:t>
        </w:r>
      </w:hyperlink>
      <w:r w:rsidR="009A7A79" w:rsidRPr="003B0EC4">
        <w:rPr>
          <w:rStyle w:val="Hyperlink"/>
          <w:rFonts w:cstheme="minorHAnsi"/>
        </w:rPr>
        <w:t>.</w:t>
      </w:r>
      <w:r w:rsidRPr="003B0EC4">
        <w:rPr>
          <w:rFonts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BF489" w14:textId="77777777" w:rsidR="00FA7A80" w:rsidRDefault="00FA7A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2ED33" w14:textId="77777777" w:rsidR="00FA7A80" w:rsidRDefault="00FA7A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5C5B6" w14:textId="77777777" w:rsidR="00FA7A80" w:rsidRDefault="00FA7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72B4E"/>
    <w:multiLevelType w:val="hybridMultilevel"/>
    <w:tmpl w:val="3A0436F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5C48C2"/>
    <w:multiLevelType w:val="hybridMultilevel"/>
    <w:tmpl w:val="4000934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77FB6"/>
    <w:multiLevelType w:val="hybridMultilevel"/>
    <w:tmpl w:val="6016B19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304C29"/>
    <w:multiLevelType w:val="hybridMultilevel"/>
    <w:tmpl w:val="138AD8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39501C"/>
    <w:multiLevelType w:val="hybridMultilevel"/>
    <w:tmpl w:val="F9D277E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503D0952"/>
    <w:multiLevelType w:val="multilevel"/>
    <w:tmpl w:val="93F6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6906A6"/>
    <w:multiLevelType w:val="hybridMultilevel"/>
    <w:tmpl w:val="666E23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6394767"/>
    <w:multiLevelType w:val="hybridMultilevel"/>
    <w:tmpl w:val="01602F5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7CBF01C4"/>
    <w:multiLevelType w:val="hybridMultilevel"/>
    <w:tmpl w:val="D8C45E7E"/>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6"/>
  </w:num>
  <w:num w:numId="5">
    <w:abstractNumId w:val="4"/>
  </w:num>
  <w:num w:numId="6">
    <w:abstractNumId w:val="8"/>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105"/>
    <w:rsid w:val="000521F1"/>
    <w:rsid w:val="000561E8"/>
    <w:rsid w:val="00076284"/>
    <w:rsid w:val="00087289"/>
    <w:rsid w:val="000B1F5A"/>
    <w:rsid w:val="000C35C4"/>
    <w:rsid w:val="000D4F2F"/>
    <w:rsid w:val="000F6CE3"/>
    <w:rsid w:val="00124339"/>
    <w:rsid w:val="00150B2C"/>
    <w:rsid w:val="00160749"/>
    <w:rsid w:val="00181D08"/>
    <w:rsid w:val="001A0D6E"/>
    <w:rsid w:val="001A47DA"/>
    <w:rsid w:val="001B5AB7"/>
    <w:rsid w:val="001E73AC"/>
    <w:rsid w:val="0020440D"/>
    <w:rsid w:val="0022473D"/>
    <w:rsid w:val="002A7856"/>
    <w:rsid w:val="002C2F44"/>
    <w:rsid w:val="00301EB5"/>
    <w:rsid w:val="003237D6"/>
    <w:rsid w:val="003620FB"/>
    <w:rsid w:val="003B0EC4"/>
    <w:rsid w:val="003B48DE"/>
    <w:rsid w:val="003D5209"/>
    <w:rsid w:val="00407A32"/>
    <w:rsid w:val="00436E29"/>
    <w:rsid w:val="00437CDB"/>
    <w:rsid w:val="00467427"/>
    <w:rsid w:val="00471FEA"/>
    <w:rsid w:val="00564F45"/>
    <w:rsid w:val="00595B98"/>
    <w:rsid w:val="005A0EF3"/>
    <w:rsid w:val="005B27F1"/>
    <w:rsid w:val="006003A3"/>
    <w:rsid w:val="006108BA"/>
    <w:rsid w:val="00644E30"/>
    <w:rsid w:val="0066310D"/>
    <w:rsid w:val="006778C9"/>
    <w:rsid w:val="00686DBA"/>
    <w:rsid w:val="0069692A"/>
    <w:rsid w:val="006C7E90"/>
    <w:rsid w:val="006F26C5"/>
    <w:rsid w:val="007107B8"/>
    <w:rsid w:val="007132D3"/>
    <w:rsid w:val="00721036"/>
    <w:rsid w:val="007256A7"/>
    <w:rsid w:val="00783302"/>
    <w:rsid w:val="00793950"/>
    <w:rsid w:val="007D5B55"/>
    <w:rsid w:val="007E5A70"/>
    <w:rsid w:val="008338B9"/>
    <w:rsid w:val="00834CA6"/>
    <w:rsid w:val="008457ED"/>
    <w:rsid w:val="00872DCE"/>
    <w:rsid w:val="00873EE2"/>
    <w:rsid w:val="008803BE"/>
    <w:rsid w:val="008B0CD3"/>
    <w:rsid w:val="008B127C"/>
    <w:rsid w:val="008B14B3"/>
    <w:rsid w:val="0091666F"/>
    <w:rsid w:val="009322ED"/>
    <w:rsid w:val="00997E5C"/>
    <w:rsid w:val="009A7A79"/>
    <w:rsid w:val="009D76A6"/>
    <w:rsid w:val="00A1727D"/>
    <w:rsid w:val="00A42651"/>
    <w:rsid w:val="00A5112D"/>
    <w:rsid w:val="00A52E9F"/>
    <w:rsid w:val="00A53C71"/>
    <w:rsid w:val="00A91641"/>
    <w:rsid w:val="00AA00E9"/>
    <w:rsid w:val="00AC607D"/>
    <w:rsid w:val="00AC7457"/>
    <w:rsid w:val="00B055BD"/>
    <w:rsid w:val="00B8171B"/>
    <w:rsid w:val="00BA4105"/>
    <w:rsid w:val="00BD4DF0"/>
    <w:rsid w:val="00CB1598"/>
    <w:rsid w:val="00CB2CA1"/>
    <w:rsid w:val="00CC532F"/>
    <w:rsid w:val="00CE17EF"/>
    <w:rsid w:val="00CF2014"/>
    <w:rsid w:val="00D205D8"/>
    <w:rsid w:val="00D34508"/>
    <w:rsid w:val="00D43B84"/>
    <w:rsid w:val="00D56D52"/>
    <w:rsid w:val="00D6316D"/>
    <w:rsid w:val="00E05E53"/>
    <w:rsid w:val="00E82474"/>
    <w:rsid w:val="00ED0CBF"/>
    <w:rsid w:val="00F32C54"/>
    <w:rsid w:val="00F479FB"/>
    <w:rsid w:val="00F60240"/>
    <w:rsid w:val="00F63539"/>
    <w:rsid w:val="00F8447A"/>
    <w:rsid w:val="00F8709D"/>
    <w:rsid w:val="00FA7A80"/>
    <w:rsid w:val="00FC5F7B"/>
    <w:rsid w:val="00FE68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6FD73"/>
  <w15:chartTrackingRefBased/>
  <w15:docId w15:val="{24DDBB3B-334E-4D99-AD92-CEECA037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D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A0D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27C"/>
    <w:pPr>
      <w:ind w:left="720"/>
      <w:contextualSpacing/>
    </w:pPr>
  </w:style>
  <w:style w:type="paragraph" w:styleId="FootnoteText">
    <w:name w:val="footnote text"/>
    <w:basedOn w:val="Normal"/>
    <w:link w:val="FootnoteTextChar"/>
    <w:uiPriority w:val="99"/>
    <w:unhideWhenUsed/>
    <w:rsid w:val="008B127C"/>
    <w:pPr>
      <w:spacing w:after="0" w:line="240" w:lineRule="auto"/>
    </w:pPr>
    <w:rPr>
      <w:sz w:val="20"/>
      <w:szCs w:val="20"/>
    </w:rPr>
  </w:style>
  <w:style w:type="character" w:customStyle="1" w:styleId="FootnoteTextChar">
    <w:name w:val="Footnote Text Char"/>
    <w:basedOn w:val="DefaultParagraphFont"/>
    <w:link w:val="FootnoteText"/>
    <w:uiPriority w:val="99"/>
    <w:rsid w:val="008B127C"/>
    <w:rPr>
      <w:sz w:val="20"/>
      <w:szCs w:val="20"/>
    </w:rPr>
  </w:style>
  <w:style w:type="character" w:styleId="FootnoteReference">
    <w:name w:val="footnote reference"/>
    <w:basedOn w:val="DefaultParagraphFont"/>
    <w:uiPriority w:val="99"/>
    <w:semiHidden/>
    <w:unhideWhenUsed/>
    <w:rsid w:val="008B127C"/>
    <w:rPr>
      <w:vertAlign w:val="superscript"/>
    </w:rPr>
  </w:style>
  <w:style w:type="character" w:styleId="CommentReference">
    <w:name w:val="annotation reference"/>
    <w:basedOn w:val="DefaultParagraphFont"/>
    <w:uiPriority w:val="99"/>
    <w:semiHidden/>
    <w:unhideWhenUsed/>
    <w:rsid w:val="00BD4DF0"/>
    <w:rPr>
      <w:sz w:val="16"/>
      <w:szCs w:val="16"/>
    </w:rPr>
  </w:style>
  <w:style w:type="paragraph" w:styleId="CommentText">
    <w:name w:val="annotation text"/>
    <w:basedOn w:val="Normal"/>
    <w:link w:val="CommentTextChar"/>
    <w:uiPriority w:val="99"/>
    <w:semiHidden/>
    <w:unhideWhenUsed/>
    <w:rsid w:val="00BD4DF0"/>
    <w:pPr>
      <w:spacing w:line="240" w:lineRule="auto"/>
    </w:pPr>
    <w:rPr>
      <w:sz w:val="20"/>
      <w:szCs w:val="20"/>
    </w:rPr>
  </w:style>
  <w:style w:type="character" w:customStyle="1" w:styleId="CommentTextChar">
    <w:name w:val="Comment Text Char"/>
    <w:basedOn w:val="DefaultParagraphFont"/>
    <w:link w:val="CommentText"/>
    <w:uiPriority w:val="99"/>
    <w:semiHidden/>
    <w:rsid w:val="00BD4DF0"/>
    <w:rPr>
      <w:sz w:val="20"/>
      <w:szCs w:val="20"/>
    </w:rPr>
  </w:style>
  <w:style w:type="paragraph" w:styleId="CommentSubject">
    <w:name w:val="annotation subject"/>
    <w:basedOn w:val="CommentText"/>
    <w:next w:val="CommentText"/>
    <w:link w:val="CommentSubjectChar"/>
    <w:uiPriority w:val="99"/>
    <w:semiHidden/>
    <w:unhideWhenUsed/>
    <w:rsid w:val="00BD4DF0"/>
    <w:rPr>
      <w:b/>
      <w:bCs/>
    </w:rPr>
  </w:style>
  <w:style w:type="character" w:customStyle="1" w:styleId="CommentSubjectChar">
    <w:name w:val="Comment Subject Char"/>
    <w:basedOn w:val="CommentTextChar"/>
    <w:link w:val="CommentSubject"/>
    <w:uiPriority w:val="99"/>
    <w:semiHidden/>
    <w:rsid w:val="00BD4DF0"/>
    <w:rPr>
      <w:b/>
      <w:bCs/>
      <w:sz w:val="20"/>
      <w:szCs w:val="20"/>
    </w:rPr>
  </w:style>
  <w:style w:type="paragraph" w:styleId="BalloonText">
    <w:name w:val="Balloon Text"/>
    <w:basedOn w:val="Normal"/>
    <w:link w:val="BalloonTextChar"/>
    <w:uiPriority w:val="99"/>
    <w:semiHidden/>
    <w:unhideWhenUsed/>
    <w:rsid w:val="00BD4D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DF0"/>
    <w:rPr>
      <w:rFonts w:ascii="Segoe UI" w:hAnsi="Segoe UI" w:cs="Segoe UI"/>
      <w:sz w:val="18"/>
      <w:szCs w:val="18"/>
    </w:rPr>
  </w:style>
  <w:style w:type="character" w:styleId="Hyperlink">
    <w:name w:val="Hyperlink"/>
    <w:basedOn w:val="DefaultParagraphFont"/>
    <w:uiPriority w:val="99"/>
    <w:unhideWhenUsed/>
    <w:rsid w:val="00F60240"/>
    <w:rPr>
      <w:color w:val="0563C1" w:themeColor="hyperlink"/>
      <w:u w:val="single"/>
    </w:rPr>
  </w:style>
  <w:style w:type="character" w:customStyle="1" w:styleId="Heading1Char">
    <w:name w:val="Heading 1 Char"/>
    <w:basedOn w:val="DefaultParagraphFont"/>
    <w:link w:val="Heading1"/>
    <w:uiPriority w:val="9"/>
    <w:rsid w:val="00181D08"/>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181D08"/>
    <w:rPr>
      <w:color w:val="954F72" w:themeColor="followedHyperlink"/>
      <w:u w:val="single"/>
    </w:rPr>
  </w:style>
  <w:style w:type="paragraph" w:styleId="Header">
    <w:name w:val="header"/>
    <w:basedOn w:val="Normal"/>
    <w:link w:val="HeaderChar"/>
    <w:uiPriority w:val="99"/>
    <w:unhideWhenUsed/>
    <w:rsid w:val="00181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D08"/>
  </w:style>
  <w:style w:type="paragraph" w:styleId="Footer">
    <w:name w:val="footer"/>
    <w:basedOn w:val="Normal"/>
    <w:link w:val="FooterChar"/>
    <w:uiPriority w:val="99"/>
    <w:unhideWhenUsed/>
    <w:rsid w:val="00181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D08"/>
  </w:style>
  <w:style w:type="paragraph" w:styleId="EndnoteText">
    <w:name w:val="endnote text"/>
    <w:basedOn w:val="Normal"/>
    <w:link w:val="EndnoteTextChar"/>
    <w:uiPriority w:val="99"/>
    <w:unhideWhenUsed/>
    <w:rsid w:val="00FE68CA"/>
    <w:pPr>
      <w:spacing w:after="0" w:line="240" w:lineRule="auto"/>
    </w:pPr>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uiPriority w:val="99"/>
    <w:rsid w:val="00FE68CA"/>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1A0D6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F479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419734">
      <w:bodyDiv w:val="1"/>
      <w:marLeft w:val="0"/>
      <w:marRight w:val="0"/>
      <w:marTop w:val="0"/>
      <w:marBottom w:val="0"/>
      <w:divBdr>
        <w:top w:val="none" w:sz="0" w:space="0" w:color="auto"/>
        <w:left w:val="none" w:sz="0" w:space="0" w:color="auto"/>
        <w:bottom w:val="none" w:sz="0" w:space="0" w:color="auto"/>
        <w:right w:val="none" w:sz="0" w:space="0" w:color="auto"/>
      </w:divBdr>
    </w:div>
    <w:div w:id="495851096">
      <w:bodyDiv w:val="1"/>
      <w:marLeft w:val="0"/>
      <w:marRight w:val="0"/>
      <w:marTop w:val="0"/>
      <w:marBottom w:val="0"/>
      <w:divBdr>
        <w:top w:val="none" w:sz="0" w:space="0" w:color="auto"/>
        <w:left w:val="none" w:sz="0" w:space="0" w:color="auto"/>
        <w:bottom w:val="none" w:sz="0" w:space="0" w:color="auto"/>
        <w:right w:val="none" w:sz="0" w:space="0" w:color="auto"/>
      </w:divBdr>
    </w:div>
    <w:div w:id="498811927">
      <w:bodyDiv w:val="1"/>
      <w:marLeft w:val="0"/>
      <w:marRight w:val="0"/>
      <w:marTop w:val="0"/>
      <w:marBottom w:val="0"/>
      <w:divBdr>
        <w:top w:val="none" w:sz="0" w:space="0" w:color="auto"/>
        <w:left w:val="none" w:sz="0" w:space="0" w:color="auto"/>
        <w:bottom w:val="none" w:sz="0" w:space="0" w:color="auto"/>
        <w:right w:val="none" w:sz="0" w:space="0" w:color="auto"/>
      </w:divBdr>
      <w:divsChild>
        <w:div w:id="1108235280">
          <w:marLeft w:val="0"/>
          <w:marRight w:val="0"/>
          <w:marTop w:val="0"/>
          <w:marBottom w:val="0"/>
          <w:divBdr>
            <w:top w:val="none" w:sz="0" w:space="0" w:color="auto"/>
            <w:left w:val="none" w:sz="0" w:space="0" w:color="auto"/>
            <w:bottom w:val="none" w:sz="0" w:space="0" w:color="auto"/>
            <w:right w:val="none" w:sz="0" w:space="0" w:color="auto"/>
          </w:divBdr>
          <w:divsChild>
            <w:div w:id="1395661607">
              <w:marLeft w:val="0"/>
              <w:marRight w:val="0"/>
              <w:marTop w:val="0"/>
              <w:marBottom w:val="0"/>
              <w:divBdr>
                <w:top w:val="none" w:sz="0" w:space="0" w:color="auto"/>
                <w:left w:val="none" w:sz="0" w:space="0" w:color="auto"/>
                <w:bottom w:val="none" w:sz="0" w:space="0" w:color="auto"/>
                <w:right w:val="none" w:sz="0" w:space="0" w:color="auto"/>
              </w:divBdr>
              <w:divsChild>
                <w:div w:id="10304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847331">
      <w:bodyDiv w:val="1"/>
      <w:marLeft w:val="0"/>
      <w:marRight w:val="0"/>
      <w:marTop w:val="0"/>
      <w:marBottom w:val="0"/>
      <w:divBdr>
        <w:top w:val="none" w:sz="0" w:space="0" w:color="auto"/>
        <w:left w:val="none" w:sz="0" w:space="0" w:color="auto"/>
        <w:bottom w:val="none" w:sz="0" w:space="0" w:color="auto"/>
        <w:right w:val="none" w:sz="0" w:space="0" w:color="auto"/>
      </w:divBdr>
    </w:div>
    <w:div w:id="876308855">
      <w:bodyDiv w:val="1"/>
      <w:marLeft w:val="0"/>
      <w:marRight w:val="0"/>
      <w:marTop w:val="0"/>
      <w:marBottom w:val="0"/>
      <w:divBdr>
        <w:top w:val="none" w:sz="0" w:space="0" w:color="auto"/>
        <w:left w:val="none" w:sz="0" w:space="0" w:color="auto"/>
        <w:bottom w:val="none" w:sz="0" w:space="0" w:color="auto"/>
        <w:right w:val="none" w:sz="0" w:space="0" w:color="auto"/>
      </w:divBdr>
    </w:div>
    <w:div w:id="884560060">
      <w:bodyDiv w:val="1"/>
      <w:marLeft w:val="0"/>
      <w:marRight w:val="0"/>
      <w:marTop w:val="0"/>
      <w:marBottom w:val="0"/>
      <w:divBdr>
        <w:top w:val="none" w:sz="0" w:space="0" w:color="auto"/>
        <w:left w:val="none" w:sz="0" w:space="0" w:color="auto"/>
        <w:bottom w:val="none" w:sz="0" w:space="0" w:color="auto"/>
        <w:right w:val="none" w:sz="0" w:space="0" w:color="auto"/>
      </w:divBdr>
    </w:div>
    <w:div w:id="902911116">
      <w:bodyDiv w:val="1"/>
      <w:marLeft w:val="0"/>
      <w:marRight w:val="0"/>
      <w:marTop w:val="0"/>
      <w:marBottom w:val="0"/>
      <w:divBdr>
        <w:top w:val="none" w:sz="0" w:space="0" w:color="auto"/>
        <w:left w:val="none" w:sz="0" w:space="0" w:color="auto"/>
        <w:bottom w:val="none" w:sz="0" w:space="0" w:color="auto"/>
        <w:right w:val="none" w:sz="0" w:space="0" w:color="auto"/>
      </w:divBdr>
      <w:divsChild>
        <w:div w:id="98183299">
          <w:marLeft w:val="0"/>
          <w:marRight w:val="0"/>
          <w:marTop w:val="0"/>
          <w:marBottom w:val="0"/>
          <w:divBdr>
            <w:top w:val="none" w:sz="0" w:space="0" w:color="auto"/>
            <w:left w:val="none" w:sz="0" w:space="0" w:color="auto"/>
            <w:bottom w:val="none" w:sz="0" w:space="0" w:color="auto"/>
            <w:right w:val="none" w:sz="0" w:space="0" w:color="auto"/>
          </w:divBdr>
          <w:divsChild>
            <w:div w:id="1613898681">
              <w:marLeft w:val="0"/>
              <w:marRight w:val="0"/>
              <w:marTop w:val="0"/>
              <w:marBottom w:val="0"/>
              <w:divBdr>
                <w:top w:val="none" w:sz="0" w:space="0" w:color="auto"/>
                <w:left w:val="none" w:sz="0" w:space="0" w:color="auto"/>
                <w:bottom w:val="none" w:sz="0" w:space="0" w:color="auto"/>
                <w:right w:val="none" w:sz="0" w:space="0" w:color="auto"/>
              </w:divBdr>
              <w:divsChild>
                <w:div w:id="10750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305460">
      <w:bodyDiv w:val="1"/>
      <w:marLeft w:val="0"/>
      <w:marRight w:val="0"/>
      <w:marTop w:val="0"/>
      <w:marBottom w:val="0"/>
      <w:divBdr>
        <w:top w:val="none" w:sz="0" w:space="0" w:color="auto"/>
        <w:left w:val="none" w:sz="0" w:space="0" w:color="auto"/>
        <w:bottom w:val="none" w:sz="0" w:space="0" w:color="auto"/>
        <w:right w:val="none" w:sz="0" w:space="0" w:color="auto"/>
      </w:divBdr>
    </w:div>
    <w:div w:id="175531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bc.net.au/news/2020-09-02/wealth-inequality-rising-sharply-especially-among-young-acoss/12618120" TargetMode="External"/><Relationship Id="rId13" Type="http://schemas.openxmlformats.org/officeDocument/2006/relationships/hyperlink" Target="http://www.ahuri.edu.au/research/final-reports/306" TargetMode="External"/><Relationship Id="rId18" Type="http://schemas.openxmlformats.org/officeDocument/2006/relationships/hyperlink" Target="https://www.brisbanetimes.com.au/politics/queensland/social-housing-waiting-list-could-fill-a-town-larger-than-gladstone-20210429-p57nd3.html" TargetMode="External"/><Relationship Id="rId3" Type="http://schemas.openxmlformats.org/officeDocument/2006/relationships/hyperlink" Target="https://www.mercyfoundation.com.au/wp-content/uploads/2021/12/home_at_last_report_web.pdf" TargetMode="External"/><Relationship Id="rId21" Type="http://schemas.openxmlformats.org/officeDocument/2006/relationships/hyperlink" Target="https://humanrights.gov.au/our-work/rights-people-disabilities-areas-need-increased-protection-chapter-4-accommodation" TargetMode="External"/><Relationship Id="rId7" Type="http://schemas.openxmlformats.org/officeDocument/2006/relationships/hyperlink" Target="https://povertyandinequality.acoss.org.au/inequality/" TargetMode="External"/><Relationship Id="rId12" Type="http://schemas.openxmlformats.org/officeDocument/2006/relationships/hyperlink" Target="http://ejaustralia.org.au/wp/wp-content/uploads/2018/08/NSSRN_Report2018_FamilyViolence_SocialSecurity_sm.pdf" TargetMode="External"/><Relationship Id="rId17" Type="http://schemas.openxmlformats.org/officeDocument/2006/relationships/hyperlink" Target="https://www.facs.nsw.gov.au/housing/help/applying-assistance/expected-waiting-times" TargetMode="External"/><Relationship Id="rId2" Type="http://schemas.openxmlformats.org/officeDocument/2006/relationships/hyperlink" Target="https://www.mercyfoundation.com.au/our-focus/ending-homelessness/older-women-and-homelessness/" TargetMode="External"/><Relationship Id="rId16" Type="http://schemas.openxmlformats.org/officeDocument/2006/relationships/hyperlink" Target="https://www.theage.com.au/national/through-the-roof-home-prices-nothing-short-of-a-crisis-20210801-p58erx.html" TargetMode="External"/><Relationship Id="rId20" Type="http://schemas.openxmlformats.org/officeDocument/2006/relationships/hyperlink" Target="https://www.aihw.gov.au/reports/children-youth/australias-children/contents/housing/homelessness" TargetMode="External"/><Relationship Id="rId1" Type="http://schemas.openxmlformats.org/officeDocument/2006/relationships/hyperlink" Target="https://www.mercyfoundation.com.au/" TargetMode="External"/><Relationship Id="rId6" Type="http://schemas.openxmlformats.org/officeDocument/2006/relationships/hyperlink" Target="https://humanrights.gov.au/our-work/suspension-and-reinstatement-rda-and-special-measures-nter-0" TargetMode="External"/><Relationship Id="rId11" Type="http://schemas.openxmlformats.org/officeDocument/2006/relationships/hyperlink" Target="https://raisetherate.org.au/wp-content/uploads/2020/02/Starved-Of-Opportunity-Young-Peoples-Experience-Of-Youth-Allowance-And-Newstart-November-25th.pdf" TargetMode="External"/><Relationship Id="rId24" Type="http://schemas.openxmlformats.org/officeDocument/2006/relationships/hyperlink" Target="https://www.sbs.com.au/news/floods-in-australia-among-most-expensive-climate-events-of-2021-report-finds/1c863e45-f319-49d4-b991-4100fbcb02f1" TargetMode="External"/><Relationship Id="rId5" Type="http://schemas.openxmlformats.org/officeDocument/2006/relationships/hyperlink" Target="https://www.legislation.gov.au/Details/C2016C00089" TargetMode="External"/><Relationship Id="rId15" Type="http://schemas.openxmlformats.org/officeDocument/2006/relationships/hyperlink" Target="https://files.tenants.org.au/policy/2022-Eviction-Hardship-and-the-Housing-Crisis-TUNSW.pdf" TargetMode="External"/><Relationship Id="rId23" Type="http://schemas.openxmlformats.org/officeDocument/2006/relationships/hyperlink" Target="https://disasterphilanthropy.org/disaster/2019-australian-wildfires/" TargetMode="External"/><Relationship Id="rId10" Type="http://schemas.openxmlformats.org/officeDocument/2006/relationships/hyperlink" Target="https://www.acoss.org.au/employment-income-support/" TargetMode="External"/><Relationship Id="rId19" Type="http://schemas.openxmlformats.org/officeDocument/2006/relationships/hyperlink" Target="http://doi.org/10.4225/50/55AC3D19B3DAE" TargetMode="External"/><Relationship Id="rId4" Type="http://schemas.openxmlformats.org/officeDocument/2006/relationships/hyperlink" Target="https://www.wgea.gov.au/sites/default/files/documents/Women%27s%20economic%20security%20in%20retirement.pdf" TargetMode="External"/><Relationship Id="rId9" Type="http://schemas.openxmlformats.org/officeDocument/2006/relationships/hyperlink" Target="https://povertyandinequality.acoss.org.au/poverty/" TargetMode="External"/><Relationship Id="rId14" Type="http://schemas.openxmlformats.org/officeDocument/2006/relationships/hyperlink" Target="https://www.theguardian.com/australia-news/2022/feb/14/calls-for-end-to-no-grounds-evictions-in-nsw-as-lockdown-moratorium-lifts" TargetMode="External"/><Relationship Id="rId22" Type="http://schemas.openxmlformats.org/officeDocument/2006/relationships/hyperlink" Target="https://www.aihw.gov.au/reports/australias-welfare/indigenous-hou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0836D-74AE-49AB-A758-7C70BF664688}">
  <ds:schemaRefs>
    <ds:schemaRef ds:uri="http://schemas.microsoft.com/sharepoint/v3/contenttype/forms"/>
  </ds:schemaRefs>
</ds:datastoreItem>
</file>

<file path=customXml/itemProps2.xml><?xml version="1.0" encoding="utf-8"?>
<ds:datastoreItem xmlns:ds="http://schemas.openxmlformats.org/officeDocument/2006/customXml" ds:itemID="{B11E6574-76E1-4F82-9F2D-EE54C299A2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65FF0B-4BE1-4C6B-BD65-7E2E0C929EAD}"/>
</file>

<file path=customXml/itemProps4.xml><?xml version="1.0" encoding="utf-8"?>
<ds:datastoreItem xmlns:ds="http://schemas.openxmlformats.org/officeDocument/2006/customXml" ds:itemID="{963C48B1-06BA-496C-87CB-D8B7B4A43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Technology Sydney</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Hohmann</dc:creator>
  <cp:keywords/>
  <dc:description/>
  <cp:lastModifiedBy>MIA Administrator</cp:lastModifiedBy>
  <cp:revision>4</cp:revision>
  <dcterms:created xsi:type="dcterms:W3CDTF">2022-02-23T05:32:00Z</dcterms:created>
  <dcterms:modified xsi:type="dcterms:W3CDTF">2022-02-23T05:33:00Z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1a6c3db-1667-4f49-995a-8b9973972958_Enabled">
    <vt:lpwstr>true</vt:lpwstr>
  </property>
  <property fmtid="{D5CDD505-2E9C-101B-9397-08002B2CF9AE}" pid="3" name="MSIP_Label_51a6c3db-1667-4f49-995a-8b9973972958_SetDate">
    <vt:lpwstr>2022-02-17T01:30:55Z</vt:lpwstr>
  </property>
  <property fmtid="{D5CDD505-2E9C-101B-9397-08002B2CF9AE}" pid="4" name="MSIP_Label_51a6c3db-1667-4f49-995a-8b9973972958_Method">
    <vt:lpwstr>Standard</vt:lpwstr>
  </property>
  <property fmtid="{D5CDD505-2E9C-101B-9397-08002B2CF9AE}" pid="5" name="MSIP_Label_51a6c3db-1667-4f49-995a-8b9973972958_Name">
    <vt:lpwstr>UTS-Internal</vt:lpwstr>
  </property>
  <property fmtid="{D5CDD505-2E9C-101B-9397-08002B2CF9AE}" pid="6" name="MSIP_Label_51a6c3db-1667-4f49-995a-8b9973972958_SiteId">
    <vt:lpwstr>e8911c26-cf9f-4a9c-878e-527807be8791</vt:lpwstr>
  </property>
  <property fmtid="{D5CDD505-2E9C-101B-9397-08002B2CF9AE}" pid="7" name="MSIP_Label_51a6c3db-1667-4f49-995a-8b9973972958_ActionId">
    <vt:lpwstr>39df453c-6c66-4b69-ba62-a4bab63d4d57</vt:lpwstr>
  </property>
  <property fmtid="{D5CDD505-2E9C-101B-9397-08002B2CF9AE}" pid="8" name="MSIP_Label_51a6c3db-1667-4f49-995a-8b9973972958_ContentBits">
    <vt:lpwstr>0</vt:lpwstr>
  </property>
  <property fmtid="{D5CDD505-2E9C-101B-9397-08002B2CF9AE}" pid="9" name="ContentTypeId">
    <vt:lpwstr>0x010100FAE5DBF0ADA998469064B64F53A76F3C</vt:lpwstr>
  </property>
</Properties>
</file>