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426"/>
        <w:tblW w:w="10752" w:type="dxa"/>
        <w:tblLook w:val="04A0" w:firstRow="1" w:lastRow="0" w:firstColumn="1" w:lastColumn="0" w:noHBand="0" w:noVBand="1"/>
      </w:tblPr>
      <w:tblGrid>
        <w:gridCol w:w="4852"/>
        <w:gridCol w:w="1806"/>
        <w:gridCol w:w="4094"/>
      </w:tblGrid>
      <w:tr w:rsidR="004A0C4F" w:rsidRPr="00FF5EBC" w:rsidTr="00792C24">
        <w:trPr>
          <w:trHeight w:val="2111"/>
        </w:trPr>
        <w:tc>
          <w:tcPr>
            <w:tcW w:w="4852" w:type="dxa"/>
          </w:tcPr>
          <w:p w:rsidR="004A0C4F" w:rsidRPr="00FF5EBC" w:rsidRDefault="004A0C4F" w:rsidP="00792C24">
            <w:pPr>
              <w:spacing w:after="0" w:line="240" w:lineRule="auto"/>
              <w:jc w:val="center"/>
              <w:rPr>
                <w:rFonts w:cstheme="minorHAnsi"/>
                <w:b/>
              </w:rPr>
            </w:pPr>
            <w:bookmarkStart w:id="0" w:name="_GoBack"/>
            <w:bookmarkEnd w:id="0"/>
            <w:r w:rsidRPr="00FF5EBC">
              <w:rPr>
                <w:rFonts w:cstheme="minorHAnsi"/>
                <w:b/>
              </w:rPr>
              <w:t>MINISTERE DE LA PROMOTION DU GEN</w:t>
            </w:r>
            <w:r>
              <w:rPr>
                <w:rFonts w:cstheme="minorHAnsi"/>
                <w:b/>
              </w:rPr>
              <w:t>RE, DE LA PROTECTION DE LA FEMM</w:t>
            </w:r>
            <w:r w:rsidRPr="00FF5EBC">
              <w:rPr>
                <w:rFonts w:cstheme="minorHAnsi"/>
                <w:b/>
              </w:rPr>
              <w:t>E, DE LA FAMILLE ET DE L’ENFANT</w:t>
            </w:r>
          </w:p>
          <w:p w:rsidR="004A0C4F" w:rsidRPr="00FF5EBC" w:rsidRDefault="004A0C4F" w:rsidP="00792C24">
            <w:pPr>
              <w:spacing w:after="0" w:line="240" w:lineRule="auto"/>
              <w:jc w:val="center"/>
              <w:rPr>
                <w:rFonts w:cstheme="minorHAnsi"/>
                <w:b/>
              </w:rPr>
            </w:pPr>
            <w:r w:rsidRPr="00FF5EBC">
              <w:rPr>
                <w:rFonts w:cstheme="minorHAnsi"/>
                <w:b/>
              </w:rPr>
              <w:t>**********</w:t>
            </w:r>
          </w:p>
        </w:tc>
        <w:tc>
          <w:tcPr>
            <w:tcW w:w="1806" w:type="dxa"/>
            <w:hideMark/>
          </w:tcPr>
          <w:p w:rsidR="004A0C4F" w:rsidRPr="00FF5EBC" w:rsidRDefault="004A0C4F" w:rsidP="00792C24">
            <w:pPr>
              <w:spacing w:after="0" w:line="240" w:lineRule="auto"/>
              <w:jc w:val="center"/>
              <w:rPr>
                <w:rFonts w:cstheme="minorHAnsi"/>
                <w:b/>
              </w:rPr>
            </w:pPr>
            <w:r w:rsidRPr="00FF5EBC">
              <w:rPr>
                <w:rFonts w:cstheme="minorHAnsi"/>
                <w:b/>
                <w:noProof/>
                <w:lang w:val="en-US"/>
              </w:rPr>
              <w:drawing>
                <wp:inline distT="0" distB="0" distL="0" distR="0" wp14:anchorId="27F86200" wp14:editId="7ED46599">
                  <wp:extent cx="1009650" cy="8001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0" y="0"/>
                            <a:ext cx="1009650" cy="800100"/>
                          </a:xfrm>
                          <a:prstGeom prst="rect">
                            <a:avLst/>
                          </a:prstGeom>
                          <a:noFill/>
                          <a:ln>
                            <a:noFill/>
                          </a:ln>
                        </pic:spPr>
                      </pic:pic>
                    </a:graphicData>
                  </a:graphic>
                </wp:inline>
              </w:drawing>
            </w:r>
          </w:p>
        </w:tc>
        <w:tc>
          <w:tcPr>
            <w:tcW w:w="4094" w:type="dxa"/>
          </w:tcPr>
          <w:p w:rsidR="004A0C4F" w:rsidRPr="00FF5EBC" w:rsidRDefault="004A0C4F" w:rsidP="00792C24">
            <w:pPr>
              <w:spacing w:after="0" w:line="240" w:lineRule="auto"/>
              <w:jc w:val="center"/>
              <w:rPr>
                <w:rFonts w:cstheme="minorHAnsi"/>
                <w:b/>
              </w:rPr>
            </w:pPr>
            <w:r w:rsidRPr="00FF5EBC">
              <w:rPr>
                <w:rFonts w:cstheme="minorHAnsi"/>
                <w:b/>
              </w:rPr>
              <w:t>REPUBLIQUE CENTRAFRICAINE</w:t>
            </w:r>
          </w:p>
          <w:p w:rsidR="004A0C4F" w:rsidRPr="00FF5EBC" w:rsidRDefault="004A0C4F" w:rsidP="00792C24">
            <w:pPr>
              <w:spacing w:after="0" w:line="240" w:lineRule="auto"/>
              <w:jc w:val="center"/>
              <w:rPr>
                <w:rFonts w:cstheme="minorHAnsi"/>
                <w:b/>
              </w:rPr>
            </w:pPr>
            <w:r w:rsidRPr="00FF5EBC">
              <w:rPr>
                <w:rFonts w:cstheme="minorHAnsi"/>
                <w:b/>
              </w:rPr>
              <w:t>Unité -  Dignité -  Travail</w:t>
            </w:r>
          </w:p>
          <w:p w:rsidR="004A0C4F" w:rsidRPr="00FF5EBC" w:rsidRDefault="004A0C4F" w:rsidP="00792C24">
            <w:pPr>
              <w:spacing w:after="0" w:line="240" w:lineRule="auto"/>
              <w:jc w:val="center"/>
              <w:rPr>
                <w:rFonts w:cstheme="minorHAnsi"/>
                <w:b/>
              </w:rPr>
            </w:pPr>
            <w:r w:rsidRPr="00FF5EBC">
              <w:rPr>
                <w:rFonts w:cstheme="minorHAnsi"/>
                <w:b/>
              </w:rPr>
              <w:t>*******</w:t>
            </w:r>
          </w:p>
          <w:p w:rsidR="004A0C4F" w:rsidRPr="00FF5EBC" w:rsidRDefault="004A0C4F" w:rsidP="00792C24">
            <w:pPr>
              <w:spacing w:after="0" w:line="240" w:lineRule="auto"/>
              <w:jc w:val="center"/>
              <w:rPr>
                <w:rFonts w:cstheme="minorHAnsi"/>
                <w:b/>
              </w:rPr>
            </w:pPr>
          </w:p>
          <w:p w:rsidR="004A0C4F" w:rsidRPr="00FF5EBC" w:rsidRDefault="004A0C4F" w:rsidP="00792C24">
            <w:pPr>
              <w:spacing w:after="0" w:line="240" w:lineRule="auto"/>
              <w:rPr>
                <w:rFonts w:cstheme="minorHAnsi"/>
                <w:b/>
              </w:rPr>
            </w:pPr>
          </w:p>
          <w:p w:rsidR="004A0C4F" w:rsidRPr="00FF5EBC" w:rsidRDefault="004A0C4F" w:rsidP="00792C24">
            <w:pPr>
              <w:spacing w:after="0" w:line="240" w:lineRule="auto"/>
              <w:rPr>
                <w:rFonts w:cstheme="minorHAnsi"/>
              </w:rPr>
            </w:pPr>
          </w:p>
        </w:tc>
      </w:tr>
    </w:tbl>
    <w:p w:rsidR="004A0C4F" w:rsidRPr="005E36B3" w:rsidRDefault="003B7414" w:rsidP="005E36B3">
      <w:pPr>
        <w:pStyle w:val="Paragraphedeliste"/>
        <w:ind w:left="0"/>
        <w:jc w:val="center"/>
        <w:rPr>
          <w:rFonts w:cstheme="minorHAnsi"/>
          <w:b/>
          <w:sz w:val="24"/>
          <w:szCs w:val="24"/>
          <w:u w:val="single"/>
        </w:rPr>
      </w:pPr>
      <w:r w:rsidRPr="005E36B3">
        <w:rPr>
          <w:rFonts w:cstheme="minorHAnsi"/>
          <w:b/>
          <w:sz w:val="24"/>
          <w:szCs w:val="24"/>
          <w:u w:val="single"/>
        </w:rPr>
        <w:t>1-</w:t>
      </w:r>
      <w:r w:rsidR="004A0C4F" w:rsidRPr="005E36B3">
        <w:rPr>
          <w:rFonts w:cstheme="minorHAnsi"/>
          <w:b/>
          <w:sz w:val="24"/>
          <w:szCs w:val="24"/>
          <w:u w:val="single"/>
        </w:rPr>
        <w:t>Lois, Politiques, Stratégie et Plan en cours d’élaboration et adoption</w:t>
      </w:r>
    </w:p>
    <w:p w:rsidR="004A0C4F" w:rsidRPr="005E36B3" w:rsidRDefault="004A0C4F" w:rsidP="004A0C4F">
      <w:pPr>
        <w:jc w:val="center"/>
        <w:rPr>
          <w:rFonts w:cstheme="minorHAnsi"/>
          <w:b/>
          <w:sz w:val="24"/>
          <w:szCs w:val="24"/>
        </w:rPr>
      </w:pPr>
    </w:p>
    <w:tbl>
      <w:tblPr>
        <w:tblStyle w:val="Grilledutableau"/>
        <w:tblW w:w="10348" w:type="dxa"/>
        <w:tblInd w:w="-714" w:type="dxa"/>
        <w:tblLayout w:type="fixed"/>
        <w:tblLook w:val="04A0" w:firstRow="1" w:lastRow="0" w:firstColumn="1" w:lastColumn="0" w:noHBand="0" w:noVBand="1"/>
      </w:tblPr>
      <w:tblGrid>
        <w:gridCol w:w="2513"/>
        <w:gridCol w:w="2874"/>
        <w:gridCol w:w="2835"/>
        <w:gridCol w:w="2126"/>
      </w:tblGrid>
      <w:tr w:rsidR="004A0C4F" w:rsidRPr="005E36B3" w:rsidTr="004A0C4F">
        <w:tc>
          <w:tcPr>
            <w:tcW w:w="2513" w:type="dxa"/>
          </w:tcPr>
          <w:p w:rsidR="004A0C4F" w:rsidRPr="005E36B3" w:rsidRDefault="004A0C4F" w:rsidP="00792C24">
            <w:pPr>
              <w:rPr>
                <w:rFonts w:cstheme="minorHAnsi"/>
                <w:b/>
                <w:sz w:val="24"/>
                <w:szCs w:val="24"/>
              </w:rPr>
            </w:pPr>
            <w:r w:rsidRPr="005E36B3">
              <w:rPr>
                <w:rFonts w:cstheme="minorHAnsi"/>
                <w:b/>
                <w:sz w:val="24"/>
                <w:szCs w:val="24"/>
              </w:rPr>
              <w:t>INTITULE</w:t>
            </w:r>
          </w:p>
        </w:tc>
        <w:tc>
          <w:tcPr>
            <w:tcW w:w="2874" w:type="dxa"/>
          </w:tcPr>
          <w:p w:rsidR="004A0C4F" w:rsidRPr="005E36B3" w:rsidRDefault="004A0C4F" w:rsidP="00792C24">
            <w:pPr>
              <w:rPr>
                <w:rFonts w:cstheme="minorHAnsi"/>
                <w:b/>
                <w:sz w:val="24"/>
                <w:szCs w:val="24"/>
              </w:rPr>
            </w:pPr>
            <w:r w:rsidRPr="005E36B3">
              <w:rPr>
                <w:rFonts w:cstheme="minorHAnsi"/>
                <w:b/>
                <w:sz w:val="24"/>
                <w:szCs w:val="24"/>
              </w:rPr>
              <w:t>SITUATION ACTUELLE</w:t>
            </w:r>
          </w:p>
        </w:tc>
        <w:tc>
          <w:tcPr>
            <w:tcW w:w="2835" w:type="dxa"/>
          </w:tcPr>
          <w:p w:rsidR="004A0C4F" w:rsidRPr="005E36B3" w:rsidRDefault="004A0C4F" w:rsidP="00792C24">
            <w:pPr>
              <w:rPr>
                <w:rFonts w:cstheme="minorHAnsi"/>
                <w:b/>
                <w:sz w:val="24"/>
                <w:szCs w:val="24"/>
              </w:rPr>
            </w:pPr>
            <w:r w:rsidRPr="005E36B3">
              <w:rPr>
                <w:rFonts w:cstheme="minorHAnsi"/>
                <w:b/>
                <w:sz w:val="24"/>
                <w:szCs w:val="24"/>
              </w:rPr>
              <w:t>PROCHAINES ETAPES</w:t>
            </w:r>
          </w:p>
        </w:tc>
        <w:tc>
          <w:tcPr>
            <w:tcW w:w="2126" w:type="dxa"/>
          </w:tcPr>
          <w:p w:rsidR="004A0C4F" w:rsidRPr="005E36B3" w:rsidRDefault="004A0C4F" w:rsidP="00792C24">
            <w:pPr>
              <w:rPr>
                <w:rFonts w:cstheme="minorHAnsi"/>
                <w:b/>
                <w:sz w:val="24"/>
                <w:szCs w:val="24"/>
              </w:rPr>
            </w:pPr>
            <w:r w:rsidRPr="005E36B3">
              <w:rPr>
                <w:rFonts w:cstheme="minorHAnsi"/>
                <w:b/>
                <w:sz w:val="24"/>
                <w:szCs w:val="24"/>
              </w:rPr>
              <w:t>DATE D’ACHEVEMENT</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Projet de loi sur la prévention, la répression et la protection des victimes du harcèlement sexuel en RCA</w:t>
            </w:r>
          </w:p>
        </w:tc>
        <w:tc>
          <w:tcPr>
            <w:tcW w:w="2874" w:type="dxa"/>
          </w:tcPr>
          <w:p w:rsidR="004A0C4F" w:rsidRPr="005E36B3" w:rsidRDefault="004A0C4F" w:rsidP="00792C24">
            <w:pPr>
              <w:rPr>
                <w:rFonts w:cstheme="minorHAnsi"/>
                <w:sz w:val="24"/>
                <w:szCs w:val="24"/>
              </w:rPr>
            </w:pPr>
            <w:r w:rsidRPr="005E36B3">
              <w:rPr>
                <w:rFonts w:cstheme="minorHAnsi"/>
                <w:sz w:val="24"/>
                <w:szCs w:val="24"/>
              </w:rPr>
              <w:t xml:space="preserve">Transmis à l’Assemblée nationale </w:t>
            </w:r>
          </w:p>
        </w:tc>
        <w:tc>
          <w:tcPr>
            <w:tcW w:w="2835" w:type="dxa"/>
          </w:tcPr>
          <w:p w:rsidR="004A0C4F" w:rsidRPr="005E36B3" w:rsidRDefault="004A0C4F" w:rsidP="00792C24">
            <w:pPr>
              <w:rPr>
                <w:rFonts w:cstheme="minorHAnsi"/>
                <w:sz w:val="24"/>
                <w:szCs w:val="24"/>
              </w:rPr>
            </w:pPr>
            <w:r w:rsidRPr="005E36B3">
              <w:rPr>
                <w:rFonts w:cstheme="minorHAnsi"/>
                <w:sz w:val="24"/>
                <w:szCs w:val="24"/>
              </w:rPr>
              <w:t>Conseil économique, social et environnemental, adoption par l’Assemblée nation et signature du Décret de promulgation par le Chef de l’Etat, Président de la République</w:t>
            </w:r>
          </w:p>
        </w:tc>
        <w:tc>
          <w:tcPr>
            <w:tcW w:w="2126" w:type="dxa"/>
          </w:tcPr>
          <w:p w:rsidR="004A0C4F" w:rsidRPr="005E36B3" w:rsidRDefault="004A0C4F" w:rsidP="00792C24">
            <w:pPr>
              <w:rPr>
                <w:rFonts w:cstheme="minorHAnsi"/>
                <w:sz w:val="24"/>
                <w:szCs w:val="24"/>
              </w:rPr>
            </w:pPr>
            <w:r w:rsidRPr="005E36B3">
              <w:rPr>
                <w:rFonts w:cstheme="minorHAnsi"/>
                <w:sz w:val="24"/>
                <w:szCs w:val="24"/>
              </w:rPr>
              <w:t>Deuxième semestre de l’Année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Code de la Famille</w:t>
            </w:r>
          </w:p>
        </w:tc>
        <w:tc>
          <w:tcPr>
            <w:tcW w:w="2874" w:type="dxa"/>
          </w:tcPr>
          <w:p w:rsidR="004A0C4F" w:rsidRPr="005E36B3" w:rsidRDefault="004A0C4F" w:rsidP="00792C24">
            <w:pPr>
              <w:rPr>
                <w:rFonts w:cstheme="minorHAnsi"/>
                <w:sz w:val="24"/>
                <w:szCs w:val="24"/>
              </w:rPr>
            </w:pPr>
            <w:r w:rsidRPr="005E36B3">
              <w:rPr>
                <w:rFonts w:cstheme="minorHAnsi"/>
                <w:sz w:val="24"/>
                <w:szCs w:val="24"/>
              </w:rPr>
              <w:t>Conseil économique, social et environnemental</w:t>
            </w:r>
          </w:p>
        </w:tc>
        <w:tc>
          <w:tcPr>
            <w:tcW w:w="2835" w:type="dxa"/>
          </w:tcPr>
          <w:p w:rsidR="004A0C4F" w:rsidRPr="005E36B3" w:rsidRDefault="004A0C4F" w:rsidP="00792C24">
            <w:pPr>
              <w:rPr>
                <w:rFonts w:cstheme="minorHAnsi"/>
                <w:sz w:val="24"/>
                <w:szCs w:val="24"/>
              </w:rPr>
            </w:pPr>
            <w:r w:rsidRPr="005E36B3">
              <w:rPr>
                <w:rFonts w:cstheme="minorHAnsi"/>
                <w:sz w:val="24"/>
                <w:szCs w:val="24"/>
              </w:rPr>
              <w:t>Transmission à l’Assemblée nationale pour adoption et signature du Décret de promulgation par le Chef de l’Etat, Président de la République</w:t>
            </w:r>
          </w:p>
        </w:tc>
        <w:tc>
          <w:tcPr>
            <w:tcW w:w="2126" w:type="dxa"/>
          </w:tcPr>
          <w:p w:rsidR="004A0C4F" w:rsidRPr="005E36B3" w:rsidRDefault="004A0C4F" w:rsidP="00792C24">
            <w:pPr>
              <w:rPr>
                <w:rFonts w:cstheme="minorHAnsi"/>
                <w:sz w:val="24"/>
                <w:szCs w:val="24"/>
              </w:rPr>
            </w:pPr>
            <w:r w:rsidRPr="005E36B3">
              <w:rPr>
                <w:rFonts w:cstheme="minorHAnsi"/>
                <w:sz w:val="24"/>
                <w:szCs w:val="24"/>
              </w:rPr>
              <w:t>3</w:t>
            </w:r>
            <w:r w:rsidRPr="005E36B3">
              <w:rPr>
                <w:rFonts w:cstheme="minorHAnsi"/>
                <w:sz w:val="24"/>
                <w:szCs w:val="24"/>
                <w:vertAlign w:val="superscript"/>
              </w:rPr>
              <w:t>ème</w:t>
            </w:r>
            <w:r w:rsidRPr="005E36B3">
              <w:rPr>
                <w:rFonts w:cstheme="minorHAnsi"/>
                <w:sz w:val="24"/>
                <w:szCs w:val="24"/>
              </w:rPr>
              <w:t xml:space="preserve"> trimestre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Observatoire national de la Parité (ONP)</w:t>
            </w:r>
          </w:p>
        </w:tc>
        <w:tc>
          <w:tcPr>
            <w:tcW w:w="2874" w:type="dxa"/>
          </w:tcPr>
          <w:p w:rsidR="004A0C4F" w:rsidRPr="005E36B3" w:rsidRDefault="004A0C4F" w:rsidP="00792C24">
            <w:pPr>
              <w:rPr>
                <w:rFonts w:cstheme="minorHAnsi"/>
                <w:sz w:val="24"/>
                <w:szCs w:val="24"/>
              </w:rPr>
            </w:pPr>
            <w:r w:rsidRPr="005E36B3">
              <w:rPr>
                <w:rFonts w:cstheme="minorHAnsi"/>
                <w:sz w:val="24"/>
                <w:szCs w:val="24"/>
              </w:rPr>
              <w:t>Validation du</w:t>
            </w:r>
            <w:r w:rsidR="003B7414" w:rsidRPr="005E36B3">
              <w:rPr>
                <w:rFonts w:cstheme="minorHAnsi"/>
                <w:sz w:val="24"/>
                <w:szCs w:val="24"/>
              </w:rPr>
              <w:t xml:space="preserve"> Budget de fonctionnement par le Ministère de la </w:t>
            </w:r>
            <w:r w:rsidRPr="005E36B3">
              <w:rPr>
                <w:rFonts w:cstheme="minorHAnsi"/>
                <w:sz w:val="24"/>
                <w:szCs w:val="24"/>
              </w:rPr>
              <w:t xml:space="preserve"> Fonction Publique</w:t>
            </w:r>
          </w:p>
        </w:tc>
        <w:tc>
          <w:tcPr>
            <w:tcW w:w="2835" w:type="dxa"/>
          </w:tcPr>
          <w:p w:rsidR="004A0C4F" w:rsidRPr="005E36B3" w:rsidRDefault="004A0C4F" w:rsidP="004A0C4F">
            <w:pPr>
              <w:rPr>
                <w:rFonts w:cstheme="minorHAnsi"/>
                <w:sz w:val="24"/>
                <w:szCs w:val="24"/>
              </w:rPr>
            </w:pPr>
            <w:r w:rsidRPr="005E36B3">
              <w:rPr>
                <w:rFonts w:cstheme="minorHAnsi"/>
                <w:sz w:val="24"/>
                <w:szCs w:val="24"/>
              </w:rPr>
              <w:t>Signature du Décret portant organisation et fonctionnement de l’ONP par le Président de la République, Chef de l’Etat</w:t>
            </w:r>
          </w:p>
        </w:tc>
        <w:tc>
          <w:tcPr>
            <w:tcW w:w="2126" w:type="dxa"/>
          </w:tcPr>
          <w:p w:rsidR="004A0C4F" w:rsidRPr="005E36B3" w:rsidRDefault="003B7414" w:rsidP="003B7414">
            <w:pPr>
              <w:rPr>
                <w:rFonts w:cstheme="minorHAnsi"/>
                <w:sz w:val="24"/>
                <w:szCs w:val="24"/>
              </w:rPr>
            </w:pPr>
            <w:r w:rsidRPr="005E36B3">
              <w:rPr>
                <w:rFonts w:cstheme="minorHAnsi"/>
                <w:sz w:val="24"/>
                <w:szCs w:val="24"/>
              </w:rPr>
              <w:t>1er</w:t>
            </w:r>
            <w:r w:rsidR="004A0C4F" w:rsidRPr="005E36B3">
              <w:rPr>
                <w:rFonts w:cstheme="minorHAnsi"/>
                <w:sz w:val="24"/>
                <w:szCs w:val="24"/>
              </w:rPr>
              <w:t xml:space="preserve"> trimestre 2024</w:t>
            </w:r>
            <w:r w:rsidRPr="005E36B3">
              <w:rPr>
                <w:rFonts w:cstheme="minorHAnsi"/>
                <w:sz w:val="24"/>
                <w:szCs w:val="24"/>
              </w:rPr>
              <w:t xml:space="preserve"> </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Politique sectorielle du Ministère de la Promotion du Genre, de la Protection de la Femme, de la Famille et de l’Enfant</w:t>
            </w:r>
          </w:p>
        </w:tc>
        <w:tc>
          <w:tcPr>
            <w:tcW w:w="2874" w:type="dxa"/>
          </w:tcPr>
          <w:p w:rsidR="004A0C4F" w:rsidRPr="005E36B3" w:rsidRDefault="004A0C4F" w:rsidP="00792C24">
            <w:pPr>
              <w:rPr>
                <w:rFonts w:cstheme="minorHAnsi"/>
                <w:sz w:val="24"/>
                <w:szCs w:val="24"/>
              </w:rPr>
            </w:pPr>
            <w:r w:rsidRPr="005E36B3">
              <w:rPr>
                <w:rFonts w:cstheme="minorHAnsi"/>
                <w:sz w:val="24"/>
                <w:szCs w:val="24"/>
              </w:rPr>
              <w:t>Intégration des commentaires et finalisation du draf1</w:t>
            </w:r>
          </w:p>
        </w:tc>
        <w:tc>
          <w:tcPr>
            <w:tcW w:w="2835" w:type="dxa"/>
          </w:tcPr>
          <w:p w:rsidR="004A0C4F" w:rsidRPr="005E36B3" w:rsidRDefault="004A0C4F" w:rsidP="00792C24">
            <w:pPr>
              <w:rPr>
                <w:rFonts w:cstheme="minorHAnsi"/>
                <w:sz w:val="24"/>
                <w:szCs w:val="24"/>
              </w:rPr>
            </w:pPr>
            <w:r w:rsidRPr="005E36B3">
              <w:rPr>
                <w:rFonts w:cstheme="minorHAnsi"/>
                <w:sz w:val="24"/>
                <w:szCs w:val="24"/>
              </w:rPr>
              <w:t>Validation nationale</w:t>
            </w:r>
          </w:p>
        </w:tc>
        <w:tc>
          <w:tcPr>
            <w:tcW w:w="2126" w:type="dxa"/>
          </w:tcPr>
          <w:p w:rsidR="004A0C4F" w:rsidRPr="005E36B3" w:rsidRDefault="004A0C4F" w:rsidP="00792C24">
            <w:pPr>
              <w:rPr>
                <w:rFonts w:cstheme="minorHAnsi"/>
                <w:sz w:val="24"/>
                <w:szCs w:val="24"/>
              </w:rPr>
            </w:pPr>
            <w:r w:rsidRPr="005E36B3">
              <w:rPr>
                <w:rFonts w:cstheme="minorHAnsi"/>
                <w:sz w:val="24"/>
                <w:szCs w:val="24"/>
              </w:rPr>
              <w:t>Fin 1</w:t>
            </w:r>
            <w:r w:rsidRPr="005E36B3">
              <w:rPr>
                <w:rFonts w:cstheme="minorHAnsi"/>
                <w:sz w:val="24"/>
                <w:szCs w:val="24"/>
                <w:vertAlign w:val="superscript"/>
              </w:rPr>
              <w:t>er</w:t>
            </w:r>
            <w:r w:rsidRPr="005E36B3">
              <w:rPr>
                <w:rFonts w:cstheme="minorHAnsi"/>
                <w:sz w:val="24"/>
                <w:szCs w:val="24"/>
              </w:rPr>
              <w:t xml:space="preserve"> trimestre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Politique nationale de la Protection sociale</w:t>
            </w:r>
          </w:p>
        </w:tc>
        <w:tc>
          <w:tcPr>
            <w:tcW w:w="2874" w:type="dxa"/>
          </w:tcPr>
          <w:p w:rsidR="004A0C4F" w:rsidRPr="005E36B3" w:rsidRDefault="004A0C4F" w:rsidP="00792C24">
            <w:pPr>
              <w:rPr>
                <w:rFonts w:cstheme="minorHAnsi"/>
                <w:sz w:val="24"/>
                <w:szCs w:val="24"/>
              </w:rPr>
            </w:pPr>
            <w:r w:rsidRPr="005E36B3">
              <w:rPr>
                <w:rFonts w:cstheme="minorHAnsi"/>
                <w:sz w:val="24"/>
                <w:szCs w:val="24"/>
              </w:rPr>
              <w:t>Validation technique</w:t>
            </w:r>
          </w:p>
        </w:tc>
        <w:tc>
          <w:tcPr>
            <w:tcW w:w="2835" w:type="dxa"/>
          </w:tcPr>
          <w:p w:rsidR="004A0C4F" w:rsidRPr="005E36B3" w:rsidRDefault="004A0C4F" w:rsidP="00792C24">
            <w:pPr>
              <w:rPr>
                <w:rFonts w:cstheme="minorHAnsi"/>
                <w:sz w:val="24"/>
                <w:szCs w:val="24"/>
              </w:rPr>
            </w:pPr>
            <w:r w:rsidRPr="005E36B3">
              <w:rPr>
                <w:rFonts w:cstheme="minorHAnsi"/>
                <w:sz w:val="24"/>
                <w:szCs w:val="24"/>
              </w:rPr>
              <w:t>Validation finale</w:t>
            </w:r>
          </w:p>
        </w:tc>
        <w:tc>
          <w:tcPr>
            <w:tcW w:w="2126" w:type="dxa"/>
          </w:tcPr>
          <w:p w:rsidR="004A0C4F" w:rsidRPr="005E36B3" w:rsidRDefault="004A0C4F" w:rsidP="00792C24">
            <w:pPr>
              <w:rPr>
                <w:rFonts w:cstheme="minorHAnsi"/>
                <w:sz w:val="24"/>
                <w:szCs w:val="24"/>
              </w:rPr>
            </w:pPr>
            <w:r w:rsidRPr="005E36B3">
              <w:rPr>
                <w:rFonts w:cstheme="minorHAnsi"/>
                <w:sz w:val="24"/>
                <w:szCs w:val="24"/>
              </w:rPr>
              <w:t>Fin 1</w:t>
            </w:r>
            <w:r w:rsidRPr="005E36B3">
              <w:rPr>
                <w:rFonts w:cstheme="minorHAnsi"/>
                <w:sz w:val="24"/>
                <w:szCs w:val="24"/>
                <w:vertAlign w:val="superscript"/>
              </w:rPr>
              <w:t>er</w:t>
            </w:r>
            <w:r w:rsidRPr="005E36B3">
              <w:rPr>
                <w:rFonts w:cstheme="minorHAnsi"/>
                <w:sz w:val="24"/>
                <w:szCs w:val="24"/>
              </w:rPr>
              <w:t xml:space="preserve"> Semestre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 xml:space="preserve">Stratégie nationale d’implication des hommes et garçons dans la lutte contre les Violences Basées sur le Genre, les Pratiques </w:t>
            </w:r>
            <w:r w:rsidRPr="005E36B3">
              <w:rPr>
                <w:rFonts w:cstheme="minorHAnsi"/>
                <w:sz w:val="24"/>
                <w:szCs w:val="24"/>
              </w:rPr>
              <w:lastRenderedPageBreak/>
              <w:t xml:space="preserve">traditionnelles néfastes et le mariage d’enfant </w:t>
            </w:r>
          </w:p>
        </w:tc>
        <w:tc>
          <w:tcPr>
            <w:tcW w:w="2874" w:type="dxa"/>
          </w:tcPr>
          <w:p w:rsidR="004A0C4F" w:rsidRPr="005E36B3" w:rsidRDefault="004A0C4F" w:rsidP="00792C24">
            <w:pPr>
              <w:rPr>
                <w:rFonts w:cstheme="minorHAnsi"/>
                <w:sz w:val="24"/>
                <w:szCs w:val="24"/>
              </w:rPr>
            </w:pPr>
            <w:r w:rsidRPr="005E36B3">
              <w:rPr>
                <w:rFonts w:cstheme="minorHAnsi"/>
                <w:sz w:val="24"/>
                <w:szCs w:val="24"/>
              </w:rPr>
              <w:lastRenderedPageBreak/>
              <w:t xml:space="preserve">Finalisation </w:t>
            </w:r>
            <w:r w:rsidR="006B5DA0" w:rsidRPr="005E36B3">
              <w:rPr>
                <w:rFonts w:cstheme="minorHAnsi"/>
                <w:sz w:val="24"/>
                <w:szCs w:val="24"/>
              </w:rPr>
              <w:t>du draft</w:t>
            </w:r>
            <w:r w:rsidRPr="005E36B3">
              <w:rPr>
                <w:rFonts w:cstheme="minorHAnsi"/>
                <w:sz w:val="24"/>
                <w:szCs w:val="24"/>
              </w:rPr>
              <w:t>1</w:t>
            </w:r>
          </w:p>
        </w:tc>
        <w:tc>
          <w:tcPr>
            <w:tcW w:w="2835" w:type="dxa"/>
          </w:tcPr>
          <w:p w:rsidR="004A0C4F" w:rsidRPr="005E36B3" w:rsidRDefault="004A0C4F" w:rsidP="00792C24">
            <w:pPr>
              <w:rPr>
                <w:rFonts w:cstheme="minorHAnsi"/>
                <w:sz w:val="24"/>
                <w:szCs w:val="24"/>
              </w:rPr>
            </w:pPr>
            <w:r w:rsidRPr="005E36B3">
              <w:rPr>
                <w:rFonts w:cstheme="minorHAnsi"/>
                <w:sz w:val="24"/>
                <w:szCs w:val="24"/>
              </w:rPr>
              <w:t xml:space="preserve">Validation nationale </w:t>
            </w:r>
          </w:p>
        </w:tc>
        <w:tc>
          <w:tcPr>
            <w:tcW w:w="2126" w:type="dxa"/>
          </w:tcPr>
          <w:p w:rsidR="004A0C4F" w:rsidRPr="005E36B3" w:rsidRDefault="004A0C4F" w:rsidP="00792C24">
            <w:pPr>
              <w:rPr>
                <w:rFonts w:cstheme="minorHAnsi"/>
                <w:sz w:val="24"/>
                <w:szCs w:val="24"/>
              </w:rPr>
            </w:pPr>
            <w:r w:rsidRPr="005E36B3">
              <w:rPr>
                <w:rFonts w:cstheme="minorHAnsi"/>
                <w:sz w:val="24"/>
                <w:szCs w:val="24"/>
              </w:rPr>
              <w:t>1</w:t>
            </w:r>
            <w:r w:rsidRPr="005E36B3">
              <w:rPr>
                <w:rFonts w:cstheme="minorHAnsi"/>
                <w:sz w:val="24"/>
                <w:szCs w:val="24"/>
                <w:vertAlign w:val="superscript"/>
              </w:rPr>
              <w:t>ème</w:t>
            </w:r>
            <w:r w:rsidRPr="005E36B3">
              <w:rPr>
                <w:rFonts w:cstheme="minorHAnsi"/>
                <w:sz w:val="24"/>
                <w:szCs w:val="24"/>
              </w:rPr>
              <w:t xml:space="preserve"> semestre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lastRenderedPageBreak/>
              <w:t xml:space="preserve">Stratégie nationale de la communication pour un changement de comportement </w:t>
            </w:r>
          </w:p>
        </w:tc>
        <w:tc>
          <w:tcPr>
            <w:tcW w:w="2874" w:type="dxa"/>
          </w:tcPr>
          <w:p w:rsidR="004A0C4F" w:rsidRPr="005E36B3" w:rsidRDefault="004A0C4F" w:rsidP="00792C24">
            <w:pPr>
              <w:rPr>
                <w:rFonts w:cstheme="minorHAnsi"/>
                <w:sz w:val="24"/>
                <w:szCs w:val="24"/>
              </w:rPr>
            </w:pPr>
            <w:r w:rsidRPr="005E36B3">
              <w:rPr>
                <w:rFonts w:cstheme="minorHAnsi"/>
                <w:sz w:val="24"/>
                <w:szCs w:val="24"/>
              </w:rPr>
              <w:t>Finalisation du draf1</w:t>
            </w:r>
          </w:p>
        </w:tc>
        <w:tc>
          <w:tcPr>
            <w:tcW w:w="2835" w:type="dxa"/>
          </w:tcPr>
          <w:p w:rsidR="004A0C4F" w:rsidRPr="005E36B3" w:rsidRDefault="004A0C4F" w:rsidP="00792C24">
            <w:pPr>
              <w:rPr>
                <w:rFonts w:cstheme="minorHAnsi"/>
                <w:sz w:val="24"/>
                <w:szCs w:val="24"/>
              </w:rPr>
            </w:pPr>
            <w:r w:rsidRPr="005E36B3">
              <w:rPr>
                <w:rFonts w:cstheme="minorHAnsi"/>
                <w:sz w:val="24"/>
                <w:szCs w:val="24"/>
              </w:rPr>
              <w:t>Validation nationale</w:t>
            </w:r>
          </w:p>
        </w:tc>
        <w:tc>
          <w:tcPr>
            <w:tcW w:w="2126" w:type="dxa"/>
          </w:tcPr>
          <w:p w:rsidR="004A0C4F" w:rsidRPr="005E36B3" w:rsidRDefault="004A0C4F" w:rsidP="00792C24">
            <w:pPr>
              <w:rPr>
                <w:rFonts w:cstheme="minorHAnsi"/>
                <w:sz w:val="24"/>
                <w:szCs w:val="24"/>
              </w:rPr>
            </w:pPr>
            <w:r w:rsidRPr="005E36B3">
              <w:rPr>
                <w:rFonts w:cstheme="minorHAnsi"/>
                <w:sz w:val="24"/>
                <w:szCs w:val="24"/>
              </w:rPr>
              <w:t>Fin 1</w:t>
            </w:r>
            <w:r w:rsidRPr="005E36B3">
              <w:rPr>
                <w:rFonts w:cstheme="minorHAnsi"/>
                <w:sz w:val="24"/>
                <w:szCs w:val="24"/>
                <w:vertAlign w:val="superscript"/>
              </w:rPr>
              <w:t>er</w:t>
            </w:r>
            <w:r w:rsidRPr="005E36B3">
              <w:rPr>
                <w:rFonts w:cstheme="minorHAnsi"/>
                <w:sz w:val="24"/>
                <w:szCs w:val="24"/>
              </w:rPr>
              <w:t xml:space="preserve"> trimestre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 xml:space="preserve">Stratégie nationale Genre et Environnement </w:t>
            </w:r>
          </w:p>
        </w:tc>
        <w:tc>
          <w:tcPr>
            <w:tcW w:w="2874" w:type="dxa"/>
          </w:tcPr>
          <w:p w:rsidR="004A0C4F" w:rsidRPr="005E36B3" w:rsidRDefault="004A0C4F" w:rsidP="00792C24">
            <w:pPr>
              <w:rPr>
                <w:rFonts w:cstheme="minorHAnsi"/>
                <w:sz w:val="24"/>
                <w:szCs w:val="24"/>
              </w:rPr>
            </w:pPr>
            <w:r w:rsidRPr="005E36B3">
              <w:rPr>
                <w:rFonts w:cstheme="minorHAnsi"/>
                <w:sz w:val="24"/>
                <w:szCs w:val="24"/>
              </w:rPr>
              <w:t>Finalisation du document finale</w:t>
            </w:r>
          </w:p>
        </w:tc>
        <w:tc>
          <w:tcPr>
            <w:tcW w:w="2835" w:type="dxa"/>
          </w:tcPr>
          <w:p w:rsidR="004A0C4F" w:rsidRPr="005E36B3" w:rsidRDefault="004A0C4F" w:rsidP="00792C24">
            <w:pPr>
              <w:rPr>
                <w:rFonts w:cstheme="minorHAnsi"/>
                <w:sz w:val="24"/>
                <w:szCs w:val="24"/>
              </w:rPr>
            </w:pPr>
            <w:r w:rsidRPr="005E36B3">
              <w:rPr>
                <w:rFonts w:cstheme="minorHAnsi"/>
                <w:sz w:val="24"/>
                <w:szCs w:val="24"/>
              </w:rPr>
              <w:t xml:space="preserve">Edition </w:t>
            </w:r>
          </w:p>
        </w:tc>
        <w:tc>
          <w:tcPr>
            <w:tcW w:w="2126" w:type="dxa"/>
          </w:tcPr>
          <w:p w:rsidR="004A0C4F" w:rsidRPr="005E36B3" w:rsidRDefault="004A0C4F" w:rsidP="00792C24">
            <w:pPr>
              <w:rPr>
                <w:rFonts w:cstheme="minorHAnsi"/>
                <w:sz w:val="24"/>
                <w:szCs w:val="24"/>
              </w:rPr>
            </w:pPr>
            <w:r w:rsidRPr="005E36B3">
              <w:rPr>
                <w:rFonts w:cstheme="minorHAnsi"/>
                <w:sz w:val="24"/>
                <w:szCs w:val="24"/>
              </w:rPr>
              <w:t>Fin Février 2024</w:t>
            </w:r>
          </w:p>
        </w:tc>
      </w:tr>
      <w:tr w:rsidR="004A0C4F" w:rsidRPr="005E36B3" w:rsidTr="004A0C4F">
        <w:tc>
          <w:tcPr>
            <w:tcW w:w="2513" w:type="dxa"/>
          </w:tcPr>
          <w:p w:rsidR="004A0C4F" w:rsidRPr="005E36B3" w:rsidRDefault="004A0C4F" w:rsidP="004A0C4F">
            <w:pPr>
              <w:rPr>
                <w:rFonts w:cstheme="minorHAnsi"/>
                <w:sz w:val="24"/>
                <w:szCs w:val="24"/>
              </w:rPr>
            </w:pPr>
            <w:r w:rsidRPr="005E36B3">
              <w:rPr>
                <w:rFonts w:cstheme="minorHAnsi"/>
                <w:sz w:val="24"/>
                <w:szCs w:val="24"/>
              </w:rPr>
              <w:t>Stratégie nationale de lutte contre les Mutilations Génitales Féminines et le mariage d’enfant</w:t>
            </w:r>
          </w:p>
        </w:tc>
        <w:tc>
          <w:tcPr>
            <w:tcW w:w="2874" w:type="dxa"/>
          </w:tcPr>
          <w:p w:rsidR="004A0C4F" w:rsidRPr="005E36B3" w:rsidRDefault="004A0C4F" w:rsidP="00792C24">
            <w:pPr>
              <w:rPr>
                <w:rFonts w:cstheme="minorHAnsi"/>
                <w:sz w:val="24"/>
                <w:szCs w:val="24"/>
              </w:rPr>
            </w:pPr>
            <w:r w:rsidRPr="005E36B3">
              <w:rPr>
                <w:rFonts w:cstheme="minorHAnsi"/>
                <w:sz w:val="24"/>
                <w:szCs w:val="24"/>
              </w:rPr>
              <w:t>Validation technique</w:t>
            </w:r>
          </w:p>
        </w:tc>
        <w:tc>
          <w:tcPr>
            <w:tcW w:w="2835" w:type="dxa"/>
          </w:tcPr>
          <w:p w:rsidR="004A0C4F" w:rsidRPr="005E36B3" w:rsidRDefault="004A0C4F" w:rsidP="00792C24">
            <w:pPr>
              <w:rPr>
                <w:rFonts w:cstheme="minorHAnsi"/>
                <w:sz w:val="24"/>
                <w:szCs w:val="24"/>
              </w:rPr>
            </w:pPr>
            <w:r w:rsidRPr="005E36B3">
              <w:rPr>
                <w:rFonts w:cstheme="minorHAnsi"/>
                <w:sz w:val="24"/>
                <w:szCs w:val="24"/>
              </w:rPr>
              <w:t xml:space="preserve">Validation nationale </w:t>
            </w:r>
          </w:p>
        </w:tc>
        <w:tc>
          <w:tcPr>
            <w:tcW w:w="2126" w:type="dxa"/>
          </w:tcPr>
          <w:p w:rsidR="004A0C4F" w:rsidRPr="005E36B3" w:rsidRDefault="004A0C4F" w:rsidP="00792C24">
            <w:pPr>
              <w:rPr>
                <w:rFonts w:cstheme="minorHAnsi"/>
                <w:sz w:val="24"/>
                <w:szCs w:val="24"/>
              </w:rPr>
            </w:pPr>
            <w:r w:rsidRPr="005E36B3">
              <w:rPr>
                <w:rFonts w:cstheme="minorHAnsi"/>
                <w:sz w:val="24"/>
                <w:szCs w:val="24"/>
              </w:rPr>
              <w:t>Fin 2</w:t>
            </w:r>
            <w:r w:rsidRPr="005E36B3">
              <w:rPr>
                <w:rFonts w:cstheme="minorHAnsi"/>
                <w:sz w:val="24"/>
                <w:szCs w:val="24"/>
                <w:vertAlign w:val="superscript"/>
              </w:rPr>
              <w:t>ème</w:t>
            </w:r>
            <w:r w:rsidRPr="005E36B3">
              <w:rPr>
                <w:rFonts w:cstheme="minorHAnsi"/>
                <w:sz w:val="24"/>
                <w:szCs w:val="24"/>
              </w:rPr>
              <w:t xml:space="preserve"> trimestre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 xml:space="preserve">Stratégie nationale de lutte contre les violences basées sur le genre de deuxième génération </w:t>
            </w:r>
          </w:p>
        </w:tc>
        <w:tc>
          <w:tcPr>
            <w:tcW w:w="2874" w:type="dxa"/>
          </w:tcPr>
          <w:p w:rsidR="004A0C4F" w:rsidRPr="005E36B3" w:rsidRDefault="004A0C4F" w:rsidP="00792C24">
            <w:pPr>
              <w:rPr>
                <w:rFonts w:cstheme="minorHAnsi"/>
                <w:sz w:val="24"/>
                <w:szCs w:val="24"/>
              </w:rPr>
            </w:pPr>
            <w:r w:rsidRPr="005E36B3">
              <w:rPr>
                <w:rFonts w:cstheme="minorHAnsi"/>
                <w:sz w:val="24"/>
                <w:szCs w:val="24"/>
              </w:rPr>
              <w:t>Réactualisation en cours</w:t>
            </w:r>
          </w:p>
        </w:tc>
        <w:tc>
          <w:tcPr>
            <w:tcW w:w="2835" w:type="dxa"/>
          </w:tcPr>
          <w:p w:rsidR="004A0C4F" w:rsidRPr="005E36B3" w:rsidRDefault="004A0C4F" w:rsidP="00792C24">
            <w:pPr>
              <w:rPr>
                <w:rFonts w:cstheme="minorHAnsi"/>
                <w:sz w:val="24"/>
                <w:szCs w:val="24"/>
              </w:rPr>
            </w:pPr>
            <w:r w:rsidRPr="005E36B3">
              <w:rPr>
                <w:rFonts w:cstheme="minorHAnsi"/>
                <w:sz w:val="24"/>
                <w:szCs w:val="24"/>
              </w:rPr>
              <w:t>Validations technique et finale</w:t>
            </w:r>
          </w:p>
        </w:tc>
        <w:tc>
          <w:tcPr>
            <w:tcW w:w="2126" w:type="dxa"/>
          </w:tcPr>
          <w:p w:rsidR="004A0C4F" w:rsidRPr="005E36B3" w:rsidRDefault="004A0C4F" w:rsidP="00792C24">
            <w:pPr>
              <w:rPr>
                <w:rFonts w:cstheme="minorHAnsi"/>
                <w:sz w:val="24"/>
                <w:szCs w:val="24"/>
              </w:rPr>
            </w:pPr>
            <w:r w:rsidRPr="005E36B3">
              <w:rPr>
                <w:rFonts w:cstheme="minorHAnsi"/>
                <w:sz w:val="24"/>
                <w:szCs w:val="24"/>
              </w:rPr>
              <w:t>Fin 3</w:t>
            </w:r>
            <w:r w:rsidRPr="005E36B3">
              <w:rPr>
                <w:rFonts w:cstheme="minorHAnsi"/>
                <w:sz w:val="24"/>
                <w:szCs w:val="24"/>
                <w:vertAlign w:val="superscript"/>
              </w:rPr>
              <w:t>er</w:t>
            </w:r>
            <w:r w:rsidRPr="005E36B3">
              <w:rPr>
                <w:rFonts w:cstheme="minorHAnsi"/>
                <w:sz w:val="24"/>
                <w:szCs w:val="24"/>
              </w:rPr>
              <w:t xml:space="preserve"> trimestre 2024</w:t>
            </w:r>
          </w:p>
        </w:tc>
      </w:tr>
      <w:tr w:rsidR="004A0C4F" w:rsidRPr="005E36B3" w:rsidTr="004A0C4F">
        <w:tc>
          <w:tcPr>
            <w:tcW w:w="2513" w:type="dxa"/>
          </w:tcPr>
          <w:p w:rsidR="004A0C4F" w:rsidRPr="005E36B3" w:rsidRDefault="004A0C4F" w:rsidP="00792C24">
            <w:pPr>
              <w:rPr>
                <w:rFonts w:cstheme="minorHAnsi"/>
                <w:sz w:val="24"/>
                <w:szCs w:val="24"/>
              </w:rPr>
            </w:pPr>
            <w:r w:rsidRPr="005E36B3">
              <w:rPr>
                <w:rFonts w:cstheme="minorHAnsi"/>
                <w:sz w:val="24"/>
                <w:szCs w:val="24"/>
              </w:rPr>
              <w:t>Plan d’action nationale de la Résolution 1325 et les Résolutions connexes  de 3</w:t>
            </w:r>
            <w:r w:rsidRPr="005E36B3">
              <w:rPr>
                <w:rFonts w:cstheme="minorHAnsi"/>
                <w:sz w:val="24"/>
                <w:szCs w:val="24"/>
                <w:vertAlign w:val="superscript"/>
              </w:rPr>
              <w:t>ème</w:t>
            </w:r>
            <w:r w:rsidRPr="005E36B3">
              <w:rPr>
                <w:rFonts w:cstheme="minorHAnsi"/>
                <w:sz w:val="24"/>
                <w:szCs w:val="24"/>
              </w:rPr>
              <w:t xml:space="preserve"> Génération  </w:t>
            </w:r>
          </w:p>
        </w:tc>
        <w:tc>
          <w:tcPr>
            <w:tcW w:w="2874" w:type="dxa"/>
          </w:tcPr>
          <w:p w:rsidR="004A0C4F" w:rsidRPr="005E36B3" w:rsidRDefault="004A0C4F" w:rsidP="00792C24">
            <w:pPr>
              <w:rPr>
                <w:rFonts w:cstheme="minorHAnsi"/>
                <w:sz w:val="24"/>
                <w:szCs w:val="24"/>
              </w:rPr>
            </w:pPr>
            <w:r w:rsidRPr="005E36B3">
              <w:rPr>
                <w:rFonts w:cstheme="minorHAnsi"/>
                <w:sz w:val="24"/>
                <w:szCs w:val="24"/>
              </w:rPr>
              <w:t>Recrutement de consultant</w:t>
            </w:r>
          </w:p>
        </w:tc>
        <w:tc>
          <w:tcPr>
            <w:tcW w:w="2835" w:type="dxa"/>
          </w:tcPr>
          <w:p w:rsidR="004A0C4F" w:rsidRPr="005E36B3" w:rsidRDefault="004A0C4F" w:rsidP="00792C24">
            <w:pPr>
              <w:rPr>
                <w:rFonts w:cstheme="minorHAnsi"/>
                <w:sz w:val="24"/>
                <w:szCs w:val="24"/>
              </w:rPr>
            </w:pPr>
            <w:r w:rsidRPr="005E36B3">
              <w:rPr>
                <w:rFonts w:cstheme="minorHAnsi"/>
                <w:sz w:val="24"/>
                <w:szCs w:val="24"/>
              </w:rPr>
              <w:t>Elaboration du document, validation technique et validation finale</w:t>
            </w:r>
          </w:p>
        </w:tc>
        <w:tc>
          <w:tcPr>
            <w:tcW w:w="2126" w:type="dxa"/>
          </w:tcPr>
          <w:p w:rsidR="004A0C4F" w:rsidRPr="005E36B3" w:rsidRDefault="004A0C4F" w:rsidP="00792C24">
            <w:pPr>
              <w:rPr>
                <w:rFonts w:cstheme="minorHAnsi"/>
                <w:sz w:val="24"/>
                <w:szCs w:val="24"/>
              </w:rPr>
            </w:pPr>
            <w:r w:rsidRPr="005E36B3">
              <w:rPr>
                <w:rFonts w:cstheme="minorHAnsi"/>
                <w:sz w:val="24"/>
                <w:szCs w:val="24"/>
              </w:rPr>
              <w:t>2</w:t>
            </w:r>
            <w:r w:rsidRPr="005E36B3">
              <w:rPr>
                <w:rFonts w:cstheme="minorHAnsi"/>
                <w:sz w:val="24"/>
                <w:szCs w:val="24"/>
                <w:vertAlign w:val="superscript"/>
              </w:rPr>
              <w:t>ème</w:t>
            </w:r>
            <w:r w:rsidRPr="005E36B3">
              <w:rPr>
                <w:rFonts w:cstheme="minorHAnsi"/>
                <w:sz w:val="24"/>
                <w:szCs w:val="24"/>
              </w:rPr>
              <w:t xml:space="preserve"> semestre 2024</w:t>
            </w:r>
          </w:p>
        </w:tc>
      </w:tr>
    </w:tbl>
    <w:p w:rsidR="004A0C4F" w:rsidRPr="005E36B3" w:rsidRDefault="004A0C4F" w:rsidP="004A0C4F">
      <w:pPr>
        <w:rPr>
          <w:rFonts w:cstheme="minorHAnsi"/>
          <w:sz w:val="24"/>
          <w:szCs w:val="24"/>
        </w:rPr>
      </w:pPr>
    </w:p>
    <w:p w:rsidR="004A0C4F" w:rsidRPr="005E36B3" w:rsidRDefault="006B5DA0" w:rsidP="006B5DA0">
      <w:pPr>
        <w:rPr>
          <w:rFonts w:cstheme="minorHAnsi"/>
          <w:b/>
          <w:i/>
          <w:sz w:val="24"/>
          <w:szCs w:val="24"/>
        </w:rPr>
      </w:pPr>
      <w:r w:rsidRPr="005E36B3">
        <w:rPr>
          <w:rFonts w:cstheme="minorHAnsi"/>
          <w:b/>
          <w:i/>
          <w:sz w:val="24"/>
          <w:szCs w:val="24"/>
        </w:rPr>
        <w:t xml:space="preserve">NB : Au-delà des périodes d’achèvement des </w:t>
      </w:r>
      <w:r w:rsidR="004A0C4F" w:rsidRPr="005E36B3">
        <w:rPr>
          <w:rFonts w:cstheme="minorHAnsi"/>
          <w:b/>
          <w:i/>
          <w:sz w:val="24"/>
          <w:szCs w:val="24"/>
        </w:rPr>
        <w:t>différents documents, des contraintes budgétaires pourraient aussi bouleverser les dates limites.</w:t>
      </w:r>
    </w:p>
    <w:p w:rsidR="004A0C4F" w:rsidRPr="005E36B3" w:rsidRDefault="004A0C4F" w:rsidP="004A0C4F">
      <w:pPr>
        <w:rPr>
          <w:rFonts w:cstheme="minorHAnsi"/>
          <w:sz w:val="24"/>
          <w:szCs w:val="24"/>
        </w:rPr>
      </w:pPr>
    </w:p>
    <w:p w:rsidR="004A0C4F" w:rsidRPr="0025160E" w:rsidRDefault="003B7414" w:rsidP="0025160E">
      <w:pPr>
        <w:pStyle w:val="Paragraphedeliste"/>
        <w:ind w:left="0"/>
        <w:jc w:val="center"/>
        <w:rPr>
          <w:rFonts w:cstheme="minorHAnsi"/>
          <w:b/>
          <w:sz w:val="24"/>
          <w:szCs w:val="24"/>
          <w:u w:val="single"/>
        </w:rPr>
      </w:pPr>
      <w:r w:rsidRPr="005E36B3">
        <w:rPr>
          <w:rFonts w:cstheme="minorHAnsi"/>
          <w:b/>
          <w:sz w:val="24"/>
          <w:szCs w:val="24"/>
          <w:u w:val="single"/>
        </w:rPr>
        <w:t>2-Eléments de réponse sur les articles 6,9,10 et 11 de la Convention</w:t>
      </w:r>
    </w:p>
    <w:p w:rsidR="004A0C4F" w:rsidRPr="005E36B3" w:rsidRDefault="003B7414" w:rsidP="004A0C4F">
      <w:pPr>
        <w:spacing w:line="240" w:lineRule="auto"/>
        <w:jc w:val="both"/>
        <w:rPr>
          <w:rFonts w:eastAsia="Calibri" w:cstheme="minorHAnsi"/>
          <w:b/>
          <w:sz w:val="24"/>
          <w:szCs w:val="24"/>
          <w:u w:val="single"/>
        </w:rPr>
      </w:pPr>
      <w:r w:rsidRPr="005E36B3">
        <w:rPr>
          <w:rFonts w:eastAsia="Calibri" w:cstheme="minorHAnsi"/>
          <w:b/>
          <w:sz w:val="24"/>
          <w:szCs w:val="24"/>
          <w:u w:val="single"/>
        </w:rPr>
        <w:t>2-1 Dans le domaine du renforcement</w:t>
      </w:r>
      <w:r w:rsidR="004A0C4F" w:rsidRPr="005E36B3">
        <w:rPr>
          <w:rFonts w:eastAsia="Calibri" w:cstheme="minorHAnsi"/>
          <w:b/>
          <w:sz w:val="24"/>
          <w:szCs w:val="24"/>
          <w:u w:val="single"/>
        </w:rPr>
        <w:t xml:space="preserve"> de la résilience du système de santé,</w:t>
      </w:r>
      <w:r w:rsidRPr="005E36B3">
        <w:rPr>
          <w:rFonts w:eastAsia="Calibri" w:cstheme="minorHAnsi"/>
          <w:b/>
          <w:sz w:val="24"/>
          <w:szCs w:val="24"/>
          <w:u w:val="single"/>
        </w:rPr>
        <w:t xml:space="preserve"> et </w:t>
      </w:r>
      <w:r w:rsidR="004A0C4F" w:rsidRPr="005E36B3">
        <w:rPr>
          <w:rFonts w:eastAsia="Calibri" w:cstheme="minorHAnsi"/>
          <w:b/>
          <w:sz w:val="24"/>
          <w:szCs w:val="24"/>
          <w:u w:val="single"/>
        </w:rPr>
        <w:t>des ressources humai</w:t>
      </w:r>
      <w:r w:rsidRPr="005E36B3">
        <w:rPr>
          <w:rFonts w:eastAsia="Calibri" w:cstheme="minorHAnsi"/>
          <w:b/>
          <w:sz w:val="24"/>
          <w:szCs w:val="24"/>
          <w:u w:val="single"/>
        </w:rPr>
        <w:t xml:space="preserve">nes </w:t>
      </w:r>
    </w:p>
    <w:p w:rsidR="004A0C4F" w:rsidRPr="005E36B3" w:rsidRDefault="004A0C4F" w:rsidP="004A0C4F">
      <w:pPr>
        <w:pStyle w:val="Paragraphedeliste"/>
        <w:numPr>
          <w:ilvl w:val="0"/>
          <w:numId w:val="1"/>
        </w:numPr>
        <w:spacing w:line="240" w:lineRule="auto"/>
        <w:jc w:val="both"/>
        <w:rPr>
          <w:rFonts w:eastAsia="Calibri" w:cstheme="minorHAnsi"/>
          <w:sz w:val="24"/>
          <w:szCs w:val="24"/>
        </w:rPr>
      </w:pPr>
      <w:r w:rsidRPr="005E36B3">
        <w:rPr>
          <w:rFonts w:eastAsia="Calibri" w:cstheme="minorHAnsi"/>
          <w:sz w:val="24"/>
          <w:szCs w:val="24"/>
        </w:rPr>
        <w:t>92 médecins (Généralist</w:t>
      </w:r>
      <w:r w:rsidR="003B7414" w:rsidRPr="005E36B3">
        <w:rPr>
          <w:rFonts w:eastAsia="Calibri" w:cstheme="minorHAnsi"/>
          <w:sz w:val="24"/>
          <w:szCs w:val="24"/>
        </w:rPr>
        <w:t>es et contractuels) repartis</w:t>
      </w:r>
      <w:r w:rsidRPr="005E36B3">
        <w:rPr>
          <w:rFonts w:eastAsia="Calibri" w:cstheme="minorHAnsi"/>
          <w:sz w:val="24"/>
          <w:szCs w:val="24"/>
        </w:rPr>
        <w:t xml:space="preserve"> dans les formations sanitaires de toutes les sous-préfectures de la Répub</w:t>
      </w:r>
      <w:r w:rsidR="00686BC6" w:rsidRPr="005E36B3">
        <w:rPr>
          <w:rFonts w:eastAsia="Calibri" w:cstheme="minorHAnsi"/>
          <w:sz w:val="24"/>
          <w:szCs w:val="24"/>
        </w:rPr>
        <w:t>lique centrafricaine ;</w:t>
      </w:r>
    </w:p>
    <w:p w:rsidR="004A0C4F" w:rsidRPr="005E36B3" w:rsidRDefault="004A0C4F" w:rsidP="004A0C4F">
      <w:pPr>
        <w:pStyle w:val="Paragraphedeliste"/>
        <w:numPr>
          <w:ilvl w:val="0"/>
          <w:numId w:val="1"/>
        </w:numPr>
        <w:spacing w:line="240" w:lineRule="auto"/>
        <w:jc w:val="both"/>
        <w:rPr>
          <w:rFonts w:eastAsia="Calibri" w:cstheme="minorHAnsi"/>
          <w:sz w:val="24"/>
          <w:szCs w:val="24"/>
        </w:rPr>
      </w:pPr>
      <w:r w:rsidRPr="005E36B3">
        <w:rPr>
          <w:rFonts w:eastAsia="Calibri" w:cstheme="minorHAnsi"/>
          <w:sz w:val="24"/>
          <w:szCs w:val="24"/>
        </w:rPr>
        <w:t xml:space="preserve"> 827 paramédicaux constitués d’Infirmiers Femmes Diplômés, Ingénieurs en techniques biomédicales, </w:t>
      </w:r>
      <w:r w:rsidR="003B7414" w:rsidRPr="005E36B3">
        <w:rPr>
          <w:rFonts w:eastAsia="Calibri" w:cstheme="minorHAnsi"/>
          <w:sz w:val="24"/>
          <w:szCs w:val="24"/>
        </w:rPr>
        <w:t>Sages-Femmes</w:t>
      </w:r>
      <w:r w:rsidRPr="005E36B3">
        <w:rPr>
          <w:rFonts w:eastAsia="Calibri" w:cstheme="minorHAnsi"/>
          <w:sz w:val="24"/>
          <w:szCs w:val="24"/>
        </w:rPr>
        <w:t xml:space="preserve"> Diplômées d’Etat, Assistante-accoucheuses et Assistants de santé sont recrutés ;</w:t>
      </w:r>
    </w:p>
    <w:p w:rsidR="004A0C4F" w:rsidRPr="005E36B3" w:rsidRDefault="004A0C4F" w:rsidP="004A0C4F">
      <w:pPr>
        <w:pStyle w:val="Paragraphedeliste"/>
        <w:numPr>
          <w:ilvl w:val="0"/>
          <w:numId w:val="1"/>
        </w:numPr>
        <w:spacing w:line="240" w:lineRule="auto"/>
        <w:jc w:val="both"/>
        <w:rPr>
          <w:rFonts w:eastAsia="Calibri" w:cstheme="minorHAnsi"/>
          <w:sz w:val="24"/>
          <w:szCs w:val="24"/>
        </w:rPr>
      </w:pPr>
      <w:r w:rsidRPr="005E36B3">
        <w:rPr>
          <w:rFonts w:eastAsia="Calibri" w:cstheme="minorHAnsi"/>
          <w:sz w:val="24"/>
          <w:szCs w:val="24"/>
        </w:rPr>
        <w:t xml:space="preserve">130 gestionnaires </w:t>
      </w:r>
      <w:r w:rsidR="00686BC6" w:rsidRPr="005E36B3">
        <w:rPr>
          <w:rFonts w:eastAsia="Calibri" w:cstheme="minorHAnsi"/>
          <w:sz w:val="24"/>
          <w:szCs w:val="24"/>
        </w:rPr>
        <w:t>comptables recrutés ;</w:t>
      </w:r>
    </w:p>
    <w:p w:rsidR="004A0C4F" w:rsidRPr="005E36B3" w:rsidRDefault="003B7414" w:rsidP="004A0C4F">
      <w:pPr>
        <w:spacing w:line="240" w:lineRule="auto"/>
        <w:jc w:val="both"/>
        <w:rPr>
          <w:rFonts w:eastAsia="Calibri" w:cstheme="minorHAnsi"/>
          <w:b/>
          <w:sz w:val="24"/>
          <w:szCs w:val="24"/>
          <w:u w:val="single"/>
        </w:rPr>
      </w:pPr>
      <w:r w:rsidRPr="005E36B3">
        <w:rPr>
          <w:rFonts w:eastAsia="Calibri" w:cstheme="minorHAnsi"/>
          <w:b/>
          <w:sz w:val="24"/>
          <w:szCs w:val="24"/>
          <w:u w:val="single"/>
        </w:rPr>
        <w:t xml:space="preserve">2-2 </w:t>
      </w:r>
      <w:r w:rsidR="004A0C4F" w:rsidRPr="005E36B3">
        <w:rPr>
          <w:rFonts w:eastAsia="Calibri" w:cstheme="minorHAnsi"/>
          <w:b/>
          <w:sz w:val="24"/>
          <w:szCs w:val="24"/>
          <w:u w:val="single"/>
        </w:rPr>
        <w:t>Dans le domaine des infrastruc</w:t>
      </w:r>
      <w:r w:rsidR="0025160E">
        <w:rPr>
          <w:rFonts w:eastAsia="Calibri" w:cstheme="minorHAnsi"/>
          <w:b/>
          <w:sz w:val="24"/>
          <w:szCs w:val="24"/>
          <w:u w:val="single"/>
        </w:rPr>
        <w:t>tures sanitaires</w:t>
      </w:r>
      <w:r w:rsidR="004A0C4F" w:rsidRPr="005E36B3">
        <w:rPr>
          <w:rFonts w:eastAsia="Calibri" w:cstheme="minorHAnsi"/>
          <w:b/>
          <w:sz w:val="24"/>
          <w:szCs w:val="24"/>
          <w:u w:val="single"/>
        </w:rPr>
        <w:t xml:space="preserve">: </w:t>
      </w:r>
    </w:p>
    <w:p w:rsidR="004A0C4F" w:rsidRPr="005E36B3" w:rsidRDefault="004A0C4F"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lastRenderedPageBreak/>
        <w:t>Construction d’un nouve</w:t>
      </w:r>
      <w:r w:rsidR="003B7414" w:rsidRPr="005E36B3">
        <w:rPr>
          <w:rFonts w:eastAsia="Calibri" w:cstheme="minorHAnsi"/>
          <w:color w:val="000000"/>
          <w:sz w:val="24"/>
          <w:szCs w:val="24"/>
        </w:rPr>
        <w:t xml:space="preserve">au bâtiment R+2 </w:t>
      </w:r>
      <w:r w:rsidR="00686BC6" w:rsidRPr="005E36B3">
        <w:rPr>
          <w:rFonts w:eastAsia="Calibri" w:cstheme="minorHAnsi"/>
          <w:color w:val="000000"/>
          <w:sz w:val="24"/>
          <w:szCs w:val="24"/>
        </w:rPr>
        <w:t>pour le cabinet du minist</w:t>
      </w:r>
      <w:r w:rsidRPr="005E36B3">
        <w:rPr>
          <w:rFonts w:eastAsia="Calibri" w:cstheme="minorHAnsi"/>
          <w:color w:val="000000"/>
          <w:sz w:val="24"/>
          <w:szCs w:val="24"/>
        </w:rPr>
        <w:t>re de la Santé et de la Population</w:t>
      </w:r>
      <w:r w:rsidR="003B7414" w:rsidRPr="005E36B3">
        <w:rPr>
          <w:rFonts w:eastAsia="Calibri" w:cstheme="minorHAnsi"/>
          <w:color w:val="000000"/>
          <w:sz w:val="24"/>
          <w:szCs w:val="24"/>
        </w:rPr>
        <w:t> ;</w:t>
      </w:r>
    </w:p>
    <w:p w:rsidR="004A0C4F" w:rsidRPr="005E36B3" w:rsidRDefault="003B7414"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Construction</w:t>
      </w:r>
      <w:r w:rsidR="0025160E">
        <w:rPr>
          <w:rFonts w:eastAsia="Calibri" w:cstheme="minorHAnsi"/>
          <w:color w:val="000000"/>
          <w:sz w:val="24"/>
          <w:szCs w:val="24"/>
        </w:rPr>
        <w:t xml:space="preserve"> d’un bâtiment R+2 abritant </w:t>
      </w:r>
      <w:r w:rsidR="004A0C4F" w:rsidRPr="005E36B3">
        <w:rPr>
          <w:rFonts w:eastAsia="Calibri" w:cstheme="minorHAnsi"/>
          <w:color w:val="000000"/>
          <w:sz w:val="24"/>
          <w:szCs w:val="24"/>
        </w:rPr>
        <w:t xml:space="preserve"> le siège de l’unité de gestion de projet SENI Plus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Construction</w:t>
      </w:r>
      <w:r w:rsidR="004A0C4F" w:rsidRPr="005E36B3">
        <w:rPr>
          <w:rFonts w:eastAsia="Calibri" w:cstheme="minorHAnsi"/>
          <w:color w:val="000000"/>
          <w:sz w:val="24"/>
          <w:szCs w:val="24"/>
        </w:rPr>
        <w:t xml:space="preserve"> d’un bâtiment pour abriter le laboratoire de contrôle de qualité des aliments et de l’eau au laboratoire national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Construction</w:t>
      </w:r>
      <w:r w:rsidR="004A0C4F" w:rsidRPr="005E36B3">
        <w:rPr>
          <w:rFonts w:eastAsia="Calibri" w:cstheme="minorHAnsi"/>
          <w:color w:val="000000"/>
          <w:sz w:val="24"/>
          <w:szCs w:val="24"/>
        </w:rPr>
        <w:t xml:space="preserve"> de 4 postes de contrôle sanitaire à </w:t>
      </w:r>
      <w:proofErr w:type="spellStart"/>
      <w:r w:rsidR="004A0C4F" w:rsidRPr="005E36B3">
        <w:rPr>
          <w:rFonts w:eastAsia="Calibri" w:cstheme="minorHAnsi"/>
          <w:color w:val="000000"/>
          <w:sz w:val="24"/>
          <w:szCs w:val="24"/>
        </w:rPr>
        <w:t>Mongoumba</w:t>
      </w:r>
      <w:proofErr w:type="spellEnd"/>
      <w:r w:rsidR="004A0C4F" w:rsidRPr="005E36B3">
        <w:rPr>
          <w:rFonts w:eastAsia="Calibri" w:cstheme="minorHAnsi"/>
          <w:color w:val="000000"/>
          <w:sz w:val="24"/>
          <w:szCs w:val="24"/>
        </w:rPr>
        <w:t xml:space="preserve">, Gouga, </w:t>
      </w:r>
      <w:proofErr w:type="spellStart"/>
      <w:r w:rsidR="004A0C4F" w:rsidRPr="005E36B3">
        <w:rPr>
          <w:rFonts w:eastAsia="Calibri" w:cstheme="minorHAnsi"/>
          <w:color w:val="000000"/>
          <w:sz w:val="24"/>
          <w:szCs w:val="24"/>
        </w:rPr>
        <w:t>Zinga</w:t>
      </w:r>
      <w:proofErr w:type="spellEnd"/>
      <w:r w:rsidR="004A0C4F" w:rsidRPr="005E36B3">
        <w:rPr>
          <w:rFonts w:eastAsia="Calibri" w:cstheme="minorHAnsi"/>
          <w:color w:val="000000"/>
          <w:sz w:val="24"/>
          <w:szCs w:val="24"/>
        </w:rPr>
        <w:t xml:space="preserve"> et </w:t>
      </w:r>
      <w:proofErr w:type="spellStart"/>
      <w:r w:rsidR="004A0C4F" w:rsidRPr="005E36B3">
        <w:rPr>
          <w:rFonts w:eastAsia="Calibri" w:cstheme="minorHAnsi"/>
          <w:color w:val="000000"/>
          <w:sz w:val="24"/>
          <w:szCs w:val="24"/>
        </w:rPr>
        <w:t>Ouango-sao</w:t>
      </w:r>
      <w:proofErr w:type="spellEnd"/>
      <w:r w:rsidR="004A0C4F" w:rsidRPr="005E36B3">
        <w:rPr>
          <w:rFonts w:eastAsia="Calibri" w:cstheme="minorHAnsi"/>
          <w:color w:val="000000"/>
          <w:sz w:val="24"/>
          <w:szCs w:val="24"/>
        </w:rPr>
        <w:t>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Construction d’un</w:t>
      </w:r>
      <w:r w:rsidR="004A0C4F" w:rsidRPr="005E36B3">
        <w:rPr>
          <w:rFonts w:eastAsia="Calibri" w:cstheme="minorHAnsi"/>
          <w:color w:val="000000"/>
          <w:sz w:val="24"/>
          <w:szCs w:val="24"/>
        </w:rPr>
        <w:t xml:space="preserve"> hôpital de prise en charge des endémo-épidémie d’une capacité d’a</w:t>
      </w:r>
      <w:r w:rsidRPr="005E36B3">
        <w:rPr>
          <w:rFonts w:eastAsia="Calibri" w:cstheme="minorHAnsi"/>
          <w:color w:val="000000"/>
          <w:sz w:val="24"/>
          <w:szCs w:val="24"/>
        </w:rPr>
        <w:t>ccueil de 350 lits au</w:t>
      </w:r>
      <w:r w:rsidR="004A0C4F" w:rsidRPr="005E36B3">
        <w:rPr>
          <w:rFonts w:eastAsia="Calibri" w:cstheme="minorHAnsi"/>
          <w:color w:val="000000"/>
          <w:sz w:val="24"/>
          <w:szCs w:val="24"/>
        </w:rPr>
        <w:t xml:space="preserve"> PK12 route de Damara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Construction d’u</w:t>
      </w:r>
      <w:r w:rsidR="004A0C4F" w:rsidRPr="005E36B3">
        <w:rPr>
          <w:rFonts w:eastAsia="Calibri" w:cstheme="minorHAnsi"/>
          <w:color w:val="000000"/>
          <w:sz w:val="24"/>
          <w:szCs w:val="24"/>
        </w:rPr>
        <w:t>n centre de production d’oxygène d</w:t>
      </w:r>
      <w:r w:rsidRPr="005E36B3">
        <w:rPr>
          <w:rFonts w:eastAsia="Calibri" w:cstheme="minorHAnsi"/>
          <w:color w:val="000000"/>
          <w:sz w:val="24"/>
          <w:szCs w:val="24"/>
        </w:rPr>
        <w:t xml:space="preserve">e grande capacité </w:t>
      </w:r>
      <w:r w:rsidR="004A0C4F" w:rsidRPr="005E36B3">
        <w:rPr>
          <w:rFonts w:eastAsia="Calibri" w:cstheme="minorHAnsi"/>
          <w:color w:val="000000"/>
          <w:sz w:val="24"/>
          <w:szCs w:val="24"/>
        </w:rPr>
        <w:t>au PK12 route de Damara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 xml:space="preserve">Construction et équipement de </w:t>
      </w:r>
      <w:r w:rsidR="004A0C4F" w:rsidRPr="005E36B3">
        <w:rPr>
          <w:rFonts w:eastAsia="Calibri" w:cstheme="minorHAnsi"/>
          <w:color w:val="000000"/>
          <w:sz w:val="24"/>
          <w:szCs w:val="24"/>
        </w:rPr>
        <w:t xml:space="preserve">4 dépôts </w:t>
      </w:r>
      <w:r w:rsidRPr="005E36B3">
        <w:rPr>
          <w:rFonts w:eastAsia="Calibri" w:cstheme="minorHAnsi"/>
          <w:color w:val="000000"/>
          <w:sz w:val="24"/>
          <w:szCs w:val="24"/>
        </w:rPr>
        <w:t>régionaux avec</w:t>
      </w:r>
      <w:r w:rsidR="004A0C4F" w:rsidRPr="005E36B3">
        <w:rPr>
          <w:rFonts w:eastAsia="Calibri" w:cstheme="minorHAnsi"/>
          <w:color w:val="000000"/>
          <w:sz w:val="24"/>
          <w:szCs w:val="24"/>
        </w:rPr>
        <w:t xml:space="preserve"> des chambres froides pour le stockage de vaccins à Berberati, Bossangoa, Sibut et Bangassou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Construction de 23 maternités ;</w:t>
      </w:r>
      <w:r w:rsidR="004A0C4F" w:rsidRPr="005E36B3">
        <w:rPr>
          <w:rFonts w:eastAsia="Calibri" w:cstheme="minorHAnsi"/>
          <w:color w:val="000000"/>
          <w:sz w:val="24"/>
          <w:szCs w:val="24"/>
        </w:rPr>
        <w:t xml:space="preserve">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Réhabilitation d</w:t>
      </w:r>
      <w:r w:rsidR="004A0C4F" w:rsidRPr="005E36B3">
        <w:rPr>
          <w:rFonts w:eastAsia="Calibri" w:cstheme="minorHAnsi"/>
          <w:color w:val="000000"/>
          <w:sz w:val="24"/>
          <w:szCs w:val="24"/>
        </w:rPr>
        <w:t xml:space="preserve">es pavillons de gynécologie-obstétrique et de </w:t>
      </w:r>
      <w:r w:rsidR="0025160E" w:rsidRPr="005E36B3">
        <w:rPr>
          <w:rFonts w:eastAsia="Calibri" w:cstheme="minorHAnsi"/>
          <w:color w:val="000000"/>
          <w:sz w:val="24"/>
          <w:szCs w:val="24"/>
        </w:rPr>
        <w:t xml:space="preserve">médecine </w:t>
      </w:r>
      <w:r w:rsidR="0025160E">
        <w:rPr>
          <w:rFonts w:eastAsia="Calibri" w:cstheme="minorHAnsi"/>
          <w:color w:val="000000"/>
          <w:sz w:val="24"/>
          <w:szCs w:val="24"/>
        </w:rPr>
        <w:t>de l’Hôpital communautaire</w:t>
      </w:r>
      <w:r w:rsidR="0025160E" w:rsidRPr="005E36B3">
        <w:rPr>
          <w:rFonts w:eastAsia="Calibri" w:cstheme="minorHAnsi"/>
          <w:color w:val="000000"/>
          <w:sz w:val="24"/>
          <w:szCs w:val="24"/>
        </w:rPr>
        <w:t xml:space="preserve"> ;</w:t>
      </w:r>
    </w:p>
    <w:p w:rsidR="004A0C4F" w:rsidRPr="005E36B3" w:rsidRDefault="00864D3C" w:rsidP="004A0C4F">
      <w:pPr>
        <w:pStyle w:val="Paragraphedeliste"/>
        <w:numPr>
          <w:ilvl w:val="0"/>
          <w:numId w:val="2"/>
        </w:numPr>
        <w:spacing w:line="240" w:lineRule="auto"/>
        <w:jc w:val="both"/>
        <w:rPr>
          <w:rFonts w:eastAsia="Calibri" w:cstheme="minorHAnsi"/>
          <w:color w:val="000000"/>
          <w:sz w:val="24"/>
          <w:szCs w:val="24"/>
        </w:rPr>
      </w:pPr>
      <w:r w:rsidRPr="005E36B3">
        <w:rPr>
          <w:rFonts w:eastAsia="Calibri" w:cstheme="minorHAnsi"/>
          <w:color w:val="000000"/>
          <w:sz w:val="24"/>
          <w:szCs w:val="24"/>
        </w:rPr>
        <w:t>Réhabilitation du</w:t>
      </w:r>
      <w:r w:rsidR="0025160E">
        <w:rPr>
          <w:rFonts w:eastAsia="Calibri" w:cstheme="minorHAnsi"/>
          <w:color w:val="000000"/>
          <w:sz w:val="24"/>
          <w:szCs w:val="24"/>
        </w:rPr>
        <w:t xml:space="preserve"> Centre National Hospitalo- Universitaire de Bangui.</w:t>
      </w:r>
      <w:r w:rsidR="004A0C4F" w:rsidRPr="005E36B3">
        <w:rPr>
          <w:rFonts w:eastAsia="Calibri" w:cstheme="minorHAnsi"/>
          <w:color w:val="000000"/>
          <w:sz w:val="24"/>
          <w:szCs w:val="24"/>
        </w:rPr>
        <w:t xml:space="preserve">  </w:t>
      </w:r>
    </w:p>
    <w:p w:rsidR="004A0C4F" w:rsidRPr="005E36B3" w:rsidRDefault="00864D3C" w:rsidP="004A0C4F">
      <w:pPr>
        <w:spacing w:line="240" w:lineRule="auto"/>
        <w:jc w:val="both"/>
        <w:rPr>
          <w:rFonts w:eastAsia="Calibri" w:cstheme="minorHAnsi"/>
          <w:color w:val="000000"/>
          <w:sz w:val="24"/>
          <w:szCs w:val="24"/>
        </w:rPr>
      </w:pPr>
      <w:r w:rsidRPr="005E36B3">
        <w:rPr>
          <w:rFonts w:eastAsia="Calibri" w:cstheme="minorHAnsi"/>
          <w:b/>
          <w:color w:val="000000"/>
          <w:sz w:val="24"/>
          <w:szCs w:val="24"/>
          <w:u w:val="single"/>
        </w:rPr>
        <w:t xml:space="preserve">2-3 </w:t>
      </w:r>
      <w:r w:rsidR="004A0C4F" w:rsidRPr="005E36B3">
        <w:rPr>
          <w:rFonts w:eastAsia="Calibri" w:cstheme="minorHAnsi"/>
          <w:b/>
          <w:color w:val="000000"/>
          <w:sz w:val="24"/>
          <w:szCs w:val="24"/>
          <w:u w:val="single"/>
        </w:rPr>
        <w:t>Dans le cadre de la réduction accélérée de la mortalité maternelle et infantile </w:t>
      </w:r>
      <w:r w:rsidR="004A0C4F" w:rsidRPr="005E36B3">
        <w:rPr>
          <w:rFonts w:eastAsia="Calibri" w:cstheme="minorHAnsi"/>
          <w:color w:val="000000"/>
          <w:sz w:val="24"/>
          <w:szCs w:val="24"/>
        </w:rPr>
        <w:t>:</w:t>
      </w:r>
    </w:p>
    <w:p w:rsidR="00686BC6" w:rsidRPr="005E36B3" w:rsidRDefault="00686BC6" w:rsidP="004A0C4F">
      <w:pPr>
        <w:pStyle w:val="Paragraphedeliste"/>
        <w:numPr>
          <w:ilvl w:val="0"/>
          <w:numId w:val="8"/>
        </w:numPr>
        <w:spacing w:line="240" w:lineRule="auto"/>
        <w:jc w:val="both"/>
        <w:rPr>
          <w:rFonts w:eastAsia="Calibri" w:cstheme="minorHAnsi"/>
          <w:color w:val="000000"/>
          <w:sz w:val="24"/>
          <w:szCs w:val="24"/>
        </w:rPr>
      </w:pPr>
      <w:r w:rsidRPr="005E36B3">
        <w:rPr>
          <w:rFonts w:eastAsia="Calibri" w:cstheme="minorHAnsi"/>
          <w:color w:val="000000"/>
          <w:sz w:val="24"/>
          <w:szCs w:val="24"/>
        </w:rPr>
        <w:t xml:space="preserve">Dotation de plusieurs localités en </w:t>
      </w:r>
      <w:r w:rsidR="004A0C4F" w:rsidRPr="005E36B3">
        <w:rPr>
          <w:rFonts w:eastAsia="Calibri" w:cstheme="minorHAnsi"/>
          <w:color w:val="000000"/>
          <w:sz w:val="24"/>
          <w:szCs w:val="24"/>
        </w:rPr>
        <w:t xml:space="preserve">moyens roulants dont 28 ambulances médicalisées sur le budget de l’Etat, 22 pick-up et 256 motocyclettes. </w:t>
      </w:r>
    </w:p>
    <w:p w:rsidR="00686BC6" w:rsidRPr="005E36B3" w:rsidRDefault="00686BC6" w:rsidP="004A0C4F">
      <w:pPr>
        <w:pStyle w:val="Paragraphedeliste"/>
        <w:numPr>
          <w:ilvl w:val="0"/>
          <w:numId w:val="8"/>
        </w:numPr>
        <w:spacing w:line="240" w:lineRule="auto"/>
        <w:jc w:val="both"/>
        <w:rPr>
          <w:rFonts w:eastAsia="Calibri" w:cstheme="minorHAnsi"/>
          <w:color w:val="000000"/>
          <w:sz w:val="24"/>
          <w:szCs w:val="24"/>
        </w:rPr>
      </w:pPr>
      <w:r w:rsidRPr="005E36B3">
        <w:rPr>
          <w:rFonts w:eastAsia="Calibri" w:cstheme="minorHAnsi"/>
          <w:color w:val="000000"/>
          <w:sz w:val="24"/>
          <w:szCs w:val="24"/>
        </w:rPr>
        <w:t>Acquisition et déploiement</w:t>
      </w:r>
      <w:r w:rsidR="004A0C4F" w:rsidRPr="005E36B3">
        <w:rPr>
          <w:rFonts w:eastAsia="Calibri" w:cstheme="minorHAnsi"/>
          <w:color w:val="000000"/>
          <w:sz w:val="24"/>
          <w:szCs w:val="24"/>
        </w:rPr>
        <w:t xml:space="preserve"> de 258 nouveaux réfrigérateurs solaires, 7 chambres froides et 150 portes vaccins. </w:t>
      </w:r>
    </w:p>
    <w:p w:rsidR="00686BC6" w:rsidRPr="005E36B3" w:rsidRDefault="00686BC6" w:rsidP="004A0C4F">
      <w:pPr>
        <w:pStyle w:val="Paragraphedeliste"/>
        <w:numPr>
          <w:ilvl w:val="0"/>
          <w:numId w:val="8"/>
        </w:numPr>
        <w:spacing w:line="240" w:lineRule="auto"/>
        <w:jc w:val="both"/>
        <w:rPr>
          <w:rFonts w:eastAsia="Calibri" w:cstheme="minorHAnsi"/>
          <w:color w:val="000000"/>
          <w:sz w:val="24"/>
          <w:szCs w:val="24"/>
        </w:rPr>
      </w:pPr>
      <w:r w:rsidRPr="005E36B3">
        <w:rPr>
          <w:rFonts w:eastAsia="Calibri" w:cstheme="minorHAnsi"/>
          <w:sz w:val="24"/>
          <w:szCs w:val="24"/>
        </w:rPr>
        <w:t xml:space="preserve">La </w:t>
      </w:r>
      <w:r w:rsidR="004A0C4F" w:rsidRPr="005E36B3">
        <w:rPr>
          <w:rFonts w:eastAsia="Calibri" w:cstheme="minorHAnsi"/>
          <w:sz w:val="24"/>
          <w:szCs w:val="24"/>
        </w:rPr>
        <w:t xml:space="preserve">politique de la gratuité ciblée en faveur des femmes enceintes, allaitantes, et victimes de violences basées sur le genre et les enfants de moins de 5 ans a permis à 64 451 femmes enceintes de bénéficier de soins gratuits. </w:t>
      </w:r>
    </w:p>
    <w:p w:rsidR="00686BC6" w:rsidRPr="005E36B3" w:rsidRDefault="00686BC6" w:rsidP="004A0C4F">
      <w:pPr>
        <w:pStyle w:val="Paragraphedeliste"/>
        <w:numPr>
          <w:ilvl w:val="0"/>
          <w:numId w:val="8"/>
        </w:numPr>
        <w:spacing w:line="240" w:lineRule="auto"/>
        <w:jc w:val="both"/>
        <w:rPr>
          <w:rFonts w:eastAsia="Calibri" w:cstheme="minorHAnsi"/>
          <w:color w:val="000000"/>
          <w:sz w:val="24"/>
          <w:szCs w:val="24"/>
        </w:rPr>
      </w:pPr>
      <w:r w:rsidRPr="005E36B3">
        <w:rPr>
          <w:rFonts w:eastAsia="Calibri" w:cstheme="minorHAnsi"/>
          <w:sz w:val="24"/>
          <w:szCs w:val="24"/>
        </w:rPr>
        <w:t>La</w:t>
      </w:r>
      <w:r w:rsidR="004A0C4F" w:rsidRPr="005E36B3">
        <w:rPr>
          <w:rFonts w:eastAsia="Calibri" w:cstheme="minorHAnsi"/>
          <w:sz w:val="24"/>
          <w:szCs w:val="24"/>
        </w:rPr>
        <w:t xml:space="preserve"> </w:t>
      </w:r>
      <w:r w:rsidR="004A0C4F" w:rsidRPr="005E36B3">
        <w:rPr>
          <w:rFonts w:cstheme="minorHAnsi"/>
          <w:sz w:val="24"/>
          <w:szCs w:val="24"/>
        </w:rPr>
        <w:t xml:space="preserve">Cartographie digitalisée de la qualité des services de prise en charge des personnes survivantes aux violences basées sur le genre au niveau de 12 sous-préfectures du pays à savoir </w:t>
      </w:r>
      <w:proofErr w:type="spellStart"/>
      <w:r w:rsidR="004A0C4F" w:rsidRPr="005E36B3">
        <w:rPr>
          <w:rFonts w:cstheme="minorHAnsi"/>
          <w:sz w:val="24"/>
          <w:szCs w:val="24"/>
        </w:rPr>
        <w:t>Alindao</w:t>
      </w:r>
      <w:proofErr w:type="spellEnd"/>
      <w:r w:rsidR="004A0C4F" w:rsidRPr="005E36B3">
        <w:rPr>
          <w:rFonts w:cstheme="minorHAnsi"/>
          <w:sz w:val="24"/>
          <w:szCs w:val="24"/>
        </w:rPr>
        <w:t xml:space="preserve">, </w:t>
      </w:r>
      <w:proofErr w:type="spellStart"/>
      <w:r w:rsidR="004A0C4F" w:rsidRPr="005E36B3">
        <w:rPr>
          <w:rFonts w:cstheme="minorHAnsi"/>
          <w:sz w:val="24"/>
          <w:szCs w:val="24"/>
        </w:rPr>
        <w:t>Baboua</w:t>
      </w:r>
      <w:proofErr w:type="spellEnd"/>
      <w:r w:rsidR="004A0C4F" w:rsidRPr="005E36B3">
        <w:rPr>
          <w:rFonts w:cstheme="minorHAnsi"/>
          <w:sz w:val="24"/>
          <w:szCs w:val="24"/>
        </w:rPr>
        <w:t xml:space="preserve">, Berberati, Bouar, Carnot, </w:t>
      </w:r>
      <w:proofErr w:type="spellStart"/>
      <w:r w:rsidR="004A0C4F" w:rsidRPr="005E36B3">
        <w:rPr>
          <w:rFonts w:cstheme="minorHAnsi"/>
          <w:sz w:val="24"/>
          <w:szCs w:val="24"/>
        </w:rPr>
        <w:t>Dekoa</w:t>
      </w:r>
      <w:proofErr w:type="spellEnd"/>
      <w:r w:rsidR="004A0C4F" w:rsidRPr="005E36B3">
        <w:rPr>
          <w:rFonts w:cstheme="minorHAnsi"/>
          <w:sz w:val="24"/>
          <w:szCs w:val="24"/>
        </w:rPr>
        <w:t xml:space="preserve">, </w:t>
      </w:r>
      <w:proofErr w:type="spellStart"/>
      <w:r w:rsidR="004A0C4F" w:rsidRPr="005E36B3">
        <w:rPr>
          <w:rFonts w:cstheme="minorHAnsi"/>
          <w:sz w:val="24"/>
          <w:szCs w:val="24"/>
        </w:rPr>
        <w:t>Grimari</w:t>
      </w:r>
      <w:proofErr w:type="spellEnd"/>
      <w:r w:rsidR="004A0C4F" w:rsidRPr="005E36B3">
        <w:rPr>
          <w:rFonts w:cstheme="minorHAnsi"/>
          <w:sz w:val="24"/>
          <w:szCs w:val="24"/>
        </w:rPr>
        <w:t xml:space="preserve">, Mbaïki, </w:t>
      </w:r>
      <w:proofErr w:type="spellStart"/>
      <w:r w:rsidR="004A0C4F" w:rsidRPr="005E36B3">
        <w:rPr>
          <w:rFonts w:cstheme="minorHAnsi"/>
          <w:sz w:val="24"/>
          <w:szCs w:val="24"/>
        </w:rPr>
        <w:t>Mongoumba</w:t>
      </w:r>
      <w:proofErr w:type="spellEnd"/>
      <w:r w:rsidR="004A0C4F" w:rsidRPr="005E36B3">
        <w:rPr>
          <w:rFonts w:cstheme="minorHAnsi"/>
          <w:sz w:val="24"/>
          <w:szCs w:val="24"/>
        </w:rPr>
        <w:t xml:space="preserve">, Nola, </w:t>
      </w:r>
      <w:proofErr w:type="spellStart"/>
      <w:r w:rsidR="004A0C4F" w:rsidRPr="005E36B3">
        <w:rPr>
          <w:rFonts w:cstheme="minorHAnsi"/>
          <w:sz w:val="24"/>
          <w:szCs w:val="24"/>
        </w:rPr>
        <w:t>Paoua</w:t>
      </w:r>
      <w:proofErr w:type="spellEnd"/>
      <w:r w:rsidR="004A0C4F" w:rsidRPr="005E36B3">
        <w:rPr>
          <w:rFonts w:cstheme="minorHAnsi"/>
          <w:sz w:val="24"/>
          <w:szCs w:val="24"/>
        </w:rPr>
        <w:t xml:space="preserve">, Sibut a été réalisée. </w:t>
      </w:r>
    </w:p>
    <w:p w:rsidR="004A0C4F" w:rsidRPr="005E36B3" w:rsidRDefault="00864D3C" w:rsidP="004A0C4F">
      <w:pPr>
        <w:spacing w:line="240" w:lineRule="auto"/>
        <w:jc w:val="both"/>
        <w:rPr>
          <w:rFonts w:eastAsia="Calibri" w:cstheme="minorHAnsi"/>
          <w:color w:val="000000"/>
          <w:sz w:val="24"/>
          <w:szCs w:val="24"/>
        </w:rPr>
      </w:pPr>
      <w:r w:rsidRPr="005E36B3">
        <w:rPr>
          <w:rFonts w:eastAsia="Calibri" w:cstheme="minorHAnsi"/>
          <w:b/>
          <w:color w:val="000000"/>
          <w:sz w:val="24"/>
          <w:szCs w:val="24"/>
          <w:u w:val="single"/>
        </w:rPr>
        <w:t>2-4 Dans le domaine de l</w:t>
      </w:r>
      <w:r w:rsidR="004A0C4F" w:rsidRPr="005E36B3">
        <w:rPr>
          <w:rFonts w:eastAsia="Calibri" w:cstheme="minorHAnsi"/>
          <w:b/>
          <w:color w:val="000000"/>
          <w:sz w:val="24"/>
          <w:szCs w:val="24"/>
          <w:u w:val="single"/>
        </w:rPr>
        <w:t>a protection sociale</w:t>
      </w:r>
      <w:r w:rsidR="004A0C4F" w:rsidRPr="005E36B3">
        <w:rPr>
          <w:rFonts w:eastAsia="Calibri" w:cstheme="minorHAnsi"/>
          <w:color w:val="000000"/>
          <w:sz w:val="24"/>
          <w:szCs w:val="24"/>
        </w:rPr>
        <w:t xml:space="preserve"> </w:t>
      </w:r>
    </w:p>
    <w:p w:rsidR="004A0C4F" w:rsidRPr="005E36B3" w:rsidRDefault="0025160E" w:rsidP="004A0C4F">
      <w:pPr>
        <w:spacing w:line="240" w:lineRule="auto"/>
        <w:jc w:val="both"/>
        <w:rPr>
          <w:rFonts w:eastAsia="Calibri" w:cstheme="minorHAnsi"/>
          <w:color w:val="000000"/>
          <w:sz w:val="24"/>
          <w:szCs w:val="24"/>
        </w:rPr>
      </w:pPr>
      <w:r>
        <w:rPr>
          <w:rFonts w:eastAsia="Calibri" w:cstheme="minorHAnsi"/>
          <w:color w:val="000000"/>
          <w:sz w:val="24"/>
          <w:szCs w:val="24"/>
        </w:rPr>
        <w:t>L</w:t>
      </w:r>
      <w:r w:rsidR="004A0C4F" w:rsidRPr="005E36B3">
        <w:rPr>
          <w:rFonts w:eastAsia="Calibri" w:cstheme="minorHAnsi"/>
          <w:color w:val="000000"/>
          <w:sz w:val="24"/>
          <w:szCs w:val="24"/>
        </w:rPr>
        <w:t>e statut général de la fonction publique est le texte qui garantit la protection des fonctionnaires</w:t>
      </w:r>
      <w:r>
        <w:rPr>
          <w:rFonts w:eastAsia="Calibri" w:cstheme="minorHAnsi"/>
          <w:color w:val="000000"/>
          <w:sz w:val="24"/>
          <w:szCs w:val="24"/>
        </w:rPr>
        <w:t xml:space="preserve"> et agents de l’Etat</w:t>
      </w:r>
      <w:r w:rsidR="004A0C4F" w:rsidRPr="005E36B3">
        <w:rPr>
          <w:rFonts w:eastAsia="Calibri" w:cstheme="minorHAnsi"/>
          <w:color w:val="000000"/>
          <w:sz w:val="24"/>
          <w:szCs w:val="24"/>
        </w:rPr>
        <w:t>. Les maladies professionnelles et les accidents de travail sont gérés par un conseil médical dont la présidence est assurée par le Ministère de la Protection sociale à travers la Direction de la médicine du Travail.</w:t>
      </w:r>
    </w:p>
    <w:p w:rsidR="004A0C4F" w:rsidRPr="005E36B3" w:rsidRDefault="0025160E" w:rsidP="00BD3FB4">
      <w:pPr>
        <w:spacing w:line="240" w:lineRule="auto"/>
        <w:jc w:val="both"/>
        <w:rPr>
          <w:rFonts w:eastAsia="Calibri" w:cstheme="minorHAnsi"/>
          <w:color w:val="000000"/>
          <w:sz w:val="24"/>
          <w:szCs w:val="24"/>
        </w:rPr>
      </w:pPr>
      <w:r>
        <w:rPr>
          <w:rFonts w:eastAsia="Calibri" w:cstheme="minorHAnsi"/>
          <w:color w:val="000000"/>
          <w:sz w:val="24"/>
          <w:szCs w:val="24"/>
        </w:rPr>
        <w:t>Dans le</w:t>
      </w:r>
      <w:r w:rsidR="004A0C4F" w:rsidRPr="005E36B3">
        <w:rPr>
          <w:rFonts w:eastAsia="Calibri" w:cstheme="minorHAnsi"/>
          <w:color w:val="000000"/>
          <w:sz w:val="24"/>
          <w:szCs w:val="24"/>
        </w:rPr>
        <w:t xml:space="preserve"> secteur privé et para public, le code du travail dans son art 127 garantit les droits et les obligations des parties, la santé et la sécurité au travail. Les assurés sociaux sont régis par la loi N° 06.035 du 28 décembre 2006 portant code de sécurité sociale, bénéficiant des allocations familiales, des indemnisations dues aux maladies professionnelles et accidents de travail.</w:t>
      </w:r>
    </w:p>
    <w:p w:rsidR="004A0C4F" w:rsidRPr="005E36B3" w:rsidRDefault="004A0C4F" w:rsidP="00BD3FB4">
      <w:pPr>
        <w:spacing w:line="240" w:lineRule="auto"/>
        <w:jc w:val="both"/>
        <w:rPr>
          <w:rFonts w:eastAsia="Calibri" w:cstheme="minorHAnsi"/>
          <w:color w:val="000000"/>
          <w:sz w:val="24"/>
          <w:szCs w:val="24"/>
        </w:rPr>
      </w:pPr>
      <w:r w:rsidRPr="005E36B3">
        <w:rPr>
          <w:rFonts w:eastAsia="Calibri" w:cstheme="minorHAnsi"/>
          <w:color w:val="000000"/>
          <w:sz w:val="24"/>
          <w:szCs w:val="24"/>
        </w:rPr>
        <w:t>L’assurance maladie est assurée par le Ministère de la santé à travers la gratuité ciblée de soins.</w:t>
      </w:r>
    </w:p>
    <w:p w:rsidR="00864D3C" w:rsidRPr="005E36B3" w:rsidRDefault="004A0C4F" w:rsidP="00BD3FB4">
      <w:pPr>
        <w:spacing w:line="240" w:lineRule="auto"/>
        <w:jc w:val="both"/>
        <w:rPr>
          <w:rFonts w:eastAsia="Calibri" w:cstheme="minorHAnsi"/>
          <w:color w:val="000000"/>
          <w:sz w:val="24"/>
          <w:szCs w:val="24"/>
        </w:rPr>
      </w:pPr>
      <w:r w:rsidRPr="005E36B3">
        <w:rPr>
          <w:rFonts w:eastAsia="Calibri" w:cstheme="minorHAnsi"/>
          <w:color w:val="000000"/>
          <w:sz w:val="24"/>
          <w:szCs w:val="24"/>
        </w:rPr>
        <w:lastRenderedPageBreak/>
        <w:t xml:space="preserve">Des mesures sont prises dans le Code du Travail pour la protection des enfants travailleurs et des </w:t>
      </w:r>
      <w:r w:rsidRPr="005E36B3">
        <w:rPr>
          <w:rFonts w:eastAsia="Calibri" w:cstheme="minorHAnsi"/>
          <w:sz w:val="24"/>
          <w:szCs w:val="24"/>
        </w:rPr>
        <w:t xml:space="preserve">sanctions </w:t>
      </w:r>
      <w:r w:rsidRPr="005E36B3">
        <w:rPr>
          <w:rFonts w:eastAsia="Calibri" w:cstheme="minorHAnsi"/>
          <w:color w:val="000000"/>
          <w:sz w:val="24"/>
          <w:szCs w:val="24"/>
        </w:rPr>
        <w:t xml:space="preserve">pour l’utilisation ou l’exploitation économiques des enfants. </w:t>
      </w:r>
    </w:p>
    <w:p w:rsidR="004A0C4F" w:rsidRPr="005E36B3" w:rsidRDefault="004A0C4F" w:rsidP="00BD3FB4">
      <w:pPr>
        <w:spacing w:line="240" w:lineRule="auto"/>
        <w:jc w:val="both"/>
        <w:rPr>
          <w:rFonts w:eastAsia="Calibri" w:cstheme="minorHAnsi"/>
          <w:color w:val="000000"/>
          <w:sz w:val="24"/>
          <w:szCs w:val="24"/>
        </w:rPr>
      </w:pPr>
      <w:r w:rsidRPr="005E36B3">
        <w:rPr>
          <w:rFonts w:eastAsia="Calibri" w:cstheme="minorHAnsi"/>
          <w:color w:val="000000"/>
          <w:sz w:val="24"/>
          <w:szCs w:val="24"/>
        </w:rPr>
        <w:t xml:space="preserve"> Les dispositions du Code minier interdisent l’utilisation des enfants dans les chantiers et les sites miniers.</w:t>
      </w:r>
    </w:p>
    <w:p w:rsidR="004A0C4F" w:rsidRPr="005E36B3" w:rsidRDefault="00864D3C" w:rsidP="00BD3FB4">
      <w:pPr>
        <w:pStyle w:val="EPRIText"/>
        <w:rPr>
          <w:rFonts w:asciiTheme="minorHAnsi" w:hAnsiTheme="minorHAnsi" w:cstheme="minorHAnsi"/>
          <w:lang w:val="fr-FR"/>
        </w:rPr>
      </w:pPr>
      <w:r w:rsidRPr="005E36B3">
        <w:rPr>
          <w:rFonts w:asciiTheme="minorHAnsi" w:hAnsiTheme="minorHAnsi" w:cstheme="minorHAnsi"/>
          <w:iCs/>
          <w:lang w:val="fr-FR"/>
        </w:rPr>
        <w:t>L</w:t>
      </w:r>
      <w:r w:rsidR="004A0C4F" w:rsidRPr="005E36B3">
        <w:rPr>
          <w:rFonts w:asciiTheme="minorHAnsi" w:hAnsiTheme="minorHAnsi" w:cstheme="minorHAnsi"/>
          <w:iCs/>
          <w:lang w:val="fr-FR"/>
        </w:rPr>
        <w:t>e gouvernement s’est engagé à bâtir un système de Protection sociale intégré et inclusif par la révision en cours du document de la politique de protection sociale de 2012</w:t>
      </w:r>
      <w:r w:rsidR="004A0C4F" w:rsidRPr="005E36B3">
        <w:rPr>
          <w:rFonts w:asciiTheme="minorHAnsi" w:hAnsiTheme="minorHAnsi" w:cstheme="minorHAnsi"/>
          <w:lang w:val="fr-FR"/>
        </w:rPr>
        <w:t xml:space="preserve"> afin de garantir la satisfaction des besoins fondamentaux de base pour tous, mais particulièrement pour les plus vulnérables.</w:t>
      </w:r>
    </w:p>
    <w:p w:rsidR="004A0C4F" w:rsidRPr="005E36B3" w:rsidRDefault="00864D3C" w:rsidP="00BD3FB4">
      <w:pPr>
        <w:spacing w:line="240" w:lineRule="auto"/>
        <w:jc w:val="both"/>
        <w:rPr>
          <w:rFonts w:eastAsia="Calibri" w:cstheme="minorHAnsi"/>
          <w:b/>
          <w:sz w:val="24"/>
          <w:szCs w:val="24"/>
          <w:u w:val="single"/>
        </w:rPr>
      </w:pPr>
      <w:r w:rsidRPr="005E36B3">
        <w:rPr>
          <w:rFonts w:eastAsia="Calibri" w:cstheme="minorHAnsi"/>
          <w:b/>
          <w:sz w:val="24"/>
          <w:szCs w:val="24"/>
          <w:u w:val="single"/>
        </w:rPr>
        <w:t>2-5 Dans le domaine de l’</w:t>
      </w:r>
      <w:r w:rsidR="004A0C4F" w:rsidRPr="005E36B3">
        <w:rPr>
          <w:rFonts w:eastAsia="Calibri" w:cstheme="minorHAnsi"/>
          <w:b/>
          <w:sz w:val="24"/>
          <w:szCs w:val="24"/>
          <w:u w:val="single"/>
        </w:rPr>
        <w:t xml:space="preserve">Education </w:t>
      </w:r>
    </w:p>
    <w:p w:rsidR="004A0C4F" w:rsidRPr="005E36B3" w:rsidRDefault="004A0C4F" w:rsidP="00BD3FB4">
      <w:pPr>
        <w:jc w:val="both"/>
        <w:rPr>
          <w:rFonts w:cstheme="minorHAnsi"/>
          <w:sz w:val="24"/>
          <w:szCs w:val="24"/>
        </w:rPr>
      </w:pPr>
      <w:r w:rsidRPr="005E36B3">
        <w:rPr>
          <w:rFonts w:cstheme="minorHAnsi"/>
          <w:sz w:val="24"/>
          <w:szCs w:val="24"/>
        </w:rPr>
        <w:t xml:space="preserve">Le gouvernement centrafricain à travers le ministère en charge de l’Education nationale avec l’appui </w:t>
      </w:r>
      <w:r w:rsidR="00864D3C" w:rsidRPr="005E36B3">
        <w:rPr>
          <w:rFonts w:cstheme="minorHAnsi"/>
          <w:sz w:val="24"/>
          <w:szCs w:val="24"/>
        </w:rPr>
        <w:t>des partenaires</w:t>
      </w:r>
      <w:r w:rsidRPr="005E36B3">
        <w:rPr>
          <w:rFonts w:cstheme="minorHAnsi"/>
          <w:sz w:val="24"/>
          <w:szCs w:val="24"/>
        </w:rPr>
        <w:t xml:space="preserve"> notamment le Programme Alimentaire Mondial (PAM), la Banque Mondiale et l’Unicef a mis en place plusieurs programmes servant au maintien des enfants à l’école, en particulier les filles. Il s’agit des programmes ci-après :</w:t>
      </w:r>
    </w:p>
    <w:p w:rsidR="00197D9F" w:rsidRPr="005E36B3" w:rsidRDefault="00197D9F" w:rsidP="00197D9F">
      <w:pPr>
        <w:widowControl w:val="0"/>
        <w:numPr>
          <w:ilvl w:val="0"/>
          <w:numId w:val="4"/>
        </w:numPr>
        <w:spacing w:after="0" w:line="240" w:lineRule="auto"/>
        <w:jc w:val="both"/>
        <w:rPr>
          <w:rFonts w:cstheme="minorHAnsi"/>
          <w:sz w:val="24"/>
          <w:szCs w:val="24"/>
        </w:rPr>
      </w:pPr>
      <w:r w:rsidRPr="005E36B3">
        <w:rPr>
          <w:rFonts w:cstheme="minorHAnsi"/>
          <w:sz w:val="24"/>
          <w:szCs w:val="24"/>
        </w:rPr>
        <w:t xml:space="preserve">Programme Alimentation scolaire en vue du maintien des enfants, en particulier des filles à l’école (Gouvernement-PAM) : sur 3367 écoles publiques pour 1.237.988 élèves, 1355 écoles soit 144 000 bénéficiaires sont concernés ; </w:t>
      </w:r>
    </w:p>
    <w:p w:rsidR="00197D9F" w:rsidRPr="005E36B3" w:rsidRDefault="00197D9F" w:rsidP="00197D9F">
      <w:pPr>
        <w:widowControl w:val="0"/>
        <w:numPr>
          <w:ilvl w:val="0"/>
          <w:numId w:val="4"/>
        </w:numPr>
        <w:spacing w:after="0" w:line="240" w:lineRule="auto"/>
        <w:jc w:val="both"/>
        <w:rPr>
          <w:rFonts w:cstheme="minorHAnsi"/>
          <w:sz w:val="24"/>
          <w:szCs w:val="24"/>
        </w:rPr>
      </w:pPr>
      <w:r w:rsidRPr="005E36B3">
        <w:rPr>
          <w:rFonts w:cstheme="minorHAnsi"/>
          <w:sz w:val="24"/>
          <w:szCs w:val="24"/>
        </w:rPr>
        <w:t>Education accélérée, programme destiné à la récupération et l’éducation des enfants ayant décroché : cible 350 écoles dans six Préfectures de la RCA. Il est dans sa phase pilote.</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Rendre l’école accessible aux filles</w:t>
      </w:r>
      <w:r w:rsidRPr="005E36B3">
        <w:rPr>
          <w:rFonts w:cstheme="minorHAnsi"/>
          <w:b/>
          <w:sz w:val="24"/>
          <w:szCs w:val="24"/>
        </w:rPr>
        <w:t> (</w:t>
      </w:r>
      <w:r w:rsidRPr="005E36B3">
        <w:rPr>
          <w:rFonts w:cstheme="minorHAnsi"/>
          <w:sz w:val="24"/>
          <w:szCs w:val="24"/>
        </w:rPr>
        <w:t>PREAAF). Programme du projet MAÏNGO octroie des bourses d’étude dès la classe de CE2 jusqu’en 3</w:t>
      </w:r>
      <w:r w:rsidRPr="005E36B3">
        <w:rPr>
          <w:rFonts w:cstheme="minorHAnsi"/>
          <w:sz w:val="24"/>
          <w:szCs w:val="24"/>
          <w:vertAlign w:val="superscript"/>
        </w:rPr>
        <w:t>ème </w:t>
      </w:r>
      <w:r w:rsidRPr="005E36B3">
        <w:rPr>
          <w:rFonts w:cstheme="minorHAnsi"/>
          <w:sz w:val="24"/>
          <w:szCs w:val="24"/>
        </w:rPr>
        <w:t xml:space="preserve">: 375 écoles du Fondamental 1 et 54 du Fondamental 2 sont ciblées 4 ans. </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 xml:space="preserve">Plan sectoriel de 2017 prévoit la formation 16 000 enseignants d’ici 2030. </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 xml:space="preserve">Elargissement des Centres Pédagogiques Régionaux et formation de 2000 enseignants par an repartis à raison de 100 par CPR. </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 xml:space="preserve">Renforcer de capacité de 5000 enseignants en technique d’appui psycho social avec l’appui de l’UNICEF. </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Formation des communautés sur le SAFE SCHOOL qui est une stratégie visant à protéger les infrastructures scolaires contre les attaques et leurs occupations.</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Pénalisation des attaques, occupation d’écoles, d’hôpitaux ou entrave à l’aide humanitaire par le Code de Protection de l’Enfance (Emprisonnement de 10 à 20 ans et ou amende de 5 000.000 à 20.000.000 FCFA).</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 xml:space="preserve">Construction de </w:t>
      </w:r>
      <w:r w:rsidRPr="005E36B3">
        <w:rPr>
          <w:rFonts w:cstheme="minorHAnsi"/>
          <w:b/>
          <w:sz w:val="24"/>
          <w:szCs w:val="24"/>
        </w:rPr>
        <w:t>1133 salles</w:t>
      </w:r>
      <w:r w:rsidRPr="005E36B3">
        <w:rPr>
          <w:rFonts w:cstheme="minorHAnsi"/>
          <w:sz w:val="24"/>
          <w:szCs w:val="24"/>
        </w:rPr>
        <w:t xml:space="preserve"> de classe décomposée en Préscolaire (89 salles), Fondamental 1 (800 salles), Fondamental 2 (244 salles) réparties sur 12 préfectures. </w:t>
      </w:r>
    </w:p>
    <w:p w:rsidR="00197D9F" w:rsidRPr="005E36B3" w:rsidRDefault="00197D9F" w:rsidP="00197D9F">
      <w:pPr>
        <w:widowControl w:val="0"/>
        <w:numPr>
          <w:ilvl w:val="0"/>
          <w:numId w:val="5"/>
        </w:numPr>
        <w:spacing w:after="0" w:line="240" w:lineRule="auto"/>
        <w:jc w:val="both"/>
        <w:rPr>
          <w:rFonts w:cstheme="minorHAnsi"/>
          <w:sz w:val="24"/>
          <w:szCs w:val="24"/>
        </w:rPr>
      </w:pPr>
      <w:r w:rsidRPr="005E36B3">
        <w:rPr>
          <w:rFonts w:cstheme="minorHAnsi"/>
          <w:sz w:val="24"/>
          <w:szCs w:val="24"/>
        </w:rPr>
        <w:t xml:space="preserve">231 salles construites en 2023. 902 constructions prévues en 2024.  </w:t>
      </w:r>
    </w:p>
    <w:p w:rsidR="00197D9F" w:rsidRPr="005E36B3" w:rsidRDefault="00197D9F" w:rsidP="005E36B3">
      <w:pPr>
        <w:widowControl w:val="0"/>
        <w:numPr>
          <w:ilvl w:val="0"/>
          <w:numId w:val="5"/>
        </w:numPr>
        <w:spacing w:after="0" w:line="240" w:lineRule="auto"/>
        <w:jc w:val="both"/>
        <w:rPr>
          <w:rFonts w:cstheme="minorHAnsi"/>
          <w:sz w:val="24"/>
          <w:szCs w:val="24"/>
        </w:rPr>
      </w:pPr>
      <w:r w:rsidRPr="005E36B3">
        <w:rPr>
          <w:rFonts w:cstheme="minorHAnsi"/>
          <w:sz w:val="24"/>
          <w:szCs w:val="24"/>
        </w:rPr>
        <w:t>Projet d’Urgence de Soutien à l’Education de Base (PUSEB), la prévision des infrastructures et équipements du projet s’élève à 1050 salles de classes, 410 latrines 18 900 tables bancs, 1050 bureaux enseignants, 1050 chaises réparties dans 6 préfectures.</w:t>
      </w:r>
    </w:p>
    <w:p w:rsidR="005E36B3" w:rsidRDefault="005E36B3" w:rsidP="00BD3FB4">
      <w:pPr>
        <w:pStyle w:val="SingleTxt"/>
        <w:spacing w:line="240" w:lineRule="exact"/>
        <w:ind w:left="0"/>
        <w:rPr>
          <w:rFonts w:asciiTheme="minorHAnsi" w:hAnsiTheme="minorHAnsi" w:cstheme="minorHAnsi"/>
          <w:b/>
          <w:sz w:val="24"/>
          <w:szCs w:val="24"/>
          <w:u w:val="single"/>
          <w:lang w:val="fr-FR"/>
        </w:rPr>
      </w:pPr>
    </w:p>
    <w:p w:rsidR="004A0C4F" w:rsidRPr="005E36B3" w:rsidRDefault="00BC2D56" w:rsidP="00BD3FB4">
      <w:pPr>
        <w:pStyle w:val="SingleTxt"/>
        <w:spacing w:line="240" w:lineRule="exact"/>
        <w:ind w:left="0"/>
        <w:rPr>
          <w:rFonts w:asciiTheme="minorHAnsi" w:hAnsiTheme="minorHAnsi" w:cstheme="minorHAnsi"/>
          <w:b/>
          <w:sz w:val="24"/>
          <w:szCs w:val="24"/>
          <w:u w:val="single"/>
          <w:lang w:val="fr-FR"/>
        </w:rPr>
      </w:pPr>
      <w:r w:rsidRPr="005E36B3">
        <w:rPr>
          <w:rFonts w:asciiTheme="minorHAnsi" w:hAnsiTheme="minorHAnsi" w:cstheme="minorHAnsi"/>
          <w:b/>
          <w:sz w:val="24"/>
          <w:szCs w:val="24"/>
          <w:u w:val="single"/>
          <w:lang w:val="fr-FR"/>
        </w:rPr>
        <w:t>2-6 Dans le Domaine de l’</w:t>
      </w:r>
      <w:r w:rsidR="004A0C4F" w:rsidRPr="005E36B3">
        <w:rPr>
          <w:rFonts w:asciiTheme="minorHAnsi" w:hAnsiTheme="minorHAnsi" w:cstheme="minorHAnsi"/>
          <w:b/>
          <w:sz w:val="24"/>
          <w:szCs w:val="24"/>
          <w:u w:val="single"/>
          <w:lang w:val="fr-FR"/>
        </w:rPr>
        <w:t>Enregistrement de naissance</w:t>
      </w:r>
      <w:r w:rsidRPr="005E36B3">
        <w:rPr>
          <w:rFonts w:asciiTheme="minorHAnsi" w:hAnsiTheme="minorHAnsi" w:cstheme="minorHAnsi"/>
          <w:b/>
          <w:sz w:val="24"/>
          <w:szCs w:val="24"/>
          <w:u w:val="single"/>
          <w:lang w:val="fr-FR"/>
        </w:rPr>
        <w:t>s</w:t>
      </w:r>
      <w:r w:rsidR="004A0C4F" w:rsidRPr="005E36B3">
        <w:rPr>
          <w:rFonts w:asciiTheme="minorHAnsi" w:hAnsiTheme="minorHAnsi" w:cstheme="minorHAnsi"/>
          <w:b/>
          <w:sz w:val="24"/>
          <w:szCs w:val="24"/>
          <w:u w:val="single"/>
          <w:lang w:val="fr-FR"/>
        </w:rPr>
        <w:t xml:space="preserve"> </w:t>
      </w:r>
    </w:p>
    <w:p w:rsidR="004A0C4F" w:rsidRPr="005E36B3" w:rsidRDefault="004A0C4F" w:rsidP="00320B4B">
      <w:pPr>
        <w:pStyle w:val="Paragraphedeliste"/>
        <w:ind w:left="0"/>
        <w:jc w:val="both"/>
        <w:rPr>
          <w:rFonts w:cstheme="minorHAnsi"/>
          <w:sz w:val="24"/>
          <w:szCs w:val="24"/>
        </w:rPr>
      </w:pPr>
      <w:r w:rsidRPr="005E36B3">
        <w:rPr>
          <w:rFonts w:cstheme="minorHAnsi"/>
          <w:sz w:val="24"/>
          <w:szCs w:val="24"/>
        </w:rPr>
        <w:lastRenderedPageBreak/>
        <w:t>Le gouver</w:t>
      </w:r>
      <w:r w:rsidR="00BD3FB4" w:rsidRPr="005E36B3">
        <w:rPr>
          <w:rFonts w:cstheme="minorHAnsi"/>
          <w:sz w:val="24"/>
          <w:szCs w:val="24"/>
        </w:rPr>
        <w:t>nement centrafricain a inscrit la</w:t>
      </w:r>
      <w:r w:rsidRPr="005E36B3">
        <w:rPr>
          <w:rFonts w:cstheme="minorHAnsi"/>
          <w:sz w:val="24"/>
          <w:szCs w:val="24"/>
        </w:rPr>
        <w:t xml:space="preserve"> question d’enregistrement de naissance</w:t>
      </w:r>
      <w:r w:rsidR="00BC2D56" w:rsidRPr="005E36B3">
        <w:rPr>
          <w:rFonts w:cstheme="minorHAnsi"/>
          <w:sz w:val="24"/>
          <w:szCs w:val="24"/>
        </w:rPr>
        <w:t>s</w:t>
      </w:r>
      <w:r w:rsidRPr="005E36B3">
        <w:rPr>
          <w:rFonts w:cstheme="minorHAnsi"/>
          <w:sz w:val="24"/>
          <w:szCs w:val="24"/>
        </w:rPr>
        <w:t xml:space="preserve"> dans le code de protection de l’enfant en son article 18 qui dispose « Tout enfant a le droit d’être enregistré à l’Etat Civil dans les 180 jours qui suivent sa naissance. La déclaration et l’obtention de l’acte de naissance sont gratuites sur l’ensemble du territoire et dans les représentations diploma</w:t>
      </w:r>
      <w:r w:rsidR="00BD3FB4" w:rsidRPr="005E36B3">
        <w:rPr>
          <w:rFonts w:cstheme="minorHAnsi"/>
          <w:sz w:val="24"/>
          <w:szCs w:val="24"/>
        </w:rPr>
        <w:t>tiques et consulaires.</w:t>
      </w:r>
      <w:r w:rsidRPr="005E36B3">
        <w:rPr>
          <w:rFonts w:cstheme="minorHAnsi"/>
          <w:sz w:val="24"/>
          <w:szCs w:val="24"/>
        </w:rPr>
        <w:t xml:space="preserve"> Le délai de déclaration de naissance qui était de 30 jours dans la législation précédente a été sensiblement augmenté afin de faciliter l’enregistrement des nouveaux nés.</w:t>
      </w:r>
    </w:p>
    <w:p w:rsidR="008D39CF" w:rsidRDefault="005E36B3">
      <w:pPr>
        <w:rPr>
          <w:rFonts w:cstheme="minorHAnsi"/>
          <w:sz w:val="24"/>
          <w:szCs w:val="24"/>
        </w:rPr>
      </w:pPr>
      <w:r w:rsidRPr="005E36B3">
        <w:rPr>
          <w:rFonts w:cstheme="minorHAnsi"/>
          <w:sz w:val="24"/>
          <w:szCs w:val="24"/>
        </w:rPr>
        <w:t xml:space="preserve">De 2018 à 2022 plus de 14 118 enfants ont été déclarés à la naissance ,14 119 ont obtenu des jugements </w:t>
      </w:r>
      <w:r w:rsidR="0025160E" w:rsidRPr="005E36B3">
        <w:rPr>
          <w:rFonts w:cstheme="minorHAnsi"/>
          <w:sz w:val="24"/>
          <w:szCs w:val="24"/>
        </w:rPr>
        <w:t>supplétifs et</w:t>
      </w:r>
      <w:r w:rsidRPr="005E36B3">
        <w:rPr>
          <w:rFonts w:cstheme="minorHAnsi"/>
          <w:sz w:val="24"/>
          <w:szCs w:val="24"/>
        </w:rPr>
        <w:t xml:space="preserve"> 14120 ont reçus des actes de </w:t>
      </w:r>
      <w:r w:rsidR="0029082F" w:rsidRPr="005E36B3">
        <w:rPr>
          <w:rFonts w:cstheme="minorHAnsi"/>
          <w:sz w:val="24"/>
          <w:szCs w:val="24"/>
        </w:rPr>
        <w:t>naissance</w:t>
      </w:r>
      <w:r w:rsidR="0029082F">
        <w:rPr>
          <w:rFonts w:cstheme="minorHAnsi"/>
          <w:sz w:val="24"/>
          <w:szCs w:val="24"/>
        </w:rPr>
        <w:t>.</w:t>
      </w:r>
    </w:p>
    <w:p w:rsidR="0025160E" w:rsidRDefault="0025160E">
      <w:pPr>
        <w:rPr>
          <w:rFonts w:cstheme="minorHAnsi"/>
          <w:sz w:val="24"/>
          <w:szCs w:val="24"/>
        </w:rPr>
      </w:pPr>
    </w:p>
    <w:p w:rsidR="0025160E" w:rsidRDefault="0025160E">
      <w:pPr>
        <w:rPr>
          <w:rFonts w:cstheme="minorHAnsi"/>
          <w:sz w:val="24"/>
          <w:szCs w:val="24"/>
        </w:rPr>
      </w:pPr>
    </w:p>
    <w:p w:rsidR="0025160E" w:rsidRDefault="0025160E" w:rsidP="00336C8B">
      <w:pPr>
        <w:pStyle w:val="Sansinterligne"/>
      </w:pPr>
      <w:r>
        <w:t xml:space="preserve">                                                                                                   </w:t>
      </w:r>
      <w:r w:rsidR="00336C8B">
        <w:t xml:space="preserve">        </w:t>
      </w:r>
      <w:r>
        <w:t xml:space="preserve"> Le Ministre Chargé de la Promotion</w:t>
      </w:r>
    </w:p>
    <w:p w:rsidR="0029082F" w:rsidRDefault="0025160E" w:rsidP="00336C8B">
      <w:pPr>
        <w:pStyle w:val="Sansinterligne"/>
      </w:pPr>
      <w:r>
        <w:t xml:space="preserve">                                                                                                   </w:t>
      </w:r>
      <w:r w:rsidR="00336C8B">
        <w:t xml:space="preserve">         </w:t>
      </w:r>
      <w:r>
        <w:t xml:space="preserve">Du </w:t>
      </w:r>
      <w:r w:rsidR="00F950DA">
        <w:t>Genre, de</w:t>
      </w:r>
      <w:r>
        <w:t xml:space="preserve"> la Protection de la Femme</w:t>
      </w:r>
      <w:r w:rsidR="0029082F">
        <w:t xml:space="preserve"> </w:t>
      </w:r>
    </w:p>
    <w:p w:rsidR="0029082F" w:rsidRDefault="0029082F" w:rsidP="00336C8B">
      <w:pPr>
        <w:pStyle w:val="Sansinterligne"/>
      </w:pPr>
      <w:r>
        <w:t xml:space="preserve">                                                                                                   </w:t>
      </w:r>
      <w:r w:rsidR="00336C8B">
        <w:t xml:space="preserve">         </w:t>
      </w:r>
      <w:r>
        <w:t>De la Famille et de l’Enfant.</w:t>
      </w:r>
    </w:p>
    <w:p w:rsidR="0029082F" w:rsidRDefault="0029082F">
      <w:pPr>
        <w:rPr>
          <w:rFonts w:cstheme="minorHAnsi"/>
          <w:sz w:val="24"/>
          <w:szCs w:val="24"/>
        </w:rPr>
      </w:pPr>
    </w:p>
    <w:p w:rsidR="0025160E" w:rsidRPr="0029082F" w:rsidRDefault="0029082F">
      <w:pPr>
        <w:rPr>
          <w:rFonts w:cstheme="minorHAnsi"/>
          <w:b/>
          <w:sz w:val="24"/>
          <w:szCs w:val="24"/>
          <w:u w:val="single"/>
        </w:rPr>
      </w:pPr>
      <w:r>
        <w:rPr>
          <w:rFonts w:cstheme="minorHAnsi"/>
          <w:sz w:val="24"/>
          <w:szCs w:val="24"/>
        </w:rPr>
        <w:t xml:space="preserve">                                                                                                   </w:t>
      </w:r>
      <w:r w:rsidRPr="0029082F">
        <w:rPr>
          <w:rFonts w:cstheme="minorHAnsi"/>
          <w:b/>
          <w:sz w:val="24"/>
          <w:szCs w:val="24"/>
          <w:u w:val="single"/>
        </w:rPr>
        <w:t xml:space="preserve"> Dr Marthe Augustine KIRIMAT</w:t>
      </w:r>
      <w:r w:rsidR="0025160E" w:rsidRPr="0029082F">
        <w:rPr>
          <w:rFonts w:cstheme="minorHAnsi"/>
          <w:b/>
          <w:sz w:val="24"/>
          <w:szCs w:val="24"/>
          <w:u w:val="single"/>
        </w:rPr>
        <w:t xml:space="preserve">,             </w:t>
      </w:r>
    </w:p>
    <w:p w:rsidR="0025160E" w:rsidRDefault="0025160E">
      <w:pPr>
        <w:rPr>
          <w:rFonts w:cstheme="minorHAnsi"/>
          <w:sz w:val="24"/>
          <w:szCs w:val="24"/>
        </w:rPr>
      </w:pPr>
      <w:r>
        <w:rPr>
          <w:rFonts w:cstheme="minorHAnsi"/>
          <w:sz w:val="24"/>
          <w:szCs w:val="24"/>
        </w:rPr>
        <w:t xml:space="preserve">                                                                                                   </w:t>
      </w:r>
    </w:p>
    <w:p w:rsidR="0025160E" w:rsidRDefault="0025160E">
      <w:pPr>
        <w:rPr>
          <w:rFonts w:cstheme="minorHAnsi"/>
          <w:sz w:val="24"/>
          <w:szCs w:val="24"/>
        </w:rPr>
      </w:pPr>
    </w:p>
    <w:p w:rsidR="0025160E" w:rsidRDefault="0025160E">
      <w:pPr>
        <w:rPr>
          <w:rFonts w:cstheme="minorHAnsi"/>
          <w:sz w:val="24"/>
          <w:szCs w:val="24"/>
        </w:rPr>
      </w:pPr>
    </w:p>
    <w:p w:rsidR="0025160E" w:rsidRPr="005E36B3" w:rsidRDefault="0025160E">
      <w:pPr>
        <w:rPr>
          <w:rFonts w:cstheme="minorHAnsi"/>
          <w:sz w:val="24"/>
          <w:szCs w:val="24"/>
        </w:rPr>
      </w:pPr>
      <w:r>
        <w:rPr>
          <w:rFonts w:cstheme="minorHAnsi"/>
          <w:sz w:val="24"/>
          <w:szCs w:val="24"/>
        </w:rPr>
        <w:t xml:space="preserve">                                                                       </w:t>
      </w:r>
    </w:p>
    <w:sectPr w:rsidR="0025160E" w:rsidRPr="005E36B3">
      <w:pgSz w:w="12240" w:h="15840"/>
      <w:pgMar w:top="1417" w:right="1417" w:bottom="1417" w:left="141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F54CE6"/>
    <w:multiLevelType w:val="hybridMultilevel"/>
    <w:tmpl w:val="CFC442D2"/>
    <w:lvl w:ilvl="0" w:tplc="A70887A2">
      <w:start w:val="5"/>
      <w:numFmt w:val="bullet"/>
      <w:lvlText w:val="-"/>
      <w:lvlJc w:val="left"/>
      <w:pPr>
        <w:ind w:left="767" w:hanging="360"/>
      </w:pPr>
      <w:rPr>
        <w:rFonts w:ascii="Times New Roman" w:eastAsia="SimSun" w:hAnsi="Times New Roman" w:cs="Times New Roman" w:hint="default"/>
      </w:rPr>
    </w:lvl>
    <w:lvl w:ilvl="1" w:tplc="040C0003" w:tentative="1">
      <w:start w:val="1"/>
      <w:numFmt w:val="bullet"/>
      <w:lvlText w:val="o"/>
      <w:lvlJc w:val="left"/>
      <w:pPr>
        <w:ind w:left="1487" w:hanging="360"/>
      </w:pPr>
      <w:rPr>
        <w:rFonts w:ascii="Courier New" w:hAnsi="Courier New" w:cs="Courier New" w:hint="default"/>
      </w:rPr>
    </w:lvl>
    <w:lvl w:ilvl="2" w:tplc="040C0005" w:tentative="1">
      <w:start w:val="1"/>
      <w:numFmt w:val="bullet"/>
      <w:lvlText w:val=""/>
      <w:lvlJc w:val="left"/>
      <w:pPr>
        <w:ind w:left="2207" w:hanging="360"/>
      </w:pPr>
      <w:rPr>
        <w:rFonts w:ascii="Wingdings" w:hAnsi="Wingdings" w:hint="default"/>
      </w:rPr>
    </w:lvl>
    <w:lvl w:ilvl="3" w:tplc="040C0001" w:tentative="1">
      <w:start w:val="1"/>
      <w:numFmt w:val="bullet"/>
      <w:lvlText w:val=""/>
      <w:lvlJc w:val="left"/>
      <w:pPr>
        <w:ind w:left="2927" w:hanging="360"/>
      </w:pPr>
      <w:rPr>
        <w:rFonts w:ascii="Symbol" w:hAnsi="Symbol" w:hint="default"/>
      </w:rPr>
    </w:lvl>
    <w:lvl w:ilvl="4" w:tplc="040C0003" w:tentative="1">
      <w:start w:val="1"/>
      <w:numFmt w:val="bullet"/>
      <w:lvlText w:val="o"/>
      <w:lvlJc w:val="left"/>
      <w:pPr>
        <w:ind w:left="3647" w:hanging="360"/>
      </w:pPr>
      <w:rPr>
        <w:rFonts w:ascii="Courier New" w:hAnsi="Courier New" w:cs="Courier New" w:hint="default"/>
      </w:rPr>
    </w:lvl>
    <w:lvl w:ilvl="5" w:tplc="040C0005" w:tentative="1">
      <w:start w:val="1"/>
      <w:numFmt w:val="bullet"/>
      <w:lvlText w:val=""/>
      <w:lvlJc w:val="left"/>
      <w:pPr>
        <w:ind w:left="4367" w:hanging="360"/>
      </w:pPr>
      <w:rPr>
        <w:rFonts w:ascii="Wingdings" w:hAnsi="Wingdings" w:hint="default"/>
      </w:rPr>
    </w:lvl>
    <w:lvl w:ilvl="6" w:tplc="040C0001" w:tentative="1">
      <w:start w:val="1"/>
      <w:numFmt w:val="bullet"/>
      <w:lvlText w:val=""/>
      <w:lvlJc w:val="left"/>
      <w:pPr>
        <w:ind w:left="5087" w:hanging="360"/>
      </w:pPr>
      <w:rPr>
        <w:rFonts w:ascii="Symbol" w:hAnsi="Symbol" w:hint="default"/>
      </w:rPr>
    </w:lvl>
    <w:lvl w:ilvl="7" w:tplc="040C0003" w:tentative="1">
      <w:start w:val="1"/>
      <w:numFmt w:val="bullet"/>
      <w:lvlText w:val="o"/>
      <w:lvlJc w:val="left"/>
      <w:pPr>
        <w:ind w:left="5807" w:hanging="360"/>
      </w:pPr>
      <w:rPr>
        <w:rFonts w:ascii="Courier New" w:hAnsi="Courier New" w:cs="Courier New" w:hint="default"/>
      </w:rPr>
    </w:lvl>
    <w:lvl w:ilvl="8" w:tplc="040C0005" w:tentative="1">
      <w:start w:val="1"/>
      <w:numFmt w:val="bullet"/>
      <w:lvlText w:val=""/>
      <w:lvlJc w:val="left"/>
      <w:pPr>
        <w:ind w:left="6527" w:hanging="360"/>
      </w:pPr>
      <w:rPr>
        <w:rFonts w:ascii="Wingdings" w:hAnsi="Wingdings" w:hint="default"/>
      </w:rPr>
    </w:lvl>
  </w:abstractNum>
  <w:abstractNum w:abstractNumId="1">
    <w:nsid w:val="1E0904AB"/>
    <w:multiLevelType w:val="hybridMultilevel"/>
    <w:tmpl w:val="75F81F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47604FD"/>
    <w:multiLevelType w:val="hybridMultilevel"/>
    <w:tmpl w:val="0A885882"/>
    <w:lvl w:ilvl="0" w:tplc="954636F0">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9EA3C92"/>
    <w:multiLevelType w:val="hybridMultilevel"/>
    <w:tmpl w:val="BFAEEFC4"/>
    <w:lvl w:ilvl="0" w:tplc="F39894B8">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1BF4CE7"/>
    <w:multiLevelType w:val="hybridMultilevel"/>
    <w:tmpl w:val="9328E970"/>
    <w:lvl w:ilvl="0" w:tplc="78D29EB2">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nsid w:val="5C43398E"/>
    <w:multiLevelType w:val="hybridMultilevel"/>
    <w:tmpl w:val="8D78C598"/>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nsid w:val="6AE933E5"/>
    <w:multiLevelType w:val="hybridMultilevel"/>
    <w:tmpl w:val="195677CA"/>
    <w:lvl w:ilvl="0" w:tplc="954636F0">
      <w:start w:val="1"/>
      <w:numFmt w:val="bullet"/>
      <w:lvlText w:val=""/>
      <w:lvlJc w:val="center"/>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6C0140E9"/>
    <w:multiLevelType w:val="multilevel"/>
    <w:tmpl w:val="C72A4C7A"/>
    <w:lvl w:ilvl="0">
      <w:start w:val="14"/>
      <w:numFmt w:val="decimal"/>
      <w:lvlText w:val="%1"/>
      <w:lvlJc w:val="left"/>
      <w:pPr>
        <w:ind w:left="660" w:hanging="660"/>
      </w:pPr>
      <w:rPr>
        <w:rFonts w:hint="default"/>
      </w:rPr>
    </w:lvl>
    <w:lvl w:ilvl="1">
      <w:start w:val="11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6"/>
  </w:num>
  <w:num w:numId="3">
    <w:abstractNumId w:val="7"/>
  </w:num>
  <w:num w:numId="4">
    <w:abstractNumId w:val="3"/>
  </w:num>
  <w:num w:numId="5">
    <w:abstractNumId w:val="0"/>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C4F"/>
    <w:rsid w:val="00197D9F"/>
    <w:rsid w:val="0025160E"/>
    <w:rsid w:val="0028596C"/>
    <w:rsid w:val="0029082F"/>
    <w:rsid w:val="00320B4B"/>
    <w:rsid w:val="00335E39"/>
    <w:rsid w:val="00336C8B"/>
    <w:rsid w:val="003B7414"/>
    <w:rsid w:val="004A0C4F"/>
    <w:rsid w:val="005E2AA6"/>
    <w:rsid w:val="005E36B3"/>
    <w:rsid w:val="00686BC6"/>
    <w:rsid w:val="006B5DA0"/>
    <w:rsid w:val="006E73AE"/>
    <w:rsid w:val="00813A47"/>
    <w:rsid w:val="00864D3C"/>
    <w:rsid w:val="008D39CF"/>
    <w:rsid w:val="00BC2D56"/>
    <w:rsid w:val="00BD3FB4"/>
    <w:rsid w:val="00EA59BC"/>
    <w:rsid w:val="00F950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01BE16-B832-4C97-B0DE-0A7FAA732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C4F"/>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4A0C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aliases w:val="List Paragraph (numbered (a)),References,Bullets,List Bullet Mary,List Paragraph nowy,Numbered List Paragraph,Liste 1,Medium Grid 1 - Accent 21,ReferencesCxSpLast,List Paragraph1,Bullet Paragraph,Liste couleur - Accent 11"/>
    <w:basedOn w:val="Normal"/>
    <w:link w:val="ParagraphedelisteCar"/>
    <w:uiPriority w:val="34"/>
    <w:qFormat/>
    <w:rsid w:val="004A0C4F"/>
    <w:pPr>
      <w:ind w:left="720"/>
      <w:contextualSpacing/>
    </w:pPr>
  </w:style>
  <w:style w:type="paragraph" w:customStyle="1" w:styleId="EPRIText">
    <w:name w:val="EPRI Text"/>
    <w:basedOn w:val="Normal"/>
    <w:link w:val="EPRITextChar"/>
    <w:qFormat/>
    <w:rsid w:val="004A0C4F"/>
    <w:pPr>
      <w:spacing w:before="120" w:after="120" w:line="264" w:lineRule="auto"/>
      <w:jc w:val="both"/>
    </w:pPr>
    <w:rPr>
      <w:rFonts w:asciiTheme="majorHAnsi" w:eastAsiaTheme="minorEastAsia" w:hAnsiTheme="majorHAnsi" w:cstheme="majorHAnsi"/>
      <w:sz w:val="24"/>
      <w:szCs w:val="24"/>
      <w:lang w:val="en-GB"/>
    </w:rPr>
  </w:style>
  <w:style w:type="character" w:customStyle="1" w:styleId="EPRITextChar">
    <w:name w:val="EPRI Text Char"/>
    <w:basedOn w:val="Policepardfaut"/>
    <w:link w:val="EPRIText"/>
    <w:qFormat/>
    <w:rsid w:val="004A0C4F"/>
    <w:rPr>
      <w:rFonts w:asciiTheme="majorHAnsi" w:eastAsiaTheme="minorEastAsia" w:hAnsiTheme="majorHAnsi" w:cstheme="majorHAnsi"/>
      <w:sz w:val="24"/>
      <w:szCs w:val="24"/>
      <w:lang w:val="en-GB"/>
    </w:rPr>
  </w:style>
  <w:style w:type="paragraph" w:customStyle="1" w:styleId="SingleTxt">
    <w:name w:val="__Single Txt"/>
    <w:basedOn w:val="Normal"/>
    <w:uiPriority w:val="99"/>
    <w:qFormat/>
    <w:rsid w:val="004A0C4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hAnsi="Times New Roman" w:cs="Times New Roman"/>
      <w:spacing w:val="4"/>
      <w:w w:val="103"/>
      <w:kern w:val="14"/>
      <w:sz w:val="20"/>
      <w:lang w:val="fr-CA"/>
    </w:rPr>
  </w:style>
  <w:style w:type="character" w:customStyle="1" w:styleId="ParagraphedelisteCar">
    <w:name w:val="Paragraphe de liste Car"/>
    <w:aliases w:val="List Paragraph (numbered (a)) Car,References Car,Bullets Car,List Bullet Mary Car,List Paragraph nowy Car,Numbered List Paragraph Car,Liste 1 Car,Medium Grid 1 - Accent 21 Car,ReferencesCxSpLast Car,List Paragraph1 Car"/>
    <w:link w:val="Paragraphedeliste"/>
    <w:uiPriority w:val="34"/>
    <w:locked/>
    <w:rsid w:val="004A0C4F"/>
  </w:style>
  <w:style w:type="paragraph" w:styleId="Sansinterligne">
    <w:name w:val="No Spacing"/>
    <w:uiPriority w:val="1"/>
    <w:qFormat/>
    <w:rsid w:val="00336C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1528</Words>
  <Characters>8715</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Melvine Julia GUERE</dc:creator>
  <cp:keywords/>
  <dc:description/>
  <cp:lastModifiedBy>Microsoft account</cp:lastModifiedBy>
  <cp:revision>2</cp:revision>
  <dcterms:created xsi:type="dcterms:W3CDTF">2024-02-12T15:28:00Z</dcterms:created>
  <dcterms:modified xsi:type="dcterms:W3CDTF">2024-02-12T15:28:00Z</dcterms:modified>
</cp:coreProperties>
</file>