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widowControl w:val="0"/>
        <w:jc w:val="center"/>
        <w:rPr>
          <w:rFonts w:ascii="Arial Bold" w:cs="Arial Bold" w:hAnsi="Arial Bold" w:eastAsia="Arial Bold"/>
          <w:kern w:val="28"/>
          <w:lang w:val="en-US"/>
        </w:rPr>
      </w:pPr>
      <w:r>
        <w:rPr>
          <w:rFonts w:ascii="Arial Bold"/>
          <w:kern w:val="28"/>
          <w:sz w:val="24"/>
          <w:szCs w:val="24"/>
          <w:rtl w:val="0"/>
          <w:lang w:val="en-US"/>
        </w:rPr>
        <w:t>Comments on Draft General Comment No. 19 (2016)</w:t>
      </w:r>
    </w:p>
    <w:p>
      <w:pPr>
        <w:pStyle w:val="Body A"/>
        <w:widowControl w:val="0"/>
        <w:jc w:val="center"/>
        <w:rPr>
          <w:rFonts w:ascii="Arial Bold" w:cs="Arial Bold" w:hAnsi="Arial Bold" w:eastAsia="Arial Bold"/>
          <w:kern w:val="28"/>
          <w:sz w:val="24"/>
          <w:szCs w:val="24"/>
          <w:rtl w:val="0"/>
          <w:lang w:val="en-US"/>
        </w:rPr>
      </w:pPr>
      <w:r>
        <w:rPr>
          <w:rFonts w:ascii="Arial Bold"/>
          <w:kern w:val="28"/>
          <w:sz w:val="24"/>
          <w:szCs w:val="24"/>
          <w:rtl w:val="0"/>
          <w:lang w:val="en-US"/>
        </w:rPr>
        <w:t>on Public Spending and the Rights of the Child (Article 4)</w:t>
      </w:r>
    </w:p>
    <w:p>
      <w:pPr>
        <w:pStyle w:val="Body A"/>
        <w:widowControl w:val="0"/>
        <w:jc w:val="center"/>
        <w:rPr>
          <w:rFonts w:ascii="Arial Bold" w:cs="Arial Bold" w:hAnsi="Arial Bold" w:eastAsia="Arial Bold"/>
          <w:kern w:val="28"/>
          <w:lang w:val="en-US"/>
        </w:rPr>
      </w:pPr>
    </w:p>
    <w:p>
      <w:pPr>
        <w:pStyle w:val="Body A"/>
        <w:jc w:val="both"/>
        <w:rPr>
          <w:rFonts w:ascii="Arial" w:cs="Arial" w:hAnsi="Arial" w:eastAsia="Arial"/>
          <w:sz w:val="22"/>
          <w:szCs w:val="22"/>
          <w:lang w:val="en-US"/>
        </w:rPr>
      </w:pP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sz w:val="22"/>
          <w:szCs w:val="22"/>
          <w:rtl w:val="0"/>
          <w:lang w:val="en-US"/>
        </w:rPr>
      </w:pPr>
      <w:r>
        <w:rPr>
          <w:rFonts w:ascii="Arial"/>
          <w:sz w:val="22"/>
          <w:szCs w:val="22"/>
          <w:rtl w:val="0"/>
          <w:lang w:val="en-US"/>
        </w:rPr>
        <w:t>The Philippine Coalition on the UN Convention on the Rights of Persons with Disabilities (</w:t>
      </w:r>
      <w:r>
        <w:rPr>
          <w:rFonts w:hAnsi="Arial" w:hint="default"/>
          <w:sz w:val="22"/>
          <w:szCs w:val="22"/>
          <w:rtl w:val="0"/>
          <w:lang w:val="en-US"/>
        </w:rPr>
        <w:t>“</w:t>
      </w:r>
      <w:r>
        <w:rPr>
          <w:rFonts w:ascii="Arial"/>
          <w:sz w:val="22"/>
          <w:szCs w:val="22"/>
          <w:rtl w:val="0"/>
          <w:lang w:val="en-US"/>
        </w:rPr>
        <w:t>the Coalition</w:t>
      </w:r>
      <w:r>
        <w:rPr>
          <w:rFonts w:hAnsi="Arial" w:hint="default"/>
          <w:sz w:val="22"/>
          <w:szCs w:val="22"/>
          <w:rtl w:val="0"/>
          <w:lang w:val="en-US"/>
        </w:rPr>
        <w:t>”</w:t>
      </w:r>
      <w:r>
        <w:rPr>
          <w:rFonts w:ascii="Arial"/>
          <w:sz w:val="22"/>
          <w:szCs w:val="22"/>
          <w:rtl w:val="0"/>
          <w:lang w:val="en-US"/>
        </w:rPr>
        <w:t>) welcomes the initiative of the Committee on the Rights of the Child  (</w:t>
      </w:r>
      <w:r>
        <w:rPr>
          <w:rFonts w:hAnsi="Arial" w:hint="default"/>
          <w:i w:val="1"/>
          <w:iCs w:val="1"/>
          <w:sz w:val="22"/>
          <w:szCs w:val="22"/>
          <w:rtl w:val="0"/>
          <w:lang w:val="en-US"/>
        </w:rPr>
        <w:t>“</w:t>
      </w:r>
      <w:r>
        <w:rPr>
          <w:rFonts w:ascii="Arial"/>
          <w:sz w:val="22"/>
          <w:szCs w:val="22"/>
          <w:rtl w:val="0"/>
          <w:lang w:val="en-US"/>
        </w:rPr>
        <w:t>the Committee</w:t>
      </w:r>
      <w:r>
        <w:rPr>
          <w:rFonts w:hAnsi="Arial" w:hint="default"/>
          <w:sz w:val="22"/>
          <w:szCs w:val="22"/>
          <w:rtl w:val="0"/>
          <w:lang w:val="en-US"/>
        </w:rPr>
        <w:t>”</w:t>
      </w:r>
      <w:r>
        <w:rPr>
          <w:rFonts w:ascii="Arial"/>
          <w:sz w:val="22"/>
          <w:szCs w:val="22"/>
          <w:rtl w:val="0"/>
          <w:lang w:val="en-US"/>
        </w:rPr>
        <w:t xml:space="preserve">) to have drafted this General Comment on Public Spending and the Rights of the Child (Article 4) to consolidate and further develop its content, standards, and jurisprudence, to provide clearer guidance to States </w:t>
      </w:r>
      <w:r>
        <w:rPr>
          <w:rFonts w:ascii="Arial"/>
          <w:sz w:val="22"/>
          <w:szCs w:val="22"/>
          <w:rtl w:val="0"/>
          <w:lang w:val="en-US"/>
        </w:rPr>
        <w:t>toward</w:t>
      </w:r>
      <w:r>
        <w:rPr>
          <w:rFonts w:ascii="Arial"/>
          <w:sz w:val="22"/>
          <w:szCs w:val="22"/>
          <w:rtl w:val="0"/>
          <w:lang w:val="en-US"/>
        </w:rPr>
        <w:t xml:space="preserve"> achiev</w:t>
      </w:r>
      <w:r>
        <w:rPr>
          <w:rFonts w:ascii="Arial"/>
          <w:sz w:val="22"/>
          <w:szCs w:val="22"/>
          <w:rtl w:val="0"/>
          <w:lang w:val="en-US"/>
        </w:rPr>
        <w:t>ing</w:t>
      </w:r>
      <w:r>
        <w:rPr>
          <w:rFonts w:ascii="Arial"/>
          <w:sz w:val="22"/>
          <w:szCs w:val="22"/>
          <w:rtl w:val="0"/>
          <w:lang w:val="en-US"/>
        </w:rPr>
        <w:t xml:space="preserve"> fully inclusive and compliant public spending for all children.</w:t>
      </w: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sz w:val="22"/>
          <w:szCs w:val="22"/>
          <w:rtl w:val="0"/>
          <w:lang w:val="en-US"/>
        </w:rPr>
      </w:pP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sz w:val="22"/>
          <w:szCs w:val="22"/>
          <w:rtl w:val="0"/>
          <w:lang w:val="en-US"/>
        </w:rPr>
      </w:pPr>
      <w:r>
        <w:rPr>
          <w:rFonts w:ascii="Arial"/>
          <w:sz w:val="22"/>
          <w:szCs w:val="22"/>
          <w:rtl w:val="0"/>
          <w:lang w:val="en-US"/>
        </w:rPr>
        <w:t xml:space="preserve">With the perspective of a developing country in the global South, the Coalition hopes that it can provide some useful insights to the Committee in the challenges faced in public spending that involve children with disability-specific needs </w:t>
      </w:r>
      <w:r>
        <w:rPr>
          <w:rFonts w:ascii="Arial"/>
          <w:sz w:val="22"/>
          <w:szCs w:val="22"/>
          <w:rtl w:val="0"/>
          <w:lang w:val="en-US"/>
        </w:rPr>
        <w:t>and at the same time,</w:t>
      </w:r>
      <w:r>
        <w:rPr>
          <w:rFonts w:ascii="Arial"/>
          <w:sz w:val="22"/>
          <w:szCs w:val="22"/>
          <w:rtl w:val="0"/>
          <w:lang w:val="en-US"/>
        </w:rPr>
        <w:t xml:space="preserve"> as</w:t>
      </w:r>
      <w:r>
        <w:rPr>
          <w:rFonts w:ascii="Arial"/>
          <w:sz w:val="22"/>
          <w:szCs w:val="22"/>
          <w:rtl w:val="0"/>
          <w:lang w:val="en-US"/>
        </w:rPr>
        <w:t xml:space="preserve"> a sector</w:t>
      </w:r>
      <w:r>
        <w:rPr>
          <w:rFonts w:ascii="Arial"/>
          <w:sz w:val="22"/>
          <w:szCs w:val="22"/>
          <w:rtl w:val="0"/>
          <w:lang w:val="en-US"/>
        </w:rPr>
        <w:t xml:space="preserve"> </w:t>
      </w:r>
      <w:r>
        <w:rPr>
          <w:rFonts w:ascii="Arial"/>
          <w:sz w:val="22"/>
          <w:szCs w:val="22"/>
          <w:rtl w:val="0"/>
          <w:lang w:val="en-US"/>
        </w:rPr>
        <w:t xml:space="preserve">making up part of the </w:t>
      </w:r>
      <w:r>
        <w:rPr>
          <w:rFonts w:ascii="Arial"/>
          <w:sz w:val="22"/>
          <w:szCs w:val="22"/>
          <w:rtl w:val="0"/>
          <w:lang w:val="en-US"/>
        </w:rPr>
        <w:t>larger population of all children.</w:t>
      </w:r>
      <w:r>
        <w:rPr>
          <w:rFonts w:ascii="Arial"/>
          <w:sz w:val="22"/>
          <w:szCs w:val="22"/>
          <w:rtl w:val="0"/>
          <w:lang w:val="en-US"/>
        </w:rPr>
        <w:t xml:space="preserve">  The Coalition has done pioneering work on public spending in the Philippines since 2012</w:t>
      </w:r>
      <w:r>
        <w:rPr>
          <w:rFonts w:ascii="Arial" w:cs="Arial" w:hAnsi="Arial" w:eastAsia="Arial"/>
          <w:sz w:val="22"/>
          <w:szCs w:val="22"/>
          <w:vertAlign w:val="superscript"/>
        </w:rPr>
        <w:footnoteReference w:id="1"/>
      </w:r>
      <w:r>
        <w:rPr>
          <w:rFonts w:ascii="Arial"/>
          <w:sz w:val="22"/>
          <w:szCs w:val="22"/>
          <w:rtl w:val="0"/>
          <w:lang w:val="en-US"/>
        </w:rPr>
        <w:t>.</w:t>
      </w:r>
    </w:p>
    <w:p>
      <w:pPr>
        <w:pStyle w:val="Body A"/>
        <w:jc w:val="both"/>
        <w:rPr>
          <w:rFonts w:ascii="Arial" w:cs="Arial" w:hAnsi="Arial" w:eastAsia="Arial"/>
          <w:sz w:val="22"/>
          <w:szCs w:val="22"/>
          <w:rtl w:val="0"/>
          <w:lang w:val="en-US"/>
        </w:rPr>
      </w:pPr>
    </w:p>
    <w:p>
      <w:pPr>
        <w:pStyle w:val="Body A"/>
        <w:jc w:val="both"/>
        <w:rPr>
          <w:rFonts w:ascii="Arial" w:cs="Arial" w:hAnsi="Arial" w:eastAsia="Arial"/>
          <w:sz w:val="22"/>
          <w:szCs w:val="22"/>
          <w:rtl w:val="0"/>
          <w:lang w:val="en-US"/>
        </w:rPr>
      </w:pPr>
    </w:p>
    <w:p>
      <w:pPr>
        <w:pStyle w:val="Body A"/>
        <w:jc w:val="both"/>
        <w:rPr>
          <w:rFonts w:ascii="Arial" w:cs="Arial" w:hAnsi="Arial" w:eastAsia="Arial"/>
          <w:sz w:val="22"/>
          <w:szCs w:val="22"/>
          <w:rtl w:val="0"/>
          <w:lang w:val="en-US"/>
        </w:rPr>
      </w:pPr>
      <w:r>
        <w:rPr>
          <w:rFonts w:ascii="Arial"/>
          <w:i w:val="1"/>
          <w:iCs w:val="1"/>
          <w:sz w:val="22"/>
          <w:szCs w:val="22"/>
          <w:rtl w:val="0"/>
          <w:lang w:val="en-US"/>
        </w:rPr>
        <w:t>The Convention</w:t>
      </w:r>
      <w:r>
        <w:rPr>
          <w:rFonts w:ascii="Arial"/>
          <w:i w:val="1"/>
          <w:iCs w:val="1"/>
          <w:sz w:val="22"/>
          <w:szCs w:val="22"/>
          <w:rtl w:val="0"/>
          <w:lang w:val="en-US"/>
        </w:rPr>
        <w:t xml:space="preserve"> on the Rights of the Child</w:t>
      </w:r>
      <w:r>
        <w:rPr>
          <w:rFonts w:ascii="Arial"/>
          <w:i w:val="1"/>
          <w:iCs w:val="1"/>
          <w:sz w:val="22"/>
          <w:szCs w:val="22"/>
          <w:rtl w:val="0"/>
          <w:lang w:val="en-US"/>
        </w:rPr>
        <w:t xml:space="preserve"> and children with disabilities</w:t>
      </w:r>
    </w:p>
    <w:p>
      <w:pPr>
        <w:pStyle w:val="Body A"/>
        <w:jc w:val="both"/>
        <w:rPr>
          <w:rFonts w:ascii="Arial" w:cs="Arial" w:hAnsi="Arial" w:eastAsia="Arial"/>
          <w:sz w:val="22"/>
          <w:szCs w:val="22"/>
          <w:rtl w:val="0"/>
          <w:lang w:val="en-US"/>
        </w:rPr>
      </w:pPr>
    </w:p>
    <w:p>
      <w:pPr>
        <w:pStyle w:val="Body A"/>
        <w:jc w:val="both"/>
        <w:rPr>
          <w:rFonts w:ascii="Arial" w:cs="Arial" w:hAnsi="Arial" w:eastAsia="Arial"/>
          <w:sz w:val="22"/>
          <w:szCs w:val="22"/>
          <w:lang w:val="en-US"/>
        </w:rPr>
      </w:pPr>
      <w:r>
        <w:rPr>
          <w:rFonts w:ascii="Arial"/>
          <w:sz w:val="22"/>
          <w:szCs w:val="22"/>
          <w:rtl w:val="0"/>
          <w:lang w:val="en-US"/>
        </w:rPr>
        <w:t>The Convention makes specific reference to disabilities, or children with disabilities relating to: basis for discrimination (Art. 5), a full and decent life, specially for those with a mental or physical disability (Art. 23.1), care and assistance (Art. 23.2), financing support and access to services (Art. 23.3), and international cooperation, particularly for developing countries.</w:t>
      </w:r>
    </w:p>
    <w:p>
      <w:pPr>
        <w:pStyle w:val="Body A"/>
        <w:spacing w:after="120"/>
        <w:jc w:val="both"/>
        <w:rPr>
          <w:rFonts w:ascii="Arial" w:cs="Arial" w:hAnsi="Arial" w:eastAsia="Arial"/>
          <w:sz w:val="22"/>
          <w:szCs w:val="22"/>
          <w:lang w:val="en-US"/>
        </w:rPr>
      </w:pPr>
    </w:p>
    <w:p>
      <w:pPr>
        <w:pStyle w:val="Body A"/>
        <w:spacing w:after="120"/>
        <w:jc w:val="both"/>
        <w:rPr>
          <w:rFonts w:ascii="Arial" w:cs="Arial" w:hAnsi="Arial" w:eastAsia="Arial"/>
          <w:sz w:val="22"/>
          <w:szCs w:val="22"/>
          <w:lang w:val="en-US"/>
        </w:rPr>
      </w:pPr>
      <w:r>
        <w:rPr>
          <w:rFonts w:ascii="Arial"/>
          <w:sz w:val="22"/>
          <w:szCs w:val="22"/>
          <w:rtl w:val="0"/>
          <w:lang w:val="en-US"/>
        </w:rPr>
        <w:t>The Coalition refers with appreciation to the Committee</w:t>
      </w:r>
      <w:r>
        <w:rPr>
          <w:rFonts w:hAnsi="Arial" w:hint="default"/>
          <w:sz w:val="22"/>
          <w:szCs w:val="22"/>
          <w:rtl w:val="0"/>
          <w:lang w:val="en-US"/>
        </w:rPr>
        <w:t>’</w:t>
      </w:r>
      <w:r>
        <w:rPr>
          <w:rFonts w:ascii="Arial"/>
          <w:sz w:val="22"/>
          <w:szCs w:val="22"/>
          <w:rtl w:val="0"/>
          <w:lang w:val="en-US"/>
        </w:rPr>
        <w:t>s General Comment No. 9 on Children with Disabilities which recognizes the particular vulnerability of children with disabilities worldwide, more than 80% of whom live in developing countries with little or no access to services.  Summarily, direct references to children with disabilities</w:t>
      </w:r>
      <w:r>
        <w:rPr>
          <w:rFonts w:ascii="Arial"/>
          <w:sz w:val="22"/>
          <w:szCs w:val="22"/>
          <w:rtl w:val="0"/>
          <w:lang w:val="en-US"/>
        </w:rPr>
        <w:t xml:space="preserve"> in this GC No. 9</w:t>
      </w:r>
      <w:r>
        <w:rPr>
          <w:rFonts w:ascii="Arial"/>
          <w:sz w:val="22"/>
          <w:szCs w:val="22"/>
          <w:rtl w:val="0"/>
          <w:lang w:val="en-US"/>
        </w:rPr>
        <w:t xml:space="preserve"> already highlight the following: </w:t>
      </w:r>
    </w:p>
    <w:p>
      <w:pPr>
        <w:pStyle w:val="Body A"/>
        <w:numPr>
          <w:ilvl w:val="0"/>
          <w:numId w:val="3"/>
        </w:numPr>
        <w:tabs>
          <w:tab w:val="num" w:pos="196"/>
          <w:tab w:val="clear" w:pos="180"/>
        </w:tabs>
        <w:bidi w:val="0"/>
        <w:spacing w:after="120"/>
        <w:ind w:left="196" w:right="0" w:hanging="196"/>
        <w:jc w:val="both"/>
        <w:rPr>
          <w:rFonts w:ascii="Arial" w:cs="Arial" w:hAnsi="Arial" w:eastAsia="Arial"/>
          <w:color w:val="ff2600"/>
          <w:position w:val="0"/>
          <w:sz w:val="24"/>
          <w:szCs w:val="24"/>
          <w:u w:color="000000"/>
          <w:rtl w:val="0"/>
        </w:rPr>
      </w:pPr>
      <w:r>
        <w:rPr>
          <w:rFonts w:ascii="Arial"/>
          <w:color w:val="000000"/>
          <w:sz w:val="22"/>
          <w:szCs w:val="22"/>
          <w:u w:color="000000"/>
          <w:rtl w:val="0"/>
          <w:lang w:val="en-US"/>
        </w:rPr>
        <w:t>addressing the needs of those living in poverty by allocating adequate budgetary resources, and ensuring access to social protection and poverty reduction programmes;</w:t>
      </w:r>
      <w:r>
        <w:rPr>
          <w:rFonts w:ascii="Arial"/>
          <w:color w:val="ff2600"/>
          <w:sz w:val="22"/>
          <w:szCs w:val="22"/>
          <w:u w:color="000000"/>
          <w:rtl w:val="0"/>
          <w:lang w:val="en-US"/>
        </w:rPr>
        <w:t xml:space="preserve"> </w:t>
      </w:r>
      <w:r>
        <w:rPr>
          <w:rFonts w:ascii="Arial"/>
          <w:color w:val="ff2600"/>
          <w:sz w:val="22"/>
          <w:szCs w:val="22"/>
          <w:u w:color="000000"/>
          <w:rtl w:val="0"/>
          <w:lang w:val="en-US"/>
        </w:rPr>
        <w:t xml:space="preserve"> </w:t>
      </w:r>
      <w:r>
        <w:rPr>
          <w:rFonts w:ascii="Arial"/>
          <w:color w:val="000000"/>
          <w:sz w:val="22"/>
          <w:szCs w:val="22"/>
          <w:rtl w:val="0"/>
          <w:lang w:val="en-US"/>
        </w:rPr>
        <w:t>(</w:t>
      </w:r>
      <w:r>
        <w:rPr>
          <w:rFonts w:ascii="Arial"/>
          <w:color w:val="000000"/>
          <w:sz w:val="22"/>
          <w:szCs w:val="22"/>
          <w:rtl w:val="0"/>
          <w:lang w:val="en-US"/>
        </w:rPr>
        <w:t>para</w:t>
      </w:r>
      <w:r>
        <w:rPr>
          <w:rFonts w:ascii="Arial"/>
          <w:color w:val="000000"/>
          <w:sz w:val="22"/>
          <w:szCs w:val="22"/>
          <w:rtl w:val="0"/>
          <w:lang w:val="en-US"/>
        </w:rPr>
        <w:t xml:space="preserve">graph </w:t>
      </w:r>
      <w:r>
        <w:rPr>
          <w:rFonts w:ascii="Arial"/>
          <w:color w:val="000000"/>
          <w:sz w:val="22"/>
          <w:szCs w:val="22"/>
          <w:rtl w:val="0"/>
          <w:lang w:val="en-US"/>
        </w:rPr>
        <w:t>3</w:t>
      </w:r>
      <w:r>
        <w:rPr>
          <w:rFonts w:ascii="Arial"/>
          <w:color w:val="000000"/>
          <w:sz w:val="22"/>
          <w:szCs w:val="22"/>
          <w:rtl w:val="0"/>
          <w:lang w:val="en-US"/>
        </w:rPr>
        <w:t>)</w:t>
      </w:r>
    </w:p>
    <w:p>
      <w:pPr>
        <w:pStyle w:val="Body A"/>
        <w:numPr>
          <w:ilvl w:val="0"/>
          <w:numId w:val="6"/>
        </w:numPr>
        <w:tabs>
          <w:tab w:val="num" w:pos="196"/>
          <w:tab w:val="clear" w:pos="180"/>
        </w:tabs>
        <w:bidi w:val="0"/>
        <w:spacing w:after="120"/>
        <w:ind w:left="196" w:right="0" w:hanging="196"/>
        <w:jc w:val="both"/>
        <w:rPr>
          <w:rFonts w:ascii="Arial" w:cs="Arial" w:hAnsi="Arial" w:eastAsia="Arial"/>
          <w:position w:val="0"/>
          <w:sz w:val="24"/>
          <w:szCs w:val="24"/>
          <w:rtl w:val="0"/>
        </w:rPr>
      </w:pPr>
      <w:r>
        <w:rPr>
          <w:rFonts w:ascii="Arial"/>
          <w:sz w:val="22"/>
          <w:szCs w:val="22"/>
          <w:rtl w:val="0"/>
          <w:lang w:val="en-US"/>
        </w:rPr>
        <w:t xml:space="preserve">ensuring within the framework of bilateral or multilateral development assistance, the survival and development of children with disabilities through special programmes, and allocation of earmarked budgets, aimed at societal inclusion; </w:t>
      </w:r>
      <w:r>
        <w:rPr>
          <w:rFonts w:ascii="Arial"/>
          <w:sz w:val="22"/>
          <w:szCs w:val="22"/>
          <w:rtl w:val="0"/>
          <w:lang w:val="en-US"/>
        </w:rPr>
        <w:t>(</w:t>
      </w:r>
      <w:r>
        <w:rPr>
          <w:rFonts w:ascii="Arial"/>
          <w:sz w:val="22"/>
          <w:szCs w:val="22"/>
          <w:rtl w:val="0"/>
          <w:lang w:val="en-US"/>
        </w:rPr>
        <w:t>para</w:t>
      </w:r>
      <w:r>
        <w:rPr>
          <w:rFonts w:ascii="Arial"/>
          <w:sz w:val="22"/>
          <w:szCs w:val="22"/>
          <w:rtl w:val="0"/>
          <w:lang w:val="en-US"/>
        </w:rPr>
        <w:t>graph 16)</w:t>
      </w:r>
    </w:p>
    <w:p>
      <w:pPr>
        <w:pStyle w:val="Body A"/>
        <w:numPr>
          <w:ilvl w:val="0"/>
          <w:numId w:val="9"/>
        </w:numPr>
        <w:tabs>
          <w:tab w:val="num" w:pos="196"/>
          <w:tab w:val="clear" w:pos="180"/>
        </w:tabs>
        <w:bidi w:val="0"/>
        <w:spacing w:after="120"/>
        <w:ind w:left="196" w:right="0" w:hanging="196"/>
        <w:jc w:val="both"/>
        <w:rPr>
          <w:rFonts w:ascii="Arial" w:cs="Arial" w:hAnsi="Arial" w:eastAsia="Arial"/>
          <w:position w:val="0"/>
          <w:sz w:val="24"/>
          <w:szCs w:val="24"/>
          <w:rtl w:val="0"/>
        </w:rPr>
      </w:pPr>
      <w:r>
        <w:rPr>
          <w:rFonts w:ascii="Arial"/>
          <w:sz w:val="22"/>
          <w:szCs w:val="22"/>
          <w:rtl w:val="0"/>
          <w:lang w:val="en-US"/>
        </w:rPr>
        <w:t>implementing measures to the maximum extent of available resources, with no retrogression, and giving due priority to children with disabilities;</w:t>
      </w:r>
    </w:p>
    <w:p>
      <w:pPr>
        <w:pStyle w:val="Body A"/>
        <w:numPr>
          <w:ilvl w:val="0"/>
          <w:numId w:val="12"/>
        </w:numPr>
        <w:tabs>
          <w:tab w:val="num" w:pos="196"/>
          <w:tab w:val="clear" w:pos="180"/>
        </w:tabs>
        <w:bidi w:val="0"/>
        <w:spacing w:after="120"/>
        <w:ind w:left="196" w:right="0" w:hanging="196"/>
        <w:jc w:val="both"/>
        <w:rPr>
          <w:rFonts w:ascii="Arial" w:cs="Arial" w:hAnsi="Arial" w:eastAsia="Arial"/>
          <w:position w:val="0"/>
          <w:sz w:val="24"/>
          <w:szCs w:val="24"/>
          <w:rtl w:val="0"/>
        </w:rPr>
      </w:pPr>
      <w:r>
        <w:rPr>
          <w:rFonts w:ascii="Arial"/>
          <w:sz w:val="22"/>
          <w:szCs w:val="22"/>
          <w:rtl w:val="0"/>
          <w:lang w:val="en-US"/>
        </w:rPr>
        <w:t>despite increasing decentralization and privatization of services, that the State assures sufficient fund allocations, earmarked to children with disabilities along with strict guidelines for service delivery to cover all their needs, including: training of teachers, physiotherapists and policymakers; education campaigns; financial support for families; income maintenance; social security;  and provisions of assistive devices;</w:t>
      </w:r>
    </w:p>
    <w:p>
      <w:pPr>
        <w:pStyle w:val="Body A"/>
        <w:numPr>
          <w:ilvl w:val="0"/>
          <w:numId w:val="15"/>
        </w:numPr>
        <w:tabs>
          <w:tab w:val="num" w:pos="196"/>
          <w:tab w:val="clear" w:pos="180"/>
        </w:tabs>
        <w:bidi w:val="0"/>
        <w:spacing w:after="120"/>
        <w:ind w:left="196" w:right="0" w:hanging="196"/>
        <w:jc w:val="both"/>
        <w:rPr>
          <w:rFonts w:ascii="Arial" w:cs="Arial" w:hAnsi="Arial" w:eastAsia="Arial"/>
          <w:color w:val="ff2600"/>
          <w:position w:val="0"/>
          <w:sz w:val="24"/>
          <w:szCs w:val="24"/>
          <w:rtl w:val="0"/>
        </w:rPr>
      </w:pPr>
      <w:r>
        <w:rPr>
          <w:rFonts w:ascii="Arial"/>
          <w:color w:val="000000"/>
          <w:sz w:val="22"/>
          <w:szCs w:val="22"/>
          <w:u w:color="000000"/>
          <w:rtl w:val="0"/>
          <w:lang w:val="en-US"/>
        </w:rPr>
        <w:t>necessary</w:t>
      </w:r>
      <w:r>
        <w:rPr>
          <w:rFonts w:ascii="Arial"/>
          <w:color w:val="000000"/>
          <w:sz w:val="22"/>
          <w:szCs w:val="22"/>
          <w:u w:color="000000"/>
          <w:rtl w:val="0"/>
          <w:lang w:val="en-US"/>
        </w:rPr>
        <w:t xml:space="preserve"> retrofitting of schools to ensure physical accessibility and inclusion of children with disabilities in the education system;</w:t>
      </w:r>
      <w:r>
        <w:rPr>
          <w:rFonts w:ascii="Arial"/>
          <w:color w:val="000000"/>
          <w:sz w:val="22"/>
          <w:szCs w:val="22"/>
          <w:u w:color="000000"/>
          <w:rtl w:val="0"/>
          <w:lang w:val="en-US"/>
        </w:rPr>
        <w:t xml:space="preserve"> </w:t>
      </w:r>
      <w:r>
        <w:rPr>
          <w:rFonts w:ascii="Arial"/>
          <w:color w:val="000000"/>
          <w:sz w:val="22"/>
          <w:szCs w:val="22"/>
          <w:rtl w:val="0"/>
          <w:lang w:val="en-US"/>
        </w:rPr>
        <w:t>(</w:t>
      </w:r>
      <w:r>
        <w:rPr>
          <w:rFonts w:ascii="Arial"/>
          <w:color w:val="000000"/>
          <w:sz w:val="22"/>
          <w:szCs w:val="22"/>
          <w:rtl w:val="0"/>
          <w:lang w:val="en-US"/>
        </w:rPr>
        <w:t>para</w:t>
      </w:r>
      <w:r>
        <w:rPr>
          <w:rFonts w:ascii="Arial"/>
          <w:color w:val="000000"/>
          <w:sz w:val="22"/>
          <w:szCs w:val="22"/>
          <w:rtl w:val="0"/>
          <w:lang w:val="en-US"/>
        </w:rPr>
        <w:t>graph 20)</w:t>
      </w:r>
      <w:r>
        <w:rPr>
          <w:rFonts w:ascii="Arial"/>
          <w:color w:val="000000"/>
          <w:sz w:val="22"/>
          <w:szCs w:val="22"/>
          <w:u w:color="000000"/>
          <w:rtl w:val="0"/>
          <w:lang w:val="en-US"/>
        </w:rPr>
        <w:t xml:space="preserve"> an</w:t>
      </w:r>
      <w:r>
        <w:rPr>
          <w:rFonts w:ascii="Arial"/>
          <w:color w:val="000000"/>
          <w:sz w:val="22"/>
          <w:szCs w:val="22"/>
          <w:u w:color="000000"/>
          <w:rtl w:val="0"/>
          <w:lang w:val="en-US"/>
        </w:rPr>
        <w:t>d</w:t>
      </w:r>
    </w:p>
    <w:p>
      <w:pPr>
        <w:pStyle w:val="Body A"/>
        <w:numPr>
          <w:ilvl w:val="0"/>
          <w:numId w:val="18"/>
        </w:numPr>
        <w:tabs>
          <w:tab w:val="num" w:pos="196"/>
          <w:tab w:val="clear" w:pos="180"/>
        </w:tabs>
        <w:bidi w:val="0"/>
        <w:spacing w:after="120"/>
        <w:ind w:left="196" w:right="0" w:hanging="196"/>
        <w:jc w:val="both"/>
        <w:rPr>
          <w:rFonts w:ascii="Arial" w:cs="Arial" w:hAnsi="Arial" w:eastAsia="Arial"/>
          <w:position w:val="0"/>
          <w:sz w:val="24"/>
          <w:szCs w:val="24"/>
          <w:rtl w:val="0"/>
        </w:rPr>
      </w:pPr>
      <w:r>
        <w:rPr>
          <w:rFonts w:ascii="Arial"/>
          <w:sz w:val="22"/>
          <w:szCs w:val="22"/>
          <w:rtl w:val="0"/>
          <w:lang w:val="en-US"/>
        </w:rPr>
        <w:t xml:space="preserve">upholding the principle of </w:t>
      </w:r>
      <w:r>
        <w:rPr>
          <w:rFonts w:ascii="Arial"/>
          <w:i w:val="1"/>
          <w:iCs w:val="1"/>
          <w:sz w:val="22"/>
          <w:szCs w:val="22"/>
          <w:rtl w:val="0"/>
          <w:lang w:val="en-US"/>
        </w:rPr>
        <w:t>best interests of the child</w:t>
      </w:r>
      <w:r>
        <w:rPr>
          <w:rFonts w:ascii="Arial"/>
          <w:sz w:val="22"/>
          <w:szCs w:val="22"/>
          <w:rtl w:val="0"/>
          <w:lang w:val="en-US"/>
        </w:rPr>
        <w:t xml:space="preserve"> particularly in institutions and other facilities that provide services for children with disabilities, and its primary consideration in allocating budgets for the safety, protection and care of children with disabilities.</w:t>
      </w:r>
      <w:r>
        <w:rPr>
          <w:rFonts w:ascii="Arial"/>
          <w:sz w:val="22"/>
          <w:szCs w:val="22"/>
          <w:rtl w:val="0"/>
          <w:lang w:val="en-US"/>
        </w:rPr>
        <w:t xml:space="preserve"> </w:t>
      </w:r>
      <w:r>
        <w:rPr>
          <w:rFonts w:ascii="Arial"/>
          <w:sz w:val="22"/>
          <w:szCs w:val="22"/>
          <w:rtl w:val="0"/>
          <w:lang w:val="en-US"/>
        </w:rPr>
        <w:t>(</w:t>
      </w:r>
      <w:r>
        <w:rPr>
          <w:rFonts w:ascii="Arial"/>
          <w:sz w:val="22"/>
          <w:szCs w:val="22"/>
          <w:rtl w:val="0"/>
          <w:lang w:val="en-US"/>
        </w:rPr>
        <w:t>para</w:t>
      </w:r>
      <w:r>
        <w:rPr>
          <w:rFonts w:ascii="Arial"/>
          <w:sz w:val="22"/>
          <w:szCs w:val="22"/>
          <w:rtl w:val="0"/>
          <w:lang w:val="en-US"/>
        </w:rPr>
        <w:t>graph 30)</w:t>
      </w:r>
    </w:p>
    <w:p>
      <w:pPr>
        <w:pStyle w:val="Body A"/>
        <w:spacing w:after="120"/>
        <w:jc w:val="both"/>
        <w:rPr>
          <w:rFonts w:ascii="Arial" w:cs="Arial" w:hAnsi="Arial" w:eastAsia="Arial"/>
          <w:i w:val="0"/>
          <w:iCs w:val="0"/>
          <w:position w:val="0"/>
          <w:sz w:val="24"/>
          <w:szCs w:val="24"/>
          <w:rtl w:val="0"/>
        </w:rPr>
      </w:pPr>
    </w:p>
    <w:p>
      <w:pPr>
        <w:pStyle w:val="Body A"/>
        <w:spacing w:after="120"/>
        <w:jc w:val="both"/>
        <w:rPr>
          <w:rFonts w:ascii="Arial" w:cs="Arial" w:hAnsi="Arial" w:eastAsia="Arial"/>
          <w:i w:val="1"/>
          <w:iCs w:val="1"/>
          <w:sz w:val="22"/>
          <w:szCs w:val="22"/>
        </w:rPr>
      </w:pPr>
    </w:p>
    <w:p>
      <w:pPr>
        <w:pStyle w:val="Body A"/>
        <w:spacing w:after="120"/>
        <w:jc w:val="both"/>
        <w:rPr>
          <w:rFonts w:ascii="Arial" w:cs="Arial" w:hAnsi="Arial" w:eastAsia="Arial"/>
          <w:i w:val="1"/>
          <w:iCs w:val="1"/>
          <w:sz w:val="22"/>
          <w:szCs w:val="22"/>
          <w:rtl w:val="0"/>
        </w:rPr>
      </w:pPr>
      <w:r>
        <w:rPr>
          <w:rFonts w:ascii="Arial"/>
          <w:i w:val="1"/>
          <w:iCs w:val="1"/>
          <w:sz w:val="22"/>
          <w:szCs w:val="22"/>
          <w:rtl w:val="0"/>
          <w:lang w:val="en-US"/>
        </w:rPr>
        <w:t>Emerging / ongoing efforts towards standards in public spending for persons with disabilities</w:t>
      </w:r>
    </w:p>
    <w:p>
      <w:pPr>
        <w:pStyle w:val="Body A"/>
        <w:tabs>
          <w:tab w:val="left" w:pos="360"/>
        </w:tabs>
        <w:spacing w:after="120"/>
        <w:jc w:val="both"/>
        <w:rPr>
          <w:rFonts w:ascii="Arial" w:cs="Arial" w:hAnsi="Arial" w:eastAsia="Arial"/>
          <w:i w:val="1"/>
          <w:iCs w:val="1"/>
          <w:sz w:val="22"/>
          <w:szCs w:val="22"/>
          <w:rtl w:val="0"/>
        </w:rPr>
      </w:pPr>
      <w:r>
        <w:rPr>
          <w:rFonts w:ascii="Arial"/>
          <w:sz w:val="22"/>
          <w:szCs w:val="22"/>
          <w:rtl w:val="0"/>
          <w:lang w:val="en-US"/>
        </w:rPr>
        <w:t>The Coalition notes, and concurs with developments and emergent work by key players on budgeting which shall impact public spending for children with disabilities</w:t>
      </w:r>
      <w:r>
        <w:rPr>
          <w:rFonts w:ascii="Arial"/>
          <w:sz w:val="22"/>
          <w:szCs w:val="22"/>
          <w:rtl w:val="0"/>
          <w:lang w:val="en-US"/>
        </w:rPr>
        <w:t xml:space="preserve"> (1)</w:t>
      </w:r>
      <w:r>
        <w:rPr>
          <w:rFonts w:ascii="Arial"/>
          <w:sz w:val="22"/>
          <w:szCs w:val="22"/>
          <w:rtl w:val="0"/>
          <w:lang w:val="en-US"/>
        </w:rPr>
        <w:t>:</w:t>
      </w:r>
    </w:p>
    <w:p>
      <w:pPr>
        <w:pStyle w:val="Body A"/>
        <w:numPr>
          <w:ilvl w:val="0"/>
          <w:numId w:val="21"/>
        </w:numPr>
        <w:tabs>
          <w:tab w:val="num" w:pos="429"/>
          <w:tab w:val="clear" w:pos="393"/>
        </w:tabs>
        <w:bidi w:val="0"/>
        <w:spacing w:after="120"/>
        <w:ind w:left="429" w:right="0" w:hanging="429"/>
        <w:jc w:val="both"/>
        <w:rPr>
          <w:rFonts w:ascii="Arial" w:cs="Arial" w:hAnsi="Arial" w:eastAsia="Arial"/>
          <w:position w:val="0"/>
          <w:sz w:val="22"/>
          <w:szCs w:val="22"/>
          <w:rtl w:val="0"/>
        </w:rPr>
      </w:pPr>
      <w:r>
        <w:rPr>
          <w:rFonts w:ascii="Arial"/>
          <w:sz w:val="22"/>
          <w:szCs w:val="22"/>
          <w:rtl w:val="0"/>
          <w:lang w:val="en-US"/>
        </w:rPr>
        <w:t>UN agency efforts</w:t>
      </w:r>
    </w:p>
    <w:p>
      <w:pPr>
        <w:pStyle w:val="Body A"/>
        <w:jc w:val="both"/>
        <w:rPr>
          <w:rFonts w:ascii="Arial" w:cs="Arial" w:hAnsi="Arial" w:eastAsia="Arial"/>
          <w:color w:val="1a1a1a"/>
          <w:sz w:val="22"/>
          <w:szCs w:val="22"/>
          <w:u w:color="1a1a1a"/>
        </w:rPr>
      </w:pPr>
      <w:r>
        <w:rPr>
          <w:rFonts w:ascii="Arial"/>
          <w:rtl w:val="0"/>
          <w:lang w:val="en-US"/>
        </w:rPr>
        <w:t>E</w:t>
      </w:r>
      <w:r>
        <w:rPr>
          <w:rFonts w:ascii="Arial"/>
          <w:color w:val="1a1a1a"/>
          <w:sz w:val="22"/>
          <w:szCs w:val="22"/>
          <w:u w:color="1a1a1a"/>
          <w:rtl w:val="0"/>
          <w:lang w:val="en-US"/>
        </w:rPr>
        <w:t>fforts of UNICEF to develop and pilot a disability module for Education Management information System (EMIS) can address challenges such as the requirement for data disaggregation by disability, gender, geographical location, poverty, etc.; information gathered at the national and sub-national levels, and others.</w:t>
      </w:r>
    </w:p>
    <w:p>
      <w:pPr>
        <w:pStyle w:val="Body A"/>
        <w:jc w:val="both"/>
        <w:rPr>
          <w:sz w:val="24"/>
          <w:szCs w:val="24"/>
          <w:rtl w:val="0"/>
        </w:rPr>
      </w:pPr>
    </w:p>
    <w:p>
      <w:pPr>
        <w:pStyle w:val="Body A"/>
        <w:numPr>
          <w:ilvl w:val="0"/>
          <w:numId w:val="21"/>
        </w:numPr>
        <w:tabs>
          <w:tab w:val="num" w:pos="429"/>
          <w:tab w:val="clear" w:pos="393"/>
        </w:tabs>
        <w:bidi w:val="0"/>
        <w:spacing w:after="120"/>
        <w:ind w:left="429" w:right="0" w:hanging="429"/>
        <w:jc w:val="both"/>
        <w:rPr>
          <w:rFonts w:ascii="Arial" w:cs="Arial" w:hAnsi="Arial" w:eastAsia="Arial"/>
          <w:i w:val="1"/>
          <w:iCs w:val="1"/>
          <w:position w:val="0"/>
          <w:sz w:val="22"/>
          <w:szCs w:val="22"/>
          <w:rtl w:val="0"/>
        </w:rPr>
      </w:pPr>
      <w:r>
        <w:rPr>
          <w:rFonts w:ascii="Arial"/>
          <w:i w:val="1"/>
          <w:iCs w:val="1"/>
          <w:sz w:val="22"/>
          <w:szCs w:val="22"/>
          <w:rtl w:val="0"/>
          <w:lang w:val="en-US"/>
        </w:rPr>
        <w:t xml:space="preserve">CSO perspectives on CRPD compliant spending </w:t>
      </w:r>
    </w:p>
    <w:p>
      <w:pPr>
        <w:pStyle w:val="Body A"/>
        <w:spacing w:after="120"/>
        <w:jc w:val="both"/>
        <w:rPr>
          <w:rFonts w:ascii="Arial" w:cs="Arial" w:hAnsi="Arial" w:eastAsia="Arial"/>
          <w:sz w:val="22"/>
          <w:szCs w:val="22"/>
          <w:rtl w:val="0"/>
        </w:rPr>
      </w:pPr>
      <w:r>
        <w:rPr>
          <w:rFonts w:ascii="Arial"/>
          <w:sz w:val="22"/>
          <w:szCs w:val="22"/>
          <w:rtl w:val="0"/>
          <w:lang w:val="en-US"/>
        </w:rPr>
        <w:t xml:space="preserve">The Coalition subscribes to the emerging benchmarks / standards on human rights based compliant public spending. Its partner, the International Disability Alliance </w:t>
      </w:r>
      <w:r>
        <w:rPr>
          <w:rFonts w:ascii="Arial"/>
          <w:sz w:val="22"/>
          <w:szCs w:val="22"/>
          <w:rtl w:val="0"/>
          <w:lang w:val="en-US"/>
        </w:rPr>
        <w:t>proposes</w:t>
      </w:r>
      <w:r>
        <w:rPr>
          <w:rFonts w:ascii="Arial"/>
          <w:sz w:val="22"/>
          <w:szCs w:val="22"/>
          <w:rtl w:val="0"/>
          <w:lang w:val="en-US"/>
        </w:rPr>
        <w:t xml:space="preserve"> the following </w:t>
      </w:r>
      <w:r>
        <w:rPr>
          <w:rFonts w:ascii="Arial"/>
          <w:color w:val="000000"/>
          <w:sz w:val="22"/>
          <w:szCs w:val="22"/>
          <w:rtl w:val="0"/>
          <w:lang w:val="en-US"/>
        </w:rPr>
        <w:t>features</w:t>
      </w:r>
      <w:r>
        <w:rPr>
          <w:rFonts w:ascii="Times New Roman"/>
          <w:color w:val="000000"/>
          <w:sz w:val="22"/>
          <w:szCs w:val="22"/>
          <w:rtl w:val="0"/>
          <w:lang w:val="en-US"/>
        </w:rPr>
        <w:t xml:space="preserve"> </w:t>
      </w:r>
      <w:r>
        <w:rPr>
          <w:rFonts w:ascii="Arial"/>
          <w:sz w:val="22"/>
          <w:szCs w:val="22"/>
          <w:rtl w:val="0"/>
          <w:lang w:val="en-US"/>
        </w:rPr>
        <w:t>of</w:t>
      </w:r>
      <w:r>
        <w:rPr>
          <w:rFonts w:ascii="Arial"/>
          <w:sz w:val="22"/>
          <w:szCs w:val="22"/>
          <w:rtl w:val="0"/>
          <w:lang w:val="en-US"/>
        </w:rPr>
        <w:t xml:space="preserve"> public spending</w:t>
      </w:r>
      <w:r>
        <w:rPr>
          <w:rFonts w:ascii="Arial"/>
          <w:sz w:val="22"/>
          <w:szCs w:val="22"/>
          <w:rtl w:val="0"/>
          <w:lang w:val="en-US"/>
        </w:rPr>
        <w:t xml:space="preserve"> (2) that are founded on</w:t>
      </w:r>
      <w:r>
        <w:rPr>
          <w:rFonts w:ascii="Arial"/>
          <w:sz w:val="22"/>
          <w:szCs w:val="22"/>
          <w:rtl w:val="0"/>
          <w:lang w:val="en-US"/>
        </w:rPr>
        <w:t xml:space="preserve"> CRPD</w:t>
      </w:r>
      <w:r>
        <w:rPr>
          <w:rFonts w:ascii="Arial"/>
          <w:sz w:val="22"/>
          <w:szCs w:val="22"/>
          <w:rtl w:val="0"/>
          <w:lang w:val="en-US"/>
        </w:rPr>
        <w:t xml:space="preserve"> principles</w:t>
      </w:r>
      <w:r>
        <w:rPr>
          <w:rFonts w:ascii="Arial"/>
          <w:sz w:val="22"/>
          <w:szCs w:val="22"/>
          <w:rtl w:val="0"/>
          <w:lang w:val="en-US"/>
        </w:rPr>
        <w:t>:</w:t>
      </w:r>
    </w:p>
    <w:p>
      <w:pPr>
        <w:pStyle w:val="Body A"/>
        <w:numPr>
          <w:ilvl w:val="0"/>
          <w:numId w:val="24"/>
        </w:numPr>
        <w:tabs>
          <w:tab w:val="num" w:pos="222"/>
          <w:tab w:val="left" w:pos="240"/>
          <w:tab w:val="clear" w:pos="204"/>
        </w:tabs>
        <w:bidi w:val="0"/>
        <w:spacing w:after="120"/>
        <w:ind w:left="222" w:right="0" w:hanging="222"/>
        <w:jc w:val="both"/>
        <w:rPr>
          <w:rFonts w:ascii="Arial" w:cs="Arial" w:hAnsi="Arial" w:eastAsia="Arial"/>
          <w:position w:val="0"/>
          <w:sz w:val="24"/>
          <w:szCs w:val="24"/>
          <w:rtl w:val="0"/>
        </w:rPr>
      </w:pPr>
      <w:r>
        <w:rPr>
          <w:rFonts w:ascii="Arial"/>
          <w:sz w:val="22"/>
          <w:szCs w:val="22"/>
          <w:rtl w:val="0"/>
          <w:lang w:val="en-US"/>
        </w:rPr>
        <w:t>regarding</w:t>
      </w:r>
      <w:r>
        <w:rPr>
          <w:rFonts w:ascii="Arial"/>
          <w:sz w:val="22"/>
          <w:szCs w:val="22"/>
          <w:rtl w:val="0"/>
          <w:lang w:val="en-US"/>
        </w:rPr>
        <w:t xml:space="preserve"> access to services and programmes, prohibiting any form of exclusion, and promoting respect of </w:t>
      </w:r>
      <w:r>
        <w:rPr>
          <w:rFonts w:ascii="Arial"/>
          <w:i w:val="1"/>
          <w:iCs w:val="1"/>
          <w:sz w:val="22"/>
          <w:szCs w:val="22"/>
          <w:rtl w:val="0"/>
          <w:lang w:val="en-US"/>
        </w:rPr>
        <w:t>all</w:t>
      </w:r>
      <w:r>
        <w:rPr>
          <w:rFonts w:ascii="Arial"/>
          <w:sz w:val="22"/>
          <w:szCs w:val="22"/>
          <w:rtl w:val="0"/>
          <w:lang w:val="en-US"/>
        </w:rPr>
        <w:t xml:space="preserve"> rights of </w:t>
      </w:r>
      <w:r>
        <w:rPr>
          <w:rFonts w:ascii="Arial"/>
          <w:i w:val="1"/>
          <w:iCs w:val="1"/>
          <w:sz w:val="22"/>
          <w:szCs w:val="22"/>
          <w:rtl w:val="0"/>
          <w:lang w:val="en-US"/>
        </w:rPr>
        <w:t>all</w:t>
      </w:r>
      <w:r>
        <w:rPr>
          <w:rFonts w:ascii="Arial"/>
          <w:sz w:val="22"/>
          <w:szCs w:val="22"/>
          <w:rtl w:val="0"/>
          <w:lang w:val="en-US"/>
        </w:rPr>
        <w:t xml:space="preserve"> persons with disabilities in determining various eligibility criteria </w:t>
      </w:r>
      <w:r>
        <w:rPr>
          <w:rFonts w:ascii="Arial"/>
          <w:sz w:val="22"/>
          <w:szCs w:val="22"/>
          <w:rtl w:val="0"/>
          <w:lang w:val="en-US"/>
        </w:rPr>
        <w:t>for</w:t>
      </w:r>
      <w:r>
        <w:rPr>
          <w:rFonts w:ascii="Arial"/>
          <w:sz w:val="22"/>
          <w:szCs w:val="22"/>
          <w:rtl w:val="0"/>
          <w:lang w:val="en-US"/>
        </w:rPr>
        <w:t xml:space="preserve"> a government agency</w:t>
      </w:r>
      <w:r>
        <w:rPr>
          <w:rFonts w:hAnsi="Arial" w:hint="default"/>
          <w:sz w:val="22"/>
          <w:szCs w:val="22"/>
          <w:rtl w:val="0"/>
          <w:lang w:val="en-US"/>
        </w:rPr>
        <w:t>’</w:t>
      </w:r>
      <w:r>
        <w:rPr>
          <w:rFonts w:ascii="Arial"/>
          <w:sz w:val="22"/>
          <w:szCs w:val="22"/>
          <w:rtl w:val="0"/>
          <w:lang w:val="en-US"/>
        </w:rPr>
        <w:t>s mandate.  In the Philippines for instance, variable and seemingly selective criteria are observed across the Departments (ministries) of education (e.g., for education plans and interventions), health (e.g., subsidies for medicine), and social protection (e.g., disability discount; disability pension);</w:t>
      </w:r>
    </w:p>
    <w:p>
      <w:pPr>
        <w:pStyle w:val="Body A"/>
        <w:numPr>
          <w:ilvl w:val="0"/>
          <w:numId w:val="27"/>
        </w:numPr>
        <w:tabs>
          <w:tab w:val="num" w:pos="222"/>
          <w:tab w:val="left" w:pos="240"/>
          <w:tab w:val="clear" w:pos="204"/>
        </w:tabs>
        <w:bidi w:val="0"/>
        <w:spacing w:after="120"/>
        <w:ind w:left="222" w:right="0" w:hanging="222"/>
        <w:jc w:val="both"/>
        <w:rPr>
          <w:rFonts w:ascii="Arial" w:cs="Arial" w:hAnsi="Arial" w:eastAsia="Arial"/>
          <w:position w:val="0"/>
          <w:sz w:val="24"/>
          <w:szCs w:val="24"/>
          <w:rtl w:val="0"/>
        </w:rPr>
      </w:pPr>
      <w:r>
        <w:rPr>
          <w:rFonts w:ascii="Arial"/>
          <w:sz w:val="22"/>
          <w:szCs w:val="22"/>
          <w:rtl w:val="0"/>
          <w:lang w:val="en-US"/>
        </w:rPr>
        <w:t>accessibility considerations from planning to implementation and monitoring / evaluation of service delivery; various procurement procedures; all venues of participation and engagement by persons with disabilities and their representative organizations; budgetary implications of the provision of reasonable accommodation;</w:t>
      </w:r>
    </w:p>
    <w:p>
      <w:pPr>
        <w:pStyle w:val="Body A"/>
        <w:numPr>
          <w:ilvl w:val="0"/>
          <w:numId w:val="30"/>
        </w:numPr>
        <w:tabs>
          <w:tab w:val="num" w:pos="222"/>
          <w:tab w:val="left" w:pos="240"/>
          <w:tab w:val="clear" w:pos="204"/>
        </w:tabs>
        <w:bidi w:val="0"/>
        <w:spacing w:after="120"/>
        <w:ind w:left="222" w:right="0" w:hanging="222"/>
        <w:jc w:val="both"/>
        <w:rPr>
          <w:rFonts w:ascii="Arial" w:cs="Arial" w:hAnsi="Arial" w:eastAsia="Arial"/>
          <w:position w:val="0"/>
          <w:sz w:val="24"/>
          <w:szCs w:val="24"/>
          <w:rtl w:val="0"/>
        </w:rPr>
      </w:pPr>
      <w:r>
        <w:rPr>
          <w:rFonts w:ascii="Arial"/>
          <w:sz w:val="22"/>
          <w:szCs w:val="22"/>
          <w:rtl w:val="0"/>
          <w:lang w:val="en-US"/>
        </w:rPr>
        <w:t>full and effective participation by persons with disabilities throughout the budget process including legislation, monitoring and evaluation, audit and others; and</w:t>
      </w:r>
    </w:p>
    <w:p>
      <w:pPr>
        <w:pStyle w:val="Body A"/>
        <w:numPr>
          <w:ilvl w:val="0"/>
          <w:numId w:val="33"/>
        </w:numPr>
        <w:tabs>
          <w:tab w:val="num" w:pos="222"/>
          <w:tab w:val="left" w:pos="240"/>
          <w:tab w:val="clear" w:pos="204"/>
        </w:tabs>
        <w:bidi w:val="0"/>
        <w:spacing w:after="120"/>
        <w:ind w:left="222" w:right="0" w:hanging="222"/>
        <w:jc w:val="both"/>
        <w:rPr>
          <w:rFonts w:ascii="Arial" w:cs="Arial" w:hAnsi="Arial" w:eastAsia="Arial"/>
          <w:position w:val="0"/>
          <w:sz w:val="24"/>
          <w:szCs w:val="24"/>
          <w:rtl w:val="0"/>
        </w:rPr>
      </w:pPr>
      <w:r>
        <w:rPr>
          <w:rFonts w:ascii="Arial"/>
          <w:sz w:val="22"/>
          <w:szCs w:val="22"/>
          <w:rtl w:val="0"/>
          <w:lang w:val="en-US"/>
        </w:rPr>
        <w:t xml:space="preserve">gender and age considerations for women and children / youth with disabilities, as well as the provision of </w:t>
      </w:r>
      <w:r>
        <w:rPr>
          <w:rFonts w:ascii="Arial"/>
          <w:sz w:val="22"/>
          <w:szCs w:val="22"/>
          <w:rtl w:val="0"/>
          <w:lang w:val="en-US"/>
        </w:rPr>
        <w:t>legislated</w:t>
      </w:r>
      <w:r>
        <w:rPr>
          <w:rFonts w:ascii="Arial"/>
          <w:sz w:val="22"/>
          <w:szCs w:val="22"/>
          <w:rtl w:val="0"/>
          <w:lang w:val="en-US"/>
        </w:rPr>
        <w:t xml:space="preserve"> opportunities for them to express their views and participate in all legislative and administrative activities of the State that will impact them.</w:t>
      </w:r>
    </w:p>
    <w:p>
      <w:pPr>
        <w:pStyle w:val="Body A"/>
        <w:spacing w:after="120"/>
        <w:jc w:val="both"/>
        <w:rPr>
          <w:rFonts w:ascii="Arial" w:cs="Arial" w:hAnsi="Arial" w:eastAsia="Arial"/>
          <w:sz w:val="22"/>
          <w:szCs w:val="22"/>
          <w:rtl w:val="0"/>
        </w:rPr>
      </w:pPr>
    </w:p>
    <w:p>
      <w:pPr>
        <w:pStyle w:val="Body A"/>
        <w:spacing w:after="120"/>
        <w:jc w:val="both"/>
        <w:rPr>
          <w:rFonts w:ascii="Arial" w:cs="Arial" w:hAnsi="Arial" w:eastAsia="Arial"/>
          <w:sz w:val="22"/>
          <w:szCs w:val="22"/>
        </w:rPr>
      </w:pPr>
      <w:r>
        <w:rPr>
          <w:rFonts w:ascii="Arial"/>
          <w:sz w:val="22"/>
          <w:szCs w:val="22"/>
          <w:rtl w:val="0"/>
          <w:lang w:val="en-US"/>
        </w:rPr>
        <w:t>3.  Other Treaty Bodies</w:t>
      </w:r>
      <w:r>
        <w:rPr>
          <w:rFonts w:hAnsi="Arial" w:hint="default"/>
          <w:sz w:val="22"/>
          <w:szCs w:val="22"/>
          <w:rtl w:val="0"/>
          <w:lang w:val="en-US"/>
        </w:rPr>
        <w:t xml:space="preserve">’ </w:t>
      </w:r>
      <w:r>
        <w:rPr>
          <w:rFonts w:ascii="Arial"/>
          <w:sz w:val="22"/>
          <w:szCs w:val="22"/>
          <w:rtl w:val="0"/>
          <w:lang w:val="en-US"/>
        </w:rPr>
        <w:t>jurisprudence relating to provision of services</w:t>
      </w:r>
      <w:r>
        <w:rPr>
          <w:rFonts w:ascii="Arial"/>
          <w:sz w:val="22"/>
          <w:szCs w:val="22"/>
          <w:rtl w:val="0"/>
          <w:lang w:val="en-US"/>
        </w:rPr>
        <w:t xml:space="preserve"> (3)</w:t>
      </w:r>
    </w:p>
    <w:p>
      <w:pPr>
        <w:pStyle w:val="Body A"/>
        <w:spacing w:after="120"/>
        <w:jc w:val="both"/>
        <w:rPr>
          <w:rFonts w:ascii="Arial" w:cs="Arial" w:hAnsi="Arial" w:eastAsia="Arial"/>
          <w:sz w:val="22"/>
          <w:szCs w:val="22"/>
        </w:rPr>
      </w:pPr>
      <w:r>
        <w:rPr>
          <w:rFonts w:ascii="Arial"/>
          <w:sz w:val="22"/>
          <w:szCs w:val="22"/>
          <w:rtl w:val="0"/>
          <w:lang w:val="en-US"/>
        </w:rPr>
        <w:t>The CRPD Committee conducted a Day of General Discussion on Inclusive Education and is in the process of finalizing its General Comment on the Right to Inclusive Education.  Notable recommendations in relation to budgeting and children with disabilities include: establishment of training programmes, longterm investment plans for sustainability of provisions of support services, and formulation of specific indicators as guidance for all stakeholders.</w:t>
      </w:r>
    </w:p>
    <w:p>
      <w:pPr>
        <w:pStyle w:val="Body A"/>
        <w:spacing w:after="120"/>
        <w:jc w:val="both"/>
        <w:rPr>
          <w:rFonts w:ascii="Arial" w:cs="Arial" w:hAnsi="Arial" w:eastAsia="Arial"/>
          <w:sz w:val="22"/>
          <w:szCs w:val="22"/>
        </w:rPr>
      </w:pPr>
    </w:p>
    <w:p>
      <w:pPr>
        <w:pStyle w:val="Body A"/>
        <w:spacing w:after="120"/>
        <w:jc w:val="both"/>
        <w:rPr>
          <w:rFonts w:ascii="Arial" w:cs="Arial" w:hAnsi="Arial" w:eastAsia="Arial"/>
          <w:sz w:val="22"/>
          <w:szCs w:val="22"/>
        </w:rPr>
      </w:pPr>
    </w:p>
    <w:p>
      <w:pPr>
        <w:pStyle w:val="Body A"/>
        <w:spacing w:after="120"/>
        <w:jc w:val="center"/>
        <w:rPr>
          <w:rFonts w:ascii="Arial" w:cs="Arial" w:hAnsi="Arial" w:eastAsia="Arial"/>
          <w:sz w:val="22"/>
          <w:szCs w:val="22"/>
        </w:rPr>
      </w:pPr>
      <w:r>
        <w:rPr>
          <w:rFonts w:ascii="Arial"/>
          <w:sz w:val="22"/>
          <w:szCs w:val="22"/>
          <w:rtl w:val="0"/>
          <w:lang w:val="en-US"/>
        </w:rPr>
        <w:t>COMMENTS ON DRAFT</w:t>
      </w:r>
    </w:p>
    <w:p>
      <w:pPr>
        <w:pStyle w:val="Body A"/>
        <w:spacing w:after="120"/>
        <w:jc w:val="both"/>
        <w:rPr>
          <w:rFonts w:ascii="Arial" w:cs="Arial" w:hAnsi="Arial" w:eastAsia="Arial"/>
          <w:sz w:val="22"/>
          <w:szCs w:val="22"/>
          <w:rtl w:val="0"/>
          <w:lang w:val="en-US"/>
        </w:rPr>
      </w:pPr>
      <w:r>
        <w:rPr>
          <w:rFonts w:ascii="Arial"/>
          <w:sz w:val="22"/>
          <w:szCs w:val="22"/>
          <w:rtl w:val="0"/>
          <w:lang w:val="en-US"/>
        </w:rPr>
        <w:t>GENERAL</w:t>
      </w:r>
    </w:p>
    <w:p>
      <w:pPr>
        <w:pStyle w:val="Body A"/>
        <w:spacing w:after="120"/>
        <w:jc w:val="both"/>
        <w:rPr>
          <w:rFonts w:ascii="Arial" w:cs="Arial" w:hAnsi="Arial" w:eastAsia="Arial"/>
          <w:sz w:val="22"/>
          <w:szCs w:val="22"/>
        </w:rPr>
      </w:pPr>
    </w:p>
    <w:p>
      <w:pPr>
        <w:pStyle w:val="Body B"/>
        <w:rPr>
          <w:rFonts w:ascii="Arial" w:cs="Arial" w:hAnsi="Arial" w:eastAsia="Arial"/>
          <w:b w:val="1"/>
          <w:bCs w:val="1"/>
          <w:i w:val="1"/>
          <w:iCs w:val="1"/>
          <w:sz w:val="22"/>
          <w:szCs w:val="22"/>
        </w:rPr>
      </w:pPr>
      <w:r>
        <w:rPr>
          <w:rFonts w:hAnsi="Arial" w:hint="default"/>
          <w:b w:val="1"/>
          <w:bCs w:val="1"/>
          <w:i w:val="1"/>
          <w:iCs w:val="1"/>
          <w:sz w:val="22"/>
          <w:szCs w:val="22"/>
          <w:rtl w:val="0"/>
          <w:lang w:val="en-US"/>
        </w:rPr>
        <w:t xml:space="preserve">“… </w:t>
      </w:r>
      <w:r>
        <w:rPr>
          <w:rFonts w:ascii="Arial"/>
          <w:b w:val="1"/>
          <w:bCs w:val="1"/>
          <w:i w:val="1"/>
          <w:iCs w:val="1"/>
          <w:sz w:val="22"/>
          <w:szCs w:val="22"/>
          <w:rtl w:val="0"/>
          <w:lang w:val="en-US"/>
        </w:rPr>
        <w:t>States Parties shall undertake such measures to the maximum extent of their available resources</w:t>
      </w:r>
      <w:r>
        <w:rPr>
          <w:rFonts w:hAnsi="Arial" w:hint="default"/>
          <w:b w:val="1"/>
          <w:bCs w:val="1"/>
          <w:i w:val="1"/>
          <w:iCs w:val="1"/>
          <w:sz w:val="22"/>
          <w:szCs w:val="22"/>
          <w:rtl w:val="0"/>
          <w:lang w:val="en-US"/>
        </w:rPr>
        <w:t>…”</w:t>
      </w:r>
    </w:p>
    <w:p>
      <w:pPr>
        <w:pStyle w:val="Body B"/>
        <w:rPr>
          <w:rFonts w:ascii="Arial" w:cs="Arial" w:hAnsi="Arial" w:eastAsia="Arial"/>
          <w:sz w:val="22"/>
          <w:szCs w:val="22"/>
        </w:rPr>
      </w:pPr>
    </w:p>
    <w:p>
      <w:pPr>
        <w:pStyle w:val="Body B"/>
        <w:jc w:val="both"/>
        <w:rPr>
          <w:rFonts w:ascii="Arial" w:cs="Arial" w:hAnsi="Arial" w:eastAsia="Arial"/>
          <w:sz w:val="22"/>
          <w:szCs w:val="22"/>
        </w:rPr>
      </w:pPr>
      <w:r>
        <w:rPr>
          <w:rFonts w:ascii="Arial"/>
          <w:sz w:val="22"/>
          <w:szCs w:val="22"/>
          <w:rtl w:val="0"/>
          <w:lang w:val="en-US"/>
        </w:rPr>
        <w:t>A holistic view of public finance must be taken to systematically determine all the resources available for children with disabilities. The research done by this Coalition</w:t>
      </w:r>
      <w:r>
        <w:rPr>
          <w:rFonts w:ascii="Arial"/>
          <w:sz w:val="22"/>
          <w:szCs w:val="22"/>
          <w:rtl w:val="0"/>
          <w:lang w:val="en-US"/>
        </w:rPr>
        <w:t xml:space="preserve"> (1)</w:t>
      </w:r>
      <w:r>
        <w:rPr>
          <w:rFonts w:ascii="Arial"/>
          <w:sz w:val="22"/>
          <w:szCs w:val="22"/>
          <w:rtl w:val="0"/>
          <w:lang w:val="en-US"/>
        </w:rPr>
        <w:t xml:space="preserve"> views </w:t>
      </w:r>
      <w:r>
        <w:rPr>
          <w:rFonts w:ascii="Arial"/>
          <w:i w:val="1"/>
          <w:iCs w:val="1"/>
          <w:sz w:val="22"/>
          <w:szCs w:val="22"/>
          <w:rtl w:val="0"/>
          <w:lang w:val="en-US"/>
        </w:rPr>
        <w:t>spending</w:t>
      </w:r>
      <w:r>
        <w:rPr>
          <w:rFonts w:ascii="Arial"/>
          <w:sz w:val="22"/>
          <w:szCs w:val="22"/>
          <w:rtl w:val="0"/>
          <w:lang w:val="en-US"/>
        </w:rPr>
        <w:t xml:space="preserve"> typically as including law authorized budgets / appropriations to government ministries / agencies, as well as budgetary support to Government Owned- / Controlled Corporations (GOCCs).  These should cover both disability-specific budget items for children with disabilities, as well as mainstream spending from which they can also benefit.  Shares of cost for operations, and regulation or coordination of mainstream programs and services for the benefit of children with disabilities, would also be part of this spending.</w:t>
      </w:r>
    </w:p>
    <w:p>
      <w:pPr>
        <w:pStyle w:val="Body B"/>
        <w:jc w:val="both"/>
        <w:rPr>
          <w:rFonts w:ascii="Arial" w:cs="Arial" w:hAnsi="Arial" w:eastAsia="Arial"/>
          <w:sz w:val="22"/>
          <w:szCs w:val="22"/>
        </w:rPr>
      </w:pPr>
    </w:p>
    <w:p>
      <w:pPr>
        <w:pStyle w:val="Body B"/>
        <w:jc w:val="both"/>
        <w:rPr>
          <w:rFonts w:ascii="Arial" w:cs="Arial" w:hAnsi="Arial" w:eastAsia="Arial"/>
          <w:sz w:val="22"/>
          <w:szCs w:val="22"/>
        </w:rPr>
      </w:pPr>
      <w:r>
        <w:rPr>
          <w:rFonts w:ascii="Arial"/>
          <w:sz w:val="22"/>
          <w:szCs w:val="22"/>
          <w:rtl w:val="0"/>
          <w:lang w:val="en-US"/>
        </w:rPr>
        <w:t>Other public resources which may be available include benefits derived from GOCCs, foregone revenue (e.g., tax exemptions, disability discounts, etc.), quotas or affirmative action programs, Official Development Assistance, and Public-Private Partnerships.</w:t>
      </w:r>
    </w:p>
    <w:p>
      <w:pPr>
        <w:pStyle w:val="Body B"/>
        <w:jc w:val="both"/>
        <w:rPr>
          <w:rFonts w:ascii="Arial" w:cs="Arial" w:hAnsi="Arial" w:eastAsia="Arial"/>
          <w:sz w:val="22"/>
          <w:szCs w:val="22"/>
        </w:rPr>
      </w:pPr>
    </w:p>
    <w:p>
      <w:pPr>
        <w:pStyle w:val="Body B"/>
        <w:jc w:val="both"/>
        <w:rPr>
          <w:rFonts w:ascii="Arial" w:cs="Arial" w:hAnsi="Arial" w:eastAsia="Arial"/>
          <w:sz w:val="22"/>
          <w:szCs w:val="22"/>
        </w:rPr>
      </w:pPr>
      <w:r>
        <w:rPr>
          <w:rFonts w:ascii="Arial"/>
          <w:sz w:val="22"/>
          <w:szCs w:val="22"/>
          <w:rtl w:val="0"/>
          <w:lang w:val="en-US"/>
        </w:rPr>
        <w:t>Thus, tracking of public spending for children with disabilities should exhaustively consider all these possible resources annually, as well as in short-, medium- and longterm planning and budgeting.</w:t>
      </w:r>
    </w:p>
    <w:p>
      <w:pPr>
        <w:pStyle w:val="Body A"/>
        <w:spacing w:after="120"/>
        <w:jc w:val="both"/>
        <w:rPr>
          <w:rFonts w:ascii="Arial Bold" w:cs="Arial Bold" w:hAnsi="Arial Bold" w:eastAsia="Arial Bold"/>
          <w:sz w:val="22"/>
          <w:szCs w:val="22"/>
        </w:rPr>
      </w:pPr>
    </w:p>
    <w:p>
      <w:pPr>
        <w:pStyle w:val="Body B"/>
        <w:rPr>
          <w:rFonts w:ascii="Arial" w:cs="Arial" w:hAnsi="Arial" w:eastAsia="Arial"/>
          <w:b w:val="1"/>
          <w:bCs w:val="1"/>
          <w:i w:val="1"/>
          <w:iCs w:val="1"/>
          <w:sz w:val="22"/>
          <w:szCs w:val="22"/>
        </w:rPr>
      </w:pPr>
      <w:r>
        <w:rPr>
          <w:rFonts w:hAnsi="Arial" w:hint="default"/>
          <w:b w:val="1"/>
          <w:bCs w:val="1"/>
          <w:i w:val="1"/>
          <w:iCs w:val="1"/>
          <w:sz w:val="22"/>
          <w:szCs w:val="22"/>
          <w:rtl w:val="0"/>
          <w:lang w:val="en-US"/>
        </w:rPr>
        <w:t xml:space="preserve">“… </w:t>
      </w:r>
      <w:r>
        <w:rPr>
          <w:rFonts w:ascii="Arial"/>
          <w:b w:val="1"/>
          <w:bCs w:val="1"/>
          <w:i w:val="1"/>
          <w:iCs w:val="1"/>
          <w:sz w:val="22"/>
          <w:szCs w:val="22"/>
          <w:rtl w:val="0"/>
          <w:lang w:val="en-US"/>
        </w:rPr>
        <w:t>and, where needed, within the framework of international cooperation</w:t>
      </w:r>
      <w:r>
        <w:rPr>
          <w:rFonts w:hAnsi="Arial" w:hint="default"/>
          <w:b w:val="1"/>
          <w:bCs w:val="1"/>
          <w:i w:val="1"/>
          <w:iCs w:val="1"/>
          <w:sz w:val="22"/>
          <w:szCs w:val="22"/>
          <w:rtl w:val="0"/>
          <w:lang w:val="en-US"/>
        </w:rPr>
        <w:t>”</w:t>
      </w:r>
    </w:p>
    <w:p>
      <w:pPr>
        <w:pStyle w:val="Body B"/>
        <w:rPr>
          <w:rFonts w:ascii="Arial" w:cs="Arial" w:hAnsi="Arial" w:eastAsia="Arial"/>
          <w:sz w:val="22"/>
          <w:szCs w:val="22"/>
        </w:rPr>
      </w:pPr>
    </w:p>
    <w:p>
      <w:pPr>
        <w:pStyle w:val="Body B"/>
        <w:jc w:val="both"/>
        <w:rPr>
          <w:rFonts w:ascii="Arial" w:cs="Arial" w:hAnsi="Arial" w:eastAsia="Arial"/>
          <w:sz w:val="22"/>
          <w:szCs w:val="22"/>
        </w:rPr>
      </w:pPr>
      <w:r>
        <w:rPr>
          <w:rFonts w:ascii="Arial"/>
          <w:sz w:val="22"/>
          <w:szCs w:val="22"/>
          <w:rtl w:val="0"/>
          <w:lang w:val="en-US"/>
        </w:rPr>
        <w:t>The Government Assistance to Students and Teachers in Private Education (GASTPE) of the Philippines is recognized as one of the largest and strongest public-private partnership programs for education in the world.  Its main objective is to decongest public secondary schools by contracting private high schools through the provision of subsidies for students who, otherwise, would have gone to the public high schools.  This Educational Service Contracting was implemented primarily through a voucher system which aims to decongest the overcrowded public high schools by awarding vouchers to students in identified priority areas.</w:t>
      </w:r>
    </w:p>
    <w:p>
      <w:pPr>
        <w:pStyle w:val="Body B"/>
        <w:jc w:val="both"/>
        <w:rPr>
          <w:rFonts w:ascii="Arial" w:cs="Arial" w:hAnsi="Arial" w:eastAsia="Arial"/>
          <w:sz w:val="22"/>
          <w:szCs w:val="22"/>
        </w:rPr>
      </w:pPr>
    </w:p>
    <w:p>
      <w:pPr>
        <w:pStyle w:val="Body B"/>
        <w:jc w:val="both"/>
        <w:rPr>
          <w:rFonts w:ascii="Times Roman" w:cs="Times Roman" w:hAnsi="Times Roman" w:eastAsia="Times Roman"/>
          <w:sz w:val="24"/>
          <w:szCs w:val="24"/>
        </w:rPr>
      </w:pPr>
      <w:r>
        <w:rPr>
          <w:rFonts w:ascii="Arial"/>
          <w:sz w:val="22"/>
          <w:szCs w:val="22"/>
          <w:rtl w:val="0"/>
          <w:lang w:val="en-US"/>
        </w:rPr>
        <w:t>In 2009, the World Bank reported that almost half of more than 4,000 secondary schools were participating in this service contracting program. This means beneficiaries of nearly half a million of the 5 million students in public high schools, and 36% of the 1.3 million students in private high schools</w:t>
      </w:r>
      <w:r>
        <w:rPr>
          <w:rFonts w:ascii="Arial"/>
          <w:sz w:val="22"/>
          <w:szCs w:val="22"/>
          <w:rtl w:val="0"/>
          <w:lang w:val="en-US"/>
        </w:rPr>
        <w:t xml:space="preserve"> (1)</w:t>
      </w:r>
      <w:r>
        <w:rPr>
          <w:rFonts w:ascii="Arial"/>
          <w:sz w:val="22"/>
          <w:szCs w:val="22"/>
          <w:rtl w:val="0"/>
          <w:lang w:val="en-US"/>
        </w:rPr>
        <w:t>.</w:t>
      </w:r>
    </w:p>
    <w:p>
      <w:pPr>
        <w:pStyle w:val="Body B"/>
        <w:rPr>
          <w:rFonts w:ascii="Times Roman" w:cs="Times Roman" w:hAnsi="Times Roman" w:eastAsia="Times Roman"/>
          <w:sz w:val="24"/>
          <w:szCs w:val="24"/>
        </w:rPr>
      </w:pPr>
    </w:p>
    <w:p>
      <w:pPr>
        <w:pStyle w:val="Body C"/>
        <w:rPr>
          <w:rFonts w:ascii="Times Roman" w:cs="Times Roman" w:hAnsi="Times Roman" w:eastAsia="Times Roman"/>
          <w:sz w:val="24"/>
          <w:szCs w:val="24"/>
        </w:rPr>
      </w:pPr>
      <w:r>
        <w:rPr>
          <w:rFonts w:ascii="Arial"/>
          <w:sz w:val="22"/>
          <w:szCs w:val="22"/>
          <w:rtl w:val="0"/>
          <w:lang w:val="en-US"/>
        </w:rPr>
        <w:t>However, without disaggregated data and feedback on expenditures for reasonable accommodation or accessibility,  it seems possible that no student with a disability actually ever benefited from this heavily funded project.</w:t>
      </w:r>
    </w:p>
    <w:p>
      <w:pPr>
        <w:pStyle w:val="Body B"/>
        <w:rPr>
          <w:rFonts w:ascii="Times Roman" w:cs="Times Roman" w:hAnsi="Times Roman" w:eastAsia="Times Roman"/>
          <w:sz w:val="24"/>
          <w:szCs w:val="24"/>
        </w:rPr>
      </w:pPr>
    </w:p>
    <w:p>
      <w:pPr>
        <w:pStyle w:val="Body B"/>
        <w:rPr>
          <w:rFonts w:ascii="Times Roman" w:cs="Times Roman" w:hAnsi="Times Roman" w:eastAsia="Times Roman"/>
          <w:sz w:val="24"/>
          <w:szCs w:val="24"/>
        </w:rPr>
      </w:pPr>
    </w:p>
    <w:p>
      <w:pPr>
        <w:pStyle w:val="Body A"/>
        <w:spacing w:after="120"/>
        <w:jc w:val="both"/>
        <w:rPr>
          <w:rFonts w:ascii="Arial" w:cs="Arial" w:hAnsi="Arial" w:eastAsia="Arial"/>
          <w:b w:val="1"/>
          <w:bCs w:val="1"/>
          <w:i w:val="1"/>
          <w:iCs w:val="1"/>
          <w:sz w:val="22"/>
          <w:szCs w:val="22"/>
        </w:rPr>
      </w:pPr>
      <w:r>
        <w:rPr>
          <w:rFonts w:ascii="Arial"/>
          <w:b w:val="1"/>
          <w:bCs w:val="1"/>
          <w:i w:val="1"/>
          <w:iCs w:val="1"/>
          <w:sz w:val="22"/>
          <w:szCs w:val="22"/>
          <w:rtl w:val="0"/>
          <w:lang w:val="en-US"/>
        </w:rPr>
        <w:t>Innovations in budgeting introduced by government ministries on budget and finance may lead to inclusion, or exclusion of marginalized groups such as persons with disabilities, including children with disabilities.</w:t>
      </w:r>
    </w:p>
    <w:p>
      <w:pPr>
        <w:pStyle w:val="Body A"/>
        <w:spacing w:after="120"/>
        <w:jc w:val="both"/>
        <w:rPr>
          <w:rFonts w:ascii="Arial" w:cs="Arial" w:hAnsi="Arial" w:eastAsia="Arial"/>
          <w:sz w:val="22"/>
          <w:szCs w:val="22"/>
        </w:rPr>
      </w:pPr>
      <w:r>
        <w:rPr>
          <w:rFonts w:ascii="Arial"/>
          <w:sz w:val="22"/>
          <w:szCs w:val="22"/>
          <w:rtl w:val="0"/>
          <w:lang w:val="en-US"/>
        </w:rPr>
        <w:t>In the Philippines, O</w:t>
      </w:r>
      <w:r>
        <w:rPr>
          <w:rFonts w:ascii="Arial"/>
          <w:sz w:val="22"/>
          <w:szCs w:val="22"/>
          <w:rtl w:val="0"/>
          <w:lang w:val="en-US"/>
        </w:rPr>
        <w:t>utcome-based Performance-Informed Budgeting was introduced this year. It is different from the traditional line item-based budgeting as it focuses more on outputs and outcomes and places less emphasis on inputs. It also should strengthen the link between planning and budgeting. With effective participation of persons with disabilities, the identification of outputs and outcomes may be influ</w:t>
      </w:r>
      <w:r>
        <w:rPr>
          <w:rFonts w:ascii="Arial" w:cs="Arial" w:hAnsi="Arial" w:eastAsia="Arial"/>
          <w:sz w:val="22"/>
          <w:szCs w:val="22"/>
          <w:rtl w:val="0"/>
        </w:rPr>
        <w:tab/>
      </w:r>
      <w:r>
        <w:rPr>
          <w:rFonts w:ascii="Arial"/>
          <w:sz w:val="22"/>
          <w:szCs w:val="22"/>
          <w:rtl w:val="0"/>
          <w:lang w:val="en-US"/>
        </w:rPr>
        <w:t>enced positively. However</w:t>
      </w:r>
      <w:r>
        <w:rPr>
          <w:rFonts w:ascii="Arial"/>
          <w:sz w:val="22"/>
          <w:szCs w:val="22"/>
          <w:rtl w:val="0"/>
          <w:lang w:val="en-US"/>
        </w:rPr>
        <w:t>,</w:t>
      </w:r>
      <w:r>
        <w:rPr>
          <w:rFonts w:ascii="Arial"/>
          <w:sz w:val="22"/>
          <w:szCs w:val="22"/>
          <w:rtl w:val="0"/>
          <w:lang w:val="en-US"/>
        </w:rPr>
        <w:t xml:space="preserve"> if participation is not ideal, then outputs and outcomes may not be relevant or responsive to the disability-specific needs of children with disabilities. </w:t>
      </w:r>
    </w:p>
    <w:p>
      <w:pPr>
        <w:pStyle w:val="Body B"/>
        <w:jc w:val="both"/>
        <w:rPr>
          <w:rFonts w:ascii="Arial" w:cs="Arial" w:hAnsi="Arial" w:eastAsia="Arial"/>
          <w:sz w:val="22"/>
          <w:szCs w:val="22"/>
          <w:rtl w:val="0"/>
          <w:lang w:val="en-US"/>
        </w:rPr>
      </w:pPr>
      <w:r>
        <w:rPr>
          <w:rFonts w:ascii="Arial"/>
          <w:i w:val="1"/>
          <w:iCs w:val="1"/>
          <w:sz w:val="22"/>
          <w:szCs w:val="22"/>
          <w:rtl w:val="0"/>
          <w:lang w:val="en-US"/>
        </w:rPr>
        <w:t>Grassroots Participatory Budgeting</w:t>
      </w:r>
      <w:r>
        <w:rPr>
          <w:rFonts w:ascii="Arial"/>
          <w:sz w:val="22"/>
          <w:szCs w:val="22"/>
          <w:rtl w:val="0"/>
          <w:lang w:val="en-US"/>
        </w:rPr>
        <w:t xml:space="preserve"> or </w:t>
      </w:r>
      <w:r>
        <w:rPr>
          <w:rFonts w:ascii="Arial"/>
          <w:i w:val="1"/>
          <w:iCs w:val="1"/>
          <w:sz w:val="22"/>
          <w:szCs w:val="22"/>
          <w:rtl w:val="0"/>
          <w:lang w:val="en-US"/>
        </w:rPr>
        <w:t>Bottom-Up Budgeting</w:t>
      </w:r>
      <w:r>
        <w:rPr>
          <w:rFonts w:ascii="Arial"/>
          <w:sz w:val="22"/>
          <w:szCs w:val="22"/>
          <w:rtl w:val="0"/>
          <w:lang w:val="en-US"/>
        </w:rPr>
        <w:t xml:space="preserve"> introduced also by the current administration aims to institutionalize civil society participation in budgeting.  This could genuinely open up opportunities for engagement but it does come with challenges such as: needed accessibility and transparency of budget processes</w:t>
      </w:r>
      <w:r>
        <w:rPr>
          <w:rFonts w:ascii="Arial"/>
          <w:sz w:val="22"/>
          <w:szCs w:val="22"/>
          <w:rtl w:val="0"/>
          <w:lang w:val="en-US"/>
        </w:rPr>
        <w:t>, or,</w:t>
      </w:r>
      <w:r>
        <w:rPr>
          <w:rFonts w:ascii="Arial"/>
          <w:sz w:val="22"/>
          <w:szCs w:val="22"/>
          <w:rtl w:val="0"/>
          <w:lang w:val="en-US"/>
        </w:rPr>
        <w:t xml:space="preserve"> the need for resources support and capacity-building of disabled peoples</w:t>
      </w:r>
      <w:r>
        <w:rPr>
          <w:rFonts w:hAnsi="Arial" w:hint="default"/>
          <w:sz w:val="22"/>
          <w:szCs w:val="22"/>
          <w:rtl w:val="0"/>
          <w:lang w:val="en-US"/>
        </w:rPr>
        <w:t xml:space="preserve">’ </w:t>
      </w:r>
      <w:r>
        <w:rPr>
          <w:rFonts w:ascii="Arial"/>
          <w:sz w:val="22"/>
          <w:szCs w:val="22"/>
          <w:rtl w:val="0"/>
          <w:lang w:val="en-US"/>
        </w:rPr>
        <w:t>organizations for engagement with the government</w:t>
      </w:r>
      <w:r>
        <w:rPr>
          <w:rFonts w:ascii="Arial"/>
          <w:sz w:val="22"/>
          <w:szCs w:val="22"/>
          <w:rtl w:val="0"/>
          <w:lang w:val="en-US"/>
        </w:rPr>
        <w:t xml:space="preserve"> (4)</w:t>
      </w:r>
      <w:r>
        <w:rPr>
          <w:rFonts w:ascii="Arial"/>
          <w:sz w:val="22"/>
          <w:szCs w:val="22"/>
          <w:rtl w:val="0"/>
          <w:lang w:val="en-US"/>
        </w:rPr>
        <w:t>.</w:t>
      </w:r>
    </w:p>
    <w:p>
      <w:pPr>
        <w:pStyle w:val="Body B"/>
        <w:jc w:val="both"/>
        <w:rPr>
          <w:rFonts w:ascii="Arial" w:cs="Arial" w:hAnsi="Arial" w:eastAsia="Arial"/>
          <w:sz w:val="22"/>
          <w:szCs w:val="22"/>
          <w:rtl w:val="0"/>
          <w:lang w:val="en-US"/>
        </w:rPr>
      </w:pPr>
    </w:p>
    <w:p>
      <w:pPr>
        <w:pStyle w:val="Body B"/>
        <w:jc w:val="both"/>
        <w:rPr>
          <w:rFonts w:ascii="Arial" w:cs="Arial" w:hAnsi="Arial" w:eastAsia="Arial"/>
          <w:sz w:val="22"/>
          <w:szCs w:val="22"/>
        </w:rPr>
      </w:pPr>
      <w:r>
        <w:rPr>
          <w:rFonts w:ascii="Arial"/>
          <w:sz w:val="22"/>
          <w:szCs w:val="22"/>
          <w:rtl w:val="0"/>
          <w:lang w:val="en-US"/>
        </w:rPr>
        <w:t>The Commission on Audit, the national audit institution</w:t>
      </w:r>
      <w:r>
        <w:rPr>
          <w:rFonts w:ascii="Arial"/>
          <w:sz w:val="22"/>
          <w:szCs w:val="22"/>
          <w:rtl w:val="0"/>
          <w:lang w:val="en-US"/>
        </w:rPr>
        <w:t>,</w:t>
      </w:r>
      <w:r>
        <w:rPr>
          <w:rFonts w:ascii="Arial"/>
          <w:sz w:val="22"/>
          <w:szCs w:val="22"/>
          <w:rtl w:val="0"/>
          <w:lang w:val="en-US"/>
        </w:rPr>
        <w:t xml:space="preserve"> also has begun a Citizen</w:t>
      </w:r>
      <w:r>
        <w:rPr>
          <w:rFonts w:hAnsi="Arial" w:hint="default"/>
          <w:sz w:val="22"/>
          <w:szCs w:val="22"/>
          <w:rtl w:val="0"/>
          <w:lang w:val="en-US"/>
        </w:rPr>
        <w:t>’</w:t>
      </w:r>
      <w:r>
        <w:rPr>
          <w:rFonts w:ascii="Arial"/>
          <w:sz w:val="22"/>
          <w:szCs w:val="22"/>
          <w:rtl w:val="0"/>
          <w:lang w:val="en-US"/>
        </w:rPr>
        <w:t>s Participatory Audit.  This potentially may be a useful partnership however, it may influence the independent opinion of the claim holders in their own budget advocacy and submissions of civil society reports to UN treaty bodies</w:t>
      </w:r>
      <w:r>
        <w:rPr>
          <w:rFonts w:ascii="Arial"/>
          <w:sz w:val="22"/>
          <w:szCs w:val="22"/>
          <w:rtl w:val="0"/>
          <w:lang w:val="en-US"/>
        </w:rPr>
        <w:t xml:space="preserve"> (5)</w:t>
      </w:r>
      <w:r>
        <w:rPr>
          <w:rFonts w:ascii="Arial"/>
          <w:sz w:val="22"/>
          <w:szCs w:val="22"/>
          <w:rtl w:val="0"/>
          <w:lang w:val="en-US"/>
        </w:rPr>
        <w:t>.</w:t>
      </w:r>
    </w:p>
    <w:p>
      <w:pPr>
        <w:pStyle w:val="Body B"/>
        <w:rPr>
          <w:rFonts w:ascii="Arial" w:cs="Arial" w:hAnsi="Arial" w:eastAsia="Arial"/>
          <w:sz w:val="22"/>
          <w:szCs w:val="22"/>
        </w:rPr>
      </w:pPr>
    </w:p>
    <w:p>
      <w:pPr>
        <w:pStyle w:val="Body B"/>
        <w:rPr>
          <w:rFonts w:ascii="Arial" w:cs="Arial" w:hAnsi="Arial" w:eastAsia="Arial"/>
          <w:b w:val="1"/>
          <w:bCs w:val="1"/>
          <w:i w:val="1"/>
          <w:iCs w:val="1"/>
          <w:sz w:val="22"/>
          <w:szCs w:val="22"/>
        </w:rPr>
      </w:pPr>
      <w:r>
        <w:rPr>
          <w:rFonts w:ascii="Arial"/>
          <w:b w:val="1"/>
          <w:bCs w:val="1"/>
          <w:i w:val="1"/>
          <w:iCs w:val="1"/>
          <w:sz w:val="22"/>
          <w:szCs w:val="22"/>
          <w:rtl w:val="0"/>
          <w:lang w:val="en-US"/>
        </w:rPr>
        <w:t>Earmarking of national appropriations or local budgets for vulnerable groups must be monitored and evaluated for maximum utilization.</w:t>
      </w:r>
    </w:p>
    <w:p>
      <w:pPr>
        <w:pStyle w:val="Body B"/>
        <w:rPr>
          <w:rFonts w:ascii="Arial" w:cs="Arial" w:hAnsi="Arial" w:eastAsia="Arial"/>
          <w:sz w:val="22"/>
          <w:szCs w:val="22"/>
        </w:rPr>
      </w:pPr>
    </w:p>
    <w:p>
      <w:pPr>
        <w:pStyle w:val="Body B"/>
        <w:jc w:val="both"/>
        <w:rPr>
          <w:rFonts w:ascii="Arial" w:cs="Arial" w:hAnsi="Arial" w:eastAsia="Arial"/>
          <w:sz w:val="22"/>
          <w:szCs w:val="22"/>
          <w:rtl w:val="0"/>
        </w:rPr>
      </w:pPr>
      <w:r>
        <w:rPr>
          <w:rFonts w:ascii="Arial"/>
          <w:sz w:val="22"/>
          <w:szCs w:val="22"/>
          <w:rtl w:val="0"/>
          <w:lang w:val="en-US"/>
        </w:rPr>
        <w:t>For the 2nd Decade of Persons with Disabilities, the Philippine government earmarked annual appropriations of 1% of all agency budgets for persons with</w:t>
      </w:r>
      <w:r>
        <w:rPr>
          <w:rFonts w:ascii="Arial"/>
          <w:sz w:val="22"/>
          <w:szCs w:val="22"/>
          <w:rtl w:val="0"/>
          <w:lang w:val="en-US"/>
        </w:rPr>
        <w:t xml:space="preserve"> </w:t>
      </w:r>
      <w:r>
        <w:rPr>
          <w:rFonts w:ascii="Arial"/>
          <w:sz w:val="22"/>
          <w:szCs w:val="22"/>
          <w:rtl w:val="0"/>
          <w:lang w:val="en-US"/>
        </w:rPr>
        <w:t xml:space="preserve">disabilities.  In implementation, the earmarked 1% was </w:t>
      </w:r>
      <w:r>
        <w:rPr>
          <w:rFonts w:ascii="Arial"/>
          <w:sz w:val="22"/>
          <w:szCs w:val="22"/>
          <w:rtl w:val="0"/>
          <w:lang w:val="en-US"/>
        </w:rPr>
        <w:t>actually applied to both persons with disabilities and older persons.  Annually, joint monitoring by oversight organizations was largely ineffectual, with no reports mid-</w:t>
      </w:r>
      <w:r>
        <w:rPr>
          <w:rFonts w:ascii="Arial"/>
          <w:sz w:val="22"/>
          <w:szCs w:val="22"/>
          <w:rtl w:val="0"/>
          <w:lang w:val="en-US"/>
        </w:rPr>
        <w:t>Decade</w:t>
      </w:r>
      <w:r>
        <w:rPr>
          <w:rFonts w:ascii="Arial"/>
          <w:sz w:val="22"/>
          <w:szCs w:val="22"/>
          <w:rtl w:val="0"/>
          <w:lang w:val="en-US"/>
        </w:rPr>
        <w:t xml:space="preserve"> </w:t>
      </w:r>
      <w:r>
        <w:rPr>
          <w:rFonts w:ascii="Arial"/>
          <w:sz w:val="22"/>
          <w:szCs w:val="22"/>
          <w:rtl w:val="0"/>
          <w:lang w:val="en-US"/>
        </w:rPr>
        <w:t>or at</w:t>
      </w:r>
      <w:r>
        <w:rPr>
          <w:rFonts w:ascii="Arial"/>
          <w:sz w:val="22"/>
          <w:szCs w:val="22"/>
          <w:rtl w:val="0"/>
          <w:lang w:val="en-US"/>
        </w:rPr>
        <w:t xml:space="preserve"> the end of the Decade. This Coalition is of the view that this legislative provision was largely wasted</w:t>
      </w:r>
      <w:r>
        <w:rPr>
          <w:rFonts w:ascii="Arial"/>
          <w:sz w:val="22"/>
          <w:szCs w:val="22"/>
          <w:rtl w:val="0"/>
          <w:lang w:val="en-US"/>
        </w:rPr>
        <w:t xml:space="preserve"> </w:t>
      </w:r>
      <w:r>
        <w:rPr>
          <w:rFonts w:ascii="Arial"/>
          <w:sz w:val="22"/>
          <w:szCs w:val="22"/>
          <w:rtl w:val="0"/>
          <w:lang w:val="en-US"/>
        </w:rPr>
        <w:t>for ten years and contributed to the further marginalization of persons with disabilities, including children with disabilities</w:t>
      </w:r>
      <w:r>
        <w:rPr>
          <w:rFonts w:ascii="Arial"/>
          <w:sz w:val="22"/>
          <w:szCs w:val="22"/>
          <w:rtl w:val="0"/>
          <w:lang w:val="en-US"/>
        </w:rPr>
        <w:t xml:space="preserve"> (6)</w:t>
      </w:r>
      <w:r>
        <w:rPr>
          <w:rFonts w:ascii="Arial"/>
          <w:sz w:val="22"/>
          <w:szCs w:val="22"/>
          <w:rtl w:val="0"/>
          <w:lang w:val="en-US"/>
        </w:rPr>
        <w:t>.</w:t>
      </w:r>
    </w:p>
    <w:p>
      <w:pPr>
        <w:pStyle w:val="Body B"/>
        <w:rPr>
          <w:b w:val="1"/>
          <w:bCs w:val="1"/>
          <w:i w:val="1"/>
          <w:iCs w:val="1"/>
        </w:rPr>
      </w:pPr>
    </w:p>
    <w:p>
      <w:pPr>
        <w:pStyle w:val="Body A"/>
        <w:spacing w:after="120"/>
        <w:jc w:val="both"/>
        <w:rPr>
          <w:rFonts w:ascii="Arial" w:cs="Arial" w:hAnsi="Arial" w:eastAsia="Arial"/>
          <w:b w:val="1"/>
          <w:bCs w:val="1"/>
          <w:i w:val="1"/>
          <w:iCs w:val="1"/>
          <w:sz w:val="22"/>
          <w:szCs w:val="22"/>
        </w:rPr>
      </w:pPr>
      <w:r>
        <w:rPr>
          <w:rFonts w:ascii="Arial"/>
          <w:b w:val="1"/>
          <w:bCs w:val="1"/>
          <w:i w:val="1"/>
          <w:iCs w:val="1"/>
          <w:sz w:val="22"/>
          <w:szCs w:val="22"/>
          <w:rtl w:val="0"/>
          <w:lang w:val="en-US"/>
        </w:rPr>
        <w:t>Governments commit to regional /global mechanisms which may set higher or lower administrative standards in budgeting.</w:t>
      </w:r>
    </w:p>
    <w:p>
      <w:pPr>
        <w:pStyle w:val="Body A"/>
        <w:spacing w:after="120"/>
        <w:jc w:val="both"/>
        <w:rPr>
          <w:rFonts w:ascii="Arial" w:cs="Arial" w:hAnsi="Arial" w:eastAsia="Arial"/>
          <w:sz w:val="22"/>
          <w:szCs w:val="22"/>
        </w:rPr>
      </w:pPr>
      <w:r>
        <w:rPr>
          <w:rFonts w:ascii="Arial"/>
          <w:sz w:val="22"/>
          <w:szCs w:val="22"/>
          <w:rtl w:val="0"/>
          <w:lang w:val="en-US"/>
        </w:rPr>
        <w:t>The Philippine government is already mapping out its programs, activities and projects against the targets and indicators of the Incheon Strategy.  Another context is the</w:t>
      </w:r>
      <w:r>
        <w:rPr>
          <w:rFonts w:ascii="Arial"/>
          <w:sz w:val="22"/>
          <w:szCs w:val="22"/>
          <w:rtl w:val="0"/>
          <w:lang w:val="en-US"/>
        </w:rPr>
        <w:t xml:space="preserve"> extensive list of Sustainable Development Goals and Indicators</w:t>
      </w:r>
      <w:r>
        <w:rPr>
          <w:rFonts w:ascii="Arial"/>
          <w:sz w:val="22"/>
          <w:szCs w:val="22"/>
          <w:rtl w:val="0"/>
          <w:lang w:val="en-US"/>
        </w:rPr>
        <w:t xml:space="preserve"> (7)</w:t>
      </w:r>
      <w:r>
        <w:rPr>
          <w:rFonts w:ascii="Arial"/>
          <w:sz w:val="22"/>
          <w:szCs w:val="22"/>
          <w:rtl w:val="0"/>
          <w:lang w:val="en-US"/>
        </w:rPr>
        <w:t>.</w:t>
      </w:r>
    </w:p>
    <w:p>
      <w:pPr>
        <w:pStyle w:val="Body A"/>
        <w:spacing w:after="120"/>
        <w:jc w:val="both"/>
        <w:rPr>
          <w:rFonts w:ascii="Arial" w:cs="Arial" w:hAnsi="Arial" w:eastAsia="Arial"/>
          <w:sz w:val="22"/>
          <w:szCs w:val="22"/>
        </w:rPr>
      </w:pPr>
    </w:p>
    <w:p>
      <w:pPr>
        <w:pStyle w:val="Body"/>
        <w:rPr>
          <w:rFonts w:ascii="Arial" w:cs="Arial" w:hAnsi="Arial" w:eastAsia="Arial"/>
          <w:sz w:val="22"/>
          <w:szCs w:val="22"/>
        </w:rPr>
      </w:pPr>
    </w:p>
    <w:p>
      <w:pPr>
        <w:pStyle w:val="Body"/>
        <w:jc w:val="center"/>
        <w:rPr>
          <w:rFonts w:ascii="Arial" w:cs="Arial" w:hAnsi="Arial" w:eastAsia="Arial"/>
          <w:sz w:val="22"/>
          <w:szCs w:val="22"/>
          <w:rtl w:val="0"/>
          <w:lang w:val="en-US"/>
        </w:rPr>
      </w:pPr>
      <w:r>
        <w:rPr>
          <w:rFonts w:ascii="Arial"/>
          <w:sz w:val="22"/>
          <w:szCs w:val="22"/>
          <w:rtl w:val="0"/>
          <w:lang w:val="en-US"/>
        </w:rPr>
        <w:t>SPECIFIC COMMENTS ON PORTIONS OF DRAFT</w:t>
      </w:r>
    </w:p>
    <w:p>
      <w:pPr>
        <w:pStyle w:val="Body"/>
        <w:rPr>
          <w:rFonts w:ascii="Arial" w:cs="Arial" w:hAnsi="Arial" w:eastAsia="Arial"/>
          <w:sz w:val="22"/>
          <w:szCs w:val="22"/>
        </w:rPr>
      </w:pPr>
    </w:p>
    <w:p>
      <w:pPr>
        <w:pStyle w:val="Body"/>
        <w:rPr>
          <w:rFonts w:ascii="Arial Bold" w:cs="Arial Bold" w:hAnsi="Arial Bold" w:eastAsia="Arial Bold"/>
        </w:rPr>
      </w:pPr>
      <w:r>
        <w:rPr>
          <w:rFonts w:hAnsi="Arial Bold" w:hint="default"/>
          <w:sz w:val="24"/>
          <w:szCs w:val="24"/>
          <w:rtl w:val="0"/>
          <w:lang w:val="en-US"/>
        </w:rPr>
        <w:t>”…</w:t>
      </w:r>
      <w:r>
        <w:rPr>
          <w:rFonts w:ascii="Arial Bold"/>
          <w:sz w:val="24"/>
          <w:szCs w:val="24"/>
          <w:rtl w:val="0"/>
          <w:lang w:val="en-US"/>
        </w:rPr>
        <w:t>budget lines and codes that at a minimum disaggregate planned, enacted, revised and actual</w:t>
      </w:r>
      <w:r>
        <w:rPr>
          <w:rFonts w:ascii="Arial Bold"/>
          <w:sz w:val="24"/>
          <w:szCs w:val="24"/>
          <w:rtl w:val="0"/>
          <w:lang w:val="en-US"/>
        </w:rPr>
        <w:t xml:space="preserve"> expenditures</w:t>
      </w:r>
      <w:r>
        <w:rPr>
          <w:rFonts w:ascii="Arial Bold"/>
          <w:sz w:val="24"/>
          <w:szCs w:val="24"/>
          <w:rtl w:val="0"/>
          <w:lang w:val="en-US"/>
        </w:rPr>
        <w:t xml:space="preserve"> that directly affect children, by: </w:t>
      </w:r>
    </w:p>
    <w:p>
      <w:pPr>
        <w:pStyle w:val="Body"/>
        <w:rPr>
          <w:rFonts w:ascii="Arial Bold" w:cs="Arial Bold" w:hAnsi="Arial Bold" w:eastAsia="Arial Bold"/>
          <w:sz w:val="24"/>
          <w:szCs w:val="24"/>
          <w:rtl w:val="0"/>
          <w:lang w:val="en-US"/>
        </w:rPr>
      </w:pPr>
      <w:r>
        <w:rPr>
          <w:rFonts w:ascii="Arial Bold" w:cs="Arial Bold" w:hAnsi="Arial Bold" w:eastAsia="Arial Bold"/>
        </w:rPr>
        <w:tab/>
      </w:r>
      <w:r>
        <w:rPr>
          <w:rFonts w:hAnsi="Arial Bold" w:hint="default"/>
          <w:sz w:val="24"/>
          <w:szCs w:val="24"/>
          <w:rtl w:val="0"/>
          <w:lang w:val="en-US"/>
        </w:rPr>
        <w:t xml:space="preserve">… </w:t>
      </w:r>
      <w:r>
        <w:rPr>
          <w:rFonts w:ascii="Arial Bold"/>
          <w:sz w:val="24"/>
          <w:szCs w:val="24"/>
          <w:rtl w:val="0"/>
          <w:lang w:val="en-US"/>
        </w:rPr>
        <w:t>d) Current, and potential future, groups of children in vulnerable</w:t>
      </w:r>
      <w:r>
        <w:rPr>
          <w:rFonts w:ascii="Arial Bold" w:cs="Arial Bold" w:hAnsi="Arial Bold" w:eastAsia="Arial Bold"/>
          <w:sz w:val="24"/>
          <w:szCs w:val="24"/>
          <w:rtl w:val="0"/>
          <w:lang w:val="en-US"/>
        </w:rPr>
        <w:tab/>
        <w:tab/>
        <w:t>situ</w:t>
      </w:r>
      <w:r>
        <w:rPr>
          <w:rFonts w:ascii="Arial Bold"/>
          <w:sz w:val="24"/>
          <w:szCs w:val="24"/>
          <w:rtl w:val="0"/>
          <w:lang w:val="en-US"/>
        </w:rPr>
        <w:t>ations within the State</w:t>
      </w:r>
      <w:r>
        <w:rPr>
          <w:rFonts w:hAnsi="Arial Bold" w:hint="default"/>
          <w:sz w:val="24"/>
          <w:szCs w:val="24"/>
          <w:rtl w:val="0"/>
          <w:lang w:val="en-US"/>
        </w:rPr>
        <w:t>’</w:t>
      </w:r>
      <w:r>
        <w:rPr>
          <w:rFonts w:ascii="Arial Bold"/>
          <w:sz w:val="24"/>
          <w:szCs w:val="24"/>
          <w:rtl w:val="0"/>
          <w:lang w:val="en-US"/>
        </w:rPr>
        <w:t>s jurisdiction - such as children with disabili</w:t>
      </w:r>
    </w:p>
    <w:p>
      <w:pPr>
        <w:pStyle w:val="Body"/>
        <w:rPr>
          <w:rFonts w:ascii="Arial Bold" w:cs="Arial Bold" w:hAnsi="Arial Bold" w:eastAsia="Arial Bold"/>
        </w:rPr>
      </w:pPr>
      <w:r>
        <w:rPr>
          <w:rFonts w:ascii="Arial Bold" w:cs="Arial Bold" w:hAnsi="Arial Bold" w:eastAsia="Arial Bold"/>
          <w:sz w:val="24"/>
          <w:szCs w:val="24"/>
          <w:rtl w:val="0"/>
          <w:lang w:val="en-US"/>
        </w:rPr>
        <w:tab/>
      </w:r>
      <w:r>
        <w:rPr>
          <w:rFonts w:ascii="Arial Bold"/>
          <w:rtl w:val="0"/>
          <w:lang w:val="en-US"/>
        </w:rPr>
        <w:t xml:space="preserve">ties </w:t>
      </w:r>
      <w:r>
        <w:rPr>
          <w:rFonts w:hAnsi="Arial Bold" w:hint="default"/>
          <w:rtl w:val="0"/>
          <w:lang w:val="en-US"/>
        </w:rPr>
        <w:t xml:space="preserve">…” </w:t>
      </w:r>
      <w:r>
        <w:rPr>
          <w:rFonts w:ascii="Arial Bold"/>
          <w:rtl w:val="0"/>
          <w:lang w:val="en-US"/>
        </w:rPr>
        <w:t>(para 104)</w:t>
      </w:r>
    </w:p>
    <w:p>
      <w:pPr>
        <w:pStyle w:val="Body A"/>
        <w:spacing w:after="120"/>
        <w:jc w:val="both"/>
        <w:rPr>
          <w:rFonts w:ascii="Arial" w:cs="Arial" w:hAnsi="Arial" w:eastAsia="Arial"/>
          <w:sz w:val="22"/>
          <w:szCs w:val="22"/>
        </w:rPr>
      </w:pPr>
    </w:p>
    <w:p>
      <w:pPr>
        <w:pStyle w:val="Body A"/>
        <w:spacing w:after="120"/>
        <w:jc w:val="both"/>
        <w:rPr>
          <w:rFonts w:ascii="Arial" w:cs="Arial" w:hAnsi="Arial" w:eastAsia="Arial"/>
          <w:sz w:val="22"/>
          <w:szCs w:val="22"/>
        </w:rPr>
      </w:pPr>
      <w:r>
        <w:rPr>
          <w:rFonts w:ascii="Arial"/>
          <w:sz w:val="22"/>
          <w:szCs w:val="22"/>
          <w:rtl w:val="0"/>
          <w:lang w:val="en-US"/>
        </w:rPr>
        <w:t>EDUCATION</w:t>
      </w:r>
    </w:p>
    <w:p>
      <w:pPr>
        <w:pStyle w:val="Body"/>
        <w:jc w:val="both"/>
        <w:rPr>
          <w:rFonts w:ascii="Arial" w:cs="Arial" w:hAnsi="Arial" w:eastAsia="Arial"/>
          <w:sz w:val="22"/>
          <w:szCs w:val="22"/>
          <w:lang w:val="en-US"/>
        </w:rPr>
      </w:pPr>
      <w:r>
        <w:rPr>
          <w:rFonts w:ascii="Arial"/>
          <w:sz w:val="22"/>
          <w:szCs w:val="22"/>
          <w:rtl w:val="0"/>
          <w:lang w:val="en-US"/>
        </w:rPr>
        <w:t xml:space="preserve">The following challenges and examples deal with education of children with disabilities which traditionally and generally, are in segregated </w:t>
      </w:r>
      <w:r>
        <w:rPr>
          <w:rFonts w:ascii="Arial"/>
          <w:i w:val="1"/>
          <w:iCs w:val="1"/>
          <w:sz w:val="22"/>
          <w:szCs w:val="22"/>
          <w:rtl w:val="0"/>
          <w:lang w:val="en-US"/>
        </w:rPr>
        <w:t xml:space="preserve">Special Education </w:t>
      </w:r>
      <w:r>
        <w:rPr>
          <w:rFonts w:ascii="Arial"/>
          <w:sz w:val="22"/>
          <w:szCs w:val="22"/>
          <w:rtl w:val="0"/>
          <w:lang w:val="en-US"/>
        </w:rPr>
        <w:t>centers and programs.</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i w:val="1"/>
          <w:iCs w:val="1"/>
          <w:sz w:val="22"/>
          <w:szCs w:val="22"/>
          <w:u w:val="single"/>
          <w:rtl w:val="0"/>
          <w:lang w:val="en-US"/>
        </w:rPr>
        <w:t>Challenge</w:t>
      </w:r>
      <w:r>
        <w:rPr>
          <w:rFonts w:ascii="Arial"/>
          <w:i w:val="1"/>
          <w:iCs w:val="1"/>
          <w:sz w:val="22"/>
          <w:szCs w:val="22"/>
          <w:rtl w:val="0"/>
          <w:lang w:val="en-US"/>
        </w:rPr>
        <w:t xml:space="preserve">:  Expenditures for children with disabilities have been reported by government as increasing annually for public projects or programs but these projects or programs may not be </w:t>
      </w:r>
      <w:r>
        <w:rPr>
          <w:rFonts w:ascii="Arial"/>
          <w:i w:val="1"/>
          <w:iCs w:val="1"/>
          <w:sz w:val="22"/>
          <w:szCs w:val="22"/>
          <w:rtl w:val="0"/>
          <w:lang w:val="en-US"/>
        </w:rPr>
        <w:t xml:space="preserve">compliant with the CRC and </w:t>
      </w:r>
      <w:r>
        <w:rPr>
          <w:rFonts w:ascii="Arial"/>
          <w:i w:val="1"/>
          <w:iCs w:val="1"/>
          <w:sz w:val="22"/>
          <w:szCs w:val="22"/>
          <w:rtl w:val="0"/>
          <w:lang w:val="en-US"/>
        </w:rPr>
        <w:t>CRPD</w:t>
      </w:r>
      <w:r>
        <w:rPr>
          <w:rFonts w:ascii="Arial"/>
          <w:i w:val="1"/>
          <w:iCs w:val="1"/>
          <w:sz w:val="22"/>
          <w:szCs w:val="22"/>
          <w:rtl w:val="0"/>
          <w:lang w:val="en-US"/>
        </w:rPr>
        <w:t xml:space="preserve"> </w:t>
      </w:r>
      <w:r>
        <w:rPr>
          <w:rFonts w:ascii="Arial"/>
          <w:i w:val="1"/>
          <w:iCs w:val="1"/>
          <w:sz w:val="22"/>
          <w:szCs w:val="22"/>
          <w:rtl w:val="0"/>
          <w:lang w:val="en-US"/>
        </w:rPr>
        <w:t>to begin with.</w:t>
      </w:r>
    </w:p>
    <w:p>
      <w:pPr>
        <w:pStyle w:val="Body"/>
        <w:jc w:val="both"/>
        <w:rPr>
          <w:rFonts w:ascii="Arial" w:cs="Arial" w:hAnsi="Arial" w:eastAsia="Arial"/>
          <w:sz w:val="22"/>
          <w:szCs w:val="22"/>
          <w:lang w:val="en-US"/>
        </w:rPr>
      </w:pPr>
      <w:r>
        <w:rPr>
          <w:rFonts w:ascii="Arial"/>
          <w:sz w:val="22"/>
          <w:szCs w:val="22"/>
          <w:rtl w:val="0"/>
          <w:lang w:val="en-US"/>
        </w:rPr>
        <w:t xml:space="preserve">For instance, the number of Special Education centers doubled from 2009 to 2013.  The national government subsidy to a Special Education Center has even increased from PhP300,000 (= US$6,353) in 2009 to PhP500,000 (= US$10,588) in 2012.  Despite these increases, however, the fact remains that education of children with disabilities </w:t>
      </w:r>
      <w:r>
        <w:rPr>
          <w:rFonts w:ascii="Arial"/>
          <w:sz w:val="22"/>
          <w:szCs w:val="22"/>
          <w:rtl w:val="0"/>
          <w:lang w:val="en-US"/>
        </w:rPr>
        <w:t>are in segregated, and</w:t>
      </w:r>
      <w:r>
        <w:rPr>
          <w:rFonts w:ascii="Arial"/>
          <w:sz w:val="22"/>
          <w:szCs w:val="22"/>
          <w:rtl w:val="0"/>
          <w:lang w:val="en-US"/>
        </w:rPr>
        <w:t xml:space="preserve"> not inclusive systems</w:t>
      </w:r>
      <w:r>
        <w:rPr>
          <w:rFonts w:ascii="Arial"/>
          <w:sz w:val="22"/>
          <w:szCs w:val="22"/>
          <w:rtl w:val="0"/>
          <w:lang w:val="en-US"/>
        </w:rPr>
        <w:t xml:space="preserve"> (1)</w:t>
      </w:r>
      <w:r>
        <w:rPr>
          <w:rFonts w:ascii="Arial"/>
          <w:sz w:val="22"/>
          <w:szCs w:val="22"/>
          <w:rtl w:val="0"/>
          <w:lang w:val="en-US"/>
        </w:rPr>
        <w:t xml:space="preserve">.  </w:t>
      </w:r>
    </w:p>
    <w:p>
      <w:pPr>
        <w:pStyle w:val="Body"/>
        <w:jc w:val="both"/>
        <w:rPr>
          <w:rFonts w:ascii="Arial" w:cs="Arial" w:hAnsi="Arial" w:eastAsia="Arial"/>
          <w:sz w:val="22"/>
          <w:szCs w:val="22"/>
          <w:lang w:val="en-US"/>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rPr>
      </w:pPr>
      <w:r>
        <w:rPr>
          <w:rFonts w:ascii="Arial"/>
          <w:b w:val="1"/>
          <w:bCs w:val="1"/>
          <w:sz w:val="22"/>
          <w:szCs w:val="22"/>
          <w:rtl w:val="0"/>
          <w:lang w:val="en-US"/>
        </w:rPr>
        <w:t>Redirect and monitor public spending and use of resources towards the full realization of the right of a child with a disability to education on an equal basis as others as enshrined in the CRC and CRPD.</w:t>
      </w:r>
    </w:p>
    <w:p>
      <w:pPr>
        <w:pStyle w:val="Body A"/>
        <w:spacing w:after="120"/>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i w:val="1"/>
          <w:iCs w:val="1"/>
          <w:sz w:val="22"/>
          <w:szCs w:val="22"/>
          <w:u w:val="single"/>
          <w:rtl w:val="0"/>
          <w:lang w:val="en-US"/>
        </w:rPr>
        <w:t>Challenge</w:t>
      </w:r>
      <w:r>
        <w:rPr>
          <w:rFonts w:ascii="Arial"/>
          <w:i w:val="1"/>
          <w:iCs w:val="1"/>
          <w:sz w:val="22"/>
          <w:szCs w:val="22"/>
          <w:rtl w:val="0"/>
          <w:lang w:val="en-US"/>
        </w:rPr>
        <w:t>:  Existing Special Education systems lump children with disabilities with other vulnerable groups, making expenditures aggregated and thus, unable to be tracked, or monitored.</w:t>
      </w:r>
    </w:p>
    <w:p>
      <w:pPr>
        <w:pStyle w:val="Body"/>
        <w:jc w:val="both"/>
        <w:rPr>
          <w:rFonts w:ascii="Arial" w:cs="Arial" w:hAnsi="Arial" w:eastAsia="Arial"/>
          <w:sz w:val="22"/>
          <w:szCs w:val="22"/>
          <w:lang w:val="en-US"/>
        </w:rPr>
      </w:pPr>
      <w:r>
        <w:rPr>
          <w:rFonts w:ascii="Arial"/>
          <w:sz w:val="22"/>
          <w:szCs w:val="22"/>
          <w:rtl w:val="0"/>
          <w:lang w:val="en-US"/>
        </w:rPr>
        <w:t>Education of children with disabilities in Special Education centers and programs put them together with fast learners / gifted under the category of Children with Special Needs.  Although enrollment figures are disaggregated by impairment groups, and by disability / giftedness, expenditures by the Department of Education are listed by centers or schools of Children with Special Needs. The major budget items for teacher salaries, operational expenses and capital expenditures are all aggregated also as spending for Children with Special Needs</w:t>
      </w:r>
      <w:r>
        <w:rPr>
          <w:rFonts w:ascii="Arial"/>
          <w:sz w:val="22"/>
          <w:szCs w:val="22"/>
          <w:rtl w:val="0"/>
          <w:lang w:val="en-US"/>
        </w:rPr>
        <w:t xml:space="preserve"> (1)</w:t>
      </w:r>
      <w:r>
        <w:rPr>
          <w:rFonts w:ascii="Arial"/>
          <w:sz w:val="22"/>
          <w:szCs w:val="22"/>
          <w:rtl w:val="0"/>
          <w:lang w:val="en-US"/>
        </w:rPr>
        <w:t>.  These national expenditures do not actually reflect spending for children with disabilities.</w:t>
      </w:r>
    </w:p>
    <w:p>
      <w:pPr>
        <w:pStyle w:val="Body"/>
        <w:rPr>
          <w:rFonts w:ascii="Arial" w:cs="Arial" w:hAnsi="Arial" w:eastAsia="Arial"/>
          <w:sz w:val="22"/>
          <w:szCs w:val="22"/>
          <w:lang w:val="en-US"/>
        </w:rPr>
      </w:pPr>
    </w:p>
    <w:p>
      <w:pPr>
        <w:pStyle w:val="Body"/>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rPr>
      </w:pPr>
      <w:r>
        <w:rPr>
          <w:rFonts w:ascii="Arial"/>
          <w:b w:val="1"/>
          <w:bCs w:val="1"/>
          <w:sz w:val="22"/>
          <w:szCs w:val="22"/>
          <w:rtl w:val="0"/>
          <w:lang w:val="en-US"/>
        </w:rPr>
        <w:t>Ensure that planning, enactment, execution and evaluation of budgets contain legislative and administrative measures that specifically identify spending for children with disabilities in all programs and services, including education.</w:t>
      </w:r>
    </w:p>
    <w:p>
      <w:pPr>
        <w:pStyle w:val="Body A"/>
        <w:spacing w:after="120"/>
        <w:jc w:val="both"/>
        <w:rPr>
          <w:rFonts w:ascii="Arial" w:cs="Arial" w:hAnsi="Arial" w:eastAsia="Arial"/>
          <w:b w:val="1"/>
          <w:bCs w:val="1"/>
          <w:sz w:val="22"/>
          <w:szCs w:val="22"/>
        </w:rPr>
      </w:pPr>
    </w:p>
    <w:p>
      <w:pPr>
        <w:pStyle w:val="Body"/>
        <w:jc w:val="both"/>
        <w:rPr>
          <w:rFonts w:ascii="Arial" w:cs="Arial" w:hAnsi="Arial" w:eastAsia="Arial"/>
          <w:i w:val="1"/>
          <w:iCs w:val="1"/>
        </w:rPr>
      </w:pPr>
      <w:r>
        <w:rPr>
          <w:rFonts w:ascii="Arial"/>
          <w:i w:val="1"/>
          <w:iCs w:val="1"/>
          <w:u w:val="single"/>
          <w:rtl w:val="0"/>
          <w:lang w:val="en-US"/>
        </w:rPr>
        <w:t>Challenge</w:t>
      </w:r>
      <w:r>
        <w:rPr>
          <w:rFonts w:ascii="Arial"/>
          <w:i w:val="1"/>
          <w:iCs w:val="1"/>
          <w:rtl w:val="0"/>
          <w:lang w:val="en-US"/>
        </w:rPr>
        <w:t>:  Annual earmarked appropriations have no tracking mechanisms for monitoring and evaluation.</w:t>
      </w:r>
    </w:p>
    <w:p>
      <w:pPr>
        <w:pStyle w:val="Body"/>
        <w:jc w:val="both"/>
        <w:rPr>
          <w:rFonts w:ascii="Arial" w:cs="Arial" w:hAnsi="Arial" w:eastAsia="Arial"/>
          <w:i w:val="1"/>
          <w:iCs w:val="1"/>
          <w:sz w:val="22"/>
          <w:szCs w:val="22"/>
        </w:rPr>
      </w:pPr>
      <w:r>
        <w:rPr>
          <w:rFonts w:ascii="Arial"/>
          <w:i w:val="1"/>
          <w:iCs w:val="1"/>
          <w:rtl w:val="0"/>
          <w:lang w:val="en-US"/>
        </w:rPr>
        <w:t xml:space="preserve">The Philippine General Appropriations Act has included since 2010 a line item </w:t>
      </w:r>
      <w:r>
        <w:rPr>
          <w:rFonts w:hAnsi="Arial" w:hint="default"/>
          <w:i w:val="1"/>
          <w:iCs w:val="1"/>
          <w:sz w:val="22"/>
          <w:szCs w:val="22"/>
          <w:rtl w:val="0"/>
        </w:rPr>
        <w:t>“</w:t>
      </w:r>
      <w:r>
        <w:rPr>
          <w:rFonts w:ascii="Arial"/>
          <w:i w:val="1"/>
          <w:iCs w:val="1"/>
          <w:sz w:val="22"/>
          <w:szCs w:val="22"/>
          <w:rtl w:val="0"/>
          <w:lang w:val="en-US"/>
        </w:rPr>
        <w:t>Lump-sum for Purchase of Textbooks</w:t>
      </w:r>
      <w:r>
        <w:rPr>
          <w:rFonts w:ascii="Arial"/>
          <w:i w:val="1"/>
          <w:iCs w:val="1"/>
          <w:sz w:val="22"/>
          <w:szCs w:val="22"/>
          <w:rtl w:val="0"/>
          <w:lang w:val="en-US"/>
        </w:rPr>
        <w:t xml:space="preserve"> </w:t>
      </w:r>
      <w:r>
        <w:rPr>
          <w:rFonts w:ascii="Arial"/>
          <w:i w:val="1"/>
          <w:iCs w:val="1"/>
          <w:sz w:val="22"/>
          <w:szCs w:val="22"/>
          <w:rtl w:val="0"/>
        </w:rPr>
        <w:t>/</w:t>
      </w:r>
      <w:r>
        <w:rPr>
          <w:rFonts w:ascii="Arial"/>
          <w:i w:val="1"/>
          <w:iCs w:val="1"/>
          <w:sz w:val="22"/>
          <w:szCs w:val="22"/>
          <w:rtl w:val="0"/>
          <w:lang w:val="en-US"/>
        </w:rPr>
        <w:t xml:space="preserve"> </w:t>
      </w:r>
      <w:r>
        <w:rPr>
          <w:rFonts w:ascii="Arial"/>
          <w:i w:val="1"/>
          <w:iCs w:val="1"/>
          <w:sz w:val="22"/>
          <w:szCs w:val="22"/>
          <w:rtl w:val="0"/>
        </w:rPr>
        <w:t>In</w:t>
      </w:r>
      <w:r>
        <w:rPr>
          <w:rFonts w:ascii="Arial"/>
          <w:i w:val="1"/>
          <w:iCs w:val="1"/>
          <w:sz w:val="22"/>
          <w:szCs w:val="22"/>
          <w:rtl w:val="0"/>
          <w:lang w:val="en-US"/>
        </w:rPr>
        <w:t>s</w:t>
      </w:r>
      <w:r>
        <w:rPr>
          <w:rFonts w:ascii="Arial"/>
          <w:i w:val="1"/>
          <w:iCs w:val="1"/>
          <w:sz w:val="22"/>
          <w:szCs w:val="22"/>
          <w:rtl w:val="0"/>
          <w:lang w:val="en-US"/>
        </w:rPr>
        <w:t>tructional Materials (including P100M for the handicapped)</w:t>
      </w:r>
      <w:r>
        <w:rPr>
          <w:rFonts w:hAnsi="Arial" w:hint="default"/>
          <w:i w:val="1"/>
          <w:iCs w:val="1"/>
          <w:sz w:val="22"/>
          <w:szCs w:val="22"/>
          <w:rtl w:val="0"/>
          <w:lang w:val="en-US"/>
        </w:rPr>
        <w:t>”</w:t>
      </w:r>
      <w:r>
        <w:rPr>
          <w:rFonts w:ascii="Arial"/>
          <w:i w:val="1"/>
          <w:iCs w:val="1"/>
          <w:sz w:val="22"/>
          <w:szCs w:val="22"/>
          <w:rtl w:val="0"/>
          <w:lang w:val="en-US"/>
        </w:rPr>
        <w:t xml:space="preserve">.  There is no public information on the systematic tracking of this legislated budget item.  Repeated communications of this Coalition </w:t>
      </w:r>
      <w:r>
        <w:rPr>
          <w:rFonts w:ascii="Arial"/>
          <w:i w:val="1"/>
          <w:iCs w:val="1"/>
          <w:sz w:val="22"/>
          <w:szCs w:val="22"/>
          <w:rtl w:val="0"/>
          <w:lang w:val="en-US"/>
        </w:rPr>
        <w:t>since 2013</w:t>
      </w:r>
      <w:r>
        <w:rPr>
          <w:rFonts w:ascii="Arial"/>
          <w:i w:val="1"/>
          <w:iCs w:val="1"/>
          <w:sz w:val="22"/>
          <w:szCs w:val="22"/>
          <w:rtl w:val="0"/>
          <w:lang w:val="en-US"/>
        </w:rPr>
        <w:t xml:space="preserve"> to clarify this matter with the Department of Education Undersecretaries and Special Education officials have not been responded to (1).</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rPr>
      </w:pPr>
      <w:r>
        <w:rPr>
          <w:rFonts w:ascii="Arial"/>
          <w:b w:val="1"/>
          <w:bCs w:val="1"/>
          <w:sz w:val="22"/>
          <w:szCs w:val="22"/>
          <w:rtl w:val="0"/>
          <w:lang w:val="en-US"/>
        </w:rPr>
        <w:t>Exact accountability in all aspects of public procurement relating to the education of children with disabilities, by installing monitoring and evaluation mechanisms particularly for earmarked allocations and utilization.</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i w:val="1"/>
          <w:iCs w:val="1"/>
          <w:sz w:val="22"/>
          <w:szCs w:val="22"/>
          <w:u w:val="single"/>
          <w:rtl w:val="0"/>
          <w:lang w:val="en-US"/>
        </w:rPr>
        <w:t>Challenge</w:t>
      </w:r>
      <w:r>
        <w:rPr>
          <w:rFonts w:ascii="Arial"/>
          <w:i w:val="1"/>
          <w:iCs w:val="1"/>
          <w:sz w:val="22"/>
          <w:szCs w:val="22"/>
          <w:rtl w:val="0"/>
          <w:lang w:val="en-US"/>
        </w:rPr>
        <w:t>:  The basis for per capita spending for education of children with disabilities is unclear, and not tracked carefully and regularly.</w:t>
      </w:r>
    </w:p>
    <w:p>
      <w:pPr>
        <w:pStyle w:val="Body"/>
        <w:jc w:val="both"/>
        <w:rPr>
          <w:rFonts w:ascii="Arial" w:cs="Arial" w:hAnsi="Arial" w:eastAsia="Arial"/>
          <w:i w:val="1"/>
          <w:iCs w:val="1"/>
          <w:sz w:val="22"/>
          <w:szCs w:val="22"/>
          <w:lang w:val="en-US"/>
        </w:rPr>
      </w:pPr>
      <w:r>
        <w:rPr>
          <w:rFonts w:ascii="Arial"/>
          <w:i w:val="1"/>
          <w:iCs w:val="1"/>
          <w:sz w:val="22"/>
          <w:szCs w:val="22"/>
          <w:rtl w:val="0"/>
          <w:lang w:val="en-US"/>
        </w:rPr>
        <w:t>For children with disabilities in the Philippines, government subsidies to Special Education Centers were traditionally allocated through lump sum appropriations.  It was only in 2013, that allocations beg</w:t>
      </w:r>
      <w:r>
        <w:rPr>
          <w:rFonts w:ascii="Arial"/>
          <w:i w:val="1"/>
          <w:iCs w:val="1"/>
          <w:sz w:val="22"/>
          <w:szCs w:val="22"/>
          <w:rtl w:val="0"/>
          <w:lang w:val="en-US"/>
        </w:rPr>
        <w:t>a</w:t>
      </w:r>
      <w:r>
        <w:rPr>
          <w:rFonts w:ascii="Arial"/>
          <w:i w:val="1"/>
          <w:iCs w:val="1"/>
          <w:sz w:val="22"/>
          <w:szCs w:val="22"/>
          <w:rtl w:val="0"/>
          <w:lang w:val="en-US"/>
        </w:rPr>
        <w:t xml:space="preserve">n to be computed on a per student basis </w:t>
      </w:r>
      <w:r>
        <w:rPr>
          <w:rFonts w:ascii="Arial"/>
          <w:i w:val="1"/>
          <w:iCs w:val="1"/>
          <w:sz w:val="22"/>
          <w:szCs w:val="22"/>
          <w:rtl w:val="0"/>
          <w:lang w:val="en-US"/>
        </w:rPr>
        <w:t xml:space="preserve">based on </w:t>
      </w:r>
      <w:r>
        <w:rPr>
          <w:rFonts w:ascii="Arial"/>
          <w:i w:val="1"/>
          <w:iCs w:val="1"/>
          <w:sz w:val="22"/>
          <w:szCs w:val="22"/>
          <w:rtl w:val="0"/>
          <w:lang w:val="en-US"/>
        </w:rPr>
        <w:t>the previous year</w:t>
      </w:r>
      <w:r>
        <w:rPr>
          <w:rFonts w:hAnsi="Arial" w:hint="default"/>
          <w:i w:val="1"/>
          <w:iCs w:val="1"/>
          <w:sz w:val="22"/>
          <w:szCs w:val="22"/>
          <w:rtl w:val="0"/>
          <w:lang w:val="en-US"/>
        </w:rPr>
        <w:t>’</w:t>
      </w:r>
      <w:r>
        <w:rPr>
          <w:rFonts w:ascii="Arial"/>
          <w:i w:val="1"/>
          <w:iCs w:val="1"/>
          <w:sz w:val="22"/>
          <w:szCs w:val="22"/>
          <w:rtl w:val="0"/>
          <w:lang w:val="en-US"/>
        </w:rPr>
        <w:t>s enrollment.  It is not apparent how the declared PhP 800/ pupil ( = US$17)  subsidy in Special Education Centers for children with disabilities relates to the general per capita spending for the 20 million public school students in the Philippines. The latter has been increasing annually from PhP8,000 (= US$170) in 2010, to P10,700 (= US$227) in 2012.  Furthermore, there is no information on the evaluation of the sufficiency of this subsidy, or analysis of its actual utilization</w:t>
      </w:r>
      <w:r>
        <w:rPr>
          <w:rFonts w:ascii="Arial"/>
          <w:i w:val="1"/>
          <w:iCs w:val="1"/>
          <w:sz w:val="22"/>
          <w:szCs w:val="22"/>
          <w:rtl w:val="0"/>
          <w:lang w:val="en-US"/>
        </w:rPr>
        <w:t xml:space="preserve"> (1)</w:t>
      </w:r>
      <w:r>
        <w:rPr>
          <w:rFonts w:ascii="Arial"/>
          <w:i w:val="1"/>
          <w:iCs w:val="1"/>
          <w:sz w:val="22"/>
          <w:szCs w:val="22"/>
          <w:rtl w:val="0"/>
          <w:lang w:val="en-US"/>
        </w:rPr>
        <w:t>.</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rPr>
      </w:pPr>
      <w:r>
        <w:rPr>
          <w:rFonts w:ascii="Arial"/>
          <w:b w:val="1"/>
          <w:bCs w:val="1"/>
          <w:sz w:val="22"/>
          <w:szCs w:val="22"/>
          <w:rtl w:val="0"/>
          <w:lang w:val="en-US"/>
        </w:rPr>
        <w:t xml:space="preserve">Formulate </w:t>
      </w:r>
      <w:r>
        <w:rPr>
          <w:rFonts w:ascii="Arial"/>
          <w:b w:val="1"/>
          <w:bCs w:val="1"/>
          <w:i w:val="1"/>
          <w:iCs w:val="1"/>
          <w:sz w:val="22"/>
          <w:szCs w:val="22"/>
          <w:rtl w:val="0"/>
          <w:lang w:val="en-US"/>
        </w:rPr>
        <w:t>per capita</w:t>
      </w:r>
      <w:r>
        <w:rPr>
          <w:rFonts w:ascii="Arial"/>
          <w:b w:val="1"/>
          <w:bCs w:val="1"/>
          <w:sz w:val="22"/>
          <w:szCs w:val="22"/>
          <w:rtl w:val="0"/>
          <w:lang w:val="en-US"/>
        </w:rPr>
        <w:t xml:space="preserve"> spending and resource mobilization for children with disabilities in education and other services with clear bases anchored in the principles and provisions of the CRC and CRPD. </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lang w:val="en-US"/>
        </w:rPr>
      </w:pPr>
      <w:r>
        <w:rPr>
          <w:rFonts w:ascii="Arial"/>
          <w:i w:val="1"/>
          <w:iCs w:val="1"/>
          <w:sz w:val="22"/>
          <w:szCs w:val="22"/>
          <w:u w:val="single"/>
          <w:rtl w:val="0"/>
          <w:lang w:val="en-US"/>
        </w:rPr>
        <w:t>Challenge</w:t>
      </w:r>
      <w:r>
        <w:rPr>
          <w:rFonts w:ascii="Arial"/>
          <w:i w:val="1"/>
          <w:iCs w:val="1"/>
          <w:sz w:val="22"/>
          <w:szCs w:val="22"/>
          <w:rtl w:val="0"/>
          <w:lang w:val="en-US"/>
        </w:rPr>
        <w:t xml:space="preserve">: </w:t>
      </w:r>
      <w:r>
        <w:rPr>
          <w:rFonts w:ascii="Arial"/>
          <w:i w:val="1"/>
          <w:iCs w:val="1"/>
          <w:sz w:val="22"/>
          <w:szCs w:val="22"/>
          <w:rtl w:val="0"/>
          <w:lang w:val="en-US"/>
        </w:rPr>
        <w:t>Official Development Assistance in basic education has been continuously received but clear safeguards for Universal Design and inclusion of children with disabilities do not appear to be given due consideration.</w:t>
      </w:r>
    </w:p>
    <w:p>
      <w:pPr>
        <w:pStyle w:val="Body"/>
        <w:jc w:val="both"/>
        <w:rPr>
          <w:rFonts w:ascii="Arial" w:cs="Arial" w:hAnsi="Arial" w:eastAsia="Arial"/>
          <w:i w:val="1"/>
          <w:iCs w:val="1"/>
          <w:sz w:val="22"/>
          <w:szCs w:val="22"/>
          <w:lang w:val="en-US"/>
        </w:rPr>
      </w:pPr>
      <w:r>
        <w:rPr>
          <w:rFonts w:ascii="Arial"/>
          <w:i w:val="1"/>
          <w:iCs w:val="1"/>
          <w:sz w:val="22"/>
          <w:szCs w:val="22"/>
          <w:rtl w:val="0"/>
          <w:lang w:val="en-US"/>
        </w:rPr>
        <w:t>Ongoing Public-Private Partnerships for Build-Lease-Transfer or Build-Transfer arrangements for School Infrastructure have amounted to US$ 397 million and 89.77 million, for 9,300 (3 administrative regions in the Philippines), and 4,370 classrooms (in 6 administrative regions). These span a period of 10 years but have not included transparent and clear provisions in formulation and execution which are compliant with the domestic Accessibility Law for built environments, as well as international commitments to the CRC and CRPD (1).</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lang w:val="en-US"/>
        </w:rPr>
      </w:pPr>
      <w:r>
        <w:rPr>
          <w:rFonts w:ascii="Arial"/>
          <w:b w:val="1"/>
          <w:bCs w:val="1"/>
          <w:sz w:val="22"/>
          <w:szCs w:val="22"/>
          <w:rtl w:val="0"/>
          <w:lang w:val="en-US"/>
        </w:rPr>
        <w:t>Demonstrate administrative safeguards in all ODA received in education to ensure full inclusion of children with disabilities in all outputs and outcomes.</w:t>
      </w:r>
    </w:p>
    <w:p>
      <w:pPr>
        <w:pStyle w:val="Body A"/>
        <w:spacing w:after="120"/>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i w:val="1"/>
          <w:iCs w:val="1"/>
          <w:sz w:val="22"/>
          <w:szCs w:val="22"/>
          <w:rtl w:val="0"/>
          <w:lang w:val="en-US"/>
        </w:rPr>
        <w:t>On Corruption</w:t>
      </w:r>
    </w:p>
    <w:p>
      <w:pPr>
        <w:pStyle w:val="Body"/>
        <w:jc w:val="both"/>
        <w:rPr>
          <w:rFonts w:ascii="Arial" w:cs="Arial" w:hAnsi="Arial" w:eastAsia="Arial"/>
          <w:sz w:val="22"/>
          <w:szCs w:val="22"/>
        </w:rPr>
      </w:pPr>
      <w:r>
        <w:rPr>
          <w:rFonts w:ascii="Arial"/>
          <w:sz w:val="22"/>
          <w:szCs w:val="22"/>
          <w:rtl w:val="0"/>
          <w:lang w:val="en-US"/>
        </w:rPr>
        <w:t xml:space="preserve">The draft  already points out responsibilities of the State to eliminate corruption.  However, this Coalition believes that the particular forms of corruption relating to  data collection must be </w:t>
      </w:r>
      <w:r>
        <w:rPr>
          <w:rFonts w:ascii="Arial"/>
          <w:sz w:val="22"/>
          <w:szCs w:val="22"/>
          <w:rtl w:val="0"/>
          <w:lang w:val="en-US"/>
        </w:rPr>
        <w:t>exposed and addressed</w:t>
      </w:r>
      <w:r>
        <w:rPr>
          <w:rFonts w:ascii="Arial"/>
          <w:sz w:val="22"/>
          <w:szCs w:val="22"/>
          <w:rtl w:val="0"/>
          <w:lang w:val="en-US"/>
        </w:rPr>
        <w:t>.</w:t>
      </w:r>
    </w:p>
    <w:p>
      <w:pPr>
        <w:pStyle w:val="Body"/>
        <w:jc w:val="both"/>
        <w:rPr>
          <w:rFonts w:ascii="Arial" w:cs="Arial" w:hAnsi="Arial" w:eastAsia="Arial"/>
          <w:sz w:val="22"/>
          <w:szCs w:val="22"/>
        </w:rPr>
      </w:pPr>
      <w:r>
        <w:rPr>
          <w:rFonts w:ascii="Arial"/>
          <w:sz w:val="22"/>
          <w:szCs w:val="22"/>
          <w:rtl w:val="0"/>
          <w:lang w:val="en-US"/>
        </w:rPr>
        <w:t xml:space="preserve">In the Philippines, knowledge of corrupt practices in the Department of Education </w:t>
      </w:r>
      <w:r>
        <w:rPr>
          <w:rFonts w:ascii="Arial"/>
          <w:sz w:val="22"/>
          <w:szCs w:val="22"/>
          <w:rtl w:val="0"/>
          <w:lang w:val="en-US"/>
        </w:rPr>
        <w:t>i</w:t>
      </w:r>
      <w:r>
        <w:rPr>
          <w:rFonts w:ascii="Arial"/>
          <w:sz w:val="22"/>
          <w:szCs w:val="22"/>
          <w:rtl w:val="0"/>
        </w:rPr>
        <w:t xml:space="preserve">s </w:t>
      </w:r>
      <w:r>
        <w:rPr>
          <w:rFonts w:ascii="Arial"/>
          <w:sz w:val="22"/>
          <w:szCs w:val="22"/>
          <w:rtl w:val="0"/>
          <w:lang w:val="en-US"/>
        </w:rPr>
        <w:t>common knowledge</w:t>
      </w:r>
      <w:r>
        <w:rPr>
          <w:rFonts w:ascii="Arial"/>
          <w:sz w:val="22"/>
          <w:szCs w:val="22"/>
          <w:rtl w:val="0"/>
          <w:lang w:val="en-US"/>
        </w:rPr>
        <w:t>, particularly in relation to lump sum allocations</w:t>
      </w:r>
      <w:r>
        <w:rPr>
          <w:rFonts w:ascii="Arial"/>
          <w:sz w:val="22"/>
          <w:szCs w:val="22"/>
          <w:rtl w:val="0"/>
          <w:lang w:val="en-US"/>
        </w:rPr>
        <w:t xml:space="preserve"> through the hierarchy of decentralized structures of the national, regional, provincial, district, and division levels, down to the individual school and program (8)</w:t>
      </w:r>
      <w:r>
        <w:rPr>
          <w:rFonts w:ascii="Arial"/>
          <w:sz w:val="22"/>
          <w:szCs w:val="22"/>
          <w:rtl w:val="0"/>
          <w:lang w:val="en-US"/>
        </w:rPr>
        <w:t xml:space="preserve">. When the Department of Education </w:t>
      </w:r>
      <w:r>
        <w:rPr>
          <w:rFonts w:ascii="Arial"/>
          <w:sz w:val="22"/>
          <w:szCs w:val="22"/>
          <w:rtl w:val="0"/>
          <w:lang w:val="en-US"/>
        </w:rPr>
        <w:t>mandated a</w:t>
      </w:r>
      <w:r>
        <w:rPr>
          <w:rFonts w:ascii="Arial"/>
          <w:sz w:val="22"/>
          <w:szCs w:val="22"/>
          <w:rtl w:val="0"/>
          <w:lang w:val="en-US"/>
        </w:rPr>
        <w:t xml:space="preserve"> shift to per capita spending</w:t>
      </w:r>
      <w:r>
        <w:rPr>
          <w:rFonts w:ascii="Arial"/>
          <w:sz w:val="22"/>
          <w:szCs w:val="22"/>
          <w:rtl w:val="0"/>
          <w:lang w:val="en-US"/>
        </w:rPr>
        <w:t xml:space="preserve"> in 2013 for children with disabilities</w:t>
      </w:r>
      <w:r>
        <w:rPr>
          <w:rFonts w:ascii="Arial"/>
          <w:sz w:val="22"/>
          <w:szCs w:val="22"/>
          <w:rtl w:val="0"/>
          <w:lang w:val="en-US"/>
        </w:rPr>
        <w:t xml:space="preserve">, it </w:t>
      </w:r>
      <w:r>
        <w:rPr>
          <w:rFonts w:ascii="Arial"/>
          <w:sz w:val="22"/>
          <w:szCs w:val="22"/>
          <w:rtl w:val="0"/>
          <w:lang w:val="en-US"/>
        </w:rPr>
        <w:t>simultaneously</w:t>
      </w:r>
      <w:r>
        <w:rPr>
          <w:rFonts w:ascii="Arial"/>
          <w:sz w:val="22"/>
          <w:szCs w:val="22"/>
          <w:rtl w:val="0"/>
          <w:lang w:val="en-US"/>
        </w:rPr>
        <w:t xml:space="preserve"> started to report preposterously high enrollment figures in the SPED centers</w:t>
      </w:r>
      <w:r>
        <w:rPr>
          <w:rFonts w:ascii="Arial"/>
          <w:color w:val="000000"/>
          <w:sz w:val="22"/>
          <w:szCs w:val="22"/>
          <w:rtl w:val="0"/>
          <w:lang w:val="en-US"/>
        </w:rPr>
        <w:t xml:space="preserve"> (9)</w:t>
      </w:r>
      <w:r>
        <w:rPr>
          <w:rFonts w:ascii="Arial"/>
          <w:sz w:val="22"/>
          <w:szCs w:val="22"/>
          <w:rtl w:val="0"/>
        </w:rPr>
        <w:t xml:space="preserve">.  </w:t>
      </w:r>
      <w:r>
        <w:rPr>
          <w:rFonts w:ascii="Arial"/>
          <w:sz w:val="22"/>
          <w:szCs w:val="22"/>
          <w:rtl w:val="0"/>
          <w:lang w:val="en-US"/>
        </w:rPr>
        <w:t xml:space="preserve">This </w:t>
      </w:r>
      <w:r>
        <w:rPr>
          <w:rFonts w:hAnsi="Arial" w:hint="default"/>
          <w:sz w:val="22"/>
          <w:szCs w:val="22"/>
          <w:rtl w:val="0"/>
          <w:lang w:val="en-US"/>
        </w:rPr>
        <w:t>“</w:t>
      </w:r>
      <w:r>
        <w:rPr>
          <w:rFonts w:ascii="Arial"/>
          <w:sz w:val="22"/>
          <w:szCs w:val="22"/>
          <w:rtl w:val="0"/>
          <w:lang w:val="en-US"/>
        </w:rPr>
        <w:t>ghost enrollment</w:t>
      </w:r>
      <w:r>
        <w:rPr>
          <w:rFonts w:hAnsi="Arial" w:hint="default"/>
          <w:sz w:val="22"/>
          <w:szCs w:val="22"/>
          <w:rtl w:val="0"/>
          <w:lang w:val="en-US"/>
        </w:rPr>
        <w:t xml:space="preserve">” </w:t>
      </w:r>
      <w:r>
        <w:rPr>
          <w:rFonts w:ascii="Arial"/>
          <w:sz w:val="22"/>
          <w:szCs w:val="22"/>
          <w:rtl w:val="0"/>
          <w:lang w:val="en-US"/>
        </w:rPr>
        <w:t>figures become obvious when compared to other independent sources of information.  These are believed</w:t>
      </w:r>
      <w:r>
        <w:rPr>
          <w:rFonts w:ascii="Arial"/>
          <w:sz w:val="22"/>
          <w:szCs w:val="22"/>
          <w:rtl w:val="0"/>
          <w:lang w:val="en-US"/>
        </w:rPr>
        <w:t xml:space="preserve"> to have been done to justify receipt of continuing amounts of lumpsum subsidies to the schools and administrative offices</w:t>
      </w:r>
      <w:r>
        <w:rPr>
          <w:rFonts w:ascii="Arial"/>
          <w:sz w:val="22"/>
          <w:szCs w:val="22"/>
          <w:rtl w:val="0"/>
          <w:lang w:val="en-US"/>
        </w:rPr>
        <w:t xml:space="preserve"> which are then diverted for highly discretionary, unauthorized and covert use (1).</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rPr>
      </w:pPr>
      <w:r>
        <w:rPr>
          <w:rFonts w:ascii="Arial"/>
          <w:b w:val="1"/>
          <w:bCs w:val="1"/>
          <w:sz w:val="22"/>
          <w:szCs w:val="22"/>
          <w:rtl w:val="0"/>
          <w:lang w:val="en-US"/>
        </w:rPr>
        <w:t>Halt corruption in spending for education of children with disabilities by conducting a comprehensive inquiry on all aspects of service delivery by the ministry of education, installing audit and reporting mechanisms for overall accountability, and disseminating all these information publicly every year.</w:t>
      </w:r>
    </w:p>
    <w:p>
      <w:pPr>
        <w:pStyle w:val="Body A"/>
        <w:spacing w:after="120"/>
        <w:jc w:val="both"/>
        <w:rPr>
          <w:rFonts w:ascii="Arial" w:cs="Arial" w:hAnsi="Arial" w:eastAsia="Arial"/>
          <w:b w:val="1"/>
          <w:bCs w:val="1"/>
          <w:sz w:val="22"/>
          <w:szCs w:val="22"/>
        </w:rPr>
      </w:pPr>
    </w:p>
    <w:p>
      <w:pPr>
        <w:pStyle w:val="Body A"/>
        <w:spacing w:after="120"/>
        <w:jc w:val="both"/>
        <w:rPr>
          <w:rFonts w:ascii="Times New Roman" w:cs="Times New Roman" w:hAnsi="Times New Roman" w:eastAsia="Times New Roman"/>
          <w:b w:val="1"/>
          <w:bCs w:val="1"/>
          <w:sz w:val="20"/>
          <w:szCs w:val="20"/>
        </w:rPr>
      </w:pPr>
    </w:p>
    <w:p>
      <w:pPr>
        <w:pStyle w:val="Body A"/>
        <w:spacing w:after="120"/>
        <w:jc w:val="both"/>
        <w:rPr>
          <w:rFonts w:ascii="Arial" w:cs="Arial" w:hAnsi="Arial" w:eastAsia="Arial"/>
          <w:sz w:val="22"/>
          <w:szCs w:val="22"/>
        </w:rPr>
      </w:pPr>
      <w:r>
        <w:rPr>
          <w:rFonts w:ascii="Arial"/>
          <w:sz w:val="22"/>
          <w:szCs w:val="22"/>
          <w:rtl w:val="0"/>
          <w:lang w:val="en-US"/>
        </w:rPr>
        <w:t>DISASTER RISK REDUCTION &amp; MANAGEMENT</w:t>
      </w:r>
    </w:p>
    <w:p>
      <w:pPr>
        <w:pStyle w:val="Body"/>
        <w:jc w:val="both"/>
        <w:rPr>
          <w:rFonts w:ascii="Arial" w:cs="Arial" w:hAnsi="Arial" w:eastAsia="Arial"/>
          <w:i w:val="1"/>
          <w:iCs w:val="1"/>
          <w:sz w:val="22"/>
          <w:szCs w:val="22"/>
        </w:rPr>
      </w:pPr>
      <w:r>
        <w:rPr>
          <w:rFonts w:ascii="Arial"/>
          <w:i w:val="1"/>
          <w:iCs w:val="1"/>
          <w:sz w:val="22"/>
          <w:szCs w:val="22"/>
          <w:u w:val="single"/>
          <w:rtl w:val="0"/>
          <w:lang w:val="en-US"/>
        </w:rPr>
        <w:t>Challenge</w:t>
      </w:r>
      <w:r>
        <w:rPr>
          <w:rFonts w:ascii="Arial"/>
          <w:i w:val="1"/>
          <w:iCs w:val="1"/>
          <w:sz w:val="22"/>
          <w:szCs w:val="22"/>
          <w:rtl w:val="0"/>
          <w:lang w:val="en-US"/>
        </w:rPr>
        <w:t>:  Countries which are vulnerable to natural disasters require longterm planning that integrates comprehensive disaggregation of data.</w:t>
      </w:r>
    </w:p>
    <w:p>
      <w:pPr>
        <w:pStyle w:val="Body"/>
        <w:jc w:val="both"/>
        <w:rPr>
          <w:rFonts w:ascii="Arial" w:cs="Arial" w:hAnsi="Arial" w:eastAsia="Arial"/>
          <w:i w:val="1"/>
          <w:iCs w:val="1"/>
          <w:color w:val="000000"/>
          <w:sz w:val="22"/>
          <w:szCs w:val="22"/>
        </w:rPr>
      </w:pPr>
      <w:r>
        <w:rPr>
          <w:rFonts w:ascii="Arial"/>
          <w:i w:val="1"/>
          <w:iCs w:val="1"/>
          <w:sz w:val="22"/>
          <w:szCs w:val="22"/>
          <w:rtl w:val="0"/>
          <w:lang w:val="en-US"/>
        </w:rPr>
        <w:t>Because of its geographical location, the Philippines has been prone to natural disasters including the devastating typhoon Haiyan in 2013.  Among the gaps which surfaced in post disaster relief and rehabilitation were the lack of pre-disaster data on persons with disabilities, including children and youth with disabilities (10)</w:t>
      </w:r>
      <w:r>
        <w:rPr>
          <w:rFonts w:ascii="Arial"/>
          <w:i w:val="1"/>
          <w:iCs w:val="1"/>
          <w:color w:val="000000"/>
          <w:sz w:val="22"/>
          <w:szCs w:val="22"/>
          <w:rtl w:val="0"/>
          <w:lang w:val="en-US"/>
        </w:rPr>
        <w:t>.  With contributions from the nationally appropriated Calamity Fund, local governments are required by law</w:t>
      </w:r>
      <w:r>
        <w:rPr>
          <w:rFonts w:ascii="Arial"/>
          <w:i w:val="1"/>
          <w:iCs w:val="1"/>
          <w:color w:val="000000"/>
          <w:sz w:val="22"/>
          <w:szCs w:val="22"/>
          <w:rtl w:val="0"/>
        </w:rPr>
        <w:t xml:space="preserve"> </w:t>
      </w:r>
      <w:r>
        <w:rPr>
          <w:rFonts w:ascii="Arial"/>
          <w:i w:val="1"/>
          <w:iCs w:val="1"/>
          <w:color w:val="000000"/>
          <w:sz w:val="22"/>
          <w:szCs w:val="22"/>
          <w:rtl w:val="0"/>
          <w:lang w:val="en-US"/>
        </w:rPr>
        <w:t>to earmark percentages of  their revenues to the Local Disaster Risk and Reduction Management Fund.  These require sound and transparent bases in disaggregated data of vulnerable groups such as persons with disabilities, including children with disabilities.</w:t>
      </w: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lang w:val="en-US"/>
        </w:rPr>
      </w:pPr>
      <w:r>
        <w:rPr>
          <w:rFonts w:ascii="Arial"/>
          <w:b w:val="1"/>
          <w:bCs w:val="1"/>
          <w:sz w:val="22"/>
          <w:szCs w:val="22"/>
          <w:rtl w:val="0"/>
          <w:lang w:val="en-US"/>
        </w:rPr>
        <w:t>Conduct a comprehensive analysis of public spending of DRRM, and revise and improve all component mechanisms so that these are inclusive of persons with disabilities, specially children and youth with disabilities.</w:t>
      </w:r>
    </w:p>
    <w:p>
      <w:pPr>
        <w:pStyle w:val="Body A"/>
        <w:spacing w:after="120"/>
        <w:jc w:val="both"/>
        <w:rPr>
          <w:rFonts w:ascii="Arial" w:cs="Arial" w:hAnsi="Arial" w:eastAsia="Arial"/>
          <w:sz w:val="22"/>
          <w:szCs w:val="22"/>
          <w:lang w:val="en-US"/>
        </w:rPr>
      </w:pPr>
    </w:p>
    <w:p>
      <w:pPr>
        <w:pStyle w:val="Body A"/>
        <w:spacing w:after="120"/>
        <w:jc w:val="both"/>
        <w:rPr>
          <w:rFonts w:ascii="Arial" w:cs="Arial" w:hAnsi="Arial" w:eastAsia="Arial"/>
          <w:sz w:val="22"/>
          <w:szCs w:val="22"/>
          <w:lang w:val="en-US"/>
        </w:rPr>
      </w:pPr>
    </w:p>
    <w:p>
      <w:pPr>
        <w:pStyle w:val="Body A"/>
        <w:spacing w:after="120"/>
        <w:jc w:val="center"/>
        <w:rPr>
          <w:rFonts w:ascii="Arial" w:cs="Arial" w:hAnsi="Arial" w:eastAsia="Arial"/>
          <w:sz w:val="22"/>
          <w:szCs w:val="22"/>
          <w:lang w:val="en-US"/>
        </w:rPr>
      </w:pPr>
      <w:r>
        <w:rPr>
          <w:rFonts w:ascii="Arial"/>
          <w:sz w:val="22"/>
          <w:szCs w:val="22"/>
          <w:rtl w:val="0"/>
          <w:lang w:val="en-US"/>
        </w:rPr>
        <w:t>PROPOSED ADDITIONS TO DRAFT</w:t>
      </w:r>
    </w:p>
    <w:p>
      <w:pPr>
        <w:pStyle w:val="Body A"/>
        <w:spacing w:after="120"/>
        <w:jc w:val="center"/>
        <w:rPr>
          <w:rFonts w:ascii="Arial" w:cs="Arial" w:hAnsi="Arial" w:eastAsia="Arial"/>
          <w:sz w:val="22"/>
          <w:szCs w:val="22"/>
          <w:lang w:val="en-US"/>
        </w:rPr>
      </w:pPr>
    </w:p>
    <w:p>
      <w:pPr>
        <w:pStyle w:val="Body A"/>
        <w:spacing w:after="120"/>
        <w:jc w:val="both"/>
        <w:rPr>
          <w:rFonts w:ascii="Arial" w:cs="Arial" w:hAnsi="Arial" w:eastAsia="Arial"/>
          <w:sz w:val="22"/>
          <w:szCs w:val="22"/>
          <w:lang w:val="en-US"/>
        </w:rPr>
      </w:pPr>
      <w:r>
        <w:rPr>
          <w:rFonts w:ascii="Arial"/>
          <w:sz w:val="22"/>
          <w:szCs w:val="22"/>
          <w:rtl w:val="0"/>
          <w:lang w:val="en-US"/>
        </w:rPr>
        <w:t>ON ACCESS TO JUSTICE</w:t>
      </w:r>
    </w:p>
    <w:p>
      <w:pPr>
        <w:pStyle w:val="Body A"/>
        <w:spacing w:after="120"/>
        <w:jc w:val="both"/>
        <w:rPr>
          <w:rFonts w:ascii="Arial" w:cs="Arial" w:hAnsi="Arial" w:eastAsia="Arial"/>
          <w:b w:val="1"/>
          <w:bCs w:val="1"/>
          <w:sz w:val="22"/>
          <w:szCs w:val="22"/>
          <w:lang w:val="en-US"/>
        </w:rPr>
      </w:pPr>
      <w:r>
        <w:rPr>
          <w:rFonts w:ascii="Arial"/>
          <w:b w:val="1"/>
          <w:bCs w:val="1"/>
          <w:sz w:val="22"/>
          <w:szCs w:val="22"/>
          <w:rtl w:val="0"/>
          <w:lang w:val="en-US"/>
        </w:rPr>
        <w:t>Accessible and age- / and gender-appropriate administrative policies and mechanisms with sufficient funding must be in place in the legal and judicial systems so that boys and girls with disabilities are able to access justice.</w:t>
      </w:r>
    </w:p>
    <w:p>
      <w:pPr>
        <w:pStyle w:val="Body"/>
        <w:jc w:val="both"/>
        <w:rPr>
          <w:rFonts w:ascii="Arial" w:cs="Arial" w:hAnsi="Arial" w:eastAsia="Arial"/>
          <w:sz w:val="22"/>
          <w:szCs w:val="22"/>
        </w:rPr>
      </w:pPr>
      <w:r>
        <w:rPr>
          <w:rFonts w:ascii="Arial"/>
          <w:sz w:val="22"/>
          <w:szCs w:val="22"/>
          <w:rtl w:val="0"/>
          <w:lang w:val="en-US"/>
        </w:rPr>
        <w:t xml:space="preserve">In the Philippines, there are no policies in place in the Department of Justice (including the Offices of the Prosecutor, Public Attorneys; National Police) for persons with disabilities, including children with disabilities.  In the Judiciary, there is a policy by the Court Administrator since 2004 for sign language interpreting. However, case documentation among deaf minors has been done solely by civil society from 2006-2012.  </w:t>
      </w:r>
      <w:r>
        <w:rPr>
          <w:rFonts w:ascii="Arial"/>
          <w:sz w:val="22"/>
          <w:szCs w:val="22"/>
          <w:rtl w:val="0"/>
        </w:rPr>
        <w:t>O</w:t>
      </w:r>
      <w:r>
        <w:rPr>
          <w:rFonts w:ascii="Arial"/>
          <w:sz w:val="22"/>
          <w:szCs w:val="22"/>
          <w:rtl w:val="0"/>
          <w:lang w:val="en-US"/>
        </w:rPr>
        <w:t>verall, for</w:t>
      </w:r>
      <w:r>
        <w:rPr>
          <w:rFonts w:ascii="Arial"/>
          <w:sz w:val="22"/>
          <w:szCs w:val="22"/>
          <w:rtl w:val="0"/>
          <w:lang w:val="en-US"/>
        </w:rPr>
        <w:t xml:space="preserve"> 213 cases with known data, only 24%</w:t>
      </w:r>
      <w:r>
        <w:rPr>
          <w:rFonts w:ascii="Arial"/>
          <w:sz w:val="22"/>
          <w:szCs w:val="22"/>
          <w:rtl w:val="0"/>
          <w:lang w:val="en-US"/>
        </w:rPr>
        <w:t xml:space="preserve"> of cases for persons with disabilities</w:t>
      </w:r>
      <w:r>
        <w:rPr>
          <w:rFonts w:ascii="Arial"/>
          <w:sz w:val="22"/>
          <w:szCs w:val="22"/>
          <w:rtl w:val="0"/>
          <w:lang w:val="en-US"/>
        </w:rPr>
        <w:t xml:space="preserve"> have court-appointed interpreters</w:t>
      </w:r>
      <w:r>
        <w:rPr>
          <w:rFonts w:ascii="Arial"/>
          <w:sz w:val="22"/>
          <w:szCs w:val="22"/>
          <w:rtl w:val="0"/>
          <w:lang w:val="en-US"/>
        </w:rPr>
        <w:t xml:space="preserve">. </w:t>
      </w:r>
      <w:r>
        <w:rPr>
          <w:rFonts w:ascii="Arial"/>
          <w:sz w:val="22"/>
          <w:szCs w:val="22"/>
          <w:rtl w:val="0"/>
          <w:lang w:val="en-US"/>
        </w:rPr>
        <w:t>Forty-four percent (44%) have volunteer interpreters, 21% have unconfirmed appointed interpreters, while 11% have no interpreters</w:t>
      </w:r>
      <w:r>
        <w:rPr>
          <w:rFonts w:ascii="Arial"/>
          <w:sz w:val="22"/>
          <w:szCs w:val="22"/>
          <w:rtl w:val="0"/>
          <w:lang w:val="en-US"/>
        </w:rPr>
        <w:t>. To date, only four (4) interpreters have been compensated since 2004.  This contrasts with the approximately 2,000 full-time Court Interpreter positions for spoken languages in all the lower courts (11).</w:t>
      </w:r>
    </w:p>
    <w:p>
      <w:pPr>
        <w:pStyle w:val="Body"/>
        <w:rPr>
          <w:rFonts w:ascii="Arial" w:cs="Arial" w:hAnsi="Arial" w:eastAsia="Arial"/>
          <w:sz w:val="22"/>
          <w:szCs w:val="22"/>
        </w:rPr>
      </w:pPr>
      <w:r>
        <w:rPr>
          <w:rFonts w:ascii="Arial"/>
          <w:sz w:val="22"/>
          <w:szCs w:val="22"/>
          <w:rtl w:val="0"/>
          <w:lang w:val="en-US"/>
        </w:rPr>
        <w:t xml:space="preserve">For other impairment groups, there is no compilation of data, although this Coalition has noted that that all Supreme Court cases on violence are almost exclusively in the group of </w:t>
      </w:r>
      <w:r>
        <w:rPr>
          <w:rFonts w:ascii="Arial"/>
          <w:sz w:val="22"/>
          <w:szCs w:val="22"/>
          <w:rtl w:val="0"/>
          <w:lang w:val="en-US"/>
        </w:rPr>
        <w:t xml:space="preserve">women and girls </w:t>
      </w:r>
      <w:r>
        <w:rPr>
          <w:rFonts w:ascii="Arial"/>
          <w:sz w:val="22"/>
          <w:szCs w:val="22"/>
          <w:rtl w:val="0"/>
          <w:lang w:val="en-US"/>
        </w:rPr>
        <w:t>with intellectual disabilities (1).</w:t>
      </w:r>
    </w:p>
    <w:p>
      <w:pPr>
        <w:pStyle w:val="Body"/>
        <w:rPr>
          <w:rFonts w:ascii="Arial" w:cs="Arial" w:hAnsi="Arial" w:eastAsia="Arial"/>
          <w:sz w:val="22"/>
          <w:szCs w:val="22"/>
        </w:rPr>
      </w:pPr>
    </w:p>
    <w:p>
      <w:pPr>
        <w:pStyle w:val="Body"/>
        <w:rPr>
          <w:rFonts w:ascii="Arial" w:cs="Arial" w:hAnsi="Arial" w:eastAsia="Arial"/>
          <w:b w:val="1"/>
          <w:bCs w:val="1"/>
          <w:sz w:val="22"/>
          <w:szCs w:val="22"/>
          <w:lang w:val="en-US"/>
        </w:rPr>
      </w:pPr>
      <w:r>
        <w:rPr>
          <w:rFonts w:ascii="Arial"/>
          <w:b w:val="1"/>
          <w:bCs w:val="1"/>
          <w:sz w:val="22"/>
          <w:szCs w:val="22"/>
          <w:rtl w:val="0"/>
          <w:lang w:val="en-US"/>
        </w:rPr>
        <w:t>Recommendation</w:t>
      </w:r>
    </w:p>
    <w:p>
      <w:pPr>
        <w:pStyle w:val="Body"/>
        <w:rPr>
          <w:b w:val="1"/>
          <w:bCs w:val="1"/>
        </w:rPr>
      </w:pPr>
      <w:r>
        <w:rPr>
          <w:rFonts w:ascii="Arial"/>
          <w:b w:val="1"/>
          <w:bCs w:val="1"/>
          <w:sz w:val="22"/>
          <w:szCs w:val="22"/>
          <w:rtl w:val="0"/>
          <w:lang w:val="en-US"/>
        </w:rPr>
        <w:t>Formulate, execute and monitor measures for access to justice by children with disabilities, annually adjusting budgets on the basis of disaggregated data.</w:t>
      </w:r>
    </w:p>
    <w:p>
      <w:pPr>
        <w:pStyle w:val="Body A"/>
        <w:spacing w:after="120"/>
        <w:jc w:val="both"/>
        <w:rPr>
          <w:rFonts w:ascii="Arial" w:cs="Arial" w:hAnsi="Arial" w:eastAsia="Arial"/>
          <w:sz w:val="22"/>
          <w:szCs w:val="22"/>
        </w:rPr>
      </w:pPr>
    </w:p>
    <w:p>
      <w:pPr>
        <w:pStyle w:val="Body A"/>
        <w:spacing w:after="120"/>
        <w:jc w:val="both"/>
        <w:rPr>
          <w:rFonts w:ascii="Arial" w:cs="Arial" w:hAnsi="Arial" w:eastAsia="Arial"/>
          <w:sz w:val="22"/>
          <w:szCs w:val="22"/>
        </w:rPr>
      </w:pPr>
    </w:p>
    <w:p>
      <w:pPr>
        <w:pStyle w:val="Body A"/>
        <w:spacing w:after="120"/>
        <w:jc w:val="both"/>
        <w:rPr>
          <w:rFonts w:ascii="Arial" w:cs="Arial" w:hAnsi="Arial" w:eastAsia="Arial"/>
          <w:sz w:val="22"/>
          <w:szCs w:val="22"/>
          <w:lang w:val="en-US"/>
        </w:rPr>
      </w:pPr>
      <w:r>
        <w:rPr>
          <w:rFonts w:ascii="Arial"/>
          <w:sz w:val="22"/>
          <w:szCs w:val="22"/>
          <w:rtl w:val="0"/>
          <w:lang w:val="en-US"/>
        </w:rPr>
        <w:t xml:space="preserve">ON </w:t>
      </w:r>
      <w:r>
        <w:rPr>
          <w:rFonts w:ascii="Arial"/>
          <w:sz w:val="22"/>
          <w:szCs w:val="22"/>
          <w:rtl w:val="0"/>
          <w:lang w:val="en-US"/>
        </w:rPr>
        <w:t>SOCIAL PROTECTION</w:t>
      </w:r>
    </w:p>
    <w:p>
      <w:pPr>
        <w:pStyle w:val="Body A"/>
        <w:spacing w:after="120"/>
        <w:jc w:val="both"/>
        <w:rPr>
          <w:rFonts w:ascii="Arial" w:cs="Arial" w:hAnsi="Arial" w:eastAsia="Arial"/>
          <w:b w:val="1"/>
          <w:bCs w:val="1"/>
          <w:sz w:val="22"/>
          <w:szCs w:val="22"/>
          <w:lang w:val="en-US"/>
        </w:rPr>
      </w:pPr>
      <w:r>
        <w:rPr>
          <w:rFonts w:ascii="Arial"/>
          <w:b w:val="1"/>
          <w:bCs w:val="1"/>
          <w:sz w:val="22"/>
          <w:szCs w:val="22"/>
          <w:rtl w:val="0"/>
          <w:lang w:val="en-US"/>
        </w:rPr>
        <w:t xml:space="preserve">Poverty reduction programs as well as coordinated national efforts for </w:t>
      </w:r>
      <w:r>
        <w:rPr>
          <w:rFonts w:ascii="Arial"/>
          <w:b w:val="1"/>
          <w:bCs w:val="1"/>
          <w:i w:val="1"/>
          <w:iCs w:val="1"/>
          <w:sz w:val="22"/>
          <w:szCs w:val="22"/>
          <w:rtl w:val="0"/>
          <w:lang w:val="en-US"/>
        </w:rPr>
        <w:t>safety nets</w:t>
      </w:r>
      <w:r>
        <w:rPr>
          <w:rFonts w:ascii="Arial"/>
          <w:b w:val="1"/>
          <w:bCs w:val="1"/>
          <w:sz w:val="22"/>
          <w:szCs w:val="22"/>
          <w:rtl w:val="0"/>
          <w:lang w:val="en-US"/>
        </w:rPr>
        <w:t xml:space="preserve"> to address age-related </w:t>
      </w:r>
      <w:r>
        <w:rPr>
          <w:rFonts w:ascii="Arial"/>
          <w:b w:val="1"/>
          <w:bCs w:val="1"/>
          <w:i w:val="1"/>
          <w:iCs w:val="1"/>
          <w:sz w:val="22"/>
          <w:szCs w:val="22"/>
          <w:rtl w:val="0"/>
          <w:lang w:val="en-US"/>
        </w:rPr>
        <w:t>shocks</w:t>
      </w:r>
      <w:r>
        <w:rPr>
          <w:rFonts w:ascii="Arial"/>
          <w:b w:val="1"/>
          <w:bCs w:val="1"/>
          <w:sz w:val="22"/>
          <w:szCs w:val="22"/>
          <w:rtl w:val="0"/>
          <w:lang w:val="en-US"/>
        </w:rPr>
        <w:t xml:space="preserve"> must be inclusive, appropriate and responsive to the needs of children / youth with disabilities and their families.</w:t>
      </w:r>
    </w:p>
    <w:p>
      <w:pPr>
        <w:pStyle w:val="Body"/>
        <w:jc w:val="both"/>
        <w:rPr>
          <w:rFonts w:ascii="Arial" w:cs="Arial" w:hAnsi="Arial" w:eastAsia="Arial"/>
          <w:sz w:val="22"/>
          <w:szCs w:val="22"/>
          <w:lang w:val="en-US"/>
        </w:rPr>
      </w:pPr>
      <w:r>
        <w:rPr>
          <w:rFonts w:ascii="Arial"/>
          <w:sz w:val="22"/>
          <w:szCs w:val="22"/>
          <w:rtl w:val="0"/>
          <w:lang w:val="en-US"/>
        </w:rPr>
        <w:t xml:space="preserve">In the Philippines, beginning documentation of poverty among urban and rural persons with disabilities including families with children with disabilities reflect several degrees higher  poverty compared to the general population of Filipinos without disabilities </w:t>
      </w:r>
      <w:r>
        <w:rPr>
          <w:rFonts w:ascii="Arial"/>
          <w:sz w:val="22"/>
          <w:szCs w:val="22"/>
          <w:rtl w:val="0"/>
          <w:lang w:val="en-US"/>
        </w:rPr>
        <w:t>(1)</w:t>
      </w:r>
      <w:r>
        <w:rPr>
          <w:rFonts w:ascii="Arial"/>
          <w:sz w:val="22"/>
          <w:szCs w:val="22"/>
          <w:rtl w:val="0"/>
          <w:lang w:val="en-US"/>
        </w:rPr>
        <w:t>.  Though there are several public schemes available, there is no comprehensive view of social protection as a whole, or a comprehensive analysis of public spending for social protection for persons with disabilities, including children with disabilities as a percentage of the national budget or the GDP (1).</w:t>
      </w: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lang w:val="en-US"/>
        </w:rPr>
      </w:pPr>
      <w:r>
        <w:rPr>
          <w:rFonts w:ascii="Arial"/>
          <w:b w:val="1"/>
          <w:bCs w:val="1"/>
          <w:sz w:val="22"/>
          <w:szCs w:val="22"/>
          <w:rtl w:val="0"/>
          <w:lang w:val="en-US"/>
        </w:rPr>
        <w:t>Recommendation</w:t>
      </w:r>
    </w:p>
    <w:p>
      <w:pPr>
        <w:pStyle w:val="Body"/>
        <w:jc w:val="both"/>
        <w:rPr>
          <w:rFonts w:ascii="Arial" w:cs="Arial" w:hAnsi="Arial" w:eastAsia="Arial"/>
          <w:b w:val="1"/>
          <w:bCs w:val="1"/>
          <w:sz w:val="22"/>
          <w:szCs w:val="22"/>
          <w:lang w:val="en-US"/>
        </w:rPr>
      </w:pPr>
      <w:r>
        <w:rPr>
          <w:rFonts w:ascii="Arial"/>
          <w:b w:val="1"/>
          <w:bCs w:val="1"/>
          <w:sz w:val="22"/>
          <w:szCs w:val="22"/>
          <w:rtl w:val="0"/>
          <w:lang w:val="en-US"/>
        </w:rPr>
        <w:t>Establish and implement an inclusive and comprehensive system for Social Protection and a nationally determined Social Protection Floor, ensuring sufficient and transparent financing and coordinated monitoring and evaluation annually.</w:t>
      </w:r>
    </w:p>
    <w:p>
      <w:pPr>
        <w:pStyle w:val="Body A"/>
        <w:spacing w:after="120"/>
        <w:jc w:val="both"/>
        <w:rPr>
          <w:rFonts w:ascii="Arial" w:cs="Arial" w:hAnsi="Arial" w:eastAsia="Arial"/>
          <w:sz w:val="22"/>
          <w:szCs w:val="22"/>
          <w:lang w:val="en-US"/>
        </w:rPr>
      </w:pPr>
    </w:p>
    <w:p>
      <w:pPr>
        <w:pStyle w:val="Body A"/>
        <w:spacing w:after="120"/>
        <w:jc w:val="both"/>
        <w:rPr>
          <w:rFonts w:ascii="Arial" w:cs="Arial" w:hAnsi="Arial" w:eastAsia="Arial"/>
          <w:sz w:val="22"/>
          <w:szCs w:val="22"/>
          <w:rtl w:val="0"/>
        </w:rPr>
      </w:pPr>
    </w:p>
    <w:p>
      <w:pPr>
        <w:pStyle w:val="Body"/>
        <w:rPr>
          <w:rFonts w:ascii="Arial" w:cs="Arial" w:hAnsi="Arial" w:eastAsia="Arial"/>
          <w:sz w:val="18"/>
          <w:szCs w:val="18"/>
        </w:rPr>
      </w:pPr>
      <w:r>
        <w:rPr>
          <w:rFonts w:ascii="Arial"/>
          <w:sz w:val="18"/>
          <w:szCs w:val="18"/>
          <w:rtl w:val="0"/>
          <w:lang w:val="en-US"/>
        </w:rPr>
        <w:t>Sources:</w:t>
      </w:r>
    </w:p>
    <w:p>
      <w:pPr>
        <w:pStyle w:val="Body"/>
        <w:rPr>
          <w:rFonts w:ascii="Arial" w:cs="Arial" w:hAnsi="Arial" w:eastAsia="Arial"/>
          <w:sz w:val="18"/>
          <w:szCs w:val="18"/>
        </w:rPr>
      </w:pPr>
      <w:r>
        <w:rPr>
          <w:rFonts w:ascii="Arial"/>
          <w:sz w:val="18"/>
          <w:szCs w:val="18"/>
          <w:rtl w:val="0"/>
          <w:lang w:val="en-US"/>
        </w:rPr>
        <w:t xml:space="preserve">(1) 2013 Parallel Report of the Philippine Coalition on the UNCRPD.  </w:t>
      </w:r>
    </w:p>
    <w:p>
      <w:pPr>
        <w:pStyle w:val="Body"/>
        <w:rPr>
          <w:rFonts w:ascii="Arial" w:cs="Arial" w:hAnsi="Arial" w:eastAsia="Arial"/>
          <w:sz w:val="18"/>
          <w:szCs w:val="18"/>
        </w:rPr>
      </w:pPr>
      <w:hyperlink r:id="rId4" w:history="1">
        <w:r>
          <w:rPr>
            <w:rStyle w:val="Hyperlink.0"/>
            <w:rFonts w:ascii="Arial"/>
            <w:sz w:val="18"/>
            <w:szCs w:val="18"/>
            <w:rtl w:val="0"/>
            <w:lang w:val="en-US"/>
          </w:rPr>
          <w:t>http://crpdparallelreport.net.ph</w:t>
        </w:r>
      </w:hyperlink>
    </w:p>
    <w:p>
      <w:pPr>
        <w:pStyle w:val="Body"/>
        <w:rPr>
          <w:rFonts w:ascii="Arial" w:cs="Arial" w:hAnsi="Arial" w:eastAsia="Arial"/>
          <w:sz w:val="18"/>
          <w:szCs w:val="18"/>
        </w:rPr>
      </w:pPr>
      <w:r>
        <w:rPr>
          <w:rFonts w:ascii="Arial"/>
          <w:sz w:val="18"/>
          <w:szCs w:val="18"/>
          <w:rtl w:val="0"/>
          <w:lang w:val="en-US"/>
        </w:rPr>
        <w:t xml:space="preserve">(2) Alex Cote. 2013 </w:t>
      </w:r>
      <w:r>
        <w:rPr>
          <w:rFonts w:ascii="Arial"/>
          <w:sz w:val="18"/>
          <w:szCs w:val="18"/>
          <w:rtl w:val="0"/>
          <w:lang w:val="en-US"/>
        </w:rPr>
        <w:t>Regional Disability Inclusive Budgeting and Disability Statistics Workshop</w:t>
      </w:r>
    </w:p>
    <w:p>
      <w:pPr>
        <w:pStyle w:val="Body"/>
        <w:rPr>
          <w:rFonts w:ascii="Arial" w:cs="Arial" w:hAnsi="Arial" w:eastAsia="Arial"/>
          <w:sz w:val="18"/>
          <w:szCs w:val="18"/>
        </w:rPr>
      </w:pPr>
      <w:r>
        <w:rPr>
          <w:rFonts w:ascii="Arial"/>
          <w:sz w:val="18"/>
          <w:szCs w:val="18"/>
          <w:rtl w:val="0"/>
          <w:lang w:val="en-US"/>
        </w:rPr>
        <w:t xml:space="preserve">(3) Draft General Comment on the right to inclusive education.  Committee on the Rights of Persons with Disabilities.  </w:t>
      </w:r>
      <w:hyperlink r:id="rId5" w:history="1">
        <w:r>
          <w:rPr>
            <w:rStyle w:val="Hyperlink.0"/>
            <w:rFonts w:ascii="Arial"/>
            <w:sz w:val="18"/>
            <w:szCs w:val="18"/>
            <w:rtl w:val="0"/>
            <w:lang w:val="en-US"/>
          </w:rPr>
          <w:t>www.ohchr.org</w:t>
        </w:r>
      </w:hyperlink>
    </w:p>
    <w:p>
      <w:pPr>
        <w:pStyle w:val="Body"/>
        <w:rPr>
          <w:rFonts w:ascii="Arial" w:cs="Arial" w:hAnsi="Arial" w:eastAsia="Arial"/>
          <w:sz w:val="18"/>
          <w:szCs w:val="18"/>
        </w:rPr>
      </w:pPr>
      <w:r>
        <w:rPr>
          <w:rFonts w:ascii="Arial"/>
          <w:sz w:val="18"/>
          <w:szCs w:val="18"/>
          <w:rtl w:val="0"/>
          <w:lang w:val="en-US"/>
        </w:rPr>
        <w:t xml:space="preserve">(4) Budget ng Bayan. </w:t>
      </w:r>
      <w:hyperlink r:id="rId6" w:history="1">
        <w:r>
          <w:rPr>
            <w:rStyle w:val="Hyperlink.0"/>
            <w:rFonts w:ascii="Arial"/>
            <w:sz w:val="18"/>
            <w:szCs w:val="18"/>
            <w:rtl w:val="0"/>
            <w:lang w:val="en-US"/>
          </w:rPr>
          <w:t>www.dbm.gov.ph</w:t>
        </w:r>
      </w:hyperlink>
    </w:p>
    <w:p>
      <w:pPr>
        <w:pStyle w:val="Body"/>
        <w:rPr>
          <w:rFonts w:ascii="Arial" w:cs="Arial" w:hAnsi="Arial" w:eastAsia="Arial"/>
          <w:sz w:val="18"/>
          <w:szCs w:val="18"/>
        </w:rPr>
      </w:pPr>
      <w:r>
        <w:rPr>
          <w:rFonts w:ascii="Arial"/>
          <w:sz w:val="18"/>
          <w:szCs w:val="18"/>
          <w:rtl w:val="0"/>
          <w:lang w:val="en-US"/>
        </w:rPr>
        <w:t xml:space="preserve">(5) Citizen Participatory Audit Reports. Commission on Audit. </w:t>
      </w:r>
      <w:hyperlink r:id="rId7" w:history="1">
        <w:r>
          <w:rPr>
            <w:rStyle w:val="Hyperlink.0"/>
            <w:rFonts w:ascii="Arial"/>
            <w:sz w:val="18"/>
            <w:szCs w:val="18"/>
            <w:rtl w:val="0"/>
            <w:lang w:val="en-US"/>
          </w:rPr>
          <w:t>www.coa.gov.ph</w:t>
        </w:r>
      </w:hyperlink>
    </w:p>
    <w:p>
      <w:pPr>
        <w:pStyle w:val="Body"/>
        <w:rPr>
          <w:rFonts w:ascii="Arial" w:cs="Arial" w:hAnsi="Arial" w:eastAsia="Arial"/>
          <w:sz w:val="18"/>
          <w:szCs w:val="18"/>
        </w:rPr>
      </w:pPr>
      <w:r>
        <w:rPr>
          <w:rFonts w:ascii="Arial"/>
          <w:sz w:val="18"/>
          <w:szCs w:val="18"/>
          <w:rtl w:val="0"/>
          <w:lang w:val="en-US"/>
        </w:rPr>
        <w:t>(6) Philippine Coalition on UNCRPD.  How much is the government spending for persons with disabilities?   http:// development.aim.edu</w:t>
      </w:r>
    </w:p>
    <w:p>
      <w:pPr>
        <w:pStyle w:val="Body"/>
        <w:rPr>
          <w:rFonts w:ascii="Arial" w:cs="Arial" w:hAnsi="Arial" w:eastAsia="Arial"/>
          <w:sz w:val="18"/>
          <w:szCs w:val="18"/>
        </w:rPr>
      </w:pPr>
      <w:r>
        <w:rPr>
          <w:rFonts w:ascii="Arial"/>
          <w:sz w:val="18"/>
          <w:szCs w:val="18"/>
          <w:rtl w:val="0"/>
          <w:lang w:val="en-US"/>
        </w:rPr>
        <w:t>(7)  National Development Economic and Development Authority. www.neda.gov.ph</w:t>
      </w:r>
    </w:p>
    <w:p>
      <w:pPr>
        <w:pStyle w:val="Body"/>
        <w:rPr>
          <w:rFonts w:ascii="Arial" w:cs="Arial" w:hAnsi="Arial" w:eastAsia="Arial"/>
          <w:sz w:val="18"/>
          <w:szCs w:val="18"/>
        </w:rPr>
      </w:pPr>
      <w:r>
        <w:rPr>
          <w:rFonts w:ascii="Arial"/>
          <w:sz w:val="18"/>
          <w:szCs w:val="18"/>
          <w:rtl w:val="0"/>
          <w:lang w:val="en-US"/>
        </w:rPr>
        <w:t>(8) Corruption in DepEd is a major challenge for Aquino. 13 June 2010.  wwww.gmanetwork.com</w:t>
      </w:r>
    </w:p>
    <w:p>
      <w:pPr>
        <w:pStyle w:val="Body"/>
        <w:rPr>
          <w:rFonts w:ascii="Arial" w:cs="Arial" w:hAnsi="Arial" w:eastAsia="Arial"/>
          <w:sz w:val="18"/>
          <w:szCs w:val="18"/>
        </w:rPr>
      </w:pPr>
      <w:r>
        <w:rPr>
          <w:rFonts w:ascii="Arial"/>
          <w:sz w:val="18"/>
          <w:szCs w:val="18"/>
          <w:rtl w:val="0"/>
          <w:lang w:val="en-US"/>
        </w:rPr>
        <w:t>(9)  DepEd Order No. 39-2013. Guidelines on the utilization of financial assistance to the Special Education program.</w:t>
      </w:r>
    </w:p>
    <w:p>
      <w:pPr>
        <w:pStyle w:val="Body"/>
        <w:rPr>
          <w:rFonts w:ascii="Arial" w:cs="Arial" w:hAnsi="Arial" w:eastAsia="Arial"/>
          <w:sz w:val="18"/>
          <w:szCs w:val="18"/>
        </w:rPr>
      </w:pPr>
      <w:r>
        <w:rPr>
          <w:rFonts w:ascii="Arial"/>
          <w:sz w:val="18"/>
          <w:szCs w:val="18"/>
          <w:rtl w:val="0"/>
          <w:lang w:val="en-US"/>
        </w:rPr>
        <w:t xml:space="preserve">(10) </w:t>
      </w:r>
      <w:r>
        <w:rPr>
          <w:rFonts w:ascii="Arial"/>
          <w:sz w:val="18"/>
          <w:szCs w:val="18"/>
          <w:rtl w:val="0"/>
          <w:lang w:val="en-US"/>
        </w:rPr>
        <w:t>Documentation Report: Needs Assessment of PWDs in Post Disaster Situation</w:t>
      </w:r>
      <w:r>
        <w:rPr>
          <w:rFonts w:ascii="Arial"/>
          <w:sz w:val="18"/>
          <w:szCs w:val="18"/>
          <w:rtl w:val="0"/>
          <w:lang w:val="en-US"/>
        </w:rPr>
        <w:t>. National Council on Disability Affairs. Unpublished Report.</w:t>
      </w:r>
    </w:p>
    <w:p>
      <w:pPr>
        <w:pStyle w:val="Body"/>
        <w:rPr>
          <w:rFonts w:ascii="Arial" w:cs="Arial" w:hAnsi="Arial" w:eastAsia="Arial"/>
          <w:sz w:val="18"/>
          <w:szCs w:val="18"/>
          <w:rtl w:val="0"/>
        </w:rPr>
      </w:pPr>
      <w:r>
        <w:rPr>
          <w:rFonts w:ascii="Arial"/>
          <w:sz w:val="18"/>
          <w:szCs w:val="18"/>
          <w:rtl w:val="0"/>
          <w:lang w:val="en-US"/>
        </w:rPr>
        <w:t xml:space="preserve">(11) PDRC Case Monitoring Report. </w:t>
      </w:r>
      <w:hyperlink r:id="rId8" w:history="1">
        <w:r>
          <w:rPr>
            <w:rStyle w:val="Hyperlink.0"/>
            <w:rFonts w:ascii="Arial"/>
            <w:sz w:val="18"/>
            <w:szCs w:val="18"/>
            <w:rtl w:val="0"/>
            <w:lang w:val="en-US"/>
          </w:rPr>
          <w:t>www.phildeafres.org</w:t>
        </w:r>
      </w:hyperlink>
    </w:p>
    <w:p>
      <w:pPr>
        <w:pStyle w:val="Body A"/>
        <w:spacing w:after="120"/>
        <w:jc w:val="both"/>
        <w:rPr>
          <w:rFonts w:ascii="Arial" w:cs="Arial" w:hAnsi="Arial" w:eastAsia="Arial"/>
          <w:sz w:val="22"/>
          <w:szCs w:val="22"/>
          <w:rtl w:val="0"/>
        </w:rPr>
      </w:pPr>
    </w:p>
    <w:p>
      <w:pPr>
        <w:pStyle w:val="Body A"/>
        <w:spacing w:after="120"/>
        <w:jc w:val="both"/>
        <w:rPr>
          <w:rFonts w:ascii="Arial" w:cs="Arial" w:hAnsi="Arial" w:eastAsia="Arial"/>
          <w:sz w:val="20"/>
          <w:szCs w:val="20"/>
        </w:rPr>
      </w:pPr>
    </w:p>
    <w:p>
      <w:pPr>
        <w:pStyle w:val="Body A"/>
        <w:spacing w:after="120"/>
        <w:jc w:val="both"/>
        <w:rPr>
          <w:rFonts w:ascii="Arial" w:cs="Arial" w:hAnsi="Arial" w:eastAsia="Arial"/>
          <w:sz w:val="20"/>
          <w:szCs w:val="20"/>
        </w:rPr>
      </w:pPr>
      <w:r>
        <w:rPr>
          <w:rFonts w:ascii="Arial"/>
          <w:sz w:val="20"/>
          <w:szCs w:val="20"/>
          <w:rtl w:val="0"/>
          <w:lang w:val="en-US"/>
        </w:rPr>
        <w:t>Annex I</w:t>
      </w: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i w:val="1"/>
          <w:iCs w:val="1"/>
          <w:sz w:val="20"/>
          <w:szCs w:val="20"/>
        </w:rPr>
      </w:pPr>
      <w:r>
        <w:rPr>
          <w:rFonts w:ascii="Arial"/>
          <w:i w:val="1"/>
          <w:iCs w:val="1"/>
          <w:sz w:val="20"/>
          <w:szCs w:val="20"/>
          <w:rtl w:val="0"/>
          <w:lang w:val="en-US"/>
        </w:rPr>
        <w:t>About the Coalition</w:t>
      </w: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sz w:val="20"/>
          <w:szCs w:val="20"/>
        </w:rPr>
      </w:pPr>
    </w:p>
    <w:p>
      <w:pPr>
        <w:pStyle w:val="Body B"/>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20"/>
        </w:tabs>
        <w:suppressAutoHyphens w:val="1"/>
        <w:jc w:val="both"/>
        <w:rPr>
          <w:rFonts w:ascii="Arial" w:cs="Arial" w:hAnsi="Arial" w:eastAsia="Arial"/>
          <w:sz w:val="20"/>
          <w:szCs w:val="20"/>
        </w:rPr>
      </w:pPr>
      <w:r>
        <w:rPr>
          <w:rFonts w:ascii="Arial"/>
          <w:sz w:val="20"/>
          <w:szCs w:val="20"/>
          <w:rtl w:val="0"/>
          <w:lang w:val="en-US"/>
        </w:rPr>
        <w:t>The Coalition was initially organized in 2010 and formally constituted in February 2011. The core group is currently comprised of over twenty disabled people</w:t>
      </w:r>
      <w:r>
        <w:rPr>
          <w:rFonts w:hAnsi="Arial" w:hint="default"/>
          <w:sz w:val="20"/>
          <w:szCs w:val="20"/>
          <w:rtl w:val="0"/>
          <w:lang w:val="en-US"/>
        </w:rPr>
        <w:t>’</w:t>
      </w:r>
      <w:r>
        <w:rPr>
          <w:rFonts w:ascii="Arial"/>
          <w:sz w:val="20"/>
          <w:szCs w:val="20"/>
          <w:rtl w:val="0"/>
          <w:lang w:val="en-US"/>
        </w:rPr>
        <w:t>s organizations (DPOs) and nongovernment organizations (NGOs), covering various disability constituencies, and several national federations. These include persons with visual, hearing, speech, mobility, intellectual, psychosocial, multiple, extensive, and chronic illness disabilities.  The Coalition as a whole represents over 65,000 Filipinos with disabilities.</w:t>
      </w:r>
    </w:p>
    <w:p>
      <w:pPr>
        <w:pStyle w:val="Body A"/>
        <w:jc w:val="both"/>
        <w:rPr>
          <w:rFonts w:ascii="Arial" w:cs="Arial" w:hAnsi="Arial" w:eastAsia="Arial"/>
          <w:sz w:val="20"/>
          <w:szCs w:val="20"/>
        </w:rPr>
      </w:pPr>
    </w:p>
    <w:p>
      <w:pPr>
        <w:pStyle w:val="Body A"/>
        <w:jc w:val="both"/>
        <w:rPr>
          <w:rFonts w:ascii="Arial" w:cs="Arial" w:hAnsi="Arial" w:eastAsia="Arial"/>
          <w:sz w:val="20"/>
          <w:szCs w:val="20"/>
        </w:rPr>
      </w:pPr>
      <w:r>
        <w:rPr>
          <w:rFonts w:ascii="Arial"/>
          <w:sz w:val="20"/>
          <w:szCs w:val="20"/>
          <w:rtl w:val="0"/>
          <w:lang w:val="en-US"/>
        </w:rPr>
        <w:t>The Coalition itself has initiated groundbreaking budget work since 2012 carrying out national budget analysis and advocacy, as well as peer capacity building of Disabled Peoples</w:t>
      </w:r>
      <w:r>
        <w:rPr>
          <w:rFonts w:hAnsi="Arial" w:hint="default"/>
          <w:sz w:val="20"/>
          <w:szCs w:val="20"/>
          <w:rtl w:val="0"/>
          <w:lang w:val="en-US"/>
        </w:rPr>
        <w:t xml:space="preserve">’ </w:t>
      </w:r>
      <w:r>
        <w:rPr>
          <w:rFonts w:ascii="Arial"/>
          <w:sz w:val="20"/>
          <w:szCs w:val="20"/>
          <w:rtl w:val="0"/>
          <w:lang w:val="en-US"/>
        </w:rPr>
        <w:t xml:space="preserve">Organizations (DPOs) on local government budget advocacy  </w:t>
      </w:r>
      <w:r>
        <w:rPr>
          <w:rFonts w:ascii="Times New Roman"/>
          <w:color w:val="c82505"/>
          <w:sz w:val="20"/>
          <w:szCs w:val="20"/>
          <w:u w:color="c82505"/>
          <w:rtl w:val="0"/>
          <w:lang w:val="en-US"/>
        </w:rPr>
        <w:t>$</w:t>
      </w:r>
      <w:r>
        <w:rPr>
          <w:rFonts w:ascii="Arial"/>
          <w:sz w:val="20"/>
          <w:szCs w:val="20"/>
          <w:rtl w:val="0"/>
          <w:lang w:val="en-US"/>
        </w:rPr>
        <w:t>.  It has examined the national budget in the context of compliance to the UN Convention on the Rights of Persons with Disabilities since its ratification in 2008, and collected baseline data and undertaken analysis of government spending particularly in education, social protection, access to justice, regulation of community services, regulatory mechanisms for community services, and alternative budgeting by CSOs.  Key findings have demonstrated bottlenecks in the national budget process as well as the relevance of other considerations such as earmarking in national appropriations, impact of Government Owned- / Controlled - Corporations (GOCCs), taxation (including incentives), procurement policies (including quotas for cooperatives of persons with disabilities) and Official Development Assistance.</w:t>
      </w:r>
    </w:p>
    <w:p>
      <w:pPr>
        <w:pStyle w:val="Body A"/>
        <w:jc w:val="both"/>
        <w:rPr>
          <w:rFonts w:ascii="Arial" w:cs="Arial" w:hAnsi="Arial" w:eastAsia="Arial"/>
          <w:sz w:val="20"/>
          <w:szCs w:val="20"/>
        </w:rPr>
      </w:pPr>
    </w:p>
    <w:p>
      <w:pPr>
        <w:pStyle w:val="Body B"/>
        <w:jc w:val="both"/>
        <w:rPr>
          <w:rFonts w:ascii="Arial" w:cs="Arial" w:hAnsi="Arial" w:eastAsia="Arial"/>
          <w:sz w:val="20"/>
          <w:szCs w:val="20"/>
        </w:rPr>
      </w:pPr>
      <w:r>
        <w:rPr>
          <w:rFonts w:ascii="Arial"/>
          <w:sz w:val="20"/>
          <w:szCs w:val="20"/>
          <w:rtl w:val="0"/>
          <w:lang w:val="en-US"/>
        </w:rPr>
        <w:t>The Coalition has done this budget work integrating this in its preparation of the CRPD 2013 Parallel Report, as well as including it as a key component of the framework of national monitoring and implementation of the CRPD.  It has presented its findings domestically to Philippine legislators, government agencies such as the Department of Social Welfare and Development, Department of Education, National Council on Disability Affairs, the Judiciary, Department of Justice</w:t>
      </w:r>
      <w:r>
        <w:rPr>
          <w:rFonts w:ascii="Arial"/>
          <w:sz w:val="20"/>
          <w:szCs w:val="20"/>
          <w:rtl w:val="0"/>
          <w:lang w:val="en-US"/>
        </w:rPr>
        <w:t>;</w:t>
      </w:r>
      <w:r>
        <w:rPr>
          <w:rFonts w:ascii="Arial"/>
          <w:sz w:val="20"/>
          <w:szCs w:val="20"/>
          <w:rtl w:val="0"/>
          <w:lang w:val="en-US"/>
        </w:rPr>
        <w:t xml:space="preserve"> other CSOs involved in budget advocacy, and academe. Internationally it has also  exchanged findings with colleagues of the national persons with disabilities coalitions of India and Samoa, as well as shared these in international forums organized by the Leonard Cheshire Disability / UNESCAP </w:t>
      </w:r>
      <w:r>
        <w:rPr>
          <w:rFonts w:ascii="Arial"/>
          <w:sz w:val="20"/>
          <w:szCs w:val="20"/>
          <w:u w:color="c82505"/>
          <w:rtl w:val="0"/>
          <w:lang w:val="en-US"/>
        </w:rPr>
        <w:t xml:space="preserve">in </w:t>
      </w:r>
      <w:r>
        <w:rPr>
          <w:rFonts w:ascii="Arial"/>
          <w:sz w:val="20"/>
          <w:szCs w:val="20"/>
          <w:u w:color="c82505"/>
          <w:rtl w:val="0"/>
          <w:lang w:val="en-US"/>
        </w:rPr>
        <w:t xml:space="preserve">2012, </w:t>
      </w:r>
      <w:r>
        <w:rPr>
          <w:rFonts w:ascii="Arial"/>
          <w:sz w:val="20"/>
          <w:szCs w:val="20"/>
          <w:rtl w:val="0"/>
          <w:lang w:val="en-US"/>
        </w:rPr>
        <w:t xml:space="preserve"> </w:t>
      </w:r>
      <w:r>
        <w:rPr>
          <w:rFonts w:ascii="Arial"/>
          <w:sz w:val="20"/>
          <w:szCs w:val="20"/>
          <w:rtl w:val="0"/>
          <w:lang w:val="en-US"/>
        </w:rPr>
        <w:t xml:space="preserve">the </w:t>
      </w:r>
      <w:r>
        <w:rPr>
          <w:rFonts w:ascii="Arial"/>
          <w:sz w:val="20"/>
          <w:szCs w:val="20"/>
          <w:rtl w:val="0"/>
          <w:lang w:val="en-US"/>
        </w:rPr>
        <w:t xml:space="preserve">Pacific Disability Forum </w:t>
      </w:r>
      <w:r>
        <w:rPr>
          <w:rFonts w:ascii="Arial"/>
          <w:sz w:val="20"/>
          <w:szCs w:val="20"/>
          <w:rtl w:val="0"/>
          <w:lang w:val="en-US"/>
        </w:rPr>
        <w:t>in the</w:t>
      </w:r>
      <w:r>
        <w:rPr>
          <w:rFonts w:ascii="Arial"/>
          <w:sz w:val="20"/>
          <w:szCs w:val="20"/>
          <w:u w:color="c82505"/>
          <w:rtl w:val="0"/>
          <w:lang w:val="en-US"/>
        </w:rPr>
        <w:t xml:space="preserve"> 2013 </w:t>
      </w:r>
      <w:r>
        <w:rPr>
          <w:rFonts w:ascii="Arial"/>
          <w:sz w:val="20"/>
          <w:szCs w:val="20"/>
          <w:rtl w:val="0"/>
          <w:lang w:val="en-US"/>
        </w:rPr>
        <w:t xml:space="preserve">Regional Disability Inclusive Budgeting and Disability Statistics Workshop, UNICEF technical meetings in New York in 2012 and 2015, and </w:t>
      </w:r>
      <w:r>
        <w:rPr>
          <w:rFonts w:ascii="Arial"/>
          <w:sz w:val="20"/>
          <w:szCs w:val="20"/>
          <w:rtl w:val="0"/>
          <w:lang w:val="en-US"/>
        </w:rPr>
        <w:t xml:space="preserve">the </w:t>
      </w:r>
      <w:r>
        <w:rPr>
          <w:rFonts w:ascii="Arial"/>
          <w:sz w:val="20"/>
          <w:szCs w:val="20"/>
          <w:rtl w:val="0"/>
          <w:lang w:val="en-US"/>
        </w:rPr>
        <w:t xml:space="preserve">UNICEF social accountability workshop in London </w:t>
      </w:r>
      <w:r>
        <w:rPr>
          <w:rFonts w:ascii="Arial"/>
          <w:sz w:val="20"/>
          <w:szCs w:val="20"/>
          <w:rtl w:val="0"/>
          <w:lang w:val="en-US"/>
        </w:rPr>
        <w:t>in 2014</w:t>
      </w:r>
      <w:r>
        <w:rPr>
          <w:rFonts w:ascii="Arial"/>
          <w:sz w:val="20"/>
          <w:szCs w:val="20"/>
          <w:u w:color="c82505"/>
          <w:rtl w:val="0"/>
          <w:lang w:val="en-US"/>
        </w:rPr>
        <w:t xml:space="preserve">.  </w:t>
      </w:r>
      <w:r>
        <w:rPr>
          <w:rFonts w:ascii="Arial"/>
          <w:sz w:val="20"/>
          <w:szCs w:val="20"/>
          <w:u w:color="c82505"/>
          <w:rtl w:val="0"/>
          <w:lang w:val="en-US"/>
        </w:rPr>
        <w:t xml:space="preserve">The Coalition also presented its work in a panel during the </w:t>
      </w:r>
      <w:r>
        <w:rPr>
          <w:rFonts w:ascii="Arial"/>
          <w:sz w:val="20"/>
          <w:szCs w:val="20"/>
          <w:rtl w:val="0"/>
          <w:lang w:val="en-US"/>
        </w:rPr>
        <w:t>Civil Society Forum of the Fifth Session of the Conference of State Parties in New York in 2012.</w:t>
      </w:r>
    </w:p>
    <w:p>
      <w:pPr>
        <w:pStyle w:val="Body A"/>
        <w:spacing w:after="120"/>
        <w:jc w:val="both"/>
      </w:pPr>
      <w:r>
        <w:rPr>
          <w:rFonts w:ascii="Arial" w:cs="Arial" w:hAnsi="Arial" w:eastAsia="Arial"/>
          <w:sz w:val="20"/>
          <w:szCs w:val="20"/>
        </w:rPr>
      </w:r>
    </w:p>
    <w:sectPr>
      <w:headerReference w:type="default" r:id="rId9"/>
      <w:headerReference w:type="first" r:id="rId10"/>
      <w:footerReference w:type="default" r:id="rId11"/>
      <w:footerReference w:type="first" r:id="rId12"/>
      <w:pgSz w:w="11900" w:h="16840" w:orient="portrait"/>
      <w:pgMar w:top="1440" w:right="1440" w:bottom="1276" w:left="1440" w:header="0" w:footer="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 w:name="Arial Bold">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pPr>
    <w:r>
      <w:rPr>
        <w:rFonts w:ascii="Arial"/>
        <w:sz w:val="18"/>
        <w:szCs w:val="18"/>
        <w:rtl w:val="0"/>
      </w:rPr>
      <w:fldChar w:fldCharType="begin" w:fldLock="0"/>
    </w:r>
    <w:r>
      <w:rPr>
        <w:rFonts w:ascii="Arial"/>
        <w:sz w:val="18"/>
        <w:szCs w:val="18"/>
        <w:rtl w:val="0"/>
      </w:rPr>
      <w:t xml:space="preserve"> PAGE </w:t>
    </w:r>
    <w:r>
      <w:rPr>
        <w:rFonts w:ascii="Arial"/>
        <w:sz w:val="18"/>
        <w:szCs w:val="18"/>
        <w:rtl w:val="0"/>
      </w:rPr>
      <w:fldChar w:fldCharType="separate" w:fldLock="0"/>
    </w:r>
    <w:r>
      <w:rPr>
        <w:rFonts w:ascii="Arial"/>
        <w:sz w:val="18"/>
        <w:szCs w:val="18"/>
        <w:rtl w:val="0"/>
      </w:rPr>
      <w:t>5</w:t>
    </w:r>
    <w:r>
      <w:rPr>
        <w:rFonts w:ascii="Arial"/>
        <w:sz w:val="18"/>
        <w:szCs w:val="18"/>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sz w:val="18"/>
          <w:szCs w:val="18"/>
          <w:rtl w:val="0"/>
          <w:lang w:val="en-US"/>
        </w:rPr>
        <w:t>For further information  on the budget research and advocacy of the Coalition, please see Annex I.</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80"/>
          <w:tab w:val="clear" w:pos="0"/>
        </w:tabs>
        <w:ind w:left="180" w:hanging="180"/>
      </w:pPr>
      <w:rPr>
        <w:rFonts w:ascii="Arial" w:cs="Arial" w:hAnsi="Arial" w:eastAsia="Arial"/>
        <w:color w:val="000000"/>
        <w:position w:val="0"/>
        <w:sz w:val="22"/>
        <w:szCs w:val="22"/>
        <w:u w:color="000000"/>
        <w:lang w:val="en-US"/>
      </w:rPr>
    </w:lvl>
    <w:lvl w:ilvl="1">
      <w:start w:val="1"/>
      <w:numFmt w:val="bullet"/>
      <w:suff w:val="tab"/>
      <w:lvlText w:val="•"/>
      <w:lvlJc w:val="left"/>
      <w:pPr>
        <w:tabs>
          <w:tab w:val="num" w:pos="331"/>
          <w:tab w:val="clear" w:pos="0"/>
        </w:tabs>
        <w:ind w:left="331" w:hanging="151"/>
      </w:pPr>
      <w:rPr>
        <w:rFonts w:ascii="Arial" w:cs="Arial" w:hAnsi="Arial" w:eastAsia="Arial"/>
        <w:color w:val="000000"/>
        <w:position w:val="0"/>
        <w:sz w:val="22"/>
        <w:szCs w:val="22"/>
        <w:u w:color="000000"/>
        <w:lang w:val="en-US"/>
      </w:rPr>
    </w:lvl>
    <w:lvl w:ilvl="2">
      <w:start w:val="1"/>
      <w:numFmt w:val="bullet"/>
      <w:suff w:val="tab"/>
      <w:lvlText w:val="•"/>
      <w:lvlJc w:val="left"/>
      <w:pPr>
        <w:tabs>
          <w:tab w:val="num" w:pos="511"/>
          <w:tab w:val="clear" w:pos="0"/>
        </w:tabs>
        <w:ind w:left="511" w:hanging="151"/>
      </w:pPr>
      <w:rPr>
        <w:rFonts w:ascii="Arial" w:cs="Arial" w:hAnsi="Arial" w:eastAsia="Arial"/>
        <w:color w:val="000000"/>
        <w:position w:val="0"/>
        <w:sz w:val="22"/>
        <w:szCs w:val="22"/>
        <w:u w:color="000000"/>
        <w:lang w:val="en-US"/>
      </w:rPr>
    </w:lvl>
    <w:lvl w:ilvl="3">
      <w:start w:val="1"/>
      <w:numFmt w:val="bullet"/>
      <w:suff w:val="tab"/>
      <w:lvlText w:val="•"/>
      <w:lvlJc w:val="left"/>
      <w:pPr>
        <w:tabs>
          <w:tab w:val="num" w:pos="691"/>
          <w:tab w:val="clear" w:pos="0"/>
        </w:tabs>
        <w:ind w:left="691" w:hanging="151"/>
      </w:pPr>
      <w:rPr>
        <w:rFonts w:ascii="Arial" w:cs="Arial" w:hAnsi="Arial" w:eastAsia="Arial"/>
        <w:color w:val="000000"/>
        <w:position w:val="0"/>
        <w:sz w:val="22"/>
        <w:szCs w:val="22"/>
        <w:u w:color="000000"/>
        <w:lang w:val="en-US"/>
      </w:rPr>
    </w:lvl>
    <w:lvl w:ilvl="4">
      <w:start w:val="1"/>
      <w:numFmt w:val="bullet"/>
      <w:suff w:val="tab"/>
      <w:lvlText w:val="•"/>
      <w:lvlJc w:val="left"/>
      <w:pPr>
        <w:tabs>
          <w:tab w:val="num" w:pos="871"/>
          <w:tab w:val="clear" w:pos="0"/>
        </w:tabs>
        <w:ind w:left="871" w:hanging="151"/>
      </w:pPr>
      <w:rPr>
        <w:rFonts w:ascii="Arial" w:cs="Arial" w:hAnsi="Arial" w:eastAsia="Arial"/>
        <w:color w:val="000000"/>
        <w:position w:val="0"/>
        <w:sz w:val="22"/>
        <w:szCs w:val="22"/>
        <w:u w:color="000000"/>
        <w:lang w:val="en-US"/>
      </w:rPr>
    </w:lvl>
    <w:lvl w:ilvl="5">
      <w:start w:val="1"/>
      <w:numFmt w:val="bullet"/>
      <w:suff w:val="tab"/>
      <w:lvlText w:val="•"/>
      <w:lvlJc w:val="left"/>
      <w:pPr>
        <w:tabs>
          <w:tab w:val="num" w:pos="1051"/>
          <w:tab w:val="clear" w:pos="0"/>
        </w:tabs>
        <w:ind w:left="1051" w:hanging="151"/>
      </w:pPr>
      <w:rPr>
        <w:rFonts w:ascii="Arial" w:cs="Arial" w:hAnsi="Arial" w:eastAsia="Arial"/>
        <w:color w:val="000000"/>
        <w:position w:val="0"/>
        <w:sz w:val="22"/>
        <w:szCs w:val="22"/>
        <w:u w:color="000000"/>
        <w:lang w:val="en-US"/>
      </w:rPr>
    </w:lvl>
    <w:lvl w:ilvl="6">
      <w:start w:val="1"/>
      <w:numFmt w:val="bullet"/>
      <w:suff w:val="tab"/>
      <w:lvlText w:val="•"/>
      <w:lvlJc w:val="left"/>
      <w:pPr>
        <w:tabs>
          <w:tab w:val="num" w:pos="1231"/>
          <w:tab w:val="clear" w:pos="0"/>
        </w:tabs>
        <w:ind w:left="1231" w:hanging="151"/>
      </w:pPr>
      <w:rPr>
        <w:rFonts w:ascii="Arial" w:cs="Arial" w:hAnsi="Arial" w:eastAsia="Arial"/>
        <w:color w:val="000000"/>
        <w:position w:val="0"/>
        <w:sz w:val="22"/>
        <w:szCs w:val="22"/>
        <w:u w:color="000000"/>
        <w:lang w:val="en-US"/>
      </w:rPr>
    </w:lvl>
    <w:lvl w:ilvl="7">
      <w:start w:val="1"/>
      <w:numFmt w:val="bullet"/>
      <w:suff w:val="tab"/>
      <w:lvlText w:val="•"/>
      <w:lvlJc w:val="left"/>
      <w:pPr>
        <w:tabs>
          <w:tab w:val="num" w:pos="1411"/>
          <w:tab w:val="clear" w:pos="0"/>
        </w:tabs>
        <w:ind w:left="1411" w:hanging="151"/>
      </w:pPr>
      <w:rPr>
        <w:rFonts w:ascii="Arial" w:cs="Arial" w:hAnsi="Arial" w:eastAsia="Arial"/>
        <w:color w:val="000000"/>
        <w:position w:val="0"/>
        <w:sz w:val="22"/>
        <w:szCs w:val="22"/>
        <w:u w:color="000000"/>
        <w:lang w:val="en-US"/>
      </w:rPr>
    </w:lvl>
    <w:lvl w:ilvl="8">
      <w:start w:val="1"/>
      <w:numFmt w:val="bullet"/>
      <w:suff w:val="tab"/>
      <w:lvlText w:val="•"/>
      <w:lvlJc w:val="left"/>
      <w:pPr>
        <w:tabs>
          <w:tab w:val="num" w:pos="1591"/>
          <w:tab w:val="clear" w:pos="0"/>
        </w:tabs>
        <w:ind w:left="1591" w:hanging="151"/>
      </w:pPr>
      <w:rPr>
        <w:rFonts w:ascii="Arial" w:cs="Arial" w:hAnsi="Arial" w:eastAsia="Arial"/>
        <w:color w:val="000000"/>
        <w:position w:val="0"/>
        <w:sz w:val="22"/>
        <w:szCs w:val="22"/>
        <w:u w:color="000000"/>
        <w:lang w:val="en-US"/>
      </w:rPr>
    </w:lvl>
  </w:abstractNum>
  <w:abstractNum w:abstractNumId="1">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2">
    <w:multiLevelType w:val="multilevel"/>
    <w:styleLink w:val="List 0"/>
    <w:lvl w:ilvl="0">
      <w:start w:val="0"/>
      <w:numFmt w:val="bullet"/>
      <w:suff w:val="tab"/>
      <w:lvlText w:val="•"/>
      <w:lvlJc w:val="left"/>
      <w:pPr>
        <w:tabs>
          <w:tab w:val="num" w:pos="180"/>
          <w:tab w:val="clear" w:pos="0"/>
        </w:tabs>
        <w:ind w:left="180" w:hanging="180"/>
      </w:pPr>
      <w:rPr>
        <w:rFonts w:ascii="Arial" w:cs="Arial" w:hAnsi="Arial" w:eastAsia="Arial"/>
        <w:color w:val="000000"/>
        <w:position w:val="0"/>
        <w:sz w:val="24"/>
        <w:szCs w:val="24"/>
        <w:u w:color="000000"/>
        <w:lang w:val="en-US"/>
      </w:rPr>
    </w:lvl>
    <w:lvl w:ilvl="1">
      <w:start w:val="1"/>
      <w:numFmt w:val="bullet"/>
      <w:suff w:val="tab"/>
      <w:lvlText w:val="•"/>
      <w:lvlJc w:val="left"/>
      <w:pPr>
        <w:tabs>
          <w:tab w:val="num" w:pos="331"/>
          <w:tab w:val="clear" w:pos="0"/>
        </w:tabs>
        <w:ind w:left="331" w:hanging="151"/>
      </w:pPr>
      <w:rPr>
        <w:rFonts w:ascii="Arial" w:cs="Arial" w:hAnsi="Arial" w:eastAsia="Arial"/>
        <w:color w:val="000000"/>
        <w:position w:val="0"/>
        <w:sz w:val="22"/>
        <w:szCs w:val="22"/>
        <w:u w:color="000000"/>
        <w:lang w:val="en-US"/>
      </w:rPr>
    </w:lvl>
    <w:lvl w:ilvl="2">
      <w:start w:val="1"/>
      <w:numFmt w:val="bullet"/>
      <w:suff w:val="tab"/>
      <w:lvlText w:val="•"/>
      <w:lvlJc w:val="left"/>
      <w:pPr>
        <w:tabs>
          <w:tab w:val="num" w:pos="511"/>
          <w:tab w:val="clear" w:pos="0"/>
        </w:tabs>
        <w:ind w:left="511" w:hanging="151"/>
      </w:pPr>
      <w:rPr>
        <w:rFonts w:ascii="Arial" w:cs="Arial" w:hAnsi="Arial" w:eastAsia="Arial"/>
        <w:color w:val="000000"/>
        <w:position w:val="0"/>
        <w:sz w:val="22"/>
        <w:szCs w:val="22"/>
        <w:u w:color="000000"/>
        <w:lang w:val="en-US"/>
      </w:rPr>
    </w:lvl>
    <w:lvl w:ilvl="3">
      <w:start w:val="1"/>
      <w:numFmt w:val="bullet"/>
      <w:suff w:val="tab"/>
      <w:lvlText w:val="•"/>
      <w:lvlJc w:val="left"/>
      <w:pPr>
        <w:tabs>
          <w:tab w:val="num" w:pos="691"/>
          <w:tab w:val="clear" w:pos="0"/>
        </w:tabs>
        <w:ind w:left="691" w:hanging="151"/>
      </w:pPr>
      <w:rPr>
        <w:rFonts w:ascii="Arial" w:cs="Arial" w:hAnsi="Arial" w:eastAsia="Arial"/>
        <w:color w:val="000000"/>
        <w:position w:val="0"/>
        <w:sz w:val="22"/>
        <w:szCs w:val="22"/>
        <w:u w:color="000000"/>
        <w:lang w:val="en-US"/>
      </w:rPr>
    </w:lvl>
    <w:lvl w:ilvl="4">
      <w:start w:val="1"/>
      <w:numFmt w:val="bullet"/>
      <w:suff w:val="tab"/>
      <w:lvlText w:val="•"/>
      <w:lvlJc w:val="left"/>
      <w:pPr>
        <w:tabs>
          <w:tab w:val="num" w:pos="871"/>
          <w:tab w:val="clear" w:pos="0"/>
        </w:tabs>
        <w:ind w:left="871" w:hanging="151"/>
      </w:pPr>
      <w:rPr>
        <w:rFonts w:ascii="Arial" w:cs="Arial" w:hAnsi="Arial" w:eastAsia="Arial"/>
        <w:color w:val="000000"/>
        <w:position w:val="0"/>
        <w:sz w:val="22"/>
        <w:szCs w:val="22"/>
        <w:u w:color="000000"/>
        <w:lang w:val="en-US"/>
      </w:rPr>
    </w:lvl>
    <w:lvl w:ilvl="5">
      <w:start w:val="1"/>
      <w:numFmt w:val="bullet"/>
      <w:suff w:val="tab"/>
      <w:lvlText w:val="•"/>
      <w:lvlJc w:val="left"/>
      <w:pPr>
        <w:tabs>
          <w:tab w:val="num" w:pos="1051"/>
          <w:tab w:val="clear" w:pos="0"/>
        </w:tabs>
        <w:ind w:left="1051" w:hanging="151"/>
      </w:pPr>
      <w:rPr>
        <w:rFonts w:ascii="Arial" w:cs="Arial" w:hAnsi="Arial" w:eastAsia="Arial"/>
        <w:color w:val="000000"/>
        <w:position w:val="0"/>
        <w:sz w:val="22"/>
        <w:szCs w:val="22"/>
        <w:u w:color="000000"/>
        <w:lang w:val="en-US"/>
      </w:rPr>
    </w:lvl>
    <w:lvl w:ilvl="6">
      <w:start w:val="1"/>
      <w:numFmt w:val="bullet"/>
      <w:suff w:val="tab"/>
      <w:lvlText w:val="•"/>
      <w:lvlJc w:val="left"/>
      <w:pPr>
        <w:tabs>
          <w:tab w:val="num" w:pos="1231"/>
          <w:tab w:val="clear" w:pos="0"/>
        </w:tabs>
        <w:ind w:left="1231" w:hanging="151"/>
      </w:pPr>
      <w:rPr>
        <w:rFonts w:ascii="Arial" w:cs="Arial" w:hAnsi="Arial" w:eastAsia="Arial"/>
        <w:color w:val="000000"/>
        <w:position w:val="0"/>
        <w:sz w:val="22"/>
        <w:szCs w:val="22"/>
        <w:u w:color="000000"/>
        <w:lang w:val="en-US"/>
      </w:rPr>
    </w:lvl>
    <w:lvl w:ilvl="7">
      <w:start w:val="1"/>
      <w:numFmt w:val="bullet"/>
      <w:suff w:val="tab"/>
      <w:lvlText w:val="•"/>
      <w:lvlJc w:val="left"/>
      <w:pPr>
        <w:tabs>
          <w:tab w:val="num" w:pos="1411"/>
          <w:tab w:val="clear" w:pos="0"/>
        </w:tabs>
        <w:ind w:left="1411" w:hanging="151"/>
      </w:pPr>
      <w:rPr>
        <w:rFonts w:ascii="Arial" w:cs="Arial" w:hAnsi="Arial" w:eastAsia="Arial"/>
        <w:color w:val="000000"/>
        <w:position w:val="0"/>
        <w:sz w:val="22"/>
        <w:szCs w:val="22"/>
        <w:u w:color="000000"/>
        <w:lang w:val="en-US"/>
      </w:rPr>
    </w:lvl>
    <w:lvl w:ilvl="8">
      <w:start w:val="1"/>
      <w:numFmt w:val="bullet"/>
      <w:suff w:val="tab"/>
      <w:lvlText w:val="•"/>
      <w:lvlJc w:val="left"/>
      <w:pPr>
        <w:tabs>
          <w:tab w:val="num" w:pos="1591"/>
          <w:tab w:val="clear" w:pos="0"/>
        </w:tabs>
        <w:ind w:left="1591" w:hanging="151"/>
      </w:pPr>
      <w:rPr>
        <w:rFonts w:ascii="Arial" w:cs="Arial" w:hAnsi="Arial" w:eastAsia="Arial"/>
        <w:color w:val="000000"/>
        <w:position w:val="0"/>
        <w:sz w:val="22"/>
        <w:szCs w:val="22"/>
        <w:u w:color="000000"/>
        <w:lang w:val="en-US"/>
      </w:rPr>
    </w:lvl>
  </w:abstractNum>
  <w:abstractNum w:abstractNumId="3">
    <w:multiLevelType w:val="multilevel"/>
    <w:lvl w:ilvl="0">
      <w:start w:val="1"/>
      <w:numFmt w:val="bullet"/>
      <w:suff w:val="tab"/>
      <w:lvlText w:val="•"/>
      <w:lvlJc w:val="left"/>
      <w:pPr>
        <w:tabs>
          <w:tab w:val="num" w:pos="180"/>
          <w:tab w:val="clear" w:pos="0"/>
        </w:tabs>
        <w:ind w:left="180" w:hanging="180"/>
      </w:pPr>
      <w:rPr>
        <w:rFonts w:ascii="Arial" w:cs="Arial" w:hAnsi="Arial" w:eastAsia="Arial"/>
        <w:position w:val="0"/>
        <w:sz w:val="22"/>
        <w:szCs w:val="22"/>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4">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5">
    <w:multiLevelType w:val="multilevel"/>
    <w:styleLink w:val="List 1"/>
    <w:lvl w:ilvl="0">
      <w:start w:val="0"/>
      <w:numFmt w:val="bullet"/>
      <w:suff w:val="tab"/>
      <w:lvlText w:val="•"/>
      <w:lvlJc w:val="left"/>
      <w:pPr>
        <w:tabs>
          <w:tab w:val="num" w:pos="180"/>
          <w:tab w:val="clear" w:pos="0"/>
        </w:tabs>
        <w:ind w:left="180" w:hanging="180"/>
      </w:pPr>
      <w:rPr>
        <w:rFonts w:ascii="Arial" w:cs="Arial" w:hAnsi="Arial" w:eastAsia="Arial"/>
        <w:position w:val="0"/>
        <w:sz w:val="24"/>
        <w:szCs w:val="24"/>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6">
    <w:multiLevelType w:val="multilevel"/>
    <w:lvl w:ilvl="0">
      <w:start w:val="1"/>
      <w:numFmt w:val="bullet"/>
      <w:suff w:val="tab"/>
      <w:lvlText w:val="•"/>
      <w:lvlJc w:val="left"/>
      <w:pPr>
        <w:tabs>
          <w:tab w:val="num" w:pos="180"/>
          <w:tab w:val="clear" w:pos="0"/>
        </w:tabs>
        <w:ind w:left="180" w:hanging="180"/>
      </w:pPr>
      <w:rPr>
        <w:rFonts w:ascii="Arial" w:cs="Arial" w:hAnsi="Arial" w:eastAsia="Arial"/>
        <w:position w:val="0"/>
        <w:sz w:val="22"/>
        <w:szCs w:val="22"/>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7">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8">
    <w:multiLevelType w:val="multilevel"/>
    <w:styleLink w:val="List 2"/>
    <w:lvl w:ilvl="0">
      <w:start w:val="0"/>
      <w:numFmt w:val="bullet"/>
      <w:suff w:val="tab"/>
      <w:lvlText w:val="•"/>
      <w:lvlJc w:val="left"/>
      <w:pPr>
        <w:tabs>
          <w:tab w:val="num" w:pos="180"/>
          <w:tab w:val="clear" w:pos="0"/>
        </w:tabs>
        <w:ind w:left="180" w:hanging="180"/>
      </w:pPr>
      <w:rPr>
        <w:rFonts w:ascii="Arial" w:cs="Arial" w:hAnsi="Arial" w:eastAsia="Arial"/>
        <w:position w:val="0"/>
        <w:sz w:val="24"/>
        <w:szCs w:val="24"/>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9">
    <w:multiLevelType w:val="multilevel"/>
    <w:lvl w:ilvl="0">
      <w:start w:val="1"/>
      <w:numFmt w:val="bullet"/>
      <w:suff w:val="tab"/>
      <w:lvlText w:val="•"/>
      <w:lvlJc w:val="left"/>
      <w:pPr>
        <w:tabs>
          <w:tab w:val="num" w:pos="180"/>
          <w:tab w:val="clear" w:pos="0"/>
        </w:tabs>
        <w:ind w:left="180" w:hanging="180"/>
      </w:pPr>
      <w:rPr>
        <w:rFonts w:ascii="Arial" w:cs="Arial" w:hAnsi="Arial" w:eastAsia="Arial"/>
        <w:position w:val="0"/>
        <w:sz w:val="22"/>
        <w:szCs w:val="22"/>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10">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1">
    <w:multiLevelType w:val="multilevel"/>
    <w:styleLink w:val="List 3"/>
    <w:lvl w:ilvl="0">
      <w:start w:val="0"/>
      <w:numFmt w:val="bullet"/>
      <w:suff w:val="tab"/>
      <w:lvlText w:val="•"/>
      <w:lvlJc w:val="left"/>
      <w:pPr>
        <w:tabs>
          <w:tab w:val="num" w:pos="180"/>
          <w:tab w:val="clear" w:pos="0"/>
        </w:tabs>
        <w:ind w:left="180" w:hanging="180"/>
      </w:pPr>
      <w:rPr>
        <w:rFonts w:ascii="Arial" w:cs="Arial" w:hAnsi="Arial" w:eastAsia="Arial"/>
        <w:position w:val="0"/>
        <w:sz w:val="24"/>
        <w:szCs w:val="24"/>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12">
    <w:multiLevelType w:val="multilevel"/>
    <w:lvl w:ilvl="0">
      <w:start w:val="1"/>
      <w:numFmt w:val="bullet"/>
      <w:suff w:val="tab"/>
      <w:lvlText w:val="•"/>
      <w:lvlJc w:val="left"/>
      <w:pPr>
        <w:tabs>
          <w:tab w:val="num" w:pos="180"/>
          <w:tab w:val="clear" w:pos="0"/>
        </w:tabs>
        <w:ind w:left="180" w:hanging="180"/>
      </w:pPr>
      <w:rPr>
        <w:rFonts w:ascii="Arial" w:cs="Arial" w:hAnsi="Arial" w:eastAsia="Arial"/>
        <w:color w:val="000000"/>
        <w:position w:val="0"/>
        <w:sz w:val="22"/>
        <w:szCs w:val="22"/>
        <w:u w:color="000000"/>
        <w:lang w:val="en-US"/>
      </w:rPr>
    </w:lvl>
    <w:lvl w:ilvl="1">
      <w:start w:val="1"/>
      <w:numFmt w:val="bullet"/>
      <w:suff w:val="tab"/>
      <w:lvlText w:val="•"/>
      <w:lvlJc w:val="left"/>
      <w:pPr>
        <w:tabs>
          <w:tab w:val="num" w:pos="331"/>
          <w:tab w:val="clear" w:pos="0"/>
        </w:tabs>
        <w:ind w:left="331" w:hanging="151"/>
      </w:pPr>
      <w:rPr>
        <w:rFonts w:ascii="Arial" w:cs="Arial" w:hAnsi="Arial" w:eastAsia="Arial"/>
        <w:color w:val="000000"/>
        <w:position w:val="0"/>
        <w:sz w:val="22"/>
        <w:szCs w:val="22"/>
        <w:u w:color="000000"/>
        <w:lang w:val="en-US"/>
      </w:rPr>
    </w:lvl>
    <w:lvl w:ilvl="2">
      <w:start w:val="1"/>
      <w:numFmt w:val="bullet"/>
      <w:suff w:val="tab"/>
      <w:lvlText w:val="•"/>
      <w:lvlJc w:val="left"/>
      <w:pPr>
        <w:tabs>
          <w:tab w:val="num" w:pos="511"/>
          <w:tab w:val="clear" w:pos="0"/>
        </w:tabs>
        <w:ind w:left="511" w:hanging="151"/>
      </w:pPr>
      <w:rPr>
        <w:rFonts w:ascii="Arial" w:cs="Arial" w:hAnsi="Arial" w:eastAsia="Arial"/>
        <w:color w:val="000000"/>
        <w:position w:val="0"/>
        <w:sz w:val="22"/>
        <w:szCs w:val="22"/>
        <w:u w:color="000000"/>
        <w:lang w:val="en-US"/>
      </w:rPr>
    </w:lvl>
    <w:lvl w:ilvl="3">
      <w:start w:val="1"/>
      <w:numFmt w:val="bullet"/>
      <w:suff w:val="tab"/>
      <w:lvlText w:val="•"/>
      <w:lvlJc w:val="left"/>
      <w:pPr>
        <w:tabs>
          <w:tab w:val="num" w:pos="691"/>
          <w:tab w:val="clear" w:pos="0"/>
        </w:tabs>
        <w:ind w:left="691" w:hanging="151"/>
      </w:pPr>
      <w:rPr>
        <w:rFonts w:ascii="Arial" w:cs="Arial" w:hAnsi="Arial" w:eastAsia="Arial"/>
        <w:color w:val="000000"/>
        <w:position w:val="0"/>
        <w:sz w:val="22"/>
        <w:szCs w:val="22"/>
        <w:u w:color="000000"/>
        <w:lang w:val="en-US"/>
      </w:rPr>
    </w:lvl>
    <w:lvl w:ilvl="4">
      <w:start w:val="1"/>
      <w:numFmt w:val="bullet"/>
      <w:suff w:val="tab"/>
      <w:lvlText w:val="•"/>
      <w:lvlJc w:val="left"/>
      <w:pPr>
        <w:tabs>
          <w:tab w:val="num" w:pos="871"/>
          <w:tab w:val="clear" w:pos="0"/>
        </w:tabs>
        <w:ind w:left="871" w:hanging="151"/>
      </w:pPr>
      <w:rPr>
        <w:rFonts w:ascii="Arial" w:cs="Arial" w:hAnsi="Arial" w:eastAsia="Arial"/>
        <w:color w:val="000000"/>
        <w:position w:val="0"/>
        <w:sz w:val="22"/>
        <w:szCs w:val="22"/>
        <w:u w:color="000000"/>
        <w:lang w:val="en-US"/>
      </w:rPr>
    </w:lvl>
    <w:lvl w:ilvl="5">
      <w:start w:val="1"/>
      <w:numFmt w:val="bullet"/>
      <w:suff w:val="tab"/>
      <w:lvlText w:val="•"/>
      <w:lvlJc w:val="left"/>
      <w:pPr>
        <w:tabs>
          <w:tab w:val="num" w:pos="1051"/>
          <w:tab w:val="clear" w:pos="0"/>
        </w:tabs>
        <w:ind w:left="1051" w:hanging="151"/>
      </w:pPr>
      <w:rPr>
        <w:rFonts w:ascii="Arial" w:cs="Arial" w:hAnsi="Arial" w:eastAsia="Arial"/>
        <w:color w:val="000000"/>
        <w:position w:val="0"/>
        <w:sz w:val="22"/>
        <w:szCs w:val="22"/>
        <w:u w:color="000000"/>
        <w:lang w:val="en-US"/>
      </w:rPr>
    </w:lvl>
    <w:lvl w:ilvl="6">
      <w:start w:val="1"/>
      <w:numFmt w:val="bullet"/>
      <w:suff w:val="tab"/>
      <w:lvlText w:val="•"/>
      <w:lvlJc w:val="left"/>
      <w:pPr>
        <w:tabs>
          <w:tab w:val="num" w:pos="1231"/>
          <w:tab w:val="clear" w:pos="0"/>
        </w:tabs>
        <w:ind w:left="1231" w:hanging="151"/>
      </w:pPr>
      <w:rPr>
        <w:rFonts w:ascii="Arial" w:cs="Arial" w:hAnsi="Arial" w:eastAsia="Arial"/>
        <w:color w:val="000000"/>
        <w:position w:val="0"/>
        <w:sz w:val="22"/>
        <w:szCs w:val="22"/>
        <w:u w:color="000000"/>
        <w:lang w:val="en-US"/>
      </w:rPr>
    </w:lvl>
    <w:lvl w:ilvl="7">
      <w:start w:val="1"/>
      <w:numFmt w:val="bullet"/>
      <w:suff w:val="tab"/>
      <w:lvlText w:val="•"/>
      <w:lvlJc w:val="left"/>
      <w:pPr>
        <w:tabs>
          <w:tab w:val="num" w:pos="1411"/>
          <w:tab w:val="clear" w:pos="0"/>
        </w:tabs>
        <w:ind w:left="1411" w:hanging="151"/>
      </w:pPr>
      <w:rPr>
        <w:rFonts w:ascii="Arial" w:cs="Arial" w:hAnsi="Arial" w:eastAsia="Arial"/>
        <w:color w:val="000000"/>
        <w:position w:val="0"/>
        <w:sz w:val="22"/>
        <w:szCs w:val="22"/>
        <w:u w:color="000000"/>
        <w:lang w:val="en-US"/>
      </w:rPr>
    </w:lvl>
    <w:lvl w:ilvl="8">
      <w:start w:val="1"/>
      <w:numFmt w:val="bullet"/>
      <w:suff w:val="tab"/>
      <w:lvlText w:val="•"/>
      <w:lvlJc w:val="left"/>
      <w:pPr>
        <w:tabs>
          <w:tab w:val="num" w:pos="1591"/>
          <w:tab w:val="clear" w:pos="0"/>
        </w:tabs>
        <w:ind w:left="1591" w:hanging="151"/>
      </w:pPr>
      <w:rPr>
        <w:rFonts w:ascii="Arial" w:cs="Arial" w:hAnsi="Arial" w:eastAsia="Arial"/>
        <w:color w:val="000000"/>
        <w:position w:val="0"/>
        <w:sz w:val="22"/>
        <w:szCs w:val="22"/>
        <w:u w:color="000000"/>
        <w:lang w:val="en-US"/>
      </w:rPr>
    </w:lvl>
  </w:abstractNum>
  <w:abstractNum w:abstractNumId="13">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14">
    <w:multiLevelType w:val="multilevel"/>
    <w:styleLink w:val="List 4"/>
    <w:lvl w:ilvl="0">
      <w:start w:val="0"/>
      <w:numFmt w:val="bullet"/>
      <w:suff w:val="tab"/>
      <w:lvlText w:val="•"/>
      <w:lvlJc w:val="left"/>
      <w:pPr>
        <w:tabs>
          <w:tab w:val="num" w:pos="180"/>
          <w:tab w:val="clear" w:pos="0"/>
        </w:tabs>
        <w:ind w:left="180" w:hanging="180"/>
      </w:pPr>
      <w:rPr>
        <w:rFonts w:ascii="Arial" w:cs="Arial" w:hAnsi="Arial" w:eastAsia="Arial"/>
        <w:color w:val="000000"/>
        <w:position w:val="0"/>
        <w:sz w:val="24"/>
        <w:szCs w:val="24"/>
        <w:u w:color="000000"/>
        <w:lang w:val="en-US"/>
      </w:rPr>
    </w:lvl>
    <w:lvl w:ilvl="1">
      <w:start w:val="1"/>
      <w:numFmt w:val="bullet"/>
      <w:suff w:val="tab"/>
      <w:lvlText w:val="•"/>
      <w:lvlJc w:val="left"/>
      <w:pPr>
        <w:tabs>
          <w:tab w:val="num" w:pos="331"/>
          <w:tab w:val="clear" w:pos="0"/>
        </w:tabs>
        <w:ind w:left="331" w:hanging="151"/>
      </w:pPr>
      <w:rPr>
        <w:rFonts w:ascii="Arial" w:cs="Arial" w:hAnsi="Arial" w:eastAsia="Arial"/>
        <w:color w:val="000000"/>
        <w:position w:val="0"/>
        <w:sz w:val="22"/>
        <w:szCs w:val="22"/>
        <w:u w:color="000000"/>
        <w:lang w:val="en-US"/>
      </w:rPr>
    </w:lvl>
    <w:lvl w:ilvl="2">
      <w:start w:val="1"/>
      <w:numFmt w:val="bullet"/>
      <w:suff w:val="tab"/>
      <w:lvlText w:val="•"/>
      <w:lvlJc w:val="left"/>
      <w:pPr>
        <w:tabs>
          <w:tab w:val="num" w:pos="511"/>
          <w:tab w:val="clear" w:pos="0"/>
        </w:tabs>
        <w:ind w:left="511" w:hanging="151"/>
      </w:pPr>
      <w:rPr>
        <w:rFonts w:ascii="Arial" w:cs="Arial" w:hAnsi="Arial" w:eastAsia="Arial"/>
        <w:color w:val="000000"/>
        <w:position w:val="0"/>
        <w:sz w:val="22"/>
        <w:szCs w:val="22"/>
        <w:u w:color="000000"/>
        <w:lang w:val="en-US"/>
      </w:rPr>
    </w:lvl>
    <w:lvl w:ilvl="3">
      <w:start w:val="1"/>
      <w:numFmt w:val="bullet"/>
      <w:suff w:val="tab"/>
      <w:lvlText w:val="•"/>
      <w:lvlJc w:val="left"/>
      <w:pPr>
        <w:tabs>
          <w:tab w:val="num" w:pos="691"/>
          <w:tab w:val="clear" w:pos="0"/>
        </w:tabs>
        <w:ind w:left="691" w:hanging="151"/>
      </w:pPr>
      <w:rPr>
        <w:rFonts w:ascii="Arial" w:cs="Arial" w:hAnsi="Arial" w:eastAsia="Arial"/>
        <w:color w:val="000000"/>
        <w:position w:val="0"/>
        <w:sz w:val="22"/>
        <w:szCs w:val="22"/>
        <w:u w:color="000000"/>
        <w:lang w:val="en-US"/>
      </w:rPr>
    </w:lvl>
    <w:lvl w:ilvl="4">
      <w:start w:val="1"/>
      <w:numFmt w:val="bullet"/>
      <w:suff w:val="tab"/>
      <w:lvlText w:val="•"/>
      <w:lvlJc w:val="left"/>
      <w:pPr>
        <w:tabs>
          <w:tab w:val="num" w:pos="871"/>
          <w:tab w:val="clear" w:pos="0"/>
        </w:tabs>
        <w:ind w:left="871" w:hanging="151"/>
      </w:pPr>
      <w:rPr>
        <w:rFonts w:ascii="Arial" w:cs="Arial" w:hAnsi="Arial" w:eastAsia="Arial"/>
        <w:color w:val="000000"/>
        <w:position w:val="0"/>
        <w:sz w:val="22"/>
        <w:szCs w:val="22"/>
        <w:u w:color="000000"/>
        <w:lang w:val="en-US"/>
      </w:rPr>
    </w:lvl>
    <w:lvl w:ilvl="5">
      <w:start w:val="1"/>
      <w:numFmt w:val="bullet"/>
      <w:suff w:val="tab"/>
      <w:lvlText w:val="•"/>
      <w:lvlJc w:val="left"/>
      <w:pPr>
        <w:tabs>
          <w:tab w:val="num" w:pos="1051"/>
          <w:tab w:val="clear" w:pos="0"/>
        </w:tabs>
        <w:ind w:left="1051" w:hanging="151"/>
      </w:pPr>
      <w:rPr>
        <w:rFonts w:ascii="Arial" w:cs="Arial" w:hAnsi="Arial" w:eastAsia="Arial"/>
        <w:color w:val="000000"/>
        <w:position w:val="0"/>
        <w:sz w:val="22"/>
        <w:szCs w:val="22"/>
        <w:u w:color="000000"/>
        <w:lang w:val="en-US"/>
      </w:rPr>
    </w:lvl>
    <w:lvl w:ilvl="6">
      <w:start w:val="1"/>
      <w:numFmt w:val="bullet"/>
      <w:suff w:val="tab"/>
      <w:lvlText w:val="•"/>
      <w:lvlJc w:val="left"/>
      <w:pPr>
        <w:tabs>
          <w:tab w:val="num" w:pos="1231"/>
          <w:tab w:val="clear" w:pos="0"/>
        </w:tabs>
        <w:ind w:left="1231" w:hanging="151"/>
      </w:pPr>
      <w:rPr>
        <w:rFonts w:ascii="Arial" w:cs="Arial" w:hAnsi="Arial" w:eastAsia="Arial"/>
        <w:color w:val="000000"/>
        <w:position w:val="0"/>
        <w:sz w:val="22"/>
        <w:szCs w:val="22"/>
        <w:u w:color="000000"/>
        <w:lang w:val="en-US"/>
      </w:rPr>
    </w:lvl>
    <w:lvl w:ilvl="7">
      <w:start w:val="1"/>
      <w:numFmt w:val="bullet"/>
      <w:suff w:val="tab"/>
      <w:lvlText w:val="•"/>
      <w:lvlJc w:val="left"/>
      <w:pPr>
        <w:tabs>
          <w:tab w:val="num" w:pos="1411"/>
          <w:tab w:val="clear" w:pos="0"/>
        </w:tabs>
        <w:ind w:left="1411" w:hanging="151"/>
      </w:pPr>
      <w:rPr>
        <w:rFonts w:ascii="Arial" w:cs="Arial" w:hAnsi="Arial" w:eastAsia="Arial"/>
        <w:color w:val="000000"/>
        <w:position w:val="0"/>
        <w:sz w:val="22"/>
        <w:szCs w:val="22"/>
        <w:u w:color="000000"/>
        <w:lang w:val="en-US"/>
      </w:rPr>
    </w:lvl>
    <w:lvl w:ilvl="8">
      <w:start w:val="1"/>
      <w:numFmt w:val="bullet"/>
      <w:suff w:val="tab"/>
      <w:lvlText w:val="•"/>
      <w:lvlJc w:val="left"/>
      <w:pPr>
        <w:tabs>
          <w:tab w:val="num" w:pos="1591"/>
          <w:tab w:val="clear" w:pos="0"/>
        </w:tabs>
        <w:ind w:left="1591" w:hanging="151"/>
      </w:pPr>
      <w:rPr>
        <w:rFonts w:ascii="Arial" w:cs="Arial" w:hAnsi="Arial" w:eastAsia="Arial"/>
        <w:color w:val="000000"/>
        <w:position w:val="0"/>
        <w:sz w:val="22"/>
        <w:szCs w:val="22"/>
        <w:u w:color="000000"/>
        <w:lang w:val="en-US"/>
      </w:rPr>
    </w:lvl>
  </w:abstractNum>
  <w:abstractNum w:abstractNumId="15">
    <w:multiLevelType w:val="multilevel"/>
    <w:lvl w:ilvl="0">
      <w:start w:val="1"/>
      <w:numFmt w:val="bullet"/>
      <w:suff w:val="tab"/>
      <w:lvlText w:val="•"/>
      <w:lvlJc w:val="left"/>
      <w:pPr>
        <w:tabs>
          <w:tab w:val="num" w:pos="180"/>
          <w:tab w:val="clear" w:pos="0"/>
        </w:tabs>
        <w:ind w:left="180" w:hanging="180"/>
      </w:pPr>
      <w:rPr>
        <w:rFonts w:ascii="Arial" w:cs="Arial" w:hAnsi="Arial" w:eastAsia="Arial"/>
        <w:position w:val="0"/>
        <w:sz w:val="22"/>
        <w:szCs w:val="22"/>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16">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17">
    <w:multiLevelType w:val="multilevel"/>
    <w:styleLink w:val="List 5"/>
    <w:lvl w:ilvl="0">
      <w:start w:val="0"/>
      <w:numFmt w:val="bullet"/>
      <w:suff w:val="tab"/>
      <w:lvlText w:val="•"/>
      <w:lvlJc w:val="left"/>
      <w:pPr>
        <w:tabs>
          <w:tab w:val="num" w:pos="180"/>
          <w:tab w:val="clear" w:pos="0"/>
        </w:tabs>
        <w:ind w:left="180" w:hanging="180"/>
      </w:pPr>
      <w:rPr>
        <w:rFonts w:ascii="Arial" w:cs="Arial" w:hAnsi="Arial" w:eastAsia="Arial"/>
        <w:position w:val="0"/>
        <w:sz w:val="24"/>
        <w:szCs w:val="24"/>
        <w:lang w:val="en-US"/>
      </w:rPr>
    </w:lvl>
    <w:lvl w:ilvl="1">
      <w:start w:val="1"/>
      <w:numFmt w:val="bullet"/>
      <w:suff w:val="tab"/>
      <w:lvlText w:val="•"/>
      <w:lvlJc w:val="left"/>
      <w:pPr>
        <w:tabs>
          <w:tab w:val="num" w:pos="331"/>
          <w:tab w:val="clear" w:pos="0"/>
        </w:tabs>
        <w:ind w:left="331" w:hanging="151"/>
      </w:pPr>
      <w:rPr>
        <w:rFonts w:ascii="Arial" w:cs="Arial" w:hAnsi="Arial" w:eastAsia="Arial"/>
        <w:position w:val="0"/>
        <w:sz w:val="22"/>
        <w:szCs w:val="22"/>
        <w:lang w:val="en-US"/>
      </w:rPr>
    </w:lvl>
    <w:lvl w:ilvl="2">
      <w:start w:val="1"/>
      <w:numFmt w:val="bullet"/>
      <w:suff w:val="tab"/>
      <w:lvlText w:val="•"/>
      <w:lvlJc w:val="left"/>
      <w:pPr>
        <w:tabs>
          <w:tab w:val="num" w:pos="511"/>
          <w:tab w:val="clear" w:pos="0"/>
        </w:tabs>
        <w:ind w:left="511" w:hanging="151"/>
      </w:pPr>
      <w:rPr>
        <w:rFonts w:ascii="Arial" w:cs="Arial" w:hAnsi="Arial" w:eastAsia="Arial"/>
        <w:position w:val="0"/>
        <w:sz w:val="22"/>
        <w:szCs w:val="22"/>
        <w:lang w:val="en-US"/>
      </w:rPr>
    </w:lvl>
    <w:lvl w:ilvl="3">
      <w:start w:val="1"/>
      <w:numFmt w:val="bullet"/>
      <w:suff w:val="tab"/>
      <w:lvlText w:val="•"/>
      <w:lvlJc w:val="left"/>
      <w:pPr>
        <w:tabs>
          <w:tab w:val="num" w:pos="691"/>
          <w:tab w:val="clear" w:pos="0"/>
        </w:tabs>
        <w:ind w:left="691" w:hanging="151"/>
      </w:pPr>
      <w:rPr>
        <w:rFonts w:ascii="Arial" w:cs="Arial" w:hAnsi="Arial" w:eastAsia="Arial"/>
        <w:position w:val="0"/>
        <w:sz w:val="22"/>
        <w:szCs w:val="22"/>
        <w:lang w:val="en-US"/>
      </w:rPr>
    </w:lvl>
    <w:lvl w:ilvl="4">
      <w:start w:val="1"/>
      <w:numFmt w:val="bullet"/>
      <w:suff w:val="tab"/>
      <w:lvlText w:val="•"/>
      <w:lvlJc w:val="left"/>
      <w:pPr>
        <w:tabs>
          <w:tab w:val="num" w:pos="871"/>
          <w:tab w:val="clear" w:pos="0"/>
        </w:tabs>
        <w:ind w:left="871" w:hanging="151"/>
      </w:pPr>
      <w:rPr>
        <w:rFonts w:ascii="Arial" w:cs="Arial" w:hAnsi="Arial" w:eastAsia="Arial"/>
        <w:position w:val="0"/>
        <w:sz w:val="22"/>
        <w:szCs w:val="22"/>
        <w:lang w:val="en-US"/>
      </w:rPr>
    </w:lvl>
    <w:lvl w:ilvl="5">
      <w:start w:val="1"/>
      <w:numFmt w:val="bullet"/>
      <w:suff w:val="tab"/>
      <w:lvlText w:val="•"/>
      <w:lvlJc w:val="left"/>
      <w:pPr>
        <w:tabs>
          <w:tab w:val="num" w:pos="1051"/>
          <w:tab w:val="clear" w:pos="0"/>
        </w:tabs>
        <w:ind w:left="1051" w:hanging="151"/>
      </w:pPr>
      <w:rPr>
        <w:rFonts w:ascii="Arial" w:cs="Arial" w:hAnsi="Arial" w:eastAsia="Arial"/>
        <w:position w:val="0"/>
        <w:sz w:val="22"/>
        <w:szCs w:val="22"/>
        <w:lang w:val="en-US"/>
      </w:rPr>
    </w:lvl>
    <w:lvl w:ilvl="6">
      <w:start w:val="1"/>
      <w:numFmt w:val="bullet"/>
      <w:suff w:val="tab"/>
      <w:lvlText w:val="•"/>
      <w:lvlJc w:val="left"/>
      <w:pPr>
        <w:tabs>
          <w:tab w:val="num" w:pos="1231"/>
          <w:tab w:val="clear" w:pos="0"/>
        </w:tabs>
        <w:ind w:left="1231" w:hanging="151"/>
      </w:pPr>
      <w:rPr>
        <w:rFonts w:ascii="Arial" w:cs="Arial" w:hAnsi="Arial" w:eastAsia="Arial"/>
        <w:position w:val="0"/>
        <w:sz w:val="22"/>
        <w:szCs w:val="22"/>
        <w:lang w:val="en-US"/>
      </w:rPr>
    </w:lvl>
    <w:lvl w:ilvl="7">
      <w:start w:val="1"/>
      <w:numFmt w:val="bullet"/>
      <w:suff w:val="tab"/>
      <w:lvlText w:val="•"/>
      <w:lvlJc w:val="left"/>
      <w:pPr>
        <w:tabs>
          <w:tab w:val="num" w:pos="1411"/>
          <w:tab w:val="clear" w:pos="0"/>
        </w:tabs>
        <w:ind w:left="1411" w:hanging="151"/>
      </w:pPr>
      <w:rPr>
        <w:rFonts w:ascii="Arial" w:cs="Arial" w:hAnsi="Arial" w:eastAsia="Arial"/>
        <w:position w:val="0"/>
        <w:sz w:val="22"/>
        <w:szCs w:val="22"/>
        <w:lang w:val="en-US"/>
      </w:rPr>
    </w:lvl>
    <w:lvl w:ilvl="8">
      <w:start w:val="1"/>
      <w:numFmt w:val="bullet"/>
      <w:suff w:val="tab"/>
      <w:lvlText w:val="•"/>
      <w:lvlJc w:val="left"/>
      <w:pPr>
        <w:tabs>
          <w:tab w:val="num" w:pos="1591"/>
          <w:tab w:val="clear" w:pos="0"/>
        </w:tabs>
        <w:ind w:left="1591" w:hanging="151"/>
      </w:pPr>
      <w:rPr>
        <w:rFonts w:ascii="Arial" w:cs="Arial" w:hAnsi="Arial" w:eastAsia="Arial"/>
        <w:position w:val="0"/>
        <w:sz w:val="22"/>
        <w:szCs w:val="22"/>
        <w:lang w:val="en-US"/>
      </w:rPr>
    </w:lvl>
  </w:abstractNum>
  <w:abstractNum w:abstractNumId="18">
    <w:multiLevelType w:val="multilevel"/>
    <w:lvl w:ilvl="0">
      <w:start w:val="1"/>
      <w:numFmt w:val="decimal"/>
      <w:suff w:val="tab"/>
      <w:lvlText w:val="%1."/>
      <w:lvlJc w:val="left"/>
      <w:pPr>
        <w:tabs>
          <w:tab w:val="num" w:pos="393"/>
          <w:tab w:val="clear" w:pos="0"/>
        </w:tabs>
        <w:ind w:left="393" w:hanging="393"/>
      </w:pPr>
      <w:rPr>
        <w:rFonts w:ascii="Arial" w:cs="Arial" w:hAnsi="Arial" w:eastAsia="Arial"/>
        <w:position w:val="0"/>
        <w:sz w:val="22"/>
        <w:szCs w:val="22"/>
        <w:lang w:val="en-US"/>
      </w:rPr>
    </w:lvl>
    <w:lvl w:ilvl="1">
      <w:start w:val="1"/>
      <w:numFmt w:val="decimal"/>
      <w:suff w:val="tab"/>
      <w:lvlText w:val="%2."/>
      <w:lvlJc w:val="left"/>
      <w:pPr>
        <w:tabs>
          <w:tab w:val="num" w:pos="95"/>
          <w:tab w:val="clear" w:pos="0"/>
        </w:tabs>
      </w:pPr>
      <w:rPr>
        <w:rFonts w:ascii="Arial" w:cs="Arial" w:hAnsi="Arial" w:eastAsia="Arial"/>
        <w:position w:val="0"/>
        <w:sz w:val="22"/>
        <w:szCs w:val="22"/>
        <w:lang w:val="en-US"/>
      </w:rPr>
    </w:lvl>
    <w:lvl w:ilvl="2">
      <w:start w:val="1"/>
      <w:numFmt w:val="decimal"/>
      <w:suff w:val="tab"/>
      <w:lvlText w:val="%3."/>
      <w:lvlJc w:val="left"/>
      <w:pPr>
        <w:tabs>
          <w:tab w:val="num" w:pos="95"/>
          <w:tab w:val="clear" w:pos="0"/>
        </w:tabs>
      </w:pPr>
      <w:rPr>
        <w:rFonts w:ascii="Arial" w:cs="Arial" w:hAnsi="Arial" w:eastAsia="Arial"/>
        <w:position w:val="0"/>
        <w:sz w:val="22"/>
        <w:szCs w:val="22"/>
        <w:lang w:val="en-US"/>
      </w:rPr>
    </w:lvl>
    <w:lvl w:ilvl="3">
      <w:start w:val="1"/>
      <w:numFmt w:val="decimal"/>
      <w:suff w:val="tab"/>
      <w:lvlText w:val="%4."/>
      <w:lvlJc w:val="left"/>
      <w:pPr>
        <w:tabs>
          <w:tab w:val="num" w:pos="95"/>
          <w:tab w:val="clear" w:pos="0"/>
        </w:tabs>
      </w:pPr>
      <w:rPr>
        <w:rFonts w:ascii="Arial" w:cs="Arial" w:hAnsi="Arial" w:eastAsia="Arial"/>
        <w:position w:val="0"/>
        <w:sz w:val="22"/>
        <w:szCs w:val="22"/>
        <w:lang w:val="en-US"/>
      </w:rPr>
    </w:lvl>
    <w:lvl w:ilvl="4">
      <w:start w:val="1"/>
      <w:numFmt w:val="decimal"/>
      <w:suff w:val="tab"/>
      <w:lvlText w:val="%5."/>
      <w:lvlJc w:val="left"/>
      <w:pPr>
        <w:tabs>
          <w:tab w:val="num" w:pos="95"/>
          <w:tab w:val="clear" w:pos="0"/>
        </w:tabs>
      </w:pPr>
      <w:rPr>
        <w:rFonts w:ascii="Arial" w:cs="Arial" w:hAnsi="Arial" w:eastAsia="Arial"/>
        <w:position w:val="0"/>
        <w:sz w:val="22"/>
        <w:szCs w:val="22"/>
        <w:lang w:val="en-US"/>
      </w:rPr>
    </w:lvl>
    <w:lvl w:ilvl="5">
      <w:start w:val="1"/>
      <w:numFmt w:val="decimal"/>
      <w:suff w:val="tab"/>
      <w:lvlText w:val="%6."/>
      <w:lvlJc w:val="left"/>
      <w:pPr>
        <w:tabs>
          <w:tab w:val="num" w:pos="95"/>
          <w:tab w:val="clear" w:pos="0"/>
        </w:tabs>
      </w:pPr>
      <w:rPr>
        <w:rFonts w:ascii="Arial" w:cs="Arial" w:hAnsi="Arial" w:eastAsia="Arial"/>
        <w:position w:val="0"/>
        <w:sz w:val="22"/>
        <w:szCs w:val="22"/>
        <w:lang w:val="en-US"/>
      </w:rPr>
    </w:lvl>
    <w:lvl w:ilvl="6">
      <w:start w:val="1"/>
      <w:numFmt w:val="decimal"/>
      <w:suff w:val="tab"/>
      <w:lvlText w:val="%7."/>
      <w:lvlJc w:val="left"/>
      <w:pPr>
        <w:tabs>
          <w:tab w:val="num" w:pos="95"/>
          <w:tab w:val="clear" w:pos="0"/>
        </w:tabs>
      </w:pPr>
      <w:rPr>
        <w:rFonts w:ascii="Arial" w:cs="Arial" w:hAnsi="Arial" w:eastAsia="Arial"/>
        <w:position w:val="0"/>
        <w:sz w:val="22"/>
        <w:szCs w:val="22"/>
        <w:lang w:val="en-US"/>
      </w:rPr>
    </w:lvl>
    <w:lvl w:ilvl="7">
      <w:start w:val="1"/>
      <w:numFmt w:val="decimal"/>
      <w:suff w:val="tab"/>
      <w:lvlText w:val="%8."/>
      <w:lvlJc w:val="left"/>
      <w:pPr>
        <w:tabs>
          <w:tab w:val="num" w:pos="95"/>
          <w:tab w:val="clear" w:pos="0"/>
        </w:tabs>
      </w:pPr>
      <w:rPr>
        <w:rFonts w:ascii="Arial" w:cs="Arial" w:hAnsi="Arial" w:eastAsia="Arial"/>
        <w:position w:val="0"/>
        <w:sz w:val="22"/>
        <w:szCs w:val="22"/>
        <w:lang w:val="en-US"/>
      </w:rPr>
    </w:lvl>
    <w:lvl w:ilvl="8">
      <w:start w:val="1"/>
      <w:numFmt w:val="decimal"/>
      <w:suff w:val="tab"/>
      <w:lvlText w:val="%9."/>
      <w:lvlJc w:val="left"/>
      <w:pPr>
        <w:tabs>
          <w:tab w:val="num" w:pos="95"/>
          <w:tab w:val="clear" w:pos="0"/>
        </w:tabs>
      </w:pPr>
      <w:rPr>
        <w:rFonts w:ascii="Arial" w:cs="Arial" w:hAnsi="Arial" w:eastAsia="Arial"/>
        <w:position w:val="0"/>
        <w:sz w:val="22"/>
        <w:szCs w:val="22"/>
        <w:lang w:val="en-US"/>
      </w:rPr>
    </w:lvl>
  </w:abstractNum>
  <w:abstractNum w:abstractNumId="19">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0">
    <w:multiLevelType w:val="multilevel"/>
    <w:styleLink w:val="List 6"/>
    <w:lvl w:ilvl="0">
      <w:start w:val="1"/>
      <w:numFmt w:val="decimal"/>
      <w:suff w:val="tab"/>
      <w:lvlText w:val="%1."/>
      <w:lvlJc w:val="left"/>
      <w:pPr>
        <w:tabs>
          <w:tab w:val="num" w:pos="393"/>
          <w:tab w:val="clear" w:pos="0"/>
        </w:tabs>
        <w:ind w:left="393" w:hanging="393"/>
      </w:pPr>
      <w:rPr>
        <w:rFonts w:ascii="Arial" w:cs="Arial" w:hAnsi="Arial" w:eastAsia="Arial"/>
        <w:position w:val="0"/>
        <w:sz w:val="22"/>
        <w:szCs w:val="22"/>
        <w:lang w:val="en-US"/>
      </w:rPr>
    </w:lvl>
    <w:lvl w:ilvl="1">
      <w:start w:val="1"/>
      <w:numFmt w:val="decimal"/>
      <w:suff w:val="tab"/>
      <w:lvlText w:val="%2."/>
      <w:lvlJc w:val="left"/>
      <w:pPr>
        <w:tabs>
          <w:tab w:val="num" w:pos="95"/>
          <w:tab w:val="clear" w:pos="0"/>
        </w:tabs>
      </w:pPr>
      <w:rPr>
        <w:rFonts w:ascii="Arial" w:cs="Arial" w:hAnsi="Arial" w:eastAsia="Arial"/>
        <w:position w:val="0"/>
        <w:sz w:val="22"/>
        <w:szCs w:val="22"/>
        <w:lang w:val="en-US"/>
      </w:rPr>
    </w:lvl>
    <w:lvl w:ilvl="2">
      <w:start w:val="1"/>
      <w:numFmt w:val="decimal"/>
      <w:suff w:val="tab"/>
      <w:lvlText w:val="%3."/>
      <w:lvlJc w:val="left"/>
      <w:pPr>
        <w:tabs>
          <w:tab w:val="num" w:pos="95"/>
          <w:tab w:val="clear" w:pos="0"/>
        </w:tabs>
      </w:pPr>
      <w:rPr>
        <w:rFonts w:ascii="Arial" w:cs="Arial" w:hAnsi="Arial" w:eastAsia="Arial"/>
        <w:position w:val="0"/>
        <w:sz w:val="22"/>
        <w:szCs w:val="22"/>
        <w:lang w:val="en-US"/>
      </w:rPr>
    </w:lvl>
    <w:lvl w:ilvl="3">
      <w:start w:val="1"/>
      <w:numFmt w:val="decimal"/>
      <w:suff w:val="tab"/>
      <w:lvlText w:val="%4."/>
      <w:lvlJc w:val="left"/>
      <w:pPr>
        <w:tabs>
          <w:tab w:val="num" w:pos="95"/>
          <w:tab w:val="clear" w:pos="0"/>
        </w:tabs>
      </w:pPr>
      <w:rPr>
        <w:rFonts w:ascii="Arial" w:cs="Arial" w:hAnsi="Arial" w:eastAsia="Arial"/>
        <w:position w:val="0"/>
        <w:sz w:val="22"/>
        <w:szCs w:val="22"/>
        <w:lang w:val="en-US"/>
      </w:rPr>
    </w:lvl>
    <w:lvl w:ilvl="4">
      <w:start w:val="1"/>
      <w:numFmt w:val="decimal"/>
      <w:suff w:val="tab"/>
      <w:lvlText w:val="%5."/>
      <w:lvlJc w:val="left"/>
      <w:pPr>
        <w:tabs>
          <w:tab w:val="num" w:pos="95"/>
          <w:tab w:val="clear" w:pos="0"/>
        </w:tabs>
      </w:pPr>
      <w:rPr>
        <w:rFonts w:ascii="Arial" w:cs="Arial" w:hAnsi="Arial" w:eastAsia="Arial"/>
        <w:position w:val="0"/>
        <w:sz w:val="22"/>
        <w:szCs w:val="22"/>
        <w:lang w:val="en-US"/>
      </w:rPr>
    </w:lvl>
    <w:lvl w:ilvl="5">
      <w:start w:val="1"/>
      <w:numFmt w:val="decimal"/>
      <w:suff w:val="tab"/>
      <w:lvlText w:val="%6."/>
      <w:lvlJc w:val="left"/>
      <w:pPr>
        <w:tabs>
          <w:tab w:val="num" w:pos="95"/>
          <w:tab w:val="clear" w:pos="0"/>
        </w:tabs>
      </w:pPr>
      <w:rPr>
        <w:rFonts w:ascii="Arial" w:cs="Arial" w:hAnsi="Arial" w:eastAsia="Arial"/>
        <w:position w:val="0"/>
        <w:sz w:val="22"/>
        <w:szCs w:val="22"/>
        <w:lang w:val="en-US"/>
      </w:rPr>
    </w:lvl>
    <w:lvl w:ilvl="6">
      <w:start w:val="1"/>
      <w:numFmt w:val="decimal"/>
      <w:suff w:val="tab"/>
      <w:lvlText w:val="%7."/>
      <w:lvlJc w:val="left"/>
      <w:pPr>
        <w:tabs>
          <w:tab w:val="num" w:pos="95"/>
          <w:tab w:val="clear" w:pos="0"/>
        </w:tabs>
      </w:pPr>
      <w:rPr>
        <w:rFonts w:ascii="Arial" w:cs="Arial" w:hAnsi="Arial" w:eastAsia="Arial"/>
        <w:position w:val="0"/>
        <w:sz w:val="22"/>
        <w:szCs w:val="22"/>
        <w:lang w:val="en-US"/>
      </w:rPr>
    </w:lvl>
    <w:lvl w:ilvl="7">
      <w:start w:val="1"/>
      <w:numFmt w:val="decimal"/>
      <w:suff w:val="tab"/>
      <w:lvlText w:val="%8."/>
      <w:lvlJc w:val="left"/>
      <w:pPr>
        <w:tabs>
          <w:tab w:val="num" w:pos="95"/>
          <w:tab w:val="clear" w:pos="0"/>
        </w:tabs>
      </w:pPr>
      <w:rPr>
        <w:rFonts w:ascii="Arial" w:cs="Arial" w:hAnsi="Arial" w:eastAsia="Arial"/>
        <w:position w:val="0"/>
        <w:sz w:val="22"/>
        <w:szCs w:val="22"/>
        <w:lang w:val="en-US"/>
      </w:rPr>
    </w:lvl>
    <w:lvl w:ilvl="8">
      <w:start w:val="1"/>
      <w:numFmt w:val="decimal"/>
      <w:suff w:val="tab"/>
      <w:lvlText w:val="%9."/>
      <w:lvlJc w:val="left"/>
      <w:pPr>
        <w:tabs>
          <w:tab w:val="num" w:pos="95"/>
          <w:tab w:val="clear" w:pos="0"/>
        </w:tabs>
      </w:pPr>
      <w:rPr>
        <w:rFonts w:ascii="Arial" w:cs="Arial" w:hAnsi="Arial" w:eastAsia="Arial"/>
        <w:position w:val="0"/>
        <w:sz w:val="22"/>
        <w:szCs w:val="22"/>
        <w:lang w:val="en-US"/>
      </w:rPr>
    </w:lvl>
  </w:abstractNum>
  <w:abstractNum w:abstractNumId="21">
    <w:multiLevelType w:val="multilevel"/>
    <w:lvl w:ilvl="0">
      <w:start w:val="1"/>
      <w:numFmt w:val="bullet"/>
      <w:suff w:val="tab"/>
      <w:lvlText w:val="-"/>
      <w:lvlJc w:val="left"/>
      <w:pPr>
        <w:tabs>
          <w:tab w:val="num" w:pos="204"/>
          <w:tab w:val="clear" w:pos="0"/>
        </w:tabs>
        <w:ind w:left="204" w:hanging="204"/>
      </w:pPr>
      <w:rPr>
        <w:rFonts w:ascii="Arial" w:cs="Arial" w:hAnsi="Arial" w:eastAsia="Arial"/>
        <w:position w:val="0"/>
        <w:sz w:val="22"/>
        <w:szCs w:val="22"/>
        <w:rtl w:val="0"/>
      </w:rPr>
    </w:lvl>
    <w:lvl w:ilvl="1">
      <w:start w:val="1"/>
      <w:numFmt w:val="bullet"/>
      <w:suff w:val="tab"/>
      <w:lvlText w:val="-"/>
      <w:lvlJc w:val="left"/>
      <w:pPr>
        <w:tabs>
          <w:tab w:val="num" w:pos="95"/>
          <w:tab w:val="clear" w:pos="0"/>
        </w:tabs>
      </w:pPr>
      <w:rPr>
        <w:rFonts w:ascii="Arial" w:cs="Arial" w:hAnsi="Arial" w:eastAsia="Arial"/>
        <w:position w:val="0"/>
        <w:sz w:val="22"/>
        <w:szCs w:val="22"/>
        <w:rtl w:val="0"/>
      </w:rPr>
    </w:lvl>
    <w:lvl w:ilvl="2">
      <w:start w:val="1"/>
      <w:numFmt w:val="bullet"/>
      <w:suff w:val="tab"/>
      <w:lvlText w:val="-"/>
      <w:lvlJc w:val="left"/>
      <w:pPr>
        <w:tabs>
          <w:tab w:val="num" w:pos="95"/>
          <w:tab w:val="clear" w:pos="0"/>
        </w:tabs>
      </w:pPr>
      <w:rPr>
        <w:rFonts w:ascii="Arial" w:cs="Arial" w:hAnsi="Arial" w:eastAsia="Arial"/>
        <w:position w:val="0"/>
        <w:sz w:val="22"/>
        <w:szCs w:val="22"/>
        <w:rtl w:val="0"/>
      </w:rPr>
    </w:lvl>
    <w:lvl w:ilvl="3">
      <w:start w:val="1"/>
      <w:numFmt w:val="bullet"/>
      <w:suff w:val="tab"/>
      <w:lvlText w:val="-"/>
      <w:lvlJc w:val="left"/>
      <w:pPr>
        <w:tabs>
          <w:tab w:val="num" w:pos="95"/>
          <w:tab w:val="clear" w:pos="0"/>
        </w:tabs>
      </w:pPr>
      <w:rPr>
        <w:rFonts w:ascii="Arial" w:cs="Arial" w:hAnsi="Arial" w:eastAsia="Arial"/>
        <w:position w:val="0"/>
        <w:sz w:val="22"/>
        <w:szCs w:val="22"/>
        <w:rtl w:val="0"/>
      </w:rPr>
    </w:lvl>
    <w:lvl w:ilvl="4">
      <w:start w:val="1"/>
      <w:numFmt w:val="bullet"/>
      <w:suff w:val="tab"/>
      <w:lvlText w:val="-"/>
      <w:lvlJc w:val="left"/>
      <w:pPr>
        <w:tabs>
          <w:tab w:val="num" w:pos="95"/>
          <w:tab w:val="clear" w:pos="0"/>
        </w:tabs>
      </w:pPr>
      <w:rPr>
        <w:rFonts w:ascii="Arial" w:cs="Arial" w:hAnsi="Arial" w:eastAsia="Arial"/>
        <w:position w:val="0"/>
        <w:sz w:val="22"/>
        <w:szCs w:val="22"/>
        <w:rtl w:val="0"/>
      </w:rPr>
    </w:lvl>
    <w:lvl w:ilvl="5">
      <w:start w:val="1"/>
      <w:numFmt w:val="bullet"/>
      <w:suff w:val="tab"/>
      <w:lvlText w:val="-"/>
      <w:lvlJc w:val="left"/>
      <w:pPr>
        <w:tabs>
          <w:tab w:val="num" w:pos="95"/>
          <w:tab w:val="clear" w:pos="0"/>
        </w:tabs>
      </w:pPr>
      <w:rPr>
        <w:rFonts w:ascii="Arial" w:cs="Arial" w:hAnsi="Arial" w:eastAsia="Arial"/>
        <w:position w:val="0"/>
        <w:sz w:val="22"/>
        <w:szCs w:val="22"/>
        <w:rtl w:val="0"/>
      </w:rPr>
    </w:lvl>
    <w:lvl w:ilvl="6">
      <w:start w:val="1"/>
      <w:numFmt w:val="bullet"/>
      <w:suff w:val="tab"/>
      <w:lvlText w:val="-"/>
      <w:lvlJc w:val="left"/>
      <w:pPr>
        <w:tabs>
          <w:tab w:val="num" w:pos="95"/>
          <w:tab w:val="clear" w:pos="0"/>
        </w:tabs>
      </w:pPr>
      <w:rPr>
        <w:rFonts w:ascii="Arial" w:cs="Arial" w:hAnsi="Arial" w:eastAsia="Arial"/>
        <w:position w:val="0"/>
        <w:sz w:val="22"/>
        <w:szCs w:val="22"/>
        <w:rtl w:val="0"/>
      </w:rPr>
    </w:lvl>
    <w:lvl w:ilvl="7">
      <w:start w:val="1"/>
      <w:numFmt w:val="bullet"/>
      <w:suff w:val="tab"/>
      <w:lvlText w:val="-"/>
      <w:lvlJc w:val="left"/>
      <w:pPr>
        <w:tabs>
          <w:tab w:val="num" w:pos="95"/>
          <w:tab w:val="clear" w:pos="0"/>
        </w:tabs>
      </w:pPr>
      <w:rPr>
        <w:rFonts w:ascii="Arial" w:cs="Arial" w:hAnsi="Arial" w:eastAsia="Arial"/>
        <w:position w:val="0"/>
        <w:sz w:val="22"/>
        <w:szCs w:val="22"/>
        <w:rtl w:val="0"/>
      </w:rPr>
    </w:lvl>
    <w:lvl w:ilvl="8">
      <w:start w:val="1"/>
      <w:numFmt w:val="bullet"/>
      <w:suff w:val="tab"/>
      <w:lvlText w:val="-"/>
      <w:lvlJc w:val="left"/>
      <w:pPr>
        <w:tabs>
          <w:tab w:val="num" w:pos="95"/>
          <w:tab w:val="clear" w:pos="0"/>
        </w:tabs>
      </w:pPr>
      <w:rPr>
        <w:rFonts w:ascii="Arial" w:cs="Arial" w:hAnsi="Arial" w:eastAsia="Arial"/>
        <w:position w:val="0"/>
        <w:sz w:val="22"/>
        <w:szCs w:val="22"/>
        <w:rtl w:val="0"/>
      </w:rPr>
    </w:lvl>
  </w:abstractNum>
  <w:abstractNum w:abstractNumId="22">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3">
    <w:multiLevelType w:val="multilevel"/>
    <w:styleLink w:val="List 7"/>
    <w:lvl w:ilvl="0">
      <w:start w:val="0"/>
      <w:numFmt w:val="bullet"/>
      <w:suff w:val="tab"/>
      <w:lvlText w:val="-"/>
      <w:lvlJc w:val="left"/>
      <w:pPr>
        <w:tabs>
          <w:tab w:val="num" w:pos="204"/>
          <w:tab w:val="clear" w:pos="0"/>
        </w:tabs>
        <w:ind w:left="204" w:hanging="204"/>
      </w:pPr>
      <w:rPr>
        <w:rFonts w:ascii="Arial" w:cs="Arial" w:hAnsi="Arial" w:eastAsia="Arial"/>
        <w:position w:val="0"/>
        <w:sz w:val="24"/>
        <w:szCs w:val="24"/>
        <w:rtl w:val="0"/>
      </w:rPr>
    </w:lvl>
    <w:lvl w:ilvl="1">
      <w:start w:val="1"/>
      <w:numFmt w:val="bullet"/>
      <w:suff w:val="tab"/>
      <w:lvlText w:val="-"/>
      <w:lvlJc w:val="left"/>
      <w:pPr>
        <w:tabs>
          <w:tab w:val="num" w:pos="95"/>
          <w:tab w:val="clear" w:pos="0"/>
        </w:tabs>
      </w:pPr>
      <w:rPr>
        <w:rFonts w:ascii="Arial" w:cs="Arial" w:hAnsi="Arial" w:eastAsia="Arial"/>
        <w:position w:val="0"/>
        <w:sz w:val="22"/>
        <w:szCs w:val="22"/>
        <w:rtl w:val="0"/>
      </w:rPr>
    </w:lvl>
    <w:lvl w:ilvl="2">
      <w:start w:val="1"/>
      <w:numFmt w:val="bullet"/>
      <w:suff w:val="tab"/>
      <w:lvlText w:val="-"/>
      <w:lvlJc w:val="left"/>
      <w:pPr>
        <w:tabs>
          <w:tab w:val="num" w:pos="95"/>
          <w:tab w:val="clear" w:pos="0"/>
        </w:tabs>
      </w:pPr>
      <w:rPr>
        <w:rFonts w:ascii="Arial" w:cs="Arial" w:hAnsi="Arial" w:eastAsia="Arial"/>
        <w:position w:val="0"/>
        <w:sz w:val="22"/>
        <w:szCs w:val="22"/>
        <w:rtl w:val="0"/>
      </w:rPr>
    </w:lvl>
    <w:lvl w:ilvl="3">
      <w:start w:val="1"/>
      <w:numFmt w:val="bullet"/>
      <w:suff w:val="tab"/>
      <w:lvlText w:val="-"/>
      <w:lvlJc w:val="left"/>
      <w:pPr>
        <w:tabs>
          <w:tab w:val="num" w:pos="95"/>
          <w:tab w:val="clear" w:pos="0"/>
        </w:tabs>
      </w:pPr>
      <w:rPr>
        <w:rFonts w:ascii="Arial" w:cs="Arial" w:hAnsi="Arial" w:eastAsia="Arial"/>
        <w:position w:val="0"/>
        <w:sz w:val="22"/>
        <w:szCs w:val="22"/>
        <w:rtl w:val="0"/>
      </w:rPr>
    </w:lvl>
    <w:lvl w:ilvl="4">
      <w:start w:val="1"/>
      <w:numFmt w:val="bullet"/>
      <w:suff w:val="tab"/>
      <w:lvlText w:val="-"/>
      <w:lvlJc w:val="left"/>
      <w:pPr>
        <w:tabs>
          <w:tab w:val="num" w:pos="95"/>
          <w:tab w:val="clear" w:pos="0"/>
        </w:tabs>
      </w:pPr>
      <w:rPr>
        <w:rFonts w:ascii="Arial" w:cs="Arial" w:hAnsi="Arial" w:eastAsia="Arial"/>
        <w:position w:val="0"/>
        <w:sz w:val="22"/>
        <w:szCs w:val="22"/>
        <w:rtl w:val="0"/>
      </w:rPr>
    </w:lvl>
    <w:lvl w:ilvl="5">
      <w:start w:val="1"/>
      <w:numFmt w:val="bullet"/>
      <w:suff w:val="tab"/>
      <w:lvlText w:val="-"/>
      <w:lvlJc w:val="left"/>
      <w:pPr>
        <w:tabs>
          <w:tab w:val="num" w:pos="95"/>
          <w:tab w:val="clear" w:pos="0"/>
        </w:tabs>
      </w:pPr>
      <w:rPr>
        <w:rFonts w:ascii="Arial" w:cs="Arial" w:hAnsi="Arial" w:eastAsia="Arial"/>
        <w:position w:val="0"/>
        <w:sz w:val="22"/>
        <w:szCs w:val="22"/>
        <w:rtl w:val="0"/>
      </w:rPr>
    </w:lvl>
    <w:lvl w:ilvl="6">
      <w:start w:val="1"/>
      <w:numFmt w:val="bullet"/>
      <w:suff w:val="tab"/>
      <w:lvlText w:val="-"/>
      <w:lvlJc w:val="left"/>
      <w:pPr>
        <w:tabs>
          <w:tab w:val="num" w:pos="95"/>
          <w:tab w:val="clear" w:pos="0"/>
        </w:tabs>
      </w:pPr>
      <w:rPr>
        <w:rFonts w:ascii="Arial" w:cs="Arial" w:hAnsi="Arial" w:eastAsia="Arial"/>
        <w:position w:val="0"/>
        <w:sz w:val="22"/>
        <w:szCs w:val="22"/>
        <w:rtl w:val="0"/>
      </w:rPr>
    </w:lvl>
    <w:lvl w:ilvl="7">
      <w:start w:val="1"/>
      <w:numFmt w:val="bullet"/>
      <w:suff w:val="tab"/>
      <w:lvlText w:val="-"/>
      <w:lvlJc w:val="left"/>
      <w:pPr>
        <w:tabs>
          <w:tab w:val="num" w:pos="95"/>
          <w:tab w:val="clear" w:pos="0"/>
        </w:tabs>
      </w:pPr>
      <w:rPr>
        <w:rFonts w:ascii="Arial" w:cs="Arial" w:hAnsi="Arial" w:eastAsia="Arial"/>
        <w:position w:val="0"/>
        <w:sz w:val="22"/>
        <w:szCs w:val="22"/>
        <w:rtl w:val="0"/>
      </w:rPr>
    </w:lvl>
    <w:lvl w:ilvl="8">
      <w:start w:val="1"/>
      <w:numFmt w:val="bullet"/>
      <w:suff w:val="tab"/>
      <w:lvlText w:val="-"/>
      <w:lvlJc w:val="left"/>
      <w:pPr>
        <w:tabs>
          <w:tab w:val="num" w:pos="95"/>
          <w:tab w:val="clear" w:pos="0"/>
        </w:tabs>
      </w:pPr>
      <w:rPr>
        <w:rFonts w:ascii="Arial" w:cs="Arial" w:hAnsi="Arial" w:eastAsia="Arial"/>
        <w:position w:val="0"/>
        <w:sz w:val="22"/>
        <w:szCs w:val="22"/>
        <w:rtl w:val="0"/>
      </w:rPr>
    </w:lvl>
  </w:abstractNum>
  <w:abstractNum w:abstractNumId="24">
    <w:multiLevelType w:val="multilevel"/>
    <w:lvl w:ilvl="0">
      <w:start w:val="1"/>
      <w:numFmt w:val="bullet"/>
      <w:suff w:val="tab"/>
      <w:lvlText w:val="-"/>
      <w:lvlJc w:val="left"/>
      <w:pPr>
        <w:tabs>
          <w:tab w:val="num" w:pos="204"/>
          <w:tab w:val="clear" w:pos="0"/>
        </w:tabs>
        <w:ind w:left="204" w:hanging="204"/>
      </w:pPr>
      <w:rPr>
        <w:rFonts w:ascii="Arial" w:cs="Arial" w:hAnsi="Arial" w:eastAsia="Arial"/>
        <w:position w:val="0"/>
        <w:sz w:val="22"/>
        <w:szCs w:val="22"/>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abstractNum w:abstractNumId="25">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6">
    <w:multiLevelType w:val="multilevel"/>
    <w:styleLink w:val="List 8"/>
    <w:lvl w:ilvl="0">
      <w:start w:val="0"/>
      <w:numFmt w:val="bullet"/>
      <w:suff w:val="tab"/>
      <w:lvlText w:val="-"/>
      <w:lvlJc w:val="left"/>
      <w:pPr>
        <w:tabs>
          <w:tab w:val="num" w:pos="204"/>
          <w:tab w:val="clear" w:pos="0"/>
        </w:tabs>
        <w:ind w:left="204" w:hanging="204"/>
      </w:pPr>
      <w:rPr>
        <w:rFonts w:ascii="Arial" w:cs="Arial" w:hAnsi="Arial" w:eastAsia="Arial"/>
        <w:position w:val="0"/>
        <w:sz w:val="24"/>
        <w:szCs w:val="24"/>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abstractNum w:abstractNumId="27">
    <w:multiLevelType w:val="multilevel"/>
    <w:lvl w:ilvl="0">
      <w:start w:val="1"/>
      <w:numFmt w:val="bullet"/>
      <w:suff w:val="tab"/>
      <w:lvlText w:val="-"/>
      <w:lvlJc w:val="left"/>
      <w:pPr>
        <w:tabs>
          <w:tab w:val="num" w:pos="204"/>
          <w:tab w:val="clear" w:pos="0"/>
        </w:tabs>
        <w:ind w:left="204" w:hanging="204"/>
      </w:pPr>
      <w:rPr>
        <w:rFonts w:ascii="Arial" w:cs="Arial" w:hAnsi="Arial" w:eastAsia="Arial"/>
        <w:position w:val="0"/>
        <w:sz w:val="22"/>
        <w:szCs w:val="22"/>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abstractNum w:abstractNumId="28">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29">
    <w:multiLevelType w:val="multilevel"/>
    <w:styleLink w:val="List 9"/>
    <w:lvl w:ilvl="0">
      <w:start w:val="0"/>
      <w:numFmt w:val="bullet"/>
      <w:suff w:val="tab"/>
      <w:lvlText w:val="-"/>
      <w:lvlJc w:val="left"/>
      <w:pPr>
        <w:tabs>
          <w:tab w:val="num" w:pos="204"/>
          <w:tab w:val="clear" w:pos="0"/>
        </w:tabs>
        <w:ind w:left="204" w:hanging="204"/>
      </w:pPr>
      <w:rPr>
        <w:rFonts w:ascii="Arial" w:cs="Arial" w:hAnsi="Arial" w:eastAsia="Arial"/>
        <w:position w:val="0"/>
        <w:sz w:val="24"/>
        <w:szCs w:val="24"/>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abstractNum w:abstractNumId="30">
    <w:multiLevelType w:val="multilevel"/>
    <w:lvl w:ilvl="0">
      <w:start w:val="1"/>
      <w:numFmt w:val="bullet"/>
      <w:suff w:val="tab"/>
      <w:lvlText w:val="-"/>
      <w:lvlJc w:val="left"/>
      <w:pPr>
        <w:tabs>
          <w:tab w:val="num" w:pos="204"/>
          <w:tab w:val="clear" w:pos="0"/>
        </w:tabs>
        <w:ind w:left="204" w:hanging="204"/>
      </w:pPr>
      <w:rPr>
        <w:rFonts w:ascii="Arial" w:cs="Arial" w:hAnsi="Arial" w:eastAsia="Arial"/>
        <w:position w:val="0"/>
        <w:sz w:val="22"/>
        <w:szCs w:val="22"/>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abstractNum w:abstractNumId="31">
    <w:multiLevelType w:val="multilevel"/>
    <w:lvl w:ilvl="0">
      <w:start w:val="1"/>
      <w:numFmt w:val="bullet"/>
      <w:suff w:val="tab"/>
      <w:lvlText w:val="-"/>
      <w:lvlJc w:val="left"/>
      <w:pPr/>
      <w:rPr>
        <w:position w:val="0"/>
      </w:rPr>
    </w:lvl>
    <w:lvl w:ilvl="1">
      <w:start w:val="1"/>
      <w:numFmt w:val="bullet"/>
      <w:suff w:val="tab"/>
      <w:lvlText w:val="-"/>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
      <w:lvlJc w:val="left"/>
      <w:pPr/>
      <w:rPr>
        <w:position w:val="0"/>
      </w:rPr>
    </w:lvl>
    <w:lvl w:ilvl="8">
      <w:start w:val="1"/>
      <w:numFmt w:val="bullet"/>
      <w:suff w:val="tab"/>
      <w:lvlText w:val="-"/>
      <w:lvlJc w:val="left"/>
      <w:pPr/>
      <w:rPr>
        <w:position w:val="0"/>
      </w:rPr>
    </w:lvl>
  </w:abstractNum>
  <w:abstractNum w:abstractNumId="32">
    <w:multiLevelType w:val="multilevel"/>
    <w:styleLink w:val="List 10"/>
    <w:lvl w:ilvl="0">
      <w:start w:val="0"/>
      <w:numFmt w:val="bullet"/>
      <w:suff w:val="tab"/>
      <w:lvlText w:val="-"/>
      <w:lvlJc w:val="left"/>
      <w:pPr>
        <w:tabs>
          <w:tab w:val="num" w:pos="204"/>
          <w:tab w:val="clear" w:pos="0"/>
        </w:tabs>
        <w:ind w:left="204" w:hanging="204"/>
      </w:pPr>
      <w:rPr>
        <w:rFonts w:ascii="Arial" w:cs="Arial" w:hAnsi="Arial" w:eastAsia="Arial"/>
        <w:position w:val="0"/>
        <w:sz w:val="24"/>
        <w:szCs w:val="24"/>
        <w:lang w:val="en-US"/>
      </w:rPr>
    </w:lvl>
    <w:lvl w:ilvl="1">
      <w:start w:val="1"/>
      <w:numFmt w:val="bullet"/>
      <w:suff w:val="tab"/>
      <w:lvlText w:val="-"/>
      <w:lvlJc w:val="left"/>
      <w:pPr>
        <w:tabs>
          <w:tab w:val="num" w:pos="95"/>
          <w:tab w:val="clear" w:pos="0"/>
        </w:tabs>
      </w:pPr>
      <w:rPr>
        <w:rFonts w:ascii="Arial" w:cs="Arial" w:hAnsi="Arial" w:eastAsia="Arial"/>
        <w:position w:val="0"/>
        <w:sz w:val="22"/>
        <w:szCs w:val="22"/>
        <w:lang w:val="en-US"/>
      </w:rPr>
    </w:lvl>
    <w:lvl w:ilvl="2">
      <w:start w:val="1"/>
      <w:numFmt w:val="bullet"/>
      <w:suff w:val="tab"/>
      <w:lvlText w:val="-"/>
      <w:lvlJc w:val="left"/>
      <w:pPr>
        <w:tabs>
          <w:tab w:val="num" w:pos="95"/>
          <w:tab w:val="clear" w:pos="0"/>
        </w:tabs>
      </w:pPr>
      <w:rPr>
        <w:rFonts w:ascii="Arial" w:cs="Arial" w:hAnsi="Arial" w:eastAsia="Arial"/>
        <w:position w:val="0"/>
        <w:sz w:val="22"/>
        <w:szCs w:val="22"/>
        <w:lang w:val="en-US"/>
      </w:rPr>
    </w:lvl>
    <w:lvl w:ilvl="3">
      <w:start w:val="1"/>
      <w:numFmt w:val="bullet"/>
      <w:suff w:val="tab"/>
      <w:lvlText w:val="-"/>
      <w:lvlJc w:val="left"/>
      <w:pPr>
        <w:tabs>
          <w:tab w:val="num" w:pos="95"/>
          <w:tab w:val="clear" w:pos="0"/>
        </w:tabs>
      </w:pPr>
      <w:rPr>
        <w:rFonts w:ascii="Arial" w:cs="Arial" w:hAnsi="Arial" w:eastAsia="Arial"/>
        <w:position w:val="0"/>
        <w:sz w:val="22"/>
        <w:szCs w:val="22"/>
        <w:lang w:val="en-US"/>
      </w:rPr>
    </w:lvl>
    <w:lvl w:ilvl="4">
      <w:start w:val="1"/>
      <w:numFmt w:val="bullet"/>
      <w:suff w:val="tab"/>
      <w:lvlText w:val="-"/>
      <w:lvlJc w:val="left"/>
      <w:pPr>
        <w:tabs>
          <w:tab w:val="num" w:pos="95"/>
          <w:tab w:val="clear" w:pos="0"/>
        </w:tabs>
      </w:pPr>
      <w:rPr>
        <w:rFonts w:ascii="Arial" w:cs="Arial" w:hAnsi="Arial" w:eastAsia="Arial"/>
        <w:position w:val="0"/>
        <w:sz w:val="22"/>
        <w:szCs w:val="22"/>
        <w:lang w:val="en-US"/>
      </w:rPr>
    </w:lvl>
    <w:lvl w:ilvl="5">
      <w:start w:val="1"/>
      <w:numFmt w:val="bullet"/>
      <w:suff w:val="tab"/>
      <w:lvlText w:val="-"/>
      <w:lvlJc w:val="left"/>
      <w:pPr>
        <w:tabs>
          <w:tab w:val="num" w:pos="95"/>
          <w:tab w:val="clear" w:pos="0"/>
        </w:tabs>
      </w:pPr>
      <w:rPr>
        <w:rFonts w:ascii="Arial" w:cs="Arial" w:hAnsi="Arial" w:eastAsia="Arial"/>
        <w:position w:val="0"/>
        <w:sz w:val="22"/>
        <w:szCs w:val="22"/>
        <w:lang w:val="en-US"/>
      </w:rPr>
    </w:lvl>
    <w:lvl w:ilvl="6">
      <w:start w:val="1"/>
      <w:numFmt w:val="bullet"/>
      <w:suff w:val="tab"/>
      <w:lvlText w:val="-"/>
      <w:lvlJc w:val="left"/>
      <w:pPr>
        <w:tabs>
          <w:tab w:val="num" w:pos="95"/>
          <w:tab w:val="clear" w:pos="0"/>
        </w:tabs>
      </w:pPr>
      <w:rPr>
        <w:rFonts w:ascii="Arial" w:cs="Arial" w:hAnsi="Arial" w:eastAsia="Arial"/>
        <w:position w:val="0"/>
        <w:sz w:val="22"/>
        <w:szCs w:val="22"/>
        <w:lang w:val="en-US"/>
      </w:rPr>
    </w:lvl>
    <w:lvl w:ilvl="7">
      <w:start w:val="1"/>
      <w:numFmt w:val="bullet"/>
      <w:suff w:val="tab"/>
      <w:lvlText w:val="-"/>
      <w:lvlJc w:val="left"/>
      <w:pPr>
        <w:tabs>
          <w:tab w:val="num" w:pos="95"/>
          <w:tab w:val="clear" w:pos="0"/>
        </w:tabs>
      </w:pPr>
      <w:rPr>
        <w:rFonts w:ascii="Arial" w:cs="Arial" w:hAnsi="Arial" w:eastAsia="Arial"/>
        <w:position w:val="0"/>
        <w:sz w:val="22"/>
        <w:szCs w:val="22"/>
        <w:lang w:val="en-US"/>
      </w:rPr>
    </w:lvl>
    <w:lvl w:ilvl="8">
      <w:start w:val="1"/>
      <w:numFmt w:val="bullet"/>
      <w:suff w:val="tab"/>
      <w:lvlText w:val="-"/>
      <w:lvlJc w:val="left"/>
      <w:pPr>
        <w:tabs>
          <w:tab w:val="num" w:pos="95"/>
          <w:tab w:val="clear" w:pos="0"/>
        </w:tabs>
      </w:pPr>
      <w:rPr>
        <w:rFonts w:ascii="Arial" w:cs="Arial" w:hAnsi="Arial" w:eastAsia="Arial"/>
        <w:position w:val="0"/>
        <w:sz w:val="22"/>
        <w:szCs w:val="22"/>
        <w:lang w:val="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08"/>
  <w:autoHyphenation w:val="1"/>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pBdr>
        <w:top w:val="nil"/>
        <w:left w:val="nil"/>
        <w:bottom w:val="nil"/>
        <w:right w:val="nil"/>
      </w:pBdr>
      <w:shd w:val="clear" w:color="auto" w:fill="auto"/>
      <w:tabs>
        <w:tab w:val="center" w:pos="4320"/>
        <w:tab w:val="right" w:pos="8640"/>
      </w:tabs>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s-ES_tradnl"/>
    </w:r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B">
    <w:name w:val="Body B"/>
    <w:next w:val="Body B"/>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 w:type="numbering" w:styleId="List 6">
    <w:name w:val="List 6"/>
    <w:basedOn w:val="Imported Style 7"/>
    <w:next w:val="List 6"/>
    <w:pPr>
      <w:numPr>
        <w:numId w:val="19"/>
      </w:numPr>
    </w:pPr>
  </w:style>
  <w:style w:type="numbering" w:styleId="Imported Style 7">
    <w:name w:val="Imported Style 7"/>
    <w:next w:val="Imported Style 7"/>
    <w:pPr>
      <w:numPr>
        <w:numId w:val="20"/>
      </w:numPr>
    </w:pPr>
  </w:style>
  <w:style w:type="numbering" w:styleId="List 7">
    <w:name w:val="List 7"/>
    <w:basedOn w:val="Imported Style 8"/>
    <w:next w:val="List 7"/>
    <w:pPr>
      <w:numPr>
        <w:numId w:val="22"/>
      </w:numPr>
    </w:pPr>
  </w:style>
  <w:style w:type="numbering" w:styleId="Imported Style 8">
    <w:name w:val="Imported Style 8"/>
    <w:next w:val="Imported Style 8"/>
    <w:pPr>
      <w:numPr>
        <w:numId w:val="23"/>
      </w:numPr>
    </w:pPr>
  </w:style>
  <w:style w:type="numbering" w:styleId="List 8">
    <w:name w:val="List 8"/>
    <w:basedOn w:val="Imported Style 9"/>
    <w:next w:val="List 8"/>
    <w:pPr>
      <w:numPr>
        <w:numId w:val="25"/>
      </w:numPr>
    </w:pPr>
  </w:style>
  <w:style w:type="numbering" w:styleId="Imported Style 9">
    <w:name w:val="Imported Style 9"/>
    <w:next w:val="Imported Style 9"/>
    <w:pPr>
      <w:numPr>
        <w:numId w:val="26"/>
      </w:numPr>
    </w:pPr>
  </w:style>
  <w:style w:type="numbering" w:styleId="List 9">
    <w:name w:val="List 9"/>
    <w:basedOn w:val="Imported Style 10"/>
    <w:next w:val="List 9"/>
    <w:pPr>
      <w:numPr>
        <w:numId w:val="28"/>
      </w:numPr>
    </w:pPr>
  </w:style>
  <w:style w:type="numbering" w:styleId="Imported Style 10">
    <w:name w:val="Imported Style 10"/>
    <w:next w:val="Imported Style 10"/>
    <w:pPr>
      <w:numPr>
        <w:numId w:val="29"/>
      </w:numPr>
    </w:pPr>
  </w:style>
  <w:style w:type="numbering" w:styleId="List 10">
    <w:name w:val="List 10"/>
    <w:basedOn w:val="Imported Style 11"/>
    <w:next w:val="List 10"/>
    <w:pPr>
      <w:numPr>
        <w:numId w:val="31"/>
      </w:numPr>
    </w:pPr>
  </w:style>
  <w:style w:type="numbering" w:styleId="Imported Style 11">
    <w:name w:val="Imported Style 11"/>
    <w:next w:val="Imported Style 11"/>
    <w:pPr>
      <w:numPr>
        <w:numId w:val="32"/>
      </w:numPr>
    </w:pPr>
  </w:style>
  <w:style w:type="paragraph" w:styleId="Body C">
    <w:name w:val="Body C"/>
    <w:next w:val="Body C"/>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character" w:styleId="Hyperlink.0">
    <w:name w:val="Hyperlink.0"/>
    <w:basedOn w:val="Hyperlink"/>
    <w:next w:val="Hyperlink.0"/>
    <w:rPr>
      <w:u w:val="single"/>
    </w:rPr>
  </w:style>
</w:styles>
</file>

<file path=word/_rels/document.xml.rels><?xml version="1.0" encoding="UTF-8" standalone="yes"?>
<Relationships xmlns="http://schemas.openxmlformats.org/package/2006/relationships"><Relationship Id="rId8" Type="http://schemas.openxmlformats.org/officeDocument/2006/relationships/hyperlink" Target="http://www.phildeafres.org" TargetMode="External"/><Relationship Id="rId13" Type="http://schemas.openxmlformats.org/officeDocument/2006/relationships/footnotes" Target="footnotes.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www.coa.gov.ph" TargetMode="Externa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fontTable" Target="fontTable.xml"/><Relationship Id="rId16" Type="http://schemas.openxmlformats.org/officeDocument/2006/relationships/customXml" Target="../customXml/item1.xml"/><Relationship Id="rId1" Type="http://schemas.openxmlformats.org/officeDocument/2006/relationships/settings" Target="settings.xml"/><Relationship Id="rId6" Type="http://schemas.openxmlformats.org/officeDocument/2006/relationships/hyperlink" Target="http://www.dbm.gov.ph" TargetMode="External"/><Relationship Id="rId11" Type="http://schemas.openxmlformats.org/officeDocument/2006/relationships/footer" Target="footer1.xml"/><Relationship Id="rId5" Type="http://schemas.openxmlformats.org/officeDocument/2006/relationships/hyperlink" Target="http://www.ohchr.org" TargetMode="Externa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hyperlink" Target="http://crpdparallelreport.net.ph" TargetMode="External"/><Relationship Id="rId9" Type="http://schemas.openxmlformats.org/officeDocument/2006/relationships/header" Target="header1.xml"/><Relationship Id="rId14" Type="http://schemas.openxmlformats.org/officeDocument/2006/relationships/numbering" Target="numbering.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4958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4A0F61-8F05-44A6-8240-7AEB4AE2841B}"/>
</file>

<file path=customXml/itemProps2.xml><?xml version="1.0" encoding="utf-8"?>
<ds:datastoreItem xmlns:ds="http://schemas.openxmlformats.org/officeDocument/2006/customXml" ds:itemID="{01A93110-C30B-4468-9BC3-2B9989FB2BE6}"/>
</file>

<file path=customXml/itemProps3.xml><?xml version="1.0" encoding="utf-8"?>
<ds:datastoreItem xmlns:ds="http://schemas.openxmlformats.org/officeDocument/2006/customXml" ds:itemID="{7749ED69-3F9C-4D3D-BF28-FB420BA56A48}"/>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