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6DC48" w14:textId="77777777" w:rsidR="00411103" w:rsidRPr="00411103" w:rsidRDefault="00411103" w:rsidP="00411103">
      <w:pPr>
        <w:rPr>
          <w:b/>
          <w:bCs/>
        </w:rPr>
      </w:pPr>
      <w:r w:rsidRPr="00411103">
        <w:rPr>
          <w:b/>
          <w:bCs/>
        </w:rPr>
        <w:t>ALTERNATIVE REPORT</w:t>
      </w:r>
    </w:p>
    <w:p w14:paraId="4A5D5E9E" w14:textId="77777777" w:rsidR="00411103" w:rsidRPr="00411103" w:rsidRDefault="00411103" w:rsidP="00411103">
      <w:r w:rsidRPr="00411103">
        <w:rPr>
          <w:b/>
          <w:bCs/>
        </w:rPr>
        <w:t>PRESENTED BY THE DISABILITY AND RIGHTS PANEL AND ALLIES ON THE IMPLEMENTATION OF THE INTERNATIONAL COVENANT ON ECONOMIC, SOCIAL, AND CULTURAL RIGHTS</w:t>
      </w:r>
    </w:p>
    <w:p w14:paraId="7B03B088" w14:textId="77777777" w:rsidR="00411103" w:rsidRPr="00411103" w:rsidRDefault="00411103" w:rsidP="00411103">
      <w:r w:rsidRPr="00411103">
        <w:rPr>
          <w:b/>
          <w:bCs/>
        </w:rPr>
        <w:t>United Nations Organization (UN)</w:t>
      </w:r>
      <w:r w:rsidRPr="00411103">
        <w:br/>
      </w:r>
      <w:r w:rsidRPr="00411103">
        <w:rPr>
          <w:b/>
          <w:bCs/>
        </w:rPr>
        <w:t>Committee on Economic, Social, and Cultural Rights</w:t>
      </w:r>
      <w:r w:rsidRPr="00411103">
        <w:br/>
      </w:r>
      <w:r w:rsidRPr="00411103">
        <w:rPr>
          <w:b/>
          <w:bCs/>
        </w:rPr>
        <w:t>77th Session</w:t>
      </w:r>
      <w:r w:rsidRPr="00411103">
        <w:br/>
      </w:r>
      <w:r w:rsidRPr="00411103">
        <w:rPr>
          <w:b/>
          <w:bCs/>
        </w:rPr>
        <w:t>January 2025</w:t>
      </w:r>
      <w:r w:rsidRPr="00411103">
        <w:br/>
      </w:r>
      <w:r w:rsidRPr="00411103">
        <w:rPr>
          <w:b/>
          <w:bCs/>
        </w:rPr>
        <w:t>Geneva, Switzerland</w:t>
      </w:r>
    </w:p>
    <w:p w14:paraId="57984924" w14:textId="77777777" w:rsidR="00411103" w:rsidRPr="00411103" w:rsidRDefault="004964FD" w:rsidP="00411103">
      <w:r>
        <w:rPr>
          <w:noProof/>
        </w:rPr>
        <w:pict w14:anchorId="182CDEB3">
          <v:rect id="_x0000_i1041" alt="" style="width:468pt;height:.05pt;mso-width-percent:0;mso-height-percent:0;mso-width-percent:0;mso-height-percent:0" o:hralign="center" o:hrstd="t" o:hr="t" fillcolor="#a0a0a0" stroked="f"/>
        </w:pict>
      </w:r>
    </w:p>
    <w:p w14:paraId="083ACE1C" w14:textId="77777777" w:rsidR="00411103" w:rsidRPr="00411103" w:rsidRDefault="00411103" w:rsidP="00411103">
      <w:pPr>
        <w:rPr>
          <w:b/>
          <w:bCs/>
        </w:rPr>
      </w:pPr>
      <w:r w:rsidRPr="00411103">
        <w:rPr>
          <w:b/>
          <w:bCs/>
        </w:rPr>
        <w:t>INTRODUCTION</w:t>
      </w:r>
    </w:p>
    <w:p w14:paraId="5301CE74" w14:textId="77777777" w:rsidR="00411103" w:rsidRPr="00411103" w:rsidRDefault="00411103" w:rsidP="00411103">
      <w:r w:rsidRPr="00411103">
        <w:t>This report has been prepared within the framework of the fifth review of the Peruvian State by the United Nations Committee on Economic, Social, and Cultural Rights by the Disability and Rights Panel and allied organizations.</w:t>
      </w:r>
    </w:p>
    <w:p w14:paraId="075A2085" w14:textId="5A93254D" w:rsidR="00411103" w:rsidRPr="00411103" w:rsidRDefault="00411103" w:rsidP="00411103">
      <w:r w:rsidRPr="00411103">
        <w:t>The Disability and Rights Panel is part of the National Human Rights Coordinator and is composed of 20 organizations of people with disabilities, institutions working to uphold the rights of this group, and allied organizations</w:t>
      </w:r>
      <w:r w:rsidR="00477E93">
        <w:rPr>
          <w:rStyle w:val="FootnoteReference"/>
        </w:rPr>
        <w:footnoteReference w:id="1"/>
      </w:r>
      <w:r w:rsidRPr="00411103">
        <w:t>. This space serves to discuss and coordinate advocacy actions related to disability issues with various sectors of the Peruvian State.</w:t>
      </w:r>
    </w:p>
    <w:p w14:paraId="279E42C5" w14:textId="77777777" w:rsidR="00411103" w:rsidRPr="00411103" w:rsidRDefault="004964FD" w:rsidP="00411103">
      <w:r>
        <w:rPr>
          <w:noProof/>
        </w:rPr>
        <w:pict w14:anchorId="0C682C5B">
          <v:rect id="_x0000_i1040" alt="" style="width:468pt;height:.05pt;mso-width-percent:0;mso-height-percent:0;mso-width-percent:0;mso-height-percent:0" o:hralign="center" o:hrstd="t" o:hr="t" fillcolor="#a0a0a0" stroked="f"/>
        </w:pict>
      </w:r>
    </w:p>
    <w:p w14:paraId="7D7438BC" w14:textId="77777777" w:rsidR="00411103" w:rsidRPr="00411103" w:rsidRDefault="00411103" w:rsidP="00411103">
      <w:pPr>
        <w:rPr>
          <w:b/>
          <w:bCs/>
        </w:rPr>
      </w:pPr>
      <w:r w:rsidRPr="00411103">
        <w:rPr>
          <w:b/>
          <w:bCs/>
        </w:rPr>
        <w:t>PURPOSE AND GENERAL OBLIGATIONS (ARTICLES 1 TO 5 OF THE COVENANT)</w:t>
      </w:r>
    </w:p>
    <w:p w14:paraId="6EB174D6" w14:textId="77777777" w:rsidR="00411103" w:rsidRPr="00411103" w:rsidRDefault="00411103" w:rsidP="00411103">
      <w:pPr>
        <w:rPr>
          <w:b/>
          <w:bCs/>
        </w:rPr>
      </w:pPr>
      <w:r w:rsidRPr="00411103">
        <w:rPr>
          <w:b/>
          <w:bCs/>
        </w:rPr>
        <w:t>Mainstreaming the Disability Perspective</w:t>
      </w:r>
    </w:p>
    <w:p w14:paraId="28DC2F5A" w14:textId="77777777" w:rsidR="00411103" w:rsidRPr="00411103" w:rsidRDefault="00411103" w:rsidP="00411103">
      <w:r w:rsidRPr="00411103">
        <w:rPr>
          <w:b/>
          <w:bCs/>
        </w:rPr>
        <w:t>Right to Self-Determination and Economic, Social, and Cultural Development for Persons with Disabilities</w:t>
      </w:r>
    </w:p>
    <w:p w14:paraId="2211620B" w14:textId="77777777" w:rsidR="00411103" w:rsidRPr="00411103" w:rsidRDefault="00411103" w:rsidP="00411103">
      <w:r w:rsidRPr="00411103">
        <w:t>The current structure of the National Council for the Integration of Persons with Disabilities (CONADIS) hinders its ability to effectively lead the mainstreaming of the disability perspective from an intersectional approach.</w:t>
      </w:r>
    </w:p>
    <w:p w14:paraId="0FEB0B61" w14:textId="77777777" w:rsidR="00411103" w:rsidRPr="00411103" w:rsidRDefault="00411103" w:rsidP="00411103">
      <w:r w:rsidRPr="00411103">
        <w:lastRenderedPageBreak/>
        <w:t>There is an observed overload in management responsibilities due to the frequent delegation of responsibilities by other sectors to CONADIS in areas intersecting with disability. A recent example includes the merging of the Disability Unit of the Institute of Family Welfare (INABIF) with CONADIS.</w:t>
      </w:r>
    </w:p>
    <w:p w14:paraId="47203160" w14:textId="77777777" w:rsidR="00411103" w:rsidRPr="00411103" w:rsidRDefault="00411103" w:rsidP="00411103">
      <w:r w:rsidRPr="00411103">
        <w:t>This frequent transfer of responsibilities has significantly increased CONADIS's obligations, exceeding its competencies and operational capacity, as its management and financial resources remain unchanged.</w:t>
      </w:r>
    </w:p>
    <w:p w14:paraId="3912FF00" w14:textId="77777777" w:rsidR="00411103" w:rsidRPr="00411103" w:rsidRDefault="00411103" w:rsidP="00411103">
      <w:r w:rsidRPr="00411103">
        <w:t>Finally, the Multisectoral National Disability Policy for Development by 2030, approved in 2021, sets a series of objectives, guidelines, services, and responsible sectors. However, no progress reports have been published, and the mechanisms for monitoring the indicators proposed by CONADIS remain unclear.</w:t>
      </w:r>
    </w:p>
    <w:p w14:paraId="28CD75A6" w14:textId="77777777" w:rsidR="00411103" w:rsidRPr="00411103" w:rsidRDefault="00411103" w:rsidP="00411103">
      <w:r w:rsidRPr="00411103">
        <w:t>On the other hand, the recurrence of approved regulations without their corresponding implementing rules or budget allocations obstructs not only the implementation of derived policies but also the inclusion of necessary adjustments aimed at addressing disability diversity.</w:t>
      </w:r>
    </w:p>
    <w:p w14:paraId="6D272231" w14:textId="77777777" w:rsidR="00411103" w:rsidRPr="00411103" w:rsidRDefault="00411103" w:rsidP="00411103">
      <w:r w:rsidRPr="00411103">
        <w:t>These adjustments should be applied to key areas such as:</w:t>
      </w:r>
    </w:p>
    <w:p w14:paraId="1157972F" w14:textId="77777777" w:rsidR="00411103" w:rsidRPr="00411103" w:rsidRDefault="00411103" w:rsidP="00411103">
      <w:pPr>
        <w:numPr>
          <w:ilvl w:val="0"/>
          <w:numId w:val="1"/>
        </w:numPr>
      </w:pPr>
      <w:r w:rsidRPr="00411103">
        <w:rPr>
          <w:b/>
          <w:bCs/>
        </w:rPr>
        <w:t>Publicity and dissemination</w:t>
      </w:r>
      <w:r w:rsidRPr="00411103">
        <w:t>: ensuring accessibility.</w:t>
      </w:r>
    </w:p>
    <w:p w14:paraId="684F9068" w14:textId="77777777" w:rsidR="00411103" w:rsidRPr="00411103" w:rsidRDefault="00411103" w:rsidP="00411103">
      <w:pPr>
        <w:numPr>
          <w:ilvl w:val="0"/>
          <w:numId w:val="1"/>
        </w:numPr>
      </w:pPr>
      <w:r w:rsidRPr="00411103">
        <w:rPr>
          <w:b/>
          <w:bCs/>
        </w:rPr>
        <w:t>Adjustments or new conditions</w:t>
      </w:r>
      <w:r w:rsidRPr="00411103">
        <w:t>: stemming from consultation processes and promoting participation by persons with disabilities and their families.</w:t>
      </w:r>
    </w:p>
    <w:p w14:paraId="4F63D7AC" w14:textId="77777777" w:rsidR="00411103" w:rsidRPr="00411103" w:rsidRDefault="00411103" w:rsidP="00411103">
      <w:pPr>
        <w:numPr>
          <w:ilvl w:val="0"/>
          <w:numId w:val="1"/>
        </w:numPr>
      </w:pPr>
      <w:r w:rsidRPr="00411103">
        <w:rPr>
          <w:b/>
          <w:bCs/>
        </w:rPr>
        <w:t>Awareness-raising and training</w:t>
      </w:r>
      <w:r w:rsidRPr="00411103">
        <w:t>: targeting key actors, officials, and operators.</w:t>
      </w:r>
    </w:p>
    <w:p w14:paraId="4455BEEC" w14:textId="77777777" w:rsidR="00411103" w:rsidRPr="00411103" w:rsidRDefault="00411103" w:rsidP="00411103">
      <w:pPr>
        <w:numPr>
          <w:ilvl w:val="0"/>
          <w:numId w:val="1"/>
        </w:numPr>
      </w:pPr>
      <w:r w:rsidRPr="00411103">
        <w:rPr>
          <w:b/>
          <w:bCs/>
        </w:rPr>
        <w:t>Intergovernmental coordination</w:t>
      </w:r>
      <w:r w:rsidRPr="00411103">
        <w:t>: ensuring coherence in execution.</w:t>
      </w:r>
    </w:p>
    <w:p w14:paraId="046539AB" w14:textId="63B497DC" w:rsidR="00411103" w:rsidRDefault="00411103" w:rsidP="0092798A">
      <w:pPr>
        <w:numPr>
          <w:ilvl w:val="0"/>
          <w:numId w:val="1"/>
        </w:numPr>
      </w:pPr>
      <w:r w:rsidRPr="00411103">
        <w:rPr>
          <w:b/>
          <w:bCs/>
        </w:rPr>
        <w:t>Effective allocation of resources.</w:t>
      </w:r>
    </w:p>
    <w:p w14:paraId="53352FBB" w14:textId="77777777" w:rsidR="00411103" w:rsidRPr="00411103" w:rsidRDefault="00411103" w:rsidP="00411103">
      <w:r w:rsidRPr="00411103">
        <w:t>An example of legislative setbacks is the 19th Complementary Provision of Law No. 32185, the Public Sector Budget Law for Fiscal Year 2025, enacted on December 11, 2024. This provision establishes a formula for calculating expenses that significantly reduces the allocation, ignoring what was stipulated in Law No. 32139. The latter law, enacted on October 22, 2024, set a percentage of 1% of institutional budgets for regional and local governments to be directed toward activities and projects for assisting persons with disabilities. Its regulations were in the process of being formulated and still within the established timeline.</w:t>
      </w:r>
    </w:p>
    <w:p w14:paraId="0088618A" w14:textId="77777777" w:rsidR="00782471" w:rsidRDefault="00411103" w:rsidP="00411103">
      <w:r w:rsidRPr="00411103">
        <w:t xml:space="preserve">The Congress of the Republic has the authority to make adjustments, but it has failed to do so in terms of disability-related budgets. </w:t>
      </w:r>
    </w:p>
    <w:p w14:paraId="3A74FC37" w14:textId="5903C423" w:rsidR="00411103" w:rsidRPr="00411103" w:rsidRDefault="00411103" w:rsidP="00411103">
      <w:r w:rsidRPr="00411103">
        <w:t>Referring to the execution of overall expenditures by local governments, regional governments, and Lima Municipality in 2024, the results reflect systemic deficiencies.</w:t>
      </w:r>
    </w:p>
    <w:p w14:paraId="34FC974F" w14:textId="28499CB2" w:rsidR="00411103" w:rsidRPr="00411103" w:rsidRDefault="00411103" w:rsidP="00411103">
      <w:r w:rsidRPr="00411103">
        <w:lastRenderedPageBreak/>
        <w:t>Another example of counterproductive legislative and administrative behavior involves the right of the deaf community to use Peruvian Sign Language. According to the Regulation of Law No. 29535, which grants official recognition to Peruvian Sign Language (2017), the Ministry of Education (MINEDU) was required to approve the qualifications and profile for Peruvian Sign Language interpreters within 120 calendar days. This obligation remains unmet.</w:t>
      </w:r>
    </w:p>
    <w:p w14:paraId="5945768F" w14:textId="77777777" w:rsidR="00411103" w:rsidRPr="00411103" w:rsidRDefault="00411103" w:rsidP="00411103">
      <w:r w:rsidRPr="00411103">
        <w:t>More recently, the Ministry of Culture submitted a legislative proposal to amend Law No. 29535, attempting to revoke Peruvian Sign Language’s status as an official language. The Peruvian State is constitutionally obligated to preserve, defend, and promote official languages. Revoking this recognition would eliminate these obligations, including professionalization of interpreters, implementation of interpretation services in judicial processes and police actions, and more. This would significantly affect the right of the deaf community to use Peruvian Sign Language as their natural mode of communication.</w:t>
      </w:r>
    </w:p>
    <w:p w14:paraId="58E22304" w14:textId="77777777" w:rsidR="00411103" w:rsidRPr="00411103" w:rsidRDefault="004964FD" w:rsidP="00411103">
      <w:r>
        <w:rPr>
          <w:noProof/>
        </w:rPr>
        <w:pict w14:anchorId="1EE17EF3">
          <v:rect id="_x0000_i1039" alt="" style="width:468pt;height:.05pt;mso-width-percent:0;mso-height-percent:0;mso-width-percent:0;mso-height-percent:0" o:hralign="center" o:hrstd="t" o:hr="t" fillcolor="#a0a0a0" stroked="f"/>
        </w:pict>
      </w:r>
    </w:p>
    <w:p w14:paraId="76662CD6" w14:textId="77777777" w:rsidR="00411103" w:rsidRPr="00411103" w:rsidRDefault="00411103" w:rsidP="00411103">
      <w:pPr>
        <w:rPr>
          <w:b/>
          <w:bCs/>
        </w:rPr>
      </w:pPr>
      <w:r w:rsidRPr="00411103">
        <w:rPr>
          <w:b/>
          <w:bCs/>
        </w:rPr>
        <w:t>RECOMMENDATIONS TO THE COMMITTEE</w:t>
      </w:r>
    </w:p>
    <w:p w14:paraId="48D30C85" w14:textId="77777777" w:rsidR="00411103" w:rsidRPr="00411103" w:rsidRDefault="00411103" w:rsidP="00411103">
      <w:pPr>
        <w:numPr>
          <w:ilvl w:val="0"/>
          <w:numId w:val="2"/>
        </w:numPr>
      </w:pPr>
      <w:r w:rsidRPr="00411103">
        <w:t>Establish a multisectoral commission led by CONADIS to formulate a strategic plan ensuring the mainstreaming of the disability perspective with an intersectional approach across all levels of government and public institutions.</w:t>
      </w:r>
    </w:p>
    <w:p w14:paraId="6394310B" w14:textId="77777777" w:rsidR="00411103" w:rsidRPr="00411103" w:rsidRDefault="00411103" w:rsidP="00411103">
      <w:pPr>
        <w:numPr>
          <w:ilvl w:val="0"/>
          <w:numId w:val="2"/>
        </w:numPr>
      </w:pPr>
      <w:r w:rsidRPr="00411103">
        <w:t>Strengthen CONADIS through collaboration with institutions such as the National Strategic Planning Center (CEPLAN), alongside sufficient resource allocation to ensure its structure, operational capacity, and management agreements are proportionate to its added responsibilities.</w:t>
      </w:r>
    </w:p>
    <w:p w14:paraId="472A4DF5" w14:textId="77777777" w:rsidR="00411103" w:rsidRPr="00411103" w:rsidRDefault="00411103" w:rsidP="00411103">
      <w:pPr>
        <w:numPr>
          <w:ilvl w:val="0"/>
          <w:numId w:val="2"/>
        </w:numPr>
      </w:pPr>
      <w:r w:rsidRPr="00411103">
        <w:t>Utilize the Peruvian State's ordinary or special legislative powers to review and adapt regulations concerning the promotion, provision, and protection of the rights of persons with disabilities, ensuring proper budget allocation and effective law implementation.</w:t>
      </w:r>
    </w:p>
    <w:p w14:paraId="3CFD9D7A" w14:textId="77777777" w:rsidR="00411103" w:rsidRPr="00411103" w:rsidRDefault="00411103" w:rsidP="00411103">
      <w:pPr>
        <w:numPr>
          <w:ilvl w:val="0"/>
          <w:numId w:val="2"/>
        </w:numPr>
      </w:pPr>
      <w:r w:rsidRPr="00411103">
        <w:t>Specifically, repeal the 19th Complementary Provision of Law No. 32185 to align with the budget requirements of Law No. 32139, guaranteeing 1% of institutional budgets for activities and projects directed at persons with disabilities.</w:t>
      </w:r>
    </w:p>
    <w:p w14:paraId="688F1341" w14:textId="77777777" w:rsidR="00411103" w:rsidRPr="00411103" w:rsidRDefault="00411103" w:rsidP="00411103">
      <w:pPr>
        <w:numPr>
          <w:ilvl w:val="0"/>
          <w:numId w:val="2"/>
        </w:numPr>
      </w:pPr>
      <w:r w:rsidRPr="00411103">
        <w:t>Coordinate actions among CONADIS, the Ministry of Education, the Ministry of Women and Vulnerable Populations, the Ministry of Justice and Human Rights, the Ministry of Development and Social Inclusion, and the Ministry of Culture to defend and promote the cultural and linguistic rights of the deaf community.</w:t>
      </w:r>
    </w:p>
    <w:p w14:paraId="53E29ED2" w14:textId="77777777" w:rsidR="00411103" w:rsidRPr="00411103" w:rsidRDefault="004964FD" w:rsidP="00411103">
      <w:r>
        <w:rPr>
          <w:noProof/>
        </w:rPr>
        <w:pict w14:anchorId="4BCFDFDB">
          <v:rect id="_x0000_i1038" alt="" style="width:468pt;height:.05pt;mso-width-percent:0;mso-height-percent:0;mso-width-percent:0;mso-height-percent:0" o:hralign="center" o:hrstd="t" o:hr="t" fillcolor="#a0a0a0" stroked="f"/>
        </w:pict>
      </w:r>
    </w:p>
    <w:p w14:paraId="0D7F21FD" w14:textId="77777777" w:rsidR="0092798A" w:rsidRDefault="0092798A" w:rsidP="00411103">
      <w:pPr>
        <w:rPr>
          <w:b/>
          <w:bCs/>
        </w:rPr>
      </w:pPr>
    </w:p>
    <w:p w14:paraId="37F3C1F2" w14:textId="2232AF63" w:rsidR="00411103" w:rsidRPr="00411103" w:rsidRDefault="00411103" w:rsidP="00411103">
      <w:pPr>
        <w:rPr>
          <w:b/>
          <w:bCs/>
        </w:rPr>
      </w:pPr>
      <w:r w:rsidRPr="00411103">
        <w:rPr>
          <w:b/>
          <w:bCs/>
        </w:rPr>
        <w:lastRenderedPageBreak/>
        <w:t>ISSUES RELATED TO SPECIFIC PROVISIONS OF THE COVENANT (ARTICLES 6 TO 15)</w:t>
      </w:r>
    </w:p>
    <w:p w14:paraId="1D642AB9" w14:textId="77777777" w:rsidR="00411103" w:rsidRPr="00411103" w:rsidRDefault="00411103" w:rsidP="00411103">
      <w:pPr>
        <w:rPr>
          <w:b/>
          <w:bCs/>
        </w:rPr>
      </w:pPr>
      <w:r w:rsidRPr="00411103">
        <w:rPr>
          <w:b/>
          <w:bCs/>
        </w:rPr>
        <w:t>Right to Work (Article 6)</w:t>
      </w:r>
    </w:p>
    <w:p w14:paraId="26C7AB76" w14:textId="77777777" w:rsidR="00411103" w:rsidRPr="00411103" w:rsidRDefault="00411103" w:rsidP="00411103">
      <w:r w:rsidRPr="00411103">
        <w:rPr>
          <w:b/>
          <w:bCs/>
        </w:rPr>
        <w:t>Right to Fair and Favorable Working Conditions (Article 7)</w:t>
      </w:r>
    </w:p>
    <w:p w14:paraId="5509A6CE" w14:textId="06ECEF8B" w:rsidR="00411103" w:rsidRPr="00411103" w:rsidRDefault="00411103" w:rsidP="00411103">
      <w:r w:rsidRPr="00411103">
        <w:t>The data indicates that only 43.7% of persons with disabilities are part of the Economically Active Population (EAP), compared to 73.8% of those without disabilities, reflecting a gap of 30.1 percentage points (</w:t>
      </w:r>
      <w:hyperlink r:id="rId7" w:history="1">
        <w:r w:rsidRPr="00782471">
          <w:rPr>
            <w:rStyle w:val="Hyperlink"/>
          </w:rPr>
          <w:t>INEI, 2022</w:t>
        </w:r>
      </w:hyperlink>
      <w:r w:rsidRPr="00411103">
        <w:t>). This disparity highlights the inefficacy of current measures to promote the inclusion of persons with disabilities in formal employment, especially those unemployed for extended periods.</w:t>
      </w:r>
    </w:p>
    <w:p w14:paraId="6E511DFA" w14:textId="7BFF1BAF" w:rsidR="00411103" w:rsidRPr="00411103" w:rsidRDefault="00411103" w:rsidP="00411103">
      <w:r w:rsidRPr="00411103">
        <w:t xml:space="preserve">Despite a legal obligation to hire persons with disabilities (5% in the public sector and 3% in private companies with more than 50 employees), compliance has been minimal over the past decade. Reports reveal inadequate enforcement of these quotas. In May 2024, </w:t>
      </w:r>
      <w:hyperlink r:id="rId8" w:history="1">
        <w:r w:rsidRPr="00782471">
          <w:rPr>
            <w:rStyle w:val="Hyperlink"/>
          </w:rPr>
          <w:t>CONADIS sanctioned regional governments in Amazonas, Cajamarca, Huancavelica, Lambayeque, and Pasco</w:t>
        </w:r>
      </w:hyperlink>
      <w:r w:rsidRPr="00411103">
        <w:t xml:space="preserve"> with fines totaling S/ 309,000 for failing to meet labor quotas for persons with disabilities. According to the National Labor Supervision Authority (SUNAFIL), only </w:t>
      </w:r>
      <w:hyperlink r:id="rId9" w:history="1">
        <w:r w:rsidRPr="00782471">
          <w:rPr>
            <w:rStyle w:val="Hyperlink"/>
          </w:rPr>
          <w:t>170 companies</w:t>
        </w:r>
      </w:hyperlink>
      <w:r w:rsidRPr="00411103">
        <w:t xml:space="preserve"> comply with this positive measure.</w:t>
      </w:r>
    </w:p>
    <w:p w14:paraId="38F7E44D" w14:textId="77777777" w:rsidR="00411103" w:rsidRPr="00411103" w:rsidRDefault="00411103" w:rsidP="00411103">
      <w:r w:rsidRPr="00411103">
        <w:t>The average monthly income for persons with disabilities is S/ 968.2 (equivalent to USD 255.93), far below the average of S/ 1,499.0 (USD 396.30) for those without disabilities (INEI, 2022). This wage gap underscores the devaluation of work performed by persons with disabilities. Disability organizations have identified the absence of appropriate support for employment sustainability and the lack of training on reasonable accommodations as key issues hindering accessible workplaces.</w:t>
      </w:r>
    </w:p>
    <w:p w14:paraId="18FE27C8" w14:textId="77777777" w:rsidR="00411103" w:rsidRPr="00411103" w:rsidRDefault="00411103" w:rsidP="00411103">
      <w:r w:rsidRPr="00411103">
        <w:t>In informal employment, 87.4% of persons with disabilities work informally, compared to 75.4% of those without disabilities (National Household Survey, 2022). Additionally, 50.9% of employed persons with disabilities are self-employed, reflecting the lack of dependent job opportunities. This overrepresentation in informal employment significantly reduces the likelihood of obtaining a dignified pension, exposing persons with disabilities to high economic vulnerability.</w:t>
      </w:r>
    </w:p>
    <w:p w14:paraId="6C973235" w14:textId="2B3A4294" w:rsidR="00411103" w:rsidRPr="00411103" w:rsidRDefault="00411103" w:rsidP="00411103">
      <w:pPr>
        <w:rPr>
          <w:b/>
          <w:bCs/>
        </w:rPr>
      </w:pPr>
      <w:r w:rsidRPr="00411103">
        <w:rPr>
          <w:b/>
          <w:bCs/>
        </w:rPr>
        <w:t>ISSUES RELATED TO SPECIFIC PROVISIONS OF THE COVENANT (ARTICLES 6 TO 15) (CONTINUED)</w:t>
      </w:r>
    </w:p>
    <w:p w14:paraId="7F6E0AE5" w14:textId="77777777" w:rsidR="00411103" w:rsidRPr="00411103" w:rsidRDefault="00411103" w:rsidP="00411103">
      <w:pPr>
        <w:rPr>
          <w:b/>
          <w:bCs/>
        </w:rPr>
      </w:pPr>
      <w:r w:rsidRPr="00411103">
        <w:rPr>
          <w:b/>
          <w:bCs/>
        </w:rPr>
        <w:t>Right to Work (Article 6)</w:t>
      </w:r>
    </w:p>
    <w:p w14:paraId="3BA4E5E8" w14:textId="77777777" w:rsidR="00411103" w:rsidRPr="00411103" w:rsidRDefault="00411103" w:rsidP="00411103">
      <w:r w:rsidRPr="00411103">
        <w:rPr>
          <w:b/>
          <w:bCs/>
        </w:rPr>
        <w:t>Right to Fair and Favorable Working Conditions (Article 7) (Continued)</w:t>
      </w:r>
    </w:p>
    <w:p w14:paraId="4014D2B8" w14:textId="77777777" w:rsidR="00411103" w:rsidRPr="00411103" w:rsidRDefault="00411103" w:rsidP="00411103">
      <w:r w:rsidRPr="00411103">
        <w:t xml:space="preserve">Government programs offering financial assistance to persons with disabilities are not linked to mechanisms that promote effective labor inclusion for this group, perpetuating cycles of </w:t>
      </w:r>
      <w:r w:rsidRPr="00411103">
        <w:lastRenderedPageBreak/>
        <w:t>poverty and exclusion. The COVID-19 pandemic further exposed existing gaps in labor protections for persons with disabilities. Although the government implemented measures such as remote work, these were not always beneficial for this group, particularly in sectors requiring manual or operational work. This resulted in dismissals or contract suspensions under the “perfect suspension” provision.</w:t>
      </w:r>
    </w:p>
    <w:p w14:paraId="79E4A3B9" w14:textId="77777777" w:rsidR="00411103" w:rsidRPr="00411103" w:rsidRDefault="00411103" w:rsidP="00411103">
      <w:r w:rsidRPr="00411103">
        <w:t>This provision allowed employers to suspend the employment relationship and salary payments without terminating the contract, leaving workers in a state of economic vulnerability.</w:t>
      </w:r>
    </w:p>
    <w:p w14:paraId="5369E9F7" w14:textId="77777777" w:rsidR="00411103" w:rsidRPr="00411103" w:rsidRDefault="00411103" w:rsidP="00411103">
      <w:r w:rsidRPr="00411103">
        <w:t>In conclusion, the measures adopted thus far have failed to reverse structural inequalities affecting persons with disabilities in Peru’s labor market. Current policies primarily benefit those with access to formal employment, while individuals with disabilities in the informal sector remain unprotected.</w:t>
      </w:r>
    </w:p>
    <w:p w14:paraId="21418904" w14:textId="77777777" w:rsidR="00411103" w:rsidRPr="00411103" w:rsidRDefault="004964FD" w:rsidP="00411103">
      <w:r>
        <w:rPr>
          <w:noProof/>
        </w:rPr>
        <w:pict w14:anchorId="6B1375A0">
          <v:rect id="_x0000_i1037" alt="" style="width:468pt;height:.05pt;mso-width-percent:0;mso-height-percent:0;mso-width-percent:0;mso-height-percent:0" o:hralign="center" o:hrstd="t" o:hr="t" fillcolor="#a0a0a0" stroked="f"/>
        </w:pict>
      </w:r>
    </w:p>
    <w:p w14:paraId="6A322196" w14:textId="77777777" w:rsidR="00411103" w:rsidRPr="00411103" w:rsidRDefault="00411103" w:rsidP="00411103">
      <w:pPr>
        <w:rPr>
          <w:b/>
          <w:bCs/>
        </w:rPr>
      </w:pPr>
      <w:r w:rsidRPr="00411103">
        <w:rPr>
          <w:b/>
          <w:bCs/>
        </w:rPr>
        <w:t>RECOMMENDATIONS TO THE COMMITTEE</w:t>
      </w:r>
    </w:p>
    <w:p w14:paraId="203F6E1B" w14:textId="77777777" w:rsidR="00411103" w:rsidRPr="00411103" w:rsidRDefault="00411103" w:rsidP="00411103">
      <w:pPr>
        <w:numPr>
          <w:ilvl w:val="0"/>
          <w:numId w:val="3"/>
        </w:numPr>
      </w:pPr>
      <w:r w:rsidRPr="00411103">
        <w:t>Implement sustainable measures to ensure the employability of persons with disabilities, including training on reasonable accommodations, ongoing support, and the creation of accessible work environments.</w:t>
      </w:r>
    </w:p>
    <w:p w14:paraId="3C6FC9E4" w14:textId="77777777" w:rsidR="00411103" w:rsidRPr="00411103" w:rsidRDefault="00411103" w:rsidP="00411103">
      <w:pPr>
        <w:numPr>
          <w:ilvl w:val="0"/>
          <w:numId w:val="3"/>
        </w:numPr>
      </w:pPr>
      <w:r w:rsidRPr="00411103">
        <w:t>Properly enforce labor quotas with adequately trained personnel to oversee compliance.</w:t>
      </w:r>
    </w:p>
    <w:p w14:paraId="27A0FFA1" w14:textId="77777777" w:rsidR="00411103" w:rsidRPr="00411103" w:rsidRDefault="00411103" w:rsidP="00411103">
      <w:pPr>
        <w:numPr>
          <w:ilvl w:val="0"/>
          <w:numId w:val="3"/>
        </w:numPr>
      </w:pPr>
      <w:r w:rsidRPr="00411103">
        <w:t>Link social protection programs, particularly those providing financial assistance, with initiatives that promote autonomy and labor inclusion for persons with disabilities.</w:t>
      </w:r>
    </w:p>
    <w:p w14:paraId="667B881F" w14:textId="77777777" w:rsidR="00411103" w:rsidRPr="00411103" w:rsidRDefault="00411103" w:rsidP="00411103">
      <w:pPr>
        <w:numPr>
          <w:ilvl w:val="0"/>
          <w:numId w:val="3"/>
        </w:numPr>
      </w:pPr>
      <w:r w:rsidRPr="00411103">
        <w:t>Design programs supporting entrepreneurship that are accessible and responsive to the needs of the disability community.</w:t>
      </w:r>
    </w:p>
    <w:p w14:paraId="2C21F5CA" w14:textId="77777777" w:rsidR="00411103" w:rsidRPr="00411103" w:rsidRDefault="00411103" w:rsidP="00411103">
      <w:pPr>
        <w:numPr>
          <w:ilvl w:val="0"/>
          <w:numId w:val="3"/>
        </w:numPr>
      </w:pPr>
      <w:r w:rsidRPr="00411103">
        <w:t>Develop mitigation measures for emergencies that incorporate a disability perspective to address specific vulnerabilities.</w:t>
      </w:r>
    </w:p>
    <w:p w14:paraId="2DDF08C5" w14:textId="77777777" w:rsidR="00411103" w:rsidRPr="00411103" w:rsidRDefault="004964FD" w:rsidP="00411103">
      <w:r>
        <w:rPr>
          <w:noProof/>
        </w:rPr>
        <w:pict w14:anchorId="6494745B">
          <v:rect id="_x0000_i1036" alt="" style="width:468pt;height:.05pt;mso-width-percent:0;mso-height-percent:0;mso-width-percent:0;mso-height-percent:0" o:hralign="center" o:hrstd="t" o:hr="t" fillcolor="#a0a0a0" stroked="f"/>
        </w:pict>
      </w:r>
    </w:p>
    <w:p w14:paraId="260912DD" w14:textId="77777777" w:rsidR="00122C24" w:rsidRDefault="00122C24" w:rsidP="00411103">
      <w:pPr>
        <w:rPr>
          <w:b/>
          <w:bCs/>
        </w:rPr>
      </w:pPr>
    </w:p>
    <w:p w14:paraId="606044DB" w14:textId="39344A09" w:rsidR="00411103" w:rsidRPr="00411103" w:rsidRDefault="00411103" w:rsidP="00411103">
      <w:pPr>
        <w:rPr>
          <w:b/>
          <w:bCs/>
        </w:rPr>
      </w:pPr>
      <w:r w:rsidRPr="00411103">
        <w:rPr>
          <w:b/>
          <w:bCs/>
        </w:rPr>
        <w:t>Right to Social Security (Article 9)</w:t>
      </w:r>
    </w:p>
    <w:p w14:paraId="683E76D9" w14:textId="02B8464C" w:rsidR="00411103" w:rsidRPr="00411103" w:rsidRDefault="00411103" w:rsidP="00411103">
      <w:r w:rsidRPr="00411103">
        <w:rPr>
          <w:b/>
          <w:bCs/>
        </w:rPr>
        <w:t>Impact of Contemporary Crises on Social Protection for Persons with Disabilities</w:t>
      </w:r>
      <w:r w:rsidRPr="00411103">
        <w:br/>
        <w:t xml:space="preserve">The context of social protection in Peru, compounded by the COVID-19 pandemic and energy and food crises, has worsened the challenges of ensuring adequate benefits for persons with disabilities. According to the report “Social Protection and Disability: Deficiencies in the </w:t>
      </w:r>
      <w:r w:rsidRPr="00411103">
        <w:lastRenderedPageBreak/>
        <w:t>Peruvian System and Recommendations for Effective Inclusion</w:t>
      </w:r>
      <w:r w:rsidR="0008081A">
        <w:t xml:space="preserve"> of People With Disabilities</w:t>
      </w:r>
      <w:r w:rsidRPr="00411103">
        <w:t>,”</w:t>
      </w:r>
      <w:r w:rsidR="0008081A">
        <w:rPr>
          <w:rStyle w:val="FootnoteReference"/>
        </w:rPr>
        <w:footnoteReference w:id="2"/>
      </w:r>
      <w:r w:rsidRPr="00411103">
        <w:t xml:space="preserve"> barriers and shortcomings limit the coverage and effectiveness of social protection for this group. Pension coverage remains inadequate, with only 26% of persons with disabilities receiving social security benefits. This issue is particularly acute in rural areas, where coverage drops to 6.5%.</w:t>
      </w:r>
    </w:p>
    <w:p w14:paraId="3F62553F" w14:textId="77777777" w:rsidR="00411103" w:rsidRPr="00411103" w:rsidRDefault="00411103" w:rsidP="00411103">
      <w:r w:rsidRPr="00411103">
        <w:rPr>
          <w:b/>
          <w:bCs/>
        </w:rPr>
        <w:t>Deficiencies in Pension Coverage for Persons with Disabilities</w:t>
      </w:r>
      <w:r w:rsidRPr="00411103">
        <w:br/>
        <w:t>Pensions in contributory systems remain rooted in a medical model of disability. They focus on the "inability to work," disregarding measures such as occupational transitions or reassignment that could ensure continued employment.</w:t>
      </w:r>
    </w:p>
    <w:p w14:paraId="3A6D39BD" w14:textId="77777777" w:rsidR="00411103" w:rsidRPr="00411103" w:rsidRDefault="00411103" w:rsidP="00411103">
      <w:r w:rsidRPr="00411103">
        <w:rPr>
          <w:b/>
          <w:bCs/>
        </w:rPr>
        <w:t>Legal Capacity and Conditioned Access to Pensions</w:t>
      </w:r>
      <w:r w:rsidRPr="00411103">
        <w:br/>
        <w:t>Despite recent legal reforms recognizing the legal capacity of persons with disabilities, access to pensions remains conditioned upon initiating legal processes to designate decision-making supports. This violates the right to legal capacity by forcing individuals to relinquish autonomy to receive pensions administered by others.</w:t>
      </w:r>
    </w:p>
    <w:p w14:paraId="0B4CD810" w14:textId="77777777" w:rsidR="00411103" w:rsidRPr="00411103" w:rsidRDefault="00411103" w:rsidP="00411103">
      <w:r w:rsidRPr="00411103">
        <w:rPr>
          <w:b/>
          <w:bCs/>
        </w:rPr>
        <w:t>Non-Contributory Programs and Additional Costs Related to Disability</w:t>
      </w:r>
      <w:r w:rsidRPr="00411103">
        <w:br/>
        <w:t>Access to non-contributory programs like the "Contigo" Program is limited to individuals classified as living in extreme poverty under SISFOH (Household Targeting System). This program provides only S/ 300 (approximately USD 80.20) bimonthly to those with “severe disabilities” who are unemployed. However, this approach excludes many poverty-related factors and does not adequately consider the additional costs faced by persons with disabilities. Furthermore, the amount is insufficient, and the delivery schedule exacerbates beneficiaries' financial struggles.</w:t>
      </w:r>
    </w:p>
    <w:p w14:paraId="1E098D78" w14:textId="77777777" w:rsidR="00411103" w:rsidRPr="00411103" w:rsidRDefault="00411103" w:rsidP="00411103">
      <w:r w:rsidRPr="00411103">
        <w:t>Social protection in Peru focuses heavily on financial benefits, neglecting other essential services such as vocational training, rehabilitation, and community development. This perpetuates dependency rather than promoting inclusion.</w:t>
      </w:r>
    </w:p>
    <w:p w14:paraId="6F84FC26" w14:textId="77777777" w:rsidR="00411103" w:rsidRPr="00411103" w:rsidRDefault="00411103" w:rsidP="00411103">
      <w:r w:rsidRPr="00411103">
        <w:rPr>
          <w:b/>
          <w:bCs/>
        </w:rPr>
        <w:t>Administrative and Technical Barriers to Disability Certification</w:t>
      </w:r>
      <w:r w:rsidRPr="00411103">
        <w:br/>
        <w:t>Disability certification is a prerequisite for accessing services. However, certification processes are hindered by a lack of certifying professionals, who are primarily concentrated in Lima and major regional capitals. This geographic imbalance disadvantages individuals in rural areas or those with limited transportation access. Private certification is an option but is often prohibitively expensive due to the need for specialized evaluations.</w:t>
      </w:r>
    </w:p>
    <w:p w14:paraId="5BCA298D" w14:textId="77777777" w:rsidR="00411103" w:rsidRPr="00411103" w:rsidRDefault="00411103" w:rsidP="00411103">
      <w:r w:rsidRPr="00411103">
        <w:lastRenderedPageBreak/>
        <w:t>Certificates fail to identify the specific support needs of persons with disabilities, and government efforts to promote certification have not addressed underlying systemic issues.</w:t>
      </w:r>
    </w:p>
    <w:p w14:paraId="75A8E7DA" w14:textId="77777777" w:rsidR="00411103" w:rsidRPr="00411103" w:rsidRDefault="004964FD" w:rsidP="00411103">
      <w:r>
        <w:rPr>
          <w:noProof/>
        </w:rPr>
        <w:pict w14:anchorId="2E40C35E">
          <v:rect id="_x0000_i1035" alt="" style="width:468pt;height:.05pt;mso-width-percent:0;mso-height-percent:0;mso-width-percent:0;mso-height-percent:0" o:hralign="center" o:hrstd="t" o:hr="t" fillcolor="#a0a0a0" stroked="f"/>
        </w:pict>
      </w:r>
    </w:p>
    <w:p w14:paraId="6BD38A08" w14:textId="77777777" w:rsidR="00411103" w:rsidRPr="00411103" w:rsidRDefault="00411103" w:rsidP="00411103">
      <w:pPr>
        <w:rPr>
          <w:b/>
          <w:bCs/>
        </w:rPr>
      </w:pPr>
      <w:r w:rsidRPr="00411103">
        <w:rPr>
          <w:b/>
          <w:bCs/>
        </w:rPr>
        <w:t>RECOMMENDATIONS TO THE COMMITTEE</w:t>
      </w:r>
    </w:p>
    <w:p w14:paraId="2D634E37" w14:textId="77777777" w:rsidR="00411103" w:rsidRPr="00411103" w:rsidRDefault="00411103" w:rsidP="00411103">
      <w:pPr>
        <w:numPr>
          <w:ilvl w:val="0"/>
          <w:numId w:val="4"/>
        </w:numPr>
      </w:pPr>
      <w:r w:rsidRPr="00411103">
        <w:t>Conduct a new national survey to provide detailed insights into the realities of persons with disabilities, enabling the design of inclusive and effective public policies.</w:t>
      </w:r>
    </w:p>
    <w:p w14:paraId="55BC70D1" w14:textId="77777777" w:rsidR="00411103" w:rsidRPr="00411103" w:rsidRDefault="00411103" w:rsidP="00411103">
      <w:pPr>
        <w:numPr>
          <w:ilvl w:val="0"/>
          <w:numId w:val="4"/>
        </w:numPr>
      </w:pPr>
      <w:r w:rsidRPr="00411103">
        <w:t>Incorporate additional costs related to disabilities into the design of social protection programs, and ensure the Household Targeting System considers disability as a variable when evaluating poverty.</w:t>
      </w:r>
    </w:p>
    <w:p w14:paraId="3940DDCA" w14:textId="77777777" w:rsidR="00411103" w:rsidRPr="00411103" w:rsidRDefault="00411103" w:rsidP="00411103">
      <w:pPr>
        <w:numPr>
          <w:ilvl w:val="0"/>
          <w:numId w:val="4"/>
        </w:numPr>
      </w:pPr>
      <w:r w:rsidRPr="00411103">
        <w:t>Link social program beneficiaries to services that foster autonomy, such as vocational training, comprehensive support, and accessible centralized information systems.</w:t>
      </w:r>
    </w:p>
    <w:p w14:paraId="2CD94F2B" w14:textId="77777777" w:rsidR="00411103" w:rsidRDefault="00411103"/>
    <w:p w14:paraId="38F8708D" w14:textId="77777777" w:rsidR="00B2713B" w:rsidRPr="00B2713B" w:rsidRDefault="00B2713B" w:rsidP="00B2713B">
      <w:pPr>
        <w:rPr>
          <w:b/>
          <w:bCs/>
        </w:rPr>
      </w:pPr>
      <w:r w:rsidRPr="00B2713B">
        <w:rPr>
          <w:b/>
          <w:bCs/>
        </w:rPr>
        <w:t>ISSUES RELATED TO SPECIFIC PROVISIONS OF THE COVENANT (ARTICLES 6 TO 15) (CONTINUED)</w:t>
      </w:r>
    </w:p>
    <w:p w14:paraId="2E029E66" w14:textId="77777777" w:rsidR="00B2713B" w:rsidRPr="00B2713B" w:rsidRDefault="00B2713B" w:rsidP="00B2713B">
      <w:pPr>
        <w:rPr>
          <w:b/>
          <w:bCs/>
        </w:rPr>
      </w:pPr>
      <w:r w:rsidRPr="00B2713B">
        <w:rPr>
          <w:b/>
          <w:bCs/>
        </w:rPr>
        <w:t>Protection of the Family and the Child (Article 10)</w:t>
      </w:r>
    </w:p>
    <w:p w14:paraId="35838C57" w14:textId="77777777" w:rsidR="00B2713B" w:rsidRPr="00B2713B" w:rsidRDefault="00B2713B" w:rsidP="00B2713B">
      <w:r w:rsidRPr="00B2713B">
        <w:t>Historically, persons with disabilities in Peru have been viewed as objects of care, excluded from the design of policies and systems that guarantee their autonomy and right to independent living.</w:t>
      </w:r>
    </w:p>
    <w:p w14:paraId="12ABC4EB" w14:textId="77777777" w:rsidR="00B2713B" w:rsidRPr="00B2713B" w:rsidRDefault="00B2713B" w:rsidP="00B2713B">
      <w:r w:rsidRPr="00B2713B">
        <w:t>There are no public services for personal assistance, and programs addressing these needs are scarce. Although children require greater support during their developmental stages, the lack of services promoting their autonomy also negatively impacts their families—particularly women, who disproportionately bear caregiving responsibilities. This overburden impacts their well-being, economic situation, and quality of life.</w:t>
      </w:r>
    </w:p>
    <w:p w14:paraId="62AE20A5" w14:textId="77777777" w:rsidR="00B2713B" w:rsidRPr="00B2713B" w:rsidRDefault="00B2713B" w:rsidP="00B2713B">
      <w:r w:rsidRPr="00B2713B">
        <w:t>According to the Contigo Program report, “Characterization of Households with Children and Adolescents with Severe Disabilities,” beneficiaries demonstrate high dependency on daily life activities, highlighting the urgent need for specific measures to address their care.</w:t>
      </w:r>
    </w:p>
    <w:p w14:paraId="4D273966" w14:textId="77777777" w:rsidR="00B2713B" w:rsidRPr="00B2713B" w:rsidRDefault="00B2713B" w:rsidP="00B2713B">
      <w:r w:rsidRPr="00B2713B">
        <w:t>The costs of human support necessary for persons with disabilities are significant. According to the SODIS report, "Persons with Disabilities in Peru: Costs Faced to Participate Equally," this expense represents 43% of household costs to enable the full participation of children and adolescents with disabilities, and 35% for adults with disabilities. These figures illustrate that the absence of adequate support services not only harms individuals with disabilities but also deepens economic and social disparities for their families.</w:t>
      </w:r>
    </w:p>
    <w:p w14:paraId="74D1E7A0" w14:textId="77777777" w:rsidR="00B2713B" w:rsidRPr="00B2713B" w:rsidRDefault="00B2713B" w:rsidP="00B2713B">
      <w:r w:rsidRPr="00B2713B">
        <w:lastRenderedPageBreak/>
        <w:t>The report also indicates that 87.9% of caregiving work falls on women. This statistic underscores the necessity of addressing this issue with a gendered and intersectional approach. The lack of respite services, specialized support, and intersectoral programs exacerbates exclusion for families of persons with disabilities.</w:t>
      </w:r>
    </w:p>
    <w:p w14:paraId="33AFE2B5" w14:textId="77777777" w:rsidR="00B2713B" w:rsidRPr="00B2713B" w:rsidRDefault="00B2713B" w:rsidP="00B2713B">
      <w:r w:rsidRPr="00B2713B">
        <w:t>Programs like CUNA MÁS, which aim to improve childhood development in poverty-stricken contexts, provide limited coverage for children with disabilities. Only 0.5% of children served by the Day Care Service of this program have mild or moderate disabilities, exposing the absence of inclusive policies and genuine equality of opportunity.</w:t>
      </w:r>
    </w:p>
    <w:p w14:paraId="7D98FDB6" w14:textId="77777777" w:rsidR="00B2713B" w:rsidRPr="00B2713B" w:rsidRDefault="004964FD" w:rsidP="00B2713B">
      <w:r>
        <w:rPr>
          <w:noProof/>
        </w:rPr>
        <w:pict w14:anchorId="716E6281">
          <v:rect id="_x0000_i1034" alt="" style="width:468pt;height:.05pt;mso-width-percent:0;mso-height-percent:0;mso-width-percent:0;mso-height-percent:0" o:hralign="center" o:hrstd="t" o:hr="t" fillcolor="#a0a0a0" stroked="f"/>
        </w:pict>
      </w:r>
    </w:p>
    <w:p w14:paraId="714A25A7" w14:textId="77777777" w:rsidR="00B2713B" w:rsidRPr="00B2713B" w:rsidRDefault="00B2713B" w:rsidP="00B2713B">
      <w:pPr>
        <w:rPr>
          <w:b/>
          <w:bCs/>
        </w:rPr>
      </w:pPr>
      <w:r w:rsidRPr="00B2713B">
        <w:rPr>
          <w:b/>
          <w:bCs/>
        </w:rPr>
        <w:t>RECOMMENDATIONS TO THE COMMITTEE</w:t>
      </w:r>
    </w:p>
    <w:p w14:paraId="44935F4B" w14:textId="77777777" w:rsidR="00B2713B" w:rsidRPr="00B2713B" w:rsidRDefault="00B2713B" w:rsidP="00B2713B">
      <w:pPr>
        <w:numPr>
          <w:ilvl w:val="0"/>
          <w:numId w:val="5"/>
        </w:numPr>
      </w:pPr>
      <w:r w:rsidRPr="00B2713B">
        <w:t>Establish caregiving services that include personal assistance and other supports such as assistive technologies to promote independent living, alongside programs that foster autonomy in children with disabilities.</w:t>
      </w:r>
    </w:p>
    <w:p w14:paraId="64BBA22D" w14:textId="77777777" w:rsidR="00B2713B" w:rsidRPr="00B2713B" w:rsidRDefault="00B2713B" w:rsidP="00B2713B">
      <w:pPr>
        <w:numPr>
          <w:ilvl w:val="0"/>
          <w:numId w:val="5"/>
        </w:numPr>
      </w:pPr>
      <w:r w:rsidRPr="00B2713B">
        <w:t>Implement family respite services, caregiver training, and intersectoral support programs, with a gendered and intersectional focus to address the disproportionate caregiving burden on women.</w:t>
      </w:r>
    </w:p>
    <w:p w14:paraId="0D4981B3" w14:textId="77777777" w:rsidR="00B2713B" w:rsidRPr="00B2713B" w:rsidRDefault="00B2713B" w:rsidP="00B2713B">
      <w:pPr>
        <w:numPr>
          <w:ilvl w:val="0"/>
          <w:numId w:val="5"/>
        </w:numPr>
      </w:pPr>
      <w:r w:rsidRPr="00B2713B">
        <w:t>Ensure equitable access to these services and create public policies that recognize and value the role of caregiving families, offering them emotional, economic, and educational support to enhance the quality of care they provide.</w:t>
      </w:r>
    </w:p>
    <w:p w14:paraId="58017256" w14:textId="77777777" w:rsidR="00B2713B" w:rsidRPr="00B2713B" w:rsidRDefault="004964FD" w:rsidP="00B2713B">
      <w:r>
        <w:rPr>
          <w:noProof/>
        </w:rPr>
        <w:pict w14:anchorId="32C5F5F6">
          <v:rect id="_x0000_i1033" alt="" style="width:468pt;height:.05pt;mso-width-percent:0;mso-height-percent:0;mso-width-percent:0;mso-height-percent:0" o:hralign="center" o:hrstd="t" o:hr="t" fillcolor="#a0a0a0" stroked="f"/>
        </w:pict>
      </w:r>
    </w:p>
    <w:p w14:paraId="4A8C43EE" w14:textId="77777777" w:rsidR="00B2713B" w:rsidRPr="00B2713B" w:rsidRDefault="00B2713B" w:rsidP="00B2713B">
      <w:pPr>
        <w:rPr>
          <w:b/>
          <w:bCs/>
        </w:rPr>
      </w:pPr>
      <w:r w:rsidRPr="00B2713B">
        <w:rPr>
          <w:b/>
          <w:bCs/>
        </w:rPr>
        <w:t>Right to an Adequate Standard of Living (Article 11)</w:t>
      </w:r>
    </w:p>
    <w:p w14:paraId="0216D084" w14:textId="4EEF9841" w:rsidR="00B2713B" w:rsidRPr="00B2713B" w:rsidRDefault="00B2713B" w:rsidP="00B2713B">
      <w:r w:rsidRPr="00B2713B">
        <w:t xml:space="preserve">The right to an adequate standard of living for persons with disabilities in Peru is severely compromised due to the lack of inclusive public policies and the precariousness of existing programs. According to the CONADIS report, </w:t>
      </w:r>
      <w:hyperlink r:id="rId10" w:history="1">
        <w:r w:rsidRPr="0008081A">
          <w:rPr>
            <w:rStyle w:val="Hyperlink"/>
          </w:rPr>
          <w:t>"The Multidimensional Poverty Situation of Persons with Disabilities in the Country: An Intersectional Approach,"</w:t>
        </w:r>
      </w:hyperlink>
      <w:r w:rsidRPr="00B2713B">
        <w:t xml:space="preserve"> in 2021, 40% of persons with disabilities lived in multidimensional poverty—a rate 14.2 percentage points higher than that of the general population.</w:t>
      </w:r>
    </w:p>
    <w:p w14:paraId="4049FD45" w14:textId="77777777" w:rsidR="00B2713B" w:rsidRPr="00B2713B" w:rsidRDefault="00B2713B" w:rsidP="00B2713B">
      <w:r w:rsidRPr="00B2713B">
        <w:t>Major deprivations affecting persons with disabilities include:</w:t>
      </w:r>
    </w:p>
    <w:p w14:paraId="71860513" w14:textId="77777777" w:rsidR="00B2713B" w:rsidRPr="00B2713B" w:rsidRDefault="00B2713B" w:rsidP="00B2713B">
      <w:pPr>
        <w:numPr>
          <w:ilvl w:val="0"/>
          <w:numId w:val="6"/>
        </w:numPr>
      </w:pPr>
      <w:r w:rsidRPr="00B2713B">
        <w:t>Lack of access to education (72.9%).</w:t>
      </w:r>
    </w:p>
    <w:p w14:paraId="3D7DA5E9" w14:textId="77777777" w:rsidR="00B2713B" w:rsidRPr="00B2713B" w:rsidRDefault="00B2713B" w:rsidP="00B2713B">
      <w:pPr>
        <w:numPr>
          <w:ilvl w:val="0"/>
          <w:numId w:val="6"/>
        </w:numPr>
      </w:pPr>
      <w:r w:rsidRPr="00B2713B">
        <w:t>Inadequate housing materials (56.9%).</w:t>
      </w:r>
    </w:p>
    <w:p w14:paraId="1852A6CD" w14:textId="77777777" w:rsidR="00B2713B" w:rsidRPr="00B2713B" w:rsidRDefault="00B2713B" w:rsidP="00B2713B">
      <w:pPr>
        <w:numPr>
          <w:ilvl w:val="0"/>
          <w:numId w:val="6"/>
        </w:numPr>
      </w:pPr>
      <w:r w:rsidRPr="00B2713B">
        <w:t>Limited access to internet (55.4%).</w:t>
      </w:r>
    </w:p>
    <w:p w14:paraId="35D5C111" w14:textId="77777777" w:rsidR="00B2713B" w:rsidRPr="00B2713B" w:rsidRDefault="00B2713B" w:rsidP="00B2713B">
      <w:pPr>
        <w:numPr>
          <w:ilvl w:val="0"/>
          <w:numId w:val="6"/>
        </w:numPr>
      </w:pPr>
      <w:r w:rsidRPr="00B2713B">
        <w:lastRenderedPageBreak/>
        <w:t>Lack of energy supply (41.9%).</w:t>
      </w:r>
    </w:p>
    <w:p w14:paraId="645C84A9" w14:textId="77777777" w:rsidR="00B2713B" w:rsidRPr="00B2713B" w:rsidRDefault="00B2713B" w:rsidP="00B2713B">
      <w:r w:rsidRPr="00B2713B">
        <w:t>Despite these conditions, no social programs adequately cover the additional costs faced by persons with disabilities, such as therapy, assistive devices, and adapted transportation.</w:t>
      </w:r>
    </w:p>
    <w:p w14:paraId="4C5A3F48" w14:textId="77777777" w:rsidR="00B2713B" w:rsidRPr="00B2713B" w:rsidRDefault="00B2713B" w:rsidP="00B2713B">
      <w:r w:rsidRPr="00B2713B">
        <w:t>The National Direct Support Program for the Poorest (Juntos) provides bimonthly transfers of S/ 200 (USD 53) to households meeting eligibility criteria, such as a socioeconomic classification of poverty or extreme poverty, and having at least one qualifying member (e.g., children under 14 or pregnant women). Beneficiary families must meet obligations such as ensuring children's school attendance or healthcare visits.</w:t>
      </w:r>
    </w:p>
    <w:p w14:paraId="3D3A789C" w14:textId="77777777" w:rsidR="00B2713B" w:rsidRPr="00B2713B" w:rsidRDefault="00B2713B" w:rsidP="00B2713B">
      <w:r w:rsidRPr="00B2713B">
        <w:t>For children with "severe disabilities," exemptions exist for school attendance requirements if a disability certificate is presented. While this aims to accommodate their needs, it may inadvertently promote exclusion by not encouraging inclusive educational alternatives or guaranteeing support for their integration into the educational system.</w:t>
      </w:r>
    </w:p>
    <w:p w14:paraId="0731CF25" w14:textId="55AD5892" w:rsidR="00B2713B" w:rsidRPr="00B2713B" w:rsidRDefault="00B2713B" w:rsidP="00B2713B">
      <w:r w:rsidRPr="00B2713B">
        <w:t xml:space="preserve">Persons with disabilities face increased vulnerability in emergencies such as natural disasters and the ongoing climate crisis. Peru, heavily impacted by climate change and phenomena like El Niño, has seen significant damage, especially in regions like Piura. </w:t>
      </w:r>
      <w:hyperlink r:id="rId11" w:history="1">
        <w:r w:rsidRPr="0008081A">
          <w:rPr>
            <w:rStyle w:val="Hyperlink"/>
          </w:rPr>
          <w:t>Persons with disabilities face higher mortality rates in these scenarios</w:t>
        </w:r>
      </w:hyperlink>
      <w:r w:rsidRPr="00B2713B">
        <w:t xml:space="preserve"> due to inaccessible infrastructure, inadequate transportation, and unadapted alert systems.</w:t>
      </w:r>
    </w:p>
    <w:p w14:paraId="1CE46315" w14:textId="77777777" w:rsidR="00B2713B" w:rsidRPr="00B2713B" w:rsidRDefault="004964FD" w:rsidP="00B2713B">
      <w:r>
        <w:rPr>
          <w:noProof/>
        </w:rPr>
        <w:pict w14:anchorId="6F79A506">
          <v:rect id="_x0000_i1032" alt="" style="width:468pt;height:.05pt;mso-width-percent:0;mso-height-percent:0;mso-width-percent:0;mso-height-percent:0" o:hralign="center" o:hrstd="t" o:hr="t" fillcolor="#a0a0a0" stroked="f"/>
        </w:pict>
      </w:r>
    </w:p>
    <w:p w14:paraId="00B9EFA7" w14:textId="77777777" w:rsidR="00B2713B" w:rsidRPr="00B2713B" w:rsidRDefault="00B2713B" w:rsidP="00B2713B">
      <w:pPr>
        <w:rPr>
          <w:b/>
          <w:bCs/>
        </w:rPr>
      </w:pPr>
      <w:r w:rsidRPr="00B2713B">
        <w:rPr>
          <w:b/>
          <w:bCs/>
        </w:rPr>
        <w:t>RECOMMENDATIONS TO THE COMMITTEE</w:t>
      </w:r>
    </w:p>
    <w:p w14:paraId="782B9708" w14:textId="77777777" w:rsidR="00B2713B" w:rsidRPr="00B2713B" w:rsidRDefault="00B2713B" w:rsidP="00B2713B">
      <w:pPr>
        <w:numPr>
          <w:ilvl w:val="0"/>
          <w:numId w:val="7"/>
        </w:numPr>
      </w:pPr>
      <w:r w:rsidRPr="00B2713B">
        <w:t>Design programs specifically covering the additional costs faced by persons with disabilities, such as therapy, assistive devices, and accessible transportation.</w:t>
      </w:r>
    </w:p>
    <w:p w14:paraId="3B4E050B" w14:textId="77777777" w:rsidR="00B2713B" w:rsidRPr="00B2713B" w:rsidRDefault="00B2713B" w:rsidP="00B2713B">
      <w:pPr>
        <w:numPr>
          <w:ilvl w:val="0"/>
          <w:numId w:val="7"/>
        </w:numPr>
      </w:pPr>
      <w:r w:rsidRPr="00B2713B">
        <w:t>Conduct a comprehensive review of the Juntos Program to ensure that households with persons with disabilities are not excluded due to eligibility criteria failing to address their specific needs.</w:t>
      </w:r>
    </w:p>
    <w:p w14:paraId="3B245508" w14:textId="77777777" w:rsidR="00B2713B" w:rsidRPr="00B2713B" w:rsidRDefault="00B2713B" w:rsidP="00B2713B">
      <w:pPr>
        <w:numPr>
          <w:ilvl w:val="0"/>
          <w:numId w:val="7"/>
        </w:numPr>
      </w:pPr>
      <w:r w:rsidRPr="00B2713B">
        <w:t>Strengthen disaster response mechanisms to ensure accessible alert systems, transportation, and programs to mitigate the impact of climate change on the most vulnerable communities.</w:t>
      </w:r>
    </w:p>
    <w:p w14:paraId="7BDEEC2B" w14:textId="77777777" w:rsidR="00B2713B" w:rsidRPr="00B2713B" w:rsidRDefault="004964FD" w:rsidP="00B2713B">
      <w:r>
        <w:rPr>
          <w:noProof/>
        </w:rPr>
        <w:pict w14:anchorId="28BCBC09">
          <v:rect id="_x0000_i1031" alt="" style="width:468pt;height:.05pt;mso-width-percent:0;mso-height-percent:0;mso-width-percent:0;mso-height-percent:0" o:hralign="center" o:hrstd="t" o:hr="t" fillcolor="#a0a0a0" stroked="f"/>
        </w:pict>
      </w:r>
    </w:p>
    <w:p w14:paraId="32172CC7" w14:textId="77777777" w:rsidR="00B2713B" w:rsidRPr="00B2713B" w:rsidRDefault="00B2713B" w:rsidP="00B2713B">
      <w:pPr>
        <w:rPr>
          <w:b/>
          <w:bCs/>
        </w:rPr>
      </w:pPr>
      <w:r w:rsidRPr="00B2713B">
        <w:rPr>
          <w:b/>
          <w:bCs/>
        </w:rPr>
        <w:t>Right to Physical and Mental Health (Article 12)</w:t>
      </w:r>
    </w:p>
    <w:p w14:paraId="3E1D8B36" w14:textId="77777777" w:rsidR="00B2713B" w:rsidRPr="00B2713B" w:rsidRDefault="00B2713B" w:rsidP="00B2713B">
      <w:r w:rsidRPr="00B2713B">
        <w:t>The right to health for persons with disabilities in Peru remains hindered by structural inequalities in accessibility, quality, and availability of services.</w:t>
      </w:r>
    </w:p>
    <w:p w14:paraId="0E7263F2" w14:textId="77777777" w:rsidR="00B2713B" w:rsidRPr="00B2713B" w:rsidRDefault="00B2713B" w:rsidP="00B2713B">
      <w:r w:rsidRPr="00B2713B">
        <w:lastRenderedPageBreak/>
        <w:t>Despite commitments to inclusive healthcare, including the launch of the Multisectoral Disability Policy for Development by 2030, progress has been insufficient. Barriers to healthcare, particularly during the COVID-19 pandemic, have highlighted critical gaps. As of the most recent census, 77.3% of persons with disabilities (2,358,672 individuals) had health insurance, while 22.7% (692,940) remained uninsured. The majority were covered by the Comprehensive Health Insurance (SIS) program (54.2%), followed by Social Health Insurance (EsSalud) (26.4%).</w:t>
      </w:r>
    </w:p>
    <w:p w14:paraId="5570FFC6" w14:textId="77777777" w:rsidR="00B2713B" w:rsidRPr="00B2713B" w:rsidRDefault="00B2713B" w:rsidP="00B2713B">
      <w:r w:rsidRPr="00B2713B">
        <w:t>However, SIS's limited coverage impacts the ability of persons with disabilities to access the recurring or specialized medical care they often require. Accessibility challenges extend to health facilities, with 29.3% of persons with disabilities reporting difficulties entering or navigating health establishments, and 18.9% encountering the same issues at rehabilitation centers. This situation worsens in rural areas, where 39.5% face these obstacles.</w:t>
      </w:r>
    </w:p>
    <w:p w14:paraId="6B1125FE" w14:textId="16160858" w:rsidR="00B2713B" w:rsidRDefault="00B2713B" w:rsidP="00B2713B">
      <w:r w:rsidRPr="00B2713B">
        <w:t xml:space="preserve">Assistive technology is another area where significant gaps persist. Although Peru's </w:t>
      </w:r>
      <w:hyperlink r:id="rId12" w:history="1">
        <w:r w:rsidRPr="0008081A">
          <w:rPr>
            <w:rStyle w:val="Hyperlink"/>
          </w:rPr>
          <w:t>General Disability Law</w:t>
        </w:r>
      </w:hyperlink>
      <w:r w:rsidRPr="00B2713B">
        <w:t xml:space="preserve"> mandates access to mobility aids and technical devices, such provisions are inconsistently delivered. Those without insurance rely on donations to acquire necessary devices such as wheelchairs, prosthetics, or crutches.</w:t>
      </w:r>
    </w:p>
    <w:p w14:paraId="387A2599" w14:textId="77777777" w:rsidR="006F0FE3" w:rsidRPr="006F0FE3" w:rsidRDefault="006F0FE3" w:rsidP="006F0FE3">
      <w:pPr>
        <w:pStyle w:val="NormalWeb"/>
        <w:rPr>
          <w:rFonts w:asciiTheme="minorHAnsi" w:hAnsiTheme="minorHAnsi" w:cstheme="minorHAnsi"/>
        </w:rPr>
      </w:pPr>
      <w:r w:rsidRPr="006F0FE3">
        <w:rPr>
          <w:rFonts w:asciiTheme="minorHAnsi" w:hAnsiTheme="minorHAnsi" w:cstheme="minorHAnsi"/>
        </w:rPr>
        <w:t xml:space="preserve">On the other hand, the </w:t>
      </w:r>
      <w:r w:rsidRPr="00EF0502">
        <w:rPr>
          <w:rFonts w:asciiTheme="minorHAnsi" w:hAnsiTheme="minorHAnsi" w:cstheme="minorHAnsi"/>
          <w:b/>
          <w:bCs/>
        </w:rPr>
        <w:t xml:space="preserve">Early Intervention Program </w:t>
      </w:r>
      <w:r w:rsidRPr="006F0FE3">
        <w:rPr>
          <w:rFonts w:asciiTheme="minorHAnsi" w:hAnsiTheme="minorHAnsi" w:cstheme="minorHAnsi"/>
        </w:rPr>
        <w:t>(PRITE) is an educational service that provides specialized non-school-based prevention, detection, and educational care for children under three years of age with disabilities or at risk of acquiring them, promoting a timely transition to regular basic education. This service has two shortcomings:</w:t>
      </w:r>
    </w:p>
    <w:p w14:paraId="6A9A0772" w14:textId="6A203E67" w:rsidR="006F0FE3" w:rsidRPr="006F0FE3" w:rsidRDefault="00EF0502" w:rsidP="006F0FE3">
      <w:pPr>
        <w:pStyle w:val="NormalWeb"/>
        <w:numPr>
          <w:ilvl w:val="0"/>
          <w:numId w:val="12"/>
        </w:numPr>
        <w:rPr>
          <w:rFonts w:asciiTheme="minorHAnsi" w:hAnsiTheme="minorHAnsi" w:cstheme="minorHAnsi"/>
        </w:rPr>
      </w:pPr>
      <w:hyperlink r:id="rId13" w:history="1">
        <w:r w:rsidR="006F0FE3" w:rsidRPr="00EF0502">
          <w:rPr>
            <w:rStyle w:val="Hyperlink"/>
            <w:rFonts w:asciiTheme="minorHAnsi" w:hAnsiTheme="minorHAnsi" w:cstheme="minorHAnsi"/>
          </w:rPr>
          <w:t>Only 35.1% of the demand is met</w:t>
        </w:r>
      </w:hyperlink>
      <w:r w:rsidR="006F0FE3" w:rsidRPr="006F0FE3">
        <w:rPr>
          <w:rFonts w:asciiTheme="minorHAnsi" w:hAnsiTheme="minorHAnsi" w:cstheme="minorHAnsi"/>
        </w:rPr>
        <w:t>. A total of 4,069 children under the age of 3 with disabilities or at risk of acquiring them accessed PRITE at the national level in 2021, while the total number of children in this condition is 11,583.</w:t>
      </w:r>
    </w:p>
    <w:p w14:paraId="4101204B" w14:textId="47A04594" w:rsidR="006F0FE3" w:rsidRDefault="006F0FE3" w:rsidP="006F0FE3">
      <w:pPr>
        <w:pStyle w:val="NormalWeb"/>
        <w:numPr>
          <w:ilvl w:val="0"/>
          <w:numId w:val="12"/>
        </w:numPr>
        <w:rPr>
          <w:rFonts w:asciiTheme="minorHAnsi" w:hAnsiTheme="minorHAnsi" w:cstheme="minorHAnsi"/>
        </w:rPr>
      </w:pPr>
      <w:r w:rsidRPr="006F0FE3">
        <w:rPr>
          <w:rFonts w:asciiTheme="minorHAnsi" w:hAnsiTheme="minorHAnsi" w:cstheme="minorHAnsi"/>
        </w:rPr>
        <w:br/>
        <w:t>b) Care is restricted to children up to the age of 3, which can create a gap that especially affects those requiring specific stimulation and therapies due to late diagnoses (as in the case of autism) or for prolonged periods.</w:t>
      </w:r>
    </w:p>
    <w:p w14:paraId="65634847" w14:textId="730F932C" w:rsidR="006F0FE3" w:rsidRPr="006F0FE3" w:rsidRDefault="00EF0502" w:rsidP="006F0FE3">
      <w:pPr>
        <w:pStyle w:val="NormalWeb"/>
        <w:rPr>
          <w:rFonts w:asciiTheme="minorHAnsi" w:hAnsiTheme="minorHAnsi" w:cstheme="minorHAnsi"/>
        </w:rPr>
      </w:pPr>
      <w:hyperlink r:id="rId14" w:history="1">
        <w:r w:rsidR="006F0FE3" w:rsidRPr="00EF0502">
          <w:rPr>
            <w:rStyle w:val="Hyperlink"/>
            <w:rFonts w:asciiTheme="minorHAnsi" w:hAnsiTheme="minorHAnsi" w:cstheme="minorHAnsi"/>
          </w:rPr>
          <w:t>Women with disabilities face multiple obstacles in accessing sexual and reproductive health services</w:t>
        </w:r>
      </w:hyperlink>
      <w:r w:rsidR="006F0FE3" w:rsidRPr="006F0FE3">
        <w:rPr>
          <w:rFonts w:asciiTheme="minorHAnsi" w:hAnsiTheme="minorHAnsi" w:cstheme="minorHAnsi"/>
        </w:rPr>
        <w:t>. A report by the Ombudsman's Office</w:t>
      </w:r>
      <w:r w:rsidR="0092798A" w:rsidRPr="0092798A">
        <w:rPr>
          <w:rFonts w:asciiTheme="minorHAnsi" w:hAnsiTheme="minorHAnsi" w:cstheme="minorHAnsi"/>
          <w:lang w:val="en-US"/>
        </w:rPr>
        <w:t xml:space="preserve"> of Peru</w:t>
      </w:r>
      <w:r w:rsidR="006F0FE3" w:rsidRPr="006F0FE3">
        <w:rPr>
          <w:rFonts w:asciiTheme="minorHAnsi" w:hAnsiTheme="minorHAnsi" w:cstheme="minorHAnsi"/>
        </w:rPr>
        <w:t xml:space="preserve"> highlights that the main issues include a lack of accessible information, discrimination, and inadequate training of healthcare personnel.</w:t>
      </w:r>
    </w:p>
    <w:p w14:paraId="45642758" w14:textId="3BEA7E81" w:rsidR="006F0FE3" w:rsidRPr="006F0FE3" w:rsidRDefault="006F0FE3" w:rsidP="006F0FE3">
      <w:pPr>
        <w:pStyle w:val="NormalWeb"/>
        <w:rPr>
          <w:rFonts w:asciiTheme="minorHAnsi" w:hAnsiTheme="minorHAnsi" w:cstheme="minorHAnsi"/>
        </w:rPr>
      </w:pPr>
      <w:r w:rsidRPr="006F0FE3">
        <w:rPr>
          <w:rFonts w:asciiTheme="minorHAnsi" w:hAnsiTheme="minorHAnsi" w:cstheme="minorHAnsi"/>
        </w:rPr>
        <w:t>It is common for services to be denied due to prejudices about the ability of women with disabilities to have an active sexual life or make decisions about motherhood. This limits their autonomy and places them in a situation of vulnerability.</w:t>
      </w:r>
    </w:p>
    <w:p w14:paraId="0BEB8407" w14:textId="77777777" w:rsidR="00B2713B" w:rsidRPr="00B2713B" w:rsidRDefault="004964FD" w:rsidP="00B2713B">
      <w:r>
        <w:rPr>
          <w:noProof/>
        </w:rPr>
        <w:pict w14:anchorId="6B866BA0">
          <v:rect id="_x0000_i1030" alt="" style="width:468pt;height:.05pt;mso-width-percent:0;mso-height-percent:0;mso-width-percent:0;mso-height-percent:0" o:hralign="center" o:hrstd="t" o:hr="t" fillcolor="#a0a0a0" stroked="f"/>
        </w:pict>
      </w:r>
    </w:p>
    <w:p w14:paraId="144AEA82" w14:textId="77777777" w:rsidR="0092798A" w:rsidRDefault="0092798A" w:rsidP="00D61EF1">
      <w:pPr>
        <w:rPr>
          <w:b/>
          <w:bCs/>
        </w:rPr>
      </w:pPr>
    </w:p>
    <w:p w14:paraId="6F6029F4" w14:textId="6147A327" w:rsidR="00D61EF1" w:rsidRPr="00D61EF1" w:rsidRDefault="00D61EF1" w:rsidP="00D61EF1">
      <w:pPr>
        <w:rPr>
          <w:b/>
          <w:bCs/>
        </w:rPr>
      </w:pPr>
      <w:r w:rsidRPr="00D61EF1">
        <w:rPr>
          <w:b/>
          <w:bCs/>
        </w:rPr>
        <w:lastRenderedPageBreak/>
        <w:t>Right to Physical and Mental Health (Article 12) (Continued)</w:t>
      </w:r>
    </w:p>
    <w:p w14:paraId="57366821" w14:textId="77777777" w:rsidR="00D61EF1" w:rsidRPr="00D61EF1" w:rsidRDefault="00D61EF1" w:rsidP="00D61EF1">
      <w:r w:rsidRPr="00D61EF1">
        <w:t>Issues related to mental health services include the lack of integration and coordination among community mental health centers (CSMCs), regional governments, EsSalud, the military health system, and the private sector. Each system operates independently, with no unified digital platform to facilitate data exchange. The absence of inter-institutional referral protocols obstructs access to uninterrupted mental health services regardless of location or health system.</w:t>
      </w:r>
    </w:p>
    <w:p w14:paraId="5A036940" w14:textId="2E03FEBE" w:rsidR="0008081A" w:rsidRDefault="00D61EF1" w:rsidP="00D61EF1">
      <w:r w:rsidRPr="00D61EF1">
        <w:t>Furthermore, many CSMCs operate in rented or borrowed spaces, leading to frequent relocations. These changes disrupt service continuity, especially for individuals with reduced mobility, as many locations fail to meet basic accessibility standards or provide adequate conditions for therapy, private consultations, or psychosocial rehabilitation activities. For example, the sudden relocation of the Ilarimun CSMC in Los Olivos negatively impacted over 3,000 users.</w:t>
      </w:r>
    </w:p>
    <w:p w14:paraId="5469D97A" w14:textId="2933B54F" w:rsidR="00D61EF1" w:rsidRPr="00D61EF1" w:rsidRDefault="00D61EF1" w:rsidP="00D61EF1">
      <w:r w:rsidRPr="00D61EF1">
        <w:t xml:space="preserve">Between January 2022 and January 2023, </w:t>
      </w:r>
      <w:hyperlink r:id="rId15" w:history="1">
        <w:r w:rsidRPr="00EC26A4">
          <w:rPr>
            <w:rStyle w:val="Hyperlink"/>
          </w:rPr>
          <w:t>248 CSMCs reported shortages of 32 types of psychiatric medications</w:t>
        </w:r>
      </w:hyperlink>
      <w:r w:rsidRPr="00D61EF1">
        <w:t xml:space="preserve"> for extended periods, as recorded by the General Directorate of Medicines, Supplies, and Drugs (Digemid). This affected over a million users, endangering their treatment continuity and, in severe cases, their lives.</w:t>
      </w:r>
    </w:p>
    <w:p w14:paraId="68E7798A" w14:textId="77777777" w:rsidR="00EF0502" w:rsidRDefault="00D61EF1" w:rsidP="00D61EF1">
      <w:r w:rsidRPr="00D61EF1">
        <w:t xml:space="preserve">The lack of informed consent in mental health services is another persistent issue. Despite being legally mandated, the requirement for users to be informed about the benefits and risks of their treatment is frequently ignored. This omission can lead to severe health complications and inadequate care. </w:t>
      </w:r>
    </w:p>
    <w:p w14:paraId="7BC8F3B6" w14:textId="612895D3" w:rsidR="00D61EF1" w:rsidRPr="00D61EF1" w:rsidRDefault="00D61EF1" w:rsidP="00D61EF1">
      <w:r w:rsidRPr="00D61EF1">
        <w:t xml:space="preserve">Psychiatric violence, including forced hospitalizations, excessive medication without consent, and degrading treatment, remains prevalent despite legal guarantees of respectful and dignified care. Notable cases, such as that of Belisa Sighuas, </w:t>
      </w:r>
      <w:r w:rsidR="00EF0502">
        <w:t>who voluntarily admitted herself to the Caravedo Clinic, located in the city of Lima, to treat depression, without imagining that she would be tortured: she was tied hand and foot and sedated to the point where she could not eat. Additionally, she was put in a diaper to avoid being moved to the bathroom. The clinic temporarily closed following her complaint; however, to this day, it continues to operate normally, highlighting the lack of clear sanctions for establishments that violate human rights.</w:t>
      </w:r>
    </w:p>
    <w:p w14:paraId="673A7783" w14:textId="620300C1" w:rsidR="00D61EF1" w:rsidRPr="00D61EF1" w:rsidRDefault="00D61EF1" w:rsidP="00D61EF1">
      <w:r w:rsidRPr="00D61EF1">
        <w:t xml:space="preserve">Reports also reveal that "therapeutic centers" for persons with disabilities, including autistic children, </w:t>
      </w:r>
      <w:hyperlink r:id="rId16" w:history="1">
        <w:r w:rsidRPr="00EC26A4">
          <w:rPr>
            <w:rStyle w:val="Hyperlink"/>
          </w:rPr>
          <w:t>have engaged in abusive practices</w:t>
        </w:r>
      </w:hyperlink>
      <w:r w:rsidRPr="00D61EF1">
        <w:t>. For instance, in CETDIN (a specialized therapeutic center for children), minors as young as four were tied to chairs with packing tape, which was also used to cover their mouths to silence them.</w:t>
      </w:r>
    </w:p>
    <w:p w14:paraId="4907DA18" w14:textId="77777777" w:rsidR="00D61EF1" w:rsidRPr="00D61EF1" w:rsidRDefault="004964FD" w:rsidP="00D61EF1">
      <w:r>
        <w:rPr>
          <w:noProof/>
        </w:rPr>
        <w:pict w14:anchorId="2FB5ACEA">
          <v:rect id="_x0000_i1029" alt="" style="width:468pt;height:.05pt;mso-width-percent:0;mso-height-percent:0;mso-width-percent:0;mso-height-percent:0" o:hralign="center" o:hrstd="t" o:hr="t" fillcolor="#a0a0a0" stroked="f"/>
        </w:pict>
      </w:r>
    </w:p>
    <w:p w14:paraId="67CAE544" w14:textId="77777777" w:rsidR="00122C24" w:rsidRPr="00B2713B" w:rsidRDefault="00122C24" w:rsidP="00122C24">
      <w:pPr>
        <w:rPr>
          <w:b/>
          <w:bCs/>
        </w:rPr>
      </w:pPr>
      <w:r w:rsidRPr="00B2713B">
        <w:rPr>
          <w:b/>
          <w:bCs/>
        </w:rPr>
        <w:lastRenderedPageBreak/>
        <w:t>RECOMMENDATIONS TO THE COMMITTEE</w:t>
      </w:r>
    </w:p>
    <w:p w14:paraId="6DCA516B" w14:textId="77777777" w:rsidR="00122C24" w:rsidRPr="00B2713B" w:rsidRDefault="00122C24" w:rsidP="00122C24">
      <w:pPr>
        <w:numPr>
          <w:ilvl w:val="0"/>
          <w:numId w:val="8"/>
        </w:numPr>
      </w:pPr>
      <w:r w:rsidRPr="00B2713B">
        <w:t>Ensure physical and technological accessibility in healthcare facilities, along with adequate equipment and trained personnel specializing in disability and gender diversity.</w:t>
      </w:r>
    </w:p>
    <w:p w14:paraId="05A26F69" w14:textId="77777777" w:rsidR="00122C24" w:rsidRPr="00B2713B" w:rsidRDefault="00122C24" w:rsidP="00122C24">
      <w:pPr>
        <w:numPr>
          <w:ilvl w:val="0"/>
          <w:numId w:val="8"/>
        </w:numPr>
      </w:pPr>
      <w:r w:rsidRPr="00B2713B">
        <w:t>Implement mandatory, continuous training programs on health, mental health, and disability with a focus on humanized and rights-based care.</w:t>
      </w:r>
    </w:p>
    <w:p w14:paraId="4398B43C" w14:textId="77777777" w:rsidR="00122C24" w:rsidRPr="00B2713B" w:rsidRDefault="00122C24" w:rsidP="00122C24">
      <w:pPr>
        <w:numPr>
          <w:ilvl w:val="0"/>
          <w:numId w:val="8"/>
        </w:numPr>
      </w:pPr>
      <w:r w:rsidRPr="00B2713B">
        <w:t>Promote self-advocacy and leadership by ensuring active participation of persons with disabilities in decision-making processes.</w:t>
      </w:r>
    </w:p>
    <w:p w14:paraId="54473843" w14:textId="77777777" w:rsidR="00122C24" w:rsidRPr="00B2713B" w:rsidRDefault="00122C24" w:rsidP="00122C24">
      <w:pPr>
        <w:numPr>
          <w:ilvl w:val="0"/>
          <w:numId w:val="8"/>
        </w:numPr>
      </w:pPr>
      <w:r w:rsidRPr="00B2713B">
        <w:t>Adjust SUSALUD's regulations to safeguard the rights of persons with psychosocial disabilities, ensuring informed consent and freedom for those involuntarily admitted to healthcare facilities.</w:t>
      </w:r>
    </w:p>
    <w:p w14:paraId="4B4653B5" w14:textId="77777777" w:rsidR="00122C24" w:rsidRDefault="00122C24" w:rsidP="00122C24">
      <w:pPr>
        <w:numPr>
          <w:ilvl w:val="0"/>
          <w:numId w:val="8"/>
        </w:numPr>
      </w:pPr>
      <w:r w:rsidRPr="00B2713B">
        <w:t>Strengthen oversight of coercive measures in public and private institutions, conducting unannounced inspections and holding violators accountable under the law.</w:t>
      </w:r>
    </w:p>
    <w:p w14:paraId="5B8B6262" w14:textId="77777777" w:rsidR="00D61EF1" w:rsidRPr="00D61EF1" w:rsidRDefault="004964FD" w:rsidP="00D61EF1">
      <w:r>
        <w:rPr>
          <w:noProof/>
        </w:rPr>
        <w:pict w14:anchorId="67B75756">
          <v:rect id="_x0000_i1028" alt="" style="width:468pt;height:.05pt;mso-width-percent:0;mso-height-percent:0;mso-width-percent:0;mso-height-percent:0" o:hralign="center" o:hrstd="t" o:hr="t" fillcolor="#a0a0a0" stroked="f"/>
        </w:pict>
      </w:r>
    </w:p>
    <w:p w14:paraId="2B9DB0B9" w14:textId="77777777" w:rsidR="0008081A" w:rsidRDefault="0008081A" w:rsidP="00D61EF1">
      <w:pPr>
        <w:rPr>
          <w:b/>
          <w:bCs/>
        </w:rPr>
      </w:pPr>
    </w:p>
    <w:p w14:paraId="0D4A1EB9" w14:textId="18EBDD83" w:rsidR="00D61EF1" w:rsidRPr="00D61EF1" w:rsidRDefault="00D61EF1" w:rsidP="00D61EF1">
      <w:pPr>
        <w:rPr>
          <w:b/>
          <w:bCs/>
        </w:rPr>
      </w:pPr>
      <w:r w:rsidRPr="00D61EF1">
        <w:rPr>
          <w:b/>
          <w:bCs/>
        </w:rPr>
        <w:t>Right to Education (Articles 13 and 14)</w:t>
      </w:r>
    </w:p>
    <w:p w14:paraId="6F895FDE" w14:textId="77777777" w:rsidR="00D61EF1" w:rsidRPr="00D61EF1" w:rsidRDefault="00D61EF1" w:rsidP="00D61EF1">
      <w:r w:rsidRPr="00D61EF1">
        <w:t>Access to inclusive, quality education remains a critical challenge in Peru, especially for persons with disabilities. Although the General Education Law No. 28044 guarantees the right to education for all under equal conditions, structural barriers prevent full access and participation for students with disabilities. As of the 2021 School Census, 58% of children and adolescents with disabilities were out of the education system.</w:t>
      </w:r>
    </w:p>
    <w:p w14:paraId="042FBE7D" w14:textId="77777777" w:rsidR="00D61EF1" w:rsidRPr="00D61EF1" w:rsidRDefault="00D61EF1" w:rsidP="00D61EF1">
      <w:r w:rsidRPr="00D61EF1">
        <w:t>Discriminatory enrollment practices are common, with verbal denials of admission making it difficult to pursue administrative complaints or legal action. Although Ministerial Resolution No. 447-2020-MINEDU requires schools to reserve at least two spots per class for students with disabilities, implementation has been insufficient to eliminate these practices.</w:t>
      </w:r>
    </w:p>
    <w:p w14:paraId="36AB782F" w14:textId="77777777" w:rsidR="00D61EF1" w:rsidRPr="00D61EF1" w:rsidRDefault="00D61EF1" w:rsidP="00D61EF1">
      <w:r w:rsidRPr="00D61EF1">
        <w:t>Educational institutions fail to provide the necessary support for students with disabilities to participate fully in school life. Families report being required to cover additional costs, such as higher fees, external psychopedagogical evaluations, or therapies, to maintain enrollment. They also highlight the lack of reasonable accommodations, exclusion from activities, and instances of violence against students with disabilities.</w:t>
      </w:r>
    </w:p>
    <w:p w14:paraId="6B2E7472" w14:textId="77777777" w:rsidR="00D61EF1" w:rsidRPr="00D61EF1" w:rsidRDefault="00D61EF1" w:rsidP="00D61EF1">
      <w:r w:rsidRPr="00D61EF1">
        <w:t>Only 0.7% of schools in the country are fully accessible, according to the Ombudsman's Office. This lack of infrastructure impedes attendance and participation.</w:t>
      </w:r>
    </w:p>
    <w:p w14:paraId="70361D4A" w14:textId="77777777" w:rsidR="00D61EF1" w:rsidRPr="00D61EF1" w:rsidRDefault="00D61EF1" w:rsidP="00D61EF1">
      <w:r w:rsidRPr="00D61EF1">
        <w:lastRenderedPageBreak/>
        <w:t>The COVID-19 pandemic exacerbated inequalities, with the government’s "Aprendo en Casa" virtual learning program being inaccessible for many students with disabilities due to the lack of subtitles, assistive formats, and internet access in rural areas.</w:t>
      </w:r>
    </w:p>
    <w:p w14:paraId="670EA507" w14:textId="77777777" w:rsidR="00D61EF1" w:rsidRPr="00D61EF1" w:rsidRDefault="00D61EF1" w:rsidP="00D61EF1">
      <w:r w:rsidRPr="00D61EF1">
        <w:t>Although Educational Support Services (SAE) were launched in 2021 to provide technical and pedagogical support, implementation has been limited to 8 out of 26 regions. No budget increases have been allocated for its expansion in 2025.</w:t>
      </w:r>
    </w:p>
    <w:p w14:paraId="37DDF534" w14:textId="77777777" w:rsidR="00D61EF1" w:rsidRPr="00D61EF1" w:rsidRDefault="004964FD" w:rsidP="00D61EF1">
      <w:r>
        <w:rPr>
          <w:noProof/>
        </w:rPr>
        <w:pict w14:anchorId="7F9E5F45">
          <v:rect id="_x0000_i1027" alt="" style="width:468pt;height:.05pt;mso-width-percent:0;mso-height-percent:0;mso-width-percent:0;mso-height-percent:0" o:hralign="center" o:hrstd="t" o:hr="t" fillcolor="#a0a0a0" stroked="f"/>
        </w:pict>
      </w:r>
    </w:p>
    <w:p w14:paraId="5914A8CD" w14:textId="77777777" w:rsidR="00D61EF1" w:rsidRPr="00D61EF1" w:rsidRDefault="00D61EF1" w:rsidP="00D61EF1">
      <w:pPr>
        <w:rPr>
          <w:b/>
          <w:bCs/>
        </w:rPr>
      </w:pPr>
      <w:r w:rsidRPr="00D61EF1">
        <w:rPr>
          <w:b/>
          <w:bCs/>
        </w:rPr>
        <w:t>RECOMMENDATIONS TO THE COMMITTEE</w:t>
      </w:r>
    </w:p>
    <w:p w14:paraId="089CA34F" w14:textId="77777777" w:rsidR="00D61EF1" w:rsidRPr="00D61EF1" w:rsidRDefault="00D61EF1" w:rsidP="00D61EF1">
      <w:pPr>
        <w:numPr>
          <w:ilvl w:val="0"/>
          <w:numId w:val="10"/>
        </w:numPr>
      </w:pPr>
      <w:r w:rsidRPr="00D61EF1">
        <w:t>Establish effective mechanisms to report and sanction discriminatory enrollment practices in educational institutions.</w:t>
      </w:r>
    </w:p>
    <w:p w14:paraId="7C31B136" w14:textId="77777777" w:rsidR="00D61EF1" w:rsidRPr="00D61EF1" w:rsidRDefault="00D61EF1" w:rsidP="00D61EF1">
      <w:pPr>
        <w:numPr>
          <w:ilvl w:val="0"/>
          <w:numId w:val="10"/>
        </w:numPr>
      </w:pPr>
      <w:r w:rsidRPr="00D61EF1">
        <w:t>Allocate sufficient financial resources to expand Educational Support Services nationwide, ensuring sustainability.</w:t>
      </w:r>
    </w:p>
    <w:p w14:paraId="19686892" w14:textId="77777777" w:rsidR="00D61EF1" w:rsidRPr="00D61EF1" w:rsidRDefault="00D61EF1" w:rsidP="00D61EF1">
      <w:pPr>
        <w:numPr>
          <w:ilvl w:val="0"/>
          <w:numId w:val="10"/>
        </w:numPr>
      </w:pPr>
      <w:r w:rsidRPr="00D61EF1">
        <w:t>Develop urgent strategies to identify and reintegrate children with disabilities who are out of school, ensuring their inclusion in basic education programs.</w:t>
      </w:r>
    </w:p>
    <w:p w14:paraId="55805792" w14:textId="77777777" w:rsidR="00D61EF1" w:rsidRPr="00D61EF1" w:rsidRDefault="00D61EF1" w:rsidP="00D61EF1">
      <w:pPr>
        <w:numPr>
          <w:ilvl w:val="0"/>
          <w:numId w:val="10"/>
        </w:numPr>
      </w:pPr>
      <w:r w:rsidRPr="00D61EF1">
        <w:t>Strengthen anti-bullying strategies, with particular attention to students with disabilities.</w:t>
      </w:r>
    </w:p>
    <w:p w14:paraId="37AC4E29" w14:textId="77777777" w:rsidR="00D61EF1" w:rsidRPr="00D61EF1" w:rsidRDefault="004964FD" w:rsidP="00D61EF1">
      <w:r>
        <w:rPr>
          <w:noProof/>
        </w:rPr>
        <w:pict w14:anchorId="79B9E2E2">
          <v:rect id="_x0000_i1026" alt="" style="width:468pt;height:.05pt;mso-width-percent:0;mso-height-percent:0;mso-width-percent:0;mso-height-percent:0" o:hralign="center" o:hrstd="t" o:hr="t" fillcolor="#a0a0a0" stroked="f"/>
        </w:pict>
      </w:r>
    </w:p>
    <w:p w14:paraId="683F57BB" w14:textId="77777777" w:rsidR="00D61EF1" w:rsidRPr="00D61EF1" w:rsidRDefault="00D61EF1" w:rsidP="00D61EF1">
      <w:pPr>
        <w:rPr>
          <w:b/>
          <w:bCs/>
        </w:rPr>
      </w:pPr>
      <w:r w:rsidRPr="00D61EF1">
        <w:rPr>
          <w:b/>
          <w:bCs/>
        </w:rPr>
        <w:t>Cultural Rights (Article 15)</w:t>
      </w:r>
    </w:p>
    <w:p w14:paraId="61157CCB" w14:textId="77777777" w:rsidR="00D61EF1" w:rsidRPr="00D61EF1" w:rsidRDefault="00D61EF1" w:rsidP="00D61EF1">
      <w:r w:rsidRPr="00D61EF1">
        <w:t>The right to participate in cultural life is severely restricted due to a lack of accessibility in cultural and recreational activities. Physical barriers persist in public spaces such as cultural buildings, parks, beaches, and stadiums, limiting participation.</w:t>
      </w:r>
    </w:p>
    <w:p w14:paraId="10616C1D" w14:textId="77777777" w:rsidR="00D61EF1" w:rsidRPr="00D61EF1" w:rsidRDefault="00D61EF1" w:rsidP="00D61EF1">
      <w:r w:rsidRPr="00D61EF1">
        <w:t>For the deaf community, the implementation of Law No. 29535, which recognizes Peruvian Sign Language, remains incomplete. The Ministry of Education has failed to approve the qualifications for sign language interpreters. Recent legislative proposals to modify this law, without consulting the deaf community, threaten to downgrade Peruvian Sign Language to a "linguistic system" rather than recognizing it as a natural, autonomous language with its own grammar. This move undermines the rights of the deaf community.</w:t>
      </w:r>
    </w:p>
    <w:p w14:paraId="047D4B63" w14:textId="77777777" w:rsidR="00D61EF1" w:rsidRPr="00D61EF1" w:rsidRDefault="00D61EF1" w:rsidP="00D61EF1">
      <w:r w:rsidRPr="00D61EF1">
        <w:t>Mass media also fail to incorporate accessibility features, such as sign language interpretation, subtitles, or audio descriptions, limiting access to cultural content and violating inclusion principles.</w:t>
      </w:r>
    </w:p>
    <w:p w14:paraId="55C1C6F1" w14:textId="77777777" w:rsidR="00D61EF1" w:rsidRPr="00D61EF1" w:rsidRDefault="004964FD" w:rsidP="00D61EF1">
      <w:r>
        <w:rPr>
          <w:noProof/>
        </w:rPr>
        <w:pict w14:anchorId="6B41EC03">
          <v:rect id="_x0000_i1025" alt="" style="width:468pt;height:.05pt;mso-width-percent:0;mso-height-percent:0;mso-width-percent:0;mso-height-percent:0" o:hralign="center" o:hrstd="t" o:hr="t" fillcolor="#a0a0a0" stroked="f"/>
        </w:pict>
      </w:r>
    </w:p>
    <w:p w14:paraId="12AA3F43" w14:textId="77777777" w:rsidR="0092798A" w:rsidRDefault="0092798A" w:rsidP="00D61EF1">
      <w:pPr>
        <w:rPr>
          <w:b/>
          <w:bCs/>
        </w:rPr>
      </w:pPr>
    </w:p>
    <w:p w14:paraId="05F9EB50" w14:textId="191340D1" w:rsidR="00D61EF1" w:rsidRPr="00D61EF1" w:rsidRDefault="00D61EF1" w:rsidP="00D61EF1">
      <w:pPr>
        <w:rPr>
          <w:b/>
          <w:bCs/>
        </w:rPr>
      </w:pPr>
      <w:r w:rsidRPr="00D61EF1">
        <w:rPr>
          <w:b/>
          <w:bCs/>
        </w:rPr>
        <w:lastRenderedPageBreak/>
        <w:t>RECOMMENDATIONS TO THE COMMITTEE</w:t>
      </w:r>
    </w:p>
    <w:p w14:paraId="5FC514C8" w14:textId="77777777" w:rsidR="00D61EF1" w:rsidRPr="00D61EF1" w:rsidRDefault="00D61EF1" w:rsidP="00D61EF1">
      <w:pPr>
        <w:numPr>
          <w:ilvl w:val="0"/>
          <w:numId w:val="11"/>
        </w:numPr>
      </w:pPr>
      <w:r w:rsidRPr="00D61EF1">
        <w:t>Ensure physical accessibility in all spaces for recreational and cultural activities, including cultural buildings, parks, beaches, and stadiums, as well as in national media.</w:t>
      </w:r>
    </w:p>
    <w:p w14:paraId="26BB29C1" w14:textId="77777777" w:rsidR="00D61EF1" w:rsidRPr="00D61EF1" w:rsidRDefault="00D61EF1" w:rsidP="00D61EF1">
      <w:pPr>
        <w:numPr>
          <w:ilvl w:val="0"/>
          <w:numId w:val="11"/>
        </w:numPr>
      </w:pPr>
      <w:r w:rsidRPr="00D61EF1">
        <w:t>Expedite the implementation of laws regarding sign language interpretation, guaranteeing consultation with the deaf community for any legislative changes affecting them.</w:t>
      </w:r>
    </w:p>
    <w:p w14:paraId="5A98B564" w14:textId="77777777" w:rsidR="00D61EF1" w:rsidRPr="00B2713B" w:rsidRDefault="00D61EF1" w:rsidP="00D61EF1"/>
    <w:p w14:paraId="1ED8B236" w14:textId="77777777" w:rsidR="00B2713B" w:rsidRDefault="00B2713B"/>
    <w:sectPr w:rsidR="00B271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DA0DF" w14:textId="77777777" w:rsidR="004964FD" w:rsidRDefault="004964FD" w:rsidP="00477E93">
      <w:pPr>
        <w:spacing w:after="0" w:line="240" w:lineRule="auto"/>
      </w:pPr>
      <w:r>
        <w:separator/>
      </w:r>
    </w:p>
  </w:endnote>
  <w:endnote w:type="continuationSeparator" w:id="0">
    <w:p w14:paraId="23FDC9D5" w14:textId="77777777" w:rsidR="004964FD" w:rsidRDefault="004964FD" w:rsidP="00477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9DEDF" w14:textId="77777777" w:rsidR="004964FD" w:rsidRDefault="004964FD" w:rsidP="00477E93">
      <w:pPr>
        <w:spacing w:after="0" w:line="240" w:lineRule="auto"/>
      </w:pPr>
      <w:r>
        <w:separator/>
      </w:r>
    </w:p>
  </w:footnote>
  <w:footnote w:type="continuationSeparator" w:id="0">
    <w:p w14:paraId="051A9D10" w14:textId="77777777" w:rsidR="004964FD" w:rsidRDefault="004964FD" w:rsidP="00477E93">
      <w:pPr>
        <w:spacing w:after="0" w:line="240" w:lineRule="auto"/>
      </w:pPr>
      <w:r>
        <w:continuationSeparator/>
      </w:r>
    </w:p>
  </w:footnote>
  <w:footnote w:id="1">
    <w:p w14:paraId="5A0AEB70" w14:textId="528CADE4" w:rsidR="00477E93" w:rsidRPr="00477E93" w:rsidRDefault="00477E93">
      <w:pPr>
        <w:pStyle w:val="FootnoteText"/>
        <w:rPr>
          <w:lang w:val="es-ES"/>
        </w:rPr>
      </w:pPr>
      <w:r>
        <w:rPr>
          <w:rStyle w:val="FootnoteReference"/>
        </w:rPr>
        <w:footnoteRef/>
      </w:r>
      <w:r w:rsidRPr="00477E93">
        <w:rPr>
          <w:lang w:val="es-ES"/>
        </w:rPr>
        <w:t xml:space="preserve"> </w:t>
      </w:r>
      <w:r w:rsidRPr="00477E93">
        <w:rPr>
          <w:rFonts w:ascii="Arial" w:eastAsia="Arial" w:hAnsi="Arial" w:cs="Arial"/>
          <w:color w:val="000000"/>
          <w:szCs w:val="20"/>
          <w:lang w:val="es-ES"/>
        </w:rPr>
        <w:t xml:space="preserve">1. Andares, 2. Asociación Capaz Perú, 3. Asociación de Abogados con Discapacidad Visual, 4. Asociación de Desarrollo y Crecimiento Personal – ADECEP, </w:t>
      </w:r>
      <w:r w:rsidRPr="00477E93">
        <w:rPr>
          <w:rFonts w:ascii="Arial" w:eastAsia="Arial" w:hAnsi="Arial" w:cs="Arial"/>
          <w:szCs w:val="20"/>
          <w:lang w:val="es-ES"/>
        </w:rPr>
        <w:t>5</w:t>
      </w:r>
      <w:r w:rsidRPr="00477E93">
        <w:rPr>
          <w:rFonts w:ascii="Arial" w:eastAsia="Arial" w:hAnsi="Arial" w:cs="Arial"/>
          <w:color w:val="000000"/>
          <w:szCs w:val="20"/>
          <w:lang w:val="es-ES"/>
        </w:rPr>
        <w:t>. Asociación Help Them Hope,</w:t>
      </w:r>
      <w:r w:rsidRPr="00477E93">
        <w:rPr>
          <w:rFonts w:ascii="Arial" w:eastAsia="Arial" w:hAnsi="Arial" w:cs="Arial"/>
          <w:szCs w:val="20"/>
          <w:lang w:val="es-ES"/>
        </w:rPr>
        <w:t xml:space="preserve"> 6</w:t>
      </w:r>
      <w:r w:rsidRPr="00477E93">
        <w:rPr>
          <w:rFonts w:ascii="Arial" w:eastAsia="Arial" w:hAnsi="Arial" w:cs="Arial"/>
          <w:color w:val="000000"/>
          <w:szCs w:val="20"/>
          <w:lang w:val="es-ES"/>
        </w:rPr>
        <w:t xml:space="preserve">. Autismo Perú, </w:t>
      </w:r>
      <w:r w:rsidRPr="00477E93">
        <w:rPr>
          <w:rFonts w:ascii="Arial" w:eastAsia="Arial" w:hAnsi="Arial" w:cs="Arial"/>
          <w:szCs w:val="20"/>
          <w:lang w:val="es-ES"/>
        </w:rPr>
        <w:t>7</w:t>
      </w:r>
      <w:r w:rsidRPr="00477E93">
        <w:rPr>
          <w:rFonts w:ascii="Arial" w:eastAsia="Arial" w:hAnsi="Arial" w:cs="Arial"/>
          <w:color w:val="000000"/>
          <w:szCs w:val="20"/>
          <w:lang w:val="es-ES"/>
        </w:rPr>
        <w:t xml:space="preserve">. Aynimundo, </w:t>
      </w:r>
      <w:r w:rsidRPr="00477E93">
        <w:rPr>
          <w:rFonts w:ascii="Arial" w:eastAsia="Arial" w:hAnsi="Arial" w:cs="Arial"/>
          <w:szCs w:val="20"/>
          <w:lang w:val="es-ES"/>
        </w:rPr>
        <w:t>8.</w:t>
      </w:r>
      <w:r w:rsidRPr="00477E93">
        <w:rPr>
          <w:rFonts w:ascii="Arial" w:eastAsia="Arial" w:hAnsi="Arial" w:cs="Arial"/>
          <w:color w:val="000000"/>
          <w:szCs w:val="20"/>
          <w:lang w:val="es-ES"/>
        </w:rPr>
        <w:t xml:space="preserve"> Centro de Empoderamiento de Personas con Discapacidad – CEMPDIS, </w:t>
      </w:r>
      <w:r w:rsidRPr="00477E93">
        <w:rPr>
          <w:rFonts w:ascii="Arial" w:eastAsia="Arial" w:hAnsi="Arial" w:cs="Arial"/>
          <w:szCs w:val="20"/>
          <w:lang w:val="es-ES"/>
        </w:rPr>
        <w:t>9</w:t>
      </w:r>
      <w:r w:rsidRPr="00477E93">
        <w:rPr>
          <w:rFonts w:ascii="Arial" w:eastAsia="Arial" w:hAnsi="Arial" w:cs="Arial"/>
          <w:color w:val="000000"/>
          <w:szCs w:val="20"/>
          <w:lang w:val="es-ES"/>
        </w:rPr>
        <w:t>. Clínica Jurídica de Discapacidad y Derechos Humanos de la PUCP, 1</w:t>
      </w:r>
      <w:r w:rsidRPr="00477E93">
        <w:rPr>
          <w:rFonts w:ascii="Arial" w:eastAsia="Arial" w:hAnsi="Arial" w:cs="Arial"/>
          <w:szCs w:val="20"/>
          <w:lang w:val="es-ES"/>
        </w:rPr>
        <w:t>0</w:t>
      </w:r>
      <w:r w:rsidRPr="00477E93">
        <w:rPr>
          <w:rFonts w:ascii="Arial" w:eastAsia="Arial" w:hAnsi="Arial" w:cs="Arial"/>
          <w:color w:val="000000"/>
          <w:szCs w:val="20"/>
          <w:lang w:val="es-ES"/>
        </w:rPr>
        <w:t>. Comisión de Damas Invidentes del Perú – CODIP, 1</w:t>
      </w:r>
      <w:r w:rsidRPr="00477E93">
        <w:rPr>
          <w:rFonts w:ascii="Arial" w:eastAsia="Arial" w:hAnsi="Arial" w:cs="Arial"/>
          <w:szCs w:val="20"/>
          <w:lang w:val="es-ES"/>
        </w:rPr>
        <w:t>1</w:t>
      </w:r>
      <w:r w:rsidRPr="00477E93">
        <w:rPr>
          <w:rFonts w:ascii="Arial" w:eastAsia="Arial" w:hAnsi="Arial" w:cs="Arial"/>
          <w:color w:val="000000"/>
          <w:szCs w:val="20"/>
          <w:lang w:val="es-ES"/>
        </w:rPr>
        <w:t>. Coalición de Salud Mental y DD.HH., 1</w:t>
      </w:r>
      <w:r w:rsidRPr="00477E93">
        <w:rPr>
          <w:rFonts w:ascii="Arial" w:eastAsia="Arial" w:hAnsi="Arial" w:cs="Arial"/>
          <w:szCs w:val="20"/>
          <w:lang w:val="es-ES"/>
        </w:rPr>
        <w:t>2</w:t>
      </w:r>
      <w:r w:rsidRPr="00477E93">
        <w:rPr>
          <w:rFonts w:ascii="Arial" w:eastAsia="Arial" w:hAnsi="Arial" w:cs="Arial"/>
          <w:color w:val="000000"/>
          <w:szCs w:val="20"/>
          <w:lang w:val="es-ES"/>
        </w:rPr>
        <w:t xml:space="preserve">. Colectivo 21, </w:t>
      </w:r>
      <w:r w:rsidRPr="00477E93">
        <w:rPr>
          <w:rFonts w:ascii="Arial" w:eastAsia="Arial" w:hAnsi="Arial" w:cs="Arial"/>
          <w:szCs w:val="20"/>
          <w:lang w:val="es-ES"/>
        </w:rPr>
        <w:t>13. Equipo 21</w:t>
      </w:r>
      <w:r w:rsidRPr="00477E93">
        <w:rPr>
          <w:rFonts w:ascii="Arial" w:eastAsia="Arial" w:hAnsi="Arial" w:cs="Arial"/>
          <w:color w:val="000000"/>
          <w:szCs w:val="20"/>
          <w:lang w:val="es-ES"/>
        </w:rPr>
        <w:t>, 1</w:t>
      </w:r>
      <w:r w:rsidRPr="00477E93">
        <w:rPr>
          <w:rFonts w:ascii="Arial" w:eastAsia="Arial" w:hAnsi="Arial" w:cs="Arial"/>
          <w:szCs w:val="20"/>
          <w:lang w:val="es-ES"/>
        </w:rPr>
        <w:t>4</w:t>
      </w:r>
      <w:r w:rsidRPr="00477E93">
        <w:rPr>
          <w:rFonts w:ascii="Arial" w:eastAsia="Arial" w:hAnsi="Arial" w:cs="Arial"/>
          <w:color w:val="000000"/>
          <w:szCs w:val="20"/>
          <w:lang w:val="es-ES"/>
        </w:rPr>
        <w:t>. Federación Nacional de Mujeres con Discapacidad del Perú – FENAMUDIP, 1</w:t>
      </w:r>
      <w:r w:rsidRPr="00477E93">
        <w:rPr>
          <w:rFonts w:ascii="Arial" w:eastAsia="Arial" w:hAnsi="Arial" w:cs="Arial"/>
          <w:szCs w:val="20"/>
          <w:lang w:val="es-ES"/>
        </w:rPr>
        <w:t>5</w:t>
      </w:r>
      <w:r w:rsidRPr="00477E93">
        <w:rPr>
          <w:rFonts w:ascii="Arial" w:eastAsia="Arial" w:hAnsi="Arial" w:cs="Arial"/>
          <w:color w:val="000000"/>
          <w:szCs w:val="20"/>
          <w:lang w:val="es-ES"/>
        </w:rPr>
        <w:t>. Musas Inspiradoras de Cambios,</w:t>
      </w:r>
      <w:r w:rsidRPr="00477E93">
        <w:rPr>
          <w:rFonts w:ascii="Arial" w:eastAsia="Arial" w:hAnsi="Arial" w:cs="Arial"/>
          <w:szCs w:val="20"/>
          <w:lang w:val="es-ES"/>
        </w:rPr>
        <w:t xml:space="preserve"> 16. Maw LSP - Organización de Personas Sordas,</w:t>
      </w:r>
      <w:r w:rsidRPr="00477E93">
        <w:rPr>
          <w:rFonts w:ascii="Arial" w:eastAsia="Arial" w:hAnsi="Arial" w:cs="Arial"/>
          <w:color w:val="000000"/>
          <w:szCs w:val="20"/>
          <w:lang w:val="es-ES"/>
        </w:rPr>
        <w:t xml:space="preserve"> 1</w:t>
      </w:r>
      <w:r w:rsidRPr="00477E93">
        <w:rPr>
          <w:rFonts w:ascii="Arial" w:eastAsia="Arial" w:hAnsi="Arial" w:cs="Arial"/>
          <w:szCs w:val="20"/>
          <w:lang w:val="es-ES"/>
        </w:rPr>
        <w:t>7</w:t>
      </w:r>
      <w:r w:rsidRPr="00477E93">
        <w:rPr>
          <w:rFonts w:ascii="Arial" w:eastAsia="Arial" w:hAnsi="Arial" w:cs="Arial"/>
          <w:color w:val="000000"/>
          <w:szCs w:val="20"/>
          <w:lang w:val="es-ES"/>
        </w:rPr>
        <w:t>. Paz y Esperanza, 1</w:t>
      </w:r>
      <w:r w:rsidRPr="00477E93">
        <w:rPr>
          <w:rFonts w:ascii="Arial" w:eastAsia="Arial" w:hAnsi="Arial" w:cs="Arial"/>
          <w:szCs w:val="20"/>
          <w:lang w:val="es-ES"/>
        </w:rPr>
        <w:t>8</w:t>
      </w:r>
      <w:r w:rsidRPr="00477E93">
        <w:rPr>
          <w:rFonts w:ascii="Arial" w:eastAsia="Arial" w:hAnsi="Arial" w:cs="Arial"/>
          <w:color w:val="000000"/>
          <w:szCs w:val="20"/>
          <w:lang w:val="es-ES"/>
        </w:rPr>
        <w:t xml:space="preserve">. Perú Equidad, </w:t>
      </w:r>
      <w:r w:rsidRPr="00477E93">
        <w:rPr>
          <w:rFonts w:ascii="Arial" w:eastAsia="Arial" w:hAnsi="Arial" w:cs="Arial"/>
          <w:szCs w:val="20"/>
          <w:lang w:val="es-ES"/>
        </w:rPr>
        <w:t>19</w:t>
      </w:r>
      <w:r w:rsidRPr="00477E93">
        <w:rPr>
          <w:rFonts w:ascii="Arial" w:eastAsia="Arial" w:hAnsi="Arial" w:cs="Arial"/>
          <w:color w:val="000000"/>
          <w:szCs w:val="20"/>
          <w:lang w:val="es-ES"/>
        </w:rPr>
        <w:t xml:space="preserve">. Sociedad y Discapacidad – SODIS y </w:t>
      </w:r>
      <w:r w:rsidRPr="00477E93">
        <w:rPr>
          <w:rFonts w:ascii="Arial" w:eastAsia="Arial" w:hAnsi="Arial" w:cs="Arial"/>
          <w:szCs w:val="20"/>
          <w:lang w:val="es-ES"/>
        </w:rPr>
        <w:t>20</w:t>
      </w:r>
      <w:r w:rsidRPr="00477E93">
        <w:rPr>
          <w:rFonts w:ascii="Arial" w:eastAsia="Arial" w:hAnsi="Arial" w:cs="Arial"/>
          <w:color w:val="000000"/>
          <w:szCs w:val="20"/>
          <w:lang w:val="es-ES"/>
        </w:rPr>
        <w:t xml:space="preserve">. </w:t>
      </w:r>
      <w:r>
        <w:rPr>
          <w:rFonts w:ascii="Arial" w:eastAsia="Arial" w:hAnsi="Arial" w:cs="Arial"/>
          <w:color w:val="000000"/>
          <w:szCs w:val="20"/>
        </w:rPr>
        <w:t>Sociedad Peruana de Síndrome Down – SPSD.</w:t>
      </w:r>
    </w:p>
  </w:footnote>
  <w:footnote w:id="2">
    <w:p w14:paraId="4747D96E" w14:textId="25936223" w:rsidR="0008081A" w:rsidRPr="0008081A" w:rsidRDefault="0008081A">
      <w:pPr>
        <w:pStyle w:val="FootnoteText"/>
      </w:pPr>
      <w:r>
        <w:rPr>
          <w:rStyle w:val="FootnoteReference"/>
        </w:rPr>
        <w:footnoteRef/>
      </w:r>
      <w:r>
        <w:t xml:space="preserve"> </w:t>
      </w:r>
      <w:r w:rsidRPr="00B50D24">
        <w:rPr>
          <w:rFonts w:ascii="Arial" w:hAnsi="Arial" w:cs="Arial"/>
        </w:rPr>
        <w:t>Sodis. Social Protection and Disability: Deficiencies in the Peruvian System and Recommendations for the Effective Inclusion of People with Disabilities (2024).</w:t>
      </w:r>
      <w:r w:rsidRPr="00B50D24">
        <w:rPr>
          <w:rFonts w:ascii="Arial" w:hAnsi="Arial" w:cs="Arial"/>
        </w:rPr>
        <w:t xml:space="preserve"> </w:t>
      </w:r>
      <w:r w:rsidRPr="00B50D24">
        <w:rPr>
          <w:rFonts w:ascii="Arial" w:hAnsi="Arial" w:cs="Arial"/>
        </w:rPr>
        <w:t>Available at:</w:t>
      </w:r>
      <w:r w:rsidRPr="00B50D24">
        <w:rPr>
          <w:rFonts w:ascii="Arial" w:hAnsi="Arial" w:cs="Arial"/>
        </w:rPr>
        <w:t xml:space="preserve"> </w:t>
      </w:r>
      <w:hyperlink r:id="rId1">
        <w:r w:rsidRPr="00B50D24">
          <w:rPr>
            <w:rFonts w:ascii="Arial" w:eastAsia="Arial" w:hAnsi="Arial" w:cs="Arial"/>
            <w:color w:val="1155CC"/>
            <w:szCs w:val="20"/>
            <w:u w:val="single"/>
          </w:rPr>
          <w:t>https://drive.google.com/file/d/1NNsmR3OqU5pjKh4AAuorTENKgbNaWvuE/view</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D5813"/>
    <w:multiLevelType w:val="multilevel"/>
    <w:tmpl w:val="38F68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558C6"/>
    <w:multiLevelType w:val="hybridMultilevel"/>
    <w:tmpl w:val="233C2C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BC5EF2"/>
    <w:multiLevelType w:val="multilevel"/>
    <w:tmpl w:val="8520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B1C46"/>
    <w:multiLevelType w:val="multilevel"/>
    <w:tmpl w:val="A698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40418F"/>
    <w:multiLevelType w:val="multilevel"/>
    <w:tmpl w:val="7F3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011596"/>
    <w:multiLevelType w:val="multilevel"/>
    <w:tmpl w:val="91D4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AC2C11"/>
    <w:multiLevelType w:val="multilevel"/>
    <w:tmpl w:val="7162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304953"/>
    <w:multiLevelType w:val="multilevel"/>
    <w:tmpl w:val="7330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AC6C46"/>
    <w:multiLevelType w:val="multilevel"/>
    <w:tmpl w:val="FDA0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186D3B"/>
    <w:multiLevelType w:val="multilevel"/>
    <w:tmpl w:val="82C4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072F45"/>
    <w:multiLevelType w:val="multilevel"/>
    <w:tmpl w:val="52C2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6C4C19"/>
    <w:multiLevelType w:val="multilevel"/>
    <w:tmpl w:val="4D34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7833592">
    <w:abstractNumId w:val="0"/>
  </w:num>
  <w:num w:numId="2" w16cid:durableId="604382304">
    <w:abstractNumId w:val="4"/>
  </w:num>
  <w:num w:numId="3" w16cid:durableId="1959406194">
    <w:abstractNumId w:val="10"/>
  </w:num>
  <w:num w:numId="4" w16cid:durableId="1056245637">
    <w:abstractNumId w:val="2"/>
  </w:num>
  <w:num w:numId="5" w16cid:durableId="1855537444">
    <w:abstractNumId w:val="11"/>
  </w:num>
  <w:num w:numId="6" w16cid:durableId="376199072">
    <w:abstractNumId w:val="7"/>
  </w:num>
  <w:num w:numId="7" w16cid:durableId="1803115013">
    <w:abstractNumId w:val="8"/>
  </w:num>
  <w:num w:numId="8" w16cid:durableId="718669050">
    <w:abstractNumId w:val="6"/>
  </w:num>
  <w:num w:numId="9" w16cid:durableId="709384034">
    <w:abstractNumId w:val="9"/>
  </w:num>
  <w:num w:numId="10" w16cid:durableId="824779208">
    <w:abstractNumId w:val="3"/>
  </w:num>
  <w:num w:numId="11" w16cid:durableId="1191454540">
    <w:abstractNumId w:val="5"/>
  </w:num>
  <w:num w:numId="12" w16cid:durableId="1360933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03"/>
    <w:rsid w:val="0008081A"/>
    <w:rsid w:val="00122C24"/>
    <w:rsid w:val="00216C1E"/>
    <w:rsid w:val="00367442"/>
    <w:rsid w:val="00411103"/>
    <w:rsid w:val="00442564"/>
    <w:rsid w:val="00477E93"/>
    <w:rsid w:val="004964FD"/>
    <w:rsid w:val="004F6A47"/>
    <w:rsid w:val="006B141B"/>
    <w:rsid w:val="006F0FE3"/>
    <w:rsid w:val="006F4F13"/>
    <w:rsid w:val="00782471"/>
    <w:rsid w:val="0092798A"/>
    <w:rsid w:val="00955AF3"/>
    <w:rsid w:val="00A07D3D"/>
    <w:rsid w:val="00AC029A"/>
    <w:rsid w:val="00B2713B"/>
    <w:rsid w:val="00B50D24"/>
    <w:rsid w:val="00CD1404"/>
    <w:rsid w:val="00D61EF1"/>
    <w:rsid w:val="00EC26A4"/>
    <w:rsid w:val="00EF0502"/>
    <w:rsid w:val="00FB237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9892E"/>
  <w15:chartTrackingRefBased/>
  <w15:docId w15:val="{9C37AD07-3695-4FBD-94F7-E087279A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1"/>
        <w:lang w:val="en-US"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103"/>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411103"/>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411103"/>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4111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11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11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1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1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1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103"/>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411103"/>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411103"/>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4111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11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11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1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1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103"/>
    <w:rPr>
      <w:rFonts w:eastAsiaTheme="majorEastAsia" w:cstheme="majorBidi"/>
      <w:color w:val="272727" w:themeColor="text1" w:themeTint="D8"/>
    </w:rPr>
  </w:style>
  <w:style w:type="paragraph" w:styleId="Title">
    <w:name w:val="Title"/>
    <w:basedOn w:val="Normal"/>
    <w:next w:val="Normal"/>
    <w:link w:val="TitleChar"/>
    <w:uiPriority w:val="10"/>
    <w:qFormat/>
    <w:rsid w:val="0041110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1110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1110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1110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11103"/>
    <w:pPr>
      <w:spacing w:before="160"/>
      <w:jc w:val="center"/>
    </w:pPr>
    <w:rPr>
      <w:i/>
      <w:iCs/>
      <w:color w:val="404040" w:themeColor="text1" w:themeTint="BF"/>
    </w:rPr>
  </w:style>
  <w:style w:type="character" w:customStyle="1" w:styleId="QuoteChar">
    <w:name w:val="Quote Char"/>
    <w:basedOn w:val="DefaultParagraphFont"/>
    <w:link w:val="Quote"/>
    <w:uiPriority w:val="29"/>
    <w:rsid w:val="00411103"/>
    <w:rPr>
      <w:i/>
      <w:iCs/>
      <w:color w:val="404040" w:themeColor="text1" w:themeTint="BF"/>
    </w:rPr>
  </w:style>
  <w:style w:type="paragraph" w:styleId="ListParagraph">
    <w:name w:val="List Paragraph"/>
    <w:basedOn w:val="Normal"/>
    <w:uiPriority w:val="34"/>
    <w:qFormat/>
    <w:rsid w:val="00411103"/>
    <w:pPr>
      <w:ind w:left="720"/>
      <w:contextualSpacing/>
    </w:pPr>
  </w:style>
  <w:style w:type="character" w:styleId="IntenseEmphasis">
    <w:name w:val="Intense Emphasis"/>
    <w:basedOn w:val="DefaultParagraphFont"/>
    <w:uiPriority w:val="21"/>
    <w:qFormat/>
    <w:rsid w:val="00411103"/>
    <w:rPr>
      <w:i/>
      <w:iCs/>
      <w:color w:val="2F5496" w:themeColor="accent1" w:themeShade="BF"/>
    </w:rPr>
  </w:style>
  <w:style w:type="paragraph" w:styleId="IntenseQuote">
    <w:name w:val="Intense Quote"/>
    <w:basedOn w:val="Normal"/>
    <w:next w:val="Normal"/>
    <w:link w:val="IntenseQuoteChar"/>
    <w:uiPriority w:val="30"/>
    <w:qFormat/>
    <w:rsid w:val="004111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103"/>
    <w:rPr>
      <w:i/>
      <w:iCs/>
      <w:color w:val="2F5496" w:themeColor="accent1" w:themeShade="BF"/>
    </w:rPr>
  </w:style>
  <w:style w:type="character" w:styleId="IntenseReference">
    <w:name w:val="Intense Reference"/>
    <w:basedOn w:val="DefaultParagraphFont"/>
    <w:uiPriority w:val="32"/>
    <w:qFormat/>
    <w:rsid w:val="00411103"/>
    <w:rPr>
      <w:b/>
      <w:bCs/>
      <w:smallCaps/>
      <w:color w:val="2F5496" w:themeColor="accent1" w:themeShade="BF"/>
      <w:spacing w:val="5"/>
    </w:rPr>
  </w:style>
  <w:style w:type="paragraph" w:styleId="FootnoteText">
    <w:name w:val="footnote text"/>
    <w:basedOn w:val="Normal"/>
    <w:link w:val="FootnoteTextChar"/>
    <w:uiPriority w:val="99"/>
    <w:semiHidden/>
    <w:unhideWhenUsed/>
    <w:rsid w:val="00477E93"/>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477E93"/>
    <w:rPr>
      <w:sz w:val="20"/>
      <w:szCs w:val="18"/>
    </w:rPr>
  </w:style>
  <w:style w:type="character" w:styleId="FootnoteReference">
    <w:name w:val="footnote reference"/>
    <w:basedOn w:val="DefaultParagraphFont"/>
    <w:uiPriority w:val="99"/>
    <w:semiHidden/>
    <w:unhideWhenUsed/>
    <w:rsid w:val="00477E93"/>
    <w:rPr>
      <w:vertAlign w:val="superscript"/>
    </w:rPr>
  </w:style>
  <w:style w:type="character" w:styleId="Hyperlink">
    <w:name w:val="Hyperlink"/>
    <w:basedOn w:val="DefaultParagraphFont"/>
    <w:uiPriority w:val="99"/>
    <w:unhideWhenUsed/>
    <w:rsid w:val="00782471"/>
    <w:rPr>
      <w:color w:val="0563C1" w:themeColor="hyperlink"/>
      <w:u w:val="single"/>
    </w:rPr>
  </w:style>
  <w:style w:type="character" w:styleId="UnresolvedMention">
    <w:name w:val="Unresolved Mention"/>
    <w:basedOn w:val="DefaultParagraphFont"/>
    <w:uiPriority w:val="99"/>
    <w:semiHidden/>
    <w:unhideWhenUsed/>
    <w:rsid w:val="00782471"/>
    <w:rPr>
      <w:color w:val="605E5C"/>
      <w:shd w:val="clear" w:color="auto" w:fill="E1DFDD"/>
    </w:rPr>
  </w:style>
  <w:style w:type="paragraph" w:styleId="NormalWeb">
    <w:name w:val="Normal (Web)"/>
    <w:basedOn w:val="Normal"/>
    <w:uiPriority w:val="99"/>
    <w:unhideWhenUsed/>
    <w:rsid w:val="006F0FE3"/>
    <w:pPr>
      <w:spacing w:before="100" w:beforeAutospacing="1" w:after="100" w:afterAutospacing="1" w:line="240" w:lineRule="auto"/>
    </w:pPr>
    <w:rPr>
      <w:rFonts w:ascii="Times New Roman" w:eastAsia="Times New Roman" w:hAnsi="Times New Roman" w:cs="Times New Roman"/>
      <w:kern w:val="0"/>
      <w:szCs w:val="24"/>
      <w:lang w:val="en-PE" w:bidi="ar-SA"/>
      <w14:ligatures w14:val="none"/>
    </w:rPr>
  </w:style>
  <w:style w:type="character" w:styleId="Strong">
    <w:name w:val="Strong"/>
    <w:basedOn w:val="DefaultParagraphFont"/>
    <w:uiPriority w:val="22"/>
    <w:qFormat/>
    <w:rsid w:val="006F0F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54058">
      <w:bodyDiv w:val="1"/>
      <w:marLeft w:val="0"/>
      <w:marRight w:val="0"/>
      <w:marTop w:val="0"/>
      <w:marBottom w:val="0"/>
      <w:divBdr>
        <w:top w:val="none" w:sz="0" w:space="0" w:color="auto"/>
        <w:left w:val="none" w:sz="0" w:space="0" w:color="auto"/>
        <w:bottom w:val="none" w:sz="0" w:space="0" w:color="auto"/>
        <w:right w:val="none" w:sz="0" w:space="0" w:color="auto"/>
      </w:divBdr>
    </w:div>
    <w:div w:id="497888580">
      <w:bodyDiv w:val="1"/>
      <w:marLeft w:val="0"/>
      <w:marRight w:val="0"/>
      <w:marTop w:val="0"/>
      <w:marBottom w:val="0"/>
      <w:divBdr>
        <w:top w:val="none" w:sz="0" w:space="0" w:color="auto"/>
        <w:left w:val="none" w:sz="0" w:space="0" w:color="auto"/>
        <w:bottom w:val="none" w:sz="0" w:space="0" w:color="auto"/>
        <w:right w:val="none" w:sz="0" w:space="0" w:color="auto"/>
      </w:divBdr>
    </w:div>
    <w:div w:id="512844165">
      <w:bodyDiv w:val="1"/>
      <w:marLeft w:val="0"/>
      <w:marRight w:val="0"/>
      <w:marTop w:val="0"/>
      <w:marBottom w:val="0"/>
      <w:divBdr>
        <w:top w:val="none" w:sz="0" w:space="0" w:color="auto"/>
        <w:left w:val="none" w:sz="0" w:space="0" w:color="auto"/>
        <w:bottom w:val="none" w:sz="0" w:space="0" w:color="auto"/>
        <w:right w:val="none" w:sz="0" w:space="0" w:color="auto"/>
      </w:divBdr>
    </w:div>
    <w:div w:id="662706865">
      <w:bodyDiv w:val="1"/>
      <w:marLeft w:val="0"/>
      <w:marRight w:val="0"/>
      <w:marTop w:val="0"/>
      <w:marBottom w:val="0"/>
      <w:divBdr>
        <w:top w:val="none" w:sz="0" w:space="0" w:color="auto"/>
        <w:left w:val="none" w:sz="0" w:space="0" w:color="auto"/>
        <w:bottom w:val="none" w:sz="0" w:space="0" w:color="auto"/>
        <w:right w:val="none" w:sz="0" w:space="0" w:color="auto"/>
      </w:divBdr>
    </w:div>
    <w:div w:id="672612706">
      <w:bodyDiv w:val="1"/>
      <w:marLeft w:val="0"/>
      <w:marRight w:val="0"/>
      <w:marTop w:val="0"/>
      <w:marBottom w:val="0"/>
      <w:divBdr>
        <w:top w:val="none" w:sz="0" w:space="0" w:color="auto"/>
        <w:left w:val="none" w:sz="0" w:space="0" w:color="auto"/>
        <w:bottom w:val="none" w:sz="0" w:space="0" w:color="auto"/>
        <w:right w:val="none" w:sz="0" w:space="0" w:color="auto"/>
      </w:divBdr>
    </w:div>
    <w:div w:id="699739588">
      <w:bodyDiv w:val="1"/>
      <w:marLeft w:val="0"/>
      <w:marRight w:val="0"/>
      <w:marTop w:val="0"/>
      <w:marBottom w:val="0"/>
      <w:divBdr>
        <w:top w:val="none" w:sz="0" w:space="0" w:color="auto"/>
        <w:left w:val="none" w:sz="0" w:space="0" w:color="auto"/>
        <w:bottom w:val="none" w:sz="0" w:space="0" w:color="auto"/>
        <w:right w:val="none" w:sz="0" w:space="0" w:color="auto"/>
      </w:divBdr>
    </w:div>
    <w:div w:id="888497198">
      <w:bodyDiv w:val="1"/>
      <w:marLeft w:val="0"/>
      <w:marRight w:val="0"/>
      <w:marTop w:val="0"/>
      <w:marBottom w:val="0"/>
      <w:divBdr>
        <w:top w:val="none" w:sz="0" w:space="0" w:color="auto"/>
        <w:left w:val="none" w:sz="0" w:space="0" w:color="auto"/>
        <w:bottom w:val="none" w:sz="0" w:space="0" w:color="auto"/>
        <w:right w:val="none" w:sz="0" w:space="0" w:color="auto"/>
      </w:divBdr>
    </w:div>
    <w:div w:id="920987917">
      <w:bodyDiv w:val="1"/>
      <w:marLeft w:val="0"/>
      <w:marRight w:val="0"/>
      <w:marTop w:val="0"/>
      <w:marBottom w:val="0"/>
      <w:divBdr>
        <w:top w:val="none" w:sz="0" w:space="0" w:color="auto"/>
        <w:left w:val="none" w:sz="0" w:space="0" w:color="auto"/>
        <w:bottom w:val="none" w:sz="0" w:space="0" w:color="auto"/>
        <w:right w:val="none" w:sz="0" w:space="0" w:color="auto"/>
      </w:divBdr>
    </w:div>
    <w:div w:id="956133109">
      <w:bodyDiv w:val="1"/>
      <w:marLeft w:val="0"/>
      <w:marRight w:val="0"/>
      <w:marTop w:val="0"/>
      <w:marBottom w:val="0"/>
      <w:divBdr>
        <w:top w:val="none" w:sz="0" w:space="0" w:color="auto"/>
        <w:left w:val="none" w:sz="0" w:space="0" w:color="auto"/>
        <w:bottom w:val="none" w:sz="0" w:space="0" w:color="auto"/>
        <w:right w:val="none" w:sz="0" w:space="0" w:color="auto"/>
      </w:divBdr>
    </w:div>
    <w:div w:id="1919096488">
      <w:bodyDiv w:val="1"/>
      <w:marLeft w:val="0"/>
      <w:marRight w:val="0"/>
      <w:marTop w:val="0"/>
      <w:marBottom w:val="0"/>
      <w:divBdr>
        <w:top w:val="none" w:sz="0" w:space="0" w:color="auto"/>
        <w:left w:val="none" w:sz="0" w:space="0" w:color="auto"/>
        <w:bottom w:val="none" w:sz="0" w:space="0" w:color="auto"/>
        <w:right w:val="none" w:sz="0" w:space="0" w:color="auto"/>
      </w:divBdr>
    </w:div>
    <w:div w:id="1955210359">
      <w:bodyDiv w:val="1"/>
      <w:marLeft w:val="0"/>
      <w:marRight w:val="0"/>
      <w:marTop w:val="0"/>
      <w:marBottom w:val="0"/>
      <w:divBdr>
        <w:top w:val="none" w:sz="0" w:space="0" w:color="auto"/>
        <w:left w:val="none" w:sz="0" w:space="0" w:color="auto"/>
        <w:bottom w:val="none" w:sz="0" w:space="0" w:color="auto"/>
        <w:right w:val="none" w:sz="0" w:space="0" w:color="auto"/>
      </w:divBdr>
    </w:div>
    <w:div w:id="204945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b.pe/institucion/conadis/noticias/957843-conadis-multo-a-cinco-gobiernos-regionales-con-mas-de-s-300-000-por-incumplir-cuota-laboral-de-personas-con-discapacidad" TargetMode="External"/><Relationship Id="rId13" Type="http://schemas.openxmlformats.org/officeDocument/2006/relationships/hyperlink" Target="https://www.minedu.gob.pe/transparencia/2022/pdf/Pol%C3%ADtica_Nacional_Multisectorial_en_Discapacidad_para_el_Desarrollo_al_2030.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dn.www.gob.pe/uploads/document/file/6051578/5357753-peru-caracterizacion-de-las-condiciones-de-vida-de-la-poblacion-con-discapacidad-2022.pdf?v=1710445949" TargetMode="External"/><Relationship Id="rId12" Type="http://schemas.openxmlformats.org/officeDocument/2006/relationships/hyperlink" Target="https://www.leyes.congreso.gob.pe/documentos/leyes/29973.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b.pe/institucion/conadis/noticias/1054497-comas-conadis-rechaza-y-condena-actos-de-violencia-contra-ninas-y-ninos-autistas-en-centro-terapeuti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es/desa/inclusion-saves-lives" TargetMode="External"/><Relationship Id="rId5" Type="http://schemas.openxmlformats.org/officeDocument/2006/relationships/footnotes" Target="footnotes.xml"/><Relationship Id="rId15" Type="http://schemas.openxmlformats.org/officeDocument/2006/relationships/hyperlink" Target="https://saludconlupa.com/salud-mental/7-de-cada-10-centros-de-salud-mental-se-han-quedado-sin-medicinas-por-que-el-estado-no-esta-comprandolas-a-tiempo/" TargetMode="External"/><Relationship Id="rId10" Type="http://schemas.openxmlformats.org/officeDocument/2006/relationships/hyperlink" Target="https://cdn.www.gob.pe/uploads/document/file/4405165/Investigaci%C3%B3n%20%7C%20Situaci%C3%B3n%20de%20la%20pobreza%20multidimensional%20en%20las%20personas%20con%20discapacidad%20del%20pa%C3%ADs:%20An%C3%A1lisis%20desde%20un%20enfoque%20interseccional.pdf?v=1680710250" TargetMode="External"/><Relationship Id="rId4" Type="http://schemas.openxmlformats.org/officeDocument/2006/relationships/webSettings" Target="webSettings.xml"/><Relationship Id="rId9" Type="http://schemas.openxmlformats.org/officeDocument/2006/relationships/hyperlink" Target="https://discapacidad.trabajo.gob.pe/cuota-de-empleo/informes-de-la-sunafil/" TargetMode="External"/><Relationship Id="rId14" Type="http://schemas.openxmlformats.org/officeDocument/2006/relationships/hyperlink" Target="https://www.defensoria.gob.pe/wp-content/uploads/2021/05/Informe-Derechos-Sexuales-y-Reproductivos.pdf?utm_source=chatgpt.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NNsmR3OqU5pjKh4AAuorTENKgbNaWvu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14</Pages>
  <Words>4677</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Burga Villanueva, Ramiro Antonia (rab9ze)</dc:creator>
  <cp:keywords/>
  <dc:description/>
  <cp:lastModifiedBy>diazpimentelc@gmail.com</cp:lastModifiedBy>
  <cp:revision>19</cp:revision>
  <dcterms:created xsi:type="dcterms:W3CDTF">2025-01-21T00:57:00Z</dcterms:created>
  <dcterms:modified xsi:type="dcterms:W3CDTF">2025-01-22T02:25:00Z</dcterms:modified>
</cp:coreProperties>
</file>