
<file path=[Content_Types].xml><?xml version="1.0" encoding="utf-8"?>
<Types xmlns="http://schemas.openxmlformats.org/package/2006/content-types">
  <Default Extension="doc" ContentType="application/msword"/>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7559C" w14:textId="77777777" w:rsidR="002909BF" w:rsidRDefault="002909BF" w:rsidP="002909BF">
      <w:pPr>
        <w:spacing w:line="560" w:lineRule="exact"/>
        <w:rPr>
          <w:rFonts w:eastAsia="仿宋_GB2312" w:cs="Calibri"/>
          <w:sz w:val="24"/>
        </w:rPr>
      </w:pPr>
      <w:r>
        <w:rPr>
          <w:rFonts w:eastAsia="仿宋_GB2312" w:cs="Calibri"/>
          <w:sz w:val="24"/>
        </w:rPr>
        <w:t>China Association for NGO Cooperation</w:t>
      </w:r>
    </w:p>
    <w:p w14:paraId="796BEB2E" w14:textId="77777777" w:rsidR="002909BF" w:rsidRDefault="002909BF" w:rsidP="002909BF">
      <w:pPr>
        <w:spacing w:line="560" w:lineRule="exact"/>
        <w:rPr>
          <w:rFonts w:eastAsia="仿宋_GB2312" w:cs="Calibri"/>
          <w:sz w:val="24"/>
        </w:rPr>
      </w:pPr>
      <w:r>
        <w:rPr>
          <w:rFonts w:eastAsia="仿宋_GB2312" w:cs="Calibri"/>
          <w:sz w:val="24"/>
        </w:rPr>
        <w:t>C-601, Yonghe Plaza, 28# Andingmen Dongdajie, Beijing 100007, P.R. China</w:t>
      </w:r>
    </w:p>
    <w:p w14:paraId="3C2A35AD" w14:textId="77777777" w:rsidR="002909BF" w:rsidRDefault="002909BF" w:rsidP="002909BF">
      <w:pPr>
        <w:spacing w:line="560" w:lineRule="exact"/>
        <w:rPr>
          <w:rFonts w:eastAsia="仿宋_GB2312" w:cs="Calibri"/>
          <w:sz w:val="24"/>
        </w:rPr>
      </w:pPr>
      <w:r>
        <w:rPr>
          <w:rFonts w:eastAsia="仿宋_GB2312" w:cs="Calibri"/>
          <w:sz w:val="24"/>
        </w:rPr>
        <w:t>T. 86-10-6409 7888              F. +86-10-64097607</w:t>
      </w:r>
    </w:p>
    <w:p w14:paraId="3A5A1254" w14:textId="77777777" w:rsidR="002909BF" w:rsidRDefault="002909BF" w:rsidP="002909BF">
      <w:pPr>
        <w:spacing w:line="560" w:lineRule="exact"/>
        <w:rPr>
          <w:rFonts w:eastAsia="仿宋_GB2312" w:cs="Calibri"/>
          <w:sz w:val="24"/>
        </w:rPr>
      </w:pPr>
      <w:r>
        <w:rPr>
          <w:rFonts w:eastAsia="仿宋_GB2312" w:cs="Calibri"/>
          <w:sz w:val="24"/>
        </w:rPr>
        <w:t>E-mail</w:t>
      </w:r>
      <w:r>
        <w:rPr>
          <w:rFonts w:ascii="SimSun" w:hAnsi="SimSun" w:cs="SimSun" w:hint="eastAsia"/>
          <w:sz w:val="24"/>
        </w:rPr>
        <w:t>：</w:t>
      </w:r>
      <w:hyperlink r:id="rId6" w:history="1">
        <w:r>
          <w:rPr>
            <w:rStyle w:val="15"/>
            <w:rFonts w:ascii="Calibri" w:eastAsia="仿宋_GB2312" w:hAnsi="Calibri" w:cs="Calibri"/>
            <w:sz w:val="24"/>
          </w:rPr>
          <w:t>info@cango.org</w:t>
        </w:r>
      </w:hyperlink>
      <w:r>
        <w:rPr>
          <w:rFonts w:eastAsia="仿宋_GB2312" w:cs="Calibri"/>
          <w:sz w:val="24"/>
        </w:rPr>
        <w:t xml:space="preserve">         Url</w:t>
      </w:r>
      <w:r>
        <w:rPr>
          <w:rFonts w:ascii="SimSun" w:hAnsi="SimSun" w:cs="SimSun" w:hint="eastAsia"/>
          <w:sz w:val="24"/>
        </w:rPr>
        <w:t>：</w:t>
      </w:r>
      <w:hyperlink r:id="rId7" w:history="1">
        <w:r>
          <w:rPr>
            <w:rStyle w:val="15"/>
            <w:rFonts w:ascii="Calibri" w:eastAsia="仿宋_GB2312" w:hAnsi="Calibri" w:cs="Calibri"/>
            <w:sz w:val="24"/>
          </w:rPr>
          <w:t>www.cango.org</w:t>
        </w:r>
      </w:hyperlink>
    </w:p>
    <w:p w14:paraId="2C7DEA3F" w14:textId="77777777" w:rsidR="002909BF" w:rsidRDefault="002909BF" w:rsidP="002909BF">
      <w:pPr>
        <w:spacing w:line="560" w:lineRule="exact"/>
        <w:ind w:firstLineChars="200" w:firstLine="480"/>
        <w:rPr>
          <w:rFonts w:eastAsia="仿宋_GB2312" w:cs="Calibri"/>
          <w:sz w:val="24"/>
        </w:rPr>
      </w:pPr>
      <w:r>
        <w:rPr>
          <w:rFonts w:eastAsia="仿宋_GB2312" w:cs="Calibri"/>
          <w:sz w:val="24"/>
        </w:rPr>
        <w:t>China Association for NGO Cooperation (CANGO) is a non-profit, membership social organization operating nationwide. CANGO was founded with the approval of the former Ministry of Foreign Economic Relations and Trade (today the Ministry of Commerce) in 1992 and registered with the Ministry of Civil Affairs in 1994. In 2007, CANGO was accredited by the Economic and Social Council of the United Nations (ECOSOC) as an NGO with special consultative status; in 2011, CANGO was accredited with consultative status by the UN World Summit on Sustainable Development (WSSD) and was qualified as an observer of the United Nations Framework Convention on Climate Change (UNFCCC); in 2010, CANGO was awarded by the Ministry of Civil Affairs as a National Advanced Social Organization; in 2016 and 2022, CANGO was twice rated as a Grade 4A national public welfare association in China Social Organization Evaluation organized by the Ministry of Civil Affairs and was eligible for tax exemption.</w:t>
      </w:r>
    </w:p>
    <w:p w14:paraId="75904288" w14:textId="77777777" w:rsidR="002909BF" w:rsidRDefault="002909BF" w:rsidP="002909BF">
      <w:pPr>
        <w:spacing w:line="560" w:lineRule="exact"/>
        <w:ind w:firstLineChars="200" w:firstLine="480"/>
        <w:rPr>
          <w:rFonts w:eastAsia="仿宋_GB2312" w:cs="Calibri"/>
          <w:sz w:val="24"/>
        </w:rPr>
      </w:pPr>
      <w:r>
        <w:rPr>
          <w:rFonts w:eastAsia="仿宋_GB2312" w:cs="Calibri"/>
          <w:sz w:val="24"/>
        </w:rPr>
        <w:t xml:space="preserve">By the end of 2022, CANGO had 175 domestic members and had developed project cooperation with 198 foreign NGOs, bilateral and multilateral organizations, of which 109, from 23 countries and regions, had already launched projects in partnership with CANGO. CANGO implemented charity projects in 31 provinces, autonomous </w:t>
      </w:r>
      <w:proofErr w:type="gramStart"/>
      <w:r>
        <w:rPr>
          <w:rFonts w:eastAsia="仿宋_GB2312" w:cs="Calibri"/>
          <w:sz w:val="24"/>
        </w:rPr>
        <w:t>regions</w:t>
      </w:r>
      <w:proofErr w:type="gramEnd"/>
      <w:r>
        <w:rPr>
          <w:rFonts w:eastAsia="仿宋_GB2312" w:cs="Calibri"/>
          <w:sz w:val="24"/>
        </w:rPr>
        <w:t xml:space="preserve"> and municipalities across China, covering CSOs’ capacity building, rural and community development, gender equality, climate change and </w:t>
      </w:r>
      <w:r>
        <w:rPr>
          <w:rFonts w:eastAsia="仿宋_GB2312" w:cs="Calibri"/>
          <w:sz w:val="24"/>
        </w:rPr>
        <w:lastRenderedPageBreak/>
        <w:t>environmental protection, hygiene and health, volunteering service, CSO and corporate partnership, public interest research and advocacy, benefiting up to 9.68 million people.</w:t>
      </w:r>
    </w:p>
    <w:p w14:paraId="3A555ED5" w14:textId="77777777" w:rsidR="002909BF" w:rsidRDefault="002909BF" w:rsidP="002909BF">
      <w:pPr>
        <w:spacing w:line="560" w:lineRule="exact"/>
        <w:ind w:firstLineChars="200" w:firstLine="480"/>
        <w:rPr>
          <w:rFonts w:eastAsia="仿宋_GB2312" w:cs="Calibri"/>
          <w:sz w:val="24"/>
        </w:rPr>
      </w:pPr>
    </w:p>
    <w:p w14:paraId="7823DBEE" w14:textId="77777777" w:rsidR="002909BF" w:rsidRDefault="002909BF" w:rsidP="002909BF">
      <w:pPr>
        <w:spacing w:line="560" w:lineRule="exact"/>
        <w:ind w:firstLineChars="200" w:firstLine="480"/>
        <w:rPr>
          <w:rFonts w:eastAsia="仿宋_GB2312" w:cs="Calibri"/>
          <w:sz w:val="24"/>
        </w:rPr>
      </w:pPr>
    </w:p>
    <w:p w14:paraId="12B92F67" w14:textId="77777777" w:rsidR="002909BF" w:rsidRDefault="002909BF" w:rsidP="002909BF">
      <w:pPr>
        <w:spacing w:line="560" w:lineRule="exact"/>
        <w:ind w:firstLineChars="200" w:firstLine="480"/>
        <w:rPr>
          <w:rFonts w:eastAsia="仿宋_GB2312" w:cs="Calibri"/>
          <w:sz w:val="24"/>
        </w:rPr>
      </w:pPr>
    </w:p>
    <w:p w14:paraId="655C324C" w14:textId="77777777" w:rsidR="002909BF" w:rsidRDefault="002909BF" w:rsidP="002909BF">
      <w:pPr>
        <w:spacing w:line="560" w:lineRule="exact"/>
        <w:ind w:firstLineChars="200" w:firstLine="480"/>
        <w:rPr>
          <w:rFonts w:eastAsia="仿宋_GB2312" w:cs="Calibri"/>
          <w:sz w:val="24"/>
        </w:rPr>
      </w:pPr>
    </w:p>
    <w:p w14:paraId="1D026A13" w14:textId="77777777" w:rsidR="002909BF" w:rsidRDefault="002909BF" w:rsidP="002909BF">
      <w:pPr>
        <w:spacing w:line="560" w:lineRule="exact"/>
        <w:ind w:firstLineChars="200" w:firstLine="480"/>
        <w:rPr>
          <w:rFonts w:eastAsia="仿宋_GB2312" w:cs="Calibri"/>
          <w:sz w:val="24"/>
        </w:rPr>
      </w:pPr>
    </w:p>
    <w:p w14:paraId="00AC13ED" w14:textId="77777777" w:rsidR="002909BF" w:rsidRDefault="002909BF" w:rsidP="002909BF">
      <w:pPr>
        <w:spacing w:line="560" w:lineRule="exact"/>
        <w:ind w:firstLineChars="200" w:firstLine="480"/>
        <w:rPr>
          <w:rFonts w:eastAsia="仿宋_GB2312" w:cs="Calibri"/>
          <w:sz w:val="24"/>
        </w:rPr>
      </w:pPr>
    </w:p>
    <w:p w14:paraId="64852757" w14:textId="77777777" w:rsidR="002909BF" w:rsidRDefault="002909BF" w:rsidP="002909BF">
      <w:pPr>
        <w:spacing w:line="560" w:lineRule="exact"/>
        <w:ind w:firstLineChars="200" w:firstLine="480"/>
        <w:rPr>
          <w:rFonts w:eastAsia="仿宋_GB2312" w:cs="Calibri"/>
          <w:sz w:val="24"/>
        </w:rPr>
      </w:pPr>
    </w:p>
    <w:p w14:paraId="63430FF1" w14:textId="77777777" w:rsidR="002909BF" w:rsidRDefault="002909BF" w:rsidP="002909BF">
      <w:pPr>
        <w:spacing w:line="560" w:lineRule="exact"/>
        <w:ind w:firstLineChars="200" w:firstLine="480"/>
        <w:rPr>
          <w:rFonts w:eastAsia="仿宋_GB2312" w:cs="Calibri"/>
          <w:sz w:val="24"/>
        </w:rPr>
      </w:pPr>
    </w:p>
    <w:p w14:paraId="1EC785F7" w14:textId="77777777" w:rsidR="002909BF" w:rsidRDefault="002909BF" w:rsidP="002909BF">
      <w:pPr>
        <w:spacing w:line="560" w:lineRule="exact"/>
        <w:ind w:firstLineChars="200" w:firstLine="480"/>
        <w:rPr>
          <w:rFonts w:eastAsia="仿宋_GB2312" w:cs="Calibri"/>
          <w:sz w:val="24"/>
        </w:rPr>
      </w:pPr>
    </w:p>
    <w:p w14:paraId="676B2068" w14:textId="77777777" w:rsidR="002909BF" w:rsidRDefault="002909BF" w:rsidP="002909BF">
      <w:pPr>
        <w:spacing w:line="560" w:lineRule="exact"/>
        <w:ind w:firstLineChars="200" w:firstLine="480"/>
        <w:rPr>
          <w:rFonts w:eastAsia="仿宋_GB2312" w:cs="Calibri"/>
          <w:sz w:val="24"/>
        </w:rPr>
      </w:pPr>
    </w:p>
    <w:p w14:paraId="13C72128" w14:textId="77777777" w:rsidR="002909BF" w:rsidRDefault="002909BF" w:rsidP="002909BF">
      <w:pPr>
        <w:spacing w:line="560" w:lineRule="exact"/>
        <w:ind w:firstLineChars="200" w:firstLine="480"/>
        <w:rPr>
          <w:rFonts w:eastAsia="仿宋_GB2312" w:cs="Calibri"/>
          <w:sz w:val="24"/>
        </w:rPr>
      </w:pPr>
    </w:p>
    <w:p w14:paraId="594FBA2C" w14:textId="77777777" w:rsidR="002909BF" w:rsidRDefault="002909BF" w:rsidP="002909BF">
      <w:pPr>
        <w:spacing w:line="560" w:lineRule="exact"/>
        <w:ind w:firstLineChars="200" w:firstLine="480"/>
        <w:rPr>
          <w:rFonts w:eastAsia="仿宋_GB2312" w:cs="Calibri"/>
          <w:sz w:val="24"/>
        </w:rPr>
      </w:pPr>
    </w:p>
    <w:p w14:paraId="62A5FE21" w14:textId="77777777" w:rsidR="002909BF" w:rsidRDefault="002909BF" w:rsidP="002909BF">
      <w:pPr>
        <w:spacing w:line="560" w:lineRule="exact"/>
        <w:ind w:firstLineChars="200" w:firstLine="480"/>
        <w:rPr>
          <w:rFonts w:eastAsia="仿宋_GB2312" w:cs="Calibri"/>
          <w:sz w:val="24"/>
        </w:rPr>
      </w:pPr>
    </w:p>
    <w:p w14:paraId="15131128" w14:textId="77777777" w:rsidR="002909BF" w:rsidRDefault="002909BF" w:rsidP="002909BF">
      <w:pPr>
        <w:spacing w:line="560" w:lineRule="exact"/>
        <w:ind w:firstLineChars="200" w:firstLine="480"/>
        <w:rPr>
          <w:rFonts w:eastAsia="仿宋_GB2312" w:cs="Calibri"/>
          <w:sz w:val="24"/>
        </w:rPr>
      </w:pPr>
    </w:p>
    <w:p w14:paraId="1785E4DB" w14:textId="77777777" w:rsidR="002909BF" w:rsidRDefault="002909BF" w:rsidP="002909BF">
      <w:pPr>
        <w:spacing w:line="560" w:lineRule="exact"/>
        <w:ind w:firstLineChars="200" w:firstLine="480"/>
        <w:rPr>
          <w:rFonts w:eastAsia="仿宋_GB2312" w:cs="Calibri"/>
          <w:sz w:val="24"/>
        </w:rPr>
      </w:pPr>
    </w:p>
    <w:p w14:paraId="06A95751" w14:textId="77777777" w:rsidR="002909BF" w:rsidRDefault="002909BF" w:rsidP="002909BF">
      <w:pPr>
        <w:spacing w:line="560" w:lineRule="exact"/>
        <w:ind w:firstLineChars="200" w:firstLine="480"/>
        <w:rPr>
          <w:rFonts w:eastAsia="仿宋_GB2312" w:cs="Calibri"/>
          <w:sz w:val="24"/>
        </w:rPr>
      </w:pPr>
    </w:p>
    <w:p w14:paraId="298762EB" w14:textId="77777777" w:rsidR="002909BF" w:rsidRDefault="002909BF" w:rsidP="002909BF">
      <w:pPr>
        <w:spacing w:line="560" w:lineRule="exact"/>
        <w:ind w:firstLineChars="200" w:firstLine="480"/>
        <w:rPr>
          <w:rFonts w:eastAsia="仿宋_GB2312" w:cs="Calibri"/>
          <w:sz w:val="24"/>
        </w:rPr>
      </w:pPr>
    </w:p>
    <w:p w14:paraId="49EA9674" w14:textId="77777777" w:rsidR="002909BF" w:rsidRPr="00A22218" w:rsidRDefault="002909BF" w:rsidP="002909BF">
      <w:pPr>
        <w:spacing w:line="560" w:lineRule="exact"/>
        <w:ind w:firstLineChars="200" w:firstLine="480"/>
        <w:rPr>
          <w:rFonts w:eastAsia="DengXian" w:cs="Calibri"/>
          <w:sz w:val="24"/>
        </w:rPr>
      </w:pPr>
    </w:p>
    <w:p w14:paraId="479ACC1D" w14:textId="77777777" w:rsidR="006172CC" w:rsidRPr="00A22218" w:rsidRDefault="006172CC" w:rsidP="002909BF">
      <w:pPr>
        <w:spacing w:line="560" w:lineRule="exact"/>
        <w:ind w:firstLineChars="200" w:firstLine="480"/>
        <w:rPr>
          <w:rFonts w:eastAsia="DengXian" w:cs="Calibri" w:hint="eastAsia"/>
          <w:sz w:val="24"/>
        </w:rPr>
      </w:pPr>
    </w:p>
    <w:p w14:paraId="18954490" w14:textId="77777777" w:rsidR="002909BF" w:rsidRDefault="002909BF" w:rsidP="002909BF">
      <w:pPr>
        <w:spacing w:line="560" w:lineRule="exact"/>
        <w:ind w:firstLineChars="200" w:firstLine="480"/>
        <w:rPr>
          <w:rFonts w:eastAsia="仿宋_GB2312" w:cs="Calibri"/>
          <w:sz w:val="24"/>
        </w:rPr>
      </w:pPr>
    </w:p>
    <w:p w14:paraId="3173FB7D" w14:textId="77777777" w:rsidR="002909BF" w:rsidRDefault="002909BF" w:rsidP="002909BF">
      <w:pPr>
        <w:spacing w:line="560" w:lineRule="exact"/>
        <w:ind w:firstLineChars="200" w:firstLine="480"/>
        <w:rPr>
          <w:rFonts w:eastAsia="仿宋_GB2312" w:cs="Calibri"/>
          <w:sz w:val="24"/>
        </w:rPr>
      </w:pPr>
    </w:p>
    <w:p w14:paraId="4983C692" w14:textId="77777777" w:rsidR="002909BF" w:rsidRDefault="002909BF" w:rsidP="002909BF">
      <w:pPr>
        <w:spacing w:line="560" w:lineRule="exact"/>
        <w:jc w:val="center"/>
        <w:rPr>
          <w:rFonts w:eastAsia="方正小标宋简体" w:cs="Calibri"/>
          <w:sz w:val="24"/>
        </w:rPr>
      </w:pPr>
      <w:r>
        <w:rPr>
          <w:rFonts w:cs="Calibri"/>
          <w:sz w:val="24"/>
        </w:rPr>
        <w:t xml:space="preserve">Report </w:t>
      </w:r>
      <w:r>
        <w:rPr>
          <w:rFonts w:eastAsia="方正小标宋简体" w:cs="Calibri"/>
          <w:sz w:val="24"/>
        </w:rPr>
        <w:t xml:space="preserve">Submitted by </w:t>
      </w:r>
    </w:p>
    <w:p w14:paraId="5F65B8E9" w14:textId="77777777" w:rsidR="002909BF" w:rsidRDefault="002909BF" w:rsidP="002909BF">
      <w:pPr>
        <w:spacing w:line="560" w:lineRule="exact"/>
        <w:jc w:val="center"/>
        <w:rPr>
          <w:rFonts w:eastAsia="方正小标宋简体" w:cs="Calibri"/>
          <w:sz w:val="24"/>
        </w:rPr>
      </w:pPr>
      <w:r>
        <w:rPr>
          <w:rFonts w:eastAsia="方正小标宋简体" w:cs="Calibri"/>
          <w:sz w:val="24"/>
        </w:rPr>
        <w:t xml:space="preserve">China Association for NGO Cooperation </w:t>
      </w:r>
    </w:p>
    <w:p w14:paraId="5C73B5BC" w14:textId="77777777" w:rsidR="002909BF" w:rsidRDefault="002909BF" w:rsidP="002909BF">
      <w:pPr>
        <w:spacing w:line="560" w:lineRule="exact"/>
        <w:jc w:val="center"/>
        <w:rPr>
          <w:rFonts w:eastAsia="方正小标宋简体" w:cs="Calibri"/>
          <w:sz w:val="24"/>
        </w:rPr>
      </w:pPr>
      <w:r>
        <w:rPr>
          <w:rFonts w:eastAsia="方正小标宋简体" w:cs="Calibri"/>
          <w:sz w:val="24"/>
        </w:rPr>
        <w:t>to</w:t>
      </w:r>
    </w:p>
    <w:p w14:paraId="5E0FC722" w14:textId="77777777" w:rsidR="002909BF" w:rsidRDefault="002909BF" w:rsidP="002909BF">
      <w:pPr>
        <w:spacing w:line="560" w:lineRule="exact"/>
        <w:jc w:val="center"/>
        <w:rPr>
          <w:rFonts w:eastAsia="方正小标宋简体" w:cs="Calibri"/>
          <w:sz w:val="24"/>
        </w:rPr>
      </w:pPr>
      <w:r>
        <w:rPr>
          <w:rFonts w:eastAsia="方正小标宋简体" w:cs="Calibri"/>
          <w:sz w:val="24"/>
        </w:rPr>
        <w:t>Committee on the Elimination of Discrimination against Women</w:t>
      </w:r>
      <w:r>
        <w:rPr>
          <w:rFonts w:eastAsia="仿宋_GB2312" w:cs="Calibri"/>
          <w:sz w:val="24"/>
        </w:rPr>
        <w:t xml:space="preserve"> </w:t>
      </w:r>
      <w:r>
        <w:rPr>
          <w:rFonts w:eastAsia="方正小标宋简体" w:cs="Calibri"/>
          <w:sz w:val="24"/>
        </w:rPr>
        <w:t>of the United Nations</w:t>
      </w:r>
    </w:p>
    <w:p w14:paraId="1E575B64" w14:textId="77777777" w:rsidR="002909BF" w:rsidRDefault="002909BF" w:rsidP="002909BF">
      <w:pPr>
        <w:spacing w:line="560" w:lineRule="exact"/>
        <w:ind w:firstLineChars="200" w:firstLine="480"/>
        <w:rPr>
          <w:rFonts w:eastAsia="仿宋_GB2312" w:cs="Calibri"/>
          <w:sz w:val="24"/>
        </w:rPr>
      </w:pPr>
      <w:r>
        <w:rPr>
          <w:rFonts w:eastAsia="仿宋_GB2312" w:cs="Calibri"/>
          <w:sz w:val="24"/>
        </w:rPr>
        <w:t xml:space="preserve"> </w:t>
      </w:r>
    </w:p>
    <w:p w14:paraId="1859BE5B" w14:textId="77777777" w:rsidR="002909BF" w:rsidRDefault="002909BF" w:rsidP="002909BF">
      <w:pPr>
        <w:spacing w:line="560" w:lineRule="exact"/>
        <w:ind w:firstLineChars="200" w:firstLine="480"/>
        <w:rPr>
          <w:rFonts w:eastAsia="仿宋_GB2312" w:cs="Calibri"/>
          <w:sz w:val="24"/>
        </w:rPr>
      </w:pPr>
      <w:r>
        <w:rPr>
          <w:rFonts w:eastAsia="仿宋_GB2312" w:cs="Calibri"/>
          <w:sz w:val="24"/>
        </w:rPr>
        <w:t>As a platform institution dedicated to promoting the development of public welfare undertakings</w:t>
      </w:r>
      <w:r>
        <w:rPr>
          <w:rFonts w:cs="Calibri"/>
          <w:sz w:val="24"/>
        </w:rPr>
        <w:t xml:space="preserve"> in China</w:t>
      </w:r>
      <w:r>
        <w:rPr>
          <w:rFonts w:eastAsia="仿宋_GB2312" w:cs="Calibri"/>
          <w:sz w:val="24"/>
        </w:rPr>
        <w:t xml:space="preserve"> and international exchange and cooperation, China Association for NGO Cooperation (CANGO) is very concerned about the consideration of China’s ninth periodic report by the Committee on the Elimination of Discrimination against Women of the United Nations. Based on its own work, CANGO has witnessed China’s efforts in promoting gender equality, especially in eliminating discrimination against women, which have achieved remarkable results, but still have some shortcomings.</w:t>
      </w:r>
    </w:p>
    <w:p w14:paraId="45E87749" w14:textId="77777777" w:rsidR="002909BF" w:rsidRDefault="002909BF" w:rsidP="002909BF">
      <w:pPr>
        <w:spacing w:line="560" w:lineRule="exact"/>
        <w:ind w:firstLineChars="200" w:firstLine="480"/>
        <w:rPr>
          <w:rFonts w:eastAsia="SimHei" w:cs="Calibri"/>
          <w:bCs/>
          <w:sz w:val="24"/>
        </w:rPr>
      </w:pPr>
      <w:r>
        <w:rPr>
          <w:rFonts w:eastAsia="SimHei" w:cs="Calibri"/>
          <w:bCs/>
          <w:sz w:val="24"/>
        </w:rPr>
        <w:t>I.</w:t>
      </w:r>
      <w:r>
        <w:rPr>
          <w:rFonts w:eastAsia="SimHei" w:cs="Calibri"/>
          <w:bCs/>
          <w:sz w:val="24"/>
        </w:rPr>
        <w:tab/>
        <w:t>Education</w:t>
      </w:r>
    </w:p>
    <w:p w14:paraId="0234F747" w14:textId="77777777" w:rsidR="002909BF" w:rsidRDefault="002909BF" w:rsidP="002909BF">
      <w:pPr>
        <w:spacing w:line="560" w:lineRule="exact"/>
        <w:ind w:firstLineChars="200" w:firstLine="480"/>
        <w:rPr>
          <w:rFonts w:eastAsia="仿宋_GB2312" w:cs="Calibri"/>
          <w:sz w:val="24"/>
        </w:rPr>
      </w:pPr>
      <w:r>
        <w:rPr>
          <w:rFonts w:eastAsia="仿宋_GB2312" w:cs="Calibri"/>
          <w:sz w:val="24"/>
        </w:rPr>
        <w:t xml:space="preserve">We have noted that the Chinese government has ensured that poor people and special groups have access to all types of education at all levels through various means such as registration of impoverished households, financial support, collaboration between eastern and western regions, directional </w:t>
      </w:r>
      <w:proofErr w:type="gramStart"/>
      <w:r>
        <w:rPr>
          <w:rFonts w:eastAsia="仿宋_GB2312" w:cs="Calibri"/>
          <w:sz w:val="24"/>
        </w:rPr>
        <w:t>enrollment</w:t>
      </w:r>
      <w:proofErr w:type="gramEnd"/>
      <w:r>
        <w:rPr>
          <w:rFonts w:eastAsia="仿宋_GB2312" w:cs="Calibri"/>
          <w:sz w:val="24"/>
        </w:rPr>
        <w:t xml:space="preserve"> and skill training. According to relevant data from the National Bureau of Statistics, at present, girls’ equal access to preschool education has been effectively guaranteed, the gender gap in compulsory education has been basically eliminated, girls’ equal access to high </w:t>
      </w:r>
      <w:r>
        <w:rPr>
          <w:rFonts w:eastAsia="仿宋_GB2312" w:cs="Calibri"/>
          <w:sz w:val="24"/>
        </w:rPr>
        <w:lastRenderedPageBreak/>
        <w:t>school and secondary vocational education has been consolidated and strengthened, and the proportion of female students has exceeded that of male students in all types of higher education. The gender gap in the average level of education has further narrowed. In terms of preschool education, in 2020, 22.721 million girls were enrolled in preschool education (including kindergartens and attached preschool classes), accounting for 47.2%. In terms of compulsory education, the net enrolment rate of girls in primary schools has remained above 99.9% for six consecutive years since 2015, basically the same as that of boys; the number of female students was 72.852 million, accounting for 46.6%. In terms of high school education, there are 19.504 million girls in high school education in 2020, accounting for 46.9%; among them, 12.575 million girls were enrolled in regular high schools, accounting for 50.4%, which remained more than half for six consecutive years. In higher education, the number of female graduate students was 1.599 million, accounting for 50.9% of all graduate students; the number of female students in general colleges and adult colleges was 16.742 million and 4.506 million, accounting for 51.0% and 58.0%, respectively.</w:t>
      </w:r>
    </w:p>
    <w:p w14:paraId="44FF0468" w14:textId="77777777" w:rsidR="002909BF" w:rsidRDefault="002909BF" w:rsidP="002909BF">
      <w:pPr>
        <w:spacing w:line="560" w:lineRule="exact"/>
        <w:ind w:firstLineChars="200" w:firstLine="480"/>
        <w:rPr>
          <w:rFonts w:eastAsia="SimHei" w:cs="Calibri"/>
          <w:bCs/>
          <w:sz w:val="24"/>
        </w:rPr>
      </w:pPr>
      <w:r>
        <w:rPr>
          <w:rFonts w:eastAsia="SimHei" w:cs="Calibri"/>
          <w:bCs/>
          <w:sz w:val="24"/>
        </w:rPr>
        <w:t>II.</w:t>
      </w:r>
      <w:r>
        <w:rPr>
          <w:rFonts w:eastAsia="SimHei" w:cs="Calibri"/>
          <w:bCs/>
          <w:sz w:val="24"/>
        </w:rPr>
        <w:tab/>
        <w:t>Employment</w:t>
      </w:r>
    </w:p>
    <w:p w14:paraId="0658EAAB" w14:textId="77777777" w:rsidR="002909BF" w:rsidRDefault="002909BF" w:rsidP="002909BF">
      <w:pPr>
        <w:spacing w:line="560" w:lineRule="exact"/>
        <w:ind w:firstLineChars="200" w:firstLine="480"/>
        <w:rPr>
          <w:rFonts w:eastAsia="仿宋_GB2312" w:cs="Calibri"/>
          <w:sz w:val="24"/>
        </w:rPr>
      </w:pPr>
      <w:r>
        <w:rPr>
          <w:rFonts w:eastAsia="仿宋_GB2312" w:cs="Calibri"/>
          <w:sz w:val="24"/>
        </w:rPr>
        <w:t xml:space="preserve">We have noted that in 2019, nine departments including the Ministry of Human Resources and Social Security and the Ministry of Justice jointly issued the </w:t>
      </w:r>
      <w:r>
        <w:rPr>
          <w:rFonts w:eastAsia="仿宋_GB2312" w:cs="Calibri"/>
          <w:i/>
          <w:sz w:val="24"/>
        </w:rPr>
        <w:t>Notice on Further Regulating Recruitment Practices to Promote Women’s Employment</w:t>
      </w:r>
      <w:r>
        <w:rPr>
          <w:rFonts w:eastAsia="仿宋_GB2312" w:cs="Calibri"/>
          <w:sz w:val="24"/>
        </w:rPr>
        <w:t xml:space="preserve">, which stipulates in Article 2 that “Gender discrimination in employment in recruitment is prohibited according to law... Gender or gender priority shall not be defined (the scope of forbidden labor for female workers stipulated by the state shall be excluded); </w:t>
      </w:r>
      <w:r>
        <w:rPr>
          <w:rFonts w:eastAsia="仿宋_GB2312" w:cs="Calibri"/>
          <w:sz w:val="24"/>
        </w:rPr>
        <w:lastRenderedPageBreak/>
        <w:t>it is not allowed to restrict women’s employment and refuse to employ women on the grounds of gender; it is not allowed to inquire about women’s marriage and childbirth, take pregnancy test as an item of the entry physical examination, take birth restriction as an employment condition, and raise the employment threshold for women in a differentiated way.” In 2022, the</w:t>
      </w:r>
      <w:r>
        <w:rPr>
          <w:rFonts w:eastAsia="仿宋_GB2312" w:cs="Calibri"/>
          <w:i/>
          <w:sz w:val="24"/>
        </w:rPr>
        <w:t xml:space="preserve"> Law on the Protection of Women’s Rights and Interests</w:t>
      </w:r>
      <w:r>
        <w:rPr>
          <w:rFonts w:eastAsia="仿宋_GB2312" w:cs="Calibri"/>
          <w:sz w:val="24"/>
        </w:rPr>
        <w:t xml:space="preserve"> was revised for the third time, bringing gender discrimination in employment into the labor security supervision. In recent years, the employment scale of Chinese women has continued to expand. In 2020, there were 67,794,000 female employees in urban units, accounting for 43.5% of the total employment of the society. The proportion of enterprises implementing the </w:t>
      </w:r>
      <w:r>
        <w:rPr>
          <w:rFonts w:eastAsia="仿宋_GB2312" w:cs="Calibri"/>
          <w:i/>
          <w:iCs/>
          <w:sz w:val="24"/>
        </w:rPr>
        <w:t>Special Rules on the Labor Protection of Female Employees</w:t>
      </w:r>
      <w:r>
        <w:rPr>
          <w:rFonts w:eastAsia="仿宋_GB2312" w:cs="Calibri"/>
          <w:sz w:val="24"/>
        </w:rPr>
        <w:t xml:space="preserve"> nationwide reached 71.3%. The implementation of the </w:t>
      </w:r>
      <w:r>
        <w:rPr>
          <w:rFonts w:eastAsia="仿宋_GB2312" w:cs="Calibri"/>
          <w:i/>
          <w:sz w:val="24"/>
        </w:rPr>
        <w:t>Civil Code</w:t>
      </w:r>
      <w:r>
        <w:rPr>
          <w:rFonts w:eastAsia="仿宋_GB2312" w:cs="Calibri"/>
          <w:sz w:val="24"/>
        </w:rPr>
        <w:t xml:space="preserve"> in 2021 further clarified the equal status of men and women in marriage, </w:t>
      </w:r>
      <w:proofErr w:type="gramStart"/>
      <w:r>
        <w:rPr>
          <w:rFonts w:eastAsia="仿宋_GB2312" w:cs="Calibri"/>
          <w:sz w:val="24"/>
        </w:rPr>
        <w:t>family</w:t>
      </w:r>
      <w:proofErr w:type="gramEnd"/>
      <w:r>
        <w:rPr>
          <w:rFonts w:eastAsia="仿宋_GB2312" w:cs="Calibri"/>
          <w:sz w:val="24"/>
        </w:rPr>
        <w:t xml:space="preserve"> and inheritance rights, and affirmed the value of women’s housework.</w:t>
      </w:r>
    </w:p>
    <w:p w14:paraId="1C2F6748" w14:textId="77777777" w:rsidR="002909BF" w:rsidRDefault="002909BF" w:rsidP="002909BF">
      <w:pPr>
        <w:spacing w:line="560" w:lineRule="exact"/>
        <w:ind w:firstLineChars="200" w:firstLine="480"/>
        <w:rPr>
          <w:rFonts w:eastAsia="SimHei" w:cs="Calibri"/>
          <w:bCs/>
          <w:sz w:val="24"/>
        </w:rPr>
      </w:pPr>
      <w:r>
        <w:rPr>
          <w:rFonts w:eastAsia="SimHei" w:cs="Calibri"/>
          <w:bCs/>
          <w:sz w:val="24"/>
        </w:rPr>
        <w:t>III. Gender-based Violence against Women</w:t>
      </w:r>
    </w:p>
    <w:p w14:paraId="619A01BB" w14:textId="77777777" w:rsidR="002909BF" w:rsidRDefault="002909BF" w:rsidP="002909BF">
      <w:pPr>
        <w:widowControl/>
        <w:spacing w:line="560" w:lineRule="exact"/>
        <w:ind w:firstLineChars="200" w:firstLine="480"/>
        <w:rPr>
          <w:rFonts w:eastAsia="仿宋_GB2312" w:cs="Calibri"/>
          <w:sz w:val="24"/>
        </w:rPr>
      </w:pPr>
      <w:r>
        <w:rPr>
          <w:rFonts w:cs="Calibri"/>
          <w:sz w:val="24"/>
        </w:rPr>
        <w:t xml:space="preserve">1. </w:t>
      </w:r>
      <w:r>
        <w:rPr>
          <w:rFonts w:eastAsia="仿宋_GB2312" w:cs="Calibri"/>
          <w:sz w:val="24"/>
        </w:rPr>
        <w:t xml:space="preserve">We have noted that the state has been paying great attention to protecting the legitimate rights and interests of family members, especially the rights and interests of women and children in the </w:t>
      </w:r>
      <w:proofErr w:type="gramStart"/>
      <w:r>
        <w:rPr>
          <w:rFonts w:eastAsia="仿宋_GB2312" w:cs="Calibri"/>
          <w:sz w:val="24"/>
        </w:rPr>
        <w:t>family, and</w:t>
      </w:r>
      <w:proofErr w:type="gramEnd"/>
      <w:r>
        <w:rPr>
          <w:rFonts w:eastAsia="仿宋_GB2312" w:cs="Calibri"/>
          <w:sz w:val="24"/>
        </w:rPr>
        <w:t xml:space="preserve"> promoting relevant legislation and implementation at the national level to prevent and stop domestic violence. The </w:t>
      </w:r>
      <w:r>
        <w:rPr>
          <w:rFonts w:eastAsia="仿宋_GB2312" w:cs="Calibri"/>
          <w:i/>
          <w:sz w:val="24"/>
        </w:rPr>
        <w:t>Anti-domestic Violence Law</w:t>
      </w:r>
      <w:r>
        <w:rPr>
          <w:rFonts w:eastAsia="仿宋_GB2312" w:cs="Calibri"/>
          <w:sz w:val="24"/>
        </w:rPr>
        <w:t xml:space="preserve"> was adopted and promulgated in December 2015 and implemented in March 2016, which not only defines domestic violence, expands the types and protection objects of domestic violence, emphasizes prevention and public publicity and education, clarifies the responsibilities of relevant departments and establishes the role of social organizations in combating domestic violence, but also </w:t>
      </w:r>
      <w:r>
        <w:rPr>
          <w:rFonts w:eastAsia="仿宋_GB2312" w:cs="Calibri"/>
          <w:sz w:val="24"/>
        </w:rPr>
        <w:lastRenderedPageBreak/>
        <w:t xml:space="preserve">establishes a number of anti-domestic violence disposal mechanisms and related legal responsibilities. In recent years, anti-domestic violence regulations have also been introduced in various regions. All sectors of society, including government departments, social organizations, </w:t>
      </w:r>
      <w:proofErr w:type="gramStart"/>
      <w:r>
        <w:rPr>
          <w:rFonts w:eastAsia="仿宋_GB2312" w:cs="Calibri"/>
          <w:sz w:val="24"/>
        </w:rPr>
        <w:t>media</w:t>
      </w:r>
      <w:proofErr w:type="gramEnd"/>
      <w:r>
        <w:rPr>
          <w:rFonts w:eastAsia="仿宋_GB2312" w:cs="Calibri"/>
          <w:sz w:val="24"/>
        </w:rPr>
        <w:t xml:space="preserve"> and general publics, have gradually enhanced their awareness of anti-domestic violence, and carried out anti-domestic violence publicity and related activities through their own resources. At the same time, women groups have strengthened their awareness of legal protection and rights protection. By the end of 2021, more than 60 judicial interpretations, regulations and policy-based documents on anti-domestic violence had been issued by central ministries and commissions and provincial-level authorities; women’s federations at all levels had carried out more than 270,000 publicity campaigns against domestic violence, involving nearly 50 million women, and the number of complaints about domestic violence cases showed a downward trend.</w:t>
      </w:r>
    </w:p>
    <w:p w14:paraId="6C415532" w14:textId="77777777" w:rsidR="002909BF" w:rsidRDefault="002909BF" w:rsidP="002909BF">
      <w:pPr>
        <w:widowControl/>
        <w:spacing w:line="560" w:lineRule="exact"/>
        <w:ind w:firstLineChars="200" w:firstLine="480"/>
        <w:rPr>
          <w:rFonts w:cs="Calibri"/>
          <w:sz w:val="24"/>
        </w:rPr>
      </w:pPr>
      <w:r>
        <w:rPr>
          <w:rFonts w:cs="Calibri"/>
          <w:sz w:val="24"/>
        </w:rPr>
        <w:t>2</w:t>
      </w:r>
      <w:r>
        <w:rPr>
          <w:rFonts w:eastAsia="仿宋_GB2312" w:cs="Calibri"/>
          <w:sz w:val="24"/>
        </w:rPr>
        <w:t>.</w:t>
      </w:r>
      <w:r>
        <w:rPr>
          <w:rFonts w:eastAsia="仿宋_GB2312" w:cs="Calibri"/>
          <w:sz w:val="24"/>
        </w:rPr>
        <w:tab/>
        <w:t xml:space="preserve">We were reassured to find that with the joint promotion of the government and civil </w:t>
      </w:r>
      <w:r>
        <w:rPr>
          <w:rFonts w:cs="Calibri"/>
          <w:sz w:val="24"/>
        </w:rPr>
        <w:t>society</w:t>
      </w:r>
      <w:r>
        <w:rPr>
          <w:rFonts w:eastAsia="仿宋_GB2312" w:cs="Calibri"/>
          <w:sz w:val="24"/>
        </w:rPr>
        <w:t xml:space="preserve">, gender awareness </w:t>
      </w:r>
      <w:r>
        <w:rPr>
          <w:rFonts w:cs="Calibri"/>
          <w:sz w:val="24"/>
        </w:rPr>
        <w:t xml:space="preserve">of the </w:t>
      </w:r>
      <w:r>
        <w:rPr>
          <w:rFonts w:eastAsia="仿宋_GB2312" w:cs="Calibri"/>
          <w:sz w:val="24"/>
        </w:rPr>
        <w:t>public is gradually improving. At the same time, we are also very concerned that, like other countries and regions in the world, the COVID-19 pandemic and the international political situation will challenge the progress China has made in promoting gender equality over the past two decades. We suggest that: first, we should establish a more refined equal and inclusive labor and social security system in the field of employment; second, continue to strengthen the publicity and education on gender equality for the whole society; third, encourage and support more social organizations to participate in promoting gender equality or gender mainstreaming.</w:t>
      </w:r>
    </w:p>
    <w:p w14:paraId="216E5F72" w14:textId="77777777" w:rsidR="006256EC" w:rsidRPr="003E6F08" w:rsidRDefault="002909BF" w:rsidP="002909BF">
      <w:pPr>
        <w:widowControl/>
        <w:spacing w:line="560" w:lineRule="exact"/>
        <w:ind w:firstLineChars="200" w:firstLine="480"/>
        <w:jc w:val="left"/>
        <w:rPr>
          <w:rFonts w:eastAsia="DengXian" w:cs="Calibri" w:hint="eastAsia"/>
          <w:sz w:val="24"/>
        </w:rPr>
      </w:pPr>
      <w:r>
        <w:rPr>
          <w:rFonts w:eastAsia="仿宋_GB2312" w:cs="Calibri"/>
          <w:sz w:val="24"/>
        </w:rPr>
        <w:lastRenderedPageBreak/>
        <w:t xml:space="preserve"> </w:t>
      </w:r>
    </w:p>
    <w:sectPr w:rsidR="006256EC" w:rsidRPr="003E6F0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AF747" w14:textId="77777777" w:rsidR="005750BC" w:rsidRDefault="005750BC">
      <w:r>
        <w:separator/>
      </w:r>
    </w:p>
  </w:endnote>
  <w:endnote w:type="continuationSeparator" w:id="0">
    <w:p w14:paraId="00A5671A" w14:textId="77777777" w:rsidR="005750BC" w:rsidRDefault="00575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_GB2312">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方正小标宋简体">
    <w:altName w:val="Microsoft YaHei"/>
    <w:charset w:val="86"/>
    <w:family w:val="auto"/>
    <w:pitch w:val="default"/>
    <w:sig w:usb0="A00002BF" w:usb1="184F6CFA" w:usb2="00000012"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TXinwei">
    <w:charset w:val="86"/>
    <w:family w:val="auto"/>
    <w:pitch w:val="variable"/>
    <w:sig w:usb0="00000001" w:usb1="080F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F1999" w14:textId="77777777" w:rsidR="00F17214" w:rsidRDefault="00F172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359A8" w14:textId="77777777" w:rsidR="00C0217A" w:rsidRPr="00C0217A" w:rsidRDefault="00C0217A" w:rsidP="00C0217A">
    <w:pPr>
      <w:pStyle w:val="FootnoteText"/>
      <w:jc w:val="center"/>
      <w:rPr>
        <w:rFonts w:hint="eastAsia"/>
        <w:color w:val="003399"/>
      </w:rPr>
    </w:pPr>
    <w:r w:rsidRPr="00C0217A">
      <w:rPr>
        <w:color w:val="003399"/>
      </w:rPr>
      <w:t>Address:</w:t>
    </w:r>
    <w:r w:rsidR="00F17214">
      <w:rPr>
        <w:color w:val="003399"/>
      </w:rPr>
      <w:t xml:space="preserve"> </w:t>
    </w:r>
    <w:r w:rsidRPr="00C0217A">
      <w:rPr>
        <w:color w:val="003399"/>
      </w:rPr>
      <w:t>C-601,</w:t>
    </w:r>
    <w:r w:rsidR="00F17214">
      <w:rPr>
        <w:color w:val="003399"/>
      </w:rPr>
      <w:t xml:space="preserve"> </w:t>
    </w:r>
    <w:r w:rsidRPr="00C0217A">
      <w:rPr>
        <w:color w:val="003399"/>
      </w:rPr>
      <w:t>East Building, Yonghe Plaza</w:t>
    </w:r>
    <w:r w:rsidRPr="00C0217A">
      <w:rPr>
        <w:rFonts w:hint="eastAsia"/>
        <w:color w:val="003399"/>
      </w:rPr>
      <w:t>, 28# Andingmen Dongjie, Beijing,</w:t>
    </w:r>
    <w:r w:rsidR="00F17214">
      <w:rPr>
        <w:color w:val="003399"/>
      </w:rPr>
      <w:t xml:space="preserve"> </w:t>
    </w:r>
    <w:r w:rsidRPr="00C0217A">
      <w:rPr>
        <w:rFonts w:hint="eastAsia"/>
        <w:color w:val="003399"/>
      </w:rPr>
      <w:t>100007, P.R.</w:t>
    </w:r>
    <w:r w:rsidR="00F17214">
      <w:rPr>
        <w:color w:val="003399"/>
      </w:rPr>
      <w:t xml:space="preserve"> </w:t>
    </w:r>
    <w:r w:rsidRPr="00C0217A">
      <w:rPr>
        <w:rFonts w:hint="eastAsia"/>
        <w:color w:val="003399"/>
      </w:rPr>
      <w:t>China</w:t>
    </w:r>
  </w:p>
  <w:p w14:paraId="01233B81" w14:textId="77777777" w:rsidR="00C0217A" w:rsidRPr="00C0217A" w:rsidRDefault="00C0217A" w:rsidP="00C0217A">
    <w:pPr>
      <w:pStyle w:val="FootnoteText"/>
      <w:jc w:val="center"/>
      <w:rPr>
        <w:rFonts w:hint="eastAsia"/>
        <w:color w:val="003399"/>
      </w:rPr>
    </w:pPr>
    <w:r w:rsidRPr="00C0217A">
      <w:rPr>
        <w:rFonts w:hint="eastAsia"/>
        <w:color w:val="003399"/>
      </w:rPr>
      <w:t>Tel:</w:t>
    </w:r>
    <w:r w:rsidR="00F17214">
      <w:rPr>
        <w:color w:val="003399"/>
      </w:rPr>
      <w:t xml:space="preserve"> </w:t>
    </w:r>
    <w:r w:rsidRPr="00C0217A">
      <w:rPr>
        <w:rFonts w:hint="eastAsia"/>
        <w:color w:val="003399"/>
      </w:rPr>
      <w:t>+86-10-</w:t>
    </w:r>
    <w:proofErr w:type="gramStart"/>
    <w:r w:rsidRPr="00C0217A">
      <w:rPr>
        <w:rFonts w:hint="eastAsia"/>
        <w:color w:val="003399"/>
      </w:rPr>
      <w:t>64097888  Fax</w:t>
    </w:r>
    <w:proofErr w:type="gramEnd"/>
    <w:r w:rsidRPr="00C0217A">
      <w:rPr>
        <w:rFonts w:hint="eastAsia"/>
        <w:color w:val="003399"/>
      </w:rPr>
      <w:t>:</w:t>
    </w:r>
    <w:r w:rsidR="00F17214">
      <w:rPr>
        <w:color w:val="003399"/>
      </w:rPr>
      <w:t xml:space="preserve"> </w:t>
    </w:r>
    <w:r w:rsidRPr="00C0217A">
      <w:rPr>
        <w:rFonts w:hint="eastAsia"/>
        <w:color w:val="003399"/>
      </w:rPr>
      <w:t>+86-10-64097607  Email:</w:t>
    </w:r>
    <w:r w:rsidR="00F17214">
      <w:rPr>
        <w:color w:val="003399"/>
      </w:rPr>
      <w:t xml:space="preserve"> </w:t>
    </w:r>
    <w:r w:rsidRPr="00C0217A">
      <w:rPr>
        <w:rFonts w:hint="eastAsia"/>
        <w:color w:val="003399"/>
      </w:rPr>
      <w:t>info@cango.org  Website:</w:t>
    </w:r>
    <w:r w:rsidR="00F17214">
      <w:rPr>
        <w:color w:val="003399"/>
      </w:rPr>
      <w:t xml:space="preserve"> </w:t>
    </w:r>
    <w:r w:rsidRPr="00C0217A">
      <w:rPr>
        <w:rFonts w:hint="eastAsia"/>
        <w:color w:val="003399"/>
      </w:rPr>
      <w:t>www.cango.org</w:t>
    </w:r>
  </w:p>
  <w:p w14:paraId="3FAE838E" w14:textId="77777777" w:rsidR="006256EC" w:rsidRPr="00C0217A" w:rsidRDefault="008A6845">
    <w:pPr>
      <w:pStyle w:val="FootnoteText"/>
      <w:jc w:val="center"/>
      <w:rPr>
        <w:rFonts w:hint="eastAsia"/>
        <w:color w:val="003399"/>
      </w:rPr>
    </w:pPr>
    <w:r w:rsidRPr="00C0217A">
      <w:rPr>
        <w:rFonts w:hint="eastAsia"/>
        <w:color w:val="003399"/>
      </w:rPr>
      <w:t xml:space="preserve"> </w:t>
    </w:r>
  </w:p>
  <w:p w14:paraId="24F9B832" w14:textId="77777777" w:rsidR="006256EC" w:rsidRDefault="006256EC">
    <w:pPr>
      <w:widowControl/>
      <w:jc w:val="center"/>
      <w:rPr>
        <w:rFonts w:ascii="STXinwei" w:eastAsia="STXinwei" w:hAnsi="Arial" w:cs="Arial" w:hint="eastAsia"/>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0E90E" w14:textId="77777777" w:rsidR="00F17214" w:rsidRDefault="00F17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10F40" w14:textId="77777777" w:rsidR="005750BC" w:rsidRDefault="005750BC">
      <w:r>
        <w:separator/>
      </w:r>
    </w:p>
  </w:footnote>
  <w:footnote w:type="continuationSeparator" w:id="0">
    <w:p w14:paraId="32A0B45E" w14:textId="77777777" w:rsidR="005750BC" w:rsidRDefault="00575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84B4" w14:textId="77777777" w:rsidR="00F17214" w:rsidRDefault="00F172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E9496" w14:textId="77777777" w:rsidR="006256EC" w:rsidRPr="00B51E8B" w:rsidRDefault="006256EC" w:rsidP="00B51E8B">
    <w:pPr>
      <w:pStyle w:val="Header"/>
      <w:pBdr>
        <w:bottom w:val="single" w:sz="6" w:space="11" w:color="auto"/>
      </w:pBdr>
      <w:ind w:firstLineChars="767" w:firstLine="1534"/>
      <w:jc w:val="both"/>
      <w:rPr>
        <w:rFonts w:ascii="STXinwei" w:eastAsia="STXinwei" w:hAnsi="Arial" w:cs="Arial" w:hint="eastAsia"/>
        <w:b/>
        <w:bCs/>
        <w:color w:val="003399"/>
        <w:sz w:val="36"/>
        <w:szCs w:val="36"/>
      </w:rPr>
    </w:pPr>
    <w:r>
      <w:rPr>
        <w:rFonts w:ascii="Arial Black" w:hAnsi="Arial Black" w:cs="Arial"/>
        <w:noProof/>
        <w:sz w:val="20"/>
      </w:rPr>
      <w:object w:dxaOrig="2191" w:dyaOrig="1546" w14:anchorId="797B34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3.7pt;width:63pt;height:43.65pt;z-index:251657728">
          <v:imagedata r:id="rId1" o:title=""/>
        </v:shape>
        <o:OLEObject Type="Embed" ProgID="Word.Document.8" ShapeID="_x0000_s1026" DrawAspect="Content" ObjectID="_1742734007" r:id="rId2">
          <o:FieldCodes>\s</o:FieldCodes>
        </o:OLEObject>
      </w:object>
    </w:r>
    <w:smartTag w:uri="urn:schemas-microsoft-com:office:smarttags" w:element="place">
      <w:smartTag w:uri="urn:schemas-microsoft-com:office:smarttags" w:element="country-region">
        <w:r w:rsidR="00B51E8B" w:rsidRPr="00B51E8B">
          <w:rPr>
            <w:rFonts w:ascii="STXinwei" w:eastAsia="STXinwei" w:hAnsi="Arial" w:cs="Arial" w:hint="eastAsia"/>
            <w:b/>
            <w:bCs/>
            <w:color w:val="003399"/>
            <w:sz w:val="36"/>
            <w:szCs w:val="36"/>
          </w:rPr>
          <w:t>China</w:t>
        </w:r>
      </w:smartTag>
    </w:smartTag>
    <w:r w:rsidR="00B51E8B" w:rsidRPr="00B51E8B">
      <w:rPr>
        <w:rFonts w:ascii="STXinwei" w:eastAsia="STXinwei" w:hAnsi="Arial" w:cs="Arial" w:hint="eastAsia"/>
        <w:b/>
        <w:bCs/>
        <w:color w:val="003399"/>
        <w:sz w:val="36"/>
        <w:szCs w:val="36"/>
      </w:rPr>
      <w:t xml:space="preserve"> Association for NGO Cooperation</w:t>
    </w:r>
  </w:p>
  <w:p w14:paraId="5A46F6C3" w14:textId="77777777" w:rsidR="00D53670" w:rsidRPr="00B51E8B" w:rsidRDefault="00B51E8B" w:rsidP="00B51E8B">
    <w:pPr>
      <w:pStyle w:val="Header"/>
      <w:pBdr>
        <w:bottom w:val="single" w:sz="6" w:space="11" w:color="auto"/>
      </w:pBdr>
      <w:ind w:firstLine="1335"/>
      <w:rPr>
        <w:rFonts w:ascii="STXinwei" w:eastAsia="STXinwei" w:hAnsi="Arial" w:cs="Arial" w:hint="eastAsia"/>
        <w:b/>
        <w:bCs/>
        <w:color w:val="003399"/>
        <w:sz w:val="21"/>
        <w:szCs w:val="21"/>
      </w:rPr>
    </w:pPr>
    <w:r w:rsidRPr="00B51E8B">
      <w:rPr>
        <w:rFonts w:ascii="STXinwei" w:eastAsia="STXinwei" w:hAnsi="Arial" w:cs="Arial" w:hint="eastAsia"/>
        <w:b/>
        <w:bCs/>
        <w:color w:val="003399"/>
        <w:sz w:val="21"/>
        <w:szCs w:val="21"/>
      </w:rPr>
      <w:t>NGO in Special Consultative Status with the EC</w:t>
    </w:r>
    <w:r w:rsidR="008235F9">
      <w:rPr>
        <w:rFonts w:ascii="STXinwei" w:eastAsia="STXinwei" w:hAnsi="Arial" w:cs="Arial" w:hint="eastAsia"/>
        <w:b/>
        <w:bCs/>
        <w:color w:val="003399"/>
        <w:sz w:val="21"/>
        <w:szCs w:val="21"/>
      </w:rPr>
      <w:t>OSOC, United Nations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1D8FB" w14:textId="77777777" w:rsidR="00F17214" w:rsidRDefault="00F172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417"/>
    <w:rsid w:val="00062677"/>
    <w:rsid w:val="00220F66"/>
    <w:rsid w:val="002909BF"/>
    <w:rsid w:val="003E6F08"/>
    <w:rsid w:val="00497417"/>
    <w:rsid w:val="005750BC"/>
    <w:rsid w:val="006172CC"/>
    <w:rsid w:val="006256EC"/>
    <w:rsid w:val="007551BB"/>
    <w:rsid w:val="008235F9"/>
    <w:rsid w:val="008A6845"/>
    <w:rsid w:val="008F2E69"/>
    <w:rsid w:val="00952B12"/>
    <w:rsid w:val="009804E6"/>
    <w:rsid w:val="009F6A15"/>
    <w:rsid w:val="00A22218"/>
    <w:rsid w:val="00B049CD"/>
    <w:rsid w:val="00B51E8B"/>
    <w:rsid w:val="00C0217A"/>
    <w:rsid w:val="00CE7BE4"/>
    <w:rsid w:val="00D53670"/>
    <w:rsid w:val="00DA17F5"/>
    <w:rsid w:val="00F049F5"/>
    <w:rsid w:val="00F17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10FC68F4"/>
  <w15:chartTrackingRefBased/>
  <w15:docId w15:val="{58C94F0D-794B-4F60-9400-9D0B80794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4"/>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Hyperlink">
    <w:name w:val="Hyperlink"/>
    <w:rPr>
      <w:color w:val="0000FF"/>
      <w:u w:val="single"/>
    </w:rPr>
  </w:style>
  <w:style w:type="paragraph" w:styleId="Date">
    <w:name w:val="Date"/>
    <w:basedOn w:val="Normal"/>
    <w:next w:val="Normal"/>
    <w:pPr>
      <w:ind w:leftChars="2500" w:left="100"/>
    </w:pPr>
    <w:rPr>
      <w:b/>
      <w:bCs/>
      <w:sz w:val="24"/>
    </w:rPr>
  </w:style>
  <w:style w:type="paragraph" w:styleId="FootnoteText">
    <w:name w:val="footnote text"/>
    <w:basedOn w:val="Normal"/>
    <w:semiHidden/>
    <w:pPr>
      <w:snapToGrid w:val="0"/>
      <w:jc w:val="left"/>
    </w:pPr>
    <w:rPr>
      <w:sz w:val="18"/>
      <w:szCs w:val="18"/>
    </w:rPr>
  </w:style>
  <w:style w:type="character" w:styleId="FootnoteReference">
    <w:name w:val="footnote reference"/>
    <w:semiHidden/>
    <w:rPr>
      <w:vertAlign w:val="superscript"/>
    </w:rPr>
  </w:style>
  <w:style w:type="paragraph" w:styleId="BalloonText">
    <w:name w:val="Balloon Text"/>
    <w:basedOn w:val="Normal"/>
    <w:semiHidden/>
    <w:rsid w:val="00220F66"/>
    <w:rPr>
      <w:sz w:val="18"/>
      <w:szCs w:val="18"/>
    </w:rPr>
  </w:style>
  <w:style w:type="character" w:customStyle="1" w:styleId="15">
    <w:name w:val="15"/>
    <w:rsid w:val="002909BF"/>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17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cango.org"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cango.org"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Microsoft_Word_97_-_2003_Document.doc"/><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1291</Words>
  <Characters>7365</Characters>
  <Application>Microsoft Office Word</Application>
  <DocSecurity>0</DocSecurity>
  <Lines>61</Lines>
  <Paragraphs>17</Paragraphs>
  <ScaleCrop>false</ScaleCrop>
  <Company>Legend (Beijing) Limited</Company>
  <LinksUpToDate>false</LinksUpToDate>
  <CharactersWithSpaces>8639</CharactersWithSpaces>
  <SharedDoc>false</SharedDoc>
  <HLinks>
    <vt:vector size="12" baseType="variant">
      <vt:variant>
        <vt:i4>4259850</vt:i4>
      </vt:variant>
      <vt:variant>
        <vt:i4>3</vt:i4>
      </vt:variant>
      <vt:variant>
        <vt:i4>0</vt:i4>
      </vt:variant>
      <vt:variant>
        <vt:i4>5</vt:i4>
      </vt:variant>
      <vt:variant>
        <vt:lpwstr>http://www.cango.org/</vt:lpwstr>
      </vt:variant>
      <vt:variant>
        <vt:lpwstr/>
      </vt:variant>
      <vt:variant>
        <vt:i4>7798854</vt:i4>
      </vt:variant>
      <vt:variant>
        <vt:i4>0</vt:i4>
      </vt:variant>
      <vt:variant>
        <vt:i4>0</vt:i4>
      </vt:variant>
      <vt:variant>
        <vt:i4>5</vt:i4>
      </vt:variant>
      <vt:variant>
        <vt:lpwstr>mailto:info@cango.org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邀  请  函</dc:title>
  <dc:subject/>
  <dc:creator>Lenovo User</dc:creator>
  <cp:keywords/>
  <dc:description/>
  <cp:lastModifiedBy>Caroline Harvey</cp:lastModifiedBy>
  <cp:revision>2</cp:revision>
  <cp:lastPrinted>2008-04-30T15:45:00Z</cp:lastPrinted>
  <dcterms:created xsi:type="dcterms:W3CDTF">2023-04-11T14:00:00Z</dcterms:created>
  <dcterms:modified xsi:type="dcterms:W3CDTF">2023-04-11T14:00:00Z</dcterms:modified>
</cp:coreProperties>
</file>