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11FB4" w14:textId="548FEA2E" w:rsidR="00C13B24" w:rsidRPr="00305C56" w:rsidRDefault="00000000">
      <w:pPr>
        <w:jc w:val="center"/>
        <w:rPr>
          <w:b/>
          <w:bCs/>
        </w:rPr>
      </w:pPr>
      <w:r w:rsidRPr="00305C56">
        <w:rPr>
          <w:b/>
          <w:bCs/>
          <w:noProof/>
        </w:rPr>
        <w:drawing>
          <wp:inline distT="114300" distB="114300" distL="114300" distR="114300" wp14:anchorId="24FEF0EB" wp14:editId="636D2C61">
            <wp:extent cx="842963" cy="8429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42963" cy="842963"/>
                    </a:xfrm>
                    <a:prstGeom prst="rect">
                      <a:avLst/>
                    </a:prstGeom>
                    <a:ln/>
                  </pic:spPr>
                </pic:pic>
              </a:graphicData>
            </a:graphic>
          </wp:inline>
        </w:drawing>
      </w:r>
      <w:r w:rsidR="00305C56">
        <w:t xml:space="preserve">  </w:t>
      </w:r>
      <w:r w:rsidRPr="00305C56">
        <w:t xml:space="preserve"> </w:t>
      </w:r>
      <w:r w:rsidRPr="00305C56">
        <w:rPr>
          <w:b/>
          <w:bCs/>
          <w:noProof/>
        </w:rPr>
        <w:drawing>
          <wp:inline distT="114300" distB="114300" distL="114300" distR="114300" wp14:anchorId="6E4C6A3D" wp14:editId="0494A0AC">
            <wp:extent cx="708917" cy="78354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708917" cy="783540"/>
                    </a:xfrm>
                    <a:prstGeom prst="rect">
                      <a:avLst/>
                    </a:prstGeom>
                    <a:ln/>
                  </pic:spPr>
                </pic:pic>
              </a:graphicData>
            </a:graphic>
          </wp:inline>
        </w:drawing>
      </w:r>
      <w:r w:rsidRPr="00305C56">
        <w:t xml:space="preserve">  </w:t>
      </w:r>
      <w:r w:rsidR="00305C56">
        <w:t xml:space="preserve">  </w:t>
      </w:r>
      <w:r w:rsidRPr="00305C56">
        <w:t xml:space="preserve"> </w:t>
      </w:r>
      <w:r w:rsidRPr="00305C56">
        <w:rPr>
          <w:b/>
          <w:bCs/>
          <w:noProof/>
        </w:rPr>
        <w:drawing>
          <wp:inline distT="114300" distB="114300" distL="114300" distR="114300" wp14:anchorId="54E4995C" wp14:editId="60DC4512">
            <wp:extent cx="659206" cy="789419"/>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659206" cy="789419"/>
                    </a:xfrm>
                    <a:prstGeom prst="rect">
                      <a:avLst/>
                    </a:prstGeom>
                    <a:ln/>
                  </pic:spPr>
                </pic:pic>
              </a:graphicData>
            </a:graphic>
          </wp:inline>
        </w:drawing>
      </w:r>
      <w:r w:rsidR="00305C56">
        <w:t xml:space="preserve"> </w:t>
      </w:r>
      <w:r w:rsidRPr="00305C56">
        <w:t xml:space="preserve"> </w:t>
      </w:r>
      <w:r w:rsidR="00305C56">
        <w:t xml:space="preserve"> </w:t>
      </w:r>
      <w:r w:rsidRPr="00305C56">
        <w:rPr>
          <w:b/>
          <w:bCs/>
          <w:noProof/>
        </w:rPr>
        <w:drawing>
          <wp:inline distT="114300" distB="114300" distL="114300" distR="114300" wp14:anchorId="7D52BDE5" wp14:editId="6A4BEBC8">
            <wp:extent cx="1460001" cy="80173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r="46199"/>
                    <a:stretch>
                      <a:fillRect/>
                    </a:stretch>
                  </pic:blipFill>
                  <pic:spPr>
                    <a:xfrm>
                      <a:off x="0" y="0"/>
                      <a:ext cx="1460001" cy="801735"/>
                    </a:xfrm>
                    <a:prstGeom prst="rect">
                      <a:avLst/>
                    </a:prstGeom>
                    <a:ln/>
                  </pic:spPr>
                </pic:pic>
              </a:graphicData>
            </a:graphic>
          </wp:inline>
        </w:drawing>
      </w:r>
      <w:r w:rsidR="00305C56">
        <w:t xml:space="preserve"> </w:t>
      </w:r>
      <w:r w:rsidRPr="00305C56">
        <w:t xml:space="preserve"> </w:t>
      </w:r>
      <w:r w:rsidR="00305C56">
        <w:t xml:space="preserve"> </w:t>
      </w:r>
      <w:r w:rsidRPr="00305C56">
        <w:rPr>
          <w:b/>
          <w:bCs/>
          <w:noProof/>
        </w:rPr>
        <w:drawing>
          <wp:inline distT="114300" distB="114300" distL="114300" distR="114300" wp14:anchorId="7DA13F94" wp14:editId="2E110E7F">
            <wp:extent cx="1448390" cy="74252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448390" cy="742529"/>
                    </a:xfrm>
                    <a:prstGeom prst="rect">
                      <a:avLst/>
                    </a:prstGeom>
                    <a:ln/>
                  </pic:spPr>
                </pic:pic>
              </a:graphicData>
            </a:graphic>
          </wp:inline>
        </w:drawing>
      </w:r>
    </w:p>
    <w:p w14:paraId="0E7A0CDE" w14:textId="77777777" w:rsidR="00C13B24" w:rsidRPr="00305C56" w:rsidRDefault="00C13B24">
      <w:pPr>
        <w:rPr>
          <w:b/>
          <w:bCs/>
        </w:rPr>
      </w:pPr>
    </w:p>
    <w:p w14:paraId="7B4C5745" w14:textId="77777777" w:rsidR="00C13B24" w:rsidRPr="00305C56" w:rsidRDefault="00C13B24">
      <w:pPr>
        <w:rPr>
          <w:b/>
          <w:bCs/>
        </w:rPr>
      </w:pPr>
    </w:p>
    <w:p w14:paraId="3ABCDBDE" w14:textId="77777777" w:rsidR="00C13B24" w:rsidRDefault="00C13B24">
      <w:pPr>
        <w:rPr>
          <w:b/>
          <w:bCs/>
          <w:u w:val="single"/>
        </w:rPr>
      </w:pPr>
    </w:p>
    <w:p w14:paraId="7A4B9967" w14:textId="77777777" w:rsidR="00C13B24" w:rsidRDefault="00C13B24">
      <w:pPr>
        <w:rPr>
          <w:b/>
          <w:bCs/>
          <w:u w:val="single"/>
        </w:rPr>
      </w:pPr>
    </w:p>
    <w:p w14:paraId="414908BE" w14:textId="77777777" w:rsidR="00C13B24" w:rsidRDefault="00C13B24">
      <w:pPr>
        <w:rPr>
          <w:b/>
          <w:bCs/>
          <w:u w:val="single"/>
        </w:rPr>
      </w:pPr>
    </w:p>
    <w:p w14:paraId="29E13279" w14:textId="77777777" w:rsidR="00C13B24" w:rsidRDefault="00C13B24">
      <w:pPr>
        <w:rPr>
          <w:b/>
          <w:bCs/>
          <w:u w:val="single"/>
        </w:rPr>
      </w:pP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C13B24" w14:paraId="1A624688" w14:textId="77777777">
        <w:tc>
          <w:tcPr>
            <w:tcW w:w="9029" w:type="dxa"/>
            <w:shd w:val="clear" w:color="auto" w:fill="999999"/>
            <w:tcMar>
              <w:top w:w="100" w:type="dxa"/>
              <w:left w:w="100" w:type="dxa"/>
              <w:bottom w:w="100" w:type="dxa"/>
              <w:right w:w="100" w:type="dxa"/>
            </w:tcMar>
          </w:tcPr>
          <w:p w14:paraId="3F5A1071" w14:textId="77777777" w:rsidR="00C13B24" w:rsidRPr="00305C56" w:rsidRDefault="00000000">
            <w:pPr>
              <w:widowControl w:val="0"/>
              <w:pBdr>
                <w:top w:val="nil"/>
                <w:left w:val="nil"/>
                <w:bottom w:val="nil"/>
                <w:right w:val="nil"/>
                <w:between w:val="nil"/>
              </w:pBdr>
              <w:spacing w:line="240" w:lineRule="auto"/>
              <w:jc w:val="center"/>
              <w:rPr>
                <w:b/>
                <w:bCs/>
                <w:color w:val="FFFFFF"/>
                <w:sz w:val="36"/>
                <w:szCs w:val="36"/>
                <w:u w:val="single"/>
                <w:lang w:val="en-US"/>
              </w:rPr>
            </w:pPr>
            <w:r w:rsidRPr="00305C56">
              <w:rPr>
                <w:b/>
                <w:bCs/>
                <w:color w:val="FFFFFF"/>
                <w:sz w:val="36"/>
                <w:szCs w:val="36"/>
                <w:u w:val="single"/>
                <w:lang w:val="en-US"/>
              </w:rPr>
              <w:t>Alternative report for the 92nd session of the Committee on the Elimination of Discrimination Against Women</w:t>
            </w:r>
          </w:p>
          <w:p w14:paraId="7D3599A3" w14:textId="77777777" w:rsidR="00C13B24" w:rsidRPr="00305C56" w:rsidRDefault="00C13B24">
            <w:pPr>
              <w:widowControl w:val="0"/>
              <w:pBdr>
                <w:top w:val="nil"/>
                <w:left w:val="nil"/>
                <w:bottom w:val="nil"/>
                <w:right w:val="nil"/>
                <w:between w:val="nil"/>
              </w:pBdr>
              <w:spacing w:line="240" w:lineRule="auto"/>
              <w:jc w:val="center"/>
              <w:rPr>
                <w:b/>
                <w:bCs/>
                <w:color w:val="FFFFFF"/>
                <w:u w:val="single"/>
                <w:lang w:val="en-US"/>
              </w:rPr>
            </w:pPr>
          </w:p>
          <w:p w14:paraId="0C53F336" w14:textId="77777777" w:rsidR="00C13B24" w:rsidRDefault="00000000">
            <w:pPr>
              <w:widowControl w:val="0"/>
              <w:pBdr>
                <w:top w:val="nil"/>
                <w:left w:val="nil"/>
                <w:bottom w:val="nil"/>
                <w:right w:val="nil"/>
                <w:between w:val="nil"/>
              </w:pBdr>
              <w:spacing w:line="240" w:lineRule="auto"/>
              <w:jc w:val="center"/>
              <w:rPr>
                <w:b/>
                <w:bCs/>
                <w:color w:val="FFFFFF"/>
                <w:u w:val="single"/>
              </w:rPr>
            </w:pPr>
            <w:r>
              <w:rPr>
                <w:b/>
                <w:bCs/>
                <w:color w:val="FFFFFF"/>
                <w:u w:val="single"/>
              </w:rPr>
              <w:t>The Netherlands</w:t>
            </w:r>
          </w:p>
          <w:p w14:paraId="0BA60ECD" w14:textId="77777777" w:rsidR="00C13B24" w:rsidRDefault="00C13B24">
            <w:pPr>
              <w:widowControl w:val="0"/>
              <w:pBdr>
                <w:top w:val="nil"/>
                <w:left w:val="nil"/>
                <w:bottom w:val="nil"/>
                <w:right w:val="nil"/>
                <w:between w:val="nil"/>
              </w:pBdr>
              <w:spacing w:line="240" w:lineRule="auto"/>
              <w:jc w:val="center"/>
              <w:rPr>
                <w:b/>
                <w:bCs/>
                <w:color w:val="FFFFFF"/>
                <w:u w:val="single"/>
              </w:rPr>
            </w:pPr>
          </w:p>
          <w:p w14:paraId="7C927A14" w14:textId="77777777" w:rsidR="00C13B24" w:rsidRDefault="00000000">
            <w:pPr>
              <w:widowControl w:val="0"/>
              <w:pBdr>
                <w:top w:val="nil"/>
                <w:left w:val="nil"/>
                <w:bottom w:val="nil"/>
                <w:right w:val="nil"/>
                <w:between w:val="nil"/>
              </w:pBdr>
              <w:spacing w:line="240" w:lineRule="auto"/>
              <w:jc w:val="center"/>
              <w:rPr>
                <w:b/>
                <w:bCs/>
                <w:color w:val="FFFFFF"/>
                <w:u w:val="single"/>
              </w:rPr>
            </w:pPr>
            <w:r>
              <w:rPr>
                <w:b/>
                <w:bCs/>
                <w:color w:val="FFFFFF"/>
                <w:u w:val="single"/>
              </w:rPr>
              <w:t>2-20 February 2026</w:t>
            </w:r>
          </w:p>
        </w:tc>
      </w:tr>
    </w:tbl>
    <w:p w14:paraId="47388D39" w14:textId="77777777" w:rsidR="00C13B24" w:rsidRDefault="00C13B24">
      <w:pPr>
        <w:rPr>
          <w:b/>
          <w:bCs/>
          <w:u w:val="single"/>
        </w:rPr>
      </w:pPr>
    </w:p>
    <w:p w14:paraId="5F8E97ED" w14:textId="77777777" w:rsidR="00C13B24" w:rsidRDefault="00C13B24">
      <w:pPr>
        <w:rPr>
          <w:b/>
          <w:bCs/>
          <w:u w:val="single"/>
        </w:rPr>
      </w:pPr>
    </w:p>
    <w:p w14:paraId="7C673F3A" w14:textId="77777777" w:rsidR="00C13B24" w:rsidRDefault="00C13B24">
      <w:pPr>
        <w:rPr>
          <w:b/>
          <w:bCs/>
          <w:u w:val="single"/>
        </w:rPr>
      </w:pPr>
    </w:p>
    <w:p w14:paraId="1FF19600" w14:textId="77777777" w:rsidR="00C13B24" w:rsidRDefault="00C13B24">
      <w:pPr>
        <w:rPr>
          <w:b/>
          <w:bCs/>
          <w:u w:val="single"/>
        </w:rPr>
      </w:pPr>
    </w:p>
    <w:p w14:paraId="12143048" w14:textId="77777777" w:rsidR="00C13B24" w:rsidRDefault="00C13B24">
      <w:pPr>
        <w:rPr>
          <w:b/>
          <w:bCs/>
          <w:u w:val="single"/>
        </w:rPr>
      </w:pPr>
    </w:p>
    <w:p w14:paraId="2B8CE910" w14:textId="77777777" w:rsidR="00C13B24" w:rsidRDefault="00C13B24">
      <w:pPr>
        <w:rPr>
          <w:b/>
          <w:bCs/>
          <w:u w:val="single"/>
        </w:rPr>
      </w:pPr>
    </w:p>
    <w:p w14:paraId="57D5D969" w14:textId="77777777" w:rsidR="00C13B24" w:rsidRDefault="00C13B24">
      <w:pPr>
        <w:rPr>
          <w:b/>
          <w:bCs/>
          <w:u w:val="single"/>
        </w:rPr>
      </w:pPr>
    </w:p>
    <w:p w14:paraId="42027FBD" w14:textId="77777777" w:rsidR="00C13B24" w:rsidRDefault="00C13B24">
      <w:pPr>
        <w:rPr>
          <w:b/>
          <w:bCs/>
          <w:u w:val="single"/>
        </w:rPr>
      </w:pPr>
    </w:p>
    <w:p w14:paraId="74EB5364" w14:textId="77777777" w:rsidR="00C13B24" w:rsidRDefault="00C13B24">
      <w:pPr>
        <w:rPr>
          <w:b/>
          <w:bCs/>
          <w:u w:val="single"/>
        </w:rPr>
      </w:pPr>
    </w:p>
    <w:p w14:paraId="02EB2C73" w14:textId="77777777" w:rsidR="00C13B24" w:rsidRDefault="00000000">
      <w:r>
        <w:t>Joint NGO submission by:</w:t>
      </w:r>
    </w:p>
    <w:p w14:paraId="1314FAD7" w14:textId="77777777" w:rsidR="00C13B24" w:rsidRDefault="00C13B24"/>
    <w:p w14:paraId="26E7D364" w14:textId="77777777" w:rsidR="00C13B24" w:rsidRDefault="00000000">
      <w:r>
        <w:t>Bi+ Nederland</w:t>
      </w:r>
    </w:p>
    <w:p w14:paraId="26A5602C" w14:textId="77777777" w:rsidR="00C13B24" w:rsidRDefault="00000000">
      <w:r>
        <w:t>COC Nederland</w:t>
      </w:r>
    </w:p>
    <w:p w14:paraId="31673E58" w14:textId="77777777" w:rsidR="00C13B24" w:rsidRPr="00305C56" w:rsidRDefault="00000000">
      <w:pPr>
        <w:rPr>
          <w:lang w:val="en-US"/>
        </w:rPr>
      </w:pPr>
      <w:r w:rsidRPr="00305C56">
        <w:rPr>
          <w:lang w:val="en-US"/>
        </w:rPr>
        <w:t>NNID – Netherlands Organization for Sex Diversity</w:t>
      </w:r>
      <w:r w:rsidRPr="00305C56">
        <w:rPr>
          <w:lang w:val="en-US"/>
        </w:rPr>
        <w:br/>
        <w:t xml:space="preserve">NOA – Netherlands </w:t>
      </w:r>
      <w:proofErr w:type="spellStart"/>
      <w:r w:rsidRPr="00305C56">
        <w:rPr>
          <w:lang w:val="en-US"/>
        </w:rPr>
        <w:t>Organisation</w:t>
      </w:r>
      <w:proofErr w:type="spellEnd"/>
      <w:r w:rsidRPr="00305C56">
        <w:rPr>
          <w:lang w:val="en-US"/>
        </w:rPr>
        <w:t xml:space="preserve"> for Asexuality</w:t>
      </w:r>
    </w:p>
    <w:p w14:paraId="60CF7EF2" w14:textId="77777777" w:rsidR="00C13B24" w:rsidRPr="00305C56" w:rsidRDefault="00000000">
      <w:pPr>
        <w:rPr>
          <w:lang w:val="en-US"/>
        </w:rPr>
      </w:pPr>
      <w:r w:rsidRPr="00305C56">
        <w:rPr>
          <w:lang w:val="en-US"/>
        </w:rPr>
        <w:t xml:space="preserve">Transgender </w:t>
      </w:r>
      <w:proofErr w:type="spellStart"/>
      <w:r w:rsidRPr="00305C56">
        <w:rPr>
          <w:lang w:val="en-US"/>
        </w:rPr>
        <w:t>Netwerk</w:t>
      </w:r>
      <w:proofErr w:type="spellEnd"/>
    </w:p>
    <w:p w14:paraId="134606F9" w14:textId="77777777" w:rsidR="00C13B24" w:rsidRPr="00305C56" w:rsidRDefault="00C13B24">
      <w:pPr>
        <w:rPr>
          <w:lang w:val="en-US"/>
        </w:rPr>
      </w:pPr>
    </w:p>
    <w:p w14:paraId="00863802" w14:textId="77777777" w:rsidR="00C13B24" w:rsidRPr="00305C56" w:rsidRDefault="00C13B24">
      <w:pPr>
        <w:rPr>
          <w:lang w:val="en-US"/>
        </w:rPr>
      </w:pPr>
    </w:p>
    <w:p w14:paraId="381F4505" w14:textId="77777777" w:rsidR="00C13B24" w:rsidRPr="00305C56" w:rsidRDefault="00C13B24">
      <w:pPr>
        <w:rPr>
          <w:lang w:val="en-US"/>
        </w:rPr>
      </w:pPr>
    </w:p>
    <w:p w14:paraId="22A7B5AC" w14:textId="77777777" w:rsidR="00C13B24" w:rsidRPr="00305C56" w:rsidRDefault="00C13B24">
      <w:pPr>
        <w:rPr>
          <w:lang w:val="en-US"/>
        </w:rPr>
      </w:pPr>
    </w:p>
    <w:p w14:paraId="16F15929" w14:textId="77777777" w:rsidR="00C13B24" w:rsidRPr="00305C56" w:rsidRDefault="00C13B24">
      <w:pPr>
        <w:rPr>
          <w:lang w:val="en-US"/>
        </w:rPr>
      </w:pPr>
    </w:p>
    <w:p w14:paraId="43F62CEC" w14:textId="77777777" w:rsidR="00C13B24" w:rsidRPr="00305C56" w:rsidRDefault="00000000">
      <w:pPr>
        <w:rPr>
          <w:lang w:val="en-US"/>
        </w:rPr>
      </w:pPr>
      <w:r w:rsidRPr="00305C56">
        <w:rPr>
          <w:lang w:val="en-US"/>
        </w:rPr>
        <w:t>December 2025</w:t>
      </w:r>
    </w:p>
    <w:p w14:paraId="562627F5" w14:textId="77777777" w:rsidR="00C13B24" w:rsidRPr="00305C56" w:rsidRDefault="00C13B24">
      <w:pPr>
        <w:rPr>
          <w:b/>
          <w:bCs/>
          <w:u w:val="single"/>
          <w:lang w:val="en-US"/>
        </w:rPr>
      </w:pPr>
    </w:p>
    <w:p w14:paraId="10D7D41F" w14:textId="77777777" w:rsidR="00C13B24" w:rsidRPr="00305C56" w:rsidRDefault="00C13B24">
      <w:pPr>
        <w:rPr>
          <w:b/>
          <w:bCs/>
          <w:u w:val="single"/>
          <w:lang w:val="en-US"/>
        </w:rPr>
      </w:pPr>
    </w:p>
    <w:p w14:paraId="42F1753D" w14:textId="77777777" w:rsidR="00C13B24" w:rsidRPr="00305C56" w:rsidRDefault="00000000">
      <w:pPr>
        <w:rPr>
          <w:lang w:val="en-US"/>
        </w:rPr>
      </w:pPr>
      <w:r w:rsidRPr="00305C56">
        <w:rPr>
          <w:lang w:val="en-US"/>
        </w:rPr>
        <w:br w:type="page"/>
      </w:r>
    </w:p>
    <w:p w14:paraId="442B860B" w14:textId="77777777" w:rsidR="00C13B24" w:rsidRPr="00305C56" w:rsidRDefault="00000000">
      <w:pPr>
        <w:pStyle w:val="Heading2"/>
        <w:keepNext w:val="0"/>
        <w:keepLines w:val="0"/>
        <w:spacing w:before="480"/>
        <w:rPr>
          <w:lang w:val="en-US"/>
        </w:rPr>
      </w:pPr>
      <w:bookmarkStart w:id="0" w:name="_rumtegdfsq3u" w:colFirst="0" w:colLast="0"/>
      <w:bookmarkEnd w:id="0"/>
      <w:r w:rsidRPr="00305C56">
        <w:rPr>
          <w:lang w:val="en-US"/>
        </w:rPr>
        <w:lastRenderedPageBreak/>
        <w:t>Introduction</w:t>
      </w:r>
    </w:p>
    <w:p w14:paraId="54C22884" w14:textId="77777777" w:rsidR="00C13B24" w:rsidRPr="00305C56" w:rsidRDefault="00000000">
      <w:pPr>
        <w:spacing w:before="240" w:after="240"/>
        <w:rPr>
          <w:lang w:val="en-US"/>
        </w:rPr>
      </w:pPr>
      <w:r w:rsidRPr="00305C56">
        <w:rPr>
          <w:lang w:val="en-US"/>
        </w:rPr>
        <w:t xml:space="preserve">This report is a shared submission by Bi+ Nederland, COC Nederland, NNID, NOA and Transgender </w:t>
      </w:r>
      <w:proofErr w:type="spellStart"/>
      <w:r w:rsidRPr="00305C56">
        <w:rPr>
          <w:lang w:val="en-US"/>
        </w:rPr>
        <w:t>Netwerk</w:t>
      </w:r>
      <w:proofErr w:type="spellEnd"/>
      <w:r w:rsidRPr="00305C56">
        <w:rPr>
          <w:lang w:val="en-US"/>
        </w:rPr>
        <w:t>, to the Committee on the Elimination of Discrimination Against Women (CEDAW) in preparation for the 92nd session as part of the VII cycle of reporting.</w:t>
      </w:r>
    </w:p>
    <w:p w14:paraId="37992599" w14:textId="77777777" w:rsidR="00C13B24" w:rsidRPr="00305C56" w:rsidRDefault="00000000">
      <w:pPr>
        <w:spacing w:before="240" w:after="240"/>
        <w:rPr>
          <w:lang w:val="en-US"/>
        </w:rPr>
      </w:pPr>
      <w:r w:rsidRPr="00305C56">
        <w:rPr>
          <w:lang w:val="en-US"/>
        </w:rPr>
        <w:t>The report complements the report</w:t>
      </w:r>
      <w:r>
        <w:rPr>
          <w:vertAlign w:val="superscript"/>
        </w:rPr>
        <w:footnoteReference w:id="1"/>
      </w:r>
      <w:r w:rsidRPr="00305C56">
        <w:rPr>
          <w:lang w:val="en-US"/>
        </w:rPr>
        <w:t xml:space="preserve"> submitted by COC Nederland, NNID, and Transgender </w:t>
      </w:r>
      <w:proofErr w:type="spellStart"/>
      <w:r w:rsidRPr="00305C56">
        <w:rPr>
          <w:lang w:val="en-US"/>
        </w:rPr>
        <w:t>Netwerk</w:t>
      </w:r>
      <w:proofErr w:type="spellEnd"/>
      <w:r w:rsidRPr="00305C56">
        <w:rPr>
          <w:lang w:val="en-US"/>
        </w:rPr>
        <w:t xml:space="preserve"> in June 2021 in preparation for the 81th Pre-Sessional Working Group of CEDAW, and takes into account the state report submitted by the government of the Netherlands in July 2022. When relevant, this report introduces new research or new data. In other cases, it explicitly refers to the previous report, which is understood to be part of the preparation for the 92nd session of the Committee.</w:t>
      </w:r>
    </w:p>
    <w:p w14:paraId="094429AA" w14:textId="77777777" w:rsidR="00C13B24" w:rsidRDefault="00000000">
      <w:pPr>
        <w:spacing w:before="240" w:after="240"/>
      </w:pPr>
      <w:r w:rsidRPr="00305C56">
        <w:rPr>
          <w:lang w:val="en-US"/>
        </w:rPr>
        <w:t xml:space="preserve">The report highlights key issues that affect lesbian, bi+, transgender, queer, intersex, and asexual (hereafter: LBTQIA+ ) people in the Kingdom of the Netherlands. </w:t>
      </w:r>
      <w:r>
        <w:t>The report is also supported by the following organisations:</w:t>
      </w:r>
    </w:p>
    <w:p w14:paraId="16FF1263" w14:textId="77777777" w:rsidR="00C13B24" w:rsidRDefault="00000000">
      <w:pPr>
        <w:numPr>
          <w:ilvl w:val="0"/>
          <w:numId w:val="1"/>
        </w:numPr>
        <w:spacing w:before="240"/>
      </w:pPr>
      <w:r>
        <w:t>CHOICE for Youth and Sexuality</w:t>
      </w:r>
    </w:p>
    <w:p w14:paraId="52711936" w14:textId="77777777" w:rsidR="00C13B24" w:rsidRDefault="00000000">
      <w:pPr>
        <w:numPr>
          <w:ilvl w:val="0"/>
          <w:numId w:val="1"/>
        </w:numPr>
        <w:pBdr>
          <w:top w:val="nil"/>
          <w:left w:val="nil"/>
          <w:bottom w:val="nil"/>
          <w:right w:val="nil"/>
          <w:between w:val="nil"/>
        </w:pBdr>
      </w:pPr>
      <w:r>
        <w:t>WOMEN Inc.</w:t>
      </w:r>
    </w:p>
    <w:p w14:paraId="57E0FDC3" w14:textId="77777777" w:rsidR="00C13B24" w:rsidRDefault="00000000">
      <w:pPr>
        <w:numPr>
          <w:ilvl w:val="0"/>
          <w:numId w:val="1"/>
        </w:numPr>
        <w:spacing w:after="240"/>
      </w:pPr>
      <w:r>
        <w:t>Rutgers</w:t>
      </w:r>
    </w:p>
    <w:p w14:paraId="6D74172D" w14:textId="77777777" w:rsidR="00C13B24" w:rsidRPr="00305C56" w:rsidRDefault="00000000">
      <w:pPr>
        <w:spacing w:before="240" w:after="240"/>
        <w:rPr>
          <w:lang w:val="en-US"/>
        </w:rPr>
      </w:pPr>
      <w:r w:rsidRPr="00305C56">
        <w:rPr>
          <w:lang w:val="en-US"/>
        </w:rPr>
        <w:t>The key issues are categorized into different sections, based on the articles of the Convention on the Elimination of All Forms of Discrimination against Women. In summary, we suggest to the Committee to ask the Government of the Netherlands:</w:t>
      </w:r>
    </w:p>
    <w:p w14:paraId="19AA046C" w14:textId="77777777" w:rsidR="00C13B24" w:rsidRPr="00305C56" w:rsidRDefault="00000000">
      <w:pPr>
        <w:numPr>
          <w:ilvl w:val="0"/>
          <w:numId w:val="2"/>
        </w:numPr>
        <w:rPr>
          <w:lang w:val="en-US"/>
        </w:rPr>
      </w:pPr>
      <w:r w:rsidRPr="00305C56">
        <w:rPr>
          <w:b/>
          <w:bCs/>
          <w:lang w:val="en-US"/>
        </w:rPr>
        <w:t>What measures have been taken to protect the rights of intersex people, in the form of a legal ban on non-consensual unnecessary medical treatments on intersex children, that can be safely deferred until a later age when intersex children can provide personal, prior, free, and fully informed consent, and the development and implementation of a rights-based health-care protocol for intersex people in accordance with previous recommendations of the CEDAW committee?</w:t>
      </w:r>
    </w:p>
    <w:p w14:paraId="2A786C71" w14:textId="77777777" w:rsidR="00C13B24" w:rsidRPr="00305C56" w:rsidRDefault="00000000">
      <w:pPr>
        <w:numPr>
          <w:ilvl w:val="0"/>
          <w:numId w:val="2"/>
        </w:numPr>
        <w:rPr>
          <w:lang w:val="en-US"/>
        </w:rPr>
      </w:pPr>
      <w:r w:rsidRPr="00305C56">
        <w:rPr>
          <w:b/>
          <w:bCs/>
          <w:lang w:val="en-US"/>
        </w:rPr>
        <w:t>What steps have been taken to optimize the legal protection against hate crimes based on sexual orientation, gender identity and sex characteristics, and to prosecute and convict perpetrators?</w:t>
      </w:r>
    </w:p>
    <w:p w14:paraId="68E4F048" w14:textId="77777777" w:rsidR="00C13B24" w:rsidRPr="00305C56" w:rsidRDefault="00000000">
      <w:pPr>
        <w:numPr>
          <w:ilvl w:val="0"/>
          <w:numId w:val="2"/>
        </w:numPr>
        <w:rPr>
          <w:lang w:val="en-US"/>
        </w:rPr>
      </w:pPr>
      <w:r w:rsidRPr="00305C56">
        <w:rPr>
          <w:b/>
          <w:bCs/>
          <w:lang w:val="en-US"/>
        </w:rPr>
        <w:t>How is the government of the Netherlands planning to promote the willingness to report hate crimes?</w:t>
      </w:r>
    </w:p>
    <w:p w14:paraId="31E2F411" w14:textId="77777777" w:rsidR="00C13B24" w:rsidRPr="00305C56" w:rsidRDefault="00000000">
      <w:pPr>
        <w:numPr>
          <w:ilvl w:val="0"/>
          <w:numId w:val="2"/>
        </w:numPr>
        <w:rPr>
          <w:lang w:val="en-US"/>
        </w:rPr>
      </w:pPr>
      <w:r w:rsidRPr="00305C56">
        <w:rPr>
          <w:b/>
          <w:bCs/>
          <w:lang w:val="en-US"/>
        </w:rPr>
        <w:t>In what way will the government of the Netherlands address online hate speech?</w:t>
      </w:r>
    </w:p>
    <w:p w14:paraId="6AB9F7F4" w14:textId="77777777" w:rsidR="00C13B24" w:rsidRPr="00305C56" w:rsidRDefault="00000000">
      <w:pPr>
        <w:numPr>
          <w:ilvl w:val="0"/>
          <w:numId w:val="2"/>
        </w:numPr>
        <w:rPr>
          <w:lang w:val="en-US"/>
        </w:rPr>
      </w:pPr>
      <w:r w:rsidRPr="00305C56">
        <w:rPr>
          <w:b/>
          <w:bCs/>
          <w:lang w:val="en-US"/>
        </w:rPr>
        <w:t>How does the government of The Netherlands guarantee the continuation and improvement of data collection on the situation of LBTQIA+ people, including, but not limited to, social and physical wellbeing of LBTQIA+ people?</w:t>
      </w:r>
    </w:p>
    <w:p w14:paraId="7B6A4C4A" w14:textId="77777777" w:rsidR="00C13B24" w:rsidRPr="00305C56" w:rsidRDefault="00000000">
      <w:pPr>
        <w:numPr>
          <w:ilvl w:val="0"/>
          <w:numId w:val="2"/>
        </w:numPr>
        <w:rPr>
          <w:lang w:val="en-US"/>
        </w:rPr>
      </w:pPr>
      <w:r w:rsidRPr="00305C56">
        <w:rPr>
          <w:b/>
          <w:bCs/>
          <w:lang w:val="en-US"/>
        </w:rPr>
        <w:t>How is access to legal gender recognition for both intersex and transgender children and adults guaranteed, without obstacles infringing the individual’s right to self-determination (i.e., expert letter or lawsuit) and financial barriers?</w:t>
      </w:r>
    </w:p>
    <w:p w14:paraId="37FDAE5E" w14:textId="77777777" w:rsidR="00C13B24" w:rsidRPr="00305C56" w:rsidRDefault="00000000">
      <w:pPr>
        <w:numPr>
          <w:ilvl w:val="0"/>
          <w:numId w:val="2"/>
        </w:numPr>
        <w:rPr>
          <w:lang w:val="en-US"/>
        </w:rPr>
      </w:pPr>
      <w:r w:rsidRPr="00305C56">
        <w:rPr>
          <w:b/>
          <w:bCs/>
          <w:lang w:val="en-US"/>
        </w:rPr>
        <w:lastRenderedPageBreak/>
        <w:t>Which measures are taken to enable individuals to alter their legal gender registration to ‘underdetermined’ or ‘unregistered’?</w:t>
      </w:r>
    </w:p>
    <w:p w14:paraId="1A170CD0" w14:textId="77777777" w:rsidR="00C13B24" w:rsidRPr="00305C56" w:rsidRDefault="00000000">
      <w:pPr>
        <w:numPr>
          <w:ilvl w:val="0"/>
          <w:numId w:val="2"/>
        </w:numPr>
        <w:rPr>
          <w:lang w:val="en-US"/>
        </w:rPr>
      </w:pPr>
      <w:r w:rsidRPr="00305C56">
        <w:rPr>
          <w:b/>
          <w:bCs/>
          <w:lang w:val="en-US"/>
        </w:rPr>
        <w:t>What measures are taken to guarantee equal access to basic gender affirmative health care through primary health care providers and reimbursement of all aspects of gender affirmative health care?</w:t>
      </w:r>
    </w:p>
    <w:p w14:paraId="0153580A" w14:textId="77777777" w:rsidR="00C13B24" w:rsidRPr="00305C56" w:rsidRDefault="00000000">
      <w:pPr>
        <w:numPr>
          <w:ilvl w:val="0"/>
          <w:numId w:val="2"/>
        </w:numPr>
        <w:rPr>
          <w:lang w:val="en-US"/>
        </w:rPr>
      </w:pPr>
      <w:r w:rsidRPr="00305C56">
        <w:rPr>
          <w:b/>
          <w:bCs/>
          <w:lang w:val="en-US"/>
        </w:rPr>
        <w:t>Which steps are taken to provide early access and reimbursement to gender affirmative health care, especially hormone treatment and specialized mental health support, for all transgender asylum seekers in asylum centers?</w:t>
      </w:r>
    </w:p>
    <w:p w14:paraId="75652E41" w14:textId="77777777" w:rsidR="00C13B24" w:rsidRPr="00305C56" w:rsidRDefault="00000000">
      <w:pPr>
        <w:numPr>
          <w:ilvl w:val="0"/>
          <w:numId w:val="2"/>
        </w:numPr>
        <w:rPr>
          <w:lang w:val="en-US"/>
        </w:rPr>
      </w:pPr>
      <w:r w:rsidRPr="00305C56">
        <w:rPr>
          <w:b/>
          <w:bCs/>
          <w:lang w:val="en-US"/>
        </w:rPr>
        <w:t xml:space="preserve">How does the government contribute to the </w:t>
      </w:r>
      <w:proofErr w:type="spellStart"/>
      <w:r w:rsidRPr="00305C56">
        <w:rPr>
          <w:b/>
          <w:bCs/>
          <w:lang w:val="en-US"/>
        </w:rPr>
        <w:t>depathologization</w:t>
      </w:r>
      <w:proofErr w:type="spellEnd"/>
      <w:r w:rsidRPr="00305C56">
        <w:rPr>
          <w:b/>
          <w:bCs/>
          <w:lang w:val="en-US"/>
        </w:rPr>
        <w:t xml:space="preserve"> of protocols for gender affirmative health care, based on the new categories of gender affirmative health care provided by the ICD-11?</w:t>
      </w:r>
    </w:p>
    <w:p w14:paraId="45AC5D6A" w14:textId="77777777" w:rsidR="00C13B24" w:rsidRPr="00305C56" w:rsidRDefault="00000000">
      <w:pPr>
        <w:numPr>
          <w:ilvl w:val="0"/>
          <w:numId w:val="2"/>
        </w:numPr>
        <w:rPr>
          <w:lang w:val="en-US"/>
        </w:rPr>
      </w:pPr>
      <w:r w:rsidRPr="00305C56">
        <w:rPr>
          <w:b/>
          <w:bCs/>
          <w:lang w:val="en-US"/>
        </w:rPr>
        <w:t>How will the government ensure that intersex women have access to psychological care outside the medical environment to address their trauma?</w:t>
      </w:r>
    </w:p>
    <w:p w14:paraId="00887CCF" w14:textId="77777777" w:rsidR="00C13B24" w:rsidRPr="00305C56" w:rsidRDefault="00000000">
      <w:pPr>
        <w:numPr>
          <w:ilvl w:val="0"/>
          <w:numId w:val="2"/>
        </w:numPr>
        <w:rPr>
          <w:lang w:val="en-US"/>
        </w:rPr>
      </w:pPr>
      <w:r w:rsidRPr="00305C56">
        <w:rPr>
          <w:b/>
          <w:bCs/>
          <w:lang w:val="en-US"/>
        </w:rPr>
        <w:t>How does the government intend to prevent feature trauma amongst intersex women?</w:t>
      </w:r>
    </w:p>
    <w:p w14:paraId="0F28C7C0" w14:textId="77777777" w:rsidR="00C13B24" w:rsidRPr="00305C56" w:rsidRDefault="00000000">
      <w:pPr>
        <w:numPr>
          <w:ilvl w:val="0"/>
          <w:numId w:val="2"/>
        </w:numPr>
        <w:rPr>
          <w:lang w:val="en-US"/>
        </w:rPr>
      </w:pPr>
      <w:r w:rsidRPr="00305C56">
        <w:rPr>
          <w:b/>
          <w:bCs/>
          <w:lang w:val="en-US"/>
        </w:rPr>
        <w:t>What steps have been taken to ensure the specific vulnerabilities of intersex women are taken into consideration in healthcare environments?</w:t>
      </w:r>
    </w:p>
    <w:p w14:paraId="2A83CD38" w14:textId="77777777" w:rsidR="00C13B24" w:rsidRPr="00305C56" w:rsidRDefault="00000000">
      <w:pPr>
        <w:numPr>
          <w:ilvl w:val="0"/>
          <w:numId w:val="2"/>
        </w:numPr>
        <w:rPr>
          <w:lang w:val="en-US"/>
        </w:rPr>
      </w:pPr>
      <w:r w:rsidRPr="00305C56">
        <w:rPr>
          <w:b/>
          <w:bCs/>
          <w:lang w:val="en-US"/>
        </w:rPr>
        <w:t>How will the government of the Netherlands incorporate information about asexuality in education programs for health care providers?</w:t>
      </w:r>
    </w:p>
    <w:p w14:paraId="1D64B2BA" w14:textId="77777777" w:rsidR="00C13B24" w:rsidRPr="00305C56" w:rsidRDefault="00000000">
      <w:pPr>
        <w:numPr>
          <w:ilvl w:val="0"/>
          <w:numId w:val="2"/>
        </w:numPr>
        <w:rPr>
          <w:lang w:val="en-US"/>
        </w:rPr>
      </w:pPr>
      <w:r w:rsidRPr="00305C56">
        <w:rPr>
          <w:b/>
          <w:bCs/>
          <w:lang w:val="en-US"/>
        </w:rPr>
        <w:t>In what ways will the government of the Netherlands ensure the safety of asexual people in a health care environment so that their asexuality is taken seriously as a sexual orientation?</w:t>
      </w:r>
    </w:p>
    <w:p w14:paraId="3B294F71" w14:textId="77777777" w:rsidR="00C13B24" w:rsidRPr="00305C56" w:rsidRDefault="00000000">
      <w:pPr>
        <w:numPr>
          <w:ilvl w:val="0"/>
          <w:numId w:val="2"/>
        </w:numPr>
        <w:rPr>
          <w:lang w:val="en-US"/>
        </w:rPr>
      </w:pPr>
      <w:r w:rsidRPr="00305C56">
        <w:rPr>
          <w:b/>
          <w:bCs/>
          <w:lang w:val="en-US"/>
        </w:rPr>
        <w:t>Which measures are taken to guarantee equal access to sexual health care for all women?</w:t>
      </w:r>
    </w:p>
    <w:p w14:paraId="3AD97748" w14:textId="77777777" w:rsidR="00C13B24" w:rsidRPr="00305C56" w:rsidRDefault="00000000">
      <w:pPr>
        <w:numPr>
          <w:ilvl w:val="0"/>
          <w:numId w:val="2"/>
        </w:numPr>
        <w:rPr>
          <w:lang w:val="en-US"/>
        </w:rPr>
      </w:pPr>
      <w:r w:rsidRPr="00305C56">
        <w:rPr>
          <w:rFonts w:ascii="Roboto" w:eastAsia="Roboto" w:hAnsi="Roboto" w:cs="Roboto"/>
          <w:b/>
          <w:bCs/>
          <w:color w:val="242424"/>
          <w:sz w:val="23"/>
          <w:szCs w:val="23"/>
          <w:highlight w:val="white"/>
          <w:lang w:val="en-US"/>
        </w:rPr>
        <w:t>Which measures are taken to ensure that the role of sex, gender and sexual orientation in health are embedded in the healthcare system?</w:t>
      </w:r>
    </w:p>
    <w:p w14:paraId="43C1E36B" w14:textId="77777777" w:rsidR="00C13B24" w:rsidRPr="00305C56" w:rsidRDefault="00000000">
      <w:pPr>
        <w:numPr>
          <w:ilvl w:val="0"/>
          <w:numId w:val="2"/>
        </w:numPr>
        <w:rPr>
          <w:lang w:val="en-US"/>
        </w:rPr>
      </w:pPr>
      <w:r w:rsidRPr="00305C56">
        <w:rPr>
          <w:b/>
          <w:bCs/>
          <w:lang w:val="en-US"/>
        </w:rPr>
        <w:t>Which measures have been taken to include women in studies on the applicability of STI prevention and treatment?</w:t>
      </w:r>
    </w:p>
    <w:p w14:paraId="003E46AF" w14:textId="77777777" w:rsidR="00C13B24" w:rsidRPr="00305C56" w:rsidRDefault="00000000">
      <w:pPr>
        <w:numPr>
          <w:ilvl w:val="0"/>
          <w:numId w:val="2"/>
        </w:numPr>
        <w:rPr>
          <w:lang w:val="en-US"/>
        </w:rPr>
      </w:pPr>
      <w:r w:rsidRPr="00305C56">
        <w:rPr>
          <w:b/>
          <w:bCs/>
          <w:lang w:val="en-US"/>
        </w:rPr>
        <w:t>What steps have been taken to guarantee structural attention to sexual, gender, and sex diversity in all schools in the Netherlands?</w:t>
      </w:r>
    </w:p>
    <w:p w14:paraId="702A4DA3" w14:textId="77777777" w:rsidR="00C13B24" w:rsidRPr="00305C56" w:rsidRDefault="00000000">
      <w:pPr>
        <w:numPr>
          <w:ilvl w:val="0"/>
          <w:numId w:val="2"/>
        </w:numPr>
        <w:rPr>
          <w:lang w:val="en-US"/>
        </w:rPr>
      </w:pPr>
      <w:r w:rsidRPr="00305C56">
        <w:rPr>
          <w:b/>
          <w:bCs/>
          <w:lang w:val="en-US"/>
        </w:rPr>
        <w:t>What steps have been taken to guarantee structural attention to sexual, gender, and sex diversity in all teacher education curriculums?</w:t>
      </w:r>
    </w:p>
    <w:p w14:paraId="21F14A8C" w14:textId="77777777" w:rsidR="00C13B24" w:rsidRPr="00305C56" w:rsidRDefault="00000000">
      <w:pPr>
        <w:numPr>
          <w:ilvl w:val="0"/>
          <w:numId w:val="2"/>
        </w:numPr>
        <w:rPr>
          <w:lang w:val="en-US"/>
        </w:rPr>
      </w:pPr>
      <w:r w:rsidRPr="00305C56">
        <w:rPr>
          <w:b/>
          <w:bCs/>
          <w:lang w:val="en-US"/>
        </w:rPr>
        <w:t>What measures are taken to ensure that the Inspectorate of Education monitors laws and regulations closely and takes appropriate measures in case of non-compliance by schools?</w:t>
      </w:r>
    </w:p>
    <w:p w14:paraId="40C5A71D" w14:textId="77777777" w:rsidR="00C13B24" w:rsidRPr="00305C56" w:rsidRDefault="00000000">
      <w:pPr>
        <w:numPr>
          <w:ilvl w:val="0"/>
          <w:numId w:val="2"/>
        </w:numPr>
        <w:rPr>
          <w:lang w:val="en-US"/>
        </w:rPr>
      </w:pPr>
      <w:r w:rsidRPr="00305C56">
        <w:rPr>
          <w:b/>
          <w:bCs/>
          <w:lang w:val="en-US"/>
        </w:rPr>
        <w:t>What measures are taken to protect the safety of LBTQIA+ students, to end rejection of LBTQIA+ students in schools and to guarantee the acceptance of LBTQIA+ students in the educational system?</w:t>
      </w:r>
    </w:p>
    <w:p w14:paraId="79A8DD99" w14:textId="77777777" w:rsidR="00C13B24" w:rsidRPr="00305C56" w:rsidRDefault="00000000">
      <w:pPr>
        <w:numPr>
          <w:ilvl w:val="0"/>
          <w:numId w:val="2"/>
        </w:numPr>
        <w:rPr>
          <w:lang w:val="en-US"/>
        </w:rPr>
      </w:pPr>
      <w:r w:rsidRPr="00305C56">
        <w:rPr>
          <w:b/>
          <w:bCs/>
          <w:lang w:val="en-US"/>
        </w:rPr>
        <w:t>What policies regarding employment and workplace discrimination of transgender and intersex people are being developed to follow-up the change in the Equal Treatment Act regarding the non-discrimination ground of gender and sex characteristics?</w:t>
      </w:r>
    </w:p>
    <w:p w14:paraId="5E4A1D28" w14:textId="77777777" w:rsidR="00C13B24" w:rsidRPr="00305C56" w:rsidRDefault="00000000">
      <w:pPr>
        <w:numPr>
          <w:ilvl w:val="0"/>
          <w:numId w:val="2"/>
        </w:numPr>
        <w:spacing w:after="240"/>
        <w:rPr>
          <w:lang w:val="en-US"/>
        </w:rPr>
      </w:pPr>
      <w:r w:rsidRPr="00305C56">
        <w:rPr>
          <w:b/>
          <w:bCs/>
          <w:lang w:val="en-US"/>
        </w:rPr>
        <w:t>What is being done, in corroboration with (transgender) sex workers, to decriminalize sex work through legislation and improvement of their working conditions, including the specific situation of migrant and transgender sex workers?</w:t>
      </w:r>
    </w:p>
    <w:p w14:paraId="5C4D7AFF" w14:textId="77777777" w:rsidR="00C13B24" w:rsidRPr="00305C56" w:rsidRDefault="00C13B24">
      <w:pPr>
        <w:spacing w:before="240" w:after="240"/>
        <w:ind w:left="720"/>
        <w:jc w:val="both"/>
        <w:rPr>
          <w:b/>
          <w:bCs/>
          <w:highlight w:val="green"/>
          <w:lang w:val="en-US"/>
        </w:rPr>
      </w:pPr>
    </w:p>
    <w:p w14:paraId="35027FCD" w14:textId="77777777" w:rsidR="00C13B24" w:rsidRPr="00305C56" w:rsidRDefault="00000000">
      <w:pPr>
        <w:pStyle w:val="Heading2"/>
        <w:keepNext w:val="0"/>
        <w:keepLines w:val="0"/>
        <w:spacing w:before="480"/>
        <w:rPr>
          <w:lang w:val="en-US"/>
        </w:rPr>
      </w:pPr>
      <w:bookmarkStart w:id="1" w:name="_utt89i98n3v7" w:colFirst="0" w:colLast="0"/>
      <w:bookmarkStart w:id="2" w:name="_pc235codqwwl" w:colFirst="0" w:colLast="0"/>
      <w:bookmarkEnd w:id="1"/>
      <w:bookmarkEnd w:id="2"/>
      <w:r w:rsidRPr="00305C56">
        <w:rPr>
          <w:lang w:val="en-US"/>
        </w:rPr>
        <w:lastRenderedPageBreak/>
        <w:t>Harmful Practices and violence against intersex children (Article 1, 2, 5,  GR. no. 31, no 35)</w:t>
      </w:r>
      <w:r>
        <w:rPr>
          <w:vertAlign w:val="superscript"/>
        </w:rPr>
        <w:footnoteReference w:id="2"/>
      </w:r>
    </w:p>
    <w:p w14:paraId="3BEDBE74" w14:textId="77777777" w:rsidR="00C13B24" w:rsidRPr="00305C56" w:rsidRDefault="00000000">
      <w:pPr>
        <w:spacing w:before="240" w:after="240"/>
        <w:rPr>
          <w:lang w:val="en-US"/>
        </w:rPr>
      </w:pPr>
      <w:r w:rsidRPr="00305C56">
        <w:rPr>
          <w:lang w:val="en-US"/>
        </w:rPr>
        <w:t xml:space="preserve">The state party report included information on the quality standard for medical care being developed to address the harmful practice of intersex children being subjected to non-necessary medical interventions without their consent. This quality standard was to be published in the first quarter of 2025 yet this has not happened. It remains unclear when and if it will be published. However, these quality standards are not legally binding in the Netherlands and would allow the practice to still take place. </w:t>
      </w:r>
    </w:p>
    <w:p w14:paraId="2AB03FF5" w14:textId="77777777" w:rsidR="00C13B24" w:rsidRPr="00305C56" w:rsidRDefault="00000000">
      <w:pPr>
        <w:spacing w:before="240" w:after="240"/>
        <w:rPr>
          <w:lang w:val="en-US"/>
        </w:rPr>
      </w:pPr>
      <w:r w:rsidRPr="00305C56">
        <w:rPr>
          <w:lang w:val="en-US"/>
        </w:rPr>
        <w:t>Furthermore, since our previous report new research has shown the scale of these practices, with a report</w:t>
      </w:r>
      <w:r>
        <w:rPr>
          <w:vertAlign w:val="superscript"/>
        </w:rPr>
        <w:footnoteReference w:id="3"/>
      </w:r>
      <w:r w:rsidRPr="00305C56">
        <w:rPr>
          <w:lang w:val="en-US"/>
        </w:rPr>
        <w:t xml:space="preserve"> published in 2023 showing that more than a 1000 a year in surgeries alone for children younger than 12 years old. Additionally an exploration commissioned by the government has concluded in the autumn of 2024, that the next step in preventing these harmful practices would be legislation</w:t>
      </w:r>
      <w:r>
        <w:rPr>
          <w:vertAlign w:val="superscript"/>
        </w:rPr>
        <w:footnoteReference w:id="4"/>
      </w:r>
      <w:r w:rsidRPr="00305C56">
        <w:rPr>
          <w:lang w:val="en-US"/>
        </w:rPr>
        <w:t xml:space="preserve">. Yet the government has decided to repeat this study, all while these harmful practices continue. </w:t>
      </w:r>
    </w:p>
    <w:p w14:paraId="46926F59" w14:textId="77777777" w:rsidR="00C13B24" w:rsidRPr="00305C56" w:rsidRDefault="00000000">
      <w:pPr>
        <w:spacing w:before="240" w:after="240"/>
        <w:rPr>
          <w:b/>
          <w:bCs/>
          <w:lang w:val="en-US"/>
        </w:rPr>
      </w:pPr>
      <w:r w:rsidRPr="00305C56">
        <w:rPr>
          <w:i/>
          <w:iCs/>
          <w:lang w:val="en-US"/>
        </w:rPr>
        <w:t>In line with our previous report, we suggest to the Committee to ask the Government of the Netherlands:</w:t>
      </w:r>
    </w:p>
    <w:p w14:paraId="7AC67EE6" w14:textId="77777777" w:rsidR="00C13B24" w:rsidRPr="00305C56" w:rsidRDefault="00000000">
      <w:pPr>
        <w:numPr>
          <w:ilvl w:val="0"/>
          <w:numId w:val="3"/>
        </w:numPr>
        <w:spacing w:before="240" w:after="240"/>
        <w:rPr>
          <w:b/>
          <w:bCs/>
          <w:lang w:val="en-US"/>
        </w:rPr>
      </w:pPr>
      <w:r w:rsidRPr="00305C56">
        <w:rPr>
          <w:b/>
          <w:bCs/>
          <w:lang w:val="en-US"/>
        </w:rPr>
        <w:t>What measures have been taken to protect the rights of intersex people, in the form of a legal ban on non-consensual un</w:t>
      </w:r>
      <w:r w:rsidRPr="00305C56">
        <w:rPr>
          <w:b/>
          <w:bCs/>
          <w:color w:val="1C1E29"/>
          <w:lang w:val="en-US"/>
        </w:rPr>
        <w:t>necessary medical treatments on intersex children, that can be safely deferred until a later age when intersex children can provide personal, prior, free, and fully informed consent</w:t>
      </w:r>
      <w:r w:rsidRPr="00305C56">
        <w:rPr>
          <w:b/>
          <w:bCs/>
          <w:lang w:val="en-US"/>
        </w:rPr>
        <w:t>, and the development and implementation of a rights-based health-care protocol for intersex people in accordance with previous recommendations of the CEDAW committee?</w:t>
      </w:r>
    </w:p>
    <w:p w14:paraId="2BFF2808" w14:textId="77777777" w:rsidR="00C13B24" w:rsidRPr="00305C56" w:rsidRDefault="00C13B24">
      <w:pPr>
        <w:spacing w:before="240" w:after="240"/>
        <w:rPr>
          <w:b/>
          <w:bCs/>
          <w:lang w:val="en-US"/>
        </w:rPr>
      </w:pPr>
    </w:p>
    <w:p w14:paraId="76AF72BA" w14:textId="77777777" w:rsidR="00C13B24" w:rsidRPr="00305C56" w:rsidRDefault="00000000">
      <w:pPr>
        <w:pStyle w:val="Heading2"/>
        <w:keepNext w:val="0"/>
        <w:keepLines w:val="0"/>
        <w:spacing w:before="480"/>
        <w:rPr>
          <w:lang w:val="en-US"/>
        </w:rPr>
      </w:pPr>
      <w:bookmarkStart w:id="3" w:name="_skqo561pqptp" w:colFirst="0" w:colLast="0"/>
      <w:bookmarkEnd w:id="3"/>
      <w:r w:rsidRPr="00305C56">
        <w:rPr>
          <w:lang w:val="en-US"/>
        </w:rPr>
        <w:t>Hate crimes (Article 1, general recommendations 12, 19)</w:t>
      </w:r>
    </w:p>
    <w:p w14:paraId="43D12FC6" w14:textId="77777777" w:rsidR="00C13B24" w:rsidRPr="00305C56" w:rsidRDefault="00000000">
      <w:pPr>
        <w:spacing w:before="240" w:after="240"/>
        <w:rPr>
          <w:lang w:val="en-US"/>
        </w:rPr>
      </w:pPr>
      <w:r w:rsidRPr="00305C56">
        <w:rPr>
          <w:lang w:val="en-US"/>
        </w:rPr>
        <w:t>Lesbian women, bi+, transgender, queer intersex and asexual people (LBTQIA+) in the Netherlands have a high chance to encounter hate crimes. However, only in very few cases does this result in prosecution and/or conviction of the perpetrators.</w:t>
      </w:r>
      <w:r>
        <w:rPr>
          <w:vertAlign w:val="superscript"/>
        </w:rPr>
        <w:footnoteReference w:id="5"/>
      </w:r>
      <w:r w:rsidRPr="00305C56">
        <w:rPr>
          <w:lang w:val="en-US"/>
        </w:rPr>
        <w:t xml:space="preserve"> Therefore, we have </w:t>
      </w:r>
      <w:r w:rsidRPr="00305C56">
        <w:rPr>
          <w:lang w:val="en-US"/>
        </w:rPr>
        <w:lastRenderedPageBreak/>
        <w:t>urged the government of the Netherlands to optimize legal protection against hate crime and hate space.</w:t>
      </w:r>
    </w:p>
    <w:p w14:paraId="4B228F7A" w14:textId="77777777" w:rsidR="00C13B24" w:rsidRPr="00305C56" w:rsidRDefault="00000000">
      <w:pPr>
        <w:spacing w:before="240" w:after="240"/>
        <w:rPr>
          <w:lang w:val="en-US"/>
        </w:rPr>
      </w:pPr>
      <w:r w:rsidRPr="00305C56">
        <w:rPr>
          <w:lang w:val="en-US"/>
        </w:rPr>
        <w:t xml:space="preserve">In its state report, the government of the Netherlands explains that it seeks to draw a clear line at forms of expression which could be qualified, in line with international human rights conventions, as hate speech. Currently, Dutch criminal law does not recognize hate crimes as such, but criminal offenses with a biased motive are considered aggravating and punishable under Art. 137c of Dutch Penal Code. </w:t>
      </w:r>
      <w:r w:rsidRPr="00305C56">
        <w:rPr>
          <w:highlight w:val="white"/>
          <w:lang w:val="en-US"/>
        </w:rPr>
        <w:t>This article mentions someone’s (or a group’s) heterosexual or homosexual orientation as a bias motive, but there is no mention of gender or sex characteristics, nor are bi+ and asexual people protected.</w:t>
      </w:r>
    </w:p>
    <w:p w14:paraId="07E71F47" w14:textId="77777777" w:rsidR="00C13B24" w:rsidRPr="00305C56" w:rsidRDefault="00000000">
      <w:pPr>
        <w:spacing w:before="240" w:after="240"/>
        <w:rPr>
          <w:lang w:val="en-US"/>
        </w:rPr>
      </w:pPr>
      <w:r w:rsidRPr="00305C56">
        <w:rPr>
          <w:lang w:val="en-US"/>
        </w:rPr>
        <w:t xml:space="preserve">Solid research and data collection are essential for efficient anti-hate crime policy. However, inclusive and comprehensive national research is lacking, especially with regard to </w:t>
      </w:r>
      <w:proofErr w:type="spellStart"/>
      <w:r w:rsidRPr="00305C56">
        <w:rPr>
          <w:lang w:val="en-US"/>
        </w:rPr>
        <w:t>underresearched</w:t>
      </w:r>
      <w:proofErr w:type="spellEnd"/>
      <w:r w:rsidRPr="00305C56">
        <w:rPr>
          <w:lang w:val="en-US"/>
        </w:rPr>
        <w:t xml:space="preserve"> groups such as intersex people or asexual and aromantic people. This lack of research is alarming, as recent regional discrimination studies find that acceptance of same-sex couples, for example in Amsterdam, has fallen sharply in two years: from 63 percent to 43 percent.</w:t>
      </w:r>
      <w:r>
        <w:rPr>
          <w:vertAlign w:val="superscript"/>
        </w:rPr>
        <w:footnoteReference w:id="6"/>
      </w:r>
      <w:r w:rsidRPr="00305C56">
        <w:rPr>
          <w:lang w:val="en-US"/>
        </w:rPr>
        <w:t xml:space="preserve"> In addition, the number of reports of LGBTI+ discrimination has increased by almost a quarter in the past year.</w:t>
      </w:r>
      <w:r>
        <w:rPr>
          <w:vertAlign w:val="superscript"/>
        </w:rPr>
        <w:footnoteReference w:id="7"/>
      </w:r>
    </w:p>
    <w:p w14:paraId="48A7A61B" w14:textId="77777777" w:rsidR="00C13B24" w:rsidRPr="00305C56" w:rsidRDefault="00000000">
      <w:pPr>
        <w:spacing w:before="240" w:after="240"/>
        <w:rPr>
          <w:lang w:val="en-US"/>
        </w:rPr>
      </w:pPr>
      <w:r w:rsidRPr="00305C56">
        <w:rPr>
          <w:lang w:val="en-US"/>
        </w:rPr>
        <w:t xml:space="preserve"> In its state report, the government of the Netherlands explains that it does not break down data on the number of prosecutions for hate speech targeting Muslim women, female migrants and/or female asylum seekers. This also applies to hate speech targeting LBTQIA+ people. Dutch judges and public prosecutors rarely accept swearing with words such as ‘</w:t>
      </w:r>
      <w:proofErr w:type="spellStart"/>
      <w:r w:rsidRPr="00305C56">
        <w:rPr>
          <w:lang w:val="en-US"/>
        </w:rPr>
        <w:t>manwijf</w:t>
      </w:r>
      <w:proofErr w:type="spellEnd"/>
      <w:r w:rsidRPr="00305C56">
        <w:rPr>
          <w:lang w:val="en-US"/>
        </w:rPr>
        <w:t>’ (derogatory word for woman, with the indication she is too manly) as discrimination, and thus as aggravating circumstances, because these words are considered everyday language.</w:t>
      </w:r>
    </w:p>
    <w:p w14:paraId="629C464E" w14:textId="77777777" w:rsidR="00C13B24" w:rsidRPr="00305C56" w:rsidRDefault="00000000">
      <w:pPr>
        <w:spacing w:before="240" w:after="240"/>
        <w:rPr>
          <w:i/>
          <w:iCs/>
          <w:sz w:val="20"/>
          <w:szCs w:val="20"/>
          <w:lang w:val="en-US"/>
        </w:rPr>
      </w:pPr>
      <w:r w:rsidRPr="00305C56">
        <w:rPr>
          <w:i/>
          <w:iCs/>
          <w:lang w:val="en-US"/>
        </w:rPr>
        <w:t>In line with our previous report, we suggest to the Committee to ask the Government of the Netherlands:</w:t>
      </w:r>
      <w:r w:rsidRPr="00305C56">
        <w:rPr>
          <w:i/>
          <w:iCs/>
          <w:sz w:val="20"/>
          <w:szCs w:val="20"/>
          <w:lang w:val="en-US"/>
        </w:rPr>
        <w:t xml:space="preserve"> </w:t>
      </w:r>
    </w:p>
    <w:p w14:paraId="2041F8C7" w14:textId="77777777" w:rsidR="00C13B24" w:rsidRPr="00305C56" w:rsidRDefault="00000000">
      <w:pPr>
        <w:numPr>
          <w:ilvl w:val="0"/>
          <w:numId w:val="3"/>
        </w:numPr>
        <w:spacing w:before="240"/>
        <w:rPr>
          <w:b/>
          <w:bCs/>
          <w:lang w:val="en-US"/>
        </w:rPr>
      </w:pPr>
      <w:r w:rsidRPr="00305C56">
        <w:rPr>
          <w:b/>
          <w:bCs/>
          <w:lang w:val="en-US"/>
        </w:rPr>
        <w:t>What steps have been taken to optimize the legal protection against hate crimes based on sexual orientation, gender identity and sex characteristics, and to prosecute and convict perpetrators?</w:t>
      </w:r>
    </w:p>
    <w:p w14:paraId="1DF1A6FD" w14:textId="77777777" w:rsidR="00C13B24" w:rsidRPr="00305C56" w:rsidRDefault="00000000">
      <w:pPr>
        <w:numPr>
          <w:ilvl w:val="0"/>
          <w:numId w:val="3"/>
        </w:numPr>
        <w:rPr>
          <w:b/>
          <w:bCs/>
          <w:lang w:val="en-US"/>
        </w:rPr>
      </w:pPr>
      <w:r w:rsidRPr="00305C56">
        <w:rPr>
          <w:b/>
          <w:bCs/>
          <w:lang w:val="en-US"/>
        </w:rPr>
        <w:t>How is the government of the Netherlands planning to promote the willingness to report hate crimes?</w:t>
      </w:r>
    </w:p>
    <w:p w14:paraId="5A9FF054" w14:textId="77777777" w:rsidR="00C13B24" w:rsidRPr="00305C56" w:rsidRDefault="00000000">
      <w:pPr>
        <w:numPr>
          <w:ilvl w:val="0"/>
          <w:numId w:val="3"/>
        </w:numPr>
        <w:rPr>
          <w:b/>
          <w:bCs/>
          <w:lang w:val="en-US"/>
        </w:rPr>
      </w:pPr>
      <w:r w:rsidRPr="00305C56">
        <w:rPr>
          <w:b/>
          <w:bCs/>
          <w:lang w:val="en-US"/>
        </w:rPr>
        <w:t>In what way will the government of the Netherlands address online hate speech?</w:t>
      </w:r>
    </w:p>
    <w:p w14:paraId="44D3BE1A" w14:textId="77777777" w:rsidR="00C13B24" w:rsidRPr="00305C56" w:rsidRDefault="00000000">
      <w:pPr>
        <w:numPr>
          <w:ilvl w:val="0"/>
          <w:numId w:val="3"/>
        </w:numPr>
        <w:spacing w:after="240"/>
        <w:rPr>
          <w:b/>
          <w:bCs/>
          <w:lang w:val="en-US"/>
        </w:rPr>
      </w:pPr>
      <w:r w:rsidRPr="00305C56">
        <w:rPr>
          <w:b/>
          <w:bCs/>
          <w:lang w:val="en-US"/>
        </w:rPr>
        <w:t>How does the government of The Netherlands guarantee the continuation and improvement of data collection on the situation of LBTQIA+ people, including, but not limited to, social and physical wellbeing of LBTQIA+ people?</w:t>
      </w:r>
    </w:p>
    <w:p w14:paraId="0A30C164" w14:textId="77777777" w:rsidR="00C13B24" w:rsidRPr="00305C56" w:rsidRDefault="00C13B24">
      <w:pPr>
        <w:spacing w:before="240" w:after="240"/>
        <w:rPr>
          <w:b/>
          <w:bCs/>
          <w:lang w:val="en-US"/>
        </w:rPr>
      </w:pPr>
    </w:p>
    <w:p w14:paraId="0B77D9EB" w14:textId="77777777" w:rsidR="00C13B24" w:rsidRPr="00305C56" w:rsidRDefault="00000000">
      <w:pPr>
        <w:pStyle w:val="Heading2"/>
        <w:keepNext w:val="0"/>
        <w:keepLines w:val="0"/>
        <w:spacing w:before="480"/>
        <w:rPr>
          <w:lang w:val="en-US"/>
        </w:rPr>
      </w:pPr>
      <w:bookmarkStart w:id="4" w:name="_purhmmsq21w" w:colFirst="0" w:colLast="0"/>
      <w:bookmarkEnd w:id="4"/>
      <w:r w:rsidRPr="00305C56">
        <w:rPr>
          <w:lang w:val="en-US"/>
        </w:rPr>
        <w:lastRenderedPageBreak/>
        <w:t>Legal gender recognition (Article 1, 2, 3, 15)</w:t>
      </w:r>
    </w:p>
    <w:p w14:paraId="0FEFD5E1" w14:textId="77777777" w:rsidR="00C13B24" w:rsidRPr="00305C56" w:rsidRDefault="00000000">
      <w:pPr>
        <w:spacing w:before="240" w:after="240"/>
        <w:rPr>
          <w:highlight w:val="white"/>
          <w:lang w:val="en-US"/>
        </w:rPr>
      </w:pPr>
      <w:r w:rsidRPr="00305C56">
        <w:rPr>
          <w:highlight w:val="white"/>
          <w:lang w:val="en-US"/>
        </w:rPr>
        <w:t xml:space="preserve">For a detailed account on legal gender recognition in the Netherlands, we refer to our previous report. In addition to that, the proposed change to the Gender Identity Recognition Act that was sent to Parliament in 2021, to remove the expert letter in favor of self-declaration for anyone older than sixteen, has been requested by a majority in Parliament to be withdrawn. On July 2, 2025, State Secretary </w:t>
      </w:r>
      <w:proofErr w:type="spellStart"/>
      <w:r w:rsidRPr="00305C56">
        <w:rPr>
          <w:highlight w:val="white"/>
          <w:lang w:val="en-US"/>
        </w:rPr>
        <w:t>Struycken</w:t>
      </w:r>
      <w:proofErr w:type="spellEnd"/>
      <w:r w:rsidRPr="00305C56">
        <w:rPr>
          <w:highlight w:val="white"/>
          <w:lang w:val="en-US"/>
        </w:rPr>
        <w:t xml:space="preserve"> announced that the caretaker government would officially withdraw the bill. </w:t>
      </w:r>
    </w:p>
    <w:p w14:paraId="7EECD37B" w14:textId="77777777" w:rsidR="00C13B24" w:rsidRPr="00305C56" w:rsidRDefault="00000000">
      <w:pPr>
        <w:spacing w:before="240" w:after="240"/>
        <w:rPr>
          <w:lang w:val="en-US"/>
        </w:rPr>
      </w:pPr>
      <w:r w:rsidRPr="00305C56">
        <w:rPr>
          <w:i/>
          <w:iCs/>
          <w:lang w:val="en-US"/>
        </w:rPr>
        <w:t>In line with our previous report, we suggest to the Committee to ask the Government of the Netherlands:</w:t>
      </w:r>
      <w:r w:rsidRPr="00305C56">
        <w:rPr>
          <w:i/>
          <w:iCs/>
          <w:sz w:val="20"/>
          <w:szCs w:val="20"/>
          <w:lang w:val="en-US"/>
        </w:rPr>
        <w:t xml:space="preserve"> </w:t>
      </w:r>
      <w:r w:rsidRPr="00305C56">
        <w:rPr>
          <w:lang w:val="en-US"/>
        </w:rPr>
        <w:t xml:space="preserve"> </w:t>
      </w:r>
    </w:p>
    <w:p w14:paraId="5E79FF1B" w14:textId="77777777" w:rsidR="00C13B24" w:rsidRPr="00305C56" w:rsidRDefault="00000000">
      <w:pPr>
        <w:numPr>
          <w:ilvl w:val="0"/>
          <w:numId w:val="3"/>
        </w:numPr>
        <w:spacing w:before="240"/>
        <w:rPr>
          <w:b/>
          <w:bCs/>
          <w:lang w:val="en-US"/>
        </w:rPr>
      </w:pPr>
      <w:r w:rsidRPr="00305C56">
        <w:rPr>
          <w:b/>
          <w:bCs/>
          <w:lang w:val="en-US"/>
        </w:rPr>
        <w:t>How is access to legal gender recognition for both intersex and transgender children and adults guaranteed, without obstacles infringing the individual’s right to self-determination (i.e., expert letter or lawsuit) and financial barriers?</w:t>
      </w:r>
    </w:p>
    <w:p w14:paraId="093C9E88" w14:textId="77777777" w:rsidR="00C13B24" w:rsidRPr="00305C56" w:rsidRDefault="00000000">
      <w:pPr>
        <w:numPr>
          <w:ilvl w:val="0"/>
          <w:numId w:val="3"/>
        </w:numPr>
        <w:spacing w:after="240"/>
        <w:jc w:val="both"/>
        <w:rPr>
          <w:b/>
          <w:bCs/>
          <w:lang w:val="en-US"/>
        </w:rPr>
      </w:pPr>
      <w:r w:rsidRPr="00305C56">
        <w:rPr>
          <w:b/>
          <w:bCs/>
          <w:lang w:val="en-US"/>
        </w:rPr>
        <w:t>Which measures are taken to enable individuals to alter their legal gender registration to ‘underdetermined’ or ‘unregistered’?</w:t>
      </w:r>
    </w:p>
    <w:p w14:paraId="759A7436" w14:textId="77777777" w:rsidR="00C13B24" w:rsidRPr="00305C56" w:rsidRDefault="00C13B24">
      <w:pPr>
        <w:spacing w:before="240" w:after="240"/>
        <w:jc w:val="both"/>
        <w:rPr>
          <w:b/>
          <w:bCs/>
          <w:lang w:val="en-US"/>
        </w:rPr>
      </w:pPr>
    </w:p>
    <w:p w14:paraId="41692D49" w14:textId="77777777" w:rsidR="00C13B24" w:rsidRPr="00305C56" w:rsidRDefault="00000000">
      <w:pPr>
        <w:pStyle w:val="Heading2"/>
        <w:keepNext w:val="0"/>
        <w:keepLines w:val="0"/>
        <w:spacing w:before="480"/>
        <w:rPr>
          <w:lang w:val="en-US"/>
        </w:rPr>
      </w:pPr>
      <w:bookmarkStart w:id="5" w:name="_cmnul0c5czxf" w:colFirst="0" w:colLast="0"/>
      <w:bookmarkEnd w:id="5"/>
      <w:r w:rsidRPr="00305C56">
        <w:rPr>
          <w:lang w:val="en-US"/>
        </w:rPr>
        <w:t>Equal access to health care (Article 12)</w:t>
      </w:r>
    </w:p>
    <w:p w14:paraId="7AFB121F" w14:textId="77777777" w:rsidR="00C13B24" w:rsidRPr="00305C56" w:rsidRDefault="00000000">
      <w:pPr>
        <w:pStyle w:val="Heading3"/>
        <w:keepNext w:val="0"/>
        <w:keepLines w:val="0"/>
        <w:rPr>
          <w:lang w:val="en-US"/>
        </w:rPr>
      </w:pPr>
      <w:bookmarkStart w:id="6" w:name="_s2b2js95q3di" w:colFirst="0" w:colLast="0"/>
      <w:bookmarkEnd w:id="6"/>
      <w:r w:rsidRPr="00305C56">
        <w:rPr>
          <w:lang w:val="en-US"/>
        </w:rPr>
        <w:t>Transgender people</w:t>
      </w:r>
    </w:p>
    <w:p w14:paraId="0CF32FD8" w14:textId="77777777" w:rsidR="00C13B24" w:rsidRPr="00305C56" w:rsidRDefault="00000000">
      <w:pPr>
        <w:spacing w:before="240" w:after="240"/>
        <w:rPr>
          <w:highlight w:val="white"/>
          <w:lang w:val="en-US"/>
        </w:rPr>
      </w:pPr>
      <w:r w:rsidRPr="00305C56">
        <w:rPr>
          <w:highlight w:val="white"/>
          <w:lang w:val="en-US"/>
        </w:rPr>
        <w:t>Waiting lists to receive gender affirming health-care in the Netherlands have increased dramatically, from around half a year in 2016 to four and a half years in 2025.</w:t>
      </w:r>
      <w:r>
        <w:rPr>
          <w:highlight w:val="white"/>
          <w:vertAlign w:val="superscript"/>
        </w:rPr>
        <w:footnoteReference w:id="8"/>
      </w:r>
      <w:r w:rsidRPr="00305C56">
        <w:rPr>
          <w:highlight w:val="white"/>
          <w:lang w:val="en-US"/>
        </w:rPr>
        <w:t xml:space="preserve"> Research shows that the long waiting-lists contribute to several psychosocial problems and result in drugs and alcohol abuse and self-medication with hormones.</w:t>
      </w:r>
      <w:r>
        <w:rPr>
          <w:highlight w:val="white"/>
          <w:vertAlign w:val="superscript"/>
        </w:rPr>
        <w:footnoteReference w:id="9"/>
      </w:r>
      <w:r w:rsidRPr="00305C56">
        <w:rPr>
          <w:highlight w:val="white"/>
          <w:lang w:val="en-US"/>
        </w:rPr>
        <w:t xml:space="preserve"> Access to gender affirmative health care for transgender asylum seekers is severely limited and mostly absent in the Netherlands.</w:t>
      </w:r>
    </w:p>
    <w:p w14:paraId="687F1941" w14:textId="77777777" w:rsidR="00C13B24" w:rsidRPr="00305C56" w:rsidRDefault="00000000">
      <w:pPr>
        <w:spacing w:before="240" w:after="240"/>
        <w:rPr>
          <w:highlight w:val="white"/>
          <w:lang w:val="en-US"/>
        </w:rPr>
      </w:pPr>
      <w:r w:rsidRPr="00305C56">
        <w:rPr>
          <w:highlight w:val="white"/>
          <w:lang w:val="en-US"/>
        </w:rPr>
        <w:t>Pathologization of trans people is also still widespread. This has severe consequences for the well-being of both children and grown-ups as they are regularly being confronted with the idea that they are suffering from mental and psychological issues.</w:t>
      </w:r>
    </w:p>
    <w:p w14:paraId="6EF8BDC2" w14:textId="77777777" w:rsidR="00C13B24" w:rsidRPr="00305C56" w:rsidRDefault="00000000">
      <w:pPr>
        <w:spacing w:before="240" w:after="240"/>
        <w:rPr>
          <w:i/>
          <w:iCs/>
          <w:lang w:val="en-US"/>
        </w:rPr>
      </w:pPr>
      <w:r w:rsidRPr="00305C56">
        <w:rPr>
          <w:highlight w:val="white"/>
          <w:lang w:val="en-US"/>
        </w:rPr>
        <w:t xml:space="preserve">For a detailed account on access to health care in the Netherlands, we refer to our previous report. In its state report, the government of the Netherlands does not address the issues that we raised on access to health care for transgender people, nor </w:t>
      </w:r>
      <w:proofErr w:type="spellStart"/>
      <w:r w:rsidRPr="00305C56">
        <w:rPr>
          <w:highlight w:val="white"/>
          <w:lang w:val="en-US"/>
        </w:rPr>
        <w:t>depathologization</w:t>
      </w:r>
      <w:proofErr w:type="spellEnd"/>
      <w:r w:rsidRPr="00305C56">
        <w:rPr>
          <w:highlight w:val="white"/>
          <w:lang w:val="en-US"/>
        </w:rPr>
        <w:t xml:space="preserve"> of trans people’s need for gender affirming care.</w:t>
      </w:r>
    </w:p>
    <w:p w14:paraId="5794B1F0" w14:textId="77777777" w:rsidR="00C13B24" w:rsidRPr="00305C56" w:rsidRDefault="00000000">
      <w:pPr>
        <w:spacing w:before="240" w:after="240"/>
        <w:rPr>
          <w:lang w:val="en-US"/>
        </w:rPr>
      </w:pPr>
      <w:r w:rsidRPr="00305C56">
        <w:rPr>
          <w:i/>
          <w:iCs/>
          <w:lang w:val="en-US"/>
        </w:rPr>
        <w:t>In line with our previous report, we suggest to the Committee to ask the Government of the Netherlands:</w:t>
      </w:r>
      <w:r w:rsidRPr="00305C56">
        <w:rPr>
          <w:i/>
          <w:iCs/>
          <w:sz w:val="20"/>
          <w:szCs w:val="20"/>
          <w:lang w:val="en-US"/>
        </w:rPr>
        <w:t xml:space="preserve"> </w:t>
      </w:r>
      <w:r w:rsidRPr="00305C56">
        <w:rPr>
          <w:lang w:val="en-US"/>
        </w:rPr>
        <w:t xml:space="preserve"> </w:t>
      </w:r>
    </w:p>
    <w:p w14:paraId="7E7B24C4" w14:textId="77777777" w:rsidR="00C13B24" w:rsidRPr="00305C56" w:rsidRDefault="00000000">
      <w:pPr>
        <w:numPr>
          <w:ilvl w:val="0"/>
          <w:numId w:val="3"/>
        </w:numPr>
        <w:spacing w:before="240"/>
        <w:rPr>
          <w:b/>
          <w:bCs/>
          <w:lang w:val="en-US"/>
        </w:rPr>
      </w:pPr>
      <w:r w:rsidRPr="00305C56">
        <w:rPr>
          <w:b/>
          <w:bCs/>
          <w:lang w:val="en-US"/>
        </w:rPr>
        <w:lastRenderedPageBreak/>
        <w:t>What measures are taken to guarantee equal access to basic gender affirmative health care through primary health care providers and reimbursement of all aspects of gender affirmative health care?</w:t>
      </w:r>
    </w:p>
    <w:p w14:paraId="553E7893" w14:textId="77777777" w:rsidR="00C13B24" w:rsidRPr="00305C56" w:rsidRDefault="00000000">
      <w:pPr>
        <w:numPr>
          <w:ilvl w:val="0"/>
          <w:numId w:val="3"/>
        </w:numPr>
        <w:rPr>
          <w:b/>
          <w:bCs/>
          <w:lang w:val="en-US"/>
        </w:rPr>
      </w:pPr>
      <w:r w:rsidRPr="00305C56">
        <w:rPr>
          <w:b/>
          <w:bCs/>
          <w:lang w:val="en-US"/>
        </w:rPr>
        <w:t>Which steps are taken to provide early access and reimbursement to gender affirmative health care, especially hormone treatment and specialized mental health support, for all transgender asylum seekers in asylum centers?</w:t>
      </w:r>
    </w:p>
    <w:p w14:paraId="58A48587" w14:textId="77777777" w:rsidR="00C13B24" w:rsidRPr="00305C56" w:rsidRDefault="00000000">
      <w:pPr>
        <w:numPr>
          <w:ilvl w:val="0"/>
          <w:numId w:val="3"/>
        </w:numPr>
        <w:spacing w:after="240"/>
        <w:rPr>
          <w:b/>
          <w:bCs/>
          <w:lang w:val="en-US"/>
        </w:rPr>
      </w:pPr>
      <w:r w:rsidRPr="00305C56">
        <w:rPr>
          <w:b/>
          <w:bCs/>
          <w:lang w:val="en-US"/>
        </w:rPr>
        <w:t xml:space="preserve">How does the government contribute to the </w:t>
      </w:r>
      <w:proofErr w:type="spellStart"/>
      <w:r w:rsidRPr="00305C56">
        <w:rPr>
          <w:b/>
          <w:bCs/>
          <w:lang w:val="en-US"/>
        </w:rPr>
        <w:t>depathologization</w:t>
      </w:r>
      <w:proofErr w:type="spellEnd"/>
      <w:r w:rsidRPr="00305C56">
        <w:rPr>
          <w:b/>
          <w:bCs/>
          <w:lang w:val="en-US"/>
        </w:rPr>
        <w:t xml:space="preserve"> of protocols for gender affirmative health care, based on the new categories of gender affirmative health care provided by the ICD-11?</w:t>
      </w:r>
    </w:p>
    <w:p w14:paraId="3AA37BFD" w14:textId="77777777" w:rsidR="00C13B24" w:rsidRPr="00305C56" w:rsidRDefault="00C13B24">
      <w:pPr>
        <w:spacing w:before="240" w:after="240"/>
        <w:rPr>
          <w:rFonts w:ascii="Calibri" w:eastAsia="Calibri" w:hAnsi="Calibri" w:cs="Calibri"/>
          <w:b/>
          <w:bCs/>
          <w:lang w:val="en-US"/>
        </w:rPr>
      </w:pPr>
    </w:p>
    <w:p w14:paraId="2CD85AA0" w14:textId="77777777" w:rsidR="00C13B24" w:rsidRPr="00305C56" w:rsidRDefault="00000000">
      <w:pPr>
        <w:pStyle w:val="Heading3"/>
        <w:keepNext w:val="0"/>
        <w:keepLines w:val="0"/>
        <w:rPr>
          <w:lang w:val="en-US"/>
        </w:rPr>
      </w:pPr>
      <w:bookmarkStart w:id="7" w:name="_8zbkjkwl94es" w:colFirst="0" w:colLast="0"/>
      <w:bookmarkEnd w:id="7"/>
      <w:r w:rsidRPr="00305C56">
        <w:rPr>
          <w:lang w:val="en-US"/>
        </w:rPr>
        <w:t>Intersex people</w:t>
      </w:r>
    </w:p>
    <w:p w14:paraId="03196B12" w14:textId="77777777" w:rsidR="00C13B24" w:rsidRPr="00305C56" w:rsidRDefault="00000000">
      <w:pPr>
        <w:spacing w:before="240" w:after="240"/>
        <w:rPr>
          <w:lang w:val="en-US"/>
        </w:rPr>
      </w:pPr>
      <w:r w:rsidRPr="00305C56">
        <w:rPr>
          <w:lang w:val="en-US"/>
        </w:rPr>
        <w:t>In their report, the state party did not address our previously raised points on the medical trauma experienced by intersex people and the effects this has with regards to their access to healthcare. In the time that has passed since our previous report, further research</w:t>
      </w:r>
      <w:r>
        <w:rPr>
          <w:vertAlign w:val="superscript"/>
        </w:rPr>
        <w:footnoteReference w:id="10"/>
      </w:r>
      <w:r w:rsidRPr="00305C56">
        <w:rPr>
          <w:lang w:val="en-US"/>
        </w:rPr>
        <w:t xml:space="preserve"> has shown that some people having experienced nonconsensual not medically necessary procedures and examinations have experienced them as rape or assault and would be more vulnerable to new transgressive experiences</w:t>
      </w:r>
      <w:r>
        <w:rPr>
          <w:vertAlign w:val="superscript"/>
        </w:rPr>
        <w:footnoteReference w:id="11"/>
      </w:r>
      <w:r w:rsidRPr="00305C56">
        <w:rPr>
          <w:lang w:val="en-US"/>
        </w:rPr>
        <w:t>. In this there are many similarities to cases of gynecological violence.</w:t>
      </w:r>
      <w:r>
        <w:rPr>
          <w:vertAlign w:val="superscript"/>
        </w:rPr>
        <w:footnoteReference w:id="12"/>
      </w:r>
    </w:p>
    <w:p w14:paraId="012D34D6" w14:textId="77777777" w:rsidR="00C13B24" w:rsidRPr="00305C56" w:rsidRDefault="00000000">
      <w:pPr>
        <w:spacing w:before="240" w:after="240"/>
        <w:rPr>
          <w:lang w:val="en-US"/>
        </w:rPr>
      </w:pPr>
      <w:r w:rsidRPr="00305C56">
        <w:rPr>
          <w:i/>
          <w:iCs/>
          <w:lang w:val="en-US"/>
        </w:rPr>
        <w:t>In line with our previous report, we suggest to the Committee to ask the Government of the Netherlands:</w:t>
      </w:r>
      <w:r w:rsidRPr="00305C56">
        <w:rPr>
          <w:i/>
          <w:iCs/>
          <w:sz w:val="20"/>
          <w:szCs w:val="20"/>
          <w:lang w:val="en-US"/>
        </w:rPr>
        <w:t xml:space="preserve"> </w:t>
      </w:r>
      <w:r w:rsidRPr="00305C56">
        <w:rPr>
          <w:lang w:val="en-US"/>
        </w:rPr>
        <w:t xml:space="preserve"> </w:t>
      </w:r>
    </w:p>
    <w:p w14:paraId="3E509810" w14:textId="77777777" w:rsidR="00C13B24" w:rsidRPr="00305C56" w:rsidRDefault="00000000">
      <w:pPr>
        <w:numPr>
          <w:ilvl w:val="0"/>
          <w:numId w:val="3"/>
        </w:numPr>
        <w:pBdr>
          <w:top w:val="nil"/>
          <w:left w:val="nil"/>
          <w:bottom w:val="nil"/>
          <w:right w:val="nil"/>
          <w:between w:val="nil"/>
        </w:pBdr>
        <w:spacing w:before="240"/>
        <w:rPr>
          <w:b/>
          <w:bCs/>
          <w:lang w:val="en-US"/>
        </w:rPr>
      </w:pPr>
      <w:r w:rsidRPr="00305C56">
        <w:rPr>
          <w:b/>
          <w:bCs/>
          <w:lang w:val="en-US"/>
        </w:rPr>
        <w:t>How will the government ensure that intersex women have access to psychological care outside the medical environment to address their trauma?</w:t>
      </w:r>
    </w:p>
    <w:p w14:paraId="34E66FA1" w14:textId="77777777" w:rsidR="00C13B24" w:rsidRPr="00305C56" w:rsidRDefault="00000000">
      <w:pPr>
        <w:numPr>
          <w:ilvl w:val="0"/>
          <w:numId w:val="3"/>
        </w:numPr>
        <w:pBdr>
          <w:top w:val="nil"/>
          <w:left w:val="nil"/>
          <w:bottom w:val="nil"/>
          <w:right w:val="nil"/>
          <w:between w:val="nil"/>
        </w:pBdr>
        <w:rPr>
          <w:b/>
          <w:bCs/>
          <w:lang w:val="en-US"/>
        </w:rPr>
      </w:pPr>
      <w:r w:rsidRPr="00305C56">
        <w:rPr>
          <w:b/>
          <w:bCs/>
          <w:lang w:val="en-US"/>
        </w:rPr>
        <w:t>How does the government intend to prevent feature trauma amongst intersex women?</w:t>
      </w:r>
    </w:p>
    <w:p w14:paraId="075547B6" w14:textId="77777777" w:rsidR="00C13B24" w:rsidRPr="00305C56" w:rsidRDefault="00000000">
      <w:pPr>
        <w:numPr>
          <w:ilvl w:val="0"/>
          <w:numId w:val="3"/>
        </w:numPr>
        <w:pBdr>
          <w:top w:val="nil"/>
          <w:left w:val="nil"/>
          <w:bottom w:val="nil"/>
          <w:right w:val="nil"/>
          <w:between w:val="nil"/>
        </w:pBdr>
        <w:spacing w:after="240"/>
        <w:rPr>
          <w:b/>
          <w:bCs/>
          <w:lang w:val="en-US"/>
        </w:rPr>
      </w:pPr>
      <w:r w:rsidRPr="00305C56">
        <w:rPr>
          <w:b/>
          <w:bCs/>
          <w:lang w:val="en-US"/>
        </w:rPr>
        <w:t>What steps have been taken to ensure the specific vulnerabilities of intersex women are taken into consideration in healthcare environments?</w:t>
      </w:r>
    </w:p>
    <w:p w14:paraId="6DACCAE2" w14:textId="77777777" w:rsidR="00C13B24" w:rsidRPr="00305C56" w:rsidRDefault="00C13B24">
      <w:pPr>
        <w:pBdr>
          <w:top w:val="nil"/>
          <w:left w:val="nil"/>
          <w:bottom w:val="nil"/>
          <w:right w:val="nil"/>
          <w:between w:val="nil"/>
        </w:pBdr>
        <w:spacing w:before="240" w:after="240"/>
        <w:rPr>
          <w:b/>
          <w:bCs/>
          <w:lang w:val="en-US"/>
        </w:rPr>
      </w:pPr>
    </w:p>
    <w:p w14:paraId="18F04208" w14:textId="77777777" w:rsidR="00C13B24" w:rsidRPr="00305C56" w:rsidRDefault="00000000">
      <w:pPr>
        <w:pStyle w:val="Heading3"/>
        <w:keepNext w:val="0"/>
        <w:keepLines w:val="0"/>
        <w:spacing w:before="280"/>
        <w:rPr>
          <w:sz w:val="26"/>
          <w:szCs w:val="26"/>
          <w:lang w:val="en-US"/>
        </w:rPr>
      </w:pPr>
      <w:bookmarkStart w:id="8" w:name="_uotl5mxluvij" w:colFirst="0" w:colLast="0"/>
      <w:bookmarkEnd w:id="8"/>
      <w:r w:rsidRPr="00305C56">
        <w:rPr>
          <w:lang w:val="en-US"/>
        </w:rPr>
        <w:t>Asexual people</w:t>
      </w:r>
    </w:p>
    <w:p w14:paraId="5421DF2F" w14:textId="77777777" w:rsidR="00C13B24" w:rsidRPr="00305C56" w:rsidRDefault="00000000">
      <w:pPr>
        <w:spacing w:before="240" w:after="240"/>
        <w:rPr>
          <w:lang w:val="en-US"/>
        </w:rPr>
      </w:pPr>
      <w:r w:rsidRPr="00305C56">
        <w:rPr>
          <w:lang w:val="en-US"/>
        </w:rPr>
        <w:t xml:space="preserve">Although there is little Dutch national research on the experiences of asexual people in health care in the Netherlands, international research shows concerning results. For instance, 25.6 percent of asexual respondents in the British National LGBT Survey </w:t>
      </w:r>
      <w:r w:rsidRPr="00305C56">
        <w:rPr>
          <w:lang w:val="en-US"/>
        </w:rPr>
        <w:lastRenderedPageBreak/>
        <w:t>encountered a negative effect by coming out to a health care provider.</w:t>
      </w:r>
      <w:r>
        <w:rPr>
          <w:vertAlign w:val="superscript"/>
        </w:rPr>
        <w:footnoteReference w:id="13"/>
      </w:r>
      <w:r w:rsidRPr="00305C56">
        <w:rPr>
          <w:lang w:val="en-US"/>
        </w:rPr>
        <w:t xml:space="preserve"> This same study shows that asexual people less often come out to their health care provider than other LGBTQIA+ groups.</w:t>
      </w:r>
    </w:p>
    <w:p w14:paraId="327BE358" w14:textId="77777777" w:rsidR="00C13B24" w:rsidRPr="00305C56" w:rsidRDefault="00000000">
      <w:pPr>
        <w:spacing w:before="240" w:after="240"/>
        <w:rPr>
          <w:color w:val="1155CC"/>
          <w:u w:val="single"/>
          <w:lang w:val="en-US"/>
        </w:rPr>
      </w:pPr>
      <w:r w:rsidRPr="00305C56">
        <w:rPr>
          <w:lang w:val="en-US"/>
        </w:rPr>
        <w:t xml:space="preserve">Furthermore, a publication from </w:t>
      </w:r>
      <w:proofErr w:type="spellStart"/>
      <w:r w:rsidRPr="00305C56">
        <w:rPr>
          <w:lang w:val="en-US"/>
        </w:rPr>
        <w:t>Movisie</w:t>
      </w:r>
      <w:proofErr w:type="spellEnd"/>
      <w:r w:rsidRPr="00305C56">
        <w:rPr>
          <w:lang w:val="en-US"/>
        </w:rPr>
        <w:t xml:space="preserve"> provides several anecdotes from asexual people in the Netherlands being misdiagnosed or not being taken seriously by health care providers, or receiving treatment in an attempt to change their sexual orientation.</w:t>
      </w:r>
      <w:r>
        <w:rPr>
          <w:vertAlign w:val="superscript"/>
        </w:rPr>
        <w:footnoteReference w:id="14"/>
      </w:r>
      <w:r w:rsidRPr="00305C56">
        <w:rPr>
          <w:lang w:val="en-US"/>
        </w:rPr>
        <w:t xml:space="preserve"> Similarly, a study by Rutgers shows that Dutch asexual people often don’t feel seen by healthcare providers or experience prejudice in healthcare settings.</w:t>
      </w:r>
      <w:r>
        <w:rPr>
          <w:vertAlign w:val="superscript"/>
        </w:rPr>
        <w:footnoteReference w:id="15"/>
      </w:r>
    </w:p>
    <w:p w14:paraId="55CD7591" w14:textId="77777777" w:rsidR="00C13B24" w:rsidRPr="00305C56" w:rsidRDefault="00000000">
      <w:pPr>
        <w:spacing w:before="240" w:after="240"/>
        <w:rPr>
          <w:lang w:val="en-US"/>
        </w:rPr>
      </w:pPr>
      <w:r w:rsidRPr="00305C56">
        <w:rPr>
          <w:i/>
          <w:iCs/>
          <w:lang w:val="en-US"/>
        </w:rPr>
        <w:t>We suggest to the Committee to ask the Government of the Netherlands:</w:t>
      </w:r>
      <w:r w:rsidRPr="00305C56">
        <w:rPr>
          <w:i/>
          <w:iCs/>
          <w:sz w:val="20"/>
          <w:szCs w:val="20"/>
          <w:lang w:val="en-US"/>
        </w:rPr>
        <w:t xml:space="preserve"> </w:t>
      </w:r>
      <w:r w:rsidRPr="00305C56">
        <w:rPr>
          <w:lang w:val="en-US"/>
        </w:rPr>
        <w:t xml:space="preserve"> </w:t>
      </w:r>
    </w:p>
    <w:p w14:paraId="46242A45" w14:textId="77777777" w:rsidR="00C13B24" w:rsidRPr="00305C56" w:rsidRDefault="00C13B24">
      <w:pPr>
        <w:spacing w:before="240" w:after="240"/>
        <w:rPr>
          <w:lang w:val="en-US"/>
        </w:rPr>
      </w:pPr>
    </w:p>
    <w:p w14:paraId="747676CC" w14:textId="77777777" w:rsidR="00C13B24" w:rsidRPr="00305C56" w:rsidRDefault="00000000">
      <w:pPr>
        <w:numPr>
          <w:ilvl w:val="0"/>
          <w:numId w:val="3"/>
        </w:numPr>
        <w:rPr>
          <w:b/>
          <w:bCs/>
          <w:lang w:val="en-US"/>
        </w:rPr>
      </w:pPr>
      <w:r w:rsidRPr="00305C56">
        <w:rPr>
          <w:b/>
          <w:bCs/>
          <w:lang w:val="en-US"/>
        </w:rPr>
        <w:t>How will the government of the Netherlands incorporate information about asexuality in education programs for health care providers?</w:t>
      </w:r>
    </w:p>
    <w:p w14:paraId="7FB87939" w14:textId="77777777" w:rsidR="00C13B24" w:rsidRPr="00305C56" w:rsidRDefault="00000000">
      <w:pPr>
        <w:numPr>
          <w:ilvl w:val="0"/>
          <w:numId w:val="3"/>
        </w:numPr>
        <w:rPr>
          <w:b/>
          <w:bCs/>
          <w:lang w:val="en-US"/>
        </w:rPr>
      </w:pPr>
      <w:r w:rsidRPr="00305C56">
        <w:rPr>
          <w:b/>
          <w:bCs/>
          <w:lang w:val="en-US"/>
        </w:rPr>
        <w:t>In what ways will the government of the Netherlands ensure the safety of asexual people in a health care environment so that their asexuality is taken seriously as a sexual orientation?</w:t>
      </w:r>
    </w:p>
    <w:p w14:paraId="630F8F7E" w14:textId="77777777" w:rsidR="00C13B24" w:rsidRPr="00305C56" w:rsidRDefault="00C13B24">
      <w:pPr>
        <w:rPr>
          <w:b/>
          <w:bCs/>
          <w:lang w:val="en-US"/>
        </w:rPr>
      </w:pPr>
    </w:p>
    <w:p w14:paraId="6700C47D" w14:textId="77777777" w:rsidR="00C13B24" w:rsidRPr="00305C56" w:rsidRDefault="00000000">
      <w:pPr>
        <w:pStyle w:val="Heading3"/>
        <w:keepNext w:val="0"/>
        <w:keepLines w:val="0"/>
        <w:rPr>
          <w:lang w:val="en-US"/>
        </w:rPr>
      </w:pPr>
      <w:bookmarkStart w:id="9" w:name="_f3c2i040j5r4" w:colFirst="0" w:colLast="0"/>
      <w:bookmarkEnd w:id="9"/>
      <w:r w:rsidRPr="00305C56">
        <w:rPr>
          <w:lang w:val="en-US"/>
        </w:rPr>
        <w:t>LBTQIA+ women</w:t>
      </w:r>
    </w:p>
    <w:p w14:paraId="237EE8F2" w14:textId="77777777" w:rsidR="00C13B24" w:rsidRPr="00305C56" w:rsidRDefault="00000000">
      <w:pPr>
        <w:spacing w:before="240" w:after="240"/>
        <w:rPr>
          <w:i/>
          <w:iCs/>
          <w:lang w:val="en-US"/>
        </w:rPr>
      </w:pPr>
      <w:r w:rsidRPr="00305C56">
        <w:rPr>
          <w:highlight w:val="white"/>
          <w:lang w:val="en-US"/>
        </w:rPr>
        <w:t xml:space="preserve">LBTQIA+ women in the Netherlands have restricted access to sexual healthcare, including STI testing, treatment, and prevention such as </w:t>
      </w:r>
      <w:proofErr w:type="spellStart"/>
      <w:r w:rsidRPr="00305C56">
        <w:rPr>
          <w:highlight w:val="white"/>
          <w:lang w:val="en-US"/>
        </w:rPr>
        <w:t>PrEP</w:t>
      </w:r>
      <w:proofErr w:type="spellEnd"/>
      <w:r w:rsidRPr="00305C56">
        <w:rPr>
          <w:highlight w:val="white"/>
          <w:lang w:val="en-US"/>
        </w:rPr>
        <w:t xml:space="preserve"> (pre-exposure prophylaxis). For a detailed account on access to health care for LBTQIA+ women in the Netherlands, we refer to our previous report. In its state report, the government of the Netherlands does not address the issues that we raised on access to healthcare for LBTQIA+ women.</w:t>
      </w:r>
    </w:p>
    <w:p w14:paraId="56BB5737" w14:textId="77777777" w:rsidR="00C13B24" w:rsidRPr="00305C56" w:rsidRDefault="00000000">
      <w:pPr>
        <w:spacing w:before="240" w:after="240"/>
        <w:rPr>
          <w:lang w:val="en-US"/>
        </w:rPr>
      </w:pPr>
      <w:r w:rsidRPr="00305C56">
        <w:rPr>
          <w:i/>
          <w:iCs/>
          <w:lang w:val="en-US"/>
        </w:rPr>
        <w:t>In line with our previous report, we suggest to the Committee to ask the Government of the Netherlands:</w:t>
      </w:r>
      <w:r w:rsidRPr="00305C56">
        <w:rPr>
          <w:i/>
          <w:iCs/>
          <w:sz w:val="20"/>
          <w:szCs w:val="20"/>
          <w:lang w:val="en-US"/>
        </w:rPr>
        <w:t xml:space="preserve"> </w:t>
      </w:r>
      <w:r w:rsidRPr="00305C56">
        <w:rPr>
          <w:lang w:val="en-US"/>
        </w:rPr>
        <w:t xml:space="preserve"> </w:t>
      </w:r>
    </w:p>
    <w:p w14:paraId="6C0DC7DF" w14:textId="77777777" w:rsidR="00C13B24" w:rsidRPr="00305C56" w:rsidRDefault="00000000">
      <w:pPr>
        <w:numPr>
          <w:ilvl w:val="0"/>
          <w:numId w:val="3"/>
        </w:numPr>
        <w:spacing w:before="240"/>
        <w:rPr>
          <w:b/>
          <w:bCs/>
          <w:lang w:val="en-US"/>
        </w:rPr>
      </w:pPr>
      <w:r w:rsidRPr="00305C56">
        <w:rPr>
          <w:b/>
          <w:bCs/>
          <w:lang w:val="en-US"/>
        </w:rPr>
        <w:t>Which measures are taken to guarantee equal access to sexual health care for all women?</w:t>
      </w:r>
    </w:p>
    <w:p w14:paraId="67B9AF9E" w14:textId="77777777" w:rsidR="00C13B24" w:rsidRPr="00305C56" w:rsidRDefault="00000000">
      <w:pPr>
        <w:numPr>
          <w:ilvl w:val="0"/>
          <w:numId w:val="3"/>
        </w:numPr>
        <w:rPr>
          <w:b/>
          <w:bCs/>
          <w:lang w:val="en-US"/>
        </w:rPr>
      </w:pPr>
      <w:r w:rsidRPr="00305C56">
        <w:rPr>
          <w:rFonts w:ascii="Roboto" w:eastAsia="Roboto" w:hAnsi="Roboto" w:cs="Roboto"/>
          <w:b/>
          <w:bCs/>
          <w:color w:val="242424"/>
          <w:sz w:val="23"/>
          <w:szCs w:val="23"/>
          <w:highlight w:val="white"/>
          <w:lang w:val="en-US"/>
        </w:rPr>
        <w:t>Which measures are taken to ensure that the role of sex, gender and sexual orientation in health are embedded in the healthcare system?</w:t>
      </w:r>
    </w:p>
    <w:p w14:paraId="5993391B" w14:textId="77777777" w:rsidR="00C13B24" w:rsidRPr="00305C56" w:rsidRDefault="00000000">
      <w:pPr>
        <w:numPr>
          <w:ilvl w:val="0"/>
          <w:numId w:val="3"/>
        </w:numPr>
        <w:spacing w:after="240"/>
        <w:rPr>
          <w:b/>
          <w:bCs/>
          <w:lang w:val="en-US"/>
        </w:rPr>
      </w:pPr>
      <w:r w:rsidRPr="00305C56">
        <w:rPr>
          <w:b/>
          <w:bCs/>
          <w:lang w:val="en-US"/>
        </w:rPr>
        <w:t>Which measures have been taken to include women in studies on the applicability of STI prevention and treatment?</w:t>
      </w:r>
    </w:p>
    <w:p w14:paraId="0002B28E" w14:textId="77777777" w:rsidR="00C13B24" w:rsidRPr="00305C56" w:rsidRDefault="00C13B24">
      <w:pPr>
        <w:spacing w:before="240" w:after="240"/>
        <w:rPr>
          <w:b/>
          <w:bCs/>
          <w:lang w:val="en-US"/>
        </w:rPr>
      </w:pPr>
    </w:p>
    <w:p w14:paraId="02889ABA" w14:textId="77777777" w:rsidR="00C13B24" w:rsidRPr="00305C56" w:rsidRDefault="00000000">
      <w:pPr>
        <w:pStyle w:val="Heading2"/>
        <w:keepNext w:val="0"/>
        <w:keepLines w:val="0"/>
        <w:spacing w:before="480"/>
        <w:rPr>
          <w:lang w:val="en-US"/>
        </w:rPr>
      </w:pPr>
      <w:bookmarkStart w:id="10" w:name="_f9ke40m1lbcg" w:colFirst="0" w:colLast="0"/>
      <w:bookmarkEnd w:id="10"/>
      <w:r w:rsidRPr="00305C56">
        <w:rPr>
          <w:lang w:val="en-US"/>
        </w:rPr>
        <w:lastRenderedPageBreak/>
        <w:t>Education (Article 10)</w:t>
      </w:r>
    </w:p>
    <w:p w14:paraId="4DA47A55" w14:textId="77777777" w:rsidR="00C13B24" w:rsidRPr="00305C56" w:rsidRDefault="00000000">
      <w:pPr>
        <w:spacing w:before="240" w:after="240"/>
        <w:rPr>
          <w:lang w:val="en-US"/>
        </w:rPr>
      </w:pPr>
      <w:r w:rsidRPr="00305C56">
        <w:rPr>
          <w:lang w:val="en-US"/>
        </w:rPr>
        <w:t xml:space="preserve">Although the Dutch government has a structural commitment to improve the situation of LBTQIA+ youth within the education system, for example through Gender and Sexuality Alliances (GSAs) in schools, more action is needed to protect the safety and wellbeing of students. </w:t>
      </w:r>
    </w:p>
    <w:p w14:paraId="39F5EF5D" w14:textId="77777777" w:rsidR="00C13B24" w:rsidRPr="00305C56" w:rsidRDefault="00000000">
      <w:pPr>
        <w:spacing w:before="240" w:after="240"/>
        <w:rPr>
          <w:lang w:val="en-US"/>
        </w:rPr>
      </w:pPr>
      <w:r w:rsidRPr="00305C56">
        <w:rPr>
          <w:lang w:val="en-US"/>
        </w:rPr>
        <w:t>The 2021 study on LGB youth</w:t>
      </w:r>
      <w:r>
        <w:rPr>
          <w:vertAlign w:val="superscript"/>
        </w:rPr>
        <w:footnoteReference w:id="16"/>
      </w:r>
      <w:r w:rsidRPr="00305C56">
        <w:rPr>
          <w:lang w:val="en-US"/>
        </w:rPr>
        <w:t xml:space="preserve"> showed that they feel unhappy more than three times as often, have more psychosomatic complaints, and have psychological problems approximately twice as often (42% and 18% respectively) compared to their heterosexual peers. Nearly one in three (32%) of LGBT youth report feeling unhappy at least weekly. Feelings of suicide are also much higher among LGB youth. Feelings of safety among LGBT students have deteriorated (between 2018 and 2021).</w:t>
      </w:r>
      <w:r>
        <w:rPr>
          <w:vertAlign w:val="superscript"/>
        </w:rPr>
        <w:footnoteReference w:id="17"/>
      </w:r>
      <w:r w:rsidRPr="00305C56">
        <w:rPr>
          <w:lang w:val="en-US"/>
        </w:rPr>
        <w:t xml:space="preserve"> The home situation is less often a safe haven and experiences and contacts at school are also less positive than for heterosexual youth. Compared to their cisgender peers, trans youth are bullied much more often, have more experience with emotional neglect or abuse at home, lower self-esteem and more psychological problems.</w:t>
      </w:r>
      <w:r>
        <w:rPr>
          <w:vertAlign w:val="superscript"/>
        </w:rPr>
        <w:footnoteReference w:id="18"/>
      </w:r>
      <w:r w:rsidRPr="00305C56">
        <w:rPr>
          <w:lang w:val="en-US"/>
        </w:rPr>
        <w:t xml:space="preserve"> While there is no country specific data on the suicide rates of intersex youth, a study on intersex people in Europe who were still in contact with doctors concluded intersex people were almost 4 times more likely than the average population to attempt suicide.</w:t>
      </w:r>
      <w:r>
        <w:rPr>
          <w:vertAlign w:val="superscript"/>
        </w:rPr>
        <w:footnoteReference w:id="19"/>
      </w:r>
    </w:p>
    <w:p w14:paraId="2AEC840D" w14:textId="77777777" w:rsidR="00C13B24" w:rsidRPr="00305C56" w:rsidRDefault="00000000">
      <w:pPr>
        <w:spacing w:before="240" w:after="240"/>
        <w:rPr>
          <w:lang w:val="en-US"/>
        </w:rPr>
      </w:pPr>
      <w:r w:rsidRPr="00305C56">
        <w:rPr>
          <w:lang w:val="en-US"/>
        </w:rPr>
        <w:t>There are still schools in the Netherlands that use statements that reject LBTQIA+ people based on religious beliefs.</w:t>
      </w:r>
      <w:r>
        <w:rPr>
          <w:vertAlign w:val="superscript"/>
        </w:rPr>
        <w:footnoteReference w:id="20"/>
      </w:r>
      <w:r w:rsidRPr="00305C56">
        <w:rPr>
          <w:lang w:val="en-US"/>
        </w:rPr>
        <w:t xml:space="preserve"> In 2021, the </w:t>
      </w:r>
      <w:proofErr w:type="spellStart"/>
      <w:r w:rsidRPr="00305C56">
        <w:rPr>
          <w:lang w:val="en-US"/>
        </w:rPr>
        <w:t>Gomarus</w:t>
      </w:r>
      <w:proofErr w:type="spellEnd"/>
      <w:r w:rsidRPr="00305C56">
        <w:rPr>
          <w:lang w:val="en-US"/>
        </w:rPr>
        <w:t xml:space="preserve"> School in the Netherlands forced students to come out to their parents.</w:t>
      </w:r>
      <w:r>
        <w:rPr>
          <w:vertAlign w:val="superscript"/>
        </w:rPr>
        <w:footnoteReference w:id="21"/>
      </w:r>
      <w:r w:rsidRPr="00305C56">
        <w:rPr>
          <w:lang w:val="en-US"/>
        </w:rPr>
        <w:t xml:space="preserve"> Recent research shows that LGBT youth are more likely to be bullied by school staff, such as teachers or other staff, and that this is also more likely to take place in locations where there is a lack of supervision, such as changing rooms, toilets, bicycle or car parks, or online.</w:t>
      </w:r>
      <w:r>
        <w:rPr>
          <w:vertAlign w:val="superscript"/>
        </w:rPr>
        <w:footnoteReference w:id="22"/>
      </w:r>
    </w:p>
    <w:p w14:paraId="4E92A237" w14:textId="77777777" w:rsidR="00C13B24" w:rsidRPr="00305C56" w:rsidRDefault="00000000">
      <w:pPr>
        <w:spacing w:before="240" w:after="240"/>
        <w:rPr>
          <w:i/>
          <w:iCs/>
          <w:shd w:val="clear" w:color="auto" w:fill="999999"/>
          <w:lang w:val="en-US"/>
        </w:rPr>
      </w:pPr>
      <w:r w:rsidRPr="00305C56">
        <w:rPr>
          <w:lang w:val="en-US"/>
        </w:rPr>
        <w:t xml:space="preserve">In their state report, the government of the Netherlands indicates that the attainment targets (the key targets for education) in relation to sexuality and sexual diversity are being defined more sharply. We applaud this development and urge the Government to make sure that sex </w:t>
      </w:r>
      <w:r w:rsidRPr="00305C56">
        <w:rPr>
          <w:lang w:val="en-US"/>
        </w:rPr>
        <w:lastRenderedPageBreak/>
        <w:t xml:space="preserve">diversity, asexuality, and </w:t>
      </w:r>
      <w:proofErr w:type="spellStart"/>
      <w:r w:rsidRPr="00305C56">
        <w:rPr>
          <w:lang w:val="en-US"/>
        </w:rPr>
        <w:t>aromanticism</w:t>
      </w:r>
      <w:proofErr w:type="spellEnd"/>
      <w:r w:rsidRPr="00305C56">
        <w:rPr>
          <w:lang w:val="en-US"/>
        </w:rPr>
        <w:t xml:space="preserve"> are also included, and that the targets are implemented swiftly. </w:t>
      </w:r>
    </w:p>
    <w:p w14:paraId="6A65FA5C" w14:textId="77777777" w:rsidR="00C13B24" w:rsidRPr="00305C56" w:rsidRDefault="00000000">
      <w:pPr>
        <w:spacing w:before="240" w:after="240"/>
        <w:rPr>
          <w:b/>
          <w:bCs/>
          <w:lang w:val="en-US"/>
        </w:rPr>
      </w:pPr>
      <w:r w:rsidRPr="00305C56">
        <w:rPr>
          <w:i/>
          <w:iCs/>
          <w:lang w:val="en-US"/>
        </w:rPr>
        <w:t>In line with our previous report, we suggest to the Committee to ask the Government of the Netherlands:</w:t>
      </w:r>
    </w:p>
    <w:p w14:paraId="65428837" w14:textId="77777777" w:rsidR="00C13B24" w:rsidRPr="00305C56" w:rsidRDefault="00000000">
      <w:pPr>
        <w:numPr>
          <w:ilvl w:val="0"/>
          <w:numId w:val="3"/>
        </w:numPr>
        <w:spacing w:before="240"/>
        <w:rPr>
          <w:b/>
          <w:bCs/>
          <w:lang w:val="en-US"/>
        </w:rPr>
      </w:pPr>
      <w:r w:rsidRPr="00305C56">
        <w:rPr>
          <w:b/>
          <w:bCs/>
          <w:lang w:val="en-US"/>
        </w:rPr>
        <w:t>What steps have been taken to guarantee structural attention to sexual, gender, and sex diversity in all schools in the Netherlands?</w:t>
      </w:r>
    </w:p>
    <w:p w14:paraId="44709C4B" w14:textId="77777777" w:rsidR="00C13B24" w:rsidRPr="00305C56" w:rsidRDefault="00000000">
      <w:pPr>
        <w:numPr>
          <w:ilvl w:val="0"/>
          <w:numId w:val="3"/>
        </w:numPr>
        <w:rPr>
          <w:b/>
          <w:bCs/>
          <w:lang w:val="en-US"/>
        </w:rPr>
      </w:pPr>
      <w:r w:rsidRPr="00305C56">
        <w:rPr>
          <w:b/>
          <w:bCs/>
          <w:lang w:val="en-US"/>
        </w:rPr>
        <w:t>What steps have been taken to guarantee structural attention to sexual, gender, and sex diversity in all teacher education curriculums?</w:t>
      </w:r>
    </w:p>
    <w:p w14:paraId="2F28BBD2" w14:textId="77777777" w:rsidR="00C13B24" w:rsidRPr="00305C56" w:rsidRDefault="00000000">
      <w:pPr>
        <w:numPr>
          <w:ilvl w:val="0"/>
          <w:numId w:val="3"/>
        </w:numPr>
        <w:rPr>
          <w:b/>
          <w:bCs/>
          <w:lang w:val="en-US"/>
        </w:rPr>
      </w:pPr>
      <w:r w:rsidRPr="00305C56">
        <w:rPr>
          <w:b/>
          <w:bCs/>
          <w:lang w:val="en-US"/>
        </w:rPr>
        <w:t>What measures are taken to ensure that the Inspectorate of Education monitors laws and regulations closely and takes appropriate measures in case of non-compliance by schools?</w:t>
      </w:r>
    </w:p>
    <w:p w14:paraId="48BA2135" w14:textId="77777777" w:rsidR="00C13B24" w:rsidRPr="00305C56" w:rsidRDefault="00000000">
      <w:pPr>
        <w:numPr>
          <w:ilvl w:val="0"/>
          <w:numId w:val="3"/>
        </w:numPr>
        <w:spacing w:after="240"/>
        <w:rPr>
          <w:b/>
          <w:bCs/>
          <w:lang w:val="en-US"/>
        </w:rPr>
      </w:pPr>
      <w:r w:rsidRPr="00305C56">
        <w:rPr>
          <w:b/>
          <w:bCs/>
          <w:lang w:val="en-US"/>
        </w:rPr>
        <w:t>What measures are taken to protect the safety of LBTQIA+ students, to end rejection of LBTQIA+ students in schools and to guarantee the acceptance of LBTQIA+ students in the educational system?</w:t>
      </w:r>
    </w:p>
    <w:p w14:paraId="2798D7C1" w14:textId="77777777" w:rsidR="00C13B24" w:rsidRPr="00305C56" w:rsidRDefault="00C13B24">
      <w:pPr>
        <w:spacing w:before="240" w:after="240"/>
        <w:rPr>
          <w:b/>
          <w:bCs/>
          <w:lang w:val="en-US"/>
        </w:rPr>
      </w:pPr>
    </w:p>
    <w:p w14:paraId="2D99D75D" w14:textId="77777777" w:rsidR="00C13B24" w:rsidRPr="00305C56" w:rsidRDefault="00000000">
      <w:pPr>
        <w:pStyle w:val="Heading2"/>
        <w:keepNext w:val="0"/>
        <w:keepLines w:val="0"/>
        <w:spacing w:before="480"/>
        <w:rPr>
          <w:lang w:val="en-US"/>
        </w:rPr>
      </w:pPr>
      <w:bookmarkStart w:id="11" w:name="_wm80vp5pcqot" w:colFirst="0" w:colLast="0"/>
      <w:bookmarkEnd w:id="11"/>
      <w:r w:rsidRPr="00305C56">
        <w:rPr>
          <w:lang w:val="en-US"/>
        </w:rPr>
        <w:t>Employment (Article 11)</w:t>
      </w:r>
    </w:p>
    <w:p w14:paraId="01E7D2DF" w14:textId="77777777" w:rsidR="00C13B24" w:rsidRPr="00305C56" w:rsidRDefault="00000000">
      <w:pPr>
        <w:spacing w:before="240" w:after="240"/>
        <w:rPr>
          <w:lang w:val="en-US"/>
        </w:rPr>
      </w:pPr>
      <w:r w:rsidRPr="00305C56">
        <w:rPr>
          <w:highlight w:val="white"/>
          <w:lang w:val="en-US"/>
        </w:rPr>
        <w:t>Dutch law (“</w:t>
      </w:r>
      <w:proofErr w:type="spellStart"/>
      <w:r w:rsidRPr="00305C56">
        <w:rPr>
          <w:highlight w:val="white"/>
          <w:lang w:val="en-US"/>
        </w:rPr>
        <w:t>Algemene</w:t>
      </w:r>
      <w:proofErr w:type="spellEnd"/>
      <w:r w:rsidRPr="00305C56">
        <w:rPr>
          <w:highlight w:val="white"/>
          <w:lang w:val="en-US"/>
        </w:rPr>
        <w:t xml:space="preserve"> Wet </w:t>
      </w:r>
      <w:proofErr w:type="spellStart"/>
      <w:r w:rsidRPr="00305C56">
        <w:rPr>
          <w:highlight w:val="white"/>
          <w:lang w:val="en-US"/>
        </w:rPr>
        <w:t>Gelijke</w:t>
      </w:r>
      <w:proofErr w:type="spellEnd"/>
      <w:r w:rsidRPr="00305C56">
        <w:rPr>
          <w:highlight w:val="white"/>
          <w:lang w:val="en-US"/>
        </w:rPr>
        <w:t xml:space="preserve"> </w:t>
      </w:r>
      <w:proofErr w:type="spellStart"/>
      <w:r w:rsidRPr="00305C56">
        <w:rPr>
          <w:highlight w:val="white"/>
          <w:lang w:val="en-US"/>
        </w:rPr>
        <w:t>Behandeling</w:t>
      </w:r>
      <w:proofErr w:type="spellEnd"/>
      <w:r w:rsidRPr="00305C56">
        <w:rPr>
          <w:highlight w:val="white"/>
          <w:lang w:val="en-US"/>
        </w:rPr>
        <w:t>,” or Equal Treatment Act) offers broad protection against discrimination in the workplace, including discrimination on the basis of gender. Although not explicitly mentioned, discrimination based on gender identity, gender expression and sex characteristics is also implicitly included.</w:t>
      </w:r>
      <w:r>
        <w:rPr>
          <w:highlight w:val="white"/>
          <w:vertAlign w:val="superscript"/>
        </w:rPr>
        <w:footnoteReference w:id="23"/>
      </w:r>
      <w:r w:rsidRPr="00305C56">
        <w:rPr>
          <w:highlight w:val="white"/>
          <w:lang w:val="en-US"/>
        </w:rPr>
        <w:t xml:space="preserve"> Despite the general willingness of employers and HR professionals to create an inclusive workspace, we often see that policies only change when problems arise. As a result, a 2022 report</w:t>
      </w:r>
      <w:r>
        <w:rPr>
          <w:highlight w:val="white"/>
          <w:vertAlign w:val="superscript"/>
        </w:rPr>
        <w:footnoteReference w:id="24"/>
      </w:r>
      <w:r w:rsidRPr="00305C56">
        <w:rPr>
          <w:highlight w:val="white"/>
          <w:lang w:val="en-US"/>
        </w:rPr>
        <w:t xml:space="preserve"> shows that  transgender and non-binary people are more likely to be victims of discrimination and violence at work. They also have a lower income than cisgender people. </w:t>
      </w:r>
      <w:r w:rsidRPr="00305C56">
        <w:rPr>
          <w:lang w:val="en-US"/>
        </w:rPr>
        <w:t>Unemployment and disability rates are significantly higher among transgender people and many live around or under the poverty line. As a result, financial self-reliance is a concern amongst many LBTQIA+ people.</w:t>
      </w:r>
    </w:p>
    <w:p w14:paraId="35915E73" w14:textId="77777777" w:rsidR="00C13B24" w:rsidRPr="00305C56" w:rsidRDefault="00000000">
      <w:pPr>
        <w:spacing w:before="240" w:after="240"/>
        <w:rPr>
          <w:lang w:val="en-US"/>
        </w:rPr>
      </w:pPr>
      <w:r w:rsidRPr="00305C56">
        <w:rPr>
          <w:lang w:val="en-US"/>
        </w:rPr>
        <w:t>In order to improve the situation of transgender people in the workplace, the Dutch government has repeatedly proposed the introduction of legal transition leave. However, until today, the introduction of legal transition leave has been postponed.</w:t>
      </w:r>
      <w:r>
        <w:rPr>
          <w:vertAlign w:val="superscript"/>
        </w:rPr>
        <w:footnoteReference w:id="25"/>
      </w:r>
    </w:p>
    <w:p w14:paraId="24E1266A" w14:textId="77777777" w:rsidR="00C13B24" w:rsidRPr="00305C56" w:rsidRDefault="00000000">
      <w:pPr>
        <w:spacing w:before="240" w:after="240"/>
        <w:rPr>
          <w:highlight w:val="white"/>
          <w:lang w:val="en-US"/>
        </w:rPr>
      </w:pPr>
      <w:r w:rsidRPr="00305C56">
        <w:rPr>
          <w:highlight w:val="white"/>
          <w:lang w:val="en-US"/>
        </w:rPr>
        <w:t xml:space="preserve">Bi+ people experience inappropriate questions, jokes and incorrect prejudices at work due to the monosexual norm and confusing bi+ with polyamory. Bi+ women are much less open about their sexual orientation at work than lesbian women, as talking about (the gender of) </w:t>
      </w:r>
      <w:r w:rsidRPr="00305C56">
        <w:rPr>
          <w:highlight w:val="white"/>
          <w:lang w:val="en-US"/>
        </w:rPr>
        <w:lastRenderedPageBreak/>
        <w:t>their partner(s) is not enough to be recognized as bi+.</w:t>
      </w:r>
      <w:r>
        <w:rPr>
          <w:highlight w:val="white"/>
          <w:vertAlign w:val="superscript"/>
        </w:rPr>
        <w:footnoteReference w:id="26"/>
      </w:r>
      <w:r w:rsidRPr="00305C56">
        <w:rPr>
          <w:highlight w:val="white"/>
          <w:lang w:val="en-US"/>
        </w:rPr>
        <w:t xml:space="preserve"> Approaches for workplace inclusion aimed at gay and lesbian employees do not automatically also work for the inclusion of bi+ employees as their experiences differ.</w:t>
      </w:r>
      <w:r>
        <w:rPr>
          <w:highlight w:val="white"/>
          <w:vertAlign w:val="superscript"/>
        </w:rPr>
        <w:footnoteReference w:id="27"/>
      </w:r>
      <w:r w:rsidRPr="00305C56">
        <w:rPr>
          <w:highlight w:val="white"/>
          <w:lang w:val="en-US"/>
        </w:rPr>
        <w:t xml:space="preserve"> </w:t>
      </w:r>
    </w:p>
    <w:p w14:paraId="6C8B89AC" w14:textId="77777777" w:rsidR="00C13B24" w:rsidRPr="00305C56" w:rsidRDefault="00000000">
      <w:pPr>
        <w:spacing w:before="240" w:after="240"/>
        <w:rPr>
          <w:highlight w:val="white"/>
          <w:lang w:val="en-US"/>
        </w:rPr>
      </w:pPr>
      <w:r w:rsidRPr="00305C56">
        <w:rPr>
          <w:highlight w:val="white"/>
          <w:lang w:val="en-US"/>
        </w:rPr>
        <w:t>This is similar for asexual and aromantic people, some of whom may be questioned about their lack of or limited dating experience or who might be targeted by virgin shaming. In a recent study, asexual and demisexual people gave the measure of acceptance by coworkers the lowest rating of all LGBTQIA+ groups, and, along with transgender people, they gave the lowest rating to acceptance by managers.</w:t>
      </w:r>
      <w:r>
        <w:rPr>
          <w:color w:val="1155CC"/>
          <w:highlight w:val="white"/>
          <w:u w:val="single"/>
          <w:vertAlign w:val="superscript"/>
        </w:rPr>
        <w:footnoteReference w:id="28"/>
      </w:r>
    </w:p>
    <w:p w14:paraId="402D6B2B" w14:textId="77777777" w:rsidR="00C13B24" w:rsidRPr="00305C56" w:rsidRDefault="00000000">
      <w:pPr>
        <w:spacing w:before="240" w:after="240"/>
        <w:rPr>
          <w:highlight w:val="white"/>
          <w:lang w:val="en-US"/>
        </w:rPr>
      </w:pPr>
      <w:r w:rsidRPr="00305C56">
        <w:rPr>
          <w:highlight w:val="white"/>
          <w:lang w:val="en-US"/>
        </w:rPr>
        <w:t xml:space="preserve">Sex workers are particularly vulnerable in the Netherlands. Since the </w:t>
      </w:r>
      <w:proofErr w:type="spellStart"/>
      <w:r w:rsidRPr="00305C56">
        <w:rPr>
          <w:highlight w:val="white"/>
          <w:lang w:val="en-US"/>
        </w:rPr>
        <w:t>legalisation</w:t>
      </w:r>
      <w:proofErr w:type="spellEnd"/>
      <w:r w:rsidRPr="00305C56">
        <w:rPr>
          <w:highlight w:val="white"/>
          <w:lang w:val="en-US"/>
        </w:rPr>
        <w:t xml:space="preserve"> of sex work, a newly proposed law on the registration of sex workers, and stricter enforcement, negatively affects the position of sex workers by creating a divide between permitted and unpermitted work.</w:t>
      </w:r>
      <w:r>
        <w:rPr>
          <w:highlight w:val="white"/>
          <w:vertAlign w:val="superscript"/>
        </w:rPr>
        <w:footnoteReference w:id="29"/>
      </w:r>
      <w:r w:rsidRPr="00305C56">
        <w:rPr>
          <w:highlight w:val="white"/>
          <w:lang w:val="en-US"/>
        </w:rPr>
        <w:t xml:space="preserve"> Especially trans sex workers who are temporarily or do not have any residence status in the Netherlands or EU will be hurt by this, because they cannot apply for a permit.</w:t>
      </w:r>
      <w:r>
        <w:rPr>
          <w:highlight w:val="white"/>
          <w:vertAlign w:val="superscript"/>
        </w:rPr>
        <w:footnoteReference w:id="30"/>
      </w:r>
    </w:p>
    <w:p w14:paraId="297528D0" w14:textId="77777777" w:rsidR="00C13B24" w:rsidRPr="00305C56" w:rsidRDefault="00000000">
      <w:pPr>
        <w:spacing w:before="240" w:after="240"/>
        <w:rPr>
          <w:highlight w:val="white"/>
          <w:lang w:val="en-US"/>
        </w:rPr>
      </w:pPr>
      <w:r w:rsidRPr="00305C56">
        <w:rPr>
          <w:highlight w:val="white"/>
          <w:lang w:val="en-US"/>
        </w:rPr>
        <w:t xml:space="preserve">For a more detailed account on discrimination of LBTQIA+ women in employment and in the </w:t>
      </w:r>
      <w:proofErr w:type="spellStart"/>
      <w:r w:rsidRPr="00305C56">
        <w:rPr>
          <w:highlight w:val="white"/>
          <w:lang w:val="en-US"/>
        </w:rPr>
        <w:t>labour</w:t>
      </w:r>
      <w:proofErr w:type="spellEnd"/>
      <w:r w:rsidRPr="00305C56">
        <w:rPr>
          <w:highlight w:val="white"/>
          <w:lang w:val="en-US"/>
        </w:rPr>
        <w:t xml:space="preserve"> market, we refer to our previous report.</w:t>
      </w:r>
    </w:p>
    <w:p w14:paraId="0EAB8563" w14:textId="77777777" w:rsidR="00C13B24" w:rsidRPr="00305C56" w:rsidRDefault="00000000">
      <w:pPr>
        <w:spacing w:before="240" w:after="240"/>
        <w:rPr>
          <w:i/>
          <w:iCs/>
          <w:lang w:val="en-US"/>
        </w:rPr>
      </w:pPr>
      <w:r w:rsidRPr="00305C56">
        <w:rPr>
          <w:i/>
          <w:iCs/>
          <w:lang w:val="en-US"/>
        </w:rPr>
        <w:t>In line with our previous report, we suggest to the Committee to ask the Government of the Netherlands:</w:t>
      </w:r>
    </w:p>
    <w:p w14:paraId="6528E7ED" w14:textId="77777777" w:rsidR="00C13B24" w:rsidRPr="00305C56" w:rsidRDefault="00000000">
      <w:pPr>
        <w:numPr>
          <w:ilvl w:val="0"/>
          <w:numId w:val="3"/>
        </w:numPr>
        <w:spacing w:before="240"/>
        <w:rPr>
          <w:b/>
          <w:bCs/>
          <w:color w:val="00000A"/>
          <w:lang w:val="en-US"/>
        </w:rPr>
      </w:pPr>
      <w:r w:rsidRPr="00305C56">
        <w:rPr>
          <w:b/>
          <w:bCs/>
          <w:color w:val="00000A"/>
          <w:lang w:val="en-US"/>
        </w:rPr>
        <w:t>What policies regarding employment and workplace discrimination of transgender and intersex people are being developed to follow-up the change in the Equal Treatment Act regarding the non-discrimination ground of gender and sex characteristics?</w:t>
      </w:r>
    </w:p>
    <w:p w14:paraId="6D565B71" w14:textId="77777777" w:rsidR="00C13B24" w:rsidRPr="00305C56" w:rsidRDefault="00000000">
      <w:pPr>
        <w:numPr>
          <w:ilvl w:val="0"/>
          <w:numId w:val="3"/>
        </w:numPr>
        <w:spacing w:after="240"/>
        <w:rPr>
          <w:b/>
          <w:bCs/>
          <w:color w:val="00000A"/>
          <w:lang w:val="en-US"/>
        </w:rPr>
      </w:pPr>
      <w:r w:rsidRPr="00305C56">
        <w:rPr>
          <w:b/>
          <w:bCs/>
          <w:color w:val="00000A"/>
          <w:lang w:val="en-US"/>
        </w:rPr>
        <w:t>What is being done, in corroboration with (transgender) sex workers, to decriminalize sex work through legislation and improvement of their working conditions, including the specific situation of migrant and transgender sex workers?</w:t>
      </w:r>
    </w:p>
    <w:sectPr w:rsidR="00C13B24" w:rsidRPr="00305C56">
      <w:footerReference w:type="default" r:id="rId12"/>
      <w:footerReference w:type="first" r:id="rId1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6F5AF" w14:textId="77777777" w:rsidR="000B31AB" w:rsidRDefault="000B31AB">
      <w:pPr>
        <w:spacing w:line="240" w:lineRule="auto"/>
      </w:pPr>
      <w:r>
        <w:separator/>
      </w:r>
    </w:p>
  </w:endnote>
  <w:endnote w:type="continuationSeparator" w:id="0">
    <w:p w14:paraId="7F92B4D0" w14:textId="77777777" w:rsidR="000B31AB" w:rsidRDefault="000B31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Bold r:id="rId1" w:fontKey="{326A7774-8122-4E5C-A9DE-0021A306D983}"/>
  </w:font>
  <w:font w:name="Calibri">
    <w:panose1 w:val="020F0502020204030204"/>
    <w:charset w:val="00"/>
    <w:family w:val="swiss"/>
    <w:pitch w:val="variable"/>
    <w:sig w:usb0="E4002EFF" w:usb1="C200247B" w:usb2="00000009" w:usb3="00000000" w:csb0="000001FF" w:csb1="00000000"/>
    <w:embedRegular r:id="rId2" w:fontKey="{E4E018D2-E9AE-43DA-A813-8C1C317B49E3}"/>
    <w:embedBold r:id="rId3" w:fontKey="{415ADD75-B2C0-4CE7-886D-5B04CB014D7D}"/>
  </w:font>
  <w:font w:name="Cambria">
    <w:panose1 w:val="02040503050406030204"/>
    <w:charset w:val="00"/>
    <w:family w:val="roman"/>
    <w:pitch w:val="variable"/>
    <w:sig w:usb0="E00006FF" w:usb1="420024FF" w:usb2="02000000" w:usb3="00000000" w:csb0="0000019F" w:csb1="00000000"/>
    <w:embedRegular r:id="rId4" w:fontKey="{34C20613-AA50-4779-AC8F-5B523287FE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C84F" w14:textId="77777777" w:rsidR="00C13B24" w:rsidRDefault="00000000">
    <w:pPr>
      <w:jc w:val="right"/>
    </w:pPr>
    <w:r>
      <w:fldChar w:fldCharType="begin"/>
    </w:r>
    <w:r>
      <w:instrText>PAGE</w:instrText>
    </w:r>
    <w:r>
      <w:fldChar w:fldCharType="separate"/>
    </w:r>
    <w:r w:rsidR="00305C5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08F7D" w14:textId="77777777" w:rsidR="00C13B24" w:rsidRDefault="00C13B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302BB" w14:textId="77777777" w:rsidR="000B31AB" w:rsidRDefault="000B31AB">
      <w:pPr>
        <w:spacing w:line="240" w:lineRule="auto"/>
      </w:pPr>
      <w:r>
        <w:separator/>
      </w:r>
    </w:p>
  </w:footnote>
  <w:footnote w:type="continuationSeparator" w:id="0">
    <w:p w14:paraId="14AB6270" w14:textId="77777777" w:rsidR="000B31AB" w:rsidRDefault="000B31AB">
      <w:pPr>
        <w:spacing w:line="240" w:lineRule="auto"/>
      </w:pPr>
      <w:r>
        <w:continuationSeparator/>
      </w:r>
    </w:p>
  </w:footnote>
  <w:footnote w:id="1">
    <w:p w14:paraId="25ADB92F" w14:textId="77777777" w:rsidR="00C13B24" w:rsidRDefault="00000000">
      <w:pPr>
        <w:spacing w:line="240" w:lineRule="auto"/>
        <w:rPr>
          <w:sz w:val="20"/>
          <w:szCs w:val="20"/>
        </w:rPr>
      </w:pPr>
      <w:r>
        <w:rPr>
          <w:vertAlign w:val="superscript"/>
        </w:rPr>
        <w:footnoteRef/>
      </w:r>
      <w:r>
        <w:rPr>
          <w:sz w:val="20"/>
          <w:szCs w:val="20"/>
        </w:rPr>
        <w:t xml:space="preserve"> https://tbinternet.ohchr.org/_layouts/15/treatybodyexternal/Download.aspx?symbolno=INT%2FCEDAW%2FICS%2FNLD%2F45043&amp;Lang=en</w:t>
      </w:r>
    </w:p>
  </w:footnote>
  <w:footnote w:id="2">
    <w:p w14:paraId="14A61233" w14:textId="77777777" w:rsidR="00C13B24" w:rsidRPr="00305C56" w:rsidRDefault="00000000">
      <w:pPr>
        <w:spacing w:line="240" w:lineRule="auto"/>
        <w:rPr>
          <w:sz w:val="20"/>
          <w:szCs w:val="20"/>
          <w:lang w:val="en-US"/>
        </w:rPr>
      </w:pPr>
      <w:r>
        <w:rPr>
          <w:vertAlign w:val="superscript"/>
        </w:rPr>
        <w:footnoteRef/>
      </w:r>
      <w:r w:rsidRPr="00305C56">
        <w:rPr>
          <w:sz w:val="20"/>
          <w:szCs w:val="20"/>
          <w:lang w:val="en-US"/>
        </w:rPr>
        <w:t xml:space="preserve"> General recommendation 35 clarifies that violence against women and harmful practices falls under art 1, 2 and 5 of the convention. The effects of non-consensual unnecessary medical interventions to change the sex characteristics of intersex children are comparable to the effects of female genital mutilation described in General Recommendation No. 31 Article 19.</w:t>
      </w:r>
    </w:p>
  </w:footnote>
  <w:footnote w:id="3">
    <w:p w14:paraId="4214E500" w14:textId="77777777" w:rsidR="00C13B24" w:rsidRDefault="00000000">
      <w:pPr>
        <w:spacing w:line="240" w:lineRule="auto"/>
        <w:rPr>
          <w:sz w:val="20"/>
          <w:szCs w:val="20"/>
        </w:rPr>
      </w:pPr>
      <w:r>
        <w:rPr>
          <w:vertAlign w:val="superscript"/>
        </w:rPr>
        <w:footnoteRef/>
      </w:r>
      <w:r>
        <w:rPr>
          <w:sz w:val="20"/>
          <w:szCs w:val="20"/>
        </w:rPr>
        <w:t xml:space="preserve"> Leemrijse, C.J. &amp; Van Dulmen, A.M. </w:t>
      </w:r>
      <w:hyperlink r:id="rId1">
        <w:r>
          <w:rPr>
            <w:color w:val="1155CC"/>
            <w:sz w:val="20"/>
            <w:szCs w:val="20"/>
            <w:u w:val="single"/>
          </w:rPr>
          <w:t>https://www.nivel.nl/sites/default/files/bestanden/1004271.pdf</w:t>
        </w:r>
      </w:hyperlink>
      <w:r>
        <w:rPr>
          <w:sz w:val="20"/>
          <w:szCs w:val="20"/>
        </w:rPr>
        <w:t xml:space="preserve">. </w:t>
      </w:r>
    </w:p>
  </w:footnote>
  <w:footnote w:id="4">
    <w:p w14:paraId="36A20CDD" w14:textId="77777777" w:rsidR="00C13B24" w:rsidRDefault="00000000">
      <w:pPr>
        <w:spacing w:line="240" w:lineRule="auto"/>
        <w:rPr>
          <w:sz w:val="16"/>
          <w:szCs w:val="16"/>
        </w:rPr>
      </w:pPr>
      <w:r>
        <w:rPr>
          <w:vertAlign w:val="superscript"/>
        </w:rPr>
        <w:footnoteRef/>
      </w:r>
      <w:r>
        <w:rPr>
          <w:sz w:val="20"/>
          <w:szCs w:val="20"/>
        </w:rPr>
        <w:t xml:space="preserve"> </w:t>
      </w:r>
      <w:r>
        <w:rPr>
          <w:sz w:val="20"/>
          <w:szCs w:val="20"/>
        </w:rPr>
        <w:t xml:space="preserve">ZonMw. </w:t>
      </w:r>
      <w:r>
        <w:rPr>
          <w:i/>
          <w:iCs/>
          <w:sz w:val="20"/>
          <w:szCs w:val="20"/>
        </w:rPr>
        <w:t>Het voorkomen van niet-noodzakelijke medische behandelingen bij jonge kinderen met DSD/intersekse: Verslag van het rondetafelgesprek.</w:t>
      </w:r>
      <w:r>
        <w:rPr>
          <w:sz w:val="20"/>
          <w:szCs w:val="20"/>
        </w:rPr>
        <w:t xml:space="preserve"> Den Haag, (september 2024).</w:t>
      </w:r>
      <w:hyperlink r:id="rId2">
        <w:r>
          <w:rPr>
            <w:sz w:val="20"/>
            <w:szCs w:val="20"/>
          </w:rPr>
          <w:t xml:space="preserve"> </w:t>
        </w:r>
      </w:hyperlink>
      <w:hyperlink r:id="rId3">
        <w:r>
          <w:rPr>
            <w:color w:val="467886"/>
            <w:sz w:val="20"/>
            <w:szCs w:val="20"/>
            <w:u w:val="single"/>
          </w:rPr>
          <w:t>https://www.zonmw.nl/sites/zonmw/files/2024-11/Verslag-rondetafelbijeenkomst-nnmb-s-def5.pdf</w:t>
        </w:r>
      </w:hyperlink>
      <w:r>
        <w:rPr>
          <w:sz w:val="20"/>
          <w:szCs w:val="20"/>
        </w:rPr>
        <w:t>.</w:t>
      </w:r>
    </w:p>
  </w:footnote>
  <w:footnote w:id="5">
    <w:p w14:paraId="01D4484A" w14:textId="77777777" w:rsidR="00C13B24" w:rsidRDefault="00000000">
      <w:pPr>
        <w:spacing w:line="240" w:lineRule="auto"/>
        <w:rPr>
          <w:sz w:val="20"/>
          <w:szCs w:val="20"/>
        </w:rPr>
      </w:pPr>
      <w:r>
        <w:rPr>
          <w:vertAlign w:val="superscript"/>
        </w:rPr>
        <w:footnoteRef/>
      </w:r>
      <w:r>
        <w:rPr>
          <w:sz w:val="20"/>
          <w:szCs w:val="20"/>
        </w:rPr>
        <w:t xml:space="preserve"> Movisie </w:t>
      </w:r>
      <w:r>
        <w:rPr>
          <w:sz w:val="20"/>
          <w:szCs w:val="20"/>
        </w:rPr>
        <w:t xml:space="preserve">(2024) Handreiking LHBTIQA+-emancipatie. Feiten en cijfers op een rij. </w:t>
      </w:r>
      <w:hyperlink r:id="rId4">
        <w:r>
          <w:rPr>
            <w:color w:val="1155CC"/>
            <w:sz w:val="20"/>
            <w:szCs w:val="20"/>
            <w:u w:val="single"/>
          </w:rPr>
          <w:t>https://www.movisie.nl/sites/movisie.nl/files/2024-01/handreiking-feiten-en-cijfers-lhbtiqa%2B-op-een-rij.pdf</w:t>
        </w:r>
      </w:hyperlink>
      <w:r>
        <w:rPr>
          <w:sz w:val="20"/>
          <w:szCs w:val="20"/>
        </w:rPr>
        <w:t xml:space="preserve"> </w:t>
      </w:r>
    </w:p>
  </w:footnote>
  <w:footnote w:id="6">
    <w:p w14:paraId="47E5F5BB" w14:textId="77777777" w:rsidR="00C13B24" w:rsidRDefault="00000000">
      <w:pPr>
        <w:spacing w:line="240" w:lineRule="auto"/>
        <w:rPr>
          <w:sz w:val="20"/>
          <w:szCs w:val="20"/>
        </w:rPr>
      </w:pPr>
      <w:r>
        <w:rPr>
          <w:vertAlign w:val="superscript"/>
        </w:rPr>
        <w:footnoteRef/>
      </w:r>
      <w:r>
        <w:rPr>
          <w:sz w:val="20"/>
          <w:szCs w:val="20"/>
        </w:rPr>
        <w:t xml:space="preserve"> Baneke, </w:t>
      </w:r>
      <w:r>
        <w:rPr>
          <w:sz w:val="20"/>
          <w:szCs w:val="20"/>
        </w:rPr>
        <w:t xml:space="preserve">I. (2024): Minder dan helft Amsterdamse jongeren zegt homoseksualiteit te accepteren, Trouw: </w:t>
      </w:r>
      <w:hyperlink r:id="rId5">
        <w:r>
          <w:rPr>
            <w:color w:val="1155CC"/>
            <w:sz w:val="20"/>
            <w:szCs w:val="20"/>
            <w:u w:val="single"/>
          </w:rPr>
          <w:t>https://www.trouw.nl/binnenland/minder-dan-helft-amsterdamse-jongeren-zegt-homoseksualiteit-te-accepteren~bf90b90d/</w:t>
        </w:r>
      </w:hyperlink>
      <w:r>
        <w:rPr>
          <w:sz w:val="20"/>
          <w:szCs w:val="20"/>
        </w:rPr>
        <w:t xml:space="preserve">. </w:t>
      </w:r>
    </w:p>
  </w:footnote>
  <w:footnote w:id="7">
    <w:p w14:paraId="5C10DF46" w14:textId="77777777" w:rsidR="00C13B24" w:rsidRDefault="00000000">
      <w:pPr>
        <w:spacing w:line="240" w:lineRule="auto"/>
        <w:rPr>
          <w:sz w:val="20"/>
          <w:szCs w:val="20"/>
        </w:rPr>
      </w:pPr>
      <w:r>
        <w:rPr>
          <w:vertAlign w:val="superscript"/>
        </w:rPr>
        <w:footnoteRef/>
      </w:r>
      <w:r>
        <w:rPr>
          <w:sz w:val="20"/>
          <w:szCs w:val="20"/>
        </w:rPr>
        <w:t xml:space="preserve"> Kleef, </w:t>
      </w:r>
      <w:r>
        <w:rPr>
          <w:sz w:val="20"/>
          <w:szCs w:val="20"/>
        </w:rPr>
        <w:t xml:space="preserve">N. van, Jak, L. &amp; Fiere, B. (2024): Discriminatiecijfers in 2023: Movisie &amp; Art. 1, </w:t>
      </w:r>
      <w:hyperlink r:id="rId6">
        <w:r>
          <w:rPr>
            <w:color w:val="1155CC"/>
            <w:sz w:val="20"/>
            <w:szCs w:val="20"/>
            <w:u w:val="single"/>
          </w:rPr>
          <w:t>https://www.tweedekamer.nl/downloads/document?id=2024D16621</w:t>
        </w:r>
      </w:hyperlink>
      <w:r>
        <w:rPr>
          <w:sz w:val="20"/>
          <w:szCs w:val="20"/>
        </w:rPr>
        <w:t xml:space="preserve">. </w:t>
      </w:r>
    </w:p>
  </w:footnote>
  <w:footnote w:id="8">
    <w:p w14:paraId="0E527732" w14:textId="77777777" w:rsidR="00C13B24" w:rsidRDefault="00000000">
      <w:pPr>
        <w:spacing w:line="240" w:lineRule="auto"/>
        <w:rPr>
          <w:sz w:val="20"/>
          <w:szCs w:val="20"/>
        </w:rPr>
      </w:pPr>
      <w:r>
        <w:rPr>
          <w:vertAlign w:val="superscript"/>
        </w:rPr>
        <w:footnoteRef/>
      </w:r>
      <w:r>
        <w:rPr>
          <w:sz w:val="20"/>
          <w:szCs w:val="20"/>
        </w:rPr>
        <w:t xml:space="preserve"> </w:t>
      </w:r>
      <w:r>
        <w:rPr>
          <w:sz w:val="20"/>
          <w:szCs w:val="20"/>
        </w:rPr>
        <w:t>Wachttijden Genderdysforie, https://www.amsterdamumc.nl/nl/genderdysforie/wachttijden.htm.</w:t>
      </w:r>
    </w:p>
  </w:footnote>
  <w:footnote w:id="9">
    <w:p w14:paraId="0CB368D2" w14:textId="77777777" w:rsidR="00C13B24" w:rsidRPr="00305C56" w:rsidRDefault="00000000">
      <w:pPr>
        <w:spacing w:line="240" w:lineRule="auto"/>
        <w:rPr>
          <w:sz w:val="20"/>
          <w:szCs w:val="20"/>
          <w:lang w:val="en-US"/>
        </w:rPr>
      </w:pPr>
      <w:r>
        <w:rPr>
          <w:vertAlign w:val="superscript"/>
        </w:rPr>
        <w:footnoteRef/>
      </w:r>
      <w:r w:rsidRPr="00305C56">
        <w:rPr>
          <w:sz w:val="20"/>
          <w:szCs w:val="20"/>
          <w:lang w:val="en-US"/>
        </w:rPr>
        <w:t xml:space="preserve"> Grift, Tim C. van de, et al., Waiting for transgender care and its effects on health and equality: a mixed-methods population study in the Netherlands, eClinicalMedicine, Volume 73, 102657, DOI: 10.1016/j.eclinm.2024.102657.</w:t>
      </w:r>
    </w:p>
  </w:footnote>
  <w:footnote w:id="10">
    <w:p w14:paraId="59C907D8" w14:textId="77777777" w:rsidR="00C13B24" w:rsidRDefault="00000000">
      <w:pPr>
        <w:spacing w:line="240" w:lineRule="auto"/>
        <w:rPr>
          <w:sz w:val="20"/>
          <w:szCs w:val="20"/>
        </w:rPr>
      </w:pPr>
      <w:r>
        <w:rPr>
          <w:vertAlign w:val="superscript"/>
        </w:rPr>
        <w:footnoteRef/>
      </w:r>
      <w:r w:rsidRPr="00305C56">
        <w:rPr>
          <w:sz w:val="20"/>
          <w:szCs w:val="20"/>
          <w:lang w:val="en-US"/>
        </w:rPr>
        <w:t xml:space="preserve"> Source: Cense, M. &amp; Marinus, M.A. </w:t>
      </w:r>
      <w:hyperlink r:id="rId7">
        <w:r>
          <w:rPr>
            <w:color w:val="1155CC"/>
            <w:sz w:val="20"/>
            <w:szCs w:val="20"/>
            <w:u w:val="single"/>
          </w:rPr>
          <w:t>https://www.seksediversiteit.nl/wp-content/uploads/2023/02/Seksuele-ontwikkeling-intersekse-jongeren-rapport.pdf</w:t>
        </w:r>
      </w:hyperlink>
      <w:r>
        <w:rPr>
          <w:sz w:val="20"/>
          <w:szCs w:val="20"/>
        </w:rPr>
        <w:t xml:space="preserve">. </w:t>
      </w:r>
    </w:p>
  </w:footnote>
  <w:footnote w:id="11">
    <w:p w14:paraId="103ED538" w14:textId="77777777" w:rsidR="00C13B24" w:rsidRPr="00305C56" w:rsidRDefault="00000000">
      <w:pPr>
        <w:spacing w:line="240" w:lineRule="auto"/>
        <w:rPr>
          <w:sz w:val="20"/>
          <w:szCs w:val="20"/>
          <w:lang w:val="en-US"/>
        </w:rPr>
      </w:pPr>
      <w:r>
        <w:rPr>
          <w:vertAlign w:val="superscript"/>
        </w:rPr>
        <w:footnoteRef/>
      </w:r>
      <w:r w:rsidRPr="00305C56">
        <w:rPr>
          <w:sz w:val="20"/>
          <w:szCs w:val="20"/>
          <w:lang w:val="en-US"/>
        </w:rPr>
        <w:t xml:space="preserve"> Marinus, Mir Abe and Myren, Britt. </w:t>
      </w:r>
      <w:r>
        <w:rPr>
          <w:i/>
          <w:iCs/>
          <w:sz w:val="20"/>
          <w:szCs w:val="20"/>
        </w:rPr>
        <w:t xml:space="preserve">Welke f*cking grenzen had ik nog moeten hebben: De impact van structureel geweld op de ervaring van seksueel geweld tegen intersekse personen. </w:t>
      </w:r>
      <w:r w:rsidRPr="00305C56">
        <w:rPr>
          <w:sz w:val="20"/>
          <w:szCs w:val="20"/>
          <w:lang w:val="en-US"/>
        </w:rPr>
        <w:t>Act4Respect-unlimited/Stichting NNID (Nijmegen/Amsterdam: 17 juli 2025)</w:t>
      </w:r>
    </w:p>
  </w:footnote>
  <w:footnote w:id="12">
    <w:p w14:paraId="55868076" w14:textId="77777777" w:rsidR="00C13B24" w:rsidRPr="00305C56" w:rsidRDefault="00000000">
      <w:pPr>
        <w:spacing w:line="240" w:lineRule="auto"/>
        <w:rPr>
          <w:sz w:val="20"/>
          <w:szCs w:val="20"/>
          <w:lang w:val="en-US"/>
        </w:rPr>
      </w:pPr>
      <w:r>
        <w:rPr>
          <w:vertAlign w:val="superscript"/>
        </w:rPr>
        <w:footnoteRef/>
      </w:r>
      <w:r w:rsidRPr="00305C56">
        <w:rPr>
          <w:sz w:val="20"/>
          <w:szCs w:val="20"/>
          <w:lang w:val="en-US"/>
        </w:rPr>
        <w:t xml:space="preserve"> </w:t>
      </w:r>
      <w:hyperlink r:id="rId8">
        <w:r w:rsidRPr="00305C56">
          <w:rPr>
            <w:color w:val="1155CC"/>
            <w:sz w:val="20"/>
            <w:szCs w:val="20"/>
            <w:u w:val="single"/>
            <w:lang w:val="en-US"/>
          </w:rPr>
          <w:t>https://www.europarl.europa.eu/RegData/etudes/STUD/2024/761478/IPOL_STU(2024)761478_EN.pdf</w:t>
        </w:r>
      </w:hyperlink>
      <w:r w:rsidRPr="00305C56">
        <w:rPr>
          <w:sz w:val="20"/>
          <w:szCs w:val="20"/>
          <w:lang w:val="en-US"/>
        </w:rPr>
        <w:t xml:space="preserve">. </w:t>
      </w:r>
    </w:p>
  </w:footnote>
  <w:footnote w:id="13">
    <w:p w14:paraId="23FB14C6" w14:textId="77777777" w:rsidR="00C13B24" w:rsidRDefault="00000000">
      <w:pPr>
        <w:spacing w:line="240" w:lineRule="auto"/>
        <w:rPr>
          <w:sz w:val="20"/>
          <w:szCs w:val="20"/>
        </w:rPr>
      </w:pPr>
      <w:r>
        <w:rPr>
          <w:vertAlign w:val="superscript"/>
        </w:rPr>
        <w:footnoteRef/>
      </w:r>
      <w:r w:rsidRPr="00305C56">
        <w:rPr>
          <w:sz w:val="20"/>
          <w:szCs w:val="20"/>
          <w:lang w:val="en-US"/>
        </w:rPr>
        <w:t xml:space="preserve"> Government Equalities Office. (2018). National LGBT survey: Research report. </w:t>
      </w:r>
      <w:hyperlink r:id="rId9">
        <w:r>
          <w:rPr>
            <w:color w:val="1155CC"/>
            <w:sz w:val="20"/>
            <w:szCs w:val="20"/>
            <w:u w:val="single"/>
          </w:rPr>
          <w:t>https://assets.publishing.service.gov.uk/government/uploads/system/uploads/attachment_data/file/721704/LGBT-survey-research-report.pdf</w:t>
        </w:r>
      </w:hyperlink>
      <w:r>
        <w:rPr>
          <w:sz w:val="20"/>
          <w:szCs w:val="20"/>
        </w:rPr>
        <w:t xml:space="preserve">  </w:t>
      </w:r>
    </w:p>
  </w:footnote>
  <w:footnote w:id="14">
    <w:p w14:paraId="7258A49A" w14:textId="77777777" w:rsidR="00C13B24" w:rsidRDefault="00000000">
      <w:pPr>
        <w:spacing w:line="240" w:lineRule="auto"/>
        <w:rPr>
          <w:sz w:val="20"/>
          <w:szCs w:val="20"/>
        </w:rPr>
      </w:pPr>
      <w:r>
        <w:rPr>
          <w:vertAlign w:val="superscript"/>
        </w:rPr>
        <w:footnoteRef/>
      </w:r>
      <w:r>
        <w:rPr>
          <w:sz w:val="20"/>
          <w:szCs w:val="20"/>
        </w:rPr>
        <w:t xml:space="preserve"> https://www.movisie.nl/sites/movisie.nl/files/2022-10/Handreiking%2010x%20vragen%20en%20antwoord%20over%20aseksualiteit.pdf</w:t>
      </w:r>
    </w:p>
  </w:footnote>
  <w:footnote w:id="15">
    <w:p w14:paraId="4DAF9C62" w14:textId="77777777" w:rsidR="00C13B24" w:rsidRDefault="00000000">
      <w:pPr>
        <w:spacing w:line="240" w:lineRule="auto"/>
        <w:rPr>
          <w:sz w:val="20"/>
          <w:szCs w:val="20"/>
        </w:rPr>
      </w:pPr>
      <w:r>
        <w:rPr>
          <w:vertAlign w:val="superscript"/>
        </w:rPr>
        <w:footnoteRef/>
      </w:r>
      <w:r>
        <w:rPr>
          <w:sz w:val="20"/>
          <w:szCs w:val="20"/>
        </w:rPr>
        <w:t>https://rutgers.nl/onderzoeken/aseksualiteit-als-norm/</w:t>
      </w:r>
    </w:p>
  </w:footnote>
  <w:footnote w:id="16">
    <w:p w14:paraId="650F3FEE" w14:textId="77777777" w:rsidR="00C13B24" w:rsidRDefault="00000000">
      <w:pPr>
        <w:spacing w:line="240" w:lineRule="auto"/>
        <w:rPr>
          <w:sz w:val="20"/>
          <w:szCs w:val="20"/>
        </w:rPr>
      </w:pPr>
      <w:r>
        <w:rPr>
          <w:vertAlign w:val="superscript"/>
        </w:rPr>
        <w:footnoteRef/>
      </w:r>
      <w:r>
        <w:rPr>
          <w:sz w:val="20"/>
          <w:szCs w:val="20"/>
        </w:rPr>
        <w:t xml:space="preserve"> </w:t>
      </w:r>
      <w:r>
        <w:rPr>
          <w:sz w:val="20"/>
          <w:szCs w:val="20"/>
        </w:rPr>
        <w:t>Huijnk, W. en G. van Beusekom (2021). Wat maakt het verschil? Over het welzijn, de sociale relaties en de leefstijl van lesbische, homoseksuele en biseksuele jongeren. Den Haag: Sociaal en Cultureel Planbureau.</w:t>
      </w:r>
    </w:p>
  </w:footnote>
  <w:footnote w:id="17">
    <w:p w14:paraId="15146F9F" w14:textId="77777777" w:rsidR="00C13B24" w:rsidRDefault="00000000">
      <w:pPr>
        <w:spacing w:line="240" w:lineRule="auto"/>
        <w:rPr>
          <w:sz w:val="20"/>
          <w:szCs w:val="20"/>
        </w:rPr>
      </w:pPr>
      <w:r>
        <w:rPr>
          <w:vertAlign w:val="superscript"/>
        </w:rPr>
        <w:footnoteRef/>
      </w:r>
      <w:r>
        <w:rPr>
          <w:sz w:val="20"/>
          <w:szCs w:val="20"/>
        </w:rPr>
        <w:t xml:space="preserve"> ResearchNed </w:t>
      </w:r>
      <w:r>
        <w:rPr>
          <w:sz w:val="20"/>
          <w:szCs w:val="20"/>
        </w:rPr>
        <w:t>(2022). Veilig op school. Landelijke veiligheidsmonitor 2020-2021. Veiligheidsbeleid en veiligheidsbeleving in het primair en voortgezet onderwijs. Nijmegen: ResearchNed.</w:t>
      </w:r>
    </w:p>
  </w:footnote>
  <w:footnote w:id="18">
    <w:p w14:paraId="4C0AD84A" w14:textId="77777777" w:rsidR="00C13B24" w:rsidRDefault="00000000">
      <w:pPr>
        <w:spacing w:line="240" w:lineRule="auto"/>
        <w:rPr>
          <w:sz w:val="20"/>
          <w:szCs w:val="20"/>
        </w:rPr>
      </w:pPr>
      <w:r>
        <w:rPr>
          <w:vertAlign w:val="superscript"/>
        </w:rPr>
        <w:footnoteRef/>
      </w:r>
      <w:r>
        <w:rPr>
          <w:sz w:val="20"/>
          <w:szCs w:val="20"/>
        </w:rPr>
        <w:t xml:space="preserve"> Beusekom, </w:t>
      </w:r>
      <w:r>
        <w:rPr>
          <w:sz w:val="20"/>
          <w:szCs w:val="20"/>
        </w:rPr>
        <w:t>G. van en L. Kuyper (2018). lhbt-monitor 2018. De leefsituatie van lesbische, homoseksuele, biseksuele en transgender personen in Nederland. Den Haag: Sociaal en Cultureel Planbureau.</w:t>
      </w:r>
    </w:p>
  </w:footnote>
  <w:footnote w:id="19">
    <w:p w14:paraId="57186B32" w14:textId="77777777" w:rsidR="00C13B24" w:rsidRPr="00305C56" w:rsidRDefault="00000000">
      <w:pPr>
        <w:spacing w:line="240" w:lineRule="auto"/>
        <w:rPr>
          <w:sz w:val="20"/>
          <w:szCs w:val="20"/>
          <w:lang w:val="en-US"/>
        </w:rPr>
      </w:pPr>
      <w:r>
        <w:rPr>
          <w:vertAlign w:val="superscript"/>
        </w:rPr>
        <w:footnoteRef/>
      </w:r>
      <w:r>
        <w:rPr>
          <w:sz w:val="20"/>
          <w:szCs w:val="20"/>
        </w:rPr>
        <w:t xml:space="preserve"> Falhammar </w:t>
      </w:r>
      <w:r>
        <w:rPr>
          <w:sz w:val="20"/>
          <w:szCs w:val="20"/>
        </w:rPr>
        <w:t xml:space="preserve">H, Claahsen-van der Grinten HL, Reisch N, Slowikowska-Hilczer J, Nordenstrom A, Roehle R, et al. </w:t>
      </w:r>
      <w:r w:rsidRPr="00305C56">
        <w:rPr>
          <w:sz w:val="20"/>
          <w:szCs w:val="20"/>
          <w:lang w:val="en-US"/>
        </w:rPr>
        <w:t>(2019) Health status in 1040 adults with</w:t>
      </w:r>
    </w:p>
    <w:p w14:paraId="5ED52E9C" w14:textId="77777777" w:rsidR="00C13B24" w:rsidRPr="00305C56" w:rsidRDefault="00000000">
      <w:pPr>
        <w:spacing w:line="240" w:lineRule="auto"/>
        <w:rPr>
          <w:sz w:val="20"/>
          <w:szCs w:val="20"/>
          <w:lang w:val="en-US"/>
        </w:rPr>
      </w:pPr>
      <w:r w:rsidRPr="00305C56">
        <w:rPr>
          <w:sz w:val="20"/>
          <w:szCs w:val="20"/>
          <w:lang w:val="en-US"/>
        </w:rPr>
        <w:t>disorders of sex development (DSD): a European multicenter study. Endocrine Connections.</w:t>
      </w:r>
    </w:p>
    <w:p w14:paraId="336A0185" w14:textId="77777777" w:rsidR="00C13B24" w:rsidRPr="00305C56" w:rsidRDefault="00000000">
      <w:pPr>
        <w:spacing w:line="240" w:lineRule="auto"/>
        <w:rPr>
          <w:sz w:val="20"/>
          <w:szCs w:val="20"/>
          <w:lang w:val="en-US"/>
        </w:rPr>
      </w:pPr>
      <w:hyperlink r:id="rId10">
        <w:r w:rsidRPr="00305C56">
          <w:rPr>
            <w:color w:val="1155CC"/>
            <w:sz w:val="20"/>
            <w:szCs w:val="20"/>
            <w:u w:val="single"/>
            <w:lang w:val="en-US"/>
          </w:rPr>
          <w:t>https://doi.org/10.1530/ec-18-00</w:t>
        </w:r>
      </w:hyperlink>
      <w:r w:rsidRPr="00305C56">
        <w:rPr>
          <w:sz w:val="20"/>
          <w:szCs w:val="20"/>
          <w:lang w:val="en-US"/>
        </w:rPr>
        <w:t xml:space="preserve">, </w:t>
      </w:r>
    </w:p>
  </w:footnote>
  <w:footnote w:id="20">
    <w:p w14:paraId="04C925E9" w14:textId="77777777" w:rsidR="00C13B24" w:rsidRPr="00305C56" w:rsidRDefault="00000000">
      <w:pPr>
        <w:spacing w:line="240" w:lineRule="auto"/>
        <w:rPr>
          <w:sz w:val="20"/>
          <w:szCs w:val="20"/>
          <w:lang w:val="en-US"/>
        </w:rPr>
      </w:pPr>
      <w:r>
        <w:rPr>
          <w:vertAlign w:val="superscript"/>
        </w:rPr>
        <w:footnoteRef/>
      </w:r>
      <w:r w:rsidRPr="00305C56">
        <w:rPr>
          <w:sz w:val="20"/>
          <w:szCs w:val="20"/>
          <w:lang w:val="en-US"/>
        </w:rPr>
        <w:t xml:space="preserve"> https://coc.nl/blog/2022/05/27/coc-wil-snel-einde-aan-afwijzing-van-lhbti-personen-door-scholen/</w:t>
      </w:r>
    </w:p>
  </w:footnote>
  <w:footnote w:id="21">
    <w:p w14:paraId="33BFFFE9" w14:textId="77777777" w:rsidR="00C13B24" w:rsidRPr="00305C56" w:rsidRDefault="00000000">
      <w:pPr>
        <w:spacing w:line="240" w:lineRule="auto"/>
        <w:rPr>
          <w:sz w:val="20"/>
          <w:szCs w:val="20"/>
          <w:lang w:val="en-US"/>
        </w:rPr>
      </w:pPr>
      <w:r>
        <w:rPr>
          <w:vertAlign w:val="superscript"/>
        </w:rPr>
        <w:footnoteRef/>
      </w:r>
      <w:r w:rsidRPr="00305C56">
        <w:rPr>
          <w:sz w:val="20"/>
          <w:szCs w:val="20"/>
          <w:lang w:val="en-US"/>
        </w:rPr>
        <w:t xml:space="preserve"> </w:t>
      </w:r>
      <w:hyperlink r:id="rId11">
        <w:r w:rsidRPr="00305C56">
          <w:rPr>
            <w:color w:val="1155CC"/>
            <w:sz w:val="20"/>
            <w:szCs w:val="20"/>
            <w:u w:val="single"/>
            <w:lang w:val="en-US"/>
          </w:rPr>
          <w:t>https://www.nrc.nl/nieuws/2021/03/26/school-duwt-kinderen-ongevraagd-uit-de-kast-a4037387</w:t>
        </w:r>
      </w:hyperlink>
      <w:r w:rsidRPr="00305C56">
        <w:rPr>
          <w:sz w:val="20"/>
          <w:szCs w:val="20"/>
          <w:lang w:val="en-US"/>
        </w:rPr>
        <w:t xml:space="preserve">. </w:t>
      </w:r>
    </w:p>
  </w:footnote>
  <w:footnote w:id="22">
    <w:p w14:paraId="67C9642F" w14:textId="77777777" w:rsidR="00C13B24" w:rsidRPr="00305C56" w:rsidRDefault="00000000">
      <w:pPr>
        <w:spacing w:line="240" w:lineRule="auto"/>
        <w:rPr>
          <w:sz w:val="20"/>
          <w:szCs w:val="20"/>
          <w:lang w:val="en-US"/>
        </w:rPr>
      </w:pPr>
      <w:r>
        <w:rPr>
          <w:vertAlign w:val="superscript"/>
        </w:rPr>
        <w:footnoteRef/>
      </w:r>
      <w:r>
        <w:rPr>
          <w:sz w:val="20"/>
          <w:szCs w:val="20"/>
        </w:rPr>
        <w:t xml:space="preserve"> Kaufman, T. M. L., &amp; Baams, L. (2022). </w:t>
      </w:r>
      <w:r w:rsidRPr="00305C56">
        <w:rPr>
          <w:sz w:val="20"/>
          <w:szCs w:val="20"/>
          <w:lang w:val="en-US"/>
        </w:rPr>
        <w:t xml:space="preserve">Disparities in Perpetrators, Locations, and Reports of Victimization for Sexual and Gender Minority Adolescents. Journal of Adolescent Health, 70(1), 99-107. </w:t>
      </w:r>
      <w:hyperlink r:id="rId12">
        <w:r w:rsidRPr="00305C56">
          <w:rPr>
            <w:color w:val="1155CC"/>
            <w:sz w:val="20"/>
            <w:szCs w:val="20"/>
            <w:u w:val="single"/>
            <w:lang w:val="en-US"/>
          </w:rPr>
          <w:t>https://doi.org/10.1016/j.jadohealth.2021.06.024</w:t>
        </w:r>
      </w:hyperlink>
      <w:r w:rsidRPr="00305C56">
        <w:rPr>
          <w:sz w:val="20"/>
          <w:szCs w:val="20"/>
          <w:lang w:val="en-US"/>
        </w:rPr>
        <w:t xml:space="preserve">. </w:t>
      </w:r>
    </w:p>
  </w:footnote>
  <w:footnote w:id="23">
    <w:p w14:paraId="34155769" w14:textId="77777777" w:rsidR="00C13B24" w:rsidRPr="00305C56" w:rsidRDefault="00000000">
      <w:pPr>
        <w:spacing w:line="240" w:lineRule="auto"/>
        <w:rPr>
          <w:sz w:val="20"/>
          <w:szCs w:val="20"/>
          <w:lang w:val="en-US"/>
        </w:rPr>
      </w:pPr>
      <w:r>
        <w:rPr>
          <w:vertAlign w:val="superscript"/>
        </w:rPr>
        <w:footnoteRef/>
      </w:r>
      <w:r w:rsidRPr="00305C56">
        <w:rPr>
          <w:sz w:val="20"/>
          <w:szCs w:val="20"/>
          <w:lang w:val="en-US"/>
        </w:rPr>
        <w:t xml:space="preserve"> </w:t>
      </w:r>
      <w:hyperlink r:id="rId13">
        <w:r w:rsidRPr="00305C56">
          <w:rPr>
            <w:color w:val="1155CC"/>
            <w:sz w:val="20"/>
            <w:szCs w:val="20"/>
            <w:u w:val="single"/>
            <w:lang w:val="en-US"/>
          </w:rPr>
          <w:t>https://www.transgendernetwerk.nl/nieuws/transgender-en-intersekse-personen-nu-wettelijk-beschermd-tegen-discriminatie/</w:t>
        </w:r>
      </w:hyperlink>
      <w:r w:rsidRPr="00305C56">
        <w:rPr>
          <w:sz w:val="20"/>
          <w:szCs w:val="20"/>
          <w:lang w:val="en-US"/>
        </w:rPr>
        <w:t xml:space="preserve">. </w:t>
      </w:r>
    </w:p>
  </w:footnote>
  <w:footnote w:id="24">
    <w:p w14:paraId="31C7260C" w14:textId="77777777" w:rsidR="00C13B24" w:rsidRDefault="00000000">
      <w:pPr>
        <w:spacing w:line="240" w:lineRule="auto"/>
        <w:rPr>
          <w:sz w:val="20"/>
          <w:szCs w:val="20"/>
        </w:rPr>
      </w:pPr>
      <w:r>
        <w:rPr>
          <w:vertAlign w:val="superscript"/>
        </w:rPr>
        <w:footnoteRef/>
      </w:r>
      <w:r>
        <w:rPr>
          <w:sz w:val="20"/>
          <w:szCs w:val="20"/>
        </w:rPr>
        <w:t xml:space="preserve"> Freya Terpstra, Lis Dekkers, Sophie Schers, Sander Dekker (2022), Trans, intersekse en non-binaire mensen aan het werk in Nederland: Een nationaal rapport, Amsterdam: Transgender Netwerk Nederland, </w:t>
      </w:r>
      <w:hyperlink r:id="rId14">
        <w:r>
          <w:rPr>
            <w:color w:val="1155CC"/>
            <w:sz w:val="20"/>
            <w:szCs w:val="20"/>
            <w:u w:val="single"/>
          </w:rPr>
          <w:t>https://www.transgendernetwerk.nl/wp-content/uploads/2023/01/Inclusion4All-Nationaal-rapport-Transgender-Netwerk.pdf</w:t>
        </w:r>
      </w:hyperlink>
      <w:r>
        <w:rPr>
          <w:sz w:val="20"/>
          <w:szCs w:val="20"/>
        </w:rPr>
        <w:t xml:space="preserve">. </w:t>
      </w:r>
    </w:p>
  </w:footnote>
  <w:footnote w:id="25">
    <w:p w14:paraId="400B581A" w14:textId="77777777" w:rsidR="00C13B24" w:rsidRDefault="00000000">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https://www.transgendernetwerk.nl/nieuws/uitstel-wettelijk-transitieverlof-laat-trans-werknemers-en-mkbs-in-de-kou-staan/</w:t>
        </w:r>
      </w:hyperlink>
      <w:r>
        <w:rPr>
          <w:sz w:val="20"/>
          <w:szCs w:val="20"/>
        </w:rPr>
        <w:t xml:space="preserve">, </w:t>
      </w:r>
    </w:p>
  </w:footnote>
  <w:footnote w:id="26">
    <w:p w14:paraId="0E3FAAB3" w14:textId="77777777" w:rsidR="00C13B24" w:rsidRDefault="00000000">
      <w:pPr>
        <w:spacing w:line="240" w:lineRule="auto"/>
        <w:rPr>
          <w:sz w:val="20"/>
          <w:szCs w:val="20"/>
        </w:rPr>
      </w:pPr>
      <w:r>
        <w:rPr>
          <w:vertAlign w:val="superscript"/>
        </w:rPr>
        <w:footnoteRef/>
      </w:r>
      <w:r>
        <w:rPr>
          <w:sz w:val="20"/>
          <w:szCs w:val="20"/>
        </w:rPr>
        <w:t xml:space="preserve"> Buizer, </w:t>
      </w:r>
      <w:r>
        <w:rPr>
          <w:sz w:val="20"/>
          <w:szCs w:val="20"/>
        </w:rPr>
        <w:t xml:space="preserve">I., Hermen, D., Toorn, J. van der, &amp; Lisdonk, J. van. (2023). Verkenning bi+ mensen en werk. Universiteit Leiden. </w:t>
      </w:r>
    </w:p>
  </w:footnote>
  <w:footnote w:id="27">
    <w:p w14:paraId="3B8452EB" w14:textId="77777777" w:rsidR="00C13B24"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highlight w:val="white"/>
        </w:rPr>
        <w:t xml:space="preserve">Kleef, </w:t>
      </w:r>
      <w:r>
        <w:rPr>
          <w:rFonts w:ascii="Calibri" w:eastAsia="Calibri" w:hAnsi="Calibri" w:cs="Calibri"/>
          <w:highlight w:val="white"/>
        </w:rPr>
        <w:t xml:space="preserve">N. van., Lisdonk, J. van, &amp; Hermsen, D. (2022). 10 vragen over bi+. Handreiking. Movisie. </w:t>
      </w:r>
    </w:p>
  </w:footnote>
  <w:footnote w:id="28">
    <w:p w14:paraId="5E6DDC8F" w14:textId="77777777" w:rsidR="00C13B24" w:rsidRDefault="00000000">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Pr>
          <w:t>https://vizieroost.nl/wp-content/uploads/2023/10/Welzijnsmonitor-LHBTIQA-2023-Gelderland-en-Overijssel.pdf</w:t>
        </w:r>
      </w:hyperlink>
      <w:r>
        <w:rPr>
          <w:sz w:val="20"/>
          <w:szCs w:val="20"/>
        </w:rPr>
        <w:t xml:space="preserve"> </w:t>
      </w:r>
    </w:p>
  </w:footnote>
  <w:footnote w:id="29">
    <w:p w14:paraId="37B335F6" w14:textId="77777777" w:rsidR="00C13B24" w:rsidRDefault="00000000">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https://www.njb.nl/nieuws/kritiek-autoriteit-persoonsgegevens-op-wetsvoorstel-registratie-sekswerkers</w:t>
        </w:r>
      </w:hyperlink>
      <w:r>
        <w:rPr>
          <w:sz w:val="20"/>
          <w:szCs w:val="20"/>
        </w:rPr>
        <w:t xml:space="preserve"> </w:t>
      </w:r>
    </w:p>
  </w:footnote>
  <w:footnote w:id="30">
    <w:p w14:paraId="7129FA4D" w14:textId="77777777" w:rsidR="00C13B24" w:rsidRDefault="00000000">
      <w:pPr>
        <w:spacing w:line="240" w:lineRule="auto"/>
        <w:rPr>
          <w:sz w:val="20"/>
          <w:szCs w:val="20"/>
        </w:rPr>
      </w:pPr>
      <w:r>
        <w:rPr>
          <w:vertAlign w:val="superscript"/>
        </w:rPr>
        <w:footnoteRef/>
      </w:r>
      <w:r>
        <w:rPr>
          <w:sz w:val="20"/>
          <w:szCs w:val="20"/>
        </w:rPr>
        <w:t xml:space="preserve"> Verdegem, </w:t>
      </w:r>
      <w:r>
        <w:rPr>
          <w:sz w:val="20"/>
          <w:szCs w:val="20"/>
        </w:rPr>
        <w:t xml:space="preserve">R. (2023), February 27, 2023, Reactie Transgender Netwerk Nederland op de internetconsultatie Wet gemeentelijk toezicht seksbedrijven (Wgts), </w:t>
      </w:r>
      <w:hyperlink r:id="rId18">
        <w:r>
          <w:rPr>
            <w:color w:val="1155CC"/>
            <w:sz w:val="20"/>
            <w:szCs w:val="20"/>
            <w:u w:val="single"/>
          </w:rPr>
          <w:t>https://www.transgendernetwerk.nl/wp-content/uploads/2023/04/Reactie-Transgender-Netwerk-Nederland-op-de-internetconsultatie-Wet-gemeentelijk-toezicht-seksbedrijven-1.pdf</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356D"/>
    <w:multiLevelType w:val="multilevel"/>
    <w:tmpl w:val="AD7603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0A42D88"/>
    <w:multiLevelType w:val="multilevel"/>
    <w:tmpl w:val="D9BC98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5CC5350"/>
    <w:multiLevelType w:val="multilevel"/>
    <w:tmpl w:val="BD227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58321517">
    <w:abstractNumId w:val="2"/>
  </w:num>
  <w:num w:numId="2" w16cid:durableId="1533492954">
    <w:abstractNumId w:val="0"/>
  </w:num>
  <w:num w:numId="3" w16cid:durableId="2094352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B24"/>
    <w:rsid w:val="000B31AB"/>
    <w:rsid w:val="00305C56"/>
    <w:rsid w:val="0069479C"/>
    <w:rsid w:val="00C13B24"/>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60221"/>
  <w15:docId w15:val="{CEE3A4A2-13D2-4F76-83A0-53878737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nl" w:eastAsia="en-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europarl.europa.eu/RegData/etudes/STUD/2024/761478/IPOL_STU(2024)761478_EN.pdf" TargetMode="External"/><Relationship Id="rId13" Type="http://schemas.openxmlformats.org/officeDocument/2006/relationships/hyperlink" Target="https://www.transgendernetwerk.nl/nieuws/transgender-en-intersekse-personen-nu-wettelijk-beschermd-tegen-discriminatie/" TargetMode="External"/><Relationship Id="rId18" Type="http://schemas.openxmlformats.org/officeDocument/2006/relationships/hyperlink" Target="https://www.transgendernetwerk.nl/wp-content/uploads/2023/04/Reactie-Transgender-Netwerk-Nederland-op-de-internetconsultatie-Wet-gemeentelijk-toezicht-seksbedrijven-1.pdf" TargetMode="External"/><Relationship Id="rId3" Type="http://schemas.openxmlformats.org/officeDocument/2006/relationships/hyperlink" Target="https://www.zonmw.nl/sites/zonmw/files/2024-11/Verslag-rondetafelbijeenkomst-nnmb-s-def5.pdf" TargetMode="External"/><Relationship Id="rId7" Type="http://schemas.openxmlformats.org/officeDocument/2006/relationships/hyperlink" Target="https://www.seksediversiteit.nl/wp-content/uploads/2023/02/Seksuele-ontwikkeling-intersekse-jongeren-rapport.pdf" TargetMode="External"/><Relationship Id="rId12" Type="http://schemas.openxmlformats.org/officeDocument/2006/relationships/hyperlink" Target="https://doi.org/10.1016/j.jadohealth.2021.06.024" TargetMode="External"/><Relationship Id="rId17" Type="http://schemas.openxmlformats.org/officeDocument/2006/relationships/hyperlink" Target="https://www.njb.nl/nieuws/kritiek-autoriteit-persoonsgegevens-op-wetsvoorstel-registratie-sekswerkers" TargetMode="External"/><Relationship Id="rId2" Type="http://schemas.openxmlformats.org/officeDocument/2006/relationships/hyperlink" Target="https://www.zonmw.nl/sites/zonmw/files/2024-11/Verslag-rondetafelbijeenkomst-nnmb-s-def5.pdf" TargetMode="External"/><Relationship Id="rId16" Type="http://schemas.openxmlformats.org/officeDocument/2006/relationships/hyperlink" Target="https://vizieroost.nl/wp-content/uploads/2023/10/Welzijnsmonitor-LHBTIQA-2023-Gelderland-en-Overijssel.pdf" TargetMode="External"/><Relationship Id="rId1" Type="http://schemas.openxmlformats.org/officeDocument/2006/relationships/hyperlink" Target="https://www.nivel.nl/sites/default/files/bestanden/1004271.pdf" TargetMode="External"/><Relationship Id="rId6" Type="http://schemas.openxmlformats.org/officeDocument/2006/relationships/hyperlink" Target="https://www.tweedekamer.nl/downloads/document?id=2024D16621" TargetMode="External"/><Relationship Id="rId11" Type="http://schemas.openxmlformats.org/officeDocument/2006/relationships/hyperlink" Target="https://www.nrc.nl/nieuws/2021/03/26/school-duwt-kinderen-ongevraagd-uit-de-kast-a4037387" TargetMode="External"/><Relationship Id="rId5" Type="http://schemas.openxmlformats.org/officeDocument/2006/relationships/hyperlink" Target="https://www.trouw.nl/binnenland/minder-dan-helft-amsterdamse-jongeren-zegt-homoseksualiteit-te-accepteren~bf90b90d/" TargetMode="External"/><Relationship Id="rId15" Type="http://schemas.openxmlformats.org/officeDocument/2006/relationships/hyperlink" Target="https://www.transgendernetwerk.nl/nieuws/uitstel-wettelijk-transitieverlof-laat-trans-werknemers-en-mkbs-in-de-kou-staan/" TargetMode="External"/><Relationship Id="rId10" Type="http://schemas.openxmlformats.org/officeDocument/2006/relationships/hyperlink" Target="https://doi.org/10.1530/ec-18-00" TargetMode="External"/><Relationship Id="rId4" Type="http://schemas.openxmlformats.org/officeDocument/2006/relationships/hyperlink" Target="https://www.movisie.nl/sites/movisie.nl/files/2024-01/handreiking-feiten-en-cijfers-lhbtiqa%2B-op-een-rij.pdf" TargetMode="External"/><Relationship Id="rId9" Type="http://schemas.openxmlformats.org/officeDocument/2006/relationships/hyperlink" Target="https://assets.publishing.service.gov.uk/government/uploads/system/uploads/attachment_data/file/721704/LGBT-survey-research-report.pdf" TargetMode="External"/><Relationship Id="rId14" Type="http://schemas.openxmlformats.org/officeDocument/2006/relationships/hyperlink" Target="https://www.transgendernetwerk.nl/wp-content/uploads/2023/01/Inclusion4All-Nationaal-rapport-Transgender-Netwe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3375</Words>
  <Characters>19240</Characters>
  <Application>Microsoft Office Word</Application>
  <DocSecurity>0</DocSecurity>
  <Lines>160</Lines>
  <Paragraphs>45</Paragraphs>
  <ScaleCrop>false</ScaleCrop>
  <Company/>
  <LinksUpToDate>false</LinksUpToDate>
  <CharactersWithSpaces>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Freek Janssens</cp:lastModifiedBy>
  <cp:revision>2</cp:revision>
  <dcterms:created xsi:type="dcterms:W3CDTF">2025-12-16T08:55:00Z</dcterms:created>
  <dcterms:modified xsi:type="dcterms:W3CDTF">2025-12-16T08:56:00Z</dcterms:modified>
</cp:coreProperties>
</file>