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00747" w14:textId="5241EB7C" w:rsidR="001A11BE" w:rsidRDefault="001A11BE" w:rsidP="001A11BE">
      <w:pPr>
        <w:pBdr>
          <w:bottom w:val="single" w:sz="18" w:space="1" w:color="auto"/>
        </w:pBdr>
        <w:jc w:val="center"/>
        <w:rPr>
          <w:rFonts w:asciiTheme="majorBidi" w:hAnsiTheme="majorBidi" w:cstheme="majorBidi"/>
          <w:b/>
          <w:bCs/>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11BE">
        <w:rPr>
          <w:rFonts w:asciiTheme="majorBidi" w:hAnsiTheme="majorBidi" w:cstheme="majorBidi"/>
          <w:b/>
          <w:bCs/>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Maat for Peace, Development, and Human Rights' Report to the Committee on Economic, Social, and Cultural Rights concerning </w:t>
      </w:r>
      <w:r w:rsidRPr="001A11BE">
        <w:rPr>
          <w:rFonts w:asciiTheme="majorBidi" w:hAnsiTheme="majorBidi" w:cstheme="majorBidi"/>
          <w:b/>
          <w:bCs/>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Netherlands</w:t>
      </w:r>
    </w:p>
    <w:p w14:paraId="3904F935" w14:textId="3E0681D2" w:rsidR="001A11BE" w:rsidRPr="001A11BE" w:rsidRDefault="001A11BE" w:rsidP="001A11BE">
      <w:pPr>
        <w:pBdr>
          <w:bottom w:val="single" w:sz="18" w:space="1" w:color="auto"/>
        </w:pBdr>
        <w:jc w:val="center"/>
        <w:rPr>
          <w:rFonts w:asciiTheme="majorBidi" w:hAnsiTheme="majorBidi" w:cstheme="majorBidi"/>
          <w:b/>
          <w:bCs/>
          <w:color w:val="2F5496" w:themeColor="accent5"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11BE">
        <w:rPr>
          <w:rFonts w:asciiTheme="majorBidi" w:hAnsiTheme="majorBidi" w:cstheme="majorBidi"/>
          <w:b/>
          <w:bCs/>
          <w:color w:val="C45911" w:themeColor="accent2"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August 2025</w:t>
      </w:r>
    </w:p>
    <w:p w14:paraId="4994A190" w14:textId="658AC417" w:rsidR="004A7201" w:rsidRDefault="001A11BE" w:rsidP="001A11BE">
      <w:pPr>
        <w:jc w:val="both"/>
        <w:rPr>
          <w:rFonts w:asciiTheme="majorBidi" w:hAnsiTheme="majorBidi" w:cstheme="majorBidi"/>
          <w:sz w:val="24"/>
          <w:szCs w:val="24"/>
        </w:rPr>
      </w:pPr>
      <w:r w:rsidRPr="001A11BE">
        <w:rPr>
          <w:rFonts w:asciiTheme="majorBidi" w:hAnsiTheme="majorBidi" w:cstheme="majorBidi"/>
          <w:sz w:val="24"/>
          <w:szCs w:val="24"/>
        </w:rPr>
        <w:t>Maat for Peace, Development, and Human Rights submits this report to the Committee on Economic, Social, and Cultural Rights</w:t>
      </w:r>
      <w:r>
        <w:rPr>
          <w:rFonts w:asciiTheme="majorBidi" w:hAnsiTheme="majorBidi" w:cstheme="majorBidi"/>
          <w:sz w:val="24"/>
          <w:szCs w:val="24"/>
        </w:rPr>
        <w:t xml:space="preserve"> </w:t>
      </w:r>
      <w:r w:rsidRPr="001A11BE">
        <w:rPr>
          <w:rFonts w:asciiTheme="majorBidi" w:hAnsiTheme="majorBidi" w:cstheme="majorBidi"/>
          <w:sz w:val="24"/>
          <w:szCs w:val="24"/>
        </w:rPr>
        <w:t>as part of its monitoring of the Netherlands' compliance with the provisions of the International Covenant on Economic, Social, and Cultural Rights. This report aims to provide the Committee with documented information, up-to-date statistics, and analysis related to the Kingdom of the Netherlands' level of commitment to implementing several core articles of the Covenant, by analyzing its compliance with several articles of the International Covenant on Economic, Social, and Cultural Rights.</w:t>
      </w:r>
    </w:p>
    <w:p w14:paraId="080D7BA4" w14:textId="478BE4D3" w:rsidR="001A11BE" w:rsidRPr="001A11BE" w:rsidRDefault="001A11BE" w:rsidP="001A11BE">
      <w:pPr>
        <w:pStyle w:val="ListParagraph"/>
        <w:numPr>
          <w:ilvl w:val="0"/>
          <w:numId w:val="45"/>
        </w:numPr>
        <w:jc w:val="both"/>
        <w:rPr>
          <w:rFonts w:asciiTheme="majorBidi" w:hAnsiTheme="majorBidi" w:cstheme="majorBidi"/>
          <w:b/>
          <w:bCs/>
          <w:color w:val="C45911" w:themeColor="accent2" w:themeShade="BF"/>
          <w:sz w:val="28"/>
          <w:szCs w:val="28"/>
        </w:rPr>
      </w:pPr>
      <w:r w:rsidRPr="001A11BE">
        <w:rPr>
          <w:rFonts w:asciiTheme="majorBidi" w:hAnsiTheme="majorBidi" w:cstheme="majorBidi"/>
          <w:b/>
          <w:bCs/>
          <w:color w:val="C45911" w:themeColor="accent2" w:themeShade="BF"/>
          <w:sz w:val="28"/>
          <w:szCs w:val="28"/>
        </w:rPr>
        <w:t>Gender Equality – Article 3</w:t>
      </w:r>
    </w:p>
    <w:p w14:paraId="4559FF8A" w14:textId="6D282A4E" w:rsidR="001A11BE" w:rsidRDefault="001A11BE" w:rsidP="001A11BE">
      <w:pPr>
        <w:jc w:val="both"/>
        <w:rPr>
          <w:rFonts w:asciiTheme="majorBidi" w:hAnsiTheme="majorBidi" w:cstheme="majorBidi"/>
          <w:sz w:val="24"/>
          <w:szCs w:val="24"/>
        </w:rPr>
      </w:pPr>
      <w:r w:rsidRPr="001A11BE">
        <w:rPr>
          <w:rFonts w:asciiTheme="majorBidi" w:hAnsiTheme="majorBidi" w:cstheme="majorBidi"/>
          <w:sz w:val="24"/>
          <w:szCs w:val="24"/>
        </w:rPr>
        <w:t>Article 1 of the Dutch Constitution guarantees equality and non-discrimination. The Dutch government has adopted a range of measures to promote gender equality, including the introduction of a mandatory 30% female quota on the supervisory boards of listed companies, which came into effect in 2022</w:t>
      </w:r>
      <w:r w:rsidR="000A1E71">
        <w:rPr>
          <w:rStyle w:val="FootnoteReference"/>
          <w:rFonts w:asciiTheme="majorBidi" w:hAnsiTheme="majorBidi" w:cstheme="majorBidi"/>
          <w:sz w:val="24"/>
          <w:szCs w:val="24"/>
        </w:rPr>
        <w:footnoteReference w:id="1"/>
      </w:r>
      <w:r w:rsidRPr="001A11BE">
        <w:rPr>
          <w:rFonts w:asciiTheme="majorBidi" w:hAnsiTheme="majorBidi" w:cstheme="majorBidi"/>
          <w:sz w:val="24"/>
          <w:szCs w:val="24"/>
        </w:rPr>
        <w:t>. In January 2023, Article 1 of the Constitution was amended to explicitly prohibit discrimination on the basis of gender and disability, strengthening the legal framework for gender equality</w:t>
      </w:r>
      <w:r w:rsidR="000A1E71">
        <w:rPr>
          <w:rStyle w:val="FootnoteReference"/>
          <w:rFonts w:asciiTheme="majorBidi" w:hAnsiTheme="majorBidi" w:cstheme="majorBidi"/>
          <w:sz w:val="24"/>
          <w:szCs w:val="24"/>
        </w:rPr>
        <w:footnoteReference w:id="2"/>
      </w:r>
      <w:r w:rsidRPr="001A11BE">
        <w:rPr>
          <w:rFonts w:asciiTheme="majorBidi" w:hAnsiTheme="majorBidi" w:cstheme="majorBidi"/>
          <w:sz w:val="24"/>
          <w:szCs w:val="24"/>
        </w:rPr>
        <w:t>. Despite this progress, the gender pay gap remains. According to a 2023 study, this gap increased from 5% in 2021 to 7.4% in 2023, with men's wages increasing by 16.4% compared to women's 9.1% during the same period</w:t>
      </w:r>
      <w:r w:rsidR="000A1E71">
        <w:rPr>
          <w:rStyle w:val="FootnoteReference"/>
          <w:rFonts w:asciiTheme="majorBidi" w:hAnsiTheme="majorBidi" w:cstheme="majorBidi"/>
          <w:sz w:val="24"/>
          <w:szCs w:val="24"/>
        </w:rPr>
        <w:footnoteReference w:id="3"/>
      </w:r>
      <w:r w:rsidRPr="001A11BE">
        <w:rPr>
          <w:rFonts w:asciiTheme="majorBidi" w:hAnsiTheme="majorBidi" w:cstheme="majorBidi"/>
          <w:sz w:val="24"/>
          <w:szCs w:val="24"/>
        </w:rPr>
        <w:t>. The Netherlands ranked 28</w:t>
      </w:r>
      <w:r w:rsidRPr="001A11BE">
        <w:rPr>
          <w:rFonts w:asciiTheme="majorBidi" w:hAnsiTheme="majorBidi" w:cstheme="majorBidi"/>
          <w:sz w:val="24"/>
          <w:szCs w:val="24"/>
          <w:vertAlign w:val="superscript"/>
        </w:rPr>
        <w:t>th</w:t>
      </w:r>
      <w:r w:rsidRPr="001A11BE">
        <w:rPr>
          <w:rFonts w:asciiTheme="majorBidi" w:hAnsiTheme="majorBidi" w:cstheme="majorBidi"/>
          <w:sz w:val="24"/>
          <w:szCs w:val="24"/>
        </w:rPr>
        <w:t xml:space="preserve"> globally in the 2023 Gender Gap Index, with only 77.7% of the gap closed, indicating a slowdown in progress towards gender equality compared to its neighboring countries</w:t>
      </w:r>
      <w:r w:rsidR="000A1E71">
        <w:rPr>
          <w:rStyle w:val="FootnoteReference"/>
          <w:rFonts w:asciiTheme="majorBidi" w:hAnsiTheme="majorBidi" w:cstheme="majorBidi"/>
          <w:sz w:val="24"/>
          <w:szCs w:val="24"/>
        </w:rPr>
        <w:footnoteReference w:id="4"/>
      </w:r>
      <w:r w:rsidRPr="001A11BE">
        <w:rPr>
          <w:rFonts w:asciiTheme="majorBidi" w:hAnsiTheme="majorBidi" w:cstheme="majorBidi"/>
          <w:sz w:val="24"/>
          <w:szCs w:val="24"/>
        </w:rPr>
        <w:t>. Maat also notes that the gender gap in part-time work remains high, reaching 41.90% in December 2024, after reaching an all-time low of 41.80% in December 2023, reflecting the unequal distribution of family and professional obligations between men and women</w:t>
      </w:r>
      <w:r w:rsidR="000A1E71">
        <w:rPr>
          <w:rStyle w:val="FootnoteReference"/>
          <w:rFonts w:asciiTheme="majorBidi" w:hAnsiTheme="majorBidi" w:cstheme="majorBidi"/>
          <w:sz w:val="24"/>
          <w:szCs w:val="24"/>
        </w:rPr>
        <w:footnoteReference w:id="5"/>
      </w:r>
      <w:r w:rsidRPr="001A11BE">
        <w:rPr>
          <w:rFonts w:asciiTheme="majorBidi" w:hAnsiTheme="majorBidi" w:cstheme="majorBidi"/>
          <w:sz w:val="24"/>
          <w:szCs w:val="24"/>
        </w:rPr>
        <w:t>.</w:t>
      </w:r>
    </w:p>
    <w:p w14:paraId="53143BB5" w14:textId="12EC92C2" w:rsidR="001A11BE" w:rsidRPr="001A11BE" w:rsidRDefault="001A11BE" w:rsidP="001A11BE">
      <w:pPr>
        <w:pStyle w:val="ListParagraph"/>
        <w:numPr>
          <w:ilvl w:val="0"/>
          <w:numId w:val="45"/>
        </w:numPr>
        <w:jc w:val="both"/>
        <w:rPr>
          <w:rFonts w:asciiTheme="majorBidi" w:hAnsiTheme="majorBidi" w:cstheme="majorBidi"/>
          <w:b/>
          <w:bCs/>
          <w:color w:val="C45911" w:themeColor="accent2" w:themeShade="BF"/>
          <w:sz w:val="28"/>
          <w:szCs w:val="28"/>
        </w:rPr>
      </w:pPr>
      <w:r w:rsidRPr="001A11BE">
        <w:rPr>
          <w:rFonts w:asciiTheme="majorBidi" w:hAnsiTheme="majorBidi" w:cstheme="majorBidi"/>
          <w:b/>
          <w:bCs/>
          <w:color w:val="C45911" w:themeColor="accent2" w:themeShade="BF"/>
          <w:sz w:val="28"/>
          <w:szCs w:val="28"/>
        </w:rPr>
        <w:t>The Right to Work – Article 6</w:t>
      </w:r>
    </w:p>
    <w:p w14:paraId="43466C8D" w14:textId="4977ED7D" w:rsidR="001A11BE" w:rsidRDefault="001A11BE" w:rsidP="001A11BE">
      <w:pPr>
        <w:jc w:val="both"/>
        <w:rPr>
          <w:rFonts w:asciiTheme="majorBidi" w:hAnsiTheme="majorBidi" w:cstheme="majorBidi"/>
          <w:sz w:val="24"/>
          <w:szCs w:val="24"/>
        </w:rPr>
      </w:pPr>
      <w:r w:rsidRPr="001A11BE">
        <w:rPr>
          <w:rFonts w:asciiTheme="majorBidi" w:hAnsiTheme="majorBidi" w:cstheme="majorBidi"/>
          <w:sz w:val="24"/>
          <w:szCs w:val="24"/>
        </w:rPr>
        <w:t xml:space="preserve">Article 6 of the International Covenant on Economic, Social and Cultural Rights (ICESCR) guarantees that states recognize the right to work and take appropriate measures to ensure this </w:t>
      </w:r>
      <w:r w:rsidRPr="001A11BE">
        <w:rPr>
          <w:rFonts w:asciiTheme="majorBidi" w:hAnsiTheme="majorBidi" w:cstheme="majorBidi"/>
          <w:sz w:val="24"/>
          <w:szCs w:val="24"/>
        </w:rPr>
        <w:lastRenderedPageBreak/>
        <w:t>right</w:t>
      </w:r>
      <w:r w:rsidR="000A1E71">
        <w:rPr>
          <w:rStyle w:val="FootnoteReference"/>
          <w:rFonts w:asciiTheme="majorBidi" w:hAnsiTheme="majorBidi" w:cstheme="majorBidi"/>
          <w:sz w:val="24"/>
          <w:szCs w:val="24"/>
        </w:rPr>
        <w:footnoteReference w:id="6"/>
      </w:r>
      <w:r w:rsidRPr="001A11BE">
        <w:rPr>
          <w:rFonts w:asciiTheme="majorBidi" w:hAnsiTheme="majorBidi" w:cstheme="majorBidi"/>
          <w:sz w:val="24"/>
          <w:szCs w:val="24"/>
        </w:rPr>
        <w:t>. Article 19 of the Dutch Constitution guarantees the right to work and obliges public authorities to provide employment opportunities and ensure fair working conditions</w:t>
      </w:r>
      <w:r w:rsidR="000A1E71">
        <w:rPr>
          <w:rStyle w:val="FootnoteReference"/>
          <w:rFonts w:asciiTheme="majorBidi" w:hAnsiTheme="majorBidi" w:cstheme="majorBidi"/>
          <w:sz w:val="24"/>
          <w:szCs w:val="24"/>
        </w:rPr>
        <w:footnoteReference w:id="7"/>
      </w:r>
      <w:r w:rsidRPr="001A11BE">
        <w:rPr>
          <w:rFonts w:asciiTheme="majorBidi" w:hAnsiTheme="majorBidi" w:cstheme="majorBidi"/>
          <w:sz w:val="24"/>
          <w:szCs w:val="24"/>
        </w:rPr>
        <w:t>. The Netherlands also adopts a "flexibility and security" system that balances labor market flexibility with social protection for workers. This system allows for flexible employment with social guarantees, contributing to reducing unemployment and promoting employment</w:t>
      </w:r>
      <w:r w:rsidR="000609E4">
        <w:rPr>
          <w:rStyle w:val="FootnoteReference"/>
          <w:rFonts w:asciiTheme="majorBidi" w:hAnsiTheme="majorBidi" w:cstheme="majorBidi"/>
          <w:sz w:val="24"/>
          <w:szCs w:val="24"/>
        </w:rPr>
        <w:footnoteReference w:id="8"/>
      </w:r>
      <w:r w:rsidRPr="001A11BE">
        <w:rPr>
          <w:rFonts w:asciiTheme="majorBidi" w:hAnsiTheme="majorBidi" w:cstheme="majorBidi"/>
          <w:sz w:val="24"/>
          <w:szCs w:val="24"/>
        </w:rPr>
        <w:t>. As part of its efforts to develop its wage system and enhance financial stability for workers, the Netherlands implemented a uniform minimum hourly wage of €13.27 for workers aged 21 and over, effective January 1, 2024. This aims to eliminate disparities resulting from variations in the number of weekly working hours across different sectors</w:t>
      </w:r>
      <w:r w:rsidR="000609E4">
        <w:rPr>
          <w:rStyle w:val="FootnoteReference"/>
          <w:rFonts w:asciiTheme="majorBidi" w:hAnsiTheme="majorBidi" w:cstheme="majorBidi"/>
          <w:sz w:val="24"/>
          <w:szCs w:val="24"/>
        </w:rPr>
        <w:footnoteReference w:id="9"/>
      </w:r>
      <w:r w:rsidRPr="001A11BE">
        <w:rPr>
          <w:rFonts w:asciiTheme="majorBidi" w:hAnsiTheme="majorBidi" w:cstheme="majorBidi"/>
          <w:sz w:val="24"/>
          <w:szCs w:val="24"/>
        </w:rPr>
        <w:t>.</w:t>
      </w:r>
    </w:p>
    <w:p w14:paraId="343AEBCF" w14:textId="37EE09E4" w:rsidR="001A11BE" w:rsidRDefault="00195D8E" w:rsidP="001A11BE">
      <w:pPr>
        <w:jc w:val="both"/>
        <w:rPr>
          <w:rFonts w:asciiTheme="majorBidi" w:hAnsiTheme="majorBidi" w:cstheme="majorBidi"/>
          <w:sz w:val="24"/>
          <w:szCs w:val="24"/>
        </w:rPr>
      </w:pPr>
      <w:r w:rsidRPr="00195D8E">
        <w:rPr>
          <w:rFonts w:asciiTheme="majorBidi" w:hAnsiTheme="majorBidi" w:cstheme="majorBidi"/>
          <w:sz w:val="24"/>
          <w:szCs w:val="24"/>
        </w:rPr>
        <w:t>However, Maat noted that the unemployment rate in the Netherlands increased in the third quarter of 2023—though it remains among the lowest in the European Union. The unemployment rate in the Netherlands reached 3.6% in the third quarter of 2023, compared to 3.5% in the second quarter. This increase equates to an additional 16,000 unemployed people</w:t>
      </w:r>
      <w:r w:rsidR="000609E4">
        <w:rPr>
          <w:rStyle w:val="FootnoteReference"/>
          <w:rFonts w:asciiTheme="majorBidi" w:hAnsiTheme="majorBidi" w:cstheme="majorBidi"/>
          <w:sz w:val="24"/>
          <w:szCs w:val="24"/>
        </w:rPr>
        <w:footnoteReference w:id="10"/>
      </w:r>
      <w:r w:rsidRPr="00195D8E">
        <w:rPr>
          <w:rFonts w:asciiTheme="majorBidi" w:hAnsiTheme="majorBidi" w:cstheme="majorBidi"/>
          <w:sz w:val="24"/>
          <w:szCs w:val="24"/>
        </w:rPr>
        <w:t>. Other challenges related to part-time work remain, as the Netherlands is a country where part-time work is widespread, especially among women</w:t>
      </w:r>
      <w:r w:rsidR="000609E4">
        <w:rPr>
          <w:rStyle w:val="FootnoteReference"/>
          <w:rFonts w:asciiTheme="majorBidi" w:hAnsiTheme="majorBidi" w:cstheme="majorBidi"/>
          <w:sz w:val="24"/>
          <w:szCs w:val="24"/>
        </w:rPr>
        <w:footnoteReference w:id="11"/>
      </w:r>
      <w:r w:rsidRPr="00195D8E">
        <w:rPr>
          <w:rFonts w:asciiTheme="majorBidi" w:hAnsiTheme="majorBidi" w:cstheme="majorBidi"/>
          <w:sz w:val="24"/>
          <w:szCs w:val="24"/>
        </w:rPr>
        <w:t>. In the third quarter of 2023, the percentage of women working part-time in the Netherlands reached 63%, compared to 23% for men. This type of work provides flexibility, but it can affect financial independence and career advancement, especially for women. Maat has reviewed reports indicating that work pressures in some sectors continue to increase, including psychological stress and long working hours in sectors such as healthcare, leading to high rates of absenteeism and burnout among workers. This is especially true given that the Netherlands is expected to face a shortage of up to 266,000 healthcare workers by 2035</w:t>
      </w:r>
      <w:r w:rsidR="000609E4">
        <w:rPr>
          <w:rStyle w:val="FootnoteReference"/>
          <w:rFonts w:asciiTheme="majorBidi" w:hAnsiTheme="majorBidi" w:cstheme="majorBidi"/>
          <w:sz w:val="24"/>
          <w:szCs w:val="24"/>
        </w:rPr>
        <w:footnoteReference w:id="12"/>
      </w:r>
      <w:r w:rsidRPr="00195D8E">
        <w:rPr>
          <w:rFonts w:asciiTheme="majorBidi" w:hAnsiTheme="majorBidi" w:cstheme="majorBidi"/>
          <w:sz w:val="24"/>
          <w:szCs w:val="24"/>
        </w:rPr>
        <w:t>.</w:t>
      </w:r>
    </w:p>
    <w:p w14:paraId="126343F5" w14:textId="76BB1D6A" w:rsidR="00195D8E" w:rsidRPr="00195D8E" w:rsidRDefault="00195D8E" w:rsidP="00195D8E">
      <w:pPr>
        <w:pStyle w:val="ListParagraph"/>
        <w:numPr>
          <w:ilvl w:val="0"/>
          <w:numId w:val="45"/>
        </w:numPr>
        <w:jc w:val="both"/>
        <w:rPr>
          <w:rFonts w:asciiTheme="majorBidi" w:hAnsiTheme="majorBidi" w:cstheme="majorBidi"/>
          <w:b/>
          <w:bCs/>
          <w:color w:val="C45911" w:themeColor="accent2" w:themeShade="BF"/>
          <w:sz w:val="28"/>
          <w:szCs w:val="28"/>
        </w:rPr>
      </w:pPr>
      <w:r w:rsidRPr="00195D8E">
        <w:rPr>
          <w:rFonts w:asciiTheme="majorBidi" w:hAnsiTheme="majorBidi" w:cstheme="majorBidi"/>
          <w:b/>
          <w:bCs/>
          <w:color w:val="C45911" w:themeColor="accent2" w:themeShade="BF"/>
          <w:sz w:val="28"/>
          <w:szCs w:val="28"/>
        </w:rPr>
        <w:t>The Right to Social Security – Article 9</w:t>
      </w:r>
    </w:p>
    <w:p w14:paraId="6BF7A544" w14:textId="613964D6" w:rsidR="00195D8E" w:rsidRDefault="00195D8E" w:rsidP="00195D8E">
      <w:pPr>
        <w:jc w:val="both"/>
        <w:rPr>
          <w:rFonts w:asciiTheme="majorBidi" w:hAnsiTheme="majorBidi" w:cstheme="majorBidi"/>
          <w:sz w:val="24"/>
          <w:szCs w:val="24"/>
        </w:rPr>
      </w:pPr>
      <w:r w:rsidRPr="00195D8E">
        <w:rPr>
          <w:rFonts w:asciiTheme="majorBidi" w:hAnsiTheme="majorBidi" w:cstheme="majorBidi"/>
          <w:sz w:val="24"/>
          <w:szCs w:val="24"/>
        </w:rPr>
        <w:t>Article 20 of the Dutch Constitution guarantees social security and stipulates that “the State is responsible for providing the social and economic conditions that guarantee citizens a dignified life. The right to social security is regulated and protected by law</w:t>
      </w:r>
      <w:r w:rsidR="000609E4">
        <w:rPr>
          <w:rStyle w:val="FootnoteReference"/>
          <w:rFonts w:asciiTheme="majorBidi" w:hAnsiTheme="majorBidi" w:cstheme="majorBidi"/>
          <w:sz w:val="24"/>
          <w:szCs w:val="24"/>
        </w:rPr>
        <w:footnoteReference w:id="13"/>
      </w:r>
      <w:r w:rsidRPr="00195D8E">
        <w:rPr>
          <w:rFonts w:asciiTheme="majorBidi" w:hAnsiTheme="majorBidi" w:cstheme="majorBidi"/>
          <w:sz w:val="24"/>
          <w:szCs w:val="24"/>
        </w:rPr>
        <w:t xml:space="preserve">.” The Netherlands has taken a </w:t>
      </w:r>
      <w:r w:rsidRPr="00195D8E">
        <w:rPr>
          <w:rFonts w:asciiTheme="majorBidi" w:hAnsiTheme="majorBidi" w:cstheme="majorBidi"/>
          <w:sz w:val="24"/>
          <w:szCs w:val="24"/>
        </w:rPr>
        <w:lastRenderedPageBreak/>
        <w:t>number of measures to strengthen its social security system, in line with its obligations under Article 9 of the International Covenant. The Pensions Act (the Future Pension Act), which entered into force on July 1, 2023, transitioned from a defined benefit system to a system based on individual contributions, with a more equitable distribution of investment risks among participants. This enhances the sustainability of the pension system in the face of demographic and economic changes</w:t>
      </w:r>
      <w:r w:rsidR="000609E4">
        <w:rPr>
          <w:rStyle w:val="FootnoteReference"/>
          <w:rFonts w:asciiTheme="majorBidi" w:hAnsiTheme="majorBidi" w:cstheme="majorBidi"/>
          <w:sz w:val="24"/>
          <w:szCs w:val="24"/>
        </w:rPr>
        <w:footnoteReference w:id="14"/>
      </w:r>
      <w:r w:rsidRPr="00195D8E">
        <w:rPr>
          <w:rFonts w:asciiTheme="majorBidi" w:hAnsiTheme="majorBidi" w:cstheme="majorBidi"/>
          <w:sz w:val="24"/>
          <w:szCs w:val="24"/>
        </w:rPr>
        <w:t>. On January 1, 2025, the minimum wage was raised to €14.06 per hour for workers aged 21 and over, resulting in an automatic increase in pensions and associated social assistance, such as unemployment and disability benefits, with the aim of maintaining citizens’ purchasing power in the face of rising living costs</w:t>
      </w:r>
      <w:r w:rsidR="00574903">
        <w:rPr>
          <w:rStyle w:val="FootnoteReference"/>
          <w:rFonts w:asciiTheme="majorBidi" w:hAnsiTheme="majorBidi" w:cstheme="majorBidi"/>
          <w:sz w:val="24"/>
          <w:szCs w:val="24"/>
        </w:rPr>
        <w:footnoteReference w:id="15"/>
      </w:r>
      <w:r w:rsidRPr="00195D8E">
        <w:rPr>
          <w:rFonts w:asciiTheme="majorBidi" w:hAnsiTheme="majorBidi" w:cstheme="majorBidi"/>
          <w:sz w:val="24"/>
          <w:szCs w:val="24"/>
        </w:rPr>
        <w:t>. However, Maat notes that the Netherlands still does not include large groups of immigrants and refugees in its social security system, which pushes this group further into poverty and an inadequate standard of living.</w:t>
      </w:r>
    </w:p>
    <w:p w14:paraId="08CBB8E4" w14:textId="2437A47D" w:rsidR="00195D8E" w:rsidRPr="00195D8E" w:rsidRDefault="00195D8E" w:rsidP="00195D8E">
      <w:pPr>
        <w:pStyle w:val="ListParagraph"/>
        <w:numPr>
          <w:ilvl w:val="0"/>
          <w:numId w:val="45"/>
        </w:numPr>
        <w:jc w:val="both"/>
        <w:rPr>
          <w:rFonts w:asciiTheme="majorBidi" w:hAnsiTheme="majorBidi" w:cstheme="majorBidi"/>
          <w:b/>
          <w:bCs/>
          <w:color w:val="C45911" w:themeColor="accent2" w:themeShade="BF"/>
          <w:sz w:val="28"/>
          <w:szCs w:val="28"/>
        </w:rPr>
      </w:pPr>
      <w:r w:rsidRPr="00195D8E">
        <w:rPr>
          <w:rFonts w:asciiTheme="majorBidi" w:hAnsiTheme="majorBidi" w:cstheme="majorBidi"/>
          <w:b/>
          <w:bCs/>
          <w:color w:val="C45911" w:themeColor="accent2" w:themeShade="BF"/>
          <w:sz w:val="28"/>
          <w:szCs w:val="28"/>
        </w:rPr>
        <w:t>The Right to an Adequate Standard of Living – Article 11</w:t>
      </w:r>
    </w:p>
    <w:p w14:paraId="0D2C862F" w14:textId="224939AA" w:rsidR="002D3FB1" w:rsidRDefault="00195D8E" w:rsidP="00195D8E">
      <w:pPr>
        <w:jc w:val="both"/>
        <w:rPr>
          <w:rFonts w:asciiTheme="majorBidi" w:hAnsiTheme="majorBidi" w:cstheme="majorBidi"/>
          <w:sz w:val="24"/>
          <w:szCs w:val="24"/>
        </w:rPr>
      </w:pPr>
      <w:r w:rsidRPr="00195D8E">
        <w:rPr>
          <w:rFonts w:asciiTheme="majorBidi" w:hAnsiTheme="majorBidi" w:cstheme="majorBidi"/>
          <w:sz w:val="24"/>
          <w:szCs w:val="24"/>
        </w:rPr>
        <w:t>The Dutch government has taken several measures to implement its obligations under Article 11 of the International Covenant</w:t>
      </w:r>
      <w:r>
        <w:rPr>
          <w:rFonts w:asciiTheme="majorBidi" w:hAnsiTheme="majorBidi" w:cstheme="majorBidi"/>
          <w:sz w:val="24"/>
          <w:szCs w:val="24"/>
        </w:rPr>
        <w:t xml:space="preserve">, which focuses </w:t>
      </w:r>
      <w:r w:rsidRPr="00195D8E">
        <w:rPr>
          <w:rFonts w:asciiTheme="majorBidi" w:hAnsiTheme="majorBidi" w:cstheme="majorBidi"/>
          <w:sz w:val="24"/>
          <w:szCs w:val="24"/>
        </w:rPr>
        <w:t>on the Right to an Adequate Standard of Living. To combat poverty, in September 2023, the Dutch government allocated an additional €2 billion annually to support vulnerable families. These measures included increasing the minimum wage, increasing child support, providing free breakfasts in schools with a high percentage of children from low-income families, and increasing the housing allowance. As a result of these measures, the poverty rate stabilized at 4.8% of the population, while the child poverty rate fell to 5.1%, 2.1 percentage points lower than at the beginning of 2022</w:t>
      </w:r>
      <w:r w:rsidR="00574903">
        <w:rPr>
          <w:rStyle w:val="FootnoteReference"/>
          <w:rFonts w:asciiTheme="majorBidi" w:hAnsiTheme="majorBidi" w:cstheme="majorBidi"/>
          <w:sz w:val="24"/>
          <w:szCs w:val="24"/>
        </w:rPr>
        <w:footnoteReference w:id="16"/>
      </w:r>
      <w:r w:rsidRPr="00195D8E">
        <w:rPr>
          <w:rFonts w:asciiTheme="majorBidi" w:hAnsiTheme="majorBidi" w:cstheme="majorBidi"/>
          <w:sz w:val="24"/>
          <w:szCs w:val="24"/>
        </w:rPr>
        <w:t>. Maat notes that despite the decline in the poverty rate, the severity of poverty has increased. In 2023, the average gap between the income of the poor and the poverty line reached 16%, compared to 10% in 2018</w:t>
      </w:r>
      <w:r w:rsidR="00A927E9">
        <w:rPr>
          <w:rStyle w:val="FootnoteReference"/>
          <w:rFonts w:asciiTheme="majorBidi" w:hAnsiTheme="majorBidi" w:cstheme="majorBidi"/>
          <w:sz w:val="24"/>
          <w:szCs w:val="24"/>
        </w:rPr>
        <w:footnoteReference w:id="17"/>
      </w:r>
      <w:r w:rsidRPr="00195D8E">
        <w:rPr>
          <w:rFonts w:asciiTheme="majorBidi" w:hAnsiTheme="majorBidi" w:cstheme="majorBidi"/>
          <w:sz w:val="24"/>
          <w:szCs w:val="24"/>
        </w:rPr>
        <w:t>. The Netherlands also continues to face a severe housing crisis, with house prices set to rise by 8.7% in 2024. This is attributed to a housing shortage. Only 82,000 homes were built in 2024, falling short of the government's target of 100,000 homes per year. This shortage has made it increasingly difficult to access affordable housing, especially for young people and those on average incomes</w:t>
      </w:r>
      <w:r w:rsidR="00A927E9">
        <w:rPr>
          <w:rStyle w:val="FootnoteReference"/>
          <w:rFonts w:asciiTheme="majorBidi" w:hAnsiTheme="majorBidi" w:cstheme="majorBidi"/>
          <w:sz w:val="24"/>
          <w:szCs w:val="24"/>
        </w:rPr>
        <w:footnoteReference w:id="18"/>
      </w:r>
      <w:r w:rsidRPr="00195D8E">
        <w:rPr>
          <w:rFonts w:asciiTheme="majorBidi" w:hAnsiTheme="majorBidi" w:cstheme="majorBidi"/>
          <w:sz w:val="24"/>
          <w:szCs w:val="24"/>
        </w:rPr>
        <w:t>.</w:t>
      </w:r>
    </w:p>
    <w:p w14:paraId="062EA917" w14:textId="65223ED7" w:rsidR="00195D8E" w:rsidRDefault="00195D8E" w:rsidP="00195D8E">
      <w:pPr>
        <w:jc w:val="both"/>
        <w:rPr>
          <w:rFonts w:asciiTheme="majorBidi" w:hAnsiTheme="majorBidi" w:cstheme="majorBidi"/>
          <w:sz w:val="24"/>
          <w:szCs w:val="24"/>
        </w:rPr>
      </w:pPr>
      <w:r w:rsidRPr="00195D8E">
        <w:rPr>
          <w:rFonts w:asciiTheme="majorBidi" w:hAnsiTheme="majorBidi" w:cstheme="majorBidi"/>
          <w:sz w:val="24"/>
          <w:szCs w:val="24"/>
        </w:rPr>
        <w:t xml:space="preserve">Rents in the Netherlands also rose by 5.4% year-on-year in July 2024, the highest rate since 1993. Furthermore, those seeking social housing face long waits, with the average waiting period </w:t>
      </w:r>
      <w:r w:rsidRPr="00195D8E">
        <w:rPr>
          <w:rFonts w:asciiTheme="majorBidi" w:hAnsiTheme="majorBidi" w:cstheme="majorBidi"/>
          <w:sz w:val="24"/>
          <w:szCs w:val="24"/>
        </w:rPr>
        <w:lastRenderedPageBreak/>
        <w:t>reaching seven years in 2023. It is estimated that there is a shortage of approximately 401,000 housing units in the Netherlands</w:t>
      </w:r>
      <w:r w:rsidR="00A927E9">
        <w:rPr>
          <w:rStyle w:val="FootnoteReference"/>
          <w:rFonts w:asciiTheme="majorBidi" w:hAnsiTheme="majorBidi" w:cstheme="majorBidi"/>
          <w:sz w:val="24"/>
          <w:szCs w:val="24"/>
        </w:rPr>
        <w:footnoteReference w:id="19"/>
      </w:r>
      <w:r w:rsidRPr="00195D8E">
        <w:rPr>
          <w:rFonts w:asciiTheme="majorBidi" w:hAnsiTheme="majorBidi" w:cstheme="majorBidi"/>
          <w:sz w:val="24"/>
          <w:szCs w:val="24"/>
        </w:rPr>
        <w:t>.</w:t>
      </w:r>
    </w:p>
    <w:p w14:paraId="5323345A" w14:textId="7D4254E2" w:rsidR="002D3FB1" w:rsidRPr="002D3FB1" w:rsidRDefault="002D3FB1" w:rsidP="002D3FB1">
      <w:pPr>
        <w:pStyle w:val="ListParagraph"/>
        <w:numPr>
          <w:ilvl w:val="0"/>
          <w:numId w:val="45"/>
        </w:numPr>
        <w:jc w:val="both"/>
        <w:rPr>
          <w:rFonts w:asciiTheme="majorBidi" w:hAnsiTheme="majorBidi" w:cstheme="majorBidi"/>
          <w:b/>
          <w:bCs/>
          <w:color w:val="C45911" w:themeColor="accent2" w:themeShade="BF"/>
          <w:sz w:val="28"/>
          <w:szCs w:val="28"/>
        </w:rPr>
      </w:pPr>
      <w:r w:rsidRPr="002D3FB1">
        <w:rPr>
          <w:rFonts w:asciiTheme="majorBidi" w:hAnsiTheme="majorBidi" w:cstheme="majorBidi"/>
          <w:b/>
          <w:bCs/>
          <w:color w:val="C45911" w:themeColor="accent2" w:themeShade="BF"/>
          <w:sz w:val="28"/>
          <w:szCs w:val="28"/>
        </w:rPr>
        <w:t>The Right to Health – Article 12</w:t>
      </w:r>
    </w:p>
    <w:p w14:paraId="0FAA574E" w14:textId="154AD692" w:rsidR="002D3FB1" w:rsidRDefault="002D3FB1" w:rsidP="002D3FB1">
      <w:pPr>
        <w:jc w:val="both"/>
        <w:rPr>
          <w:rFonts w:asciiTheme="majorBidi" w:hAnsiTheme="majorBidi" w:cstheme="majorBidi"/>
          <w:sz w:val="24"/>
          <w:szCs w:val="24"/>
        </w:rPr>
      </w:pPr>
      <w:r w:rsidRPr="002D3FB1">
        <w:rPr>
          <w:rFonts w:asciiTheme="majorBidi" w:hAnsiTheme="majorBidi" w:cstheme="majorBidi"/>
          <w:sz w:val="24"/>
          <w:szCs w:val="24"/>
        </w:rPr>
        <w:t>A recent study showed significant health disparities between lower-income older adults and higher-income older adults. The five-year mortality rate was 4.4 percentage points (67%) higher among 70-year-olds with below-average incomes compared to their peers with above-average incomes</w:t>
      </w:r>
      <w:r w:rsidR="00A927E9">
        <w:rPr>
          <w:rStyle w:val="FootnoteReference"/>
          <w:rFonts w:asciiTheme="majorBidi" w:hAnsiTheme="majorBidi" w:cstheme="majorBidi"/>
          <w:sz w:val="24"/>
          <w:szCs w:val="24"/>
        </w:rPr>
        <w:footnoteReference w:id="20"/>
      </w:r>
      <w:r w:rsidRPr="002D3FB1">
        <w:rPr>
          <w:rFonts w:asciiTheme="majorBidi" w:hAnsiTheme="majorBidi" w:cstheme="majorBidi"/>
          <w:sz w:val="24"/>
          <w:szCs w:val="24"/>
        </w:rPr>
        <w:t>. Maat is concerned about the high rates of mental health problems. Data from the Dutch Statistics Office for 2022 showed that 22% of young people aged 12–24 reported sleep problems, 16% reported psychological problems, and 12% reported experiencing depression during 2021</w:t>
      </w:r>
      <w:r w:rsidR="00A927E9">
        <w:rPr>
          <w:rStyle w:val="FootnoteReference"/>
          <w:rFonts w:asciiTheme="majorBidi" w:hAnsiTheme="majorBidi" w:cstheme="majorBidi"/>
          <w:sz w:val="24"/>
          <w:szCs w:val="24"/>
        </w:rPr>
        <w:footnoteReference w:id="21"/>
      </w:r>
      <w:r w:rsidRPr="002D3FB1">
        <w:rPr>
          <w:rFonts w:asciiTheme="majorBidi" w:hAnsiTheme="majorBidi" w:cstheme="majorBidi"/>
          <w:sz w:val="24"/>
          <w:szCs w:val="24"/>
        </w:rPr>
        <w:t>. Furthermore, in 2023, 88% of young people aged 18–24 reported that their health was good or very good, compared to 91% in 2020, indicating a decline in self-rated health among this age group</w:t>
      </w:r>
      <w:r w:rsidR="00A927E9">
        <w:rPr>
          <w:rStyle w:val="FootnoteReference"/>
          <w:rFonts w:asciiTheme="majorBidi" w:hAnsiTheme="majorBidi" w:cstheme="majorBidi"/>
          <w:sz w:val="24"/>
          <w:szCs w:val="24"/>
        </w:rPr>
        <w:footnoteReference w:id="22"/>
      </w:r>
      <w:r w:rsidRPr="002D3FB1">
        <w:rPr>
          <w:rFonts w:asciiTheme="majorBidi" w:hAnsiTheme="majorBidi" w:cstheme="majorBidi"/>
          <w:sz w:val="24"/>
          <w:szCs w:val="24"/>
        </w:rPr>
        <w:t>. Maat is concerned about data released by the Dutch Institute for Public Health and the Environment in 2024, which confirmed that the number of people with chronic diseases in the Netherlands will increase to nearly 12 million by 2050, with significant increases in dementia and osteoarthritis, particularly among the elderly</w:t>
      </w:r>
      <w:r w:rsidR="002415E3">
        <w:rPr>
          <w:rStyle w:val="FootnoteReference"/>
          <w:rFonts w:asciiTheme="majorBidi" w:hAnsiTheme="majorBidi" w:cstheme="majorBidi"/>
          <w:sz w:val="24"/>
          <w:szCs w:val="24"/>
        </w:rPr>
        <w:footnoteReference w:id="23"/>
      </w:r>
      <w:r w:rsidRPr="002D3FB1">
        <w:rPr>
          <w:rFonts w:asciiTheme="majorBidi" w:hAnsiTheme="majorBidi" w:cstheme="majorBidi"/>
          <w:sz w:val="24"/>
          <w:szCs w:val="24"/>
        </w:rPr>
        <w:t>.</w:t>
      </w:r>
    </w:p>
    <w:p w14:paraId="64DD619A" w14:textId="14667A04" w:rsidR="002D3FB1" w:rsidRPr="002D3FB1" w:rsidRDefault="002D3FB1" w:rsidP="002D3FB1">
      <w:pPr>
        <w:pStyle w:val="ListParagraph"/>
        <w:numPr>
          <w:ilvl w:val="0"/>
          <w:numId w:val="45"/>
        </w:numPr>
        <w:jc w:val="both"/>
        <w:rPr>
          <w:rFonts w:asciiTheme="majorBidi" w:hAnsiTheme="majorBidi" w:cstheme="majorBidi"/>
          <w:b/>
          <w:bCs/>
          <w:color w:val="C45911" w:themeColor="accent2" w:themeShade="BF"/>
          <w:sz w:val="28"/>
          <w:szCs w:val="28"/>
        </w:rPr>
      </w:pPr>
      <w:r w:rsidRPr="002D3FB1">
        <w:rPr>
          <w:rFonts w:asciiTheme="majorBidi" w:hAnsiTheme="majorBidi" w:cstheme="majorBidi"/>
          <w:b/>
          <w:bCs/>
          <w:color w:val="C45911" w:themeColor="accent2" w:themeShade="BF"/>
          <w:sz w:val="28"/>
          <w:szCs w:val="28"/>
        </w:rPr>
        <w:t>The Right to Education – Article 13</w:t>
      </w:r>
    </w:p>
    <w:p w14:paraId="1BF6393F" w14:textId="65F430D5" w:rsidR="002D3FB1" w:rsidRPr="002D3FB1" w:rsidRDefault="002D3FB1" w:rsidP="002D3FB1">
      <w:pPr>
        <w:jc w:val="both"/>
        <w:rPr>
          <w:rFonts w:asciiTheme="majorBidi" w:hAnsiTheme="majorBidi" w:cstheme="majorBidi"/>
          <w:sz w:val="24"/>
          <w:szCs w:val="24"/>
        </w:rPr>
      </w:pPr>
      <w:r w:rsidRPr="002D3FB1">
        <w:rPr>
          <w:rFonts w:asciiTheme="majorBidi" w:hAnsiTheme="majorBidi" w:cstheme="majorBidi"/>
          <w:sz w:val="24"/>
          <w:szCs w:val="24"/>
        </w:rPr>
        <w:t>The Netherlands recognizes the right to education and is committed to providing high-quality education to all citizens and residents. In the 2023/2024 school year, more than 92% of children aged 4 to 11 were enrolled in publicly funded primary education, while the enrollment rate for those aged 12 to 14 reached approximately 99%</w:t>
      </w:r>
      <w:r w:rsidR="002415E3">
        <w:rPr>
          <w:rStyle w:val="FootnoteReference"/>
          <w:rFonts w:asciiTheme="majorBidi" w:hAnsiTheme="majorBidi" w:cstheme="majorBidi"/>
          <w:sz w:val="24"/>
          <w:szCs w:val="24"/>
        </w:rPr>
        <w:footnoteReference w:id="24"/>
      </w:r>
      <w:r w:rsidRPr="002D3FB1">
        <w:rPr>
          <w:rFonts w:asciiTheme="majorBidi" w:hAnsiTheme="majorBidi" w:cstheme="majorBidi"/>
          <w:sz w:val="24"/>
          <w:szCs w:val="24"/>
        </w:rPr>
        <w:t>. In higher education, the Netherlands has seen an increase in the percentage of people aged 15 to 74 with a tertiary education degree, rising from 28% in 2013 to 36% in 2023</w:t>
      </w:r>
      <w:r w:rsidR="00501B10">
        <w:rPr>
          <w:rStyle w:val="FootnoteReference"/>
          <w:rFonts w:asciiTheme="majorBidi" w:hAnsiTheme="majorBidi" w:cstheme="majorBidi"/>
          <w:sz w:val="24"/>
          <w:szCs w:val="24"/>
        </w:rPr>
        <w:footnoteReference w:id="25"/>
      </w:r>
      <w:r w:rsidRPr="002D3FB1">
        <w:rPr>
          <w:rFonts w:asciiTheme="majorBidi" w:hAnsiTheme="majorBidi" w:cstheme="majorBidi"/>
          <w:sz w:val="24"/>
          <w:szCs w:val="24"/>
        </w:rPr>
        <w:t>.</w:t>
      </w:r>
    </w:p>
    <w:p w14:paraId="572C39AA" w14:textId="28DF4B56" w:rsidR="002D3FB1" w:rsidRDefault="002D3FB1" w:rsidP="002D3FB1">
      <w:pPr>
        <w:jc w:val="both"/>
        <w:rPr>
          <w:rFonts w:asciiTheme="majorBidi" w:hAnsiTheme="majorBidi" w:cstheme="majorBidi"/>
          <w:sz w:val="24"/>
          <w:szCs w:val="24"/>
        </w:rPr>
      </w:pPr>
      <w:r w:rsidRPr="002D3FB1">
        <w:rPr>
          <w:rFonts w:asciiTheme="majorBidi" w:hAnsiTheme="majorBidi" w:cstheme="majorBidi"/>
          <w:sz w:val="24"/>
          <w:szCs w:val="24"/>
        </w:rPr>
        <w:t xml:space="preserve">However, Maat notes that several challenges persist that violate the full right to education, most notably the educational gap, as children from high-income families have better educational </w:t>
      </w:r>
      <w:r w:rsidRPr="002D3FB1">
        <w:rPr>
          <w:rFonts w:asciiTheme="majorBidi" w:hAnsiTheme="majorBidi" w:cstheme="majorBidi"/>
          <w:sz w:val="24"/>
          <w:szCs w:val="24"/>
        </w:rPr>
        <w:lastRenderedPageBreak/>
        <w:t>opportunities than their peers from low-income families. For example, in the municipality of Bikila, less than 30% of primary school students reach the target level in mathematics, while in the wealthy municipality of Wassenaar, the percentage reaches 36%. The percentage is around 65%. This is partly due to increased spending on private tutoring by wealthy families, which widens the education gap</w:t>
      </w:r>
      <w:r w:rsidR="00501B10">
        <w:rPr>
          <w:rStyle w:val="FootnoteReference"/>
          <w:rFonts w:asciiTheme="majorBidi" w:hAnsiTheme="majorBidi" w:cstheme="majorBidi"/>
          <w:sz w:val="24"/>
          <w:szCs w:val="24"/>
        </w:rPr>
        <w:footnoteReference w:id="26"/>
      </w:r>
      <w:r w:rsidRPr="002D3FB1">
        <w:rPr>
          <w:rFonts w:asciiTheme="majorBidi" w:hAnsiTheme="majorBidi" w:cstheme="majorBidi"/>
          <w:sz w:val="24"/>
          <w:szCs w:val="24"/>
        </w:rPr>
        <w:t>. The Netherlands also suffers from a severe teacher shortage, particularly in primary schools in major cities. In the 2022/2023 school year, the teacher shortage reached 9.7%, and the shortage of primary school principals reached 15.1%. This shortage negatively impacts the quality of education, especially in schools serving students from disadvantaged backgrounds</w:t>
      </w:r>
      <w:r w:rsidR="00501B10">
        <w:rPr>
          <w:rStyle w:val="FootnoteReference"/>
          <w:rFonts w:asciiTheme="majorBidi" w:hAnsiTheme="majorBidi" w:cstheme="majorBidi"/>
          <w:sz w:val="24"/>
          <w:szCs w:val="24"/>
        </w:rPr>
        <w:footnoteReference w:id="27"/>
      </w:r>
      <w:r w:rsidRPr="002D3FB1">
        <w:rPr>
          <w:rFonts w:asciiTheme="majorBidi" w:hAnsiTheme="majorBidi" w:cstheme="majorBidi"/>
          <w:sz w:val="24"/>
          <w:szCs w:val="24"/>
        </w:rPr>
        <w:t>.</w:t>
      </w:r>
      <w:r>
        <w:rPr>
          <w:rFonts w:asciiTheme="majorBidi" w:hAnsiTheme="majorBidi" w:cstheme="majorBidi"/>
          <w:sz w:val="24"/>
          <w:szCs w:val="24"/>
        </w:rPr>
        <w:t xml:space="preserve"> Maat </w:t>
      </w:r>
      <w:r w:rsidRPr="002D3FB1">
        <w:rPr>
          <w:rFonts w:asciiTheme="majorBidi" w:hAnsiTheme="majorBidi" w:cstheme="majorBidi"/>
          <w:sz w:val="24"/>
          <w:szCs w:val="24"/>
        </w:rPr>
        <w:t>expresses concerns about the Dutch government's new plans for 2024, which could lead to increased dropout rates and exacerbate inequality. These plans include imposing fines on students who take longer to complete their studies, which could discourage students from pursuing higher education and increase financial pressures</w:t>
      </w:r>
      <w:r w:rsidR="00501B10">
        <w:rPr>
          <w:rStyle w:val="FootnoteReference"/>
          <w:rFonts w:asciiTheme="majorBidi" w:hAnsiTheme="majorBidi" w:cstheme="majorBidi"/>
          <w:sz w:val="24"/>
          <w:szCs w:val="24"/>
        </w:rPr>
        <w:footnoteReference w:id="28"/>
      </w:r>
      <w:r w:rsidRPr="002D3FB1">
        <w:rPr>
          <w:rFonts w:asciiTheme="majorBidi" w:hAnsiTheme="majorBidi" w:cstheme="majorBidi"/>
          <w:sz w:val="24"/>
          <w:szCs w:val="24"/>
        </w:rPr>
        <w:t>.</w:t>
      </w:r>
    </w:p>
    <w:p w14:paraId="6ACF2770" w14:textId="19290BEC" w:rsidR="002D3FB1" w:rsidRDefault="002D3FB1" w:rsidP="002D3FB1">
      <w:pPr>
        <w:pStyle w:val="ListParagraph"/>
        <w:numPr>
          <w:ilvl w:val="0"/>
          <w:numId w:val="45"/>
        </w:numPr>
        <w:jc w:val="both"/>
        <w:rPr>
          <w:rFonts w:asciiTheme="majorBidi" w:hAnsiTheme="majorBidi" w:cstheme="majorBidi"/>
          <w:b/>
          <w:bCs/>
          <w:color w:val="C45911" w:themeColor="accent2" w:themeShade="BF"/>
          <w:sz w:val="28"/>
          <w:szCs w:val="28"/>
        </w:rPr>
      </w:pPr>
      <w:r w:rsidRPr="002D3FB1">
        <w:rPr>
          <w:rFonts w:asciiTheme="majorBidi" w:hAnsiTheme="majorBidi" w:cstheme="majorBidi"/>
          <w:b/>
          <w:bCs/>
          <w:color w:val="C45911" w:themeColor="accent2" w:themeShade="BF"/>
          <w:sz w:val="28"/>
          <w:szCs w:val="28"/>
        </w:rPr>
        <w:t>Recommendations</w:t>
      </w:r>
    </w:p>
    <w:p w14:paraId="1A91034B" w14:textId="77777777" w:rsidR="002D3FB1" w:rsidRPr="002D3FB1" w:rsidRDefault="002D3FB1" w:rsidP="002D3FB1">
      <w:pPr>
        <w:pStyle w:val="ListParagraph"/>
        <w:ind w:left="360"/>
        <w:jc w:val="both"/>
        <w:rPr>
          <w:rFonts w:asciiTheme="majorBidi" w:hAnsiTheme="majorBidi" w:cstheme="majorBidi"/>
          <w:b/>
          <w:bCs/>
          <w:color w:val="C45911" w:themeColor="accent2" w:themeShade="BF"/>
          <w:sz w:val="28"/>
          <w:szCs w:val="28"/>
        </w:rPr>
      </w:pPr>
    </w:p>
    <w:p w14:paraId="0A228A1C" w14:textId="77777777" w:rsidR="002D3FB1" w:rsidRDefault="002D3FB1" w:rsidP="002D3FB1">
      <w:pPr>
        <w:pStyle w:val="ListParagraph"/>
        <w:numPr>
          <w:ilvl w:val="0"/>
          <w:numId w:val="46"/>
        </w:numPr>
        <w:jc w:val="both"/>
        <w:rPr>
          <w:rFonts w:asciiTheme="majorBidi" w:hAnsiTheme="majorBidi" w:cstheme="majorBidi"/>
          <w:sz w:val="24"/>
          <w:szCs w:val="24"/>
        </w:rPr>
      </w:pPr>
      <w:r w:rsidRPr="002D3FB1">
        <w:rPr>
          <w:rFonts w:asciiTheme="majorBidi" w:hAnsiTheme="majorBidi" w:cstheme="majorBidi"/>
          <w:sz w:val="24"/>
          <w:szCs w:val="24"/>
        </w:rPr>
        <w:t>Urge the Dutch government to take effective measures to close the gender pay gap by enhancing transparency in wage policies and ensuring equal pay for work of equal value.</w:t>
      </w:r>
    </w:p>
    <w:p w14:paraId="2FB8D3EF" w14:textId="77777777" w:rsidR="000A1E71" w:rsidRDefault="002D3FB1" w:rsidP="000A1E71">
      <w:pPr>
        <w:pStyle w:val="ListParagraph"/>
        <w:numPr>
          <w:ilvl w:val="0"/>
          <w:numId w:val="46"/>
        </w:numPr>
        <w:jc w:val="both"/>
        <w:rPr>
          <w:rFonts w:asciiTheme="majorBidi" w:hAnsiTheme="majorBidi" w:cstheme="majorBidi"/>
          <w:sz w:val="24"/>
          <w:szCs w:val="24"/>
        </w:rPr>
      </w:pPr>
      <w:r w:rsidRPr="002D3FB1">
        <w:rPr>
          <w:rFonts w:asciiTheme="majorBidi" w:hAnsiTheme="majorBidi" w:cstheme="majorBidi"/>
          <w:sz w:val="24"/>
          <w:szCs w:val="24"/>
        </w:rPr>
        <w:t>Call on the Dutch government to address the gender gap in part-time work by adopting policies that support work-life balance and promote the sharing of family responsibilities.</w:t>
      </w:r>
    </w:p>
    <w:p w14:paraId="652D1E4D" w14:textId="77777777" w:rsidR="000A1E71" w:rsidRDefault="002D3FB1" w:rsidP="000A1E71">
      <w:pPr>
        <w:pStyle w:val="ListParagraph"/>
        <w:numPr>
          <w:ilvl w:val="0"/>
          <w:numId w:val="46"/>
        </w:numPr>
        <w:jc w:val="both"/>
        <w:rPr>
          <w:rFonts w:asciiTheme="majorBidi" w:hAnsiTheme="majorBidi" w:cstheme="majorBidi"/>
          <w:sz w:val="24"/>
          <w:szCs w:val="24"/>
        </w:rPr>
      </w:pPr>
      <w:r w:rsidRPr="000A1E71">
        <w:rPr>
          <w:rFonts w:asciiTheme="majorBidi" w:hAnsiTheme="majorBidi" w:cstheme="majorBidi"/>
          <w:sz w:val="24"/>
          <w:szCs w:val="24"/>
        </w:rPr>
        <w:t>Consider developing an action plan to increase the number of healthcare workers by 2035.</w:t>
      </w:r>
    </w:p>
    <w:p w14:paraId="326C74A0" w14:textId="77777777" w:rsidR="000A1E71" w:rsidRDefault="002D3FB1" w:rsidP="000A1E71">
      <w:pPr>
        <w:pStyle w:val="ListParagraph"/>
        <w:numPr>
          <w:ilvl w:val="0"/>
          <w:numId w:val="46"/>
        </w:numPr>
        <w:jc w:val="both"/>
        <w:rPr>
          <w:rFonts w:asciiTheme="majorBidi" w:hAnsiTheme="majorBidi" w:cstheme="majorBidi"/>
          <w:sz w:val="24"/>
          <w:szCs w:val="24"/>
        </w:rPr>
      </w:pPr>
      <w:r w:rsidRPr="000A1E71">
        <w:rPr>
          <w:rFonts w:asciiTheme="majorBidi" w:hAnsiTheme="majorBidi" w:cstheme="majorBidi"/>
          <w:sz w:val="24"/>
          <w:szCs w:val="24"/>
        </w:rPr>
        <w:t>Work to include immigrants and refugees in social security on an equal footing with other groups in the Netherlands.</w:t>
      </w:r>
    </w:p>
    <w:p w14:paraId="77437363" w14:textId="77777777" w:rsidR="000A1E71" w:rsidRDefault="002D3FB1" w:rsidP="000A1E71">
      <w:pPr>
        <w:pStyle w:val="ListParagraph"/>
        <w:numPr>
          <w:ilvl w:val="0"/>
          <w:numId w:val="46"/>
        </w:numPr>
        <w:jc w:val="both"/>
        <w:rPr>
          <w:rFonts w:asciiTheme="majorBidi" w:hAnsiTheme="majorBidi" w:cstheme="majorBidi"/>
          <w:sz w:val="24"/>
          <w:szCs w:val="24"/>
        </w:rPr>
      </w:pPr>
      <w:r w:rsidRPr="000A1E71">
        <w:rPr>
          <w:rFonts w:asciiTheme="majorBidi" w:hAnsiTheme="majorBidi" w:cstheme="majorBidi"/>
          <w:sz w:val="24"/>
          <w:szCs w:val="24"/>
        </w:rPr>
        <w:t>Call on the Dutch government to regularly monitor and update minimum wage and pension levels to ensure citizens maintain their purchasing power in the face of rising living costs.</w:t>
      </w:r>
    </w:p>
    <w:p w14:paraId="37001128" w14:textId="77777777" w:rsidR="000A1E71" w:rsidRDefault="002D3FB1" w:rsidP="000A1E71">
      <w:pPr>
        <w:pStyle w:val="ListParagraph"/>
        <w:numPr>
          <w:ilvl w:val="0"/>
          <w:numId w:val="46"/>
        </w:numPr>
        <w:jc w:val="both"/>
        <w:rPr>
          <w:rFonts w:asciiTheme="majorBidi" w:hAnsiTheme="majorBidi" w:cstheme="majorBidi"/>
          <w:sz w:val="24"/>
          <w:szCs w:val="24"/>
        </w:rPr>
      </w:pPr>
      <w:r w:rsidRPr="000A1E71">
        <w:rPr>
          <w:rFonts w:asciiTheme="majorBidi" w:hAnsiTheme="majorBidi" w:cstheme="majorBidi"/>
          <w:sz w:val="24"/>
          <w:szCs w:val="24"/>
        </w:rPr>
        <w:t>Urge the Dutch government to intensify its efforts to address the housing crisis by increasing housing construction to exceed the annual target and improving the speed of provision of social housing units to reduce long waiting periods.</w:t>
      </w:r>
    </w:p>
    <w:p w14:paraId="3C27C122" w14:textId="77777777" w:rsidR="000A1E71" w:rsidRDefault="002D3FB1" w:rsidP="000A1E71">
      <w:pPr>
        <w:pStyle w:val="ListParagraph"/>
        <w:numPr>
          <w:ilvl w:val="0"/>
          <w:numId w:val="46"/>
        </w:numPr>
        <w:jc w:val="both"/>
        <w:rPr>
          <w:rFonts w:asciiTheme="majorBidi" w:hAnsiTheme="majorBidi" w:cstheme="majorBidi"/>
          <w:sz w:val="24"/>
          <w:szCs w:val="24"/>
        </w:rPr>
      </w:pPr>
      <w:r w:rsidRPr="000A1E71">
        <w:rPr>
          <w:rFonts w:asciiTheme="majorBidi" w:hAnsiTheme="majorBidi" w:cstheme="majorBidi"/>
          <w:sz w:val="24"/>
          <w:szCs w:val="24"/>
        </w:rPr>
        <w:t>Call on the Dutch government to strengthen enforcement of the Affordable Rent Act and ensure strict penalties are imposed on violators to maintain stable rent prices and protect tenants from unjustified increases.</w:t>
      </w:r>
    </w:p>
    <w:p w14:paraId="6DBC93C6" w14:textId="77777777" w:rsidR="000A1E71" w:rsidRDefault="002D3FB1" w:rsidP="000A1E71">
      <w:pPr>
        <w:pStyle w:val="ListParagraph"/>
        <w:numPr>
          <w:ilvl w:val="0"/>
          <w:numId w:val="46"/>
        </w:numPr>
        <w:jc w:val="both"/>
        <w:rPr>
          <w:rFonts w:asciiTheme="majorBidi" w:hAnsiTheme="majorBidi" w:cstheme="majorBidi"/>
          <w:sz w:val="24"/>
          <w:szCs w:val="24"/>
        </w:rPr>
      </w:pPr>
      <w:r w:rsidRPr="000A1E71">
        <w:rPr>
          <w:rFonts w:asciiTheme="majorBidi" w:hAnsiTheme="majorBidi" w:cstheme="majorBidi"/>
          <w:sz w:val="24"/>
          <w:szCs w:val="24"/>
        </w:rPr>
        <w:lastRenderedPageBreak/>
        <w:t>The need to adopt health programs targeting low-income elderly people and improve preventive care services for this group.</w:t>
      </w:r>
    </w:p>
    <w:p w14:paraId="0AD91795" w14:textId="583B15B5" w:rsidR="002D3FB1" w:rsidRPr="000A1E71" w:rsidRDefault="002D3FB1" w:rsidP="000A1E71">
      <w:pPr>
        <w:pStyle w:val="ListParagraph"/>
        <w:numPr>
          <w:ilvl w:val="0"/>
          <w:numId w:val="46"/>
        </w:numPr>
        <w:jc w:val="both"/>
        <w:rPr>
          <w:rFonts w:asciiTheme="majorBidi" w:hAnsiTheme="majorBidi" w:cstheme="majorBidi"/>
          <w:sz w:val="24"/>
          <w:szCs w:val="24"/>
        </w:rPr>
      </w:pPr>
      <w:r w:rsidRPr="000A1E71">
        <w:rPr>
          <w:rFonts w:asciiTheme="majorBidi" w:hAnsiTheme="majorBidi" w:cstheme="majorBidi"/>
          <w:sz w:val="24"/>
          <w:szCs w:val="24"/>
        </w:rPr>
        <w:t>The need to provide financial and educational support to children from low-income families and reduce reliance on private tutoring.</w:t>
      </w:r>
    </w:p>
    <w:p w14:paraId="2085D54C" w14:textId="77777777" w:rsidR="002D3FB1" w:rsidRPr="001A11BE" w:rsidRDefault="002D3FB1" w:rsidP="00195D8E">
      <w:pPr>
        <w:jc w:val="both"/>
        <w:rPr>
          <w:rFonts w:asciiTheme="majorBidi" w:hAnsiTheme="majorBidi" w:cstheme="majorBidi"/>
          <w:sz w:val="24"/>
          <w:szCs w:val="24"/>
          <w:rtl/>
        </w:rPr>
      </w:pPr>
    </w:p>
    <w:sectPr w:rsidR="002D3FB1" w:rsidRPr="001A11BE"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56B7B" w14:textId="77777777" w:rsidR="009D4EE3" w:rsidRDefault="009D4EE3" w:rsidP="004F6D5A">
      <w:pPr>
        <w:spacing w:after="0" w:line="240" w:lineRule="auto"/>
      </w:pPr>
      <w:r>
        <w:separator/>
      </w:r>
    </w:p>
  </w:endnote>
  <w:endnote w:type="continuationSeparator" w:id="0">
    <w:p w14:paraId="65704955" w14:textId="77777777" w:rsidR="009D4EE3" w:rsidRDefault="009D4EE3"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6E3F4" w14:textId="77777777" w:rsidR="009D4EE3" w:rsidRDefault="009D4EE3" w:rsidP="004F6D5A">
      <w:pPr>
        <w:spacing w:after="0" w:line="240" w:lineRule="auto"/>
      </w:pPr>
      <w:r>
        <w:separator/>
      </w:r>
    </w:p>
  </w:footnote>
  <w:footnote w:type="continuationSeparator" w:id="0">
    <w:p w14:paraId="43C1047C" w14:textId="77777777" w:rsidR="009D4EE3" w:rsidRDefault="009D4EE3" w:rsidP="004F6D5A">
      <w:pPr>
        <w:spacing w:after="0" w:line="240" w:lineRule="auto"/>
      </w:pPr>
      <w:r>
        <w:continuationSeparator/>
      </w:r>
    </w:p>
  </w:footnote>
  <w:footnote w:id="1">
    <w:p w14:paraId="5707A554" w14:textId="187E9AC3" w:rsidR="000A1E71" w:rsidRPr="00501B10" w:rsidRDefault="000A1E71">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00501B10"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Dutch gender pay gap costs €10.8bn per year, research shows, </w:t>
      </w:r>
      <w:r w:rsidRPr="00501B10">
        <w:rPr>
          <w:rFonts w:asciiTheme="majorBidi" w:hAnsiTheme="majorBidi" w:cstheme="majorBidi"/>
          <w:sz w:val="18"/>
          <w:szCs w:val="18"/>
        </w:rPr>
        <w:t>D</w:t>
      </w:r>
      <w:r w:rsidRPr="00501B10">
        <w:rPr>
          <w:rFonts w:asciiTheme="majorBidi" w:hAnsiTheme="majorBidi" w:cstheme="majorBidi"/>
          <w:sz w:val="18"/>
          <w:szCs w:val="18"/>
        </w:rPr>
        <w:t>utch</w:t>
      </w:r>
      <w:r w:rsidRPr="00501B10">
        <w:rPr>
          <w:rFonts w:asciiTheme="majorBidi" w:hAnsiTheme="majorBidi" w:cstheme="majorBidi"/>
          <w:sz w:val="18"/>
          <w:szCs w:val="18"/>
        </w:rPr>
        <w:t xml:space="preserve"> N</w:t>
      </w:r>
      <w:r w:rsidRPr="00501B10">
        <w:rPr>
          <w:rFonts w:asciiTheme="majorBidi" w:hAnsiTheme="majorBidi" w:cstheme="majorBidi"/>
          <w:sz w:val="18"/>
          <w:szCs w:val="18"/>
        </w:rPr>
        <w:t xml:space="preserve">ews, 31 January, 2022, </w:t>
      </w:r>
      <w:hyperlink r:id="rId1" w:history="1">
        <w:r w:rsidRPr="00501B10">
          <w:rPr>
            <w:rStyle w:val="Hyperlink"/>
            <w:rFonts w:asciiTheme="majorBidi" w:hAnsiTheme="majorBidi" w:cstheme="majorBidi"/>
            <w:sz w:val="18"/>
            <w:szCs w:val="18"/>
          </w:rPr>
          <w:t>https://tinyurl.com/mr442pxk</w:t>
        </w:r>
      </w:hyperlink>
      <w:r w:rsidRPr="00501B10">
        <w:rPr>
          <w:rFonts w:asciiTheme="majorBidi" w:hAnsiTheme="majorBidi" w:cstheme="majorBidi"/>
          <w:sz w:val="18"/>
          <w:szCs w:val="18"/>
        </w:rPr>
        <w:t xml:space="preserve"> </w:t>
      </w:r>
    </w:p>
  </w:footnote>
  <w:footnote w:id="2">
    <w:p w14:paraId="12F4C585" w14:textId="1DCDCB10" w:rsidR="000A1E71" w:rsidRPr="00501B10" w:rsidRDefault="000A1E71">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Dutch Senate expands constitutional ban on discrimination, </w:t>
      </w:r>
      <w:r w:rsidRPr="00501B10">
        <w:rPr>
          <w:rFonts w:asciiTheme="majorBidi" w:hAnsiTheme="majorBidi" w:cstheme="majorBidi"/>
          <w:sz w:val="18"/>
          <w:szCs w:val="18"/>
        </w:rPr>
        <w:t>AP N</w:t>
      </w:r>
      <w:r w:rsidRPr="00501B10">
        <w:rPr>
          <w:rFonts w:asciiTheme="majorBidi" w:hAnsiTheme="majorBidi" w:cstheme="majorBidi"/>
          <w:sz w:val="18"/>
          <w:szCs w:val="18"/>
        </w:rPr>
        <w:t xml:space="preserve">ews, 17 January, 2023, </w:t>
      </w:r>
      <w:hyperlink r:id="rId2" w:history="1">
        <w:r w:rsidRPr="00501B10">
          <w:rPr>
            <w:rStyle w:val="Hyperlink"/>
            <w:rFonts w:asciiTheme="majorBidi" w:hAnsiTheme="majorBidi" w:cstheme="majorBidi"/>
            <w:sz w:val="18"/>
            <w:szCs w:val="18"/>
          </w:rPr>
          <w:t>https://tinyurl.com/mry768bh</w:t>
        </w:r>
      </w:hyperlink>
      <w:r w:rsidRPr="00501B10">
        <w:rPr>
          <w:rFonts w:asciiTheme="majorBidi" w:hAnsiTheme="majorBidi" w:cstheme="majorBidi"/>
          <w:sz w:val="18"/>
          <w:szCs w:val="18"/>
        </w:rPr>
        <w:t xml:space="preserve"> </w:t>
      </w:r>
    </w:p>
  </w:footnote>
  <w:footnote w:id="3">
    <w:p w14:paraId="57E42293" w14:textId="75896E44" w:rsidR="000A1E71" w:rsidRPr="00501B10" w:rsidRDefault="000A1E71">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Gender wage gap increases to 7.4% in Netherlands, </w:t>
      </w:r>
      <w:r w:rsidRPr="00501B10">
        <w:rPr>
          <w:rFonts w:asciiTheme="majorBidi" w:hAnsiTheme="majorBidi" w:cstheme="majorBidi"/>
          <w:sz w:val="18"/>
          <w:szCs w:val="18"/>
        </w:rPr>
        <w:t>NL T</w:t>
      </w:r>
      <w:r w:rsidRPr="00501B10">
        <w:rPr>
          <w:rFonts w:asciiTheme="majorBidi" w:hAnsiTheme="majorBidi" w:cstheme="majorBidi"/>
          <w:sz w:val="18"/>
          <w:szCs w:val="18"/>
        </w:rPr>
        <w:t xml:space="preserve">imes, 2 October 2023, </w:t>
      </w:r>
      <w:hyperlink r:id="rId3" w:history="1">
        <w:r w:rsidRPr="00501B10">
          <w:rPr>
            <w:rStyle w:val="Hyperlink"/>
            <w:rFonts w:asciiTheme="majorBidi" w:hAnsiTheme="majorBidi" w:cstheme="majorBidi"/>
            <w:sz w:val="18"/>
            <w:szCs w:val="18"/>
          </w:rPr>
          <w:t>https://tinyurl.com/yy3jwrar</w:t>
        </w:r>
      </w:hyperlink>
      <w:r w:rsidRPr="00501B10">
        <w:rPr>
          <w:rFonts w:asciiTheme="majorBidi" w:hAnsiTheme="majorBidi" w:cstheme="majorBidi"/>
          <w:sz w:val="18"/>
          <w:szCs w:val="18"/>
        </w:rPr>
        <w:t xml:space="preserve"> </w:t>
      </w:r>
    </w:p>
  </w:footnote>
  <w:footnote w:id="4">
    <w:p w14:paraId="08ABDF1B" w14:textId="0EF0B161" w:rsidR="000A1E71" w:rsidRPr="00501B10" w:rsidRDefault="000A1E71">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Netherlands in 28th on Global Gender Gap Index this year, NL Times, 21 June 2023, </w:t>
      </w:r>
      <w:hyperlink r:id="rId4" w:history="1">
        <w:r w:rsidRPr="00501B10">
          <w:rPr>
            <w:rStyle w:val="Hyperlink"/>
            <w:rFonts w:asciiTheme="majorBidi" w:hAnsiTheme="majorBidi" w:cstheme="majorBidi"/>
            <w:sz w:val="18"/>
            <w:szCs w:val="18"/>
          </w:rPr>
          <w:t>https://tinyurl.com/4ms95y23</w:t>
        </w:r>
      </w:hyperlink>
      <w:r w:rsidRPr="00501B10">
        <w:rPr>
          <w:rFonts w:asciiTheme="majorBidi" w:hAnsiTheme="majorBidi" w:cstheme="majorBidi"/>
          <w:sz w:val="18"/>
          <w:szCs w:val="18"/>
        </w:rPr>
        <w:t xml:space="preserve"> </w:t>
      </w:r>
    </w:p>
  </w:footnote>
  <w:footnote w:id="5">
    <w:p w14:paraId="38EBE101" w14:textId="76760431" w:rsidR="000A1E71" w:rsidRPr="00501B10" w:rsidRDefault="000A1E71">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Netherlands - Gender gap in part-time employment, </w:t>
      </w:r>
      <w:r w:rsidRPr="00501B10">
        <w:rPr>
          <w:rFonts w:asciiTheme="majorBidi" w:hAnsiTheme="majorBidi" w:cstheme="majorBidi"/>
          <w:sz w:val="18"/>
          <w:szCs w:val="18"/>
        </w:rPr>
        <w:t>Trading Economics</w:t>
      </w:r>
      <w:r w:rsidRPr="00501B10">
        <w:rPr>
          <w:rFonts w:asciiTheme="majorBidi" w:hAnsiTheme="majorBidi" w:cstheme="majorBidi"/>
          <w:sz w:val="18"/>
          <w:szCs w:val="18"/>
        </w:rPr>
        <w:t xml:space="preserve">, </w:t>
      </w:r>
      <w:hyperlink r:id="rId5" w:history="1">
        <w:r w:rsidRPr="00501B10">
          <w:rPr>
            <w:rStyle w:val="Hyperlink"/>
            <w:rFonts w:asciiTheme="majorBidi" w:hAnsiTheme="majorBidi" w:cstheme="majorBidi"/>
            <w:sz w:val="18"/>
            <w:szCs w:val="18"/>
          </w:rPr>
          <w:t>https://tinyurl.com/muhujffp</w:t>
        </w:r>
      </w:hyperlink>
      <w:r w:rsidRPr="00501B10">
        <w:rPr>
          <w:rFonts w:asciiTheme="majorBidi" w:hAnsiTheme="majorBidi" w:cstheme="majorBidi"/>
          <w:sz w:val="18"/>
          <w:szCs w:val="18"/>
        </w:rPr>
        <w:t xml:space="preserve"> </w:t>
      </w:r>
    </w:p>
  </w:footnote>
  <w:footnote w:id="6">
    <w:p w14:paraId="3D4535AD" w14:textId="14EBA70D" w:rsidR="000A1E71" w:rsidRPr="00501B10" w:rsidRDefault="000A1E71">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International Covenant on Economic, Social and Cultural Rights, Article 6, </w:t>
      </w:r>
      <w:hyperlink r:id="rId6" w:history="1">
        <w:r w:rsidRPr="00501B10">
          <w:rPr>
            <w:rStyle w:val="Hyperlink"/>
            <w:rFonts w:asciiTheme="majorBidi" w:hAnsiTheme="majorBidi" w:cstheme="majorBidi"/>
            <w:sz w:val="18"/>
            <w:szCs w:val="18"/>
          </w:rPr>
          <w:t>https://tinyurl.com/3w2yjkte</w:t>
        </w:r>
      </w:hyperlink>
      <w:r w:rsidRPr="00501B10">
        <w:rPr>
          <w:rFonts w:asciiTheme="majorBidi" w:hAnsiTheme="majorBidi" w:cstheme="majorBidi"/>
          <w:sz w:val="18"/>
          <w:szCs w:val="18"/>
        </w:rPr>
        <w:t xml:space="preserve"> </w:t>
      </w:r>
    </w:p>
  </w:footnote>
  <w:footnote w:id="7">
    <w:p w14:paraId="4560B996" w14:textId="1C5DCE15" w:rsidR="000A1E71" w:rsidRPr="00501B10" w:rsidRDefault="000A1E71">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The Constitution of the Kingdom of the Netherlands, Article 19 Work and employment, </w:t>
      </w:r>
      <w:hyperlink r:id="rId7" w:history="1">
        <w:r w:rsidRPr="00501B10">
          <w:rPr>
            <w:rStyle w:val="Hyperlink"/>
            <w:rFonts w:asciiTheme="majorBidi" w:hAnsiTheme="majorBidi" w:cstheme="majorBidi"/>
            <w:sz w:val="18"/>
            <w:szCs w:val="18"/>
          </w:rPr>
          <w:t>http://www.dutchcivillaw.com/constitution.htm</w:t>
        </w:r>
      </w:hyperlink>
      <w:r w:rsidRPr="00501B10">
        <w:rPr>
          <w:rFonts w:asciiTheme="majorBidi" w:hAnsiTheme="majorBidi" w:cstheme="majorBidi"/>
          <w:sz w:val="18"/>
          <w:szCs w:val="18"/>
        </w:rPr>
        <w:t xml:space="preserve"> </w:t>
      </w:r>
    </w:p>
  </w:footnote>
  <w:footnote w:id="8">
    <w:p w14:paraId="2AC0D0BF" w14:textId="6692E5B0" w:rsidR="000609E4" w:rsidRPr="00501B10" w:rsidRDefault="000609E4">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The European flexicurity concept and the Dutch and Danish flexicurity models: How have they managed the Great Recession? Online</w:t>
      </w:r>
      <w:r w:rsidRPr="00501B10">
        <w:rPr>
          <w:rFonts w:asciiTheme="majorBidi" w:hAnsiTheme="majorBidi" w:cstheme="majorBidi"/>
          <w:sz w:val="18"/>
          <w:szCs w:val="18"/>
        </w:rPr>
        <w:t xml:space="preserve"> L</w:t>
      </w:r>
      <w:r w:rsidRPr="00501B10">
        <w:rPr>
          <w:rFonts w:asciiTheme="majorBidi" w:hAnsiTheme="majorBidi" w:cstheme="majorBidi"/>
          <w:sz w:val="18"/>
          <w:szCs w:val="18"/>
        </w:rPr>
        <w:t xml:space="preserve">ibrary, 11 September 2018, </w:t>
      </w:r>
      <w:hyperlink r:id="rId8" w:history="1">
        <w:r w:rsidRPr="00501B10">
          <w:rPr>
            <w:rStyle w:val="Hyperlink"/>
            <w:rFonts w:asciiTheme="majorBidi" w:hAnsiTheme="majorBidi" w:cstheme="majorBidi"/>
            <w:sz w:val="18"/>
            <w:szCs w:val="18"/>
          </w:rPr>
          <w:t>https://onlinelibrary.wiley.com/doi/10.1111/spol.12441</w:t>
        </w:r>
      </w:hyperlink>
      <w:r w:rsidRPr="00501B10">
        <w:rPr>
          <w:rFonts w:asciiTheme="majorBidi" w:hAnsiTheme="majorBidi" w:cstheme="majorBidi"/>
          <w:sz w:val="18"/>
          <w:szCs w:val="18"/>
        </w:rPr>
        <w:t xml:space="preserve"> </w:t>
      </w:r>
    </w:p>
  </w:footnote>
  <w:footnote w:id="9">
    <w:p w14:paraId="18DEA376" w14:textId="68D97B62" w:rsidR="000609E4" w:rsidRPr="00501B10" w:rsidRDefault="000609E4">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Key Updates to Dutch Employment Law, </w:t>
      </w:r>
      <w:proofErr w:type="spellStart"/>
      <w:r w:rsidRPr="00501B10">
        <w:rPr>
          <w:rFonts w:asciiTheme="majorBidi" w:hAnsiTheme="majorBidi" w:cstheme="majorBidi"/>
          <w:sz w:val="18"/>
          <w:szCs w:val="18"/>
        </w:rPr>
        <w:t>EuroDev</w:t>
      </w:r>
      <w:proofErr w:type="spellEnd"/>
      <w:r w:rsidRPr="00501B10">
        <w:rPr>
          <w:rFonts w:asciiTheme="majorBidi" w:hAnsiTheme="majorBidi" w:cstheme="majorBidi"/>
          <w:sz w:val="18"/>
          <w:szCs w:val="18"/>
        </w:rPr>
        <w:t xml:space="preserve">, 25 January 2024, </w:t>
      </w:r>
      <w:hyperlink r:id="rId9" w:history="1">
        <w:r w:rsidRPr="00501B10">
          <w:rPr>
            <w:rStyle w:val="Hyperlink"/>
            <w:rFonts w:asciiTheme="majorBidi" w:hAnsiTheme="majorBidi" w:cstheme="majorBidi"/>
            <w:sz w:val="18"/>
            <w:szCs w:val="18"/>
          </w:rPr>
          <w:t>https://tinyurl.com/mr2uzzrb</w:t>
        </w:r>
      </w:hyperlink>
      <w:r w:rsidRPr="00501B10">
        <w:rPr>
          <w:rFonts w:asciiTheme="majorBidi" w:hAnsiTheme="majorBidi" w:cstheme="majorBidi"/>
          <w:sz w:val="18"/>
          <w:szCs w:val="18"/>
        </w:rPr>
        <w:t xml:space="preserve"> </w:t>
      </w:r>
    </w:p>
  </w:footnote>
  <w:footnote w:id="10">
    <w:p w14:paraId="3FAC927D" w14:textId="75B74B8B" w:rsidR="000609E4" w:rsidRPr="00501B10" w:rsidRDefault="000609E4">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Netherlands unemployment rises but remains EU’s lowest, </w:t>
      </w:r>
      <w:r w:rsidRPr="00501B10">
        <w:rPr>
          <w:rFonts w:asciiTheme="majorBidi" w:hAnsiTheme="majorBidi" w:cstheme="majorBidi"/>
          <w:sz w:val="18"/>
          <w:szCs w:val="18"/>
        </w:rPr>
        <w:t>E</w:t>
      </w:r>
      <w:r w:rsidRPr="00501B10">
        <w:rPr>
          <w:rFonts w:asciiTheme="majorBidi" w:hAnsiTheme="majorBidi" w:cstheme="majorBidi"/>
          <w:sz w:val="18"/>
          <w:szCs w:val="18"/>
        </w:rPr>
        <w:t>uro</w:t>
      </w:r>
      <w:r w:rsidRPr="00501B10">
        <w:rPr>
          <w:rFonts w:asciiTheme="majorBidi" w:hAnsiTheme="majorBidi" w:cstheme="majorBidi"/>
          <w:sz w:val="18"/>
          <w:szCs w:val="18"/>
        </w:rPr>
        <w:t xml:space="preserve"> N</w:t>
      </w:r>
      <w:r w:rsidRPr="00501B10">
        <w:rPr>
          <w:rFonts w:asciiTheme="majorBidi" w:hAnsiTheme="majorBidi" w:cstheme="majorBidi"/>
          <w:sz w:val="18"/>
          <w:szCs w:val="18"/>
        </w:rPr>
        <w:t xml:space="preserve">ews, 16 November 2023, </w:t>
      </w:r>
      <w:hyperlink r:id="rId10" w:history="1">
        <w:r w:rsidRPr="00501B10">
          <w:rPr>
            <w:rStyle w:val="Hyperlink"/>
            <w:rFonts w:asciiTheme="majorBidi" w:hAnsiTheme="majorBidi" w:cstheme="majorBidi"/>
            <w:sz w:val="18"/>
            <w:szCs w:val="18"/>
          </w:rPr>
          <w:t>https://tinyurl.com/mtc6hfce</w:t>
        </w:r>
      </w:hyperlink>
      <w:r w:rsidRPr="00501B10">
        <w:rPr>
          <w:rFonts w:asciiTheme="majorBidi" w:hAnsiTheme="majorBidi" w:cstheme="majorBidi"/>
          <w:sz w:val="18"/>
          <w:szCs w:val="18"/>
        </w:rPr>
        <w:t xml:space="preserve"> </w:t>
      </w:r>
    </w:p>
  </w:footnote>
  <w:footnote w:id="11">
    <w:p w14:paraId="75616A11" w14:textId="7A42B028" w:rsidR="000609E4" w:rsidRPr="00501B10" w:rsidRDefault="000609E4">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Women more likely to have worked part-time in Q3 2023, </w:t>
      </w:r>
      <w:r w:rsidRPr="00501B10">
        <w:rPr>
          <w:rFonts w:asciiTheme="majorBidi" w:hAnsiTheme="majorBidi" w:cstheme="majorBidi"/>
          <w:sz w:val="18"/>
          <w:szCs w:val="18"/>
        </w:rPr>
        <w:t>E</w:t>
      </w:r>
      <w:r w:rsidRPr="00501B10">
        <w:rPr>
          <w:rFonts w:asciiTheme="majorBidi" w:hAnsiTheme="majorBidi" w:cstheme="majorBidi"/>
          <w:sz w:val="18"/>
          <w:szCs w:val="18"/>
        </w:rPr>
        <w:t xml:space="preserve">uropa, 7 March 2024, </w:t>
      </w:r>
      <w:hyperlink r:id="rId11" w:history="1">
        <w:r w:rsidRPr="00501B10">
          <w:rPr>
            <w:rStyle w:val="Hyperlink"/>
            <w:rFonts w:asciiTheme="majorBidi" w:hAnsiTheme="majorBidi" w:cstheme="majorBidi"/>
            <w:sz w:val="18"/>
            <w:szCs w:val="18"/>
          </w:rPr>
          <w:t>https://tinyurl.com/mryat778</w:t>
        </w:r>
      </w:hyperlink>
      <w:r w:rsidRPr="00501B10">
        <w:rPr>
          <w:rFonts w:asciiTheme="majorBidi" w:hAnsiTheme="majorBidi" w:cstheme="majorBidi"/>
          <w:sz w:val="18"/>
          <w:szCs w:val="18"/>
        </w:rPr>
        <w:t xml:space="preserve"> </w:t>
      </w:r>
    </w:p>
  </w:footnote>
  <w:footnote w:id="12">
    <w:p w14:paraId="41FE4AF1" w14:textId="77983031" w:rsidR="000609E4" w:rsidRPr="00501B10" w:rsidRDefault="000609E4">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Dutch healthcare system expected to face a shortage of 266,000 workers by 2035, </w:t>
      </w:r>
      <w:r w:rsidRPr="00501B10">
        <w:rPr>
          <w:rFonts w:asciiTheme="majorBidi" w:hAnsiTheme="majorBidi" w:cstheme="majorBidi"/>
          <w:sz w:val="18"/>
          <w:szCs w:val="18"/>
        </w:rPr>
        <w:t>NL T</w:t>
      </w:r>
      <w:r w:rsidRPr="00501B10">
        <w:rPr>
          <w:rFonts w:asciiTheme="majorBidi" w:hAnsiTheme="majorBidi" w:cstheme="majorBidi"/>
          <w:sz w:val="18"/>
          <w:szCs w:val="18"/>
        </w:rPr>
        <w:t xml:space="preserve">imes, 17 December 2024, </w:t>
      </w:r>
      <w:hyperlink r:id="rId12" w:history="1">
        <w:r w:rsidRPr="00501B10">
          <w:rPr>
            <w:rStyle w:val="Hyperlink"/>
            <w:rFonts w:asciiTheme="majorBidi" w:hAnsiTheme="majorBidi" w:cstheme="majorBidi"/>
            <w:sz w:val="18"/>
            <w:szCs w:val="18"/>
          </w:rPr>
          <w:t>https://tinyurl.com/3zzj7cem</w:t>
        </w:r>
      </w:hyperlink>
      <w:r w:rsidRPr="00501B10">
        <w:rPr>
          <w:rFonts w:asciiTheme="majorBidi" w:hAnsiTheme="majorBidi" w:cstheme="majorBidi"/>
          <w:sz w:val="18"/>
          <w:szCs w:val="18"/>
        </w:rPr>
        <w:t xml:space="preserve"> </w:t>
      </w:r>
    </w:p>
  </w:footnote>
  <w:footnote w:id="13">
    <w:p w14:paraId="3D1E6751" w14:textId="396BFC74" w:rsidR="000609E4" w:rsidRPr="00501B10" w:rsidRDefault="000609E4">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The Constitution of the Kingdom of the Netherlands, Article 20, </w:t>
      </w:r>
      <w:hyperlink r:id="rId13" w:history="1">
        <w:r w:rsidRPr="00501B10">
          <w:rPr>
            <w:rStyle w:val="Hyperlink"/>
            <w:rFonts w:asciiTheme="majorBidi" w:hAnsiTheme="majorBidi" w:cstheme="majorBidi"/>
            <w:sz w:val="18"/>
            <w:szCs w:val="18"/>
          </w:rPr>
          <w:t>http://www.dutchcivillaw.com/constitution.htm</w:t>
        </w:r>
      </w:hyperlink>
      <w:r w:rsidRPr="00501B10">
        <w:rPr>
          <w:rFonts w:asciiTheme="majorBidi" w:hAnsiTheme="majorBidi" w:cstheme="majorBidi"/>
          <w:sz w:val="18"/>
          <w:szCs w:val="18"/>
        </w:rPr>
        <w:t xml:space="preserve"> </w:t>
      </w:r>
    </w:p>
  </w:footnote>
  <w:footnote w:id="14">
    <w:p w14:paraId="462FB839" w14:textId="789FA247" w:rsidR="000609E4" w:rsidRPr="00501B10" w:rsidRDefault="000609E4">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Netherlands Approves Transition to Defined Contribution Pension Plans, </w:t>
      </w:r>
      <w:r w:rsidR="00574903" w:rsidRPr="00501B10">
        <w:rPr>
          <w:rFonts w:asciiTheme="majorBidi" w:hAnsiTheme="majorBidi" w:cstheme="majorBidi"/>
          <w:sz w:val="18"/>
          <w:szCs w:val="18"/>
        </w:rPr>
        <w:t>Social Security Administration</w:t>
      </w:r>
      <w:r w:rsidRPr="00501B10">
        <w:rPr>
          <w:rFonts w:asciiTheme="majorBidi" w:hAnsiTheme="majorBidi" w:cstheme="majorBidi"/>
          <w:sz w:val="18"/>
          <w:szCs w:val="18"/>
        </w:rPr>
        <w:t xml:space="preserve">, </w:t>
      </w:r>
      <w:hyperlink r:id="rId14" w:history="1">
        <w:r w:rsidRPr="00501B10">
          <w:rPr>
            <w:rStyle w:val="Hyperlink"/>
            <w:rFonts w:asciiTheme="majorBidi" w:hAnsiTheme="majorBidi" w:cstheme="majorBidi"/>
            <w:sz w:val="18"/>
            <w:szCs w:val="18"/>
          </w:rPr>
          <w:t>https://tinyurl.com/ynkmvh6d</w:t>
        </w:r>
      </w:hyperlink>
      <w:r w:rsidRPr="00501B10">
        <w:rPr>
          <w:rFonts w:asciiTheme="majorBidi" w:hAnsiTheme="majorBidi" w:cstheme="majorBidi"/>
          <w:sz w:val="18"/>
          <w:szCs w:val="18"/>
        </w:rPr>
        <w:t xml:space="preserve"> </w:t>
      </w:r>
    </w:p>
  </w:footnote>
  <w:footnote w:id="15">
    <w:p w14:paraId="71DE4799" w14:textId="48D47926" w:rsidR="00574903" w:rsidRPr="00501B10" w:rsidRDefault="00574903">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Dozens of laws and rule changes take effect in the Netherlands on 1 January 2025, </w:t>
      </w:r>
      <w:r w:rsidRPr="00501B10">
        <w:rPr>
          <w:rFonts w:asciiTheme="majorBidi" w:hAnsiTheme="majorBidi" w:cstheme="majorBidi"/>
          <w:sz w:val="18"/>
          <w:szCs w:val="18"/>
        </w:rPr>
        <w:t>NL T</w:t>
      </w:r>
      <w:r w:rsidRPr="00501B10">
        <w:rPr>
          <w:rFonts w:asciiTheme="majorBidi" w:hAnsiTheme="majorBidi" w:cstheme="majorBidi"/>
          <w:sz w:val="18"/>
          <w:szCs w:val="18"/>
        </w:rPr>
        <w:t xml:space="preserve">imes, 20 December 2024, </w:t>
      </w:r>
      <w:hyperlink r:id="rId15" w:history="1">
        <w:r w:rsidRPr="00501B10">
          <w:rPr>
            <w:rStyle w:val="Hyperlink"/>
            <w:rFonts w:asciiTheme="majorBidi" w:hAnsiTheme="majorBidi" w:cstheme="majorBidi"/>
            <w:sz w:val="18"/>
            <w:szCs w:val="18"/>
          </w:rPr>
          <w:t>https://tinyurl.com/424be797</w:t>
        </w:r>
      </w:hyperlink>
      <w:r w:rsidRPr="00501B10">
        <w:rPr>
          <w:rFonts w:asciiTheme="majorBidi" w:hAnsiTheme="majorBidi" w:cstheme="majorBidi"/>
          <w:sz w:val="18"/>
          <w:szCs w:val="18"/>
        </w:rPr>
        <w:t xml:space="preserve"> </w:t>
      </w:r>
    </w:p>
  </w:footnote>
  <w:footnote w:id="16">
    <w:p w14:paraId="0529935C" w14:textId="718B259C" w:rsidR="00574903" w:rsidRPr="00501B10" w:rsidRDefault="00574903">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Additional €2 billion to fight poverty, </w:t>
      </w:r>
      <w:r w:rsidRPr="00501B10">
        <w:rPr>
          <w:rFonts w:asciiTheme="majorBidi" w:hAnsiTheme="majorBidi" w:cstheme="majorBidi"/>
          <w:sz w:val="18"/>
          <w:szCs w:val="18"/>
        </w:rPr>
        <w:t>Government of the Netherlands</w:t>
      </w:r>
      <w:r w:rsidRPr="00501B10">
        <w:rPr>
          <w:rFonts w:asciiTheme="majorBidi" w:hAnsiTheme="majorBidi" w:cstheme="majorBidi"/>
          <w:sz w:val="18"/>
          <w:szCs w:val="18"/>
        </w:rPr>
        <w:t xml:space="preserve">, 19 </w:t>
      </w:r>
      <w:r w:rsidRPr="00501B10">
        <w:rPr>
          <w:rFonts w:asciiTheme="majorBidi" w:hAnsiTheme="majorBidi" w:cstheme="majorBidi"/>
          <w:sz w:val="18"/>
          <w:szCs w:val="18"/>
        </w:rPr>
        <w:t>September</w:t>
      </w:r>
      <w:r w:rsidRPr="00501B10">
        <w:rPr>
          <w:rFonts w:asciiTheme="majorBidi" w:hAnsiTheme="majorBidi" w:cstheme="majorBidi"/>
          <w:sz w:val="18"/>
          <w:szCs w:val="18"/>
        </w:rPr>
        <w:t xml:space="preserve"> 2023, </w:t>
      </w:r>
      <w:hyperlink r:id="rId16" w:history="1">
        <w:r w:rsidRPr="00501B10">
          <w:rPr>
            <w:rStyle w:val="Hyperlink"/>
            <w:rFonts w:asciiTheme="majorBidi" w:hAnsiTheme="majorBidi" w:cstheme="majorBidi"/>
            <w:sz w:val="18"/>
            <w:szCs w:val="18"/>
          </w:rPr>
          <w:t>https://tinyurl.com/3mr7b9t</w:t>
        </w:r>
      </w:hyperlink>
      <w:r w:rsidRPr="00501B10">
        <w:rPr>
          <w:rFonts w:asciiTheme="majorBidi" w:hAnsiTheme="majorBidi" w:cstheme="majorBidi"/>
          <w:sz w:val="18"/>
          <w:szCs w:val="18"/>
        </w:rPr>
        <w:t xml:space="preserve"> </w:t>
      </w:r>
    </w:p>
  </w:footnote>
  <w:footnote w:id="17">
    <w:p w14:paraId="4A144E93" w14:textId="3C4D46C7" w:rsidR="00A927E9" w:rsidRPr="00501B10" w:rsidRDefault="00A927E9">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New method of measuring poverty: 540 thousand people in poverty in 2023, CBS, 18 </w:t>
      </w:r>
      <w:r w:rsidRPr="00501B10">
        <w:rPr>
          <w:rFonts w:asciiTheme="majorBidi" w:hAnsiTheme="majorBidi" w:cstheme="majorBidi"/>
          <w:sz w:val="18"/>
          <w:szCs w:val="18"/>
        </w:rPr>
        <w:t>October</w:t>
      </w:r>
      <w:r w:rsidRPr="00501B10">
        <w:rPr>
          <w:rFonts w:asciiTheme="majorBidi" w:hAnsiTheme="majorBidi" w:cstheme="majorBidi"/>
          <w:sz w:val="18"/>
          <w:szCs w:val="18"/>
        </w:rPr>
        <w:t xml:space="preserve"> 2024, </w:t>
      </w:r>
      <w:hyperlink r:id="rId17" w:history="1">
        <w:r w:rsidRPr="00501B10">
          <w:rPr>
            <w:rStyle w:val="Hyperlink"/>
            <w:rFonts w:asciiTheme="majorBidi" w:hAnsiTheme="majorBidi" w:cstheme="majorBidi"/>
            <w:sz w:val="18"/>
            <w:szCs w:val="18"/>
          </w:rPr>
          <w:t>https://tinyurl.com/4exc2jyt</w:t>
        </w:r>
      </w:hyperlink>
      <w:r w:rsidRPr="00501B10">
        <w:rPr>
          <w:rFonts w:asciiTheme="majorBidi" w:hAnsiTheme="majorBidi" w:cstheme="majorBidi"/>
          <w:sz w:val="18"/>
          <w:szCs w:val="18"/>
        </w:rPr>
        <w:t xml:space="preserve"> </w:t>
      </w:r>
    </w:p>
  </w:footnote>
  <w:footnote w:id="18">
    <w:p w14:paraId="6E35E0BC" w14:textId="26338ECF" w:rsidR="00A927E9" w:rsidRPr="00501B10" w:rsidRDefault="00A927E9">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Dutch home prices increased by 8.7 percent last year, </w:t>
      </w:r>
      <w:r w:rsidRPr="00501B10">
        <w:rPr>
          <w:rFonts w:asciiTheme="majorBidi" w:hAnsiTheme="majorBidi" w:cstheme="majorBidi"/>
          <w:sz w:val="18"/>
          <w:szCs w:val="18"/>
        </w:rPr>
        <w:t>NL Times</w:t>
      </w:r>
      <w:r w:rsidRPr="00501B10">
        <w:rPr>
          <w:rFonts w:asciiTheme="majorBidi" w:hAnsiTheme="majorBidi" w:cstheme="majorBidi"/>
          <w:sz w:val="18"/>
          <w:szCs w:val="18"/>
        </w:rPr>
        <w:t xml:space="preserve">, 22 January 2025, </w:t>
      </w:r>
      <w:hyperlink r:id="rId18" w:history="1">
        <w:r w:rsidRPr="00501B10">
          <w:rPr>
            <w:rStyle w:val="Hyperlink"/>
            <w:rFonts w:asciiTheme="majorBidi" w:hAnsiTheme="majorBidi" w:cstheme="majorBidi"/>
            <w:sz w:val="18"/>
            <w:szCs w:val="18"/>
          </w:rPr>
          <w:t>https://tinyurl.com/592nsyvw</w:t>
        </w:r>
      </w:hyperlink>
      <w:r w:rsidRPr="00501B10">
        <w:rPr>
          <w:rFonts w:asciiTheme="majorBidi" w:hAnsiTheme="majorBidi" w:cstheme="majorBidi"/>
          <w:sz w:val="18"/>
          <w:szCs w:val="18"/>
        </w:rPr>
        <w:t xml:space="preserve"> </w:t>
      </w:r>
    </w:p>
  </w:footnote>
  <w:footnote w:id="19">
    <w:p w14:paraId="6DD1A295" w14:textId="05AD6B6D" w:rsidR="00A927E9" w:rsidRPr="00501B10" w:rsidRDefault="00A927E9">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Squeezed out of the market: Why is renting so difficult in the Netherlands? Euronews, 13 </w:t>
      </w:r>
      <w:r w:rsidRPr="00501B10">
        <w:rPr>
          <w:rFonts w:asciiTheme="majorBidi" w:hAnsiTheme="majorBidi" w:cstheme="majorBidi"/>
          <w:sz w:val="18"/>
          <w:szCs w:val="18"/>
        </w:rPr>
        <w:t>December</w:t>
      </w:r>
      <w:r w:rsidRPr="00501B10">
        <w:rPr>
          <w:rFonts w:asciiTheme="majorBidi" w:hAnsiTheme="majorBidi" w:cstheme="majorBidi"/>
          <w:sz w:val="18"/>
          <w:szCs w:val="18"/>
        </w:rPr>
        <w:t xml:space="preserve"> 2024, </w:t>
      </w:r>
      <w:hyperlink r:id="rId19" w:history="1">
        <w:r w:rsidRPr="00501B10">
          <w:rPr>
            <w:rStyle w:val="Hyperlink"/>
            <w:rFonts w:asciiTheme="majorBidi" w:hAnsiTheme="majorBidi" w:cstheme="majorBidi"/>
            <w:sz w:val="18"/>
            <w:szCs w:val="18"/>
          </w:rPr>
          <w:t>https://tinyurl.com/4rkay33y</w:t>
        </w:r>
      </w:hyperlink>
      <w:r w:rsidRPr="00501B10">
        <w:rPr>
          <w:rFonts w:asciiTheme="majorBidi" w:hAnsiTheme="majorBidi" w:cstheme="majorBidi"/>
          <w:sz w:val="18"/>
          <w:szCs w:val="18"/>
        </w:rPr>
        <w:t xml:space="preserve"> </w:t>
      </w:r>
    </w:p>
  </w:footnote>
  <w:footnote w:id="20">
    <w:p w14:paraId="565B2DD0" w14:textId="3AF15FAF" w:rsidR="00A927E9" w:rsidRPr="00501B10" w:rsidRDefault="00A927E9">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How Health Disparities Develop over the Lifecycle, National Bureau of Economic Research, 11 </w:t>
      </w:r>
      <w:r w:rsidRPr="00501B10">
        <w:rPr>
          <w:rFonts w:asciiTheme="majorBidi" w:hAnsiTheme="majorBidi" w:cstheme="majorBidi"/>
          <w:sz w:val="18"/>
          <w:szCs w:val="18"/>
        </w:rPr>
        <w:t>July</w:t>
      </w:r>
      <w:r w:rsidRPr="00501B10">
        <w:rPr>
          <w:rFonts w:asciiTheme="majorBidi" w:hAnsiTheme="majorBidi" w:cstheme="majorBidi"/>
          <w:sz w:val="18"/>
          <w:szCs w:val="18"/>
        </w:rPr>
        <w:t xml:space="preserve"> 2024, </w:t>
      </w:r>
      <w:hyperlink r:id="rId20" w:history="1">
        <w:r w:rsidRPr="00501B10">
          <w:rPr>
            <w:rStyle w:val="Hyperlink"/>
            <w:rFonts w:asciiTheme="majorBidi" w:hAnsiTheme="majorBidi" w:cstheme="majorBidi"/>
            <w:sz w:val="18"/>
            <w:szCs w:val="18"/>
          </w:rPr>
          <w:t>https://tinyurl.com/bdfe2p9e</w:t>
        </w:r>
      </w:hyperlink>
      <w:r w:rsidRPr="00501B10">
        <w:rPr>
          <w:rFonts w:asciiTheme="majorBidi" w:hAnsiTheme="majorBidi" w:cstheme="majorBidi"/>
          <w:sz w:val="18"/>
          <w:szCs w:val="18"/>
        </w:rPr>
        <w:t xml:space="preserve"> </w:t>
      </w:r>
    </w:p>
  </w:footnote>
  <w:footnote w:id="21">
    <w:p w14:paraId="5E1E0A3B" w14:textId="0B172610" w:rsidR="00A927E9" w:rsidRPr="00501B10" w:rsidRDefault="00A927E9">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Sleeping problems and mental health issues increasing among young people, </w:t>
      </w:r>
      <w:r w:rsidRPr="00501B10">
        <w:rPr>
          <w:rFonts w:asciiTheme="majorBidi" w:hAnsiTheme="majorBidi" w:cstheme="majorBidi"/>
          <w:sz w:val="18"/>
          <w:szCs w:val="18"/>
        </w:rPr>
        <w:t>CBS</w:t>
      </w:r>
      <w:r w:rsidRPr="00501B10">
        <w:rPr>
          <w:rFonts w:asciiTheme="majorBidi" w:hAnsiTheme="majorBidi" w:cstheme="majorBidi"/>
          <w:sz w:val="18"/>
          <w:szCs w:val="18"/>
        </w:rPr>
        <w:t xml:space="preserve">, 9 </w:t>
      </w:r>
      <w:r w:rsidRPr="00501B10">
        <w:rPr>
          <w:rFonts w:asciiTheme="majorBidi" w:hAnsiTheme="majorBidi" w:cstheme="majorBidi"/>
          <w:sz w:val="18"/>
          <w:szCs w:val="18"/>
        </w:rPr>
        <w:t>November</w:t>
      </w:r>
      <w:r w:rsidRPr="00501B10">
        <w:rPr>
          <w:rFonts w:asciiTheme="majorBidi" w:hAnsiTheme="majorBidi" w:cstheme="majorBidi"/>
          <w:sz w:val="18"/>
          <w:szCs w:val="18"/>
        </w:rPr>
        <w:t xml:space="preserve"> 2023, </w:t>
      </w:r>
      <w:hyperlink r:id="rId21" w:history="1">
        <w:r w:rsidRPr="00501B10">
          <w:rPr>
            <w:rStyle w:val="Hyperlink"/>
            <w:rFonts w:asciiTheme="majorBidi" w:hAnsiTheme="majorBidi" w:cstheme="majorBidi"/>
            <w:sz w:val="18"/>
            <w:szCs w:val="18"/>
          </w:rPr>
          <w:t>https://tinyurl.com/28wjf4zu</w:t>
        </w:r>
      </w:hyperlink>
      <w:r w:rsidRPr="00501B10">
        <w:rPr>
          <w:rFonts w:asciiTheme="majorBidi" w:hAnsiTheme="majorBidi" w:cstheme="majorBidi"/>
          <w:sz w:val="18"/>
          <w:szCs w:val="18"/>
        </w:rPr>
        <w:t xml:space="preserve"> </w:t>
      </w:r>
    </w:p>
  </w:footnote>
  <w:footnote w:id="22">
    <w:p w14:paraId="5727BB0D" w14:textId="17EE5EAC" w:rsidR="00A927E9" w:rsidRPr="00501B10" w:rsidRDefault="00A927E9">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Young adults more negative about their own health, </w:t>
      </w:r>
      <w:r w:rsidRPr="00501B10">
        <w:rPr>
          <w:rFonts w:asciiTheme="majorBidi" w:hAnsiTheme="majorBidi" w:cstheme="majorBidi"/>
          <w:sz w:val="18"/>
          <w:szCs w:val="18"/>
        </w:rPr>
        <w:t>CBS</w:t>
      </w:r>
      <w:r w:rsidRPr="00501B10">
        <w:rPr>
          <w:rFonts w:asciiTheme="majorBidi" w:hAnsiTheme="majorBidi" w:cstheme="majorBidi"/>
          <w:sz w:val="18"/>
          <w:szCs w:val="18"/>
        </w:rPr>
        <w:t xml:space="preserve">, 4 </w:t>
      </w:r>
      <w:r w:rsidR="002415E3" w:rsidRPr="00501B10">
        <w:rPr>
          <w:rFonts w:asciiTheme="majorBidi" w:hAnsiTheme="majorBidi" w:cstheme="majorBidi"/>
          <w:sz w:val="18"/>
          <w:szCs w:val="18"/>
        </w:rPr>
        <w:t>J</w:t>
      </w:r>
      <w:r w:rsidRPr="00501B10">
        <w:rPr>
          <w:rFonts w:asciiTheme="majorBidi" w:hAnsiTheme="majorBidi" w:cstheme="majorBidi"/>
          <w:sz w:val="18"/>
          <w:szCs w:val="18"/>
        </w:rPr>
        <w:t xml:space="preserve">une 2024, </w:t>
      </w:r>
      <w:hyperlink r:id="rId22" w:history="1">
        <w:r w:rsidRPr="00501B10">
          <w:rPr>
            <w:rStyle w:val="Hyperlink"/>
            <w:rFonts w:asciiTheme="majorBidi" w:hAnsiTheme="majorBidi" w:cstheme="majorBidi"/>
            <w:sz w:val="18"/>
            <w:szCs w:val="18"/>
          </w:rPr>
          <w:t>https://tinyurl.com/hnuzn9ra</w:t>
        </w:r>
      </w:hyperlink>
      <w:r w:rsidRPr="00501B10">
        <w:rPr>
          <w:rFonts w:asciiTheme="majorBidi" w:hAnsiTheme="majorBidi" w:cstheme="majorBidi"/>
          <w:sz w:val="18"/>
          <w:szCs w:val="18"/>
        </w:rPr>
        <w:t xml:space="preserve"> </w:t>
      </w:r>
    </w:p>
  </w:footnote>
  <w:footnote w:id="23">
    <w:p w14:paraId="731648D9" w14:textId="518BF2C8" w:rsidR="002415E3" w:rsidRPr="00501B10" w:rsidRDefault="002415E3">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Netherlands will have 12 million chronically ill residents by 2050: RIVM, NL Times, 19 November 2024, </w:t>
      </w:r>
      <w:hyperlink r:id="rId23" w:history="1">
        <w:r w:rsidRPr="00501B10">
          <w:rPr>
            <w:rStyle w:val="Hyperlink"/>
            <w:rFonts w:asciiTheme="majorBidi" w:hAnsiTheme="majorBidi" w:cstheme="majorBidi"/>
            <w:sz w:val="18"/>
            <w:szCs w:val="18"/>
          </w:rPr>
          <w:t>https://tinyurl.com/bde8su6c</w:t>
        </w:r>
      </w:hyperlink>
      <w:r w:rsidRPr="00501B10">
        <w:rPr>
          <w:rFonts w:asciiTheme="majorBidi" w:hAnsiTheme="majorBidi" w:cstheme="majorBidi"/>
          <w:sz w:val="18"/>
          <w:szCs w:val="18"/>
        </w:rPr>
        <w:t xml:space="preserve"> </w:t>
      </w:r>
    </w:p>
  </w:footnote>
  <w:footnote w:id="24">
    <w:p w14:paraId="535A056E" w14:textId="64308DAA" w:rsidR="002415E3" w:rsidRPr="00501B10" w:rsidRDefault="002415E3">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Fewer early school leavers in the Netherlands than EU average, </w:t>
      </w:r>
      <w:r w:rsidRPr="00501B10">
        <w:rPr>
          <w:rFonts w:asciiTheme="majorBidi" w:hAnsiTheme="majorBidi" w:cstheme="majorBidi"/>
          <w:sz w:val="18"/>
          <w:szCs w:val="18"/>
        </w:rPr>
        <w:t>CBS</w:t>
      </w:r>
      <w:r w:rsidRPr="00501B10">
        <w:rPr>
          <w:rFonts w:asciiTheme="majorBidi" w:hAnsiTheme="majorBidi" w:cstheme="majorBidi"/>
          <w:sz w:val="18"/>
          <w:szCs w:val="18"/>
        </w:rPr>
        <w:t xml:space="preserve">, 24 </w:t>
      </w:r>
      <w:r w:rsidRPr="00501B10">
        <w:rPr>
          <w:rFonts w:asciiTheme="majorBidi" w:hAnsiTheme="majorBidi" w:cstheme="majorBidi"/>
          <w:sz w:val="18"/>
          <w:szCs w:val="18"/>
        </w:rPr>
        <w:t>January</w:t>
      </w:r>
      <w:r w:rsidRPr="00501B10">
        <w:rPr>
          <w:rFonts w:asciiTheme="majorBidi" w:hAnsiTheme="majorBidi" w:cstheme="majorBidi"/>
          <w:sz w:val="18"/>
          <w:szCs w:val="18"/>
        </w:rPr>
        <w:t xml:space="preserve"> 2025, </w:t>
      </w:r>
      <w:hyperlink r:id="rId24" w:history="1">
        <w:r w:rsidRPr="00501B10">
          <w:rPr>
            <w:rStyle w:val="Hyperlink"/>
            <w:rFonts w:asciiTheme="majorBidi" w:hAnsiTheme="majorBidi" w:cstheme="majorBidi"/>
            <w:sz w:val="18"/>
            <w:szCs w:val="18"/>
          </w:rPr>
          <w:t>https://tinyurl.com/mpj2b5zf</w:t>
        </w:r>
      </w:hyperlink>
      <w:r w:rsidRPr="00501B10">
        <w:rPr>
          <w:rFonts w:asciiTheme="majorBidi" w:hAnsiTheme="majorBidi" w:cstheme="majorBidi"/>
          <w:sz w:val="18"/>
          <w:szCs w:val="18"/>
        </w:rPr>
        <w:t xml:space="preserve"> </w:t>
      </w:r>
    </w:p>
  </w:footnote>
  <w:footnote w:id="25">
    <w:p w14:paraId="640247B9" w14:textId="400A5818" w:rsidR="00501B10" w:rsidRPr="00501B10" w:rsidRDefault="00501B10">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An increasing number of Dutch people have completed higher education, </w:t>
      </w:r>
      <w:r w:rsidRPr="00501B10">
        <w:rPr>
          <w:rFonts w:asciiTheme="majorBidi" w:hAnsiTheme="majorBidi" w:cstheme="majorBidi"/>
          <w:sz w:val="18"/>
          <w:szCs w:val="18"/>
        </w:rPr>
        <w:t>CBS</w:t>
      </w:r>
      <w:r w:rsidRPr="00501B10">
        <w:rPr>
          <w:rFonts w:asciiTheme="majorBidi" w:hAnsiTheme="majorBidi" w:cstheme="majorBidi"/>
          <w:sz w:val="18"/>
          <w:szCs w:val="18"/>
        </w:rPr>
        <w:t xml:space="preserve">, 8 </w:t>
      </w:r>
      <w:r w:rsidRPr="00501B10">
        <w:rPr>
          <w:rFonts w:asciiTheme="majorBidi" w:hAnsiTheme="majorBidi" w:cstheme="majorBidi"/>
          <w:sz w:val="18"/>
          <w:szCs w:val="18"/>
        </w:rPr>
        <w:t>October</w:t>
      </w:r>
      <w:r w:rsidRPr="00501B10">
        <w:rPr>
          <w:rFonts w:asciiTheme="majorBidi" w:hAnsiTheme="majorBidi" w:cstheme="majorBidi"/>
          <w:sz w:val="18"/>
          <w:szCs w:val="18"/>
        </w:rPr>
        <w:t xml:space="preserve"> 2024, </w:t>
      </w:r>
      <w:hyperlink r:id="rId25" w:history="1">
        <w:r w:rsidRPr="00501B10">
          <w:rPr>
            <w:rStyle w:val="Hyperlink"/>
            <w:rFonts w:asciiTheme="majorBidi" w:hAnsiTheme="majorBidi" w:cstheme="majorBidi"/>
            <w:sz w:val="18"/>
            <w:szCs w:val="18"/>
          </w:rPr>
          <w:t>https://tinyurl.com/46caya77</w:t>
        </w:r>
      </w:hyperlink>
      <w:r w:rsidRPr="00501B10">
        <w:rPr>
          <w:rFonts w:asciiTheme="majorBidi" w:hAnsiTheme="majorBidi" w:cstheme="majorBidi"/>
          <w:sz w:val="18"/>
          <w:szCs w:val="18"/>
        </w:rPr>
        <w:t xml:space="preserve"> </w:t>
      </w:r>
    </w:p>
  </w:footnote>
  <w:footnote w:id="26">
    <w:p w14:paraId="278FADC7" w14:textId="1D75FF0E" w:rsidR="00501B10" w:rsidRPr="00501B10" w:rsidRDefault="00501B10">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Wealthier parents' spending on tutors, extra lessons increasing </w:t>
      </w:r>
      <w:r w:rsidRPr="00501B10">
        <w:rPr>
          <w:rFonts w:asciiTheme="majorBidi" w:hAnsiTheme="majorBidi" w:cstheme="majorBidi"/>
          <w:sz w:val="18"/>
          <w:szCs w:val="18"/>
        </w:rPr>
        <w:t>inequality</w:t>
      </w:r>
      <w:r w:rsidRPr="00501B10">
        <w:rPr>
          <w:rFonts w:asciiTheme="majorBidi" w:hAnsiTheme="majorBidi" w:cstheme="majorBidi"/>
          <w:sz w:val="18"/>
          <w:szCs w:val="18"/>
        </w:rPr>
        <w:t xml:space="preserve"> in education, </w:t>
      </w:r>
      <w:r w:rsidRPr="00501B10">
        <w:rPr>
          <w:rFonts w:asciiTheme="majorBidi" w:hAnsiTheme="majorBidi" w:cstheme="majorBidi"/>
          <w:sz w:val="18"/>
          <w:szCs w:val="18"/>
        </w:rPr>
        <w:t>NL Times</w:t>
      </w:r>
      <w:r w:rsidRPr="00501B10">
        <w:rPr>
          <w:rFonts w:asciiTheme="majorBidi" w:hAnsiTheme="majorBidi" w:cstheme="majorBidi"/>
          <w:sz w:val="18"/>
          <w:szCs w:val="18"/>
        </w:rPr>
        <w:t xml:space="preserve">, 6 March 2024, </w:t>
      </w:r>
      <w:hyperlink r:id="rId26" w:history="1">
        <w:r w:rsidRPr="00501B10">
          <w:rPr>
            <w:rStyle w:val="Hyperlink"/>
            <w:rFonts w:asciiTheme="majorBidi" w:hAnsiTheme="majorBidi" w:cstheme="majorBidi"/>
            <w:sz w:val="18"/>
            <w:szCs w:val="18"/>
          </w:rPr>
          <w:t>https://tinyurl.com/4h4z6e3b</w:t>
        </w:r>
      </w:hyperlink>
      <w:r w:rsidRPr="00501B10">
        <w:rPr>
          <w:rFonts w:asciiTheme="majorBidi" w:hAnsiTheme="majorBidi" w:cstheme="majorBidi"/>
          <w:sz w:val="18"/>
          <w:szCs w:val="18"/>
        </w:rPr>
        <w:t xml:space="preserve"> </w:t>
      </w:r>
    </w:p>
  </w:footnote>
  <w:footnote w:id="27">
    <w:p w14:paraId="13E32FE3" w14:textId="4C24B93E" w:rsidR="00501B10" w:rsidRPr="00501B10" w:rsidRDefault="00501B10">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Education and Training Monitor 2024, Netherlands,</w:t>
      </w:r>
      <w:r w:rsidRPr="00501B10">
        <w:rPr>
          <w:rFonts w:asciiTheme="majorBidi" w:hAnsiTheme="majorBidi" w:cstheme="majorBidi"/>
          <w:sz w:val="18"/>
          <w:szCs w:val="18"/>
        </w:rPr>
        <w:t xml:space="preserve"> European Commission, </w:t>
      </w:r>
      <w:hyperlink r:id="rId27" w:history="1">
        <w:r w:rsidRPr="00501B10">
          <w:rPr>
            <w:rStyle w:val="Hyperlink"/>
            <w:rFonts w:asciiTheme="majorBidi" w:hAnsiTheme="majorBidi" w:cstheme="majorBidi"/>
            <w:sz w:val="18"/>
            <w:szCs w:val="18"/>
          </w:rPr>
          <w:t>https://tinyurl.com/2s4ssny2</w:t>
        </w:r>
      </w:hyperlink>
      <w:r w:rsidRPr="00501B10">
        <w:rPr>
          <w:rFonts w:asciiTheme="majorBidi" w:hAnsiTheme="majorBidi" w:cstheme="majorBidi"/>
          <w:sz w:val="18"/>
          <w:szCs w:val="18"/>
        </w:rPr>
        <w:t xml:space="preserve"> </w:t>
      </w:r>
    </w:p>
  </w:footnote>
  <w:footnote w:id="28">
    <w:p w14:paraId="1959F27E" w14:textId="17CA8552" w:rsidR="00501B10" w:rsidRPr="00501B10" w:rsidRDefault="00501B10">
      <w:pPr>
        <w:pStyle w:val="FootnoteText"/>
        <w:rPr>
          <w:rFonts w:asciiTheme="majorBidi" w:hAnsiTheme="majorBidi" w:cstheme="majorBidi"/>
          <w:sz w:val="18"/>
          <w:szCs w:val="18"/>
        </w:rPr>
      </w:pPr>
      <w:r w:rsidRPr="00501B10">
        <w:rPr>
          <w:rStyle w:val="FootnoteReference"/>
          <w:rFonts w:asciiTheme="majorBidi" w:hAnsiTheme="majorBidi" w:cstheme="majorBidi"/>
          <w:sz w:val="18"/>
          <w:szCs w:val="18"/>
        </w:rPr>
        <w:footnoteRef/>
      </w:r>
      <w:r w:rsidRPr="00501B10">
        <w:rPr>
          <w:rFonts w:asciiTheme="majorBidi" w:hAnsiTheme="majorBidi" w:cstheme="majorBidi"/>
          <w:sz w:val="18"/>
          <w:szCs w:val="18"/>
        </w:rPr>
        <w:t xml:space="preserve"> </w:t>
      </w:r>
      <w:r w:rsidRPr="00501B10">
        <w:rPr>
          <w:rFonts w:asciiTheme="majorBidi" w:hAnsiTheme="majorBidi" w:cstheme="majorBidi"/>
          <w:sz w:val="18"/>
          <w:szCs w:val="18"/>
        </w:rPr>
        <w:t xml:space="preserve">Universities fear decline, dropouts, and more inequality due to new Cabinet plans, NL Times, 3 July 2024, </w:t>
      </w:r>
      <w:hyperlink r:id="rId28" w:history="1">
        <w:r w:rsidRPr="00501B10">
          <w:rPr>
            <w:rStyle w:val="Hyperlink"/>
            <w:rFonts w:asciiTheme="majorBidi" w:hAnsiTheme="majorBidi" w:cstheme="majorBidi"/>
            <w:sz w:val="18"/>
            <w:szCs w:val="18"/>
          </w:rPr>
          <w:t>https://tinyurl.com/2s3kujyb</w:t>
        </w:r>
      </w:hyperlink>
      <w:r w:rsidRPr="00501B10">
        <w:rPr>
          <w:rFonts w:asciiTheme="majorBidi" w:hAnsiTheme="majorBidi" w:cstheme="majorBid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0D31C6"/>
    <w:multiLevelType w:val="hybridMultilevel"/>
    <w:tmpl w:val="F84068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79152A"/>
    <w:multiLevelType w:val="hybridMultilevel"/>
    <w:tmpl w:val="4F96B5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3"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9"/>
  </w:num>
  <w:num w:numId="2" w16cid:durableId="319427900">
    <w:abstractNumId w:val="6"/>
  </w:num>
  <w:num w:numId="3" w16cid:durableId="483819352">
    <w:abstractNumId w:val="1"/>
  </w:num>
  <w:num w:numId="4" w16cid:durableId="1550531087">
    <w:abstractNumId w:val="14"/>
  </w:num>
  <w:num w:numId="5" w16cid:durableId="365302262">
    <w:abstractNumId w:val="4"/>
  </w:num>
  <w:num w:numId="6" w16cid:durableId="1490904455">
    <w:abstractNumId w:val="32"/>
  </w:num>
  <w:num w:numId="7" w16cid:durableId="1975796718">
    <w:abstractNumId w:val="38"/>
  </w:num>
  <w:num w:numId="8" w16cid:durableId="168910388">
    <w:abstractNumId w:val="43"/>
  </w:num>
  <w:num w:numId="9" w16cid:durableId="864364265">
    <w:abstractNumId w:val="30"/>
  </w:num>
  <w:num w:numId="10" w16cid:durableId="1110662610">
    <w:abstractNumId w:val="33"/>
  </w:num>
  <w:num w:numId="11" w16cid:durableId="48504678">
    <w:abstractNumId w:val="25"/>
  </w:num>
  <w:num w:numId="12" w16cid:durableId="1057243330">
    <w:abstractNumId w:val="42"/>
  </w:num>
  <w:num w:numId="13" w16cid:durableId="113838224">
    <w:abstractNumId w:val="23"/>
  </w:num>
  <w:num w:numId="14" w16cid:durableId="1819300015">
    <w:abstractNumId w:val="9"/>
  </w:num>
  <w:num w:numId="15" w16cid:durableId="1354769003">
    <w:abstractNumId w:val="29"/>
  </w:num>
  <w:num w:numId="16" w16cid:durableId="765884069">
    <w:abstractNumId w:val="15"/>
  </w:num>
  <w:num w:numId="17" w16cid:durableId="1830708544">
    <w:abstractNumId w:val="0"/>
  </w:num>
  <w:num w:numId="18" w16cid:durableId="1195772453">
    <w:abstractNumId w:val="20"/>
  </w:num>
  <w:num w:numId="19" w16cid:durableId="116266373">
    <w:abstractNumId w:val="2"/>
  </w:num>
  <w:num w:numId="20" w16cid:durableId="1165899663">
    <w:abstractNumId w:val="11"/>
  </w:num>
  <w:num w:numId="21" w16cid:durableId="1921870603">
    <w:abstractNumId w:val="45"/>
  </w:num>
  <w:num w:numId="22" w16cid:durableId="1106846340">
    <w:abstractNumId w:val="13"/>
  </w:num>
  <w:num w:numId="23" w16cid:durableId="1120413215">
    <w:abstractNumId w:val="18"/>
  </w:num>
  <w:num w:numId="24" w16cid:durableId="884490536">
    <w:abstractNumId w:val="31"/>
  </w:num>
  <w:num w:numId="25" w16cid:durableId="1098991049">
    <w:abstractNumId w:val="35"/>
  </w:num>
  <w:num w:numId="26" w16cid:durableId="631596808">
    <w:abstractNumId w:val="10"/>
  </w:num>
  <w:num w:numId="27" w16cid:durableId="1306087360">
    <w:abstractNumId w:val="8"/>
  </w:num>
  <w:num w:numId="28" w16cid:durableId="909191109">
    <w:abstractNumId w:val="26"/>
  </w:num>
  <w:num w:numId="29" w16cid:durableId="556204899">
    <w:abstractNumId w:val="27"/>
  </w:num>
  <w:num w:numId="30" w16cid:durableId="1668284805">
    <w:abstractNumId w:val="16"/>
  </w:num>
  <w:num w:numId="31" w16cid:durableId="1777868951">
    <w:abstractNumId w:val="24"/>
  </w:num>
  <w:num w:numId="32" w16cid:durableId="1614898655">
    <w:abstractNumId w:val="7"/>
  </w:num>
  <w:num w:numId="33" w16cid:durableId="364449577">
    <w:abstractNumId w:val="12"/>
  </w:num>
  <w:num w:numId="34" w16cid:durableId="248081818">
    <w:abstractNumId w:val="40"/>
  </w:num>
  <w:num w:numId="35" w16cid:durableId="1742749116">
    <w:abstractNumId w:val="36"/>
  </w:num>
  <w:num w:numId="36" w16cid:durableId="1632056943">
    <w:abstractNumId w:val="28"/>
  </w:num>
  <w:num w:numId="37" w16cid:durableId="16198188">
    <w:abstractNumId w:val="34"/>
  </w:num>
  <w:num w:numId="38" w16cid:durableId="995642619">
    <w:abstractNumId w:val="21"/>
  </w:num>
  <w:num w:numId="39" w16cid:durableId="1951429902">
    <w:abstractNumId w:val="44"/>
  </w:num>
  <w:num w:numId="40" w16cid:durableId="1660618793">
    <w:abstractNumId w:val="22"/>
  </w:num>
  <w:num w:numId="41" w16cid:durableId="566649021">
    <w:abstractNumId w:val="39"/>
  </w:num>
  <w:num w:numId="42" w16cid:durableId="230387690">
    <w:abstractNumId w:val="17"/>
  </w:num>
  <w:num w:numId="43" w16cid:durableId="335613693">
    <w:abstractNumId w:val="3"/>
  </w:num>
  <w:num w:numId="44" w16cid:durableId="1955866269">
    <w:abstractNumId w:val="5"/>
  </w:num>
  <w:num w:numId="45" w16cid:durableId="2083794075">
    <w:abstractNumId w:val="37"/>
  </w:num>
  <w:num w:numId="46" w16cid:durableId="186092550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2084A"/>
    <w:rsid w:val="00042C6F"/>
    <w:rsid w:val="0004495D"/>
    <w:rsid w:val="0004619A"/>
    <w:rsid w:val="00046C49"/>
    <w:rsid w:val="00047ED5"/>
    <w:rsid w:val="00050B79"/>
    <w:rsid w:val="000609E4"/>
    <w:rsid w:val="00086352"/>
    <w:rsid w:val="00093D9F"/>
    <w:rsid w:val="000A0E24"/>
    <w:rsid w:val="000A1E71"/>
    <w:rsid w:val="000B5D57"/>
    <w:rsid w:val="000B6F75"/>
    <w:rsid w:val="000C7C14"/>
    <w:rsid w:val="00101544"/>
    <w:rsid w:val="00107673"/>
    <w:rsid w:val="00114CCA"/>
    <w:rsid w:val="00156C09"/>
    <w:rsid w:val="001668A8"/>
    <w:rsid w:val="00195D8E"/>
    <w:rsid w:val="00196443"/>
    <w:rsid w:val="001A11BE"/>
    <w:rsid w:val="001A6E66"/>
    <w:rsid w:val="001B13EB"/>
    <w:rsid w:val="001B450B"/>
    <w:rsid w:val="001D1DBC"/>
    <w:rsid w:val="001D532C"/>
    <w:rsid w:val="001D6213"/>
    <w:rsid w:val="001F354D"/>
    <w:rsid w:val="001F47FD"/>
    <w:rsid w:val="002257CD"/>
    <w:rsid w:val="002305C5"/>
    <w:rsid w:val="002415E3"/>
    <w:rsid w:val="002533B2"/>
    <w:rsid w:val="00284AAE"/>
    <w:rsid w:val="0028723E"/>
    <w:rsid w:val="002876FE"/>
    <w:rsid w:val="0029400A"/>
    <w:rsid w:val="002D0B34"/>
    <w:rsid w:val="002D3FB1"/>
    <w:rsid w:val="002D5B01"/>
    <w:rsid w:val="002D65A3"/>
    <w:rsid w:val="002D7273"/>
    <w:rsid w:val="003216C7"/>
    <w:rsid w:val="00326F85"/>
    <w:rsid w:val="003319F3"/>
    <w:rsid w:val="003439F7"/>
    <w:rsid w:val="00360DAB"/>
    <w:rsid w:val="00371F59"/>
    <w:rsid w:val="00372B51"/>
    <w:rsid w:val="0038184B"/>
    <w:rsid w:val="00383811"/>
    <w:rsid w:val="003A0EBE"/>
    <w:rsid w:val="003A1F96"/>
    <w:rsid w:val="003A60A9"/>
    <w:rsid w:val="003A745E"/>
    <w:rsid w:val="003B7C83"/>
    <w:rsid w:val="003C01C1"/>
    <w:rsid w:val="00401F8D"/>
    <w:rsid w:val="004055DB"/>
    <w:rsid w:val="004134D4"/>
    <w:rsid w:val="00414D42"/>
    <w:rsid w:val="004273C5"/>
    <w:rsid w:val="00434DDB"/>
    <w:rsid w:val="00436AE3"/>
    <w:rsid w:val="004650D2"/>
    <w:rsid w:val="00477C56"/>
    <w:rsid w:val="00484A19"/>
    <w:rsid w:val="00490571"/>
    <w:rsid w:val="004A7201"/>
    <w:rsid w:val="004F28E4"/>
    <w:rsid w:val="004F6D5A"/>
    <w:rsid w:val="004F6EC6"/>
    <w:rsid w:val="004F7950"/>
    <w:rsid w:val="00501B10"/>
    <w:rsid w:val="005025C7"/>
    <w:rsid w:val="00505CB3"/>
    <w:rsid w:val="005132DF"/>
    <w:rsid w:val="0051677C"/>
    <w:rsid w:val="00531689"/>
    <w:rsid w:val="00531CED"/>
    <w:rsid w:val="005612DD"/>
    <w:rsid w:val="00566EF4"/>
    <w:rsid w:val="00574903"/>
    <w:rsid w:val="0058685C"/>
    <w:rsid w:val="005A38AA"/>
    <w:rsid w:val="005B3A8D"/>
    <w:rsid w:val="005C3446"/>
    <w:rsid w:val="005D38D7"/>
    <w:rsid w:val="005E2E96"/>
    <w:rsid w:val="005E642C"/>
    <w:rsid w:val="006105E2"/>
    <w:rsid w:val="00640577"/>
    <w:rsid w:val="006412F6"/>
    <w:rsid w:val="00644334"/>
    <w:rsid w:val="00644785"/>
    <w:rsid w:val="00646A53"/>
    <w:rsid w:val="006807A3"/>
    <w:rsid w:val="00683E71"/>
    <w:rsid w:val="00690C3F"/>
    <w:rsid w:val="00693967"/>
    <w:rsid w:val="006946CB"/>
    <w:rsid w:val="006B1AFB"/>
    <w:rsid w:val="006F5D15"/>
    <w:rsid w:val="00713444"/>
    <w:rsid w:val="00720C57"/>
    <w:rsid w:val="00741D51"/>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F0744"/>
    <w:rsid w:val="008F2641"/>
    <w:rsid w:val="0091285A"/>
    <w:rsid w:val="009337BF"/>
    <w:rsid w:val="009412A9"/>
    <w:rsid w:val="009819D5"/>
    <w:rsid w:val="009850AD"/>
    <w:rsid w:val="00990858"/>
    <w:rsid w:val="009B028E"/>
    <w:rsid w:val="009C623E"/>
    <w:rsid w:val="009D1F8F"/>
    <w:rsid w:val="009D4EE3"/>
    <w:rsid w:val="009E15C5"/>
    <w:rsid w:val="009E290C"/>
    <w:rsid w:val="00A162C1"/>
    <w:rsid w:val="00A31EA7"/>
    <w:rsid w:val="00A3448D"/>
    <w:rsid w:val="00A37636"/>
    <w:rsid w:val="00A537CE"/>
    <w:rsid w:val="00A63977"/>
    <w:rsid w:val="00A64F85"/>
    <w:rsid w:val="00A81650"/>
    <w:rsid w:val="00A81860"/>
    <w:rsid w:val="00A83C1E"/>
    <w:rsid w:val="00A927E9"/>
    <w:rsid w:val="00AB2EAB"/>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D5FAD"/>
    <w:rsid w:val="00BE6F35"/>
    <w:rsid w:val="00BF1B11"/>
    <w:rsid w:val="00BF478D"/>
    <w:rsid w:val="00C0706B"/>
    <w:rsid w:val="00C26FE4"/>
    <w:rsid w:val="00C34E13"/>
    <w:rsid w:val="00C351FE"/>
    <w:rsid w:val="00C47923"/>
    <w:rsid w:val="00C86D0C"/>
    <w:rsid w:val="00CC193E"/>
    <w:rsid w:val="00CC2F15"/>
    <w:rsid w:val="00CC606D"/>
    <w:rsid w:val="00CD3720"/>
    <w:rsid w:val="00CD5381"/>
    <w:rsid w:val="00D01C6A"/>
    <w:rsid w:val="00D11899"/>
    <w:rsid w:val="00D500E7"/>
    <w:rsid w:val="00D56CB6"/>
    <w:rsid w:val="00D57B63"/>
    <w:rsid w:val="00D65CAF"/>
    <w:rsid w:val="00D674C8"/>
    <w:rsid w:val="00DA1879"/>
    <w:rsid w:val="00DB04A9"/>
    <w:rsid w:val="00DB5AB9"/>
    <w:rsid w:val="00DC35AC"/>
    <w:rsid w:val="00DD77D6"/>
    <w:rsid w:val="00DE35AB"/>
    <w:rsid w:val="00DE6A62"/>
    <w:rsid w:val="00DF3596"/>
    <w:rsid w:val="00E12DC0"/>
    <w:rsid w:val="00E3117B"/>
    <w:rsid w:val="00E4520A"/>
    <w:rsid w:val="00E45A93"/>
    <w:rsid w:val="00E47C87"/>
    <w:rsid w:val="00E55456"/>
    <w:rsid w:val="00E820AA"/>
    <w:rsid w:val="00E94DD0"/>
    <w:rsid w:val="00E9641B"/>
    <w:rsid w:val="00EA2C34"/>
    <w:rsid w:val="00EA4670"/>
    <w:rsid w:val="00EB7424"/>
    <w:rsid w:val="00ED3ED2"/>
    <w:rsid w:val="00ED7702"/>
    <w:rsid w:val="00EF597D"/>
    <w:rsid w:val="00F27F37"/>
    <w:rsid w:val="00F533B4"/>
    <w:rsid w:val="00F56B3D"/>
    <w:rsid w:val="00F60E10"/>
    <w:rsid w:val="00F715CB"/>
    <w:rsid w:val="00F72F2C"/>
    <w:rsid w:val="00F8429A"/>
    <w:rsid w:val="00F871C7"/>
    <w:rsid w:val="00F94355"/>
    <w:rsid w:val="00FA13E3"/>
    <w:rsid w:val="00FA5CD7"/>
    <w:rsid w:val="00FD2C1E"/>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onlinelibrary.wiley.com/doi/10.1111/spol.12441" TargetMode="External"/><Relationship Id="rId13" Type="http://schemas.openxmlformats.org/officeDocument/2006/relationships/hyperlink" Target="http://www.dutchcivillaw.com/constitution.htm" TargetMode="External"/><Relationship Id="rId18" Type="http://schemas.openxmlformats.org/officeDocument/2006/relationships/hyperlink" Target="https://tinyurl.com/592nsyvw" TargetMode="External"/><Relationship Id="rId26" Type="http://schemas.openxmlformats.org/officeDocument/2006/relationships/hyperlink" Target="https://tinyurl.com/4h4z6e3b" TargetMode="External"/><Relationship Id="rId3" Type="http://schemas.openxmlformats.org/officeDocument/2006/relationships/hyperlink" Target="https://tinyurl.com/yy3jwrar" TargetMode="External"/><Relationship Id="rId21" Type="http://schemas.openxmlformats.org/officeDocument/2006/relationships/hyperlink" Target="https://tinyurl.com/28wjf4zu" TargetMode="External"/><Relationship Id="rId7" Type="http://schemas.openxmlformats.org/officeDocument/2006/relationships/hyperlink" Target="http://www.dutchcivillaw.com/constitution.htm" TargetMode="External"/><Relationship Id="rId12" Type="http://schemas.openxmlformats.org/officeDocument/2006/relationships/hyperlink" Target="https://tinyurl.com/3zzj7cem" TargetMode="External"/><Relationship Id="rId17" Type="http://schemas.openxmlformats.org/officeDocument/2006/relationships/hyperlink" Target="https://tinyurl.com/4exc2jyt" TargetMode="External"/><Relationship Id="rId25" Type="http://schemas.openxmlformats.org/officeDocument/2006/relationships/hyperlink" Target="https://tinyurl.com/46caya77" TargetMode="External"/><Relationship Id="rId2" Type="http://schemas.openxmlformats.org/officeDocument/2006/relationships/hyperlink" Target="https://tinyurl.com/mry768bh" TargetMode="External"/><Relationship Id="rId16" Type="http://schemas.openxmlformats.org/officeDocument/2006/relationships/hyperlink" Target="https://tinyurl.com/3mr7b9t" TargetMode="External"/><Relationship Id="rId20" Type="http://schemas.openxmlformats.org/officeDocument/2006/relationships/hyperlink" Target="https://tinyurl.com/bdfe2p9e" TargetMode="External"/><Relationship Id="rId1" Type="http://schemas.openxmlformats.org/officeDocument/2006/relationships/hyperlink" Target="https://tinyurl.com/mr442pxk" TargetMode="External"/><Relationship Id="rId6" Type="http://schemas.openxmlformats.org/officeDocument/2006/relationships/hyperlink" Target="https://tinyurl.com/3w2yjkte" TargetMode="External"/><Relationship Id="rId11" Type="http://schemas.openxmlformats.org/officeDocument/2006/relationships/hyperlink" Target="https://tinyurl.com/mryat778" TargetMode="External"/><Relationship Id="rId24" Type="http://schemas.openxmlformats.org/officeDocument/2006/relationships/hyperlink" Target="https://tinyurl.com/mpj2b5zf" TargetMode="External"/><Relationship Id="rId5" Type="http://schemas.openxmlformats.org/officeDocument/2006/relationships/hyperlink" Target="https://tinyurl.com/muhujffp" TargetMode="External"/><Relationship Id="rId15" Type="http://schemas.openxmlformats.org/officeDocument/2006/relationships/hyperlink" Target="https://tinyurl.com/424be797" TargetMode="External"/><Relationship Id="rId23" Type="http://schemas.openxmlformats.org/officeDocument/2006/relationships/hyperlink" Target="https://tinyurl.com/bde8su6c" TargetMode="External"/><Relationship Id="rId28" Type="http://schemas.openxmlformats.org/officeDocument/2006/relationships/hyperlink" Target="https://tinyurl.com/2s3kujyb" TargetMode="External"/><Relationship Id="rId10" Type="http://schemas.openxmlformats.org/officeDocument/2006/relationships/hyperlink" Target="https://tinyurl.com/mtc6hfce" TargetMode="External"/><Relationship Id="rId19" Type="http://schemas.openxmlformats.org/officeDocument/2006/relationships/hyperlink" Target="https://tinyurl.com/4rkay33y" TargetMode="External"/><Relationship Id="rId4" Type="http://schemas.openxmlformats.org/officeDocument/2006/relationships/hyperlink" Target="https://tinyurl.com/4ms95y23" TargetMode="External"/><Relationship Id="rId9" Type="http://schemas.openxmlformats.org/officeDocument/2006/relationships/hyperlink" Target="https://tinyurl.com/mr2uzzrb" TargetMode="External"/><Relationship Id="rId14" Type="http://schemas.openxmlformats.org/officeDocument/2006/relationships/hyperlink" Target="https://tinyurl.com/ynkmvh6d" TargetMode="External"/><Relationship Id="rId22" Type="http://schemas.openxmlformats.org/officeDocument/2006/relationships/hyperlink" Target="https://tinyurl.com/hnuzn9ra" TargetMode="External"/><Relationship Id="rId27" Type="http://schemas.openxmlformats.org/officeDocument/2006/relationships/hyperlink" Target="https://tinyurl.com/2s4ssny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1728</Words>
  <Characters>9856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2</cp:revision>
  <dcterms:created xsi:type="dcterms:W3CDTF">2025-08-10T12:43:00Z</dcterms:created>
  <dcterms:modified xsi:type="dcterms:W3CDTF">2025-08-10T12:43:00Z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