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E65764">
      <w:pPr>
        <w:spacing w:before="165" w:line="360" w:lineRule="auto"/>
        <w:ind w:left="3198" w:right="63"/>
        <w:rPr>
          <w:sz w:val="20"/>
        </w:rPr>
      </w:pPr>
      <w:bookmarkStart w:id="0" w:name="_GoBack"/>
      <w:bookmarkEnd w:id="0"/>
      <w:r>
        <w:rPr>
          <w:i/>
          <w:color w:val="0066CC"/>
          <w:sz w:val="20"/>
        </w:rPr>
        <w:t>France disability (</w:t>
      </w:r>
      <w:hyperlink r:id="rId5" w:history="1">
        <w:r>
          <w:rPr>
            <w:rStyle w:val="Hyperlink"/>
            <w:color w:val="00007F"/>
            <w:sz w:val="20"/>
            <w:u w:color="000000"/>
          </w:rPr>
          <w:t>www.francedisability.com</w:t>
        </w:r>
      </w:hyperlink>
      <w:r>
        <w:rPr>
          <w:i/>
          <w:color w:val="0066CC"/>
          <w:sz w:val="20"/>
        </w:rPr>
        <w:t xml:space="preserve">) </w:t>
      </w:r>
      <w:r>
        <w:rPr>
          <w:sz w:val="20"/>
        </w:rPr>
        <w:t>is a civil society initiative founded in 2019 and dedicated to the research and advocacy in the field of disability rights as well as to legal information and sup</w:t>
      </w:r>
      <w:r>
        <w:rPr>
          <w:sz w:val="20"/>
        </w:rPr>
        <w:t>port for the persons with cognitive impairments and autism.</w:t>
      </w:r>
      <w:r>
        <w:rPr>
          <w:noProof/>
          <w:lang w:val="en-GB" w:eastAsia="en-GB"/>
        </w:rPr>
        <w:drawing>
          <wp:anchor distT="0" distB="0" distL="0" distR="0" simplePos="0" relativeHeight="251657728" behindDoc="0" locked="0" layoutInCell="1" allowOverlap="1">
            <wp:simplePos x="0" y="0"/>
            <wp:positionH relativeFrom="page">
              <wp:posOffset>1172210</wp:posOffset>
            </wp:positionH>
            <wp:positionV relativeFrom="paragraph">
              <wp:posOffset>-3810</wp:posOffset>
            </wp:positionV>
            <wp:extent cx="1043940" cy="9258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3940" cy="9258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000000" w:rsidRDefault="00E65764">
      <w:pPr>
        <w:pStyle w:val="BodyText"/>
        <w:rPr>
          <w:sz w:val="20"/>
        </w:rPr>
      </w:pPr>
    </w:p>
    <w:p w:rsidR="00000000" w:rsidRDefault="00E65764">
      <w:pPr>
        <w:pStyle w:val="BodyText"/>
        <w:spacing w:before="4"/>
        <w:rPr>
          <w:sz w:val="26"/>
        </w:rPr>
      </w:pPr>
    </w:p>
    <w:p w:rsidR="00000000" w:rsidRDefault="00E65764">
      <w:pPr>
        <w:pStyle w:val="BodyText"/>
        <w:spacing w:before="8"/>
        <w:rPr>
          <w:sz w:val="29"/>
        </w:rPr>
      </w:pPr>
    </w:p>
    <w:p w:rsidR="00000000" w:rsidRDefault="00E65764">
      <w:pPr>
        <w:pStyle w:val="Heading1"/>
        <w:spacing w:before="91" w:line="355" w:lineRule="auto"/>
        <w:ind w:left="804" w:right="855" w:firstLine="0"/>
        <w:jc w:val="center"/>
      </w:pPr>
      <w:r>
        <w:t>Contribution on the points of the List of issues in relation to the initial report of France UN Convention on the Rights of Persons with Disabilities</w:t>
      </w:r>
    </w:p>
    <w:p w:rsidR="00000000" w:rsidRDefault="00E65764">
      <w:pPr>
        <w:spacing w:before="4"/>
        <w:ind w:left="804" w:right="799"/>
        <w:jc w:val="center"/>
        <w:rPr>
          <w:b/>
          <w:sz w:val="24"/>
        </w:rPr>
      </w:pPr>
      <w:r>
        <w:rPr>
          <w:b/>
        </w:rPr>
        <w:t>session 25 of the UN Treaty body (16 Aug 2</w:t>
      </w:r>
      <w:r>
        <w:rPr>
          <w:b/>
        </w:rPr>
        <w:t>021 - 10 Sep 2021)</w:t>
      </w:r>
    </w:p>
    <w:p w:rsidR="00000000" w:rsidRDefault="00E65764">
      <w:pPr>
        <w:pStyle w:val="BodyText"/>
        <w:rPr>
          <w:b/>
          <w:sz w:val="24"/>
        </w:rPr>
      </w:pPr>
    </w:p>
    <w:p w:rsidR="00000000" w:rsidRDefault="00E65764">
      <w:pPr>
        <w:pStyle w:val="BodyText"/>
        <w:spacing w:before="10"/>
        <w:rPr>
          <w:b/>
          <w:sz w:val="19"/>
        </w:rPr>
      </w:pPr>
    </w:p>
    <w:p w:rsidR="00000000" w:rsidRDefault="00E65764">
      <w:pPr>
        <w:spacing w:line="355" w:lineRule="auto"/>
        <w:ind w:left="836" w:right="1680"/>
        <w:rPr>
          <w:b/>
        </w:rPr>
      </w:pPr>
      <w:r>
        <w:rPr>
          <w:b/>
        </w:rPr>
        <w:t>The equal recognition before the law of persons with disabilities (art 12) Access to justice (art. 13)</w:t>
      </w:r>
    </w:p>
    <w:p w:rsidR="00000000" w:rsidRDefault="00E65764">
      <w:pPr>
        <w:spacing w:before="4"/>
        <w:ind w:left="836"/>
        <w:rPr>
          <w:b/>
        </w:rPr>
      </w:pPr>
      <w:r>
        <w:rPr>
          <w:b/>
        </w:rPr>
        <w:t>Liberty and security of the person (art. 14)</w:t>
      </w:r>
    </w:p>
    <w:p w:rsidR="00000000" w:rsidRDefault="00E65764">
      <w:pPr>
        <w:spacing w:before="125" w:line="360" w:lineRule="auto"/>
        <w:ind w:left="836" w:right="63"/>
        <w:rPr>
          <w:b/>
        </w:rPr>
      </w:pPr>
      <w:r>
        <w:rPr>
          <w:b/>
        </w:rPr>
        <w:t>Freedom from torture or cruel, inhuman or degrading treatment or punishment (art. 15) L</w:t>
      </w:r>
      <w:r>
        <w:rPr>
          <w:b/>
        </w:rPr>
        <w:t>iberty of movement and nationality (art. 18)</w:t>
      </w:r>
    </w:p>
    <w:p w:rsidR="00000000" w:rsidRDefault="00E65764">
      <w:pPr>
        <w:spacing w:line="252" w:lineRule="exact"/>
        <w:ind w:left="836"/>
        <w:rPr>
          <w:b/>
          <w:sz w:val="24"/>
        </w:rPr>
      </w:pPr>
      <w:r>
        <w:rPr>
          <w:b/>
        </w:rPr>
        <w:t>Living independently and being included in the community (art. 19)</w:t>
      </w:r>
    </w:p>
    <w:p w:rsidR="00000000" w:rsidRDefault="00E65764">
      <w:pPr>
        <w:pStyle w:val="BodyText"/>
        <w:rPr>
          <w:b/>
          <w:sz w:val="24"/>
        </w:rPr>
      </w:pPr>
    </w:p>
    <w:p w:rsidR="00000000" w:rsidRDefault="00E65764">
      <w:pPr>
        <w:pStyle w:val="BodyText"/>
        <w:spacing w:before="11"/>
        <w:rPr>
          <w:b/>
          <w:sz w:val="19"/>
        </w:rPr>
      </w:pPr>
    </w:p>
    <w:p w:rsidR="00000000" w:rsidRDefault="00E65764">
      <w:pPr>
        <w:pStyle w:val="BodyText"/>
        <w:spacing w:line="360" w:lineRule="auto"/>
        <w:ind w:left="115" w:right="63" w:firstLine="710"/>
      </w:pPr>
      <w:r>
        <w:t>We would like to bring to the attention of the Committee our observations in relation to the List of issues established after France's initial</w:t>
      </w:r>
      <w:r>
        <w:t xml:space="preserve"> report. We would like to stress that the persons with cognitive (intellectual, learning) impairments are among those who suffer from </w:t>
      </w:r>
      <w:r>
        <w:lastRenderedPageBreak/>
        <w:t>the most severe rights violations in France. Indeed, the persons with cognitive impairment have no right to have rights (u</w:t>
      </w:r>
      <w:r>
        <w:t>sing the expression of</w:t>
      </w:r>
    </w:p>
    <w:p w:rsidR="00000000" w:rsidRDefault="00E65764">
      <w:pPr>
        <w:pStyle w:val="BodyText"/>
        <w:spacing w:line="251" w:lineRule="exact"/>
        <w:ind w:left="115"/>
        <w:rPr>
          <w:sz w:val="24"/>
        </w:rPr>
      </w:pPr>
      <w:r>
        <w:t>H. Arendt): in other words, they do not enjoy equality before the law.</w:t>
      </w:r>
    </w:p>
    <w:p w:rsidR="00000000" w:rsidRDefault="00E65764">
      <w:pPr>
        <w:pStyle w:val="BodyText"/>
        <w:rPr>
          <w:sz w:val="24"/>
        </w:rPr>
      </w:pPr>
    </w:p>
    <w:p w:rsidR="00000000" w:rsidRDefault="00E65764">
      <w:pPr>
        <w:pStyle w:val="BodyText"/>
        <w:spacing w:before="10"/>
        <w:rPr>
          <w:sz w:val="19"/>
        </w:rPr>
      </w:pPr>
    </w:p>
    <w:p w:rsidR="00000000" w:rsidRDefault="00E65764">
      <w:pPr>
        <w:pStyle w:val="BodyText"/>
        <w:spacing w:before="1" w:line="360" w:lineRule="auto"/>
        <w:ind w:left="115" w:right="174" w:firstLine="710"/>
        <w:rPr>
          <w:sz w:val="32"/>
        </w:rPr>
      </w:pPr>
      <w:r>
        <w:t>We believe that the equal recognition before the law is a core of a human rights model brought by the Convention. It is why we put the right asserted in article</w:t>
      </w:r>
      <w:r>
        <w:t xml:space="preserve"> 12 in the center of our observations, linking the violations of those, asserted in articles 13, 14, 15, 18, and 19 to the domination of substituted decision- making model in France. Article 12 § 3 of the CRPD states that States Parties shall take appropri</w:t>
      </w:r>
      <w:r>
        <w:t>ate measures to provide access by persons with disabilities to the support they may require in exercising their legal capacity. The support is NOT a substitution. We believe that substantial equality can only be guaranteed through the support - the accommo</w:t>
      </w:r>
      <w:r>
        <w:t>dation, which would allow the persons with cognitive impairments to become the agent of their life. The refusal of necessary accommodation amounts to discrimination, according to article 2 of the Convention.</w:t>
      </w:r>
    </w:p>
    <w:p w:rsidR="00000000" w:rsidRDefault="00E65764">
      <w:pPr>
        <w:pStyle w:val="BodyText"/>
        <w:spacing w:before="6"/>
        <w:rPr>
          <w:sz w:val="32"/>
        </w:rPr>
      </w:pPr>
    </w:p>
    <w:p w:rsidR="00000000" w:rsidRDefault="00E65764">
      <w:pPr>
        <w:pStyle w:val="BodyText"/>
        <w:spacing w:line="360" w:lineRule="auto"/>
        <w:ind w:left="115" w:right="63" w:firstLine="710"/>
        <w:sectPr w:rsidR="00000000">
          <w:type w:val="continuous"/>
          <w:pgSz w:w="11906" w:h="16838"/>
          <w:pgMar w:top="1134" w:right="1134" w:bottom="1134" w:left="1134" w:header="720" w:footer="720" w:gutter="0"/>
          <w:cols w:space="720"/>
          <w:docGrid w:linePitch="312" w:charSpace="-2049"/>
        </w:sectPr>
      </w:pPr>
      <w:r>
        <w:t>Purposely, we do not discuss the issue of the f</w:t>
      </w:r>
      <w:r>
        <w:t xml:space="preserve">orced medicalization (inhuman treatment) of the Persons with Disabilities (hereafter PWD) as a separate one, because that issue is a direct consequence of the deprivation - permanent or temporary - of legal capacity. Therefore, we support that the problem </w:t>
      </w:r>
      <w:r>
        <w:t>of forced medicalization could not be addressed outside of the radical change in the global approach to decision-</w:t>
      </w:r>
    </w:p>
    <w:p w:rsidR="00000000" w:rsidRDefault="00E65764">
      <w:pPr>
        <w:pStyle w:val="BodyText"/>
        <w:spacing w:before="64"/>
        <w:ind w:left="115"/>
        <w:rPr>
          <w:sz w:val="24"/>
        </w:rPr>
      </w:pPr>
      <w:r>
        <w:lastRenderedPageBreak/>
        <w:t>making process.</w:t>
      </w:r>
    </w:p>
    <w:p w:rsidR="00000000" w:rsidRDefault="00E65764">
      <w:pPr>
        <w:pStyle w:val="BodyText"/>
        <w:rPr>
          <w:sz w:val="24"/>
        </w:rPr>
      </w:pPr>
    </w:p>
    <w:p w:rsidR="00000000" w:rsidRDefault="00E65764">
      <w:pPr>
        <w:pStyle w:val="BodyText"/>
        <w:spacing w:before="11"/>
        <w:rPr>
          <w:sz w:val="19"/>
        </w:rPr>
      </w:pPr>
    </w:p>
    <w:p w:rsidR="00000000" w:rsidRDefault="00E65764">
      <w:pPr>
        <w:pStyle w:val="BodyText"/>
        <w:spacing w:line="360" w:lineRule="auto"/>
        <w:ind w:left="115" w:right="174" w:firstLine="710"/>
      </w:pPr>
      <w:r>
        <w:t>Our observations are based on the confrontation of existing French legal provisions, judicial decisions and available statis</w:t>
      </w:r>
      <w:r>
        <w:t>tics concerning legal capacity of PWD with the Convention's requirements. Because the hearings before the French Court of Protection (</w:t>
      </w:r>
      <w:r>
        <w:rPr>
          <w:i/>
        </w:rPr>
        <w:t>Juge des Tutelles</w:t>
      </w:r>
      <w:r>
        <w:t>) are not public and few of them have been published so far, we will refer to the decisions which are pub</w:t>
      </w:r>
      <w:r>
        <w:t>lished and those – unpublished</w:t>
      </w:r>
    </w:p>
    <w:p w:rsidR="00000000" w:rsidRDefault="00E65764">
      <w:pPr>
        <w:pStyle w:val="BodyText"/>
        <w:spacing w:line="360" w:lineRule="auto"/>
        <w:ind w:left="115" w:right="63"/>
        <w:rPr>
          <w:sz w:val="24"/>
        </w:rPr>
      </w:pPr>
      <w:r>
        <w:t>– which are in our possession and of which copies were recently sent to the Committee along with an individual complaint.</w:t>
      </w:r>
    </w:p>
    <w:p w:rsidR="00000000" w:rsidRDefault="00E65764">
      <w:pPr>
        <w:pStyle w:val="BodyText"/>
        <w:rPr>
          <w:sz w:val="24"/>
        </w:rPr>
      </w:pPr>
    </w:p>
    <w:p w:rsidR="00000000" w:rsidRDefault="00E65764">
      <w:pPr>
        <w:pStyle w:val="BodyText"/>
        <w:spacing w:before="8"/>
        <w:rPr>
          <w:sz w:val="19"/>
        </w:rPr>
      </w:pPr>
    </w:p>
    <w:p w:rsidR="00000000" w:rsidRDefault="00E65764">
      <w:pPr>
        <w:pStyle w:val="ListParagraph"/>
        <w:numPr>
          <w:ilvl w:val="0"/>
          <w:numId w:val="2"/>
        </w:numPr>
        <w:tabs>
          <w:tab w:val="left" w:pos="1046"/>
        </w:tabs>
        <w:spacing w:before="1"/>
        <w:rPr>
          <w:sz w:val="20"/>
        </w:rPr>
      </w:pPr>
      <w:r>
        <w:rPr>
          <w:u w:val="single"/>
        </w:rPr>
        <w:t>Absence of the explicit equality</w:t>
      </w:r>
      <w:r>
        <w:rPr>
          <w:spacing w:val="-2"/>
          <w:u w:val="single"/>
        </w:rPr>
        <w:t xml:space="preserve"> </w:t>
      </w:r>
      <w:r>
        <w:rPr>
          <w:u w:val="single"/>
        </w:rPr>
        <w:t>provision</w:t>
      </w:r>
    </w:p>
    <w:p w:rsidR="00000000" w:rsidRDefault="00E65764">
      <w:pPr>
        <w:pStyle w:val="BodyText"/>
        <w:rPr>
          <w:sz w:val="20"/>
        </w:rPr>
      </w:pPr>
    </w:p>
    <w:p w:rsidR="00000000" w:rsidRDefault="00E65764">
      <w:pPr>
        <w:pStyle w:val="BodyText"/>
        <w:spacing w:before="2"/>
        <w:rPr>
          <w:sz w:val="16"/>
        </w:rPr>
      </w:pPr>
    </w:p>
    <w:p w:rsidR="00000000" w:rsidRDefault="00E65764">
      <w:pPr>
        <w:pStyle w:val="BodyText"/>
        <w:spacing w:before="91" w:line="360" w:lineRule="auto"/>
        <w:ind w:left="105" w:right="154" w:firstLine="482"/>
        <w:rPr>
          <w:sz w:val="32"/>
        </w:rPr>
      </w:pPr>
      <w:r>
        <w:t>No French Constitutional texts contain any mention of li</w:t>
      </w:r>
      <w:r>
        <w:t>mitation of rights on the basis of disability, but neither do any of them to assert the right to not be discriminated against on the basis of disability. The current French Constitution of 1958 does not mention disability in any context. Article 1 declares</w:t>
      </w:r>
      <w:r>
        <w:t xml:space="preserve"> 'the equality before the law of all citizens without distinction of origin, race or religion'.</w:t>
      </w:r>
    </w:p>
    <w:p w:rsidR="00000000" w:rsidRDefault="00E65764">
      <w:pPr>
        <w:pStyle w:val="BodyText"/>
        <w:spacing w:before="8"/>
        <w:rPr>
          <w:sz w:val="32"/>
        </w:rPr>
      </w:pPr>
    </w:p>
    <w:p w:rsidR="00000000" w:rsidRDefault="00E65764">
      <w:pPr>
        <w:pStyle w:val="BodyText"/>
        <w:spacing w:line="360" w:lineRule="auto"/>
        <w:ind w:left="105" w:right="63" w:firstLine="708"/>
        <w:rPr>
          <w:sz w:val="32"/>
        </w:rPr>
      </w:pPr>
      <w:r>
        <w:t>The Act of the 11</w:t>
      </w:r>
      <w:r>
        <w:rPr>
          <w:vertAlign w:val="superscript"/>
        </w:rPr>
        <w:t>th</w:t>
      </w:r>
      <w:r>
        <w:t xml:space="preserve"> February 2005 (</w:t>
      </w:r>
      <w:r>
        <w:rPr>
          <w:i/>
        </w:rPr>
        <w:t>Loi d'égalité des chances</w:t>
      </w:r>
      <w:r>
        <w:t>) while widely seen in France as a progressive step and despite its ambitious title, does not conta</w:t>
      </w:r>
      <w:r>
        <w:t>in any reference to civil rights such as liberty and equality</w:t>
      </w:r>
      <w:hyperlink w:anchor="_bookmark0" w:history="1">
        <w:r>
          <w:rPr>
            <w:rStyle w:val="Hyperlink"/>
            <w:vertAlign w:val="superscript"/>
          </w:rPr>
          <w:t>1</w:t>
        </w:r>
      </w:hyperlink>
      <w:r>
        <w:t>.</w:t>
      </w:r>
    </w:p>
    <w:p w:rsidR="00000000" w:rsidRDefault="00E65764">
      <w:pPr>
        <w:pStyle w:val="BodyText"/>
        <w:spacing w:before="9"/>
        <w:rPr>
          <w:sz w:val="32"/>
        </w:rPr>
      </w:pPr>
    </w:p>
    <w:p w:rsidR="00000000" w:rsidRDefault="00E65764">
      <w:pPr>
        <w:spacing w:line="360" w:lineRule="auto"/>
        <w:ind w:left="105" w:right="63" w:firstLine="708"/>
        <w:rPr>
          <w:sz w:val="32"/>
        </w:rPr>
      </w:pPr>
      <w:r>
        <w:t>By her declaration upon signature of the CRPD, and in number of the submissions, France reasserted her strong adherence to the substitute decision-making</w:t>
      </w:r>
      <w:hyperlink w:anchor="_bookmark1" w:history="1">
        <w:r>
          <w:rPr>
            <w:rStyle w:val="Hyperlink"/>
            <w:vertAlign w:val="superscript"/>
          </w:rPr>
          <w:t>2</w:t>
        </w:r>
        <w:r>
          <w:rPr>
            <w:rStyle w:val="Hyperlink"/>
          </w:rPr>
          <w:t xml:space="preserve"> </w:t>
        </w:r>
      </w:hyperlink>
      <w:hyperlink w:anchor="_bookmark2" w:history="1">
        <w:r>
          <w:rPr>
            <w:rStyle w:val="Hyperlink"/>
            <w:vertAlign w:val="superscript"/>
          </w:rPr>
          <w:t>3</w:t>
        </w:r>
        <w:r>
          <w:rPr>
            <w:rStyle w:val="Hyperlink"/>
          </w:rPr>
          <w:t xml:space="preserve"> </w:t>
        </w:r>
      </w:hyperlink>
      <w:r>
        <w:t>recalling that, according to her standpoint, '</w:t>
      </w:r>
      <w:r>
        <w:rPr>
          <w:i/>
          <w:u w:val="single"/>
        </w:rPr>
        <w:t>the</w:t>
      </w:r>
      <w:r>
        <w:rPr>
          <w:i/>
        </w:rPr>
        <w:t xml:space="preserve"> </w:t>
      </w:r>
      <w:r>
        <w:rPr>
          <w:i/>
          <w:u w:val="single"/>
        </w:rPr>
        <w:t>Convention is not intended to govern specifically the field of legal protection of incapable persons</w:t>
      </w:r>
      <w:r>
        <w:rPr>
          <w:i/>
        </w:rPr>
        <w:t>'</w:t>
      </w:r>
      <w:hyperlink w:anchor="_bookmark3" w:history="1">
        <w:r>
          <w:rPr>
            <w:rStyle w:val="Hyperlink"/>
            <w:i/>
            <w:vertAlign w:val="superscript"/>
          </w:rPr>
          <w:t>4</w:t>
        </w:r>
      </w:hyperlink>
      <w:r>
        <w:rPr>
          <w:i/>
        </w:rPr>
        <w:t xml:space="preserve">. </w:t>
      </w:r>
      <w:r>
        <w:t>France had r</w:t>
      </w:r>
      <w:r>
        <w:t>efused so far to adopt a critical stance towards its guardianship model and legal provisions.</w:t>
      </w:r>
    </w:p>
    <w:p w:rsidR="00000000" w:rsidRDefault="00E65764">
      <w:pPr>
        <w:pStyle w:val="BodyText"/>
        <w:spacing w:before="10"/>
        <w:rPr>
          <w:sz w:val="32"/>
        </w:rPr>
      </w:pPr>
    </w:p>
    <w:p w:rsidR="00000000" w:rsidRDefault="00E65764">
      <w:pPr>
        <w:pStyle w:val="Heading1"/>
        <w:spacing w:before="1" w:line="355" w:lineRule="auto"/>
        <w:rPr>
          <w:sz w:val="33"/>
        </w:rPr>
      </w:pPr>
      <w:r>
        <w:t>The absence of affirmation of the equality of the persons with disabilities in the French Constitution leads to the absence of the firm ground for the Convention</w:t>
      </w:r>
      <w:r>
        <w:t xml:space="preserve"> compliant legal framework.</w:t>
      </w:r>
    </w:p>
    <w:p w:rsidR="00000000" w:rsidRDefault="00E65764">
      <w:pPr>
        <w:pStyle w:val="BodyText"/>
        <w:spacing w:before="1"/>
        <w:rPr>
          <w:b/>
          <w:sz w:val="33"/>
        </w:rPr>
      </w:pPr>
    </w:p>
    <w:p w:rsidR="00000000" w:rsidRDefault="00E65764">
      <w:pPr>
        <w:pStyle w:val="ListParagraph"/>
        <w:numPr>
          <w:ilvl w:val="0"/>
          <w:numId w:val="2"/>
        </w:numPr>
        <w:tabs>
          <w:tab w:val="left" w:pos="836"/>
        </w:tabs>
        <w:spacing w:before="1" w:line="360" w:lineRule="auto"/>
        <w:ind w:left="836" w:right="1035" w:hanging="360"/>
        <w:rPr>
          <w:sz w:val="25"/>
        </w:rPr>
      </w:pPr>
      <w:r>
        <w:rPr>
          <w:u w:val="single"/>
        </w:rPr>
        <w:t>French guardianship framework and non-access to justice of the persons under</w:t>
      </w:r>
      <w:r>
        <w:rPr>
          <w:spacing w:val="-34"/>
          <w:u w:val="single"/>
        </w:rPr>
        <w:t xml:space="preserve"> </w:t>
      </w:r>
      <w:r>
        <w:rPr>
          <w:u w:val="single"/>
        </w:rPr>
        <w:t>'protection'. 2.1. The criteria and process of legal capacity</w:t>
      </w:r>
      <w:r>
        <w:rPr>
          <w:spacing w:val="-8"/>
          <w:u w:val="single"/>
        </w:rPr>
        <w:t xml:space="preserve"> </w:t>
      </w:r>
      <w:r>
        <w:rPr>
          <w:u w:val="single"/>
        </w:rPr>
        <w:t>deprivation.</w:t>
      </w:r>
    </w:p>
    <w:p w:rsidR="00000000" w:rsidRDefault="00E65764">
      <w:pPr>
        <w:pStyle w:val="BodyText"/>
        <w:spacing w:before="1"/>
        <w:rPr>
          <w:sz w:val="25"/>
        </w:rPr>
      </w:pPr>
    </w:p>
    <w:p w:rsidR="00000000" w:rsidRDefault="00E65764">
      <w:pPr>
        <w:pStyle w:val="BodyText"/>
        <w:spacing w:before="90" w:line="360" w:lineRule="auto"/>
        <w:ind w:left="105" w:right="63" w:firstLine="708"/>
      </w:pPr>
      <w:r>
        <w:t>There are currently 102 articles in the French Civil Code (hereafter CC) c</w:t>
      </w:r>
      <w:r>
        <w:t>oncerning civil rights' restriction and guardianship, and a large number of additional special provisions in other 73 Codes.</w:t>
      </w:r>
    </w:p>
    <w:p w:rsidR="00000000" w:rsidRDefault="00E65764">
      <w:pPr>
        <w:pStyle w:val="BodyText"/>
        <w:spacing w:line="252" w:lineRule="exact"/>
        <w:ind w:left="105"/>
      </w:pPr>
      <w:r>
        <w:t>Substantial codification of the guardianship provisions was introduced in 1968</w:t>
      </w:r>
      <w:hyperlink w:anchor="_bookmark4" w:history="1">
        <w:r>
          <w:rPr>
            <w:rStyle w:val="Hyperlink"/>
            <w:vertAlign w:val="superscript"/>
          </w:rPr>
          <w:t>5</w:t>
        </w:r>
        <w:r>
          <w:rPr>
            <w:rStyle w:val="Hyperlink"/>
          </w:rPr>
          <w:t xml:space="preserve"> </w:t>
        </w:r>
      </w:hyperlink>
      <w:r>
        <w:t>and amended – but no</w:t>
      </w:r>
      <w:r>
        <w:t>t</w:t>
      </w:r>
    </w:p>
    <w:p w:rsidR="00000000" w:rsidRDefault="00E65764">
      <w:pPr>
        <w:pStyle w:val="BodyText"/>
        <w:spacing w:line="252" w:lineRule="exact"/>
        <w:ind w:left="105"/>
      </w:pPr>
    </w:p>
    <w:p w:rsidR="00000000" w:rsidRDefault="00E65764">
      <w:pPr>
        <w:pStyle w:val="BodyText"/>
        <w:spacing w:line="252" w:lineRule="exact"/>
        <w:ind w:left="105"/>
      </w:pPr>
    </w:p>
    <w:p w:rsidR="00000000" w:rsidRDefault="00E65764">
      <w:pPr>
        <w:pStyle w:val="BodyText"/>
        <w:spacing w:line="252" w:lineRule="exact"/>
        <w:ind w:left="105"/>
      </w:pPr>
    </w:p>
    <w:p w:rsidR="00000000" w:rsidRDefault="00E65764">
      <w:pPr>
        <w:pStyle w:val="BodyText"/>
        <w:spacing w:before="2"/>
        <w:rPr>
          <w:sz w:val="16"/>
        </w:rPr>
      </w:pPr>
    </w:p>
    <w:p w:rsidR="00000000" w:rsidRDefault="00E65764">
      <w:pPr>
        <w:spacing w:before="19"/>
        <w:ind w:left="115"/>
        <w:rPr>
          <w:sz w:val="18"/>
          <w:szCs w:val="18"/>
        </w:rPr>
      </w:pPr>
      <w:bookmarkStart w:id="1" w:name="_bookmark0"/>
      <w:bookmarkEnd w:id="1"/>
      <w:r>
        <w:rPr>
          <w:sz w:val="18"/>
          <w:szCs w:val="18"/>
        </w:rPr>
        <w:t>1 A/HRC/40/54/Add.1 para18</w:t>
      </w:r>
    </w:p>
    <w:p w:rsidR="00000000" w:rsidRDefault="00E65764">
      <w:pPr>
        <w:pStyle w:val="ListParagraph"/>
        <w:numPr>
          <w:ilvl w:val="0"/>
          <w:numId w:val="13"/>
        </w:numPr>
        <w:tabs>
          <w:tab w:val="left" w:pos="266"/>
        </w:tabs>
        <w:spacing w:before="1" w:line="229" w:lineRule="exact"/>
        <w:ind w:hanging="151"/>
        <w:rPr>
          <w:sz w:val="18"/>
          <w:szCs w:val="18"/>
        </w:rPr>
      </w:pPr>
      <w:bookmarkStart w:id="2" w:name="_bookmark11"/>
      <w:bookmarkStart w:id="3" w:name="_bookmark1"/>
      <w:bookmarkEnd w:id="2"/>
      <w:bookmarkEnd w:id="3"/>
      <w:r>
        <w:rPr>
          <w:sz w:val="18"/>
          <w:szCs w:val="18"/>
        </w:rPr>
        <w:lastRenderedPageBreak/>
        <w:t xml:space="preserve">CRPD </w:t>
      </w:r>
      <w:r>
        <w:rPr>
          <w:i/>
          <w:sz w:val="18"/>
          <w:szCs w:val="18"/>
        </w:rPr>
        <w:t>Declarations and Reservations</w:t>
      </w:r>
    </w:p>
    <w:p w:rsidR="00000000" w:rsidRDefault="00E65764">
      <w:pPr>
        <w:pStyle w:val="ListParagraph"/>
        <w:numPr>
          <w:ilvl w:val="0"/>
          <w:numId w:val="13"/>
        </w:numPr>
        <w:tabs>
          <w:tab w:val="left" w:pos="286"/>
        </w:tabs>
        <w:spacing w:line="275" w:lineRule="exact"/>
        <w:ind w:left="286" w:hanging="171"/>
        <w:rPr>
          <w:i/>
          <w:sz w:val="18"/>
          <w:szCs w:val="18"/>
        </w:rPr>
      </w:pPr>
      <w:bookmarkStart w:id="4" w:name="_bookmark21"/>
      <w:bookmarkStart w:id="5" w:name="_bookmark2"/>
      <w:bookmarkEnd w:id="4"/>
      <w:bookmarkEnd w:id="5"/>
      <w:r>
        <w:rPr>
          <w:sz w:val="18"/>
          <w:szCs w:val="18"/>
        </w:rPr>
        <w:t xml:space="preserve">CRPD </w:t>
      </w:r>
      <w:r>
        <w:rPr>
          <w:i/>
          <w:sz w:val="18"/>
          <w:szCs w:val="18"/>
        </w:rPr>
        <w:t xml:space="preserve">Rapport initial du Gouvernement Francais </w:t>
      </w:r>
      <w:r>
        <w:rPr>
          <w:sz w:val="18"/>
          <w:szCs w:val="18"/>
        </w:rPr>
        <w:t>(2016)</w:t>
      </w:r>
      <w:r>
        <w:rPr>
          <w:spacing w:val="-2"/>
          <w:sz w:val="18"/>
          <w:szCs w:val="18"/>
        </w:rPr>
        <w:t xml:space="preserve"> </w:t>
      </w:r>
      <w:r>
        <w:rPr>
          <w:sz w:val="18"/>
          <w:szCs w:val="18"/>
        </w:rPr>
        <w:t>22-25</w:t>
      </w:r>
    </w:p>
    <w:p w:rsidR="00000000" w:rsidRDefault="00E65764">
      <w:pPr>
        <w:pStyle w:val="ListParagraph"/>
        <w:numPr>
          <w:ilvl w:val="0"/>
          <w:numId w:val="13"/>
        </w:numPr>
        <w:tabs>
          <w:tab w:val="left" w:pos="266"/>
        </w:tabs>
        <w:spacing w:before="121"/>
        <w:sectPr w:rsidR="00000000">
          <w:pgSz w:w="11906" w:h="16838"/>
          <w:pgMar w:top="1060" w:right="1020" w:bottom="280" w:left="1020" w:header="720" w:footer="720" w:gutter="0"/>
          <w:cols w:space="720"/>
          <w:docGrid w:linePitch="240" w:charSpace="-2049"/>
        </w:sectPr>
      </w:pPr>
      <w:bookmarkStart w:id="6" w:name="_bookmark31"/>
      <w:bookmarkStart w:id="7" w:name="_bookmark3"/>
      <w:bookmarkEnd w:id="6"/>
      <w:bookmarkEnd w:id="7"/>
      <w:r>
        <w:rPr>
          <w:i/>
          <w:sz w:val="18"/>
          <w:szCs w:val="18"/>
        </w:rPr>
        <w:t xml:space="preserve">French State's submission for the draft of the CRPD's General Comment </w:t>
      </w:r>
      <w:r>
        <w:rPr>
          <w:sz w:val="18"/>
          <w:szCs w:val="18"/>
        </w:rPr>
        <w:t>1, 3</w:t>
      </w:r>
      <w:bookmarkStart w:id="8" w:name="_bookmark4"/>
      <w:bookmarkEnd w:id="8"/>
      <w:r>
        <w:rPr>
          <w:sz w:val="18"/>
          <w:szCs w:val="18"/>
        </w:rPr>
        <w:t xml:space="preserve"> 5 </w:t>
      </w:r>
      <w:r>
        <w:rPr>
          <w:i/>
          <w:sz w:val="18"/>
          <w:szCs w:val="18"/>
        </w:rPr>
        <w:t xml:space="preserve">Loi n° 68-5 du 3 janvier 1968 </w:t>
      </w:r>
      <w:r>
        <w:rPr>
          <w:sz w:val="18"/>
          <w:szCs w:val="18"/>
        </w:rPr>
        <w:t>portant réforme du dro</w:t>
      </w:r>
      <w:r>
        <w:rPr>
          <w:sz w:val="18"/>
          <w:szCs w:val="18"/>
        </w:rPr>
        <w:t>it des majeurs incapables</w:t>
      </w:r>
      <w:r>
        <w:rPr>
          <w:spacing w:val="-15"/>
          <w:sz w:val="18"/>
          <w:szCs w:val="18"/>
        </w:rPr>
        <w:t xml:space="preserve"> </w:t>
      </w:r>
    </w:p>
    <w:p w:rsidR="00000000" w:rsidRDefault="00E65764">
      <w:pPr>
        <w:pStyle w:val="BodyText"/>
        <w:spacing w:before="64" w:line="360" w:lineRule="auto"/>
        <w:ind w:left="105" w:right="88"/>
        <w:rPr>
          <w:sz w:val="32"/>
        </w:rPr>
      </w:pPr>
      <w:r>
        <w:lastRenderedPageBreak/>
        <w:t>modified in substance as asserted by the State – by successive reforms in 2007</w:t>
      </w:r>
      <w:hyperlink w:anchor="_bookmark5" w:history="1">
        <w:r>
          <w:rPr>
            <w:rStyle w:val="Hyperlink"/>
            <w:vertAlign w:val="superscript"/>
          </w:rPr>
          <w:t>6</w:t>
        </w:r>
      </w:hyperlink>
      <w:r>
        <w:t>, 2016</w:t>
      </w:r>
      <w:hyperlink w:anchor="_bookmark6" w:history="1">
        <w:r>
          <w:rPr>
            <w:rStyle w:val="Hyperlink"/>
            <w:vertAlign w:val="superscript"/>
          </w:rPr>
          <w:t>7</w:t>
        </w:r>
        <w:r>
          <w:rPr>
            <w:rStyle w:val="Hyperlink"/>
          </w:rPr>
          <w:t xml:space="preserve"> </w:t>
        </w:r>
      </w:hyperlink>
      <w:r>
        <w:t>and 2019</w:t>
      </w:r>
      <w:hyperlink w:anchor="_bookmark7" w:history="1">
        <w:r>
          <w:rPr>
            <w:rStyle w:val="Hyperlink"/>
            <w:vertAlign w:val="superscript"/>
          </w:rPr>
          <w:t>8</w:t>
        </w:r>
      </w:hyperlink>
      <w:r>
        <w:t>. It resulted in a very patchy, redundan</w:t>
      </w:r>
      <w:r>
        <w:t>t, and often contradictory legal framework - an ideal ground for the arbitrariness of the judges who are not trained to the CRPD (contrary to what is affirmed by the State) and who misinterpret or simply ignore it in their decisions as will be demonstrated</w:t>
      </w:r>
      <w:r>
        <w:t xml:space="preserve"> below.</w:t>
      </w:r>
      <w:hyperlink w:anchor="_bookmark8" w:history="1">
        <w:r>
          <w:rPr>
            <w:rStyle w:val="Hyperlink"/>
            <w:vertAlign w:val="superscript"/>
          </w:rPr>
          <w:t>9</w:t>
        </w:r>
      </w:hyperlink>
    </w:p>
    <w:p w:rsidR="00000000" w:rsidRDefault="00E65764">
      <w:pPr>
        <w:pStyle w:val="BodyText"/>
        <w:spacing w:before="10"/>
        <w:rPr>
          <w:sz w:val="32"/>
        </w:rPr>
      </w:pPr>
    </w:p>
    <w:p w:rsidR="00000000" w:rsidRDefault="00E65764">
      <w:pPr>
        <w:spacing w:line="360" w:lineRule="auto"/>
        <w:ind w:left="105" w:right="162" w:firstLine="708"/>
        <w:rPr>
          <w:sz w:val="32"/>
        </w:rPr>
      </w:pPr>
      <w:r>
        <w:t>Article 414 of CC lays down a threshold of 'sound mind' of which the absence justifies a 'protection' measure</w:t>
      </w:r>
      <w:hyperlink w:anchor="_bookmark9" w:history="1">
        <w:r>
          <w:rPr>
            <w:rStyle w:val="Hyperlink"/>
            <w:vertAlign w:val="superscript"/>
          </w:rPr>
          <w:t>10</w:t>
        </w:r>
        <w:r>
          <w:rPr>
            <w:rStyle w:val="Hyperlink"/>
            <w:spacing w:val="-24"/>
          </w:rPr>
          <w:t xml:space="preserve"> </w:t>
        </w:r>
      </w:hyperlink>
      <w:r>
        <w:rPr>
          <w:vertAlign w:val="superscript"/>
        </w:rPr>
        <w:t>.</w:t>
      </w:r>
      <w:r>
        <w:rPr>
          <w:spacing w:val="-24"/>
        </w:rPr>
        <w:t xml:space="preserve"> </w:t>
      </w:r>
      <w:r>
        <w:t>Article</w:t>
      </w:r>
      <w:r>
        <w:rPr>
          <w:spacing w:val="-3"/>
        </w:rPr>
        <w:t xml:space="preserve"> </w:t>
      </w:r>
      <w:r>
        <w:t>425</w:t>
      </w:r>
      <w:r>
        <w:rPr>
          <w:spacing w:val="-1"/>
        </w:rPr>
        <w:t xml:space="preserve"> </w:t>
      </w:r>
      <w:r>
        <w:t>further</w:t>
      </w:r>
      <w:r>
        <w:rPr>
          <w:spacing w:val="-2"/>
        </w:rPr>
        <w:t xml:space="preserve"> </w:t>
      </w:r>
      <w:r>
        <w:t>defines</w:t>
      </w:r>
      <w:r>
        <w:rPr>
          <w:spacing w:val="-2"/>
        </w:rPr>
        <w:t xml:space="preserve"> </w:t>
      </w:r>
      <w:r>
        <w:t>criteria</w:t>
      </w:r>
      <w:r>
        <w:rPr>
          <w:spacing w:val="-1"/>
        </w:rPr>
        <w:t xml:space="preserve"> </w:t>
      </w:r>
      <w:r>
        <w:t>required</w:t>
      </w:r>
      <w:r>
        <w:rPr>
          <w:spacing w:val="-2"/>
        </w:rPr>
        <w:t xml:space="preserve"> </w:t>
      </w:r>
      <w:r>
        <w:t>for</w:t>
      </w:r>
      <w:r>
        <w:rPr>
          <w:spacing w:val="-2"/>
        </w:rPr>
        <w:t xml:space="preserve"> </w:t>
      </w:r>
      <w:r>
        <w:t>the</w:t>
      </w:r>
      <w:r>
        <w:rPr>
          <w:spacing w:val="-2"/>
        </w:rPr>
        <w:t xml:space="preserve"> </w:t>
      </w:r>
      <w:r>
        <w:t>placement</w:t>
      </w:r>
      <w:r>
        <w:rPr>
          <w:spacing w:val="-1"/>
        </w:rPr>
        <w:t xml:space="preserve"> </w:t>
      </w:r>
      <w:r>
        <w:t>under</w:t>
      </w:r>
      <w:r>
        <w:rPr>
          <w:spacing w:val="-2"/>
        </w:rPr>
        <w:t xml:space="preserve"> </w:t>
      </w:r>
      <w:r>
        <w:t>guardianship:</w:t>
      </w:r>
      <w:r>
        <w:rPr>
          <w:spacing w:val="-2"/>
        </w:rPr>
        <w:t xml:space="preserve"> </w:t>
      </w:r>
      <w:r>
        <w:t>the</w:t>
      </w:r>
      <w:r>
        <w:rPr>
          <w:spacing w:val="-2"/>
        </w:rPr>
        <w:t xml:space="preserve"> </w:t>
      </w:r>
      <w:r>
        <w:t>existence</w:t>
      </w:r>
      <w:r>
        <w:rPr>
          <w:spacing w:val="-1"/>
        </w:rPr>
        <w:t xml:space="preserve"> </w:t>
      </w:r>
      <w:r>
        <w:rPr>
          <w:spacing w:val="-11"/>
        </w:rPr>
        <w:t xml:space="preserve">of </w:t>
      </w:r>
      <w:r>
        <w:t>the '</w:t>
      </w:r>
      <w:r>
        <w:rPr>
          <w:i/>
        </w:rPr>
        <w:t>impairment of [person's] mental or physical faculties such as to prevent the expression of [person's] will</w:t>
      </w:r>
      <w:r>
        <w:t>'. The impairments must be 'medically certified'. However, article 459, modified by the reform of 2007, establishe</w:t>
      </w:r>
      <w:r>
        <w:t>d additional criteria of the capacity to make '</w:t>
      </w:r>
      <w:r>
        <w:rPr>
          <w:i/>
        </w:rPr>
        <w:t>informed personal decision</w:t>
      </w:r>
      <w:r>
        <w:t>'</w:t>
      </w:r>
      <w:r>
        <w:rPr>
          <w:spacing w:val="-12"/>
        </w:rPr>
        <w:t xml:space="preserve"> </w:t>
      </w:r>
      <w:hyperlink w:anchor="_bookmark10" w:history="1">
        <w:r>
          <w:rPr>
            <w:rStyle w:val="Hyperlink"/>
            <w:vertAlign w:val="superscript"/>
          </w:rPr>
          <w:t>11</w:t>
        </w:r>
      </w:hyperlink>
      <w:r>
        <w:t>.</w:t>
      </w:r>
    </w:p>
    <w:p w:rsidR="00000000" w:rsidRDefault="00E65764">
      <w:pPr>
        <w:pStyle w:val="BodyText"/>
        <w:spacing w:before="9"/>
        <w:rPr>
          <w:sz w:val="32"/>
        </w:rPr>
      </w:pPr>
    </w:p>
    <w:p w:rsidR="00000000" w:rsidRDefault="00E65764">
      <w:pPr>
        <w:pStyle w:val="BodyText"/>
        <w:ind w:left="814"/>
        <w:rPr>
          <w:sz w:val="24"/>
        </w:rPr>
      </w:pPr>
      <w:r>
        <w:t>The assessment of 'unsound mind' is discriminatory in itself and violates the Convention. Moreover:</w:t>
      </w:r>
    </w:p>
    <w:p w:rsidR="00000000" w:rsidRDefault="00E65764">
      <w:pPr>
        <w:pStyle w:val="BodyText"/>
        <w:rPr>
          <w:sz w:val="24"/>
        </w:rPr>
      </w:pPr>
    </w:p>
    <w:p w:rsidR="00000000" w:rsidRDefault="00E65764">
      <w:pPr>
        <w:pStyle w:val="BodyText"/>
        <w:spacing w:before="11"/>
        <w:rPr>
          <w:sz w:val="19"/>
        </w:rPr>
      </w:pPr>
    </w:p>
    <w:p w:rsidR="00000000" w:rsidRDefault="00E65764">
      <w:pPr>
        <w:pStyle w:val="ListParagraph"/>
        <w:numPr>
          <w:ilvl w:val="0"/>
          <w:numId w:val="12"/>
        </w:numPr>
        <w:tabs>
          <w:tab w:val="left" w:pos="234"/>
        </w:tabs>
        <w:spacing w:line="355" w:lineRule="auto"/>
        <w:ind w:left="105" w:right="209" w:firstLine="0"/>
      </w:pPr>
      <w:r>
        <w:t>the</w:t>
      </w:r>
      <w:r>
        <w:rPr>
          <w:spacing w:val="-1"/>
        </w:rPr>
        <w:t xml:space="preserve"> </w:t>
      </w:r>
      <w:r>
        <w:t>modalities</w:t>
      </w:r>
      <w:r>
        <w:rPr>
          <w:spacing w:val="-3"/>
        </w:rPr>
        <w:t xml:space="preserve"> </w:t>
      </w:r>
      <w:r>
        <w:t>of</w:t>
      </w:r>
      <w:r>
        <w:rPr>
          <w:spacing w:val="-3"/>
        </w:rPr>
        <w:t xml:space="preserve"> </w:t>
      </w:r>
      <w:r>
        <w:t>the</w:t>
      </w:r>
      <w:r>
        <w:rPr>
          <w:spacing w:val="-2"/>
        </w:rPr>
        <w:t xml:space="preserve"> </w:t>
      </w:r>
      <w:r>
        <w:t>medical</w:t>
      </w:r>
      <w:r>
        <w:rPr>
          <w:spacing w:val="-3"/>
        </w:rPr>
        <w:t xml:space="preserve"> </w:t>
      </w:r>
      <w:r>
        <w:t>test</w:t>
      </w:r>
      <w:r>
        <w:rPr>
          <w:spacing w:val="-3"/>
        </w:rPr>
        <w:t xml:space="preserve"> </w:t>
      </w:r>
      <w:r>
        <w:t>are</w:t>
      </w:r>
      <w:r>
        <w:rPr>
          <w:spacing w:val="-3"/>
        </w:rPr>
        <w:t xml:space="preserve"> </w:t>
      </w:r>
      <w:r>
        <w:t>not</w:t>
      </w:r>
      <w:r>
        <w:rPr>
          <w:spacing w:val="-2"/>
        </w:rPr>
        <w:t xml:space="preserve"> </w:t>
      </w:r>
      <w:r>
        <w:t>detailed</w:t>
      </w:r>
      <w:r>
        <w:rPr>
          <w:spacing w:val="-2"/>
        </w:rPr>
        <w:t xml:space="preserve"> </w:t>
      </w:r>
      <w:r>
        <w:t>and</w:t>
      </w:r>
      <w:r>
        <w:rPr>
          <w:spacing w:val="-4"/>
        </w:rPr>
        <w:t xml:space="preserve"> </w:t>
      </w:r>
      <w:r>
        <w:t>are</w:t>
      </w:r>
      <w:r>
        <w:rPr>
          <w:spacing w:val="-1"/>
        </w:rPr>
        <w:t xml:space="preserve"> </w:t>
      </w:r>
      <w:r>
        <w:t>left</w:t>
      </w:r>
      <w:r>
        <w:rPr>
          <w:spacing w:val="-3"/>
        </w:rPr>
        <w:t xml:space="preserve"> </w:t>
      </w:r>
      <w:r>
        <w:t>to</w:t>
      </w:r>
      <w:r>
        <w:rPr>
          <w:spacing w:val="-2"/>
        </w:rPr>
        <w:t xml:space="preserve"> </w:t>
      </w:r>
      <w:r>
        <w:t>the</w:t>
      </w:r>
      <w:r>
        <w:rPr>
          <w:spacing w:val="-1"/>
        </w:rPr>
        <w:t xml:space="preserve"> </w:t>
      </w:r>
      <w:r>
        <w:t>entire</w:t>
      </w:r>
      <w:r>
        <w:rPr>
          <w:spacing w:val="-1"/>
        </w:rPr>
        <w:t xml:space="preserve"> </w:t>
      </w:r>
      <w:r>
        <w:t>discretion</w:t>
      </w:r>
      <w:r>
        <w:rPr>
          <w:spacing w:val="-2"/>
        </w:rPr>
        <w:t xml:space="preserve"> </w:t>
      </w:r>
      <w:r>
        <w:t>of</w:t>
      </w:r>
      <w:r>
        <w:rPr>
          <w:spacing w:val="-3"/>
        </w:rPr>
        <w:t xml:space="preserve"> </w:t>
      </w:r>
      <w:r>
        <w:t>medical</w:t>
      </w:r>
      <w:r>
        <w:rPr>
          <w:spacing w:val="-3"/>
        </w:rPr>
        <w:t xml:space="preserve"> </w:t>
      </w:r>
      <w:r>
        <w:t>expert</w:t>
      </w:r>
      <w:r>
        <w:rPr>
          <w:spacing w:val="-2"/>
        </w:rPr>
        <w:t xml:space="preserve"> </w:t>
      </w:r>
      <w:r>
        <w:t>who has no obligation to follow any</w:t>
      </w:r>
      <w:r>
        <w:rPr>
          <w:spacing w:val="-4"/>
        </w:rPr>
        <w:t xml:space="preserve"> </w:t>
      </w:r>
      <w:r>
        <w:t>guideline;</w:t>
      </w:r>
    </w:p>
    <w:p w:rsidR="00000000" w:rsidRDefault="00E65764">
      <w:pPr>
        <w:pStyle w:val="ListParagraph"/>
        <w:numPr>
          <w:ilvl w:val="0"/>
          <w:numId w:val="12"/>
        </w:numPr>
        <w:tabs>
          <w:tab w:val="left" w:pos="234"/>
        </w:tabs>
        <w:spacing w:before="4" w:line="355" w:lineRule="auto"/>
        <w:ind w:left="105" w:right="439" w:firstLine="0"/>
      </w:pPr>
      <w:r>
        <w:t>there</w:t>
      </w:r>
      <w:r>
        <w:rPr>
          <w:spacing w:val="-3"/>
        </w:rPr>
        <w:t xml:space="preserve"> </w:t>
      </w:r>
      <w:r>
        <w:t>is</w:t>
      </w:r>
      <w:r>
        <w:rPr>
          <w:spacing w:val="-3"/>
        </w:rPr>
        <w:t xml:space="preserve"> </w:t>
      </w:r>
      <w:r>
        <w:t>only</w:t>
      </w:r>
      <w:r>
        <w:rPr>
          <w:spacing w:val="-2"/>
        </w:rPr>
        <w:t xml:space="preserve"> </w:t>
      </w:r>
      <w:r>
        <w:t>one</w:t>
      </w:r>
      <w:r>
        <w:rPr>
          <w:spacing w:val="-2"/>
        </w:rPr>
        <w:t xml:space="preserve"> </w:t>
      </w:r>
      <w:r>
        <w:t>expert:</w:t>
      </w:r>
      <w:r>
        <w:rPr>
          <w:spacing w:val="-3"/>
        </w:rPr>
        <w:t xml:space="preserve"> </w:t>
      </w:r>
      <w:r>
        <w:t>while</w:t>
      </w:r>
      <w:r>
        <w:rPr>
          <w:spacing w:val="-4"/>
        </w:rPr>
        <w:t xml:space="preserve"> </w:t>
      </w:r>
      <w:r>
        <w:t>for</w:t>
      </w:r>
      <w:r>
        <w:rPr>
          <w:spacing w:val="-3"/>
        </w:rPr>
        <w:t xml:space="preserve"> </w:t>
      </w:r>
      <w:r>
        <w:t>the</w:t>
      </w:r>
      <w:r>
        <w:rPr>
          <w:spacing w:val="-1"/>
        </w:rPr>
        <w:t xml:space="preserve"> </w:t>
      </w:r>
      <w:r>
        <w:t>forced</w:t>
      </w:r>
      <w:r>
        <w:rPr>
          <w:spacing w:val="-3"/>
        </w:rPr>
        <w:t xml:space="preserve"> </w:t>
      </w:r>
      <w:r>
        <w:t>hospitalization,</w:t>
      </w:r>
      <w:r>
        <w:rPr>
          <w:spacing w:val="-3"/>
        </w:rPr>
        <w:t xml:space="preserve"> </w:t>
      </w:r>
      <w:r>
        <w:t>according</w:t>
      </w:r>
      <w:r>
        <w:rPr>
          <w:spacing w:val="-2"/>
        </w:rPr>
        <w:t xml:space="preserve"> </w:t>
      </w:r>
      <w:r>
        <w:t>to</w:t>
      </w:r>
      <w:r>
        <w:rPr>
          <w:spacing w:val="-2"/>
        </w:rPr>
        <w:t xml:space="preserve"> </w:t>
      </w:r>
      <w:r>
        <w:t>French</w:t>
      </w:r>
      <w:r>
        <w:rPr>
          <w:spacing w:val="-1"/>
        </w:rPr>
        <w:t xml:space="preserve"> </w:t>
      </w:r>
      <w:r>
        <w:t>law,</w:t>
      </w:r>
      <w:r>
        <w:rPr>
          <w:spacing w:val="-3"/>
        </w:rPr>
        <w:t xml:space="preserve"> </w:t>
      </w:r>
      <w:r>
        <w:t>there</w:t>
      </w:r>
      <w:r>
        <w:rPr>
          <w:spacing w:val="-4"/>
        </w:rPr>
        <w:t xml:space="preserve"> </w:t>
      </w:r>
      <w:r>
        <w:t>must</w:t>
      </w:r>
      <w:r>
        <w:rPr>
          <w:spacing w:val="-2"/>
        </w:rPr>
        <w:t xml:space="preserve"> </w:t>
      </w:r>
      <w:r>
        <w:t>be</w:t>
      </w:r>
      <w:r>
        <w:rPr>
          <w:spacing w:val="-1"/>
        </w:rPr>
        <w:t xml:space="preserve"> </w:t>
      </w:r>
      <w:r>
        <w:t>two physicians, for deprivation of legal</w:t>
      </w:r>
      <w:r>
        <w:t xml:space="preserve"> capacity one is deemed to be</w:t>
      </w:r>
      <w:r>
        <w:rPr>
          <w:spacing w:val="-11"/>
        </w:rPr>
        <w:t xml:space="preserve"> </w:t>
      </w:r>
      <w:r>
        <w:t>enough;</w:t>
      </w:r>
    </w:p>
    <w:p w:rsidR="00000000" w:rsidRDefault="00E65764">
      <w:pPr>
        <w:pStyle w:val="ListParagraph"/>
        <w:numPr>
          <w:ilvl w:val="0"/>
          <w:numId w:val="12"/>
        </w:numPr>
        <w:tabs>
          <w:tab w:val="left" w:pos="234"/>
        </w:tabs>
        <w:spacing w:before="4" w:line="360" w:lineRule="auto"/>
        <w:ind w:left="105" w:right="108" w:firstLine="0"/>
      </w:pPr>
      <w:r>
        <w:lastRenderedPageBreak/>
        <w:t xml:space="preserve">the expression of wills and preferences appears not to be sufficient in itself to be taken under account, once the mental capacity of the person is assessed as altered. A bright example is </w:t>
      </w:r>
      <w:r>
        <w:rPr>
          <w:i/>
        </w:rPr>
        <w:t xml:space="preserve">Delecolle v. France </w:t>
      </w:r>
      <w:r>
        <w:t>ECtHR</w:t>
      </w:r>
      <w:r>
        <w:rPr>
          <w:spacing w:val="-32"/>
        </w:rPr>
        <w:t xml:space="preserve"> </w:t>
      </w:r>
      <w:r>
        <w:t>cas</w:t>
      </w:r>
      <w:r>
        <w:t>e, where the applicant, with non-impaired expression, was refused the right to marry by French Courts because deemed to 'not be able to control the consequences of his decision'</w:t>
      </w:r>
      <w:hyperlink w:anchor="_bookmark11" w:history="1">
        <w:r>
          <w:rPr>
            <w:rStyle w:val="Hyperlink"/>
            <w:vertAlign w:val="superscript"/>
          </w:rPr>
          <w:t>12</w:t>
        </w:r>
      </w:hyperlink>
      <w:r>
        <w:t>. As Judge Nussenberger concluded in dissiden</w:t>
      </w:r>
      <w:r>
        <w:t>t opinion, '</w:t>
      </w:r>
      <w:r>
        <w:rPr>
          <w:i/>
        </w:rPr>
        <w:t>[the applicant]was heard but not listened</w:t>
      </w:r>
      <w:r>
        <w:rPr>
          <w:i/>
          <w:spacing w:val="-10"/>
        </w:rPr>
        <w:t xml:space="preserve"> </w:t>
      </w:r>
      <w:r>
        <w:rPr>
          <w:i/>
        </w:rPr>
        <w:t>to</w:t>
      </w:r>
      <w:r>
        <w:t>'</w:t>
      </w:r>
      <w:hyperlink w:anchor="_bookmark12" w:history="1">
        <w:r>
          <w:rPr>
            <w:rStyle w:val="Hyperlink"/>
            <w:vertAlign w:val="superscript"/>
          </w:rPr>
          <w:t>13</w:t>
        </w:r>
      </w:hyperlink>
      <w:r>
        <w:t>;</w:t>
      </w:r>
    </w:p>
    <w:p w:rsidR="00000000" w:rsidRDefault="00E65764">
      <w:pPr>
        <w:pStyle w:val="ListParagraph"/>
        <w:numPr>
          <w:ilvl w:val="0"/>
          <w:numId w:val="12"/>
        </w:numPr>
        <w:tabs>
          <w:tab w:val="left" w:pos="244"/>
        </w:tabs>
        <w:spacing w:line="250" w:lineRule="exact"/>
        <w:ind w:left="243" w:hanging="129"/>
        <w:rPr>
          <w:sz w:val="24"/>
        </w:rPr>
      </w:pPr>
      <w:r>
        <w:t>there is no mention of any reasonable accommodation aiming at supporting the person's expression of</w:t>
      </w:r>
      <w:r>
        <w:rPr>
          <w:spacing w:val="-35"/>
        </w:rPr>
        <w:t xml:space="preserve"> </w:t>
      </w:r>
      <w:r>
        <w:t>wills.</w:t>
      </w:r>
    </w:p>
    <w:p w:rsidR="00000000" w:rsidRDefault="00E65764">
      <w:pPr>
        <w:pStyle w:val="BodyText"/>
        <w:rPr>
          <w:sz w:val="24"/>
        </w:rPr>
      </w:pPr>
    </w:p>
    <w:p w:rsidR="00000000" w:rsidRDefault="00E65764">
      <w:pPr>
        <w:pStyle w:val="BodyText"/>
        <w:spacing w:before="10"/>
        <w:rPr>
          <w:sz w:val="19"/>
        </w:rPr>
      </w:pPr>
    </w:p>
    <w:p w:rsidR="00000000" w:rsidRDefault="00E65764">
      <w:pPr>
        <w:spacing w:before="1" w:line="360" w:lineRule="auto"/>
        <w:ind w:left="105" w:right="63" w:firstLine="708"/>
        <w:rPr>
          <w:i/>
        </w:rPr>
      </w:pPr>
      <w:r>
        <w:t>Article 415 states that '</w:t>
      </w:r>
      <w:r>
        <w:rPr>
          <w:i/>
        </w:rPr>
        <w:t>[the] protection shall be est</w:t>
      </w:r>
      <w:r>
        <w:rPr>
          <w:i/>
        </w:rPr>
        <w:t>ablished and ensured with due respect for individual freedoms, fundamental rights and the dignity of the person.</w:t>
      </w:r>
    </w:p>
    <w:p w:rsidR="00000000" w:rsidRDefault="00E65764">
      <w:pPr>
        <w:spacing w:line="360" w:lineRule="auto"/>
        <w:ind w:left="105" w:right="174" w:firstLine="482"/>
      </w:pPr>
      <w:r>
        <w:rPr>
          <w:i/>
        </w:rPr>
        <w:t>It shall be in the interest of the protected person. It shall, as far as possible, promote the autonomy of the protected person.</w:t>
      </w:r>
      <w:r>
        <w:t>'</w:t>
      </w:r>
    </w:p>
    <w:p w:rsidR="00000000" w:rsidRDefault="00E65764">
      <w:pPr>
        <w:pStyle w:val="BodyText"/>
        <w:spacing w:line="360" w:lineRule="auto"/>
        <w:ind w:left="115" w:right="174" w:firstLine="710"/>
      </w:pPr>
      <w:r>
        <w:t>Along with th</w:t>
      </w:r>
      <w:r>
        <w:t xml:space="preserve">e absence of clear safeguards to the rights of 'protected' persons, the expression 'as far as possible' is the open door to the arbitrariness. This expression is widely used in the report of the group under the direction of A.Caron-Deglise (2019) asked by </w:t>
      </w:r>
      <w:r>
        <w:t>the State</w:t>
      </w:r>
      <w:hyperlink w:anchor="_bookmark13" w:history="1">
        <w:r>
          <w:rPr>
            <w:rStyle w:val="Hyperlink"/>
            <w:vertAlign w:val="superscript"/>
          </w:rPr>
          <w:t>14</w:t>
        </w:r>
      </w:hyperlink>
      <w:r>
        <w:t>, whose task was to indicate the way of</w:t>
      </w:r>
    </w:p>
    <w:p w:rsidR="00000000" w:rsidRDefault="00E65764">
      <w:pPr>
        <w:pStyle w:val="BodyText"/>
        <w:spacing w:line="360" w:lineRule="auto"/>
        <w:ind w:left="115" w:right="174" w:firstLine="710"/>
      </w:pPr>
    </w:p>
    <w:p w:rsidR="00000000" w:rsidRDefault="00E65764">
      <w:pPr>
        <w:pStyle w:val="BodyText"/>
        <w:spacing w:line="360" w:lineRule="auto"/>
        <w:ind w:left="115" w:right="174" w:firstLine="710"/>
      </w:pPr>
    </w:p>
    <w:p w:rsidR="00000000" w:rsidRDefault="00E65764">
      <w:pPr>
        <w:pStyle w:val="BodyText"/>
        <w:spacing w:before="7"/>
        <w:rPr>
          <w:sz w:val="18"/>
          <w:szCs w:val="18"/>
        </w:rPr>
      </w:pPr>
    </w:p>
    <w:p w:rsidR="00000000" w:rsidRDefault="00E65764">
      <w:pPr>
        <w:pStyle w:val="ListParagraph"/>
        <w:numPr>
          <w:ilvl w:val="0"/>
          <w:numId w:val="11"/>
        </w:numPr>
        <w:tabs>
          <w:tab w:val="left" w:pos="266"/>
        </w:tabs>
        <w:spacing w:before="20"/>
        <w:ind w:hanging="151"/>
        <w:rPr>
          <w:i/>
          <w:sz w:val="18"/>
          <w:szCs w:val="18"/>
        </w:rPr>
      </w:pPr>
      <w:bookmarkStart w:id="9" w:name="_bookmark51"/>
      <w:bookmarkStart w:id="10" w:name="_bookmark5"/>
      <w:bookmarkEnd w:id="9"/>
      <w:bookmarkEnd w:id="10"/>
      <w:r>
        <w:rPr>
          <w:i/>
          <w:sz w:val="18"/>
          <w:szCs w:val="18"/>
        </w:rPr>
        <w:t xml:space="preserve">Loi n° 2007-308 du 5 mars 2007 </w:t>
      </w:r>
      <w:r>
        <w:rPr>
          <w:sz w:val="18"/>
          <w:szCs w:val="18"/>
        </w:rPr>
        <w:t>portant réforme de la protection juridique des</w:t>
      </w:r>
      <w:r>
        <w:rPr>
          <w:spacing w:val="-3"/>
          <w:sz w:val="18"/>
          <w:szCs w:val="18"/>
        </w:rPr>
        <w:t xml:space="preserve"> </w:t>
      </w:r>
      <w:r>
        <w:rPr>
          <w:sz w:val="18"/>
          <w:szCs w:val="18"/>
        </w:rPr>
        <w:t>majeurs</w:t>
      </w:r>
    </w:p>
    <w:p w:rsidR="00000000" w:rsidRDefault="00E65764">
      <w:pPr>
        <w:pStyle w:val="ListParagraph"/>
        <w:numPr>
          <w:ilvl w:val="0"/>
          <w:numId w:val="11"/>
        </w:numPr>
        <w:tabs>
          <w:tab w:val="left" w:pos="266"/>
        </w:tabs>
        <w:ind w:left="115" w:right="503" w:firstLine="0"/>
        <w:rPr>
          <w:i/>
          <w:sz w:val="18"/>
          <w:szCs w:val="18"/>
        </w:rPr>
      </w:pPr>
      <w:bookmarkStart w:id="11" w:name="_bookmark61"/>
      <w:bookmarkStart w:id="12" w:name="_bookmark6"/>
      <w:bookmarkEnd w:id="11"/>
      <w:bookmarkEnd w:id="12"/>
      <w:r>
        <w:rPr>
          <w:i/>
          <w:sz w:val="18"/>
          <w:szCs w:val="18"/>
        </w:rPr>
        <w:t xml:space="preserve">Décret n° 2016-1896 du 27 décembre 2016 </w:t>
      </w:r>
      <w:r>
        <w:rPr>
          <w:sz w:val="18"/>
          <w:szCs w:val="18"/>
        </w:rPr>
        <w:t xml:space="preserve">portant diverses dispositions relatives aux </w:t>
      </w:r>
      <w:r>
        <w:rPr>
          <w:sz w:val="18"/>
          <w:szCs w:val="18"/>
        </w:rPr>
        <w:t>mandataires judiciaires à</w:t>
      </w:r>
      <w:r>
        <w:rPr>
          <w:spacing w:val="-29"/>
          <w:sz w:val="18"/>
          <w:szCs w:val="18"/>
        </w:rPr>
        <w:t xml:space="preserve"> </w:t>
      </w:r>
      <w:r>
        <w:rPr>
          <w:sz w:val="18"/>
          <w:szCs w:val="18"/>
        </w:rPr>
        <w:t>la protection des</w:t>
      </w:r>
      <w:r>
        <w:rPr>
          <w:spacing w:val="-2"/>
          <w:sz w:val="18"/>
          <w:szCs w:val="18"/>
        </w:rPr>
        <w:t xml:space="preserve"> </w:t>
      </w:r>
      <w:r>
        <w:rPr>
          <w:sz w:val="18"/>
          <w:szCs w:val="18"/>
        </w:rPr>
        <w:t>majeurs</w:t>
      </w:r>
    </w:p>
    <w:p w:rsidR="00000000" w:rsidRDefault="00E65764">
      <w:pPr>
        <w:pStyle w:val="ListParagraph"/>
        <w:numPr>
          <w:ilvl w:val="0"/>
          <w:numId w:val="11"/>
        </w:numPr>
        <w:tabs>
          <w:tab w:val="left" w:pos="266"/>
        </w:tabs>
        <w:spacing w:line="227" w:lineRule="exact"/>
        <w:ind w:hanging="151"/>
        <w:rPr>
          <w:sz w:val="18"/>
          <w:szCs w:val="18"/>
        </w:rPr>
      </w:pPr>
      <w:bookmarkStart w:id="13" w:name="_bookmark71"/>
      <w:bookmarkStart w:id="14" w:name="_bookmark7"/>
      <w:bookmarkEnd w:id="13"/>
      <w:bookmarkEnd w:id="14"/>
      <w:r>
        <w:rPr>
          <w:i/>
          <w:sz w:val="18"/>
          <w:szCs w:val="18"/>
        </w:rPr>
        <w:t xml:space="preserve">Loi n°2019-222 du 23 mars 2019 </w:t>
      </w:r>
      <w:r>
        <w:rPr>
          <w:sz w:val="18"/>
          <w:szCs w:val="18"/>
        </w:rPr>
        <w:t>de programmation 2018-2022 et de réforme pour la justice art</w:t>
      </w:r>
      <w:r>
        <w:rPr>
          <w:spacing w:val="-3"/>
          <w:sz w:val="18"/>
          <w:szCs w:val="18"/>
        </w:rPr>
        <w:t xml:space="preserve"> </w:t>
      </w:r>
      <w:r>
        <w:rPr>
          <w:sz w:val="18"/>
          <w:szCs w:val="18"/>
        </w:rPr>
        <w:t>11</w:t>
      </w:r>
    </w:p>
    <w:p w:rsidR="00000000" w:rsidRDefault="00E65764">
      <w:pPr>
        <w:pStyle w:val="ListParagraph"/>
        <w:numPr>
          <w:ilvl w:val="0"/>
          <w:numId w:val="11"/>
        </w:numPr>
        <w:tabs>
          <w:tab w:val="left" w:pos="316"/>
        </w:tabs>
        <w:spacing w:before="2"/>
        <w:ind w:left="115" w:right="249" w:firstLine="0"/>
        <w:rPr>
          <w:sz w:val="18"/>
          <w:szCs w:val="18"/>
        </w:rPr>
      </w:pPr>
      <w:bookmarkStart w:id="15" w:name="_bookmark81"/>
      <w:bookmarkStart w:id="16" w:name="_bookmark8"/>
      <w:bookmarkEnd w:id="15"/>
      <w:bookmarkEnd w:id="16"/>
      <w:r>
        <w:rPr>
          <w:sz w:val="18"/>
          <w:szCs w:val="18"/>
        </w:rPr>
        <w:lastRenderedPageBreak/>
        <w:t xml:space="preserve">A/HRC/40/54/Add.1 </w:t>
      </w:r>
      <w:r>
        <w:rPr>
          <w:i/>
          <w:sz w:val="18"/>
          <w:szCs w:val="18"/>
        </w:rPr>
        <w:t>Visit to France: report of UN</w:t>
      </w:r>
      <w:r>
        <w:rPr>
          <w:i/>
          <w:spacing w:val="-37"/>
          <w:sz w:val="18"/>
          <w:szCs w:val="18"/>
        </w:rPr>
        <w:t xml:space="preserve"> </w:t>
      </w:r>
      <w:r>
        <w:rPr>
          <w:i/>
          <w:sz w:val="18"/>
          <w:szCs w:val="18"/>
        </w:rPr>
        <w:t>Special Rapporteur on the rights of persons with disabilities</w:t>
      </w:r>
      <w:r>
        <w:rPr>
          <w:i/>
          <w:sz w:val="18"/>
          <w:szCs w:val="18"/>
        </w:rPr>
        <w:t xml:space="preserve"> </w:t>
      </w:r>
      <w:r>
        <w:rPr>
          <w:sz w:val="18"/>
          <w:szCs w:val="18"/>
        </w:rPr>
        <w:t xml:space="preserve">§69 10 </w:t>
      </w:r>
      <w:bookmarkStart w:id="17" w:name="_bookmark9"/>
      <w:bookmarkEnd w:id="17"/>
      <w:r>
        <w:rPr>
          <w:sz w:val="18"/>
          <w:szCs w:val="18"/>
        </w:rPr>
        <w:t>CC art</w:t>
      </w:r>
      <w:r>
        <w:rPr>
          <w:spacing w:val="-17"/>
          <w:sz w:val="18"/>
          <w:szCs w:val="18"/>
        </w:rPr>
        <w:t xml:space="preserve"> </w:t>
      </w:r>
      <w:r>
        <w:rPr>
          <w:sz w:val="18"/>
          <w:szCs w:val="18"/>
        </w:rPr>
        <w:t>414-1</w:t>
      </w:r>
    </w:p>
    <w:p w:rsidR="00000000" w:rsidRDefault="00E65764">
      <w:pPr>
        <w:pStyle w:val="ListParagraph"/>
        <w:numPr>
          <w:ilvl w:val="0"/>
          <w:numId w:val="10"/>
        </w:numPr>
        <w:tabs>
          <w:tab w:val="left" w:pos="400"/>
        </w:tabs>
        <w:spacing w:before="2"/>
        <w:ind w:hanging="285"/>
        <w:rPr>
          <w:i/>
          <w:sz w:val="18"/>
          <w:szCs w:val="18"/>
        </w:rPr>
      </w:pPr>
      <w:bookmarkStart w:id="18" w:name="_bookmark10"/>
      <w:bookmarkEnd w:id="18"/>
      <w:r>
        <w:rPr>
          <w:sz w:val="18"/>
          <w:szCs w:val="18"/>
        </w:rPr>
        <w:t>CC art</w:t>
      </w:r>
      <w:r>
        <w:rPr>
          <w:spacing w:val="-3"/>
          <w:sz w:val="18"/>
          <w:szCs w:val="18"/>
        </w:rPr>
        <w:t xml:space="preserve"> </w:t>
      </w:r>
      <w:r>
        <w:rPr>
          <w:sz w:val="18"/>
          <w:szCs w:val="18"/>
        </w:rPr>
        <w:t>459</w:t>
      </w:r>
    </w:p>
    <w:p w:rsidR="00000000" w:rsidRDefault="00E65764">
      <w:pPr>
        <w:pStyle w:val="ListParagraph"/>
        <w:numPr>
          <w:ilvl w:val="0"/>
          <w:numId w:val="10"/>
        </w:numPr>
        <w:tabs>
          <w:tab w:val="left" w:pos="400"/>
        </w:tabs>
        <w:ind w:left="115" w:right="4066" w:firstLine="0"/>
        <w:rPr>
          <w:sz w:val="18"/>
          <w:szCs w:val="18"/>
        </w:rPr>
      </w:pPr>
      <w:bookmarkStart w:id="19" w:name="_bookmark112"/>
      <w:bookmarkStart w:id="20" w:name="_bookmark111"/>
      <w:bookmarkEnd w:id="19"/>
      <w:bookmarkEnd w:id="20"/>
      <w:r>
        <w:rPr>
          <w:i/>
          <w:sz w:val="18"/>
          <w:szCs w:val="18"/>
        </w:rPr>
        <w:t xml:space="preserve">Delecolle v France </w:t>
      </w:r>
      <w:r>
        <w:rPr>
          <w:sz w:val="18"/>
          <w:szCs w:val="18"/>
        </w:rPr>
        <w:t xml:space="preserve">(ECtHR ) app 37646/13, 25 October 2018, §60 13 </w:t>
      </w:r>
      <w:bookmarkStart w:id="21" w:name="_bookmark12"/>
      <w:bookmarkEnd w:id="21"/>
      <w:r>
        <w:rPr>
          <w:sz w:val="18"/>
          <w:szCs w:val="18"/>
        </w:rPr>
        <w:t xml:space="preserve">Ibid, </w:t>
      </w:r>
      <w:r>
        <w:rPr>
          <w:i/>
          <w:sz w:val="18"/>
          <w:szCs w:val="18"/>
        </w:rPr>
        <w:t>opinion séparée de juge</w:t>
      </w:r>
      <w:r>
        <w:rPr>
          <w:i/>
          <w:spacing w:val="-19"/>
          <w:sz w:val="18"/>
          <w:szCs w:val="18"/>
        </w:rPr>
        <w:t xml:space="preserve"> </w:t>
      </w:r>
      <w:r>
        <w:rPr>
          <w:i/>
          <w:sz w:val="18"/>
          <w:szCs w:val="18"/>
        </w:rPr>
        <w:t>Nussenberger</w:t>
      </w:r>
    </w:p>
    <w:p w:rsidR="00000000" w:rsidRDefault="00E65764">
      <w:pPr>
        <w:pStyle w:val="ListParagraph"/>
        <w:numPr>
          <w:ilvl w:val="0"/>
          <w:numId w:val="9"/>
        </w:numPr>
        <w:tabs>
          <w:tab w:val="left" w:pos="400"/>
        </w:tabs>
        <w:ind w:right="453"/>
        <w:sectPr w:rsidR="00000000">
          <w:pgSz w:w="11906" w:h="16838"/>
          <w:pgMar w:top="1060" w:right="1020" w:bottom="280" w:left="1020" w:header="720" w:footer="720" w:gutter="0"/>
          <w:cols w:space="720"/>
          <w:docGrid w:linePitch="240" w:charSpace="-2049"/>
        </w:sectPr>
      </w:pPr>
      <w:bookmarkStart w:id="22" w:name="_bookmark13"/>
      <w:bookmarkEnd w:id="22"/>
      <w:r>
        <w:rPr>
          <w:sz w:val="18"/>
          <w:szCs w:val="18"/>
        </w:rPr>
        <w:t xml:space="preserve">Anne Caron- Déglise, </w:t>
      </w:r>
      <w:r>
        <w:rPr>
          <w:i/>
          <w:sz w:val="18"/>
          <w:szCs w:val="18"/>
        </w:rPr>
        <w:t>L’évolution de la protection juridique des personnes: reconnaître, soutenir et protéger</w:t>
      </w:r>
      <w:r>
        <w:rPr>
          <w:i/>
          <w:spacing w:val="-35"/>
          <w:sz w:val="18"/>
          <w:szCs w:val="18"/>
        </w:rPr>
        <w:t xml:space="preserve"> </w:t>
      </w:r>
      <w:r>
        <w:rPr>
          <w:i/>
          <w:sz w:val="18"/>
          <w:szCs w:val="18"/>
        </w:rPr>
        <w:t>les pe</w:t>
      </w:r>
      <w:r>
        <w:rPr>
          <w:i/>
          <w:sz w:val="18"/>
          <w:szCs w:val="18"/>
        </w:rPr>
        <w:t>rsonnes les plus vulnérables, Rapport de mission interministérielle</w:t>
      </w:r>
      <w:r>
        <w:rPr>
          <w:i/>
          <w:spacing w:val="-3"/>
          <w:sz w:val="18"/>
          <w:szCs w:val="18"/>
        </w:rPr>
        <w:t xml:space="preserve"> </w:t>
      </w:r>
      <w:r>
        <w:rPr>
          <w:sz w:val="18"/>
          <w:szCs w:val="18"/>
        </w:rPr>
        <w:t>(2018)</w:t>
      </w:r>
    </w:p>
    <w:p w:rsidR="00000000" w:rsidRDefault="00E65764">
      <w:pPr>
        <w:pStyle w:val="BodyText"/>
        <w:spacing w:before="64" w:line="360" w:lineRule="auto"/>
        <w:ind w:left="115" w:right="63"/>
        <w:rPr>
          <w:sz w:val="32"/>
        </w:rPr>
      </w:pPr>
      <w:r>
        <w:lastRenderedPageBreak/>
        <w:t>guardianship framework improvement. The report dedicates nearly 300 pages to the reaffirmation of the principle of substituted decision-making. The only proposal – to take into acco</w:t>
      </w:r>
      <w:r>
        <w:t>unt person's will and preferences – was abandoned and even if it was not, such provision would be ineffective given the general discriminatory approach outlined above.</w:t>
      </w:r>
    </w:p>
    <w:p w:rsidR="00000000" w:rsidRDefault="00E65764">
      <w:pPr>
        <w:pStyle w:val="BodyText"/>
        <w:spacing w:before="10"/>
        <w:rPr>
          <w:sz w:val="32"/>
        </w:rPr>
      </w:pPr>
    </w:p>
    <w:p w:rsidR="00000000" w:rsidRDefault="00E65764">
      <w:pPr>
        <w:pStyle w:val="Heading1"/>
        <w:spacing w:line="360" w:lineRule="auto"/>
        <w:ind w:left="105" w:firstLine="708"/>
      </w:pPr>
      <w:r>
        <w:t xml:space="preserve">French guardianship framework, based on the outdated conception of the divisible legal </w:t>
      </w:r>
      <w:r>
        <w:t>personhood (holder and agent) can not be improved as such. The assessment of 'unsound mind' is utterly discriminative and arbitrary. The ideal of the 'autonomy' is nothing but a mere abstraction ignoring the importance of human interdependence and social l</w:t>
      </w:r>
      <w:r>
        <w:t>inks.</w:t>
      </w:r>
    </w:p>
    <w:p w:rsidR="00000000" w:rsidRDefault="00E65764">
      <w:pPr>
        <w:spacing w:line="355" w:lineRule="auto"/>
        <w:ind w:left="105" w:right="63" w:firstLine="708"/>
        <w:rPr>
          <w:b/>
          <w:sz w:val="33"/>
        </w:rPr>
      </w:pPr>
      <w:r>
        <w:rPr>
          <w:b/>
        </w:rPr>
        <w:t>The absence of strong safeguards of civil rights - in first place, right to equality and to reasonable accommodation - is the main obstacle to the realization of the true reform.</w:t>
      </w:r>
    </w:p>
    <w:p w:rsidR="00000000" w:rsidRDefault="00E65764">
      <w:pPr>
        <w:pStyle w:val="BodyText"/>
        <w:spacing w:before="1"/>
        <w:rPr>
          <w:b/>
          <w:sz w:val="33"/>
        </w:rPr>
      </w:pPr>
    </w:p>
    <w:p w:rsidR="00000000" w:rsidRDefault="00E65764">
      <w:pPr>
        <w:pStyle w:val="BodyText"/>
        <w:ind w:left="814"/>
        <w:rPr>
          <w:sz w:val="20"/>
        </w:rPr>
      </w:pPr>
      <w:r>
        <w:rPr>
          <w:u w:val="single"/>
        </w:rPr>
        <w:t>2.2. The denial of access to justice.</w:t>
      </w:r>
    </w:p>
    <w:p w:rsidR="00000000" w:rsidRDefault="00E65764">
      <w:pPr>
        <w:pStyle w:val="BodyText"/>
        <w:rPr>
          <w:sz w:val="20"/>
        </w:rPr>
      </w:pPr>
    </w:p>
    <w:p w:rsidR="00000000" w:rsidRDefault="00E65764">
      <w:pPr>
        <w:pStyle w:val="BodyText"/>
        <w:rPr>
          <w:sz w:val="16"/>
        </w:rPr>
      </w:pPr>
    </w:p>
    <w:p w:rsidR="00000000" w:rsidRDefault="00E65764">
      <w:pPr>
        <w:pStyle w:val="BodyText"/>
        <w:spacing w:before="91" w:line="360" w:lineRule="auto"/>
        <w:ind w:left="115" w:right="63" w:firstLine="710"/>
      </w:pPr>
      <w:r>
        <w:t>The same medical expert who de</w:t>
      </w:r>
      <w:r>
        <w:t>tects the person's 'unsound mind', decides whether the person's hearing by Court is suitable or not</w:t>
      </w:r>
      <w:hyperlink w:anchor="_bookmark14" w:history="1">
        <w:r>
          <w:rPr>
            <w:rStyle w:val="Hyperlink"/>
            <w:vertAlign w:val="superscript"/>
          </w:rPr>
          <w:t>15</w:t>
        </w:r>
      </w:hyperlink>
      <w:r>
        <w:t>. Most of the persons who will be placed under 'protection' would never stand, neither be represented at Court which will w</w:t>
      </w:r>
      <w:r>
        <w:t>ithdraw their legal capacity. The medical opinion is not contestable. The Court 's decision is, but there are serious obstacles, namely:</w:t>
      </w:r>
    </w:p>
    <w:p w:rsidR="00000000" w:rsidRDefault="00E65764">
      <w:pPr>
        <w:pStyle w:val="ListParagraph"/>
        <w:numPr>
          <w:ilvl w:val="0"/>
          <w:numId w:val="8"/>
        </w:numPr>
        <w:tabs>
          <w:tab w:val="left" w:pos="835"/>
          <w:tab w:val="left" w:pos="836"/>
        </w:tabs>
        <w:spacing w:line="257" w:lineRule="exact"/>
        <w:ind w:left="836" w:hanging="721"/>
      </w:pPr>
      <w:r>
        <w:lastRenderedPageBreak/>
        <w:t>the judge has all discretion to decide whether to communicate the decision to the 'protected'</w:t>
      </w:r>
      <w:r>
        <w:rPr>
          <w:spacing w:val="-31"/>
        </w:rPr>
        <w:t xml:space="preserve"> </w:t>
      </w:r>
      <w:r>
        <w:t>person</w:t>
      </w:r>
    </w:p>
    <w:p w:rsidR="00000000" w:rsidRDefault="00E65764">
      <w:pPr>
        <w:pStyle w:val="BodyText"/>
        <w:spacing w:before="139" w:line="355" w:lineRule="auto"/>
        <w:ind w:left="115" w:right="63"/>
      </w:pPr>
      <w:r>
        <w:t>and to her relativ</w:t>
      </w:r>
      <w:r>
        <w:t>es or not while the time limit for appeal (15 days) runs from the date of the decision, and not form the date when the parties took the knowledge of it</w:t>
      </w:r>
      <w:hyperlink w:anchor="_bookmark15" w:history="1">
        <w:r>
          <w:rPr>
            <w:rStyle w:val="Hyperlink"/>
            <w:vertAlign w:val="superscript"/>
          </w:rPr>
          <w:t>16</w:t>
        </w:r>
      </w:hyperlink>
      <w:r>
        <w:t>;</w:t>
      </w:r>
    </w:p>
    <w:p w:rsidR="00000000" w:rsidRDefault="00E65764">
      <w:pPr>
        <w:pStyle w:val="ListParagraph"/>
        <w:numPr>
          <w:ilvl w:val="0"/>
          <w:numId w:val="8"/>
        </w:numPr>
        <w:tabs>
          <w:tab w:val="left" w:pos="835"/>
          <w:tab w:val="left" w:pos="836"/>
        </w:tabs>
        <w:spacing w:line="360" w:lineRule="auto"/>
        <w:ind w:left="115" w:right="276" w:firstLine="0"/>
        <w:rPr>
          <w:sz w:val="32"/>
        </w:rPr>
      </w:pPr>
      <w:r>
        <w:t>before the Court examining the appeal of guardianship or any other de</w:t>
      </w:r>
      <w:r>
        <w:t>cision concerning the 'protected' person, the latter will be only represented by her guardian, according to art 475 of CC. No legal representation is guaranteed to the person who is denied the access to the Court. The decision of</w:t>
      </w:r>
      <w:r>
        <w:rPr>
          <w:spacing w:val="-40"/>
        </w:rPr>
        <w:t xml:space="preserve"> </w:t>
      </w:r>
      <w:r>
        <w:t>the Appeal Court of Lyon f</w:t>
      </w:r>
      <w:r>
        <w:t>rom 21</w:t>
      </w:r>
      <w:r>
        <w:rPr>
          <w:vertAlign w:val="superscript"/>
        </w:rPr>
        <w:t>st</w:t>
      </w:r>
      <w:r>
        <w:t xml:space="preserve"> of January 2021states that 'neither French law nor international Conventions do impose that the protected adult must be legally</w:t>
      </w:r>
      <w:r>
        <w:rPr>
          <w:spacing w:val="-5"/>
        </w:rPr>
        <w:t xml:space="preserve"> </w:t>
      </w:r>
      <w:r>
        <w:t>represented'</w:t>
      </w:r>
      <w:hyperlink w:anchor="_bookmark16" w:history="1">
        <w:r>
          <w:rPr>
            <w:rStyle w:val="Hyperlink"/>
            <w:vertAlign w:val="superscript"/>
          </w:rPr>
          <w:t>17</w:t>
        </w:r>
      </w:hyperlink>
      <w:r>
        <w:t>.</w:t>
      </w:r>
    </w:p>
    <w:p w:rsidR="00000000" w:rsidRDefault="00E65764">
      <w:pPr>
        <w:pStyle w:val="BodyText"/>
        <w:spacing w:before="1"/>
        <w:rPr>
          <w:sz w:val="32"/>
        </w:rPr>
      </w:pPr>
    </w:p>
    <w:p w:rsidR="00000000" w:rsidRDefault="00E65764">
      <w:pPr>
        <w:pStyle w:val="BodyText"/>
        <w:spacing w:line="360" w:lineRule="auto"/>
        <w:ind w:left="115" w:right="174" w:firstLine="710"/>
        <w:rPr>
          <w:sz w:val="20"/>
        </w:rPr>
      </w:pPr>
      <w:r>
        <w:t>There is no statutory advocacy services in France to guarantee the leg</w:t>
      </w:r>
      <w:r>
        <w:t>al support and the effective access to independent advocates to persons with cognitive impairments. The access to legal aid is for no use for those persons as there is no support to help them to go through such a complicated process. Any support is a subje</w:t>
      </w:r>
      <w:r>
        <w:t>ct to the tutor's goodwill. In conjunction with article 475, that prevents the person deprived of legal capacity to defend herself before the Court and challenge her guardian, even in the case that the latter violates her rights (which is a common practice</w:t>
      </w:r>
      <w:r>
        <w:t>).</w:t>
      </w:r>
    </w:p>
    <w:p w:rsidR="00000000" w:rsidRDefault="00E65764">
      <w:pPr>
        <w:pStyle w:val="BodyText"/>
        <w:rPr>
          <w:sz w:val="20"/>
        </w:rPr>
      </w:pPr>
    </w:p>
    <w:p w:rsidR="00000000" w:rsidRDefault="00E65764">
      <w:pPr>
        <w:pStyle w:val="BodyText"/>
        <w:rPr>
          <w:sz w:val="20"/>
        </w:rPr>
      </w:pPr>
    </w:p>
    <w:p w:rsidR="00000000" w:rsidRDefault="00E65764">
      <w:pPr>
        <w:pStyle w:val="BodyText"/>
        <w:rPr>
          <w:sz w:val="20"/>
        </w:rPr>
      </w:pPr>
    </w:p>
    <w:p w:rsidR="00000000" w:rsidRDefault="00E65764">
      <w:pPr>
        <w:pStyle w:val="BodyText"/>
        <w:rPr>
          <w:sz w:val="20"/>
        </w:rPr>
      </w:pPr>
    </w:p>
    <w:p w:rsidR="00000000" w:rsidRDefault="00E65764">
      <w:pPr>
        <w:pStyle w:val="BodyText"/>
        <w:rPr>
          <w:sz w:val="20"/>
        </w:rPr>
      </w:pPr>
    </w:p>
    <w:p w:rsidR="00000000" w:rsidRDefault="00E65764">
      <w:pPr>
        <w:pStyle w:val="BodyText"/>
        <w:rPr>
          <w:sz w:val="18"/>
          <w:szCs w:val="18"/>
        </w:rPr>
      </w:pPr>
    </w:p>
    <w:p w:rsidR="00000000" w:rsidRDefault="00E65764">
      <w:pPr>
        <w:pStyle w:val="BodyText"/>
        <w:spacing w:before="3"/>
        <w:rPr>
          <w:sz w:val="18"/>
          <w:szCs w:val="18"/>
        </w:rPr>
      </w:pPr>
    </w:p>
    <w:p w:rsidR="00000000" w:rsidRDefault="00E65764">
      <w:pPr>
        <w:pStyle w:val="ListParagraph"/>
        <w:numPr>
          <w:ilvl w:val="0"/>
          <w:numId w:val="9"/>
        </w:numPr>
        <w:tabs>
          <w:tab w:val="left" w:pos="400"/>
        </w:tabs>
        <w:spacing w:before="20"/>
        <w:ind w:left="115" w:right="6367" w:firstLine="0"/>
        <w:rPr>
          <w:i/>
          <w:sz w:val="18"/>
          <w:szCs w:val="18"/>
        </w:rPr>
      </w:pPr>
      <w:bookmarkStart w:id="23" w:name="_bookmark14"/>
      <w:bookmarkEnd w:id="23"/>
      <w:r>
        <w:rPr>
          <w:sz w:val="18"/>
          <w:szCs w:val="18"/>
        </w:rPr>
        <w:lastRenderedPageBreak/>
        <w:t>Code Procedure Civile (CPC) art</w:t>
      </w:r>
      <w:r>
        <w:rPr>
          <w:spacing w:val="-11"/>
          <w:sz w:val="18"/>
          <w:szCs w:val="18"/>
        </w:rPr>
        <w:t xml:space="preserve"> </w:t>
      </w:r>
      <w:r>
        <w:rPr>
          <w:sz w:val="18"/>
          <w:szCs w:val="18"/>
        </w:rPr>
        <w:t xml:space="preserve">1219 16 </w:t>
      </w:r>
      <w:bookmarkStart w:id="24" w:name="_bookmark15"/>
      <w:bookmarkEnd w:id="24"/>
      <w:r>
        <w:rPr>
          <w:sz w:val="18"/>
          <w:szCs w:val="18"/>
        </w:rPr>
        <w:t>CPC art</w:t>
      </w:r>
      <w:r>
        <w:rPr>
          <w:spacing w:val="-17"/>
          <w:sz w:val="18"/>
          <w:szCs w:val="18"/>
        </w:rPr>
        <w:t xml:space="preserve"> </w:t>
      </w:r>
      <w:r>
        <w:rPr>
          <w:sz w:val="18"/>
          <w:szCs w:val="18"/>
        </w:rPr>
        <w:t>1230-1</w:t>
      </w:r>
    </w:p>
    <w:p w:rsidR="00000000" w:rsidRDefault="00E65764">
      <w:pPr>
        <w:pStyle w:val="ListParagraph"/>
        <w:numPr>
          <w:ilvl w:val="0"/>
          <w:numId w:val="7"/>
        </w:numPr>
        <w:tabs>
          <w:tab w:val="left" w:pos="400"/>
        </w:tabs>
        <w:spacing w:before="2"/>
        <w:ind w:hanging="285"/>
        <w:sectPr w:rsidR="00000000">
          <w:pgSz w:w="11906" w:h="16838"/>
          <w:pgMar w:top="1060" w:right="1020" w:bottom="280" w:left="1020" w:header="720" w:footer="720" w:gutter="0"/>
          <w:cols w:space="720"/>
          <w:docGrid w:linePitch="240" w:charSpace="-2049"/>
        </w:sectPr>
      </w:pPr>
      <w:bookmarkStart w:id="25" w:name="_bookmark161"/>
      <w:bookmarkStart w:id="26" w:name="_bookmark16"/>
      <w:bookmarkEnd w:id="25"/>
      <w:bookmarkEnd w:id="26"/>
      <w:r>
        <w:rPr>
          <w:i/>
          <w:sz w:val="18"/>
          <w:szCs w:val="18"/>
        </w:rPr>
        <w:t>6</w:t>
      </w:r>
      <w:r>
        <w:rPr>
          <w:i/>
          <w:sz w:val="18"/>
          <w:szCs w:val="18"/>
          <w:vertAlign w:val="superscript"/>
        </w:rPr>
        <w:t>th</w:t>
      </w:r>
      <w:r>
        <w:rPr>
          <w:i/>
          <w:sz w:val="18"/>
          <w:szCs w:val="18"/>
        </w:rPr>
        <w:t xml:space="preserve"> Chambre Cour d'Appel de Lyon, </w:t>
      </w:r>
      <w:r>
        <w:rPr>
          <w:sz w:val="18"/>
          <w:szCs w:val="18"/>
        </w:rPr>
        <w:t>27/01/2021, reg. number 20/04951 (non published) p.</w:t>
      </w:r>
      <w:r>
        <w:rPr>
          <w:spacing w:val="1"/>
          <w:sz w:val="18"/>
          <w:szCs w:val="18"/>
        </w:rPr>
        <w:t xml:space="preserve"> </w:t>
      </w:r>
      <w:r>
        <w:rPr>
          <w:sz w:val="18"/>
          <w:szCs w:val="18"/>
        </w:rPr>
        <w:t>10</w:t>
      </w:r>
    </w:p>
    <w:p w:rsidR="00000000" w:rsidRDefault="00E65764">
      <w:pPr>
        <w:pStyle w:val="Heading1"/>
        <w:spacing w:before="64"/>
        <w:ind w:left="826" w:right="0" w:firstLine="0"/>
        <w:rPr>
          <w:sz w:val="24"/>
        </w:rPr>
      </w:pPr>
      <w:r>
        <w:lastRenderedPageBreak/>
        <w:t>The persons under guardianship are fully denied access to justice in</w:t>
      </w:r>
      <w:r>
        <w:rPr>
          <w:spacing w:val="-37"/>
        </w:rPr>
        <w:t xml:space="preserve"> </w:t>
      </w:r>
      <w:r>
        <w:t>France.</w:t>
      </w:r>
    </w:p>
    <w:p w:rsidR="00000000" w:rsidRDefault="00E65764">
      <w:pPr>
        <w:pStyle w:val="BodyText"/>
        <w:rPr>
          <w:b/>
          <w:sz w:val="24"/>
        </w:rPr>
      </w:pPr>
    </w:p>
    <w:p w:rsidR="00000000" w:rsidRDefault="00E65764">
      <w:pPr>
        <w:pStyle w:val="BodyText"/>
        <w:spacing w:before="11"/>
        <w:rPr>
          <w:b/>
          <w:sz w:val="19"/>
        </w:rPr>
      </w:pPr>
    </w:p>
    <w:p w:rsidR="00000000" w:rsidRDefault="00E65764">
      <w:pPr>
        <w:pStyle w:val="BodyText"/>
        <w:ind w:left="826"/>
        <w:rPr>
          <w:sz w:val="20"/>
        </w:rPr>
      </w:pPr>
      <w:r>
        <w:rPr>
          <w:u w:val="single"/>
        </w:rPr>
        <w:t>2.3 The degrees of 'pro</w:t>
      </w:r>
      <w:r>
        <w:rPr>
          <w:u w:val="single"/>
        </w:rPr>
        <w:t>tection' and strong prevalence of full capacity</w:t>
      </w:r>
      <w:r>
        <w:rPr>
          <w:spacing w:val="-31"/>
          <w:u w:val="single"/>
        </w:rPr>
        <w:t xml:space="preserve"> </w:t>
      </w:r>
      <w:r>
        <w:rPr>
          <w:u w:val="single"/>
        </w:rPr>
        <w:t>deprivation:</w:t>
      </w:r>
    </w:p>
    <w:p w:rsidR="00000000" w:rsidRDefault="00E65764">
      <w:pPr>
        <w:pStyle w:val="BodyText"/>
        <w:rPr>
          <w:sz w:val="20"/>
        </w:rPr>
      </w:pPr>
    </w:p>
    <w:p w:rsidR="00000000" w:rsidRDefault="00E65764">
      <w:pPr>
        <w:pStyle w:val="BodyText"/>
        <w:rPr>
          <w:sz w:val="16"/>
        </w:rPr>
      </w:pPr>
    </w:p>
    <w:p w:rsidR="00000000" w:rsidRDefault="00E65764">
      <w:pPr>
        <w:pStyle w:val="BodyText"/>
        <w:spacing w:before="91" w:line="360" w:lineRule="auto"/>
        <w:ind w:left="115" w:right="174" w:firstLine="710"/>
        <w:rPr>
          <w:sz w:val="32"/>
        </w:rPr>
      </w:pPr>
      <w:r>
        <w:t>There are different degrees of limitation of legal capacity according to CC. The full guardianship (</w:t>
      </w:r>
      <w:r>
        <w:rPr>
          <w:i/>
        </w:rPr>
        <w:t>tutelle</w:t>
      </w:r>
      <w:r>
        <w:t>) allows the representation of 'protected person' for all civil acts by an appointed g</w:t>
      </w:r>
      <w:r>
        <w:t>uardian</w:t>
      </w:r>
      <w:hyperlink w:anchor="_bookmark17" w:history="1">
        <w:r>
          <w:rPr>
            <w:rStyle w:val="Hyperlink"/>
            <w:vertAlign w:val="superscript"/>
          </w:rPr>
          <w:t>18</w:t>
        </w:r>
      </w:hyperlink>
      <w:r>
        <w:t>, '</w:t>
      </w:r>
      <w:r>
        <w:rPr>
          <w:b/>
          <w:i/>
          <w:u w:val="single"/>
        </w:rPr>
        <w:t>including for acts which have the effect of seriously prejudicing [protected person's] physical integrity</w:t>
      </w:r>
      <w:r>
        <w:rPr>
          <w:b/>
        </w:rPr>
        <w:t>'</w:t>
      </w:r>
      <w:r>
        <w:t>.</w:t>
      </w:r>
      <w:hyperlink w:anchor="_bookmark18" w:history="1">
        <w:r>
          <w:rPr>
            <w:rStyle w:val="Hyperlink"/>
            <w:vertAlign w:val="superscript"/>
          </w:rPr>
          <w:t>19</w:t>
        </w:r>
      </w:hyperlink>
      <w:r>
        <w:t xml:space="preserve"> This provision suspends, de facto, all fundamental rights and explicit</w:t>
      </w:r>
      <w:r>
        <w:t>ly allows a violation of the right to life and security removing the judicial scrutiny (as biased as it could be) from the most important and life- impacting decisions. It means that all medical decisions are left to the discretion of the guardian who woul</w:t>
      </w:r>
      <w:r>
        <w:t>d virtually always follow the medical advice. The chemical restrain and sterilization of the persons with cognitive impairments do not meet any legal obstacle. Potentially, there is a huge risk to leave those persons without any legal protection against im</w:t>
      </w:r>
      <w:r>
        <w:t>posed euthanasia, brain modifications and surveillance technologies, should they be introduced in France.</w:t>
      </w:r>
    </w:p>
    <w:p w:rsidR="00000000" w:rsidRDefault="00E65764">
      <w:pPr>
        <w:pStyle w:val="BodyText"/>
        <w:spacing w:before="7"/>
        <w:rPr>
          <w:sz w:val="32"/>
        </w:rPr>
      </w:pPr>
    </w:p>
    <w:p w:rsidR="00000000" w:rsidRDefault="00E65764">
      <w:pPr>
        <w:pStyle w:val="BodyText"/>
        <w:spacing w:line="360" w:lineRule="auto"/>
        <w:ind w:left="115" w:right="174" w:firstLine="710"/>
        <w:rPr>
          <w:sz w:val="32"/>
        </w:rPr>
      </w:pPr>
      <w:r>
        <w:t xml:space="preserve">A less restrictive measure, </w:t>
      </w:r>
      <w:r>
        <w:rPr>
          <w:i/>
        </w:rPr>
        <w:t xml:space="preserve">curatelle, </w:t>
      </w:r>
      <w:r>
        <w:t>can be 'simple' (the person conserves her rights but cannot sign a contract for any loan agreement)</w:t>
      </w:r>
      <w:hyperlink w:anchor="_bookmark19" w:history="1">
        <w:r>
          <w:rPr>
            <w:rStyle w:val="Hyperlink"/>
            <w:vertAlign w:val="superscript"/>
          </w:rPr>
          <w:t>20</w:t>
        </w:r>
      </w:hyperlink>
      <w:r>
        <w:t>, 'arranged' - with a limited, by the judge, list of acts the person must be assisted with - or 'reinforced' (</w:t>
      </w:r>
      <w:r>
        <w:rPr>
          <w:i/>
        </w:rPr>
        <w:t xml:space="preserve">renforcée) </w:t>
      </w:r>
      <w:r>
        <w:t>- when the person's income, spendings, property and all contract involving financial aspect, including the right</w:t>
      </w:r>
      <w:r>
        <w:t xml:space="preserve"> to marry, are entirely under the guardian's control</w:t>
      </w:r>
      <w:hyperlink w:anchor="_bookmark20" w:history="1">
        <w:r>
          <w:rPr>
            <w:rStyle w:val="Hyperlink"/>
            <w:vertAlign w:val="superscript"/>
          </w:rPr>
          <w:t>21</w:t>
        </w:r>
      </w:hyperlink>
      <w:r>
        <w:t>.</w:t>
      </w:r>
    </w:p>
    <w:p w:rsidR="00000000" w:rsidRDefault="00E65764">
      <w:pPr>
        <w:pStyle w:val="BodyText"/>
        <w:spacing w:before="8"/>
        <w:rPr>
          <w:sz w:val="32"/>
        </w:rPr>
      </w:pPr>
    </w:p>
    <w:p w:rsidR="00000000" w:rsidRDefault="00E65764">
      <w:pPr>
        <w:pStyle w:val="BodyText"/>
        <w:spacing w:line="360" w:lineRule="auto"/>
        <w:ind w:left="115" w:right="76" w:firstLine="710"/>
        <w:rPr>
          <w:sz w:val="32"/>
        </w:rPr>
      </w:pPr>
      <w:r>
        <w:lastRenderedPageBreak/>
        <w:t>The 'mandate of future protection' (the equivalent of power of attorney) is probably the measure which is the closest to the CRPD's standards but it concerns only pers</w:t>
      </w:r>
      <w:r>
        <w:t>ons who once had their full legal capacity and anticipated the time when it could be restricted</w:t>
      </w:r>
      <w:hyperlink w:anchor="_bookmark21" w:history="1">
        <w:r>
          <w:rPr>
            <w:rStyle w:val="Hyperlink"/>
            <w:vertAlign w:val="superscript"/>
          </w:rPr>
          <w:t>22</w:t>
        </w:r>
      </w:hyperlink>
      <w:r>
        <w:t>. However, the Court can revoke that power if it estimates that such a measure is 'against the interests of protected person'</w:t>
      </w:r>
      <w:hyperlink w:anchor="_bookmark22" w:history="1">
        <w:r>
          <w:rPr>
            <w:rStyle w:val="Hyperlink"/>
            <w:vertAlign w:val="superscript"/>
          </w:rPr>
          <w:t>23</w:t>
        </w:r>
      </w:hyperlink>
      <w:r>
        <w:t>.</w:t>
      </w:r>
    </w:p>
    <w:p w:rsidR="00000000" w:rsidRDefault="00E65764">
      <w:pPr>
        <w:pStyle w:val="BodyText"/>
        <w:spacing w:before="10"/>
        <w:rPr>
          <w:sz w:val="32"/>
        </w:rPr>
      </w:pPr>
    </w:p>
    <w:p w:rsidR="00000000" w:rsidRDefault="00E65764">
      <w:pPr>
        <w:pStyle w:val="BodyText"/>
        <w:spacing w:before="1"/>
        <w:ind w:left="826"/>
        <w:rPr>
          <w:i/>
        </w:rPr>
      </w:pPr>
      <w:r>
        <w:t xml:space="preserve">According to the available statistics, around 53% of all pronounced measures are </w:t>
      </w:r>
      <w:r>
        <w:rPr>
          <w:i/>
        </w:rPr>
        <w:t xml:space="preserve">tutelles </w:t>
      </w:r>
      <w:r>
        <w:t>and 43% -</w:t>
      </w:r>
    </w:p>
    <w:p w:rsidR="00000000" w:rsidRDefault="00E65764">
      <w:pPr>
        <w:spacing w:before="125"/>
        <w:ind w:left="115"/>
        <w:rPr>
          <w:i/>
          <w:sz w:val="24"/>
        </w:rPr>
      </w:pPr>
      <w:r>
        <w:rPr>
          <w:i/>
        </w:rPr>
        <w:t>curatelles renforcées</w:t>
      </w:r>
      <w:hyperlink w:anchor="_bookmark23" w:history="1">
        <w:r>
          <w:rPr>
            <w:rStyle w:val="Hyperlink"/>
            <w:i/>
            <w:vertAlign w:val="superscript"/>
          </w:rPr>
          <w:t>24</w:t>
        </w:r>
      </w:hyperlink>
      <w:r>
        <w:rPr>
          <w:i/>
        </w:rPr>
        <w:t>.</w:t>
      </w:r>
    </w:p>
    <w:p w:rsidR="00000000" w:rsidRDefault="00E65764">
      <w:pPr>
        <w:pStyle w:val="BodyText"/>
        <w:rPr>
          <w:i/>
          <w:sz w:val="24"/>
        </w:rPr>
      </w:pPr>
    </w:p>
    <w:p w:rsidR="00000000" w:rsidRDefault="00E65764">
      <w:pPr>
        <w:pStyle w:val="BodyText"/>
        <w:spacing w:before="10"/>
        <w:rPr>
          <w:i/>
          <w:sz w:val="19"/>
        </w:rPr>
      </w:pPr>
    </w:p>
    <w:p w:rsidR="00000000" w:rsidRDefault="00E65764">
      <w:pPr>
        <w:pStyle w:val="BodyText"/>
        <w:spacing w:line="360" w:lineRule="auto"/>
        <w:ind w:left="115" w:right="63" w:firstLine="710"/>
      </w:pPr>
      <w:r>
        <w:t xml:space="preserve">The recently amended measure of the family's habilitation was </w:t>
      </w:r>
      <w:r>
        <w:t>supposed to curb the uncontrolled public spending for 'protection' measures: it corresponds to the full power of representation entrusted to a family member, which, once appointed by the Court, is not controlled by any external body</w:t>
      </w:r>
      <w:hyperlink w:anchor="_bookmark24" w:history="1">
        <w:r>
          <w:rPr>
            <w:rStyle w:val="Hyperlink"/>
            <w:vertAlign w:val="superscript"/>
          </w:rPr>
          <w:t>25</w:t>
        </w:r>
      </w:hyperlink>
      <w:r>
        <w:t>. Such de- judicialisation, while supposed to break the log jam of the Courts, chronically overwhelmed in France (one</w:t>
      </w:r>
    </w:p>
    <w:p w:rsidR="00000000" w:rsidRDefault="00E65764">
      <w:pPr>
        <w:pStyle w:val="BodyText"/>
        <w:spacing w:line="360" w:lineRule="auto"/>
        <w:ind w:left="115" w:right="63" w:firstLine="710"/>
      </w:pPr>
    </w:p>
    <w:p w:rsidR="00000000" w:rsidRDefault="00E65764">
      <w:pPr>
        <w:pStyle w:val="BodyText"/>
        <w:spacing w:line="360" w:lineRule="auto"/>
        <w:ind w:left="115" w:right="63" w:firstLine="710"/>
      </w:pPr>
    </w:p>
    <w:p w:rsidR="00000000" w:rsidRDefault="00E65764">
      <w:pPr>
        <w:pStyle w:val="BodyText"/>
        <w:rPr>
          <w:sz w:val="18"/>
          <w:szCs w:val="18"/>
        </w:rPr>
      </w:pPr>
    </w:p>
    <w:p w:rsidR="00000000" w:rsidRDefault="00E65764">
      <w:pPr>
        <w:pStyle w:val="ListParagraph"/>
        <w:numPr>
          <w:ilvl w:val="0"/>
          <w:numId w:val="7"/>
        </w:numPr>
        <w:tabs>
          <w:tab w:val="left" w:pos="400"/>
        </w:tabs>
        <w:spacing w:before="20"/>
        <w:ind w:hanging="285"/>
        <w:rPr>
          <w:sz w:val="18"/>
          <w:szCs w:val="18"/>
        </w:rPr>
      </w:pPr>
      <w:bookmarkStart w:id="27" w:name="_bookmark17"/>
      <w:bookmarkEnd w:id="27"/>
      <w:r>
        <w:rPr>
          <w:sz w:val="18"/>
          <w:szCs w:val="18"/>
        </w:rPr>
        <w:t>CC art</w:t>
      </w:r>
      <w:r>
        <w:rPr>
          <w:spacing w:val="49"/>
          <w:sz w:val="18"/>
          <w:szCs w:val="18"/>
        </w:rPr>
        <w:t xml:space="preserve"> </w:t>
      </w:r>
      <w:r>
        <w:rPr>
          <w:sz w:val="18"/>
          <w:szCs w:val="18"/>
        </w:rPr>
        <w:t>473</w:t>
      </w:r>
    </w:p>
    <w:p w:rsidR="00000000" w:rsidRDefault="00E65764">
      <w:pPr>
        <w:pStyle w:val="ListParagraph"/>
        <w:numPr>
          <w:ilvl w:val="0"/>
          <w:numId w:val="7"/>
        </w:numPr>
        <w:tabs>
          <w:tab w:val="left" w:pos="400"/>
        </w:tabs>
        <w:ind w:hanging="285"/>
        <w:rPr>
          <w:sz w:val="18"/>
          <w:szCs w:val="18"/>
        </w:rPr>
      </w:pPr>
      <w:bookmarkStart w:id="28" w:name="_bookmark18"/>
      <w:bookmarkEnd w:id="28"/>
      <w:r>
        <w:rPr>
          <w:sz w:val="18"/>
          <w:szCs w:val="18"/>
        </w:rPr>
        <w:t>CC art</w:t>
      </w:r>
      <w:r>
        <w:rPr>
          <w:spacing w:val="-1"/>
          <w:sz w:val="18"/>
          <w:szCs w:val="18"/>
        </w:rPr>
        <w:t xml:space="preserve"> </w:t>
      </w:r>
      <w:r>
        <w:rPr>
          <w:sz w:val="18"/>
          <w:szCs w:val="18"/>
        </w:rPr>
        <w:t>459</w:t>
      </w:r>
    </w:p>
    <w:p w:rsidR="00000000" w:rsidRDefault="00E65764">
      <w:pPr>
        <w:pStyle w:val="ListParagraph"/>
        <w:numPr>
          <w:ilvl w:val="0"/>
          <w:numId w:val="7"/>
        </w:numPr>
        <w:tabs>
          <w:tab w:val="left" w:pos="400"/>
        </w:tabs>
        <w:spacing w:before="2"/>
        <w:ind w:hanging="285"/>
        <w:rPr>
          <w:sz w:val="18"/>
          <w:szCs w:val="18"/>
        </w:rPr>
      </w:pPr>
      <w:bookmarkStart w:id="29" w:name="_bookmark19"/>
      <w:bookmarkEnd w:id="29"/>
      <w:r>
        <w:rPr>
          <w:sz w:val="18"/>
          <w:szCs w:val="18"/>
        </w:rPr>
        <w:t>CC  art</w:t>
      </w:r>
      <w:r>
        <w:rPr>
          <w:spacing w:val="-4"/>
          <w:sz w:val="18"/>
          <w:szCs w:val="18"/>
        </w:rPr>
        <w:t xml:space="preserve"> </w:t>
      </w:r>
      <w:r>
        <w:rPr>
          <w:sz w:val="18"/>
          <w:szCs w:val="18"/>
        </w:rPr>
        <w:t>440</w:t>
      </w:r>
    </w:p>
    <w:p w:rsidR="00000000" w:rsidRDefault="00E65764">
      <w:pPr>
        <w:pStyle w:val="ListParagraph"/>
        <w:numPr>
          <w:ilvl w:val="0"/>
          <w:numId w:val="7"/>
        </w:numPr>
        <w:tabs>
          <w:tab w:val="left" w:pos="400"/>
        </w:tabs>
        <w:ind w:hanging="285"/>
        <w:rPr>
          <w:sz w:val="18"/>
          <w:szCs w:val="18"/>
        </w:rPr>
      </w:pPr>
      <w:bookmarkStart w:id="30" w:name="_bookmark20"/>
      <w:bookmarkEnd w:id="30"/>
      <w:r>
        <w:rPr>
          <w:sz w:val="18"/>
          <w:szCs w:val="18"/>
        </w:rPr>
        <w:t>CC  art</w:t>
      </w:r>
      <w:r>
        <w:rPr>
          <w:spacing w:val="-4"/>
          <w:sz w:val="18"/>
          <w:szCs w:val="18"/>
        </w:rPr>
        <w:t xml:space="preserve"> </w:t>
      </w:r>
      <w:r>
        <w:rPr>
          <w:sz w:val="18"/>
          <w:szCs w:val="18"/>
        </w:rPr>
        <w:t>472</w:t>
      </w:r>
    </w:p>
    <w:p w:rsidR="00000000" w:rsidRDefault="00E65764">
      <w:pPr>
        <w:spacing w:before="2"/>
        <w:ind w:left="115"/>
        <w:rPr>
          <w:sz w:val="18"/>
          <w:szCs w:val="18"/>
        </w:rPr>
      </w:pPr>
      <w:r>
        <w:rPr>
          <w:sz w:val="18"/>
          <w:szCs w:val="18"/>
        </w:rPr>
        <w:t xml:space="preserve">22  </w:t>
      </w:r>
      <w:bookmarkStart w:id="31" w:name="_bookmark211"/>
      <w:bookmarkEnd w:id="31"/>
      <w:r>
        <w:rPr>
          <w:sz w:val="18"/>
          <w:szCs w:val="18"/>
        </w:rPr>
        <w:t>CC art 477 -</w:t>
      </w:r>
      <w:r>
        <w:rPr>
          <w:spacing w:val="-21"/>
          <w:sz w:val="18"/>
          <w:szCs w:val="18"/>
        </w:rPr>
        <w:t xml:space="preserve"> </w:t>
      </w:r>
      <w:r>
        <w:rPr>
          <w:sz w:val="18"/>
          <w:szCs w:val="18"/>
        </w:rPr>
        <w:t>488</w:t>
      </w:r>
    </w:p>
    <w:p w:rsidR="00000000" w:rsidRDefault="00E65764">
      <w:pPr>
        <w:pStyle w:val="ListParagraph"/>
        <w:numPr>
          <w:ilvl w:val="0"/>
          <w:numId w:val="6"/>
        </w:numPr>
        <w:tabs>
          <w:tab w:val="left" w:pos="400"/>
        </w:tabs>
        <w:ind w:hanging="285"/>
        <w:rPr>
          <w:sz w:val="18"/>
          <w:szCs w:val="18"/>
        </w:rPr>
      </w:pPr>
      <w:bookmarkStart w:id="32" w:name="_bookmark22"/>
      <w:bookmarkEnd w:id="32"/>
      <w:r>
        <w:rPr>
          <w:sz w:val="18"/>
          <w:szCs w:val="18"/>
        </w:rPr>
        <w:t>CC art</w:t>
      </w:r>
      <w:r>
        <w:rPr>
          <w:spacing w:val="-1"/>
          <w:sz w:val="18"/>
          <w:szCs w:val="18"/>
        </w:rPr>
        <w:t xml:space="preserve"> </w:t>
      </w:r>
      <w:r>
        <w:rPr>
          <w:sz w:val="18"/>
          <w:szCs w:val="18"/>
        </w:rPr>
        <w:t>483</w:t>
      </w:r>
    </w:p>
    <w:p w:rsidR="00000000" w:rsidRDefault="00E65764">
      <w:pPr>
        <w:pStyle w:val="ListParagraph"/>
        <w:numPr>
          <w:ilvl w:val="0"/>
          <w:numId w:val="6"/>
        </w:numPr>
        <w:tabs>
          <w:tab w:val="left" w:pos="400"/>
        </w:tabs>
        <w:spacing w:before="2"/>
        <w:ind w:hanging="285"/>
        <w:rPr>
          <w:sz w:val="18"/>
          <w:szCs w:val="18"/>
        </w:rPr>
      </w:pPr>
      <w:bookmarkStart w:id="33" w:name="_bookmark23"/>
      <w:bookmarkEnd w:id="33"/>
      <w:r>
        <w:rPr>
          <w:sz w:val="18"/>
          <w:szCs w:val="18"/>
        </w:rPr>
        <w:t xml:space="preserve">Cour de Comptes </w:t>
      </w:r>
      <w:r>
        <w:rPr>
          <w:i/>
          <w:sz w:val="18"/>
          <w:szCs w:val="18"/>
        </w:rPr>
        <w:t>Rapport sur la protection jurid</w:t>
      </w:r>
      <w:r>
        <w:rPr>
          <w:i/>
          <w:sz w:val="18"/>
          <w:szCs w:val="18"/>
        </w:rPr>
        <w:t xml:space="preserve">iaue des majeurs </w:t>
      </w:r>
      <w:r>
        <w:rPr>
          <w:sz w:val="18"/>
          <w:szCs w:val="18"/>
        </w:rPr>
        <w:t>(2016)</w:t>
      </w:r>
      <w:r>
        <w:rPr>
          <w:spacing w:val="-4"/>
          <w:sz w:val="18"/>
          <w:szCs w:val="18"/>
        </w:rPr>
        <w:t xml:space="preserve"> </w:t>
      </w:r>
      <w:r>
        <w:rPr>
          <w:sz w:val="18"/>
          <w:szCs w:val="18"/>
        </w:rPr>
        <w:t>25</w:t>
      </w:r>
    </w:p>
    <w:p w:rsidR="00000000" w:rsidRDefault="00E65764">
      <w:pPr>
        <w:ind w:left="115" w:right="767" w:firstLine="284"/>
        <w:sectPr w:rsidR="00000000">
          <w:pgSz w:w="11906" w:h="16838"/>
          <w:pgMar w:top="1060" w:right="1020" w:bottom="280" w:left="1020" w:header="720" w:footer="720" w:gutter="0"/>
          <w:cols w:space="720"/>
          <w:docGrid w:linePitch="240" w:charSpace="-2049"/>
        </w:sectPr>
      </w:pPr>
      <w:r>
        <w:rPr>
          <w:sz w:val="18"/>
          <w:szCs w:val="18"/>
        </w:rPr>
        <w:lastRenderedPageBreak/>
        <w:t>&lt;</w:t>
      </w:r>
      <w:hyperlink r:id="rId7" w:history="1">
        <w:r>
          <w:rPr>
            <w:rStyle w:val="Hyperlink"/>
            <w:color w:val="00007F"/>
            <w:sz w:val="18"/>
            <w:szCs w:val="18"/>
            <w:u w:color="000000"/>
          </w:rPr>
          <w:t>https://www.ccomptes.fr/sites/default/files/EzPublish/20161004-rapport-protection-juridique-majeurs.pdf</w:t>
        </w:r>
      </w:hyperlink>
      <w:r>
        <w:rPr>
          <w:sz w:val="18"/>
          <w:szCs w:val="18"/>
        </w:rPr>
        <w:t xml:space="preserve">&gt; 25 </w:t>
      </w:r>
      <w:bookmarkStart w:id="34" w:name="_bookmark24"/>
      <w:bookmarkEnd w:id="34"/>
      <w:r>
        <w:rPr>
          <w:sz w:val="18"/>
          <w:szCs w:val="18"/>
        </w:rPr>
        <w:t>CC art 494-1 to 494-12</w:t>
      </w:r>
    </w:p>
    <w:p w:rsidR="00000000" w:rsidRDefault="00E65764">
      <w:pPr>
        <w:pStyle w:val="BodyText"/>
        <w:spacing w:before="64" w:line="360" w:lineRule="auto"/>
        <w:ind w:left="115" w:right="63"/>
        <w:rPr>
          <w:sz w:val="33"/>
        </w:rPr>
      </w:pPr>
      <w:r>
        <w:lastRenderedPageBreak/>
        <w:t>Court of Protection is in charge of the average number of 3500 dossiers) is clearly not a step towards the effectiveness of the equality before the law and reflects the dominant paternalistic approach.</w:t>
      </w:r>
    </w:p>
    <w:p w:rsidR="00000000" w:rsidRDefault="00E65764">
      <w:pPr>
        <w:pStyle w:val="BodyText"/>
        <w:rPr>
          <w:sz w:val="33"/>
        </w:rPr>
      </w:pPr>
    </w:p>
    <w:p w:rsidR="00000000" w:rsidRDefault="00E65764">
      <w:pPr>
        <w:pStyle w:val="Heading1"/>
        <w:spacing w:line="360" w:lineRule="auto"/>
        <w:ind w:right="88"/>
        <w:rPr>
          <w:sz w:val="32"/>
        </w:rPr>
      </w:pPr>
      <w:r>
        <w:t>While the gradation of measure</w:t>
      </w:r>
      <w:r>
        <w:t>s exists in French law, the tendency of full control over the lives of 'vulnerable persons' strongly prevails. It makes irrelevant the argument of 'proportionality' allegedly applied by the Courts of Protection.</w:t>
      </w:r>
    </w:p>
    <w:p w:rsidR="00000000" w:rsidRDefault="00E65764">
      <w:pPr>
        <w:pStyle w:val="BodyText"/>
        <w:spacing w:before="9"/>
        <w:rPr>
          <w:b/>
          <w:sz w:val="32"/>
        </w:rPr>
      </w:pPr>
    </w:p>
    <w:p w:rsidR="00000000" w:rsidRDefault="00E65764">
      <w:pPr>
        <w:pStyle w:val="ListParagraph"/>
        <w:numPr>
          <w:ilvl w:val="1"/>
          <w:numId w:val="5"/>
        </w:numPr>
        <w:tabs>
          <w:tab w:val="left" w:pos="1210"/>
        </w:tabs>
        <w:spacing w:before="1"/>
        <w:rPr>
          <w:sz w:val="20"/>
        </w:rPr>
      </w:pPr>
      <w:r>
        <w:rPr>
          <w:u w:val="single"/>
        </w:rPr>
        <w:t>The recents amendments and their</w:t>
      </w:r>
      <w:r>
        <w:rPr>
          <w:spacing w:val="-5"/>
          <w:u w:val="single"/>
        </w:rPr>
        <w:t xml:space="preserve"> </w:t>
      </w:r>
      <w:r>
        <w:rPr>
          <w:u w:val="single"/>
        </w:rPr>
        <w:t>ineffectiv</w:t>
      </w:r>
      <w:r>
        <w:rPr>
          <w:u w:val="single"/>
        </w:rPr>
        <w:t>eness:</w:t>
      </w:r>
    </w:p>
    <w:p w:rsidR="00000000" w:rsidRDefault="00E65764">
      <w:pPr>
        <w:pStyle w:val="BodyText"/>
        <w:rPr>
          <w:sz w:val="20"/>
        </w:rPr>
      </w:pPr>
    </w:p>
    <w:p w:rsidR="00000000" w:rsidRDefault="00E65764">
      <w:pPr>
        <w:pStyle w:val="BodyText"/>
        <w:rPr>
          <w:sz w:val="16"/>
        </w:rPr>
      </w:pPr>
    </w:p>
    <w:p w:rsidR="00000000" w:rsidRDefault="00E65764">
      <w:pPr>
        <w:pStyle w:val="BodyText"/>
        <w:spacing w:before="91" w:line="360" w:lineRule="auto"/>
        <w:ind w:left="115" w:right="196" w:firstLine="710"/>
        <w:rPr>
          <w:sz w:val="32"/>
        </w:rPr>
      </w:pPr>
      <w:r>
        <w:t xml:space="preserve">The amendments of 2019 mentioned by State in its reply to the Committee formally re-established the right to vote of all persons with disabilities in France, modifying </w:t>
      </w:r>
      <w:r>
        <w:rPr>
          <w:color w:val="343434"/>
        </w:rPr>
        <w:t>article 5 of the Election's Code</w:t>
      </w:r>
      <w:hyperlink w:anchor="_bookmark25" w:history="1">
        <w:r>
          <w:rPr>
            <w:rStyle w:val="Hyperlink"/>
            <w:vertAlign w:val="superscript"/>
          </w:rPr>
          <w:t>26</w:t>
        </w:r>
      </w:hyperlink>
      <w:r>
        <w:t xml:space="preserve"> </w:t>
      </w:r>
      <w:r>
        <w:rPr>
          <w:color w:val="343434"/>
        </w:rPr>
        <w:t>and the righ</w:t>
      </w:r>
      <w:r>
        <w:rPr>
          <w:color w:val="343434"/>
        </w:rPr>
        <w:t xml:space="preserve">t to marry for persons under </w:t>
      </w:r>
      <w:r>
        <w:rPr>
          <w:i/>
          <w:color w:val="343434"/>
        </w:rPr>
        <w:t xml:space="preserve">tutelle </w:t>
      </w:r>
      <w:r>
        <w:rPr>
          <w:color w:val="343434"/>
        </w:rPr>
        <w:t xml:space="preserve">and </w:t>
      </w:r>
      <w:r>
        <w:rPr>
          <w:i/>
          <w:color w:val="343434"/>
        </w:rPr>
        <w:t xml:space="preserve">curatelle, </w:t>
      </w:r>
      <w:r>
        <w:rPr>
          <w:color w:val="343434"/>
        </w:rPr>
        <w:t>removing the obligation to ask the Court's authorization</w:t>
      </w:r>
      <w:hyperlink w:anchor="_bookmark26" w:history="1">
        <w:r>
          <w:rPr>
            <w:rStyle w:val="Hyperlink"/>
            <w:color w:val="343434"/>
            <w:vertAlign w:val="superscript"/>
          </w:rPr>
          <w:t>27</w:t>
        </w:r>
      </w:hyperlink>
      <w:r>
        <w:rPr>
          <w:color w:val="343434"/>
        </w:rPr>
        <w:t xml:space="preserve">. However, there are strong reasons to be at least skeptical. So as to vote, the person must </w:t>
      </w:r>
      <w:r>
        <w:rPr>
          <w:color w:val="343434"/>
          <w:spacing w:val="-4"/>
        </w:rPr>
        <w:t xml:space="preserve">ask, </w:t>
      </w:r>
      <w:r>
        <w:rPr>
          <w:color w:val="343434"/>
        </w:rPr>
        <w:t>by her own initi</w:t>
      </w:r>
      <w:r>
        <w:rPr>
          <w:color w:val="343434"/>
        </w:rPr>
        <w:t>ative, the registration on electoral lists: no facilitated information or other accommodations to accomplish this step were established</w:t>
      </w:r>
      <w:hyperlink w:anchor="_bookmark27" w:history="1">
        <w:r>
          <w:rPr>
            <w:rStyle w:val="Hyperlink"/>
            <w:color w:val="343434"/>
            <w:vertAlign w:val="superscript"/>
          </w:rPr>
          <w:t>28</w:t>
        </w:r>
      </w:hyperlink>
      <w:r>
        <w:rPr>
          <w:color w:val="343434"/>
        </w:rPr>
        <w:t>. It is easy to figure out that a large majority of persons who were deprived of the ri</w:t>
      </w:r>
      <w:r>
        <w:rPr>
          <w:color w:val="343434"/>
        </w:rPr>
        <w:t>ght to vote before, will not be able to access it anyway. Regarding the right to marry, it remains suspended to the extensive power of the guardian (who must be informed by the person about her intentions) to prevent the marriage</w:t>
      </w:r>
      <w:hyperlink w:anchor="_bookmark28" w:history="1">
        <w:r>
          <w:rPr>
            <w:rStyle w:val="Hyperlink"/>
            <w:color w:val="343434"/>
            <w:vertAlign w:val="superscript"/>
          </w:rPr>
          <w:t>29</w:t>
        </w:r>
      </w:hyperlink>
      <w:r>
        <w:rPr>
          <w:color w:val="343434"/>
        </w:rPr>
        <w:t>.</w:t>
      </w:r>
    </w:p>
    <w:p w:rsidR="00000000" w:rsidRDefault="00E65764">
      <w:pPr>
        <w:pStyle w:val="BodyText"/>
        <w:spacing w:before="6"/>
        <w:rPr>
          <w:sz w:val="32"/>
        </w:rPr>
      </w:pPr>
    </w:p>
    <w:p w:rsidR="00000000" w:rsidRDefault="00E65764">
      <w:pPr>
        <w:pStyle w:val="BodyText"/>
        <w:spacing w:line="360" w:lineRule="auto"/>
        <w:ind w:left="115" w:right="174" w:firstLine="710"/>
        <w:rPr>
          <w:sz w:val="32"/>
        </w:rPr>
      </w:pPr>
      <w:r>
        <w:lastRenderedPageBreak/>
        <w:t>Moreover, the Court of Protection can, according to those amendments, establish a 'protection' measure for 10 years ahead, in lieu of 5 previously. It assumes that the measure, with extremely rare exception is never lifted and its reassessment is</w:t>
      </w:r>
      <w:r>
        <w:t xml:space="preserve"> seen as a waste of time for the Courts.</w:t>
      </w:r>
    </w:p>
    <w:p w:rsidR="00000000" w:rsidRDefault="00E65764">
      <w:pPr>
        <w:pStyle w:val="BodyText"/>
        <w:spacing w:before="10"/>
        <w:rPr>
          <w:sz w:val="32"/>
        </w:rPr>
      </w:pPr>
    </w:p>
    <w:p w:rsidR="00000000" w:rsidRDefault="00E65764">
      <w:pPr>
        <w:pStyle w:val="Heading1"/>
        <w:spacing w:line="355" w:lineRule="auto"/>
        <w:rPr>
          <w:sz w:val="33"/>
        </w:rPr>
      </w:pPr>
      <w:r>
        <w:t>All modifications of French guardianship framework, especially the recent ones, are merely decorative, ineffective and, for some of them, regressive.</w:t>
      </w:r>
    </w:p>
    <w:p w:rsidR="00000000" w:rsidRDefault="00E65764">
      <w:pPr>
        <w:pStyle w:val="BodyText"/>
        <w:spacing w:before="3"/>
        <w:rPr>
          <w:b/>
          <w:sz w:val="33"/>
        </w:rPr>
      </w:pPr>
    </w:p>
    <w:p w:rsidR="00000000" w:rsidRDefault="00E65764">
      <w:pPr>
        <w:pStyle w:val="ListParagraph"/>
        <w:numPr>
          <w:ilvl w:val="1"/>
          <w:numId w:val="5"/>
        </w:numPr>
        <w:tabs>
          <w:tab w:val="left" w:pos="1210"/>
        </w:tabs>
        <w:rPr>
          <w:sz w:val="20"/>
        </w:rPr>
      </w:pPr>
      <w:r>
        <w:rPr>
          <w:u w:val="single"/>
        </w:rPr>
        <w:t>The incompatibility of the right to liberty and substituted</w:t>
      </w:r>
      <w:r>
        <w:rPr>
          <w:spacing w:val="-14"/>
          <w:u w:val="single"/>
        </w:rPr>
        <w:t xml:space="preserve"> </w:t>
      </w:r>
      <w:r>
        <w:rPr>
          <w:u w:val="single"/>
        </w:rPr>
        <w:t>dec</w:t>
      </w:r>
      <w:r>
        <w:rPr>
          <w:u w:val="single"/>
        </w:rPr>
        <w:t>ision-making.</w:t>
      </w:r>
    </w:p>
    <w:p w:rsidR="00000000" w:rsidRDefault="00E65764">
      <w:pPr>
        <w:pStyle w:val="BodyText"/>
        <w:rPr>
          <w:sz w:val="20"/>
        </w:rPr>
      </w:pPr>
    </w:p>
    <w:p w:rsidR="00000000" w:rsidRDefault="00E65764">
      <w:pPr>
        <w:pStyle w:val="BodyText"/>
        <w:rPr>
          <w:sz w:val="16"/>
        </w:rPr>
      </w:pPr>
    </w:p>
    <w:p w:rsidR="00000000" w:rsidRDefault="00E65764">
      <w:pPr>
        <w:pStyle w:val="BodyText"/>
        <w:spacing w:before="91" w:line="360" w:lineRule="auto"/>
        <w:ind w:left="115" w:right="63" w:firstLine="710"/>
      </w:pPr>
      <w:r>
        <w:rPr>
          <w:color w:val="343434"/>
        </w:rPr>
        <w:t xml:space="preserve">Article 459-2, amended in 2007, asserts the right of 'protected' person to choose the place to live and the personal relationships. </w:t>
      </w:r>
      <w:r>
        <w:t>There is no allusion to any functional assessment of the capacity to choose, the right being open to everybo</w:t>
      </w:r>
      <w:r>
        <w:t xml:space="preserve">dy, without explicit exception. But, being in open contradiction with a whole framework, this provision was given the 'reserve exit': the last sentence says that </w:t>
      </w:r>
      <w:r>
        <w:rPr>
          <w:i/>
        </w:rPr>
        <w:t xml:space="preserve">'[i]n case of difficulty, the judge or the family council, if one has been constituted, shall </w:t>
      </w:r>
      <w:r>
        <w:rPr>
          <w:i/>
        </w:rPr>
        <w:t>rule.</w:t>
      </w:r>
      <w:hyperlink w:anchor="_bookmark29" w:history="1">
        <w:r>
          <w:rPr>
            <w:rStyle w:val="Hyperlink"/>
            <w:vertAlign w:val="superscript"/>
          </w:rPr>
          <w:t>30</w:t>
        </w:r>
      </w:hyperlink>
      <w:r>
        <w:t>”</w:t>
      </w:r>
    </w:p>
    <w:p w:rsidR="00000000" w:rsidRDefault="00E65764">
      <w:pPr>
        <w:pStyle w:val="BodyText"/>
        <w:spacing w:line="252" w:lineRule="exact"/>
        <w:ind w:left="826"/>
      </w:pPr>
      <w:r>
        <w:t>Very quickly after the the reform in 2007, there was a need to 'harmonize' the contradictions : by a</w:t>
      </w:r>
    </w:p>
    <w:p w:rsidR="00000000" w:rsidRDefault="00E65764">
      <w:pPr>
        <w:pStyle w:val="BodyText"/>
        <w:spacing w:line="252" w:lineRule="exact"/>
        <w:ind w:left="826"/>
      </w:pPr>
    </w:p>
    <w:p w:rsidR="00000000" w:rsidRDefault="00E65764">
      <w:pPr>
        <w:pStyle w:val="BodyText"/>
        <w:spacing w:line="252" w:lineRule="exact"/>
        <w:ind w:left="826"/>
      </w:pPr>
    </w:p>
    <w:p w:rsidR="00000000" w:rsidRDefault="00E65764">
      <w:pPr>
        <w:pStyle w:val="BodyText"/>
        <w:spacing w:before="5"/>
        <w:rPr>
          <w:sz w:val="18"/>
          <w:szCs w:val="18"/>
        </w:rPr>
      </w:pPr>
    </w:p>
    <w:p w:rsidR="00000000" w:rsidRDefault="00E65764">
      <w:pPr>
        <w:spacing w:before="18"/>
        <w:ind w:left="115"/>
        <w:rPr>
          <w:sz w:val="18"/>
          <w:szCs w:val="18"/>
        </w:rPr>
      </w:pPr>
      <w:r>
        <w:rPr>
          <w:sz w:val="18"/>
          <w:szCs w:val="18"/>
        </w:rPr>
        <w:t>26</w:t>
      </w:r>
      <w:bookmarkStart w:id="35" w:name="_bookmark25"/>
      <w:bookmarkEnd w:id="35"/>
      <w:r>
        <w:rPr>
          <w:sz w:val="18"/>
          <w:szCs w:val="18"/>
        </w:rPr>
        <w:t xml:space="preserve"> </w:t>
      </w:r>
      <w:r>
        <w:rPr>
          <w:i/>
          <w:sz w:val="18"/>
          <w:szCs w:val="18"/>
        </w:rPr>
        <w:t xml:space="preserve">Loi n°2019-222 </w:t>
      </w:r>
      <w:r>
        <w:rPr>
          <w:sz w:val="18"/>
          <w:szCs w:val="18"/>
        </w:rPr>
        <w:t>(n 62) art 11</w:t>
      </w:r>
    </w:p>
    <w:p w:rsidR="00000000" w:rsidRDefault="00E65764">
      <w:pPr>
        <w:pStyle w:val="ListParagraph"/>
        <w:numPr>
          <w:ilvl w:val="0"/>
          <w:numId w:val="4"/>
        </w:numPr>
        <w:tabs>
          <w:tab w:val="left" w:pos="400"/>
        </w:tabs>
        <w:spacing w:before="2"/>
        <w:ind w:hanging="285"/>
        <w:rPr>
          <w:sz w:val="18"/>
          <w:szCs w:val="18"/>
        </w:rPr>
      </w:pPr>
      <w:bookmarkStart w:id="36" w:name="_bookmark26"/>
      <w:bookmarkEnd w:id="36"/>
      <w:r>
        <w:rPr>
          <w:sz w:val="18"/>
          <w:szCs w:val="18"/>
        </w:rPr>
        <w:t>ibid art</w:t>
      </w:r>
      <w:r>
        <w:rPr>
          <w:spacing w:val="-1"/>
          <w:sz w:val="18"/>
          <w:szCs w:val="18"/>
        </w:rPr>
        <w:t xml:space="preserve"> </w:t>
      </w:r>
      <w:r>
        <w:rPr>
          <w:sz w:val="18"/>
          <w:szCs w:val="18"/>
        </w:rPr>
        <w:t>10</w:t>
      </w:r>
    </w:p>
    <w:p w:rsidR="00000000" w:rsidRDefault="00E65764">
      <w:pPr>
        <w:pStyle w:val="ListParagraph"/>
        <w:numPr>
          <w:ilvl w:val="0"/>
          <w:numId w:val="4"/>
        </w:numPr>
        <w:tabs>
          <w:tab w:val="left" w:pos="400"/>
        </w:tabs>
        <w:ind w:right="443"/>
        <w:rPr>
          <w:sz w:val="18"/>
          <w:szCs w:val="18"/>
        </w:rPr>
      </w:pPr>
      <w:bookmarkStart w:id="37" w:name="_bookmark27"/>
      <w:bookmarkEnd w:id="37"/>
      <w:r>
        <w:rPr>
          <w:sz w:val="18"/>
          <w:szCs w:val="18"/>
        </w:rPr>
        <w:t xml:space="preserve">Ministère de l'Intérieur </w:t>
      </w:r>
      <w:r>
        <w:rPr>
          <w:i/>
          <w:sz w:val="18"/>
          <w:szCs w:val="18"/>
        </w:rPr>
        <w:t xml:space="preserve">Le vote des personnes handicapées </w:t>
      </w:r>
      <w:r>
        <w:rPr>
          <w:sz w:val="18"/>
          <w:szCs w:val="18"/>
        </w:rPr>
        <w:t>&lt;</w:t>
      </w:r>
      <w:hyperlink r:id="rId8" w:history="1">
        <w:r>
          <w:rPr>
            <w:rStyle w:val="Hyperlink"/>
            <w:color w:val="00007F"/>
            <w:sz w:val="18"/>
            <w:szCs w:val="18"/>
            <w:u w:color="000000"/>
          </w:rPr>
          <w:t>https://www.interieur.gouv.fr/Elections/Comment-</w:t>
        </w:r>
      </w:hyperlink>
      <w:hyperlink r:id="rId9" w:history="1">
        <w:r>
          <w:rPr>
            <w:rStyle w:val="Hyperlink"/>
            <w:color w:val="00007F"/>
            <w:sz w:val="18"/>
            <w:szCs w:val="18"/>
            <w:u w:color="000000"/>
          </w:rPr>
          <w:t xml:space="preserve"> voter/L</w:t>
        </w:r>
        <w:r>
          <w:rPr>
            <w:rStyle w:val="Hyperlink"/>
            <w:color w:val="00007F"/>
            <w:sz w:val="18"/>
            <w:szCs w:val="18"/>
            <w:u w:color="000000"/>
          </w:rPr>
          <w:t>e-vote-des-personnes-handicapees</w:t>
        </w:r>
      </w:hyperlink>
      <w:r>
        <w:rPr>
          <w:sz w:val="18"/>
          <w:szCs w:val="18"/>
        </w:rPr>
        <w:t>&gt;</w:t>
      </w:r>
    </w:p>
    <w:p w:rsidR="00000000" w:rsidRDefault="00E65764">
      <w:pPr>
        <w:pStyle w:val="ListParagraph"/>
        <w:numPr>
          <w:ilvl w:val="0"/>
          <w:numId w:val="4"/>
        </w:numPr>
        <w:tabs>
          <w:tab w:val="left" w:pos="400"/>
        </w:tabs>
        <w:spacing w:line="227" w:lineRule="exact"/>
        <w:ind w:hanging="285"/>
        <w:rPr>
          <w:sz w:val="18"/>
          <w:szCs w:val="18"/>
        </w:rPr>
      </w:pPr>
      <w:bookmarkStart w:id="38" w:name="_bookmark28"/>
      <w:bookmarkEnd w:id="38"/>
      <w:r>
        <w:rPr>
          <w:sz w:val="18"/>
          <w:szCs w:val="18"/>
        </w:rPr>
        <w:t>CC art</w:t>
      </w:r>
      <w:r>
        <w:rPr>
          <w:spacing w:val="-1"/>
          <w:sz w:val="18"/>
          <w:szCs w:val="18"/>
        </w:rPr>
        <w:t xml:space="preserve"> </w:t>
      </w:r>
      <w:r>
        <w:rPr>
          <w:sz w:val="18"/>
          <w:szCs w:val="18"/>
        </w:rPr>
        <w:t>175</w:t>
      </w:r>
    </w:p>
    <w:p w:rsidR="00000000" w:rsidRDefault="00E65764">
      <w:pPr>
        <w:pStyle w:val="ListParagraph"/>
        <w:numPr>
          <w:ilvl w:val="0"/>
          <w:numId w:val="4"/>
        </w:numPr>
        <w:tabs>
          <w:tab w:val="left" w:pos="400"/>
        </w:tabs>
        <w:spacing w:before="2"/>
        <w:ind w:hanging="285"/>
        <w:sectPr w:rsidR="00000000">
          <w:pgSz w:w="11906" w:h="16838"/>
          <w:pgMar w:top="1060" w:right="1020" w:bottom="280" w:left="1020" w:header="720" w:footer="720" w:gutter="0"/>
          <w:cols w:space="720"/>
          <w:docGrid w:linePitch="240" w:charSpace="-2049"/>
        </w:sectPr>
      </w:pPr>
      <w:bookmarkStart w:id="39" w:name="_bookmark29"/>
      <w:bookmarkEnd w:id="39"/>
      <w:r>
        <w:rPr>
          <w:sz w:val="18"/>
          <w:szCs w:val="18"/>
        </w:rPr>
        <w:lastRenderedPageBreak/>
        <w:t>CC art</w:t>
      </w:r>
      <w:r>
        <w:rPr>
          <w:spacing w:val="-1"/>
          <w:sz w:val="18"/>
          <w:szCs w:val="18"/>
        </w:rPr>
        <w:t xml:space="preserve"> </w:t>
      </w:r>
      <w:r>
        <w:rPr>
          <w:sz w:val="18"/>
          <w:szCs w:val="18"/>
        </w:rPr>
        <w:t>459-2</w:t>
      </w:r>
    </w:p>
    <w:p w:rsidR="00000000" w:rsidRDefault="00E65764">
      <w:pPr>
        <w:pStyle w:val="BodyText"/>
        <w:spacing w:before="64" w:line="360" w:lineRule="auto"/>
        <w:ind w:left="115" w:right="63"/>
        <w:rPr>
          <w:sz w:val="32"/>
        </w:rPr>
      </w:pPr>
      <w:r>
        <w:lastRenderedPageBreak/>
        <w:t>special Decree, the 31</w:t>
      </w:r>
      <w:r>
        <w:rPr>
          <w:vertAlign w:val="superscript"/>
        </w:rPr>
        <w:t>st</w:t>
      </w:r>
      <w:r>
        <w:t xml:space="preserve"> of December 2008, in full discretion and without any debate, was adopted, by the French Parliament , the Charter of the Rights and Freedoms of Protected Person, placed in t</w:t>
      </w:r>
      <w:r>
        <w:t>he annex 4-3 of the Code of Social Action and Families (</w:t>
      </w:r>
      <w:r>
        <w:rPr>
          <w:i/>
        </w:rPr>
        <w:t>CASF</w:t>
      </w:r>
      <w:r>
        <w:t>)</w:t>
      </w:r>
      <w:hyperlink w:anchor="_bookmark30" w:history="1">
        <w:r>
          <w:rPr>
            <w:rStyle w:val="Hyperlink"/>
            <w:vertAlign w:val="superscript"/>
          </w:rPr>
          <w:t>31</w:t>
        </w:r>
      </w:hyperlink>
      <w:r>
        <w:t>. The annex, while officially reaffirms the respect of the 'protected persons' rights, in fact establishes a sort of interpretational standard of provisions spre</w:t>
      </w:r>
      <w:r>
        <w:t xml:space="preserve">ad through different codes relevant to the situation of the persons under guardianship. Article 4 (freedom of personal relationships) and article 7 (right to autonomy) interpret article 459-2 in the following way : the person is entitled to visit and stay </w:t>
      </w:r>
      <w:r>
        <w:t>with relatives and friends of her choice and choose her place of residence '</w:t>
      </w:r>
      <w:r>
        <w:rPr>
          <w:i/>
          <w:u w:val="single"/>
        </w:rPr>
        <w:t>unless</w:t>
      </w:r>
      <w:r>
        <w:rPr>
          <w:i/>
        </w:rPr>
        <w:t xml:space="preserve"> </w:t>
      </w:r>
      <w:r>
        <w:rPr>
          <w:i/>
          <w:u w:val="single"/>
        </w:rPr>
        <w:t>otherwise decided by the family council or the judge in case of difficulty</w:t>
      </w:r>
      <w:r>
        <w:t>'</w:t>
      </w:r>
      <w:hyperlink w:anchor="_bookmark31" w:history="1">
        <w:r>
          <w:rPr>
            <w:rStyle w:val="Hyperlink"/>
            <w:vertAlign w:val="superscript"/>
          </w:rPr>
          <w:t>32</w:t>
        </w:r>
      </w:hyperlink>
      <w:r>
        <w:t>. The aim of the Charter is nothing but an affirmation of the ju</w:t>
      </w:r>
      <w:r>
        <w:t>dge's full control over the right to autonomy, without any framework regulating such power. The provision of article 459-2 becomes a right under the condition and easily derogable.</w:t>
      </w:r>
    </w:p>
    <w:p w:rsidR="00000000" w:rsidRDefault="00E65764">
      <w:pPr>
        <w:pStyle w:val="BodyText"/>
        <w:spacing w:before="7"/>
        <w:rPr>
          <w:sz w:val="32"/>
        </w:rPr>
      </w:pPr>
    </w:p>
    <w:p w:rsidR="00000000" w:rsidRDefault="00E65764">
      <w:pPr>
        <w:pStyle w:val="BodyText"/>
        <w:spacing w:before="1" w:line="360" w:lineRule="auto"/>
        <w:ind w:left="115" w:right="63" w:firstLine="710"/>
        <w:rPr>
          <w:sz w:val="32"/>
        </w:rPr>
      </w:pPr>
      <w:r>
        <w:t>The ruling of the Appeal Court of Douai of the 17</w:t>
      </w:r>
      <w:r>
        <w:rPr>
          <w:vertAlign w:val="superscript"/>
        </w:rPr>
        <w:t>th</w:t>
      </w:r>
      <w:r>
        <w:t xml:space="preserve"> of April 2014, non pub</w:t>
      </w:r>
      <w:r>
        <w:t xml:space="preserve">lished but known through the decision of Supreme Court where it was challenged by the applicant, interpreted article 459-2 as allowing to the guardian to place the person in a segregated setting '[w]hen the condition of the protected person does not allow </w:t>
      </w:r>
      <w:r>
        <w:t>her to make an informed personal decision alone'.</w:t>
      </w:r>
      <w:hyperlink w:anchor="_bookmark32" w:history="1">
        <w:r>
          <w:rPr>
            <w:rStyle w:val="Hyperlink"/>
            <w:vertAlign w:val="superscript"/>
          </w:rPr>
          <w:t>33</w:t>
        </w:r>
      </w:hyperlink>
      <w:r>
        <w:t xml:space="preserve"> Once again, the person is required to be 'informed' and to take decision 'alone', despite of obvious contradiction of that double imperative. The same article served as a b</w:t>
      </w:r>
      <w:r>
        <w:t>asis to give 'the right to access [the protected person]' by a third party (a person's father). Such interpretation, without any legal basis, is far to be standalone</w:t>
      </w:r>
      <w:hyperlink w:anchor="_bookmark33" w:history="1">
        <w:r>
          <w:rPr>
            <w:rStyle w:val="Hyperlink"/>
            <w:vertAlign w:val="superscript"/>
          </w:rPr>
          <w:t>34</w:t>
        </w:r>
        <w:r>
          <w:rPr>
            <w:rStyle w:val="Hyperlink"/>
          </w:rPr>
          <w:t xml:space="preserve"> </w:t>
        </w:r>
      </w:hyperlink>
      <w:r>
        <w:t xml:space="preserve">and attests the perduring </w:t>
      </w:r>
      <w:r>
        <w:lastRenderedPageBreak/>
        <w:t>paternalistic approach: the ri</w:t>
      </w:r>
      <w:r>
        <w:t>ght to access, indeed, exists only in relation to children in French law.</w:t>
      </w:r>
    </w:p>
    <w:p w:rsidR="00000000" w:rsidRDefault="00E65764">
      <w:pPr>
        <w:pStyle w:val="BodyText"/>
        <w:spacing w:before="6"/>
        <w:rPr>
          <w:sz w:val="32"/>
        </w:rPr>
      </w:pPr>
    </w:p>
    <w:p w:rsidR="00000000" w:rsidRDefault="00E65764">
      <w:pPr>
        <w:pStyle w:val="BodyText"/>
        <w:spacing w:line="360" w:lineRule="auto"/>
        <w:ind w:left="115" w:right="104" w:firstLine="710"/>
        <w:rPr>
          <w:sz w:val="32"/>
        </w:rPr>
      </w:pPr>
      <w:r>
        <w:t xml:space="preserve">The recent ruling of the Appeal Court of Lyon explicitly suspends the exercise of rights guaranteed by article 459-2 of CC to the condition of the ability of the person to form and </w:t>
      </w:r>
      <w:r>
        <w:t>express 'a free and relevant opinion'</w:t>
      </w:r>
      <w:hyperlink w:anchor="_bookmark34" w:history="1">
        <w:r>
          <w:rPr>
            <w:rStyle w:val="Hyperlink"/>
            <w:vertAlign w:val="superscript"/>
          </w:rPr>
          <w:t>35</w:t>
        </w:r>
      </w:hyperlink>
      <w:r>
        <w:t xml:space="preserve">. Given that the measure of 'protection' is decided precisely when the person is deemed to not have such an ability, all safeguards of 'protected' person's rights become a pure fiction </w:t>
      </w:r>
      <w:r>
        <w:t>as the threshold of the 'unsound mind' which allows the establishment of guardianship, prevents, at the same time, from the exercise of civil rights by the 'protected' person.</w:t>
      </w:r>
    </w:p>
    <w:p w:rsidR="00000000" w:rsidRDefault="00E65764">
      <w:pPr>
        <w:pStyle w:val="BodyText"/>
        <w:spacing w:before="9"/>
        <w:rPr>
          <w:sz w:val="32"/>
        </w:rPr>
      </w:pPr>
    </w:p>
    <w:p w:rsidR="00000000" w:rsidRDefault="00E65764">
      <w:pPr>
        <w:pStyle w:val="Heading1"/>
        <w:spacing w:line="360" w:lineRule="auto"/>
        <w:ind w:right="88"/>
        <w:rPr>
          <w:sz w:val="20"/>
        </w:rPr>
      </w:pPr>
      <w:r>
        <w:t>In France, the person with cognitive impairments has to prove his or her capaci</w:t>
      </w:r>
      <w:r>
        <w:t>ty to be an agent of her own life, instead of being supported in the exercise of legal capacity. This requirement and the lack of support make inoperative all the decorative declarations on the fundamental rights of the person.</w:t>
      </w:r>
    </w:p>
    <w:p w:rsidR="00000000" w:rsidRDefault="00E65764">
      <w:pPr>
        <w:pStyle w:val="BodyText"/>
        <w:rPr>
          <w:b/>
          <w:sz w:val="20"/>
        </w:rPr>
      </w:pPr>
    </w:p>
    <w:p w:rsidR="00000000" w:rsidRDefault="00E65764">
      <w:pPr>
        <w:pStyle w:val="BodyText"/>
        <w:rPr>
          <w:b/>
          <w:sz w:val="20"/>
        </w:rPr>
      </w:pPr>
    </w:p>
    <w:p w:rsidR="00000000" w:rsidRDefault="00E65764">
      <w:pPr>
        <w:pStyle w:val="BodyText"/>
        <w:rPr>
          <w:b/>
          <w:sz w:val="20"/>
        </w:rPr>
      </w:pPr>
    </w:p>
    <w:p w:rsidR="00000000" w:rsidRDefault="00E65764">
      <w:pPr>
        <w:pStyle w:val="BodyText"/>
        <w:rPr>
          <w:b/>
          <w:sz w:val="18"/>
          <w:szCs w:val="18"/>
        </w:rPr>
      </w:pPr>
    </w:p>
    <w:p w:rsidR="00000000" w:rsidRDefault="00E65764">
      <w:pPr>
        <w:pStyle w:val="BodyText"/>
        <w:spacing w:before="10"/>
        <w:rPr>
          <w:b/>
          <w:sz w:val="18"/>
          <w:szCs w:val="18"/>
        </w:rPr>
      </w:pPr>
    </w:p>
    <w:p w:rsidR="00000000" w:rsidRDefault="00E65764">
      <w:pPr>
        <w:pStyle w:val="ListParagraph"/>
        <w:numPr>
          <w:ilvl w:val="0"/>
          <w:numId w:val="4"/>
        </w:numPr>
        <w:tabs>
          <w:tab w:val="left" w:pos="400"/>
        </w:tabs>
        <w:spacing w:before="20"/>
        <w:ind w:hanging="285"/>
        <w:rPr>
          <w:sz w:val="18"/>
          <w:szCs w:val="18"/>
        </w:rPr>
      </w:pPr>
      <w:bookmarkStart w:id="40" w:name="_bookmark30"/>
      <w:bookmarkEnd w:id="40"/>
      <w:r>
        <w:rPr>
          <w:sz w:val="18"/>
          <w:szCs w:val="18"/>
        </w:rPr>
        <w:t>CASF annexe 4-3</w:t>
      </w:r>
    </w:p>
    <w:p w:rsidR="00000000" w:rsidRDefault="00E65764">
      <w:pPr>
        <w:pStyle w:val="ListParagraph"/>
        <w:numPr>
          <w:ilvl w:val="0"/>
          <w:numId w:val="4"/>
        </w:numPr>
        <w:tabs>
          <w:tab w:val="left" w:pos="400"/>
        </w:tabs>
        <w:ind w:hanging="285"/>
        <w:rPr>
          <w:sz w:val="18"/>
          <w:szCs w:val="18"/>
        </w:rPr>
      </w:pPr>
      <w:bookmarkStart w:id="41" w:name="_bookmark311"/>
      <w:bookmarkEnd w:id="41"/>
      <w:r>
        <w:rPr>
          <w:sz w:val="18"/>
          <w:szCs w:val="18"/>
        </w:rPr>
        <w:t>ibid, a</w:t>
      </w:r>
      <w:r>
        <w:rPr>
          <w:sz w:val="18"/>
          <w:szCs w:val="18"/>
        </w:rPr>
        <w:t>rt 4,</w:t>
      </w:r>
      <w:r>
        <w:rPr>
          <w:spacing w:val="-1"/>
          <w:sz w:val="18"/>
          <w:szCs w:val="18"/>
        </w:rPr>
        <w:t xml:space="preserve"> </w:t>
      </w:r>
      <w:r>
        <w:rPr>
          <w:sz w:val="18"/>
          <w:szCs w:val="18"/>
        </w:rPr>
        <w:t>7</w:t>
      </w:r>
    </w:p>
    <w:p w:rsidR="00000000" w:rsidRDefault="00E65764">
      <w:pPr>
        <w:pStyle w:val="ListParagraph"/>
        <w:numPr>
          <w:ilvl w:val="0"/>
          <w:numId w:val="4"/>
        </w:numPr>
        <w:tabs>
          <w:tab w:val="left" w:pos="400"/>
        </w:tabs>
        <w:spacing w:before="2"/>
        <w:ind w:hanging="285"/>
        <w:rPr>
          <w:i/>
          <w:sz w:val="18"/>
          <w:szCs w:val="18"/>
        </w:rPr>
      </w:pPr>
      <w:bookmarkStart w:id="42" w:name="_bookmark32"/>
      <w:bookmarkEnd w:id="42"/>
      <w:r>
        <w:rPr>
          <w:sz w:val="18"/>
          <w:szCs w:val="18"/>
        </w:rPr>
        <w:t>emphasis</w:t>
      </w:r>
      <w:r>
        <w:rPr>
          <w:spacing w:val="-2"/>
          <w:sz w:val="18"/>
          <w:szCs w:val="18"/>
        </w:rPr>
        <w:t xml:space="preserve"> </w:t>
      </w:r>
      <w:r>
        <w:rPr>
          <w:sz w:val="18"/>
          <w:szCs w:val="18"/>
        </w:rPr>
        <w:t>added</w:t>
      </w:r>
    </w:p>
    <w:p w:rsidR="00000000" w:rsidRDefault="00E65764">
      <w:pPr>
        <w:ind w:left="650"/>
        <w:rPr>
          <w:sz w:val="18"/>
          <w:szCs w:val="18"/>
        </w:rPr>
      </w:pPr>
      <w:r>
        <w:rPr>
          <w:i/>
          <w:sz w:val="18"/>
          <w:szCs w:val="18"/>
        </w:rPr>
        <w:t xml:space="preserve">Cour de Cassation </w:t>
      </w:r>
      <w:r>
        <w:rPr>
          <w:sz w:val="18"/>
          <w:szCs w:val="18"/>
        </w:rPr>
        <w:t>14-17735, 9 November</w:t>
      </w:r>
      <w:r>
        <w:rPr>
          <w:spacing w:val="-6"/>
          <w:sz w:val="18"/>
          <w:szCs w:val="18"/>
        </w:rPr>
        <w:t xml:space="preserve"> </w:t>
      </w:r>
      <w:r>
        <w:rPr>
          <w:sz w:val="18"/>
          <w:szCs w:val="18"/>
        </w:rPr>
        <w:t>2016</w:t>
      </w:r>
    </w:p>
    <w:p w:rsidR="00000000" w:rsidRDefault="00E65764">
      <w:pPr>
        <w:pStyle w:val="ListParagraph"/>
        <w:numPr>
          <w:ilvl w:val="0"/>
          <w:numId w:val="4"/>
        </w:numPr>
        <w:tabs>
          <w:tab w:val="left" w:pos="400"/>
        </w:tabs>
        <w:spacing w:before="2"/>
        <w:ind w:right="136"/>
        <w:rPr>
          <w:sz w:val="18"/>
          <w:szCs w:val="18"/>
        </w:rPr>
      </w:pPr>
      <w:bookmarkStart w:id="43" w:name="_bookmark33"/>
      <w:bookmarkEnd w:id="43"/>
      <w:r>
        <w:rPr>
          <w:sz w:val="18"/>
          <w:szCs w:val="18"/>
        </w:rPr>
        <w:t>It is impossible to quote all cases where the 'right to visit and accommodation' of 'protected person' is in play, especially that the most of first instances French cases and large part of</w:t>
      </w:r>
      <w:r>
        <w:rPr>
          <w:sz w:val="18"/>
          <w:szCs w:val="18"/>
        </w:rPr>
        <w:t xml:space="preserve"> Appeal Court's ones are never published:</w:t>
      </w:r>
      <w:r>
        <w:rPr>
          <w:spacing w:val="-34"/>
          <w:sz w:val="18"/>
          <w:szCs w:val="18"/>
        </w:rPr>
        <w:t xml:space="preserve"> </w:t>
      </w:r>
      <w:r>
        <w:rPr>
          <w:sz w:val="18"/>
          <w:szCs w:val="18"/>
        </w:rPr>
        <w:t>the next analyzed case confirms however that</w:t>
      </w:r>
      <w:r>
        <w:rPr>
          <w:spacing w:val="-4"/>
          <w:sz w:val="18"/>
          <w:szCs w:val="18"/>
        </w:rPr>
        <w:t xml:space="preserve"> </w:t>
      </w:r>
      <w:r>
        <w:rPr>
          <w:sz w:val="18"/>
          <w:szCs w:val="18"/>
        </w:rPr>
        <w:t>assertion</w:t>
      </w:r>
    </w:p>
    <w:p w:rsidR="00000000" w:rsidRDefault="00E65764">
      <w:pPr>
        <w:pStyle w:val="ListParagraph"/>
        <w:numPr>
          <w:ilvl w:val="0"/>
          <w:numId w:val="4"/>
        </w:numPr>
        <w:tabs>
          <w:tab w:val="left" w:pos="400"/>
        </w:tabs>
        <w:spacing w:before="2"/>
        <w:ind w:right="324"/>
        <w:rPr>
          <w:u w:val="single"/>
        </w:rPr>
        <w:sectPr w:rsidR="00000000">
          <w:pgSz w:w="11906" w:h="16838"/>
          <w:pgMar w:top="1060" w:right="1020" w:bottom="280" w:left="1020" w:header="720" w:footer="720" w:gutter="0"/>
          <w:cols w:space="720"/>
          <w:docGrid w:linePitch="240" w:charSpace="-2049"/>
        </w:sectPr>
      </w:pPr>
      <w:bookmarkStart w:id="44" w:name="_bookmark34"/>
      <w:bookmarkEnd w:id="44"/>
      <w:r>
        <w:rPr>
          <w:sz w:val="18"/>
          <w:szCs w:val="18"/>
        </w:rPr>
        <w:lastRenderedPageBreak/>
        <w:t>Decision of the 6</w:t>
      </w:r>
      <w:r>
        <w:rPr>
          <w:sz w:val="18"/>
          <w:szCs w:val="18"/>
          <w:vertAlign w:val="superscript"/>
        </w:rPr>
        <w:t>th</w:t>
      </w:r>
      <w:r>
        <w:rPr>
          <w:sz w:val="18"/>
          <w:szCs w:val="18"/>
        </w:rPr>
        <w:t xml:space="preserve"> Chamber of the Appeal Court of Lyon, registration number 18/05076 (not published) , 3</w:t>
      </w:r>
      <w:r>
        <w:rPr>
          <w:sz w:val="18"/>
          <w:szCs w:val="18"/>
          <w:vertAlign w:val="superscript"/>
        </w:rPr>
        <w:t>rd</w:t>
      </w:r>
      <w:r>
        <w:rPr>
          <w:sz w:val="18"/>
          <w:szCs w:val="18"/>
        </w:rPr>
        <w:t xml:space="preserve"> </w:t>
      </w:r>
      <w:r>
        <w:rPr>
          <w:spacing w:val="-19"/>
          <w:sz w:val="18"/>
          <w:szCs w:val="18"/>
        </w:rPr>
        <w:t xml:space="preserve">May </w:t>
      </w:r>
      <w:r>
        <w:rPr>
          <w:sz w:val="18"/>
          <w:szCs w:val="18"/>
        </w:rPr>
        <w:t>2019</w:t>
      </w:r>
    </w:p>
    <w:p w:rsidR="00000000" w:rsidRDefault="00E65764">
      <w:pPr>
        <w:pStyle w:val="ListParagraph"/>
        <w:numPr>
          <w:ilvl w:val="1"/>
          <w:numId w:val="5"/>
        </w:numPr>
        <w:tabs>
          <w:tab w:val="left" w:pos="1210"/>
        </w:tabs>
        <w:spacing w:before="64"/>
        <w:rPr>
          <w:sz w:val="20"/>
        </w:rPr>
      </w:pPr>
      <w:r>
        <w:rPr>
          <w:u w:val="single"/>
        </w:rPr>
        <w:lastRenderedPageBreak/>
        <w:t>Guardianship model as a source of</w:t>
      </w:r>
      <w:r>
        <w:rPr>
          <w:spacing w:val="-6"/>
          <w:u w:val="single"/>
        </w:rPr>
        <w:t xml:space="preserve"> </w:t>
      </w:r>
      <w:r>
        <w:rPr>
          <w:u w:val="single"/>
        </w:rPr>
        <w:t>profit.</w:t>
      </w:r>
    </w:p>
    <w:p w:rsidR="00000000" w:rsidRDefault="00E65764">
      <w:pPr>
        <w:pStyle w:val="BodyText"/>
        <w:rPr>
          <w:sz w:val="20"/>
        </w:rPr>
      </w:pPr>
    </w:p>
    <w:p w:rsidR="00000000" w:rsidRDefault="00E65764">
      <w:pPr>
        <w:pStyle w:val="BodyText"/>
        <w:spacing w:before="1"/>
        <w:rPr>
          <w:sz w:val="16"/>
        </w:rPr>
      </w:pPr>
    </w:p>
    <w:p w:rsidR="00000000" w:rsidRDefault="00E65764">
      <w:pPr>
        <w:spacing w:before="90" w:line="360" w:lineRule="auto"/>
        <w:ind w:left="115" w:right="174" w:firstLine="710"/>
        <w:rPr>
          <w:b/>
          <w:sz w:val="32"/>
        </w:rPr>
      </w:pPr>
      <w:r>
        <w:t>The State does not gather statistics and avoids to share the available ones. Indeed, the Court of Auditors (</w:t>
      </w:r>
      <w:r>
        <w:rPr>
          <w:i/>
        </w:rPr>
        <w:t>Cour des Comptes</w:t>
      </w:r>
      <w:r>
        <w:t>) alerted, in 2016, about the uncontrolled rise of the cost of the guardianship (700 million Euros in 2015, mostly paid by the Sta</w:t>
      </w:r>
      <w:r>
        <w:t>te)</w:t>
      </w:r>
      <w:hyperlink w:anchor="_bookmark35" w:history="1">
        <w:r>
          <w:rPr>
            <w:rStyle w:val="Hyperlink"/>
            <w:vertAlign w:val="superscript"/>
          </w:rPr>
          <w:t>36</w:t>
        </w:r>
        <w:r>
          <w:rPr>
            <w:rStyle w:val="Hyperlink"/>
          </w:rPr>
          <w:t xml:space="preserve"> </w:t>
        </w:r>
      </w:hyperlink>
      <w:r>
        <w:t xml:space="preserve">along with accelerated increasing of the number of new measures since adoption of Act 2007, of which the ambition was precisely to dampen this growth. This report mentions the 'risk for the rights' and 'deprivation of </w:t>
      </w:r>
      <w:r>
        <w:t>liberty' of persons under guardianship</w:t>
      </w:r>
      <w:hyperlink w:anchor="_bookmark36" w:history="1">
        <w:r>
          <w:rPr>
            <w:rStyle w:val="Hyperlink"/>
            <w:vertAlign w:val="superscript"/>
          </w:rPr>
          <w:t>37</w:t>
        </w:r>
        <w:r>
          <w:rPr>
            <w:rStyle w:val="Hyperlink"/>
          </w:rPr>
          <w:t xml:space="preserve"> </w:t>
        </w:r>
      </w:hyperlink>
      <w:r>
        <w:t xml:space="preserve">and suggests that </w:t>
      </w:r>
      <w:r>
        <w:rPr>
          <w:b/>
        </w:rPr>
        <w:t>the entire system of guardianship became a profit machine with ever increasing part of measures entrusted to the 'professional guardians', payed almost entirely by S</w:t>
      </w:r>
      <w:r>
        <w:rPr>
          <w:b/>
        </w:rPr>
        <w:t>tate.</w:t>
      </w:r>
    </w:p>
    <w:p w:rsidR="00000000" w:rsidRDefault="00E65764">
      <w:pPr>
        <w:pStyle w:val="BodyText"/>
        <w:spacing w:before="8"/>
        <w:rPr>
          <w:b/>
          <w:sz w:val="32"/>
        </w:rPr>
      </w:pPr>
    </w:p>
    <w:p w:rsidR="00000000" w:rsidRDefault="00E65764">
      <w:pPr>
        <w:pStyle w:val="ListParagraph"/>
        <w:numPr>
          <w:ilvl w:val="0"/>
          <w:numId w:val="2"/>
        </w:numPr>
        <w:tabs>
          <w:tab w:val="left" w:pos="1046"/>
        </w:tabs>
        <w:rPr>
          <w:sz w:val="20"/>
        </w:rPr>
      </w:pPr>
      <w:r>
        <w:rPr>
          <w:u w:val="single"/>
        </w:rPr>
        <w:t>Deprivation of liberty based on</w:t>
      </w:r>
      <w:r>
        <w:rPr>
          <w:spacing w:val="-6"/>
          <w:u w:val="single"/>
        </w:rPr>
        <w:t xml:space="preserve"> </w:t>
      </w:r>
      <w:r>
        <w:rPr>
          <w:u w:val="single"/>
        </w:rPr>
        <w:t>disability</w:t>
      </w:r>
    </w:p>
    <w:p w:rsidR="00000000" w:rsidRDefault="00E65764">
      <w:pPr>
        <w:pStyle w:val="BodyText"/>
        <w:rPr>
          <w:sz w:val="20"/>
        </w:rPr>
      </w:pPr>
    </w:p>
    <w:p w:rsidR="00000000" w:rsidRDefault="00E65764">
      <w:pPr>
        <w:pStyle w:val="BodyText"/>
        <w:rPr>
          <w:sz w:val="16"/>
        </w:rPr>
      </w:pPr>
    </w:p>
    <w:p w:rsidR="00000000" w:rsidRDefault="00E65764">
      <w:pPr>
        <w:pStyle w:val="BodyText"/>
        <w:spacing w:before="91" w:line="360" w:lineRule="auto"/>
        <w:ind w:left="115" w:right="129" w:firstLine="710"/>
        <w:rPr>
          <w:sz w:val="32"/>
        </w:rPr>
      </w:pPr>
      <w:r>
        <w:t>The consequence of the legal capacity deprivation is a deprivation of liberty of based on disability as stated in GC 1(§40). While that does not happen exclusively in France, on the difference of other Eu</w:t>
      </w:r>
      <w:r>
        <w:t>ropean States, France refuses to recognize the segregated settings (</w:t>
      </w:r>
      <w:r>
        <w:rPr>
          <w:i/>
        </w:rPr>
        <w:t>Etablissements médico-sociaux, EMS</w:t>
      </w:r>
      <w:r>
        <w:t>) as places of deprivation of liberty: the submission of the French General Controller of the places of DoL confirms it. The segregated residential settin</w:t>
      </w:r>
      <w:r>
        <w:t>gs in France are often situated on the outskirts of towns and cities, in remote areas. While liberty of movement is guaranteed to the EMS' residents</w:t>
      </w:r>
      <w:hyperlink w:anchor="_bookmark37" w:history="1">
        <w:r>
          <w:rPr>
            <w:rStyle w:val="Hyperlink"/>
            <w:vertAlign w:val="superscript"/>
          </w:rPr>
          <w:t>38</w:t>
        </w:r>
      </w:hyperlink>
      <w:r>
        <w:t>, in practice the 'security' reason prevails and virtually all persons wit</w:t>
      </w:r>
      <w:r>
        <w:t xml:space="preserve">h cognitive impairments in segregated settings in France undergo a deprivation of liberty in the sense established by international </w:t>
      </w:r>
      <w:r>
        <w:lastRenderedPageBreak/>
        <w:t>jurisprudence, but unlike the psychiatric hospitals, the EMS escape to all scrutiny being relegated in a gray legal zone. Th</w:t>
      </w:r>
      <w:r>
        <w:t>ey represent a real blind spot: neither civil society nor French Ombudsman (</w:t>
      </w:r>
      <w:r>
        <w:rPr>
          <w:i/>
        </w:rPr>
        <w:t>Défenseur des Droits</w:t>
      </w:r>
      <w:r>
        <w:t>) have ever manifested any interest as to what is happening in those places, despite a number of alerts addressed by the person's family and some professionals.</w:t>
      </w:r>
      <w:r>
        <w:t xml:space="preserve"> While, during the pandemic, some attention was drawn toward the care home for aged persons (</w:t>
      </w:r>
      <w:r>
        <w:rPr>
          <w:i/>
        </w:rPr>
        <w:t>EHPAD</w:t>
      </w:r>
      <w:r>
        <w:t>s) and the issues arising form the restriction of liberty of their residents</w:t>
      </w:r>
      <w:hyperlink w:anchor="_bookmark38" w:history="1">
        <w:r>
          <w:rPr>
            <w:rStyle w:val="Hyperlink"/>
            <w:vertAlign w:val="superscript"/>
          </w:rPr>
          <w:t>39</w:t>
        </w:r>
      </w:hyperlink>
      <w:r>
        <w:t>, there was nothing similar in relation to segre</w:t>
      </w:r>
      <w:r>
        <w:t>gated settings for PWD.</w:t>
      </w:r>
    </w:p>
    <w:p w:rsidR="00000000" w:rsidRDefault="00E65764">
      <w:pPr>
        <w:pStyle w:val="BodyText"/>
        <w:spacing w:before="3"/>
        <w:rPr>
          <w:sz w:val="32"/>
        </w:rPr>
      </w:pPr>
    </w:p>
    <w:p w:rsidR="00000000" w:rsidRDefault="00E65764">
      <w:pPr>
        <w:pStyle w:val="BodyText"/>
        <w:spacing w:before="1" w:line="360" w:lineRule="auto"/>
        <w:ind w:left="115" w:right="129" w:firstLine="710"/>
      </w:pPr>
      <w:r>
        <w:t xml:space="preserve">France disability had brought, on behalf of </w:t>
      </w:r>
      <w:r>
        <w:rPr>
          <w:i/>
        </w:rPr>
        <w:t xml:space="preserve">CLE-Autistes </w:t>
      </w:r>
      <w:r>
        <w:t>DPO, the claim before the French Supreme Court (</w:t>
      </w:r>
      <w:r>
        <w:rPr>
          <w:i/>
        </w:rPr>
        <w:t>Conseil d'Etat</w:t>
      </w:r>
      <w:r>
        <w:t>) against the arbitrary deprivation of liberty of the persons in EMS during the first lockdown in March 2020</w:t>
      </w:r>
      <w:hyperlink w:anchor="_bookmark39" w:history="1">
        <w:r>
          <w:rPr>
            <w:rStyle w:val="Hyperlink"/>
            <w:vertAlign w:val="superscript"/>
          </w:rPr>
          <w:t>40</w:t>
        </w:r>
      </w:hyperlink>
      <w:r>
        <w:t>. Our claim was rejected on the base that this deprivation was not decided officially (by the act of law) but as 'recommendations' given to the EMSs' management boards. We provide,</w:t>
      </w:r>
    </w:p>
    <w:p w:rsidR="00000000" w:rsidRDefault="00E65764">
      <w:pPr>
        <w:pStyle w:val="BodyText"/>
        <w:spacing w:before="1" w:line="360" w:lineRule="auto"/>
        <w:ind w:left="115" w:right="129" w:firstLine="710"/>
      </w:pPr>
    </w:p>
    <w:p w:rsidR="00000000" w:rsidRDefault="00E65764">
      <w:pPr>
        <w:pStyle w:val="BodyText"/>
        <w:rPr>
          <w:sz w:val="18"/>
          <w:szCs w:val="18"/>
        </w:rPr>
      </w:pPr>
    </w:p>
    <w:p w:rsidR="00000000" w:rsidRDefault="00E65764">
      <w:pPr>
        <w:pStyle w:val="ListParagraph"/>
        <w:numPr>
          <w:ilvl w:val="0"/>
          <w:numId w:val="4"/>
        </w:numPr>
        <w:tabs>
          <w:tab w:val="left" w:pos="450"/>
        </w:tabs>
        <w:spacing w:before="20"/>
        <w:ind w:right="545"/>
        <w:jc w:val="both"/>
        <w:rPr>
          <w:sz w:val="18"/>
          <w:szCs w:val="18"/>
        </w:rPr>
      </w:pPr>
      <w:r>
        <w:rPr>
          <w:sz w:val="18"/>
          <w:szCs w:val="18"/>
        </w:rPr>
        <w:tab/>
      </w:r>
      <w:bookmarkStart w:id="45" w:name="_bookmark35"/>
      <w:bookmarkEnd w:id="45"/>
      <w:r>
        <w:rPr>
          <w:sz w:val="18"/>
          <w:szCs w:val="18"/>
        </w:rPr>
        <w:t xml:space="preserve">Court des Comptes </w:t>
      </w:r>
      <w:r>
        <w:rPr>
          <w:i/>
          <w:sz w:val="18"/>
          <w:szCs w:val="18"/>
        </w:rPr>
        <w:t>Rapport: La protection j</w:t>
      </w:r>
      <w:r>
        <w:rPr>
          <w:i/>
          <w:sz w:val="18"/>
          <w:szCs w:val="18"/>
        </w:rPr>
        <w:t>uridiaue des majeurs: Une réforme ambitieuse, une mise en</w:t>
      </w:r>
      <w:r>
        <w:rPr>
          <w:i/>
          <w:spacing w:val="-33"/>
          <w:sz w:val="18"/>
          <w:szCs w:val="18"/>
        </w:rPr>
        <w:t xml:space="preserve"> </w:t>
      </w:r>
      <w:r>
        <w:rPr>
          <w:i/>
          <w:sz w:val="18"/>
          <w:szCs w:val="18"/>
        </w:rPr>
        <w:t xml:space="preserve">œuvre défaillante, </w:t>
      </w:r>
      <w:r>
        <w:rPr>
          <w:sz w:val="18"/>
          <w:szCs w:val="18"/>
        </w:rPr>
        <w:t>Communication à la Commission des finances, de l’économie générale et du controle budgétaire</w:t>
      </w:r>
      <w:r>
        <w:rPr>
          <w:spacing w:val="-28"/>
          <w:sz w:val="18"/>
          <w:szCs w:val="18"/>
        </w:rPr>
        <w:t xml:space="preserve"> </w:t>
      </w:r>
      <w:r>
        <w:rPr>
          <w:sz w:val="18"/>
          <w:szCs w:val="18"/>
        </w:rPr>
        <w:t>de l’Assemblée nationale (2016),</w:t>
      </w:r>
      <w:r>
        <w:rPr>
          <w:spacing w:val="-1"/>
          <w:sz w:val="18"/>
          <w:szCs w:val="18"/>
        </w:rPr>
        <w:t xml:space="preserve"> </w:t>
      </w:r>
      <w:r>
        <w:rPr>
          <w:sz w:val="18"/>
          <w:szCs w:val="18"/>
        </w:rPr>
        <w:t>10</w:t>
      </w:r>
    </w:p>
    <w:p w:rsidR="00000000" w:rsidRDefault="00E65764">
      <w:pPr>
        <w:pStyle w:val="ListParagraph"/>
        <w:numPr>
          <w:ilvl w:val="0"/>
          <w:numId w:val="4"/>
        </w:numPr>
        <w:tabs>
          <w:tab w:val="left" w:pos="450"/>
        </w:tabs>
        <w:spacing w:before="2"/>
        <w:ind w:left="450" w:hanging="335"/>
        <w:jc w:val="both"/>
        <w:rPr>
          <w:sz w:val="18"/>
          <w:szCs w:val="18"/>
        </w:rPr>
      </w:pPr>
      <w:bookmarkStart w:id="46" w:name="_bookmark36"/>
      <w:bookmarkEnd w:id="46"/>
      <w:r>
        <w:rPr>
          <w:sz w:val="18"/>
          <w:szCs w:val="18"/>
        </w:rPr>
        <w:t>ibid</w:t>
      </w:r>
      <w:r>
        <w:rPr>
          <w:spacing w:val="-1"/>
          <w:sz w:val="18"/>
          <w:szCs w:val="18"/>
        </w:rPr>
        <w:t xml:space="preserve"> </w:t>
      </w:r>
      <w:r>
        <w:rPr>
          <w:sz w:val="18"/>
          <w:szCs w:val="18"/>
        </w:rPr>
        <w:t>11</w:t>
      </w:r>
    </w:p>
    <w:p w:rsidR="00000000" w:rsidRDefault="00E65764">
      <w:pPr>
        <w:pStyle w:val="ListParagraph"/>
        <w:numPr>
          <w:ilvl w:val="0"/>
          <w:numId w:val="4"/>
        </w:numPr>
        <w:tabs>
          <w:tab w:val="left" w:pos="400"/>
        </w:tabs>
        <w:spacing w:before="2"/>
        <w:ind w:hanging="285"/>
        <w:rPr>
          <w:i/>
          <w:sz w:val="18"/>
          <w:szCs w:val="18"/>
        </w:rPr>
      </w:pPr>
      <w:bookmarkStart w:id="47" w:name="_bookmark37"/>
      <w:bookmarkEnd w:id="47"/>
      <w:r>
        <w:rPr>
          <w:sz w:val="18"/>
          <w:szCs w:val="18"/>
        </w:rPr>
        <w:t>CASF art L.</w:t>
      </w:r>
      <w:r>
        <w:rPr>
          <w:spacing w:val="-2"/>
          <w:sz w:val="18"/>
          <w:szCs w:val="18"/>
        </w:rPr>
        <w:t xml:space="preserve"> </w:t>
      </w:r>
      <w:r>
        <w:rPr>
          <w:sz w:val="18"/>
          <w:szCs w:val="18"/>
        </w:rPr>
        <w:t>311–3</w:t>
      </w:r>
    </w:p>
    <w:p w:rsidR="00000000" w:rsidRDefault="00E65764">
      <w:pPr>
        <w:pStyle w:val="ListParagraph"/>
        <w:numPr>
          <w:ilvl w:val="0"/>
          <w:numId w:val="4"/>
        </w:numPr>
        <w:tabs>
          <w:tab w:val="left" w:pos="400"/>
        </w:tabs>
        <w:ind w:hanging="285"/>
        <w:rPr>
          <w:sz w:val="18"/>
          <w:szCs w:val="18"/>
        </w:rPr>
      </w:pPr>
      <w:bookmarkStart w:id="48" w:name="_bookmark381"/>
      <w:bookmarkStart w:id="49" w:name="_bookmark38"/>
      <w:bookmarkEnd w:id="48"/>
      <w:bookmarkEnd w:id="49"/>
      <w:r>
        <w:rPr>
          <w:i/>
          <w:sz w:val="18"/>
          <w:szCs w:val="18"/>
        </w:rPr>
        <w:t xml:space="preserve">Les droits fondamentaux </w:t>
      </w:r>
      <w:r>
        <w:rPr>
          <w:i/>
          <w:sz w:val="18"/>
          <w:szCs w:val="18"/>
        </w:rPr>
        <w:t xml:space="preserve">des personnes âgéesaccueillies en EHPAD, </w:t>
      </w:r>
      <w:r>
        <w:rPr>
          <w:sz w:val="18"/>
          <w:szCs w:val="18"/>
        </w:rPr>
        <w:t>French Ombudsman's report, May</w:t>
      </w:r>
      <w:r>
        <w:rPr>
          <w:spacing w:val="-16"/>
          <w:sz w:val="18"/>
          <w:szCs w:val="18"/>
        </w:rPr>
        <w:t xml:space="preserve"> </w:t>
      </w:r>
      <w:r>
        <w:rPr>
          <w:sz w:val="18"/>
          <w:szCs w:val="18"/>
        </w:rPr>
        <w:t>2021</w:t>
      </w:r>
    </w:p>
    <w:p w:rsidR="00000000" w:rsidRDefault="00E65764">
      <w:pPr>
        <w:spacing w:before="2"/>
        <w:ind w:left="115" w:right="1680" w:firstLine="284"/>
      </w:pPr>
      <w:r>
        <w:rPr>
          <w:sz w:val="18"/>
          <w:szCs w:val="18"/>
        </w:rPr>
        <w:t>&lt;htt</w:t>
      </w:r>
      <w:hyperlink r:id="rId10" w:history="1">
        <w:r>
          <w:rPr>
            <w:rStyle w:val="Hyperlink"/>
            <w:sz w:val="18"/>
            <w:szCs w:val="18"/>
          </w:rPr>
          <w:t>ps://www.defenseurdesdroits.fr/sites/default/files/atoms/files/rap-e</w:t>
        </w:r>
        <w:r>
          <w:rPr>
            <w:rStyle w:val="Hyperlink"/>
            <w:sz w:val="18"/>
            <w:szCs w:val="18"/>
          </w:rPr>
          <w:t>hpad-num-29.04.21.pdf</w:t>
        </w:r>
      </w:hyperlink>
      <w:r>
        <w:rPr>
          <w:sz w:val="18"/>
          <w:szCs w:val="18"/>
        </w:rPr>
        <w:t>&gt; 40</w:t>
      </w:r>
      <w:bookmarkStart w:id="50" w:name="_bookmark39"/>
      <w:bookmarkEnd w:id="50"/>
      <w:r>
        <w:rPr>
          <w:sz w:val="18"/>
          <w:szCs w:val="18"/>
        </w:rPr>
        <w:t xml:space="preserve"> </w:t>
      </w:r>
      <w:r>
        <w:rPr>
          <w:i/>
          <w:sz w:val="18"/>
          <w:szCs w:val="18"/>
        </w:rPr>
        <w:t xml:space="preserve">Conseil d'Etat </w:t>
      </w:r>
      <w:r>
        <w:rPr>
          <w:sz w:val="18"/>
          <w:szCs w:val="18"/>
        </w:rPr>
        <w:t>N 439822 &lt;</w:t>
      </w:r>
      <w:hyperlink r:id="rId11" w:history="1">
        <w:r>
          <w:rPr>
            <w:rStyle w:val="Hyperlink"/>
            <w:color w:val="00007F"/>
            <w:sz w:val="18"/>
            <w:szCs w:val="18"/>
            <w:u w:color="000000"/>
          </w:rPr>
          <w:t>https://www.legifrance.gouv.fr/affichJuriAdmin.do?</w:t>
        </w:r>
      </w:hyperlink>
    </w:p>
    <w:p w:rsidR="00000000" w:rsidRDefault="00E65764">
      <w:pPr>
        <w:spacing w:before="2"/>
        <w:ind w:left="400"/>
        <w:sectPr w:rsidR="00000000">
          <w:pgSz w:w="11906" w:h="16838"/>
          <w:pgMar w:top="1440" w:right="1020" w:bottom="280" w:left="1020" w:header="720" w:footer="720" w:gutter="0"/>
          <w:cols w:space="720"/>
          <w:docGrid w:linePitch="240" w:charSpace="-2049"/>
        </w:sectPr>
      </w:pPr>
      <w:hyperlink r:id="rId12" w:history="1">
        <w:r>
          <w:rPr>
            <w:rStyle w:val="Hyperlink"/>
            <w:color w:val="00007F"/>
            <w:sz w:val="18"/>
            <w:szCs w:val="18"/>
            <w:u w:color="000000"/>
          </w:rPr>
          <w:t>oldAction=rechJuriAdmin&amp;idTexte=CETATEXT000041808375&amp;fastReqId=1888570292&amp;fastPos=1</w:t>
        </w:r>
      </w:hyperlink>
      <w:r>
        <w:rPr>
          <w:sz w:val="18"/>
          <w:szCs w:val="18"/>
        </w:rPr>
        <w:t>&gt;</w:t>
      </w:r>
    </w:p>
    <w:p w:rsidR="00000000" w:rsidRDefault="00E65764">
      <w:pPr>
        <w:pStyle w:val="BodyText"/>
        <w:spacing w:before="64" w:line="360" w:lineRule="auto"/>
        <w:ind w:left="115" w:right="366"/>
        <w:jc w:val="both"/>
        <w:rPr>
          <w:sz w:val="32"/>
        </w:rPr>
      </w:pPr>
      <w:r>
        <w:lastRenderedPageBreak/>
        <w:t>in the annex, the answer</w:t>
      </w:r>
      <w:r>
        <w:t xml:space="preserve"> of the Defender – the French Minister of Health Olivier Veran. He states that the complete lockdown of those persons in EMS (without any right to go outdoor neither in-live contact with family) was 'consented': and then, he explains that each family was a</w:t>
      </w:r>
      <w:r>
        <w:t>sked whether they want or not to host their</w:t>
      </w:r>
      <w:r>
        <w:rPr>
          <w:spacing w:val="-2"/>
        </w:rPr>
        <w:t xml:space="preserve"> </w:t>
      </w:r>
      <w:r>
        <w:t>disabled</w:t>
      </w:r>
      <w:r>
        <w:rPr>
          <w:spacing w:val="-2"/>
        </w:rPr>
        <w:t xml:space="preserve"> </w:t>
      </w:r>
      <w:r>
        <w:t>relative</w:t>
      </w:r>
      <w:r>
        <w:rPr>
          <w:spacing w:val="-3"/>
        </w:rPr>
        <w:t xml:space="preserve"> </w:t>
      </w:r>
      <w:r>
        <w:t>during</w:t>
      </w:r>
      <w:r>
        <w:rPr>
          <w:spacing w:val="-2"/>
        </w:rPr>
        <w:t xml:space="preserve"> </w:t>
      </w:r>
      <w:r>
        <w:t>the</w:t>
      </w:r>
      <w:r>
        <w:rPr>
          <w:spacing w:val="-1"/>
        </w:rPr>
        <w:t xml:space="preserve"> </w:t>
      </w:r>
      <w:r>
        <w:t>lockdown.</w:t>
      </w:r>
      <w:r>
        <w:rPr>
          <w:spacing w:val="-3"/>
        </w:rPr>
        <w:t xml:space="preserve"> </w:t>
      </w:r>
      <w:r>
        <w:t>This</w:t>
      </w:r>
      <w:r>
        <w:rPr>
          <w:spacing w:val="-2"/>
        </w:rPr>
        <w:t xml:space="preserve"> </w:t>
      </w:r>
      <w:r>
        <w:t>explanation</w:t>
      </w:r>
      <w:r>
        <w:rPr>
          <w:spacing w:val="-4"/>
        </w:rPr>
        <w:t xml:space="preserve"> </w:t>
      </w:r>
      <w:r>
        <w:t>is</w:t>
      </w:r>
      <w:r>
        <w:rPr>
          <w:spacing w:val="-3"/>
        </w:rPr>
        <w:t xml:space="preserve"> </w:t>
      </w:r>
      <w:r>
        <w:t>a</w:t>
      </w:r>
      <w:r>
        <w:rPr>
          <w:spacing w:val="-4"/>
        </w:rPr>
        <w:t xml:space="preserve"> </w:t>
      </w:r>
      <w:r>
        <w:t>blatant</w:t>
      </w:r>
      <w:r>
        <w:rPr>
          <w:spacing w:val="-3"/>
        </w:rPr>
        <w:t xml:space="preserve"> </w:t>
      </w:r>
      <w:r>
        <w:t>illustration</w:t>
      </w:r>
      <w:r>
        <w:rPr>
          <w:spacing w:val="-4"/>
        </w:rPr>
        <w:t xml:space="preserve"> </w:t>
      </w:r>
      <w:r>
        <w:t>of</w:t>
      </w:r>
      <w:r>
        <w:rPr>
          <w:spacing w:val="-3"/>
        </w:rPr>
        <w:t xml:space="preserve"> </w:t>
      </w:r>
      <w:r>
        <w:t>how</w:t>
      </w:r>
      <w:r>
        <w:rPr>
          <w:spacing w:val="-3"/>
        </w:rPr>
        <w:t xml:space="preserve"> </w:t>
      </w:r>
      <w:r>
        <w:t>the</w:t>
      </w:r>
      <w:r>
        <w:rPr>
          <w:spacing w:val="-3"/>
        </w:rPr>
        <w:t xml:space="preserve"> </w:t>
      </w:r>
      <w:r>
        <w:t>substituted decision-making leads to the liberty deprivation, which, in addition, could not be legally</w:t>
      </w:r>
      <w:r>
        <w:rPr>
          <w:spacing w:val="-27"/>
        </w:rPr>
        <w:t xml:space="preserve"> </w:t>
      </w:r>
      <w:r>
        <w:t>challenged.</w:t>
      </w:r>
    </w:p>
    <w:p w:rsidR="00000000" w:rsidRDefault="00E65764">
      <w:pPr>
        <w:pStyle w:val="BodyText"/>
        <w:spacing w:before="9"/>
        <w:rPr>
          <w:sz w:val="32"/>
        </w:rPr>
      </w:pPr>
    </w:p>
    <w:p w:rsidR="00000000" w:rsidRDefault="00E65764">
      <w:pPr>
        <w:pStyle w:val="BodyText"/>
        <w:spacing w:line="360" w:lineRule="auto"/>
        <w:ind w:left="115" w:right="154" w:firstLine="710"/>
        <w:rPr>
          <w:sz w:val="32"/>
        </w:rPr>
      </w:pPr>
      <w:r>
        <w:t xml:space="preserve">We </w:t>
      </w:r>
      <w:r>
        <w:t>do not present here in details the issue of the institutionalization of children with disabilities in France but acknowledge that the tendency to segregation and exclusion from society starts early: as soon as the child is deemed to be unable to adapt him/</w:t>
      </w:r>
      <w:r>
        <w:t>herself to the society, finding him/her 'a place' somewhere in a 'special' setting becomes a main concern. As the admission of the children in special settings happens only with the parents' agreement, those (few) who resist, often see their parental right</w:t>
      </w:r>
      <w:r>
        <w:t xml:space="preserve">s being restricted and lose their battle along with a child : the recent case </w:t>
      </w:r>
      <w:r>
        <w:rPr>
          <w:i/>
        </w:rPr>
        <w:t>Dupin v. France</w:t>
      </w:r>
      <w:hyperlink w:anchor="_bookmark40" w:history="1">
        <w:r>
          <w:rPr>
            <w:rStyle w:val="Hyperlink"/>
            <w:i/>
            <w:vertAlign w:val="superscript"/>
          </w:rPr>
          <w:t>41</w:t>
        </w:r>
        <w:r>
          <w:rPr>
            <w:rStyle w:val="Hyperlink"/>
            <w:i/>
          </w:rPr>
          <w:t xml:space="preserve"> </w:t>
        </w:r>
      </w:hyperlink>
      <w:r>
        <w:t>presents a very explicit example of the trend.</w:t>
      </w:r>
    </w:p>
    <w:p w:rsidR="00000000" w:rsidRDefault="00E65764">
      <w:pPr>
        <w:pStyle w:val="BodyText"/>
        <w:spacing w:before="8"/>
        <w:rPr>
          <w:sz w:val="32"/>
        </w:rPr>
      </w:pPr>
    </w:p>
    <w:p w:rsidR="00000000" w:rsidRDefault="00E65764">
      <w:pPr>
        <w:pStyle w:val="BodyText"/>
        <w:spacing w:line="360" w:lineRule="auto"/>
        <w:ind w:left="115" w:right="63" w:firstLine="763"/>
        <w:rPr>
          <w:sz w:val="32"/>
        </w:rPr>
      </w:pPr>
      <w:r>
        <w:t>The placement of the 'protected' adults in segregated settings happens by a simp</w:t>
      </w:r>
      <w:r>
        <w:t>le guardian's agreement, without any judicial decision, following the offer of the 'place' of the Commission of the Autonomy (</w:t>
      </w:r>
      <w:r>
        <w:rPr>
          <w:i/>
        </w:rPr>
        <w:t>CDAPH</w:t>
      </w:r>
      <w:r>
        <w:t>) which is not a judicial body and whose decisions are considered as an attribution of welfare bonus. It can not be challenge</w:t>
      </w:r>
      <w:r>
        <w:t>d as a decision of deprivation of liberty, beyond even the fact that the person herself has no possibility to do it without her guardian and even less – against her guardian.</w:t>
      </w:r>
    </w:p>
    <w:p w:rsidR="00000000" w:rsidRDefault="00E65764">
      <w:pPr>
        <w:pStyle w:val="BodyText"/>
        <w:spacing w:before="8"/>
        <w:rPr>
          <w:sz w:val="32"/>
        </w:rPr>
      </w:pPr>
    </w:p>
    <w:p w:rsidR="00000000" w:rsidRDefault="00E65764">
      <w:pPr>
        <w:pStyle w:val="BodyText"/>
        <w:spacing w:line="360" w:lineRule="auto"/>
        <w:ind w:left="115" w:right="174" w:firstLine="710"/>
        <w:rPr>
          <w:sz w:val="24"/>
        </w:rPr>
      </w:pPr>
      <w:r>
        <w:t>When the family who are not appointed as guardians manage to challenge a placeme</w:t>
      </w:r>
      <w:r>
        <w:t>nt decided by a 'professional guardian', they fail because the French Judges see the institualisation as a norm, not as liberty deprivation. Recently, the Appeal Court of Lyon was obliged to recognize the fact that the situation of T. placed by his guardia</w:t>
      </w:r>
      <w:r>
        <w:t>n, association GRIM (Lyon) in the segregated care home (</w:t>
      </w:r>
      <w:r>
        <w:rPr>
          <w:i/>
        </w:rPr>
        <w:t xml:space="preserve">MAS </w:t>
      </w:r>
      <w:r>
        <w:t xml:space="preserve">Michel Chapuis, in Decines, Lyon's tregion) amounts to a deprived of liberty. However, instead of discharging T., </w:t>
      </w:r>
      <w:r>
        <w:rPr>
          <w:u w:val="single"/>
        </w:rPr>
        <w:t>the Court</w:t>
      </w:r>
      <w:r>
        <w:t xml:space="preserve"> stated that that deprivation is not arbitrary '</w:t>
      </w:r>
      <w:r>
        <w:rPr>
          <w:i/>
        </w:rPr>
        <w:t>because is consecutive to</w:t>
      </w:r>
      <w:r>
        <w:rPr>
          <w:i/>
        </w:rPr>
        <w:t xml:space="preserve"> T's disability</w:t>
      </w:r>
      <w:r>
        <w:t>'</w:t>
      </w:r>
      <w:hyperlink w:anchor="_bookmark41" w:history="1">
        <w:r>
          <w:rPr>
            <w:rStyle w:val="Hyperlink"/>
            <w:vertAlign w:val="superscript"/>
          </w:rPr>
          <w:t>42</w:t>
        </w:r>
      </w:hyperlink>
      <w:r>
        <w:t>.</w:t>
      </w:r>
    </w:p>
    <w:p w:rsidR="00000000" w:rsidRDefault="00E65764">
      <w:pPr>
        <w:pStyle w:val="BodyText"/>
        <w:spacing w:before="11"/>
        <w:rPr>
          <w:sz w:val="24"/>
        </w:rPr>
      </w:pPr>
    </w:p>
    <w:p w:rsidR="00000000" w:rsidRDefault="00E65764">
      <w:pPr>
        <w:pStyle w:val="BodyText"/>
        <w:spacing w:before="91" w:line="360" w:lineRule="auto"/>
        <w:ind w:left="115" w:right="104" w:firstLine="710"/>
        <w:rPr>
          <w:sz w:val="32"/>
        </w:rPr>
      </w:pPr>
      <w:r>
        <w:t xml:space="preserve">In T's 'life project' (sic!) drafted by the MAS staff, it is indicated that T. is locked every night in his room, according to a 'medical prescription'. When interrogated by T's parents, the MAS manager </w:t>
      </w:r>
      <w:r>
        <w:t>said that '</w:t>
      </w:r>
      <w:r>
        <w:rPr>
          <w:i/>
        </w:rPr>
        <w:t>it is for T's good</w:t>
      </w:r>
      <w:r>
        <w:t>'. Neither him, nor the MAS's lawyer, present at the meeting, were aware that the seclusion outside of hospital setting is illegal in France. The number of complaints lodged by T's family to the district Judge of Protection Ms.</w:t>
      </w:r>
      <w:r>
        <w:t xml:space="preserve"> Chaigne remained without any answer, so as the complaints filed by T. himself, with a support of his family, to the State Prosecutor. The French Ombudsman to whom the matter was referred, did not intervene and replied, in essence, a year after, that only </w:t>
      </w:r>
      <w:r>
        <w:t>a judge is competent in this matter.</w:t>
      </w:r>
    </w:p>
    <w:p w:rsidR="00000000" w:rsidRDefault="00E65764">
      <w:pPr>
        <w:pStyle w:val="BodyText"/>
        <w:spacing w:before="7"/>
        <w:rPr>
          <w:sz w:val="32"/>
        </w:rPr>
      </w:pPr>
    </w:p>
    <w:p w:rsidR="00000000" w:rsidRDefault="00E65764">
      <w:pPr>
        <w:pStyle w:val="BodyText"/>
        <w:spacing w:after="10" w:line="355" w:lineRule="auto"/>
        <w:ind w:left="115" w:right="174" w:firstLine="710"/>
      </w:pPr>
      <w:r>
        <w:t>The T's deprivation of liberty aggravated by the inhuman treatment (seclusion in the room, without an access to the bathroom) continues, since more than two years and even was 'formalized' through the</w:t>
      </w:r>
    </w:p>
    <w:p w:rsidR="00000000" w:rsidRDefault="00E65764">
      <w:pPr>
        <w:pStyle w:val="BodyText"/>
        <w:spacing w:after="10" w:line="355" w:lineRule="auto"/>
        <w:ind w:left="115" w:right="174" w:firstLine="710"/>
      </w:pPr>
    </w:p>
    <w:p w:rsidR="00000000" w:rsidRDefault="00E65764">
      <w:pPr>
        <w:pStyle w:val="BodyText"/>
        <w:spacing w:line="20" w:lineRule="exact"/>
        <w:ind w:left="114"/>
        <w:rPr>
          <w:sz w:val="18"/>
          <w:szCs w:val="18"/>
        </w:rPr>
      </w:pPr>
    </w:p>
    <w:p w:rsidR="00000000" w:rsidRDefault="00E65764">
      <w:pPr>
        <w:pStyle w:val="ListParagraph"/>
        <w:numPr>
          <w:ilvl w:val="0"/>
          <w:numId w:val="3"/>
        </w:numPr>
        <w:tabs>
          <w:tab w:val="left" w:pos="400"/>
        </w:tabs>
        <w:spacing w:before="36"/>
        <w:ind w:hanging="285"/>
        <w:rPr>
          <w:i/>
          <w:sz w:val="18"/>
          <w:szCs w:val="18"/>
        </w:rPr>
      </w:pPr>
      <w:bookmarkStart w:id="51" w:name="_bookmark401"/>
      <w:bookmarkStart w:id="52" w:name="_bookmark40"/>
      <w:bookmarkEnd w:id="51"/>
      <w:bookmarkEnd w:id="52"/>
      <w:r>
        <w:rPr>
          <w:i/>
          <w:sz w:val="18"/>
          <w:szCs w:val="18"/>
        </w:rPr>
        <w:t>Dupin v France</w:t>
      </w:r>
      <w:r>
        <w:rPr>
          <w:sz w:val="18"/>
          <w:szCs w:val="18"/>
        </w:rPr>
        <w:t>,</w:t>
      </w:r>
      <w:r>
        <w:rPr>
          <w:sz w:val="18"/>
          <w:szCs w:val="18"/>
        </w:rPr>
        <w:t xml:space="preserve"> ECtHR app no. 2282/17 , 18 December</w:t>
      </w:r>
      <w:r>
        <w:rPr>
          <w:spacing w:val="-8"/>
          <w:sz w:val="18"/>
          <w:szCs w:val="18"/>
        </w:rPr>
        <w:t xml:space="preserve"> </w:t>
      </w:r>
      <w:r>
        <w:rPr>
          <w:sz w:val="18"/>
          <w:szCs w:val="18"/>
        </w:rPr>
        <w:t>2018</w:t>
      </w:r>
    </w:p>
    <w:p w:rsidR="00000000" w:rsidRDefault="00E65764">
      <w:pPr>
        <w:pStyle w:val="ListParagraph"/>
        <w:numPr>
          <w:ilvl w:val="0"/>
          <w:numId w:val="3"/>
        </w:numPr>
        <w:tabs>
          <w:tab w:val="left" w:pos="400"/>
        </w:tabs>
        <w:spacing w:before="2"/>
        <w:ind w:hanging="285"/>
        <w:sectPr w:rsidR="00000000">
          <w:pgSz w:w="11906" w:h="16838"/>
          <w:pgMar w:top="1060" w:right="1020" w:bottom="280" w:left="1020" w:header="720" w:footer="720" w:gutter="0"/>
          <w:cols w:space="720"/>
          <w:docGrid w:linePitch="240" w:charSpace="-2049"/>
        </w:sectPr>
      </w:pPr>
      <w:bookmarkStart w:id="53" w:name="_bookmark411"/>
      <w:bookmarkStart w:id="54" w:name="_bookmark41"/>
      <w:bookmarkEnd w:id="53"/>
      <w:bookmarkEnd w:id="54"/>
      <w:r>
        <w:rPr>
          <w:i/>
          <w:sz w:val="18"/>
          <w:szCs w:val="18"/>
        </w:rPr>
        <w:t>6</w:t>
      </w:r>
      <w:r>
        <w:rPr>
          <w:i/>
          <w:sz w:val="18"/>
          <w:szCs w:val="18"/>
          <w:vertAlign w:val="superscript"/>
        </w:rPr>
        <w:t>th</w:t>
      </w:r>
      <w:r>
        <w:rPr>
          <w:i/>
          <w:sz w:val="18"/>
          <w:szCs w:val="18"/>
        </w:rPr>
        <w:t xml:space="preserve"> Chambre Cour d'Appel de Lyon, 27/01/2021, reg. number 20/04951 </w:t>
      </w:r>
      <w:r>
        <w:rPr>
          <w:sz w:val="18"/>
          <w:szCs w:val="18"/>
        </w:rPr>
        <w:t>(non published), p.</w:t>
      </w:r>
      <w:r>
        <w:rPr>
          <w:spacing w:val="1"/>
          <w:sz w:val="18"/>
          <w:szCs w:val="18"/>
        </w:rPr>
        <w:t xml:space="preserve"> </w:t>
      </w:r>
      <w:r>
        <w:rPr>
          <w:sz w:val="18"/>
          <w:szCs w:val="18"/>
        </w:rPr>
        <w:t>12</w:t>
      </w:r>
    </w:p>
    <w:p w:rsidR="00000000" w:rsidRDefault="00E65764">
      <w:pPr>
        <w:pStyle w:val="BodyText"/>
        <w:spacing w:before="64" w:line="360" w:lineRule="auto"/>
        <w:ind w:left="115" w:right="174"/>
        <w:rPr>
          <w:sz w:val="32"/>
        </w:rPr>
      </w:pPr>
      <w:r>
        <w:lastRenderedPageBreak/>
        <w:t>document (</w:t>
      </w:r>
      <w:r>
        <w:rPr>
          <w:i/>
        </w:rPr>
        <w:t>projet de vie</w:t>
      </w:r>
      <w:r>
        <w:t xml:space="preserve">), signed by T's 'professional guardian' and given to sign to T. Himself, without explaining what is </w:t>
      </w:r>
      <w:r>
        <w:t>inside. Such cynicism makes the part of the whole functioning of 'protection' system. All protests T. expresses against his situation lead to the repetition of seclusions 'sessions' and increasing of a chemical restrain : currently he is under forced 'medi</w:t>
      </w:r>
      <w:r>
        <w:t>cation' (sedation, neuroleptics and anti-depressant drugs) which is extremely dangerous by the side effects and in combination, and destroys T's health every day.</w:t>
      </w:r>
    </w:p>
    <w:p w:rsidR="00000000" w:rsidRDefault="00E65764">
      <w:pPr>
        <w:pStyle w:val="BodyText"/>
        <w:spacing w:before="9"/>
        <w:rPr>
          <w:sz w:val="32"/>
        </w:rPr>
      </w:pPr>
    </w:p>
    <w:p w:rsidR="00000000" w:rsidRDefault="00E65764">
      <w:pPr>
        <w:pStyle w:val="Heading1"/>
        <w:spacing w:before="1" w:line="360" w:lineRule="auto"/>
        <w:rPr>
          <w:sz w:val="32"/>
        </w:rPr>
      </w:pPr>
      <w:r>
        <w:t>France applies the deprivation of liberty based on disability and inhuman treatment in segre</w:t>
      </w:r>
      <w:r>
        <w:t>gated settings. In addition, and contrary to the International law and jurisprudence, French law does not offer any possibility to challenge the liberty deprivation and inhuman treatment. French judges ignore the UN Convention and the legal sense of the wo</w:t>
      </w:r>
      <w:r>
        <w:t>rd 'arbitrary' applied to deprivation of liberty.</w:t>
      </w:r>
    </w:p>
    <w:p w:rsidR="00000000" w:rsidRDefault="00E65764">
      <w:pPr>
        <w:pStyle w:val="BodyText"/>
        <w:spacing w:before="8"/>
        <w:rPr>
          <w:b/>
          <w:sz w:val="32"/>
        </w:rPr>
      </w:pPr>
    </w:p>
    <w:p w:rsidR="00000000" w:rsidRDefault="00E65764">
      <w:pPr>
        <w:pStyle w:val="ListParagraph"/>
        <w:numPr>
          <w:ilvl w:val="0"/>
          <w:numId w:val="2"/>
        </w:numPr>
        <w:tabs>
          <w:tab w:val="left" w:pos="1046"/>
        </w:tabs>
        <w:rPr>
          <w:sz w:val="20"/>
        </w:rPr>
      </w:pPr>
      <w:r>
        <w:rPr>
          <w:u w:val="single"/>
        </w:rPr>
        <w:t>Widespread segregational</w:t>
      </w:r>
      <w:r>
        <w:rPr>
          <w:spacing w:val="-4"/>
          <w:u w:val="single"/>
        </w:rPr>
        <w:t xml:space="preserve"> </w:t>
      </w:r>
      <w:r>
        <w:rPr>
          <w:u w:val="single"/>
        </w:rPr>
        <w:t>model.</w:t>
      </w:r>
    </w:p>
    <w:p w:rsidR="00000000" w:rsidRDefault="00E65764">
      <w:pPr>
        <w:pStyle w:val="BodyText"/>
        <w:rPr>
          <w:sz w:val="20"/>
        </w:rPr>
      </w:pPr>
    </w:p>
    <w:p w:rsidR="00000000" w:rsidRDefault="00E65764">
      <w:pPr>
        <w:pStyle w:val="BodyText"/>
        <w:rPr>
          <w:sz w:val="16"/>
        </w:rPr>
      </w:pPr>
    </w:p>
    <w:p w:rsidR="00000000" w:rsidRDefault="00E65764">
      <w:pPr>
        <w:pStyle w:val="BodyText"/>
        <w:spacing w:before="91" w:line="360" w:lineRule="auto"/>
        <w:ind w:left="115" w:right="63" w:firstLine="710"/>
      </w:pPr>
      <w:r>
        <w:rPr>
          <w:color w:val="101010"/>
        </w:rPr>
        <w:t xml:space="preserve">So far, there is no </w:t>
      </w:r>
      <w:r>
        <w:t>official detailed report about institutionalization of person with disabilities in France. This mere fact is eloquent, as it suggests that the reality,</w:t>
      </w:r>
      <w:r>
        <w:t xml:space="preserve"> deprived of the graspable shape of the facts, is relegated to the edge of society's interest and knowledge. The most recent official statistics indicate about</w:t>
      </w:r>
    </w:p>
    <w:p w:rsidR="00000000" w:rsidRDefault="00E65764">
      <w:pPr>
        <w:pStyle w:val="BodyText"/>
        <w:spacing w:line="360" w:lineRule="auto"/>
        <w:ind w:left="115" w:right="108"/>
        <w:rPr>
          <w:sz w:val="32"/>
        </w:rPr>
      </w:pPr>
      <w:r>
        <w:t>5.2 billion euros have been spent in 2017 by the regional gross budgets for the cost of 'accommo</w:t>
      </w:r>
      <w:r>
        <w:t xml:space="preserve">dation </w:t>
      </w:r>
      <w:r>
        <w:rPr>
          <w:spacing w:val="-3"/>
        </w:rPr>
        <w:t>help'</w:t>
      </w:r>
      <w:hyperlink w:anchor="_bookmark42" w:history="1">
        <w:r>
          <w:rPr>
            <w:rStyle w:val="Hyperlink"/>
            <w:spacing w:val="-3"/>
            <w:vertAlign w:val="superscript"/>
          </w:rPr>
          <w:t>43</w:t>
        </w:r>
      </w:hyperlink>
      <w:r>
        <w:rPr>
          <w:spacing w:val="-3"/>
        </w:rPr>
        <w:t xml:space="preserve"> </w:t>
      </w:r>
      <w:r>
        <w:t xml:space="preserve">(including only the cost of maintaining but not the investment in new buildings). Apart from the regional authorities there are four other financing institutions for </w:t>
      </w:r>
      <w:r>
        <w:lastRenderedPageBreak/>
        <w:t>these costs: State, Social Security, Nation</w:t>
      </w:r>
      <w:r>
        <w:t>al Fund for Autonomy and Association for the professional integration of disabled persons</w:t>
      </w:r>
      <w:hyperlink w:anchor="_bookmark43" w:history="1">
        <w:r>
          <w:rPr>
            <w:rStyle w:val="Hyperlink"/>
            <w:vertAlign w:val="superscript"/>
          </w:rPr>
          <w:t>44</w:t>
        </w:r>
      </w:hyperlink>
      <w:r>
        <w:t>. The total annual budget spent on institutions is thus difficult to calculate, as none of those instances publish complete statistic</w:t>
      </w:r>
      <w:r>
        <w:t>s of their spending. As the regional funding represents usually half of the total spend</w:t>
      </w:r>
      <w:hyperlink w:anchor="_bookmark44" w:history="1">
        <w:r>
          <w:rPr>
            <w:rStyle w:val="Hyperlink"/>
            <w:vertAlign w:val="superscript"/>
          </w:rPr>
          <w:t>45</w:t>
        </w:r>
      </w:hyperlink>
      <w:r>
        <w:t>, there are grounds to say that the annual budget surpasses 10 billion euros. From the mentioned 5.2 billion, around 5.13 was allocated</w:t>
      </w:r>
      <w:r>
        <w:t xml:space="preserve"> to segregated settings, leaving the remaining 0.07 – to support persons living in the community</w:t>
      </w:r>
      <w:hyperlink w:anchor="_bookmark45" w:history="1">
        <w:r>
          <w:rPr>
            <w:rStyle w:val="Hyperlink"/>
            <w:vertAlign w:val="superscript"/>
          </w:rPr>
          <w:t>46</w:t>
        </w:r>
      </w:hyperlink>
      <w:r>
        <w:t>, the annual amount allocated per person varies between 3000 – 8000€</w:t>
      </w:r>
      <w:hyperlink w:anchor="_bookmark46" w:history="1">
        <w:r>
          <w:rPr>
            <w:rStyle w:val="Hyperlink"/>
            <w:vertAlign w:val="superscript"/>
          </w:rPr>
          <w:t>47</w:t>
        </w:r>
      </w:hyperlink>
      <w:r>
        <w:t>. Such scarcity excludes</w:t>
      </w:r>
      <w:r>
        <w:t xml:space="preserve"> persons with complex needs from these</w:t>
      </w:r>
      <w:r>
        <w:rPr>
          <w:spacing w:val="-4"/>
        </w:rPr>
        <w:t xml:space="preserve"> </w:t>
      </w:r>
      <w:r>
        <w:t>projects.</w:t>
      </w:r>
    </w:p>
    <w:p w:rsidR="00000000" w:rsidRDefault="00E65764">
      <w:pPr>
        <w:pStyle w:val="BodyText"/>
        <w:spacing w:before="5"/>
        <w:rPr>
          <w:sz w:val="32"/>
        </w:rPr>
      </w:pPr>
    </w:p>
    <w:p w:rsidR="00000000" w:rsidRDefault="00E65764">
      <w:pPr>
        <w:pStyle w:val="BodyText"/>
        <w:spacing w:line="360" w:lineRule="auto"/>
        <w:ind w:left="115" w:right="63" w:firstLine="763"/>
      </w:pPr>
      <w:r>
        <w:t>Segregated settings are a very important part of the French economy, generating hundreds of thousands of workplaces; the national press presents future institutions for disabled persons foremost as the sour</w:t>
      </w:r>
      <w:r>
        <w:t>ce of jobs for non-disabled. One example is the article in '</w:t>
      </w:r>
      <w:r>
        <w:rPr>
          <w:i/>
        </w:rPr>
        <w:t>Les Echos</w:t>
      </w:r>
      <w:r>
        <w:t>' which mentions, in the subtitle of</w:t>
      </w:r>
    </w:p>
    <w:p w:rsidR="00000000" w:rsidRDefault="00E65764">
      <w:pPr>
        <w:pStyle w:val="BodyText"/>
        <w:spacing w:line="360" w:lineRule="auto"/>
        <w:ind w:left="115" w:right="63" w:firstLine="763"/>
      </w:pPr>
    </w:p>
    <w:p w:rsidR="00000000" w:rsidRDefault="00E65764">
      <w:pPr>
        <w:pStyle w:val="BodyText"/>
        <w:spacing w:line="360" w:lineRule="auto"/>
        <w:ind w:left="115" w:right="63" w:firstLine="763"/>
      </w:pPr>
    </w:p>
    <w:p w:rsidR="00000000" w:rsidRDefault="00E65764">
      <w:pPr>
        <w:pStyle w:val="BodyText"/>
        <w:rPr>
          <w:sz w:val="18"/>
          <w:szCs w:val="18"/>
        </w:rPr>
      </w:pPr>
    </w:p>
    <w:p w:rsidR="00000000" w:rsidRDefault="00E65764">
      <w:pPr>
        <w:pStyle w:val="ListParagraph"/>
        <w:numPr>
          <w:ilvl w:val="0"/>
          <w:numId w:val="3"/>
        </w:numPr>
        <w:tabs>
          <w:tab w:val="left" w:pos="500"/>
        </w:tabs>
        <w:spacing w:before="20"/>
        <w:ind w:left="500" w:hanging="385"/>
        <w:rPr>
          <w:sz w:val="18"/>
          <w:szCs w:val="18"/>
        </w:rPr>
      </w:pPr>
      <w:bookmarkStart w:id="55" w:name="_bookmark42"/>
      <w:bookmarkEnd w:id="55"/>
      <w:r>
        <w:rPr>
          <w:sz w:val="18"/>
          <w:szCs w:val="18"/>
        </w:rPr>
        <w:t xml:space="preserve">Ministère des Solidarités et de santé </w:t>
      </w:r>
      <w:r>
        <w:rPr>
          <w:i/>
          <w:sz w:val="18"/>
          <w:szCs w:val="18"/>
        </w:rPr>
        <w:t>L’aide sociale départementale aux personnes</w:t>
      </w:r>
      <w:r>
        <w:rPr>
          <w:i/>
          <w:spacing w:val="-5"/>
          <w:sz w:val="18"/>
          <w:szCs w:val="18"/>
        </w:rPr>
        <w:t xml:space="preserve"> </w:t>
      </w:r>
      <w:r>
        <w:rPr>
          <w:i/>
          <w:sz w:val="18"/>
          <w:szCs w:val="18"/>
        </w:rPr>
        <w:t>handicapées</w:t>
      </w:r>
    </w:p>
    <w:p w:rsidR="00000000" w:rsidRDefault="00E65764">
      <w:pPr>
        <w:ind w:left="400"/>
        <w:rPr>
          <w:i/>
          <w:sz w:val="18"/>
          <w:szCs w:val="18"/>
        </w:rPr>
      </w:pPr>
      <w:r>
        <w:rPr>
          <w:sz w:val="18"/>
          <w:szCs w:val="18"/>
        </w:rPr>
        <w:t>&lt;</w:t>
      </w:r>
      <w:hyperlink r:id="rId13" w:history="1">
        <w:r>
          <w:rPr>
            <w:rStyle w:val="Hyperlink"/>
            <w:color w:val="00007F"/>
            <w:sz w:val="18"/>
            <w:szCs w:val="18"/>
          </w:rPr>
          <w:t>https://drees.solidarites-sante.gouv.fr/IMG/pdf/20-17.pdf</w:t>
        </w:r>
      </w:hyperlink>
      <w:r>
        <w:rPr>
          <w:sz w:val="18"/>
          <w:szCs w:val="18"/>
        </w:rPr>
        <w:t>&gt;</w:t>
      </w:r>
    </w:p>
    <w:p w:rsidR="00000000" w:rsidRDefault="00E65764">
      <w:pPr>
        <w:pStyle w:val="ListParagraph"/>
        <w:numPr>
          <w:ilvl w:val="0"/>
          <w:numId w:val="3"/>
        </w:numPr>
        <w:tabs>
          <w:tab w:val="left" w:pos="450"/>
        </w:tabs>
        <w:spacing w:before="2"/>
        <w:ind w:left="450" w:hanging="335"/>
        <w:rPr>
          <w:sz w:val="18"/>
          <w:szCs w:val="18"/>
        </w:rPr>
      </w:pPr>
      <w:bookmarkStart w:id="56" w:name="_bookmark431"/>
      <w:bookmarkStart w:id="57" w:name="_bookmark43"/>
      <w:bookmarkEnd w:id="56"/>
      <w:bookmarkEnd w:id="57"/>
      <w:r>
        <w:rPr>
          <w:i/>
          <w:sz w:val="18"/>
          <w:szCs w:val="18"/>
        </w:rPr>
        <w:t xml:space="preserve">Qui finance la prise en charge du handicap et de la dépendence? Fiche thématique </w:t>
      </w:r>
      <w:r>
        <w:rPr>
          <w:sz w:val="18"/>
          <w:szCs w:val="18"/>
        </w:rPr>
        <w:t>(17 June</w:t>
      </w:r>
      <w:r>
        <w:rPr>
          <w:spacing w:val="-5"/>
          <w:sz w:val="18"/>
          <w:szCs w:val="18"/>
        </w:rPr>
        <w:t xml:space="preserve"> </w:t>
      </w:r>
      <w:r>
        <w:rPr>
          <w:sz w:val="18"/>
          <w:szCs w:val="18"/>
        </w:rPr>
        <w:t>2016)</w:t>
      </w:r>
    </w:p>
    <w:p w:rsidR="00000000" w:rsidRDefault="00E65764">
      <w:pPr>
        <w:ind w:left="400"/>
        <w:rPr>
          <w:color w:val="101010"/>
          <w:sz w:val="18"/>
          <w:szCs w:val="18"/>
        </w:rPr>
      </w:pPr>
      <w:r>
        <w:rPr>
          <w:sz w:val="18"/>
          <w:szCs w:val="18"/>
        </w:rPr>
        <w:t>&lt;</w:t>
      </w:r>
      <w:hyperlink r:id="rId14" w:history="1">
        <w:r>
          <w:rPr>
            <w:rStyle w:val="Hyperlink"/>
            <w:color w:val="00007F"/>
            <w:sz w:val="18"/>
            <w:szCs w:val="18"/>
            <w:u w:color="000000"/>
          </w:rPr>
          <w:t>https://www.vie-publique.fr/fiches/262485-qui-finance-la-prise-en-charge-du-handicap-et-de-la-dependance</w:t>
        </w:r>
      </w:hyperlink>
      <w:r>
        <w:rPr>
          <w:sz w:val="18"/>
          <w:szCs w:val="18"/>
        </w:rPr>
        <w:t>&gt;</w:t>
      </w:r>
    </w:p>
    <w:p w:rsidR="00000000" w:rsidRDefault="00E65764">
      <w:pPr>
        <w:pStyle w:val="ListParagraph"/>
        <w:numPr>
          <w:ilvl w:val="0"/>
          <w:numId w:val="3"/>
        </w:numPr>
        <w:tabs>
          <w:tab w:val="left" w:pos="500"/>
        </w:tabs>
        <w:spacing w:before="2"/>
        <w:ind w:left="500" w:hanging="385"/>
        <w:rPr>
          <w:sz w:val="18"/>
          <w:szCs w:val="18"/>
        </w:rPr>
      </w:pPr>
      <w:bookmarkStart w:id="58" w:name="_bookmark441"/>
      <w:bookmarkStart w:id="59" w:name="_bookmark44"/>
      <w:bookmarkEnd w:id="58"/>
      <w:bookmarkEnd w:id="59"/>
      <w:r>
        <w:rPr>
          <w:color w:val="101010"/>
          <w:sz w:val="18"/>
          <w:szCs w:val="18"/>
        </w:rPr>
        <w:t xml:space="preserve">Alain Piffaretti </w:t>
      </w:r>
      <w:r>
        <w:rPr>
          <w:i/>
          <w:color w:val="101010"/>
          <w:sz w:val="18"/>
          <w:szCs w:val="18"/>
        </w:rPr>
        <w:t>'</w:t>
      </w:r>
      <w:r>
        <w:rPr>
          <w:color w:val="101010"/>
          <w:sz w:val="18"/>
          <w:szCs w:val="18"/>
        </w:rPr>
        <w:t xml:space="preserve">Les Mureaux : une plate-forme innovante pour adultes autistes' </w:t>
      </w:r>
      <w:r>
        <w:rPr>
          <w:i/>
          <w:color w:val="101010"/>
          <w:sz w:val="18"/>
          <w:szCs w:val="18"/>
        </w:rPr>
        <w:t>Les Echos</w:t>
      </w:r>
      <w:r>
        <w:rPr>
          <w:color w:val="101010"/>
          <w:sz w:val="18"/>
          <w:szCs w:val="18"/>
        </w:rPr>
        <w:t>(12 Novembre</w:t>
      </w:r>
      <w:r>
        <w:rPr>
          <w:color w:val="101010"/>
          <w:spacing w:val="-17"/>
          <w:sz w:val="18"/>
          <w:szCs w:val="18"/>
        </w:rPr>
        <w:t xml:space="preserve"> </w:t>
      </w:r>
      <w:r>
        <w:rPr>
          <w:color w:val="101010"/>
          <w:sz w:val="18"/>
          <w:szCs w:val="18"/>
        </w:rPr>
        <w:t>2019</w:t>
      </w:r>
      <w:r>
        <w:rPr>
          <w:color w:val="101010"/>
          <w:sz w:val="18"/>
          <w:szCs w:val="18"/>
        </w:rPr>
        <w:t>)</w:t>
      </w:r>
    </w:p>
    <w:p w:rsidR="00000000" w:rsidRDefault="00E65764">
      <w:pPr>
        <w:pStyle w:val="ListParagraph"/>
        <w:numPr>
          <w:ilvl w:val="0"/>
          <w:numId w:val="3"/>
        </w:numPr>
        <w:tabs>
          <w:tab w:val="left" w:pos="500"/>
        </w:tabs>
        <w:ind w:left="500" w:hanging="385"/>
        <w:rPr>
          <w:sz w:val="18"/>
          <w:szCs w:val="18"/>
        </w:rPr>
      </w:pPr>
      <w:bookmarkStart w:id="60" w:name="_bookmark45"/>
      <w:bookmarkEnd w:id="60"/>
      <w:r>
        <w:rPr>
          <w:sz w:val="18"/>
          <w:szCs w:val="18"/>
        </w:rPr>
        <w:t>Ministère des Solidarités et de santé (n 103)</w:t>
      </w:r>
      <w:r>
        <w:rPr>
          <w:spacing w:val="-3"/>
          <w:sz w:val="18"/>
          <w:szCs w:val="18"/>
        </w:rPr>
        <w:t xml:space="preserve"> </w:t>
      </w:r>
      <w:r>
        <w:rPr>
          <w:sz w:val="18"/>
          <w:szCs w:val="18"/>
        </w:rPr>
        <w:t>126</w:t>
      </w:r>
    </w:p>
    <w:p w:rsidR="00000000" w:rsidRDefault="00E65764">
      <w:pPr>
        <w:pStyle w:val="ListParagraph"/>
        <w:numPr>
          <w:ilvl w:val="0"/>
          <w:numId w:val="3"/>
        </w:numPr>
        <w:tabs>
          <w:tab w:val="left" w:pos="500"/>
        </w:tabs>
        <w:spacing w:before="2"/>
        <w:ind w:right="571"/>
        <w:sectPr w:rsidR="00000000">
          <w:pgSz w:w="11906" w:h="16838"/>
          <w:pgMar w:top="1060" w:right="1020" w:bottom="280" w:left="1020" w:header="720" w:footer="720" w:gutter="0"/>
          <w:cols w:space="720"/>
          <w:docGrid w:linePitch="240" w:charSpace="-2049"/>
        </w:sectPr>
      </w:pPr>
      <w:r>
        <w:rPr>
          <w:sz w:val="18"/>
          <w:szCs w:val="18"/>
        </w:rPr>
        <w:tab/>
      </w:r>
      <w:bookmarkStart w:id="61" w:name="_bookmark461"/>
      <w:bookmarkStart w:id="62" w:name="_bookmark46"/>
      <w:bookmarkEnd w:id="61"/>
      <w:bookmarkEnd w:id="62"/>
      <w:r>
        <w:rPr>
          <w:i/>
          <w:sz w:val="18"/>
          <w:szCs w:val="18"/>
        </w:rPr>
        <w:t xml:space="preserve">Les propositions du CNH </w:t>
      </w:r>
      <w:r>
        <w:rPr>
          <w:sz w:val="18"/>
          <w:szCs w:val="18"/>
        </w:rPr>
        <w:t>(11 February 2020) &lt;</w:t>
      </w:r>
      <w:hyperlink r:id="rId15" w:history="1">
        <w:r>
          <w:rPr>
            <w:rStyle w:val="Hyperlink"/>
            <w:color w:val="00007F"/>
            <w:sz w:val="18"/>
            <w:szCs w:val="18"/>
            <w:u w:color="000000"/>
          </w:rPr>
          <w:t>https://handicap.gouv.fr/le-secretariat-d-etat/acteurs/comite-</w:t>
        </w:r>
      </w:hyperlink>
      <w:hyperlink r:id="rId16" w:history="1">
        <w:r>
          <w:rPr>
            <w:rStyle w:val="Hyperlink"/>
            <w:color w:val="00007F"/>
            <w:sz w:val="18"/>
            <w:szCs w:val="18"/>
            <w:u w:color="000000"/>
          </w:rPr>
          <w:t xml:space="preserve"> interministeriel-du-handicap</w:t>
        </w:r>
      </w:hyperlink>
      <w:r>
        <w:rPr>
          <w:color w:val="00007F"/>
          <w:sz w:val="18"/>
          <w:szCs w:val="18"/>
          <w:u w:val="single" w:color="000000"/>
        </w:rPr>
        <w:t>-</w:t>
      </w:r>
      <w:r>
        <w:rPr>
          <w:color w:val="00007F"/>
          <w:spacing w:val="-18"/>
          <w:sz w:val="18"/>
          <w:szCs w:val="18"/>
          <w:u w:val="single" w:color="000000"/>
        </w:rPr>
        <w:t xml:space="preserve"> </w:t>
      </w:r>
      <w:hyperlink r:id="rId17" w:history="1">
        <w:r>
          <w:rPr>
            <w:rStyle w:val="Hyperlink"/>
            <w:color w:val="00007F"/>
            <w:sz w:val="18"/>
            <w:szCs w:val="18"/>
            <w:u w:color="000000"/>
          </w:rPr>
          <w:t>cih/la-conference-nationale-du-handicap/article/les-propositions-de-la-cnh-le-11-</w:t>
        </w:r>
      </w:hyperlink>
      <w:hyperlink r:id="rId18" w:history="1">
        <w:r>
          <w:rPr>
            <w:rStyle w:val="Hyperlink"/>
            <w:color w:val="00007F"/>
            <w:sz w:val="18"/>
            <w:szCs w:val="18"/>
            <w:u w:color="000000"/>
          </w:rPr>
          <w:t xml:space="preserve"> fevrier-202</w:t>
        </w:r>
      </w:hyperlink>
      <w:r>
        <w:rPr>
          <w:color w:val="00007F"/>
          <w:sz w:val="18"/>
          <w:szCs w:val="18"/>
          <w:u w:val="single" w:color="000000"/>
        </w:rPr>
        <w:t>0</w:t>
      </w:r>
      <w:r>
        <w:rPr>
          <w:color w:val="00007F"/>
          <w:sz w:val="18"/>
          <w:szCs w:val="18"/>
        </w:rPr>
        <w:t>&gt;</w:t>
      </w:r>
    </w:p>
    <w:p w:rsidR="00000000" w:rsidRDefault="00E65764">
      <w:pPr>
        <w:pStyle w:val="BodyText"/>
        <w:spacing w:before="64" w:line="360" w:lineRule="auto"/>
        <w:ind w:left="115" w:right="151"/>
        <w:rPr>
          <w:sz w:val="32"/>
        </w:rPr>
      </w:pPr>
      <w:r>
        <w:lastRenderedPageBreak/>
        <w:t>the article, the 250 jobs which will be created on the 'innovative platform for autistic adults' – huge institution for more than 150 persons set to open in 2021</w:t>
      </w:r>
      <w:hyperlink w:anchor="_bookmark47" w:history="1">
        <w:r>
          <w:rPr>
            <w:rStyle w:val="Hyperlink"/>
            <w:vertAlign w:val="superscript"/>
          </w:rPr>
          <w:t>48</w:t>
        </w:r>
      </w:hyperlink>
      <w:r>
        <w:t>. Its opening is justified, according to the article, by the aim 'to avoid the departure [of disabled persons] in Belgium'. In reality, the number of French persons in Belgian segregated settings, instead of decreasing, grows : their number passed fro</w:t>
      </w:r>
      <w:r>
        <w:t>m 1575 in 2005</w:t>
      </w:r>
      <w:hyperlink w:anchor="_bookmark48" w:history="1">
        <w:r>
          <w:rPr>
            <w:rStyle w:val="Hyperlink"/>
            <w:vertAlign w:val="superscript"/>
          </w:rPr>
          <w:t>49</w:t>
        </w:r>
      </w:hyperlink>
      <w:r>
        <w:t>, to 7892 in 2018</w:t>
      </w:r>
      <w:hyperlink w:anchor="_bookmark49" w:history="1">
        <w:r>
          <w:rPr>
            <w:rStyle w:val="Hyperlink"/>
            <w:vertAlign w:val="superscript"/>
          </w:rPr>
          <w:t>50</w:t>
        </w:r>
      </w:hyperlink>
      <w:r>
        <w:t>. On the same period the number of places in the segregated settings doubled in France</w:t>
      </w:r>
      <w:hyperlink w:anchor="_bookmark50" w:history="1">
        <w:r>
          <w:rPr>
            <w:rStyle w:val="Hyperlink"/>
            <w:vertAlign w:val="superscript"/>
          </w:rPr>
          <w:t>51</w:t>
        </w:r>
      </w:hyperlink>
      <w:r>
        <w:t>. In December 2018 there was, accordi</w:t>
      </w:r>
      <w:r>
        <w:t>ng to official statistics, about 21 741 residential services across the State with 877 146 places for older persons and 494 000 for persons with disabilities.</w:t>
      </w:r>
      <w:hyperlink w:anchor="_bookmark51" w:history="1">
        <w:r>
          <w:rPr>
            <w:rStyle w:val="Hyperlink"/>
            <w:vertAlign w:val="superscript"/>
          </w:rPr>
          <w:t>52</w:t>
        </w:r>
      </w:hyperlink>
    </w:p>
    <w:p w:rsidR="00000000" w:rsidRDefault="00E65764">
      <w:pPr>
        <w:pStyle w:val="BodyText"/>
        <w:spacing w:before="8"/>
        <w:rPr>
          <w:sz w:val="32"/>
        </w:rPr>
      </w:pPr>
    </w:p>
    <w:p w:rsidR="00000000" w:rsidRDefault="00E65764">
      <w:pPr>
        <w:pStyle w:val="BodyText"/>
        <w:spacing w:line="360" w:lineRule="auto"/>
        <w:ind w:left="115" w:right="118" w:firstLine="710"/>
        <w:rPr>
          <w:sz w:val="32"/>
        </w:rPr>
      </w:pPr>
      <w:r>
        <w:t>Most institutions in France are run by the associations (</w:t>
      </w:r>
      <w:r>
        <w:rPr>
          <w:i/>
        </w:rPr>
        <w:t>assoc</w:t>
      </w:r>
      <w:r>
        <w:rPr>
          <w:i/>
        </w:rPr>
        <w:t>iation-gestionnaire</w:t>
      </w:r>
      <w:r>
        <w:t>s), such as UNAPEI, which also keep a majority of seats in the influential National Advisory Commission of Persons with Disabilities (</w:t>
      </w:r>
      <w:r>
        <w:rPr>
          <w:i/>
        </w:rPr>
        <w:t>CNCPH</w:t>
      </w:r>
      <w:r>
        <w:t>). They provide, or are the umbrellas for the associations providing the professional guardianship</w:t>
      </w:r>
      <w:r>
        <w:t xml:space="preserve"> to 'protected' persons and children in care</w:t>
      </w:r>
      <w:hyperlink w:anchor="_bookmark52" w:history="1">
        <w:r>
          <w:rPr>
            <w:rStyle w:val="Hyperlink"/>
            <w:vertAlign w:val="superscript"/>
          </w:rPr>
          <w:t>53</w:t>
        </w:r>
      </w:hyperlink>
      <w:r>
        <w:t>. Having a large monopoly over institutions management</w:t>
      </w:r>
      <w:hyperlink w:anchor="_bookmark53" w:history="1">
        <w:r>
          <w:rPr>
            <w:rStyle w:val="Hyperlink"/>
            <w:vertAlign w:val="superscript"/>
          </w:rPr>
          <w:t>54</w:t>
        </w:r>
        <w:r>
          <w:rPr>
            <w:rStyle w:val="Hyperlink"/>
          </w:rPr>
          <w:t xml:space="preserve"> </w:t>
        </w:r>
      </w:hyperlink>
      <w:r>
        <w:t>and guardianship service</w:t>
      </w:r>
      <w:hyperlink w:anchor="_bookmark54" w:history="1">
        <w:r>
          <w:rPr>
            <w:rStyle w:val="Hyperlink"/>
            <w:vertAlign w:val="superscript"/>
          </w:rPr>
          <w:t>55</w:t>
        </w:r>
      </w:hyperlink>
      <w:r>
        <w:t xml:space="preserve">, those associations influence </w:t>
      </w:r>
      <w:r>
        <w:t>the general approach in the domain. For instance, UNAPEI provides the training courses with certification for future professional guardians. In the most recent detailed program for the course, there is a new module: 'Support for self-determination in an in</w:t>
      </w:r>
      <w:r>
        <w:t>stitution'</w:t>
      </w:r>
      <w:hyperlink w:anchor="_bookmark55" w:history="1">
        <w:r>
          <w:rPr>
            <w:rStyle w:val="Hyperlink"/>
            <w:vertAlign w:val="superscript"/>
          </w:rPr>
          <w:t>56</w:t>
        </w:r>
      </w:hyperlink>
      <w:r>
        <w:t>. Such apparently absurd assertion reflects, however, the paradigm promoted by UNAPEI which tries to square the imposed by international engagements deinstitutionalization with the continuance of institutional bu</w:t>
      </w:r>
      <w:r>
        <w:t>siness. UNAPEI tries to convince that in France, those engagements can be understood differently :</w:t>
      </w:r>
    </w:p>
    <w:p w:rsidR="00000000" w:rsidRDefault="00E65764">
      <w:pPr>
        <w:pStyle w:val="BodyText"/>
        <w:spacing w:before="6"/>
        <w:rPr>
          <w:sz w:val="32"/>
        </w:rPr>
      </w:pPr>
    </w:p>
    <w:p w:rsidR="00000000" w:rsidRDefault="00E65764">
      <w:pPr>
        <w:spacing w:line="360" w:lineRule="auto"/>
        <w:ind w:left="826" w:right="558"/>
      </w:pPr>
      <w:r>
        <w:lastRenderedPageBreak/>
        <w:t>'</w:t>
      </w:r>
      <w:r>
        <w:rPr>
          <w:i/>
        </w:rPr>
        <w:t xml:space="preserve">The concept of deinstitutionalization may have meant in some countries, or in the minds of some </w:t>
      </w:r>
      <w:r>
        <w:t>(sic!)</w:t>
      </w:r>
      <w:r>
        <w:rPr>
          <w:i/>
        </w:rPr>
        <w:t>, the closure of all institutions accommodating perso</w:t>
      </w:r>
      <w:r>
        <w:rPr>
          <w:i/>
        </w:rPr>
        <w:t xml:space="preserve">ns with disabilities . </w:t>
      </w:r>
      <w:r>
        <w:rPr>
          <w:i/>
          <w:u w:val="single"/>
        </w:rPr>
        <w:t>Such an</w:t>
      </w:r>
      <w:r>
        <w:rPr>
          <w:i/>
        </w:rPr>
        <w:t xml:space="preserve"> </w:t>
      </w:r>
      <w:r>
        <w:rPr>
          <w:i/>
          <w:u w:val="single"/>
        </w:rPr>
        <w:t>understanding cannot be justified in view of the history of disability policy in France</w:t>
      </w:r>
      <w:r>
        <w:rPr>
          <w:i/>
        </w:rPr>
        <w:t>, the way</w:t>
      </w:r>
      <w:r>
        <w:rPr>
          <w:i/>
          <w:spacing w:val="-28"/>
        </w:rPr>
        <w:t xml:space="preserve"> </w:t>
      </w:r>
      <w:r>
        <w:rPr>
          <w:i/>
        </w:rPr>
        <w:t>in which institutions accommodate and support persons with disabilities and the reality of the needs and expectations of persons</w:t>
      </w:r>
      <w:r>
        <w:rPr>
          <w:i/>
        </w:rPr>
        <w:t xml:space="preserve"> and their families</w:t>
      </w:r>
      <w:r>
        <w:t>'</w:t>
      </w:r>
      <w:hyperlink w:anchor="_bookmark56" w:history="1">
        <w:r>
          <w:rPr>
            <w:rStyle w:val="Hyperlink"/>
            <w:vertAlign w:val="superscript"/>
          </w:rPr>
          <w:t>57</w:t>
        </w:r>
      </w:hyperlink>
      <w:r>
        <w:t>.</w:t>
      </w:r>
    </w:p>
    <w:p w:rsidR="00000000" w:rsidRDefault="00E65764">
      <w:pPr>
        <w:spacing w:line="355" w:lineRule="auto"/>
        <w:ind w:left="826" w:right="174"/>
      </w:pPr>
    </w:p>
    <w:p w:rsidR="00000000" w:rsidRDefault="00E65764">
      <w:pPr>
        <w:pStyle w:val="BodyText"/>
        <w:rPr>
          <w:sz w:val="20"/>
        </w:rPr>
      </w:pPr>
    </w:p>
    <w:p w:rsidR="00000000" w:rsidRDefault="00E65764">
      <w:pPr>
        <w:pStyle w:val="BodyText"/>
        <w:spacing w:before="4"/>
        <w:rPr>
          <w:sz w:val="18"/>
          <w:szCs w:val="18"/>
        </w:rPr>
      </w:pPr>
    </w:p>
    <w:p w:rsidR="00000000" w:rsidRDefault="00E65764">
      <w:pPr>
        <w:pStyle w:val="ListParagraph"/>
        <w:numPr>
          <w:ilvl w:val="0"/>
          <w:numId w:val="3"/>
        </w:numPr>
        <w:tabs>
          <w:tab w:val="left" w:pos="500"/>
        </w:tabs>
        <w:spacing w:before="20" w:line="230" w:lineRule="exact"/>
        <w:ind w:left="500" w:hanging="385"/>
        <w:rPr>
          <w:sz w:val="18"/>
          <w:szCs w:val="18"/>
        </w:rPr>
      </w:pPr>
      <w:bookmarkStart w:id="63" w:name="_bookmark471"/>
      <w:bookmarkStart w:id="64" w:name="_bookmark47"/>
      <w:bookmarkEnd w:id="63"/>
      <w:bookmarkEnd w:id="64"/>
      <w:r>
        <w:rPr>
          <w:color w:val="101010"/>
          <w:sz w:val="18"/>
          <w:szCs w:val="18"/>
        </w:rPr>
        <w:t xml:space="preserve">Alain Piffaretti </w:t>
      </w:r>
      <w:r>
        <w:rPr>
          <w:i/>
          <w:color w:val="101010"/>
          <w:sz w:val="18"/>
          <w:szCs w:val="18"/>
        </w:rPr>
        <w:t>'</w:t>
      </w:r>
      <w:r>
        <w:rPr>
          <w:color w:val="101010"/>
          <w:sz w:val="18"/>
          <w:szCs w:val="18"/>
        </w:rPr>
        <w:t xml:space="preserve">Les Mureaux : une plate-forme innovante pour adultes autistes' </w:t>
      </w:r>
      <w:r>
        <w:rPr>
          <w:i/>
          <w:color w:val="101010"/>
          <w:sz w:val="18"/>
          <w:szCs w:val="18"/>
        </w:rPr>
        <w:t>Les Echos</w:t>
      </w:r>
      <w:r>
        <w:rPr>
          <w:color w:val="101010"/>
          <w:sz w:val="18"/>
          <w:szCs w:val="18"/>
        </w:rPr>
        <w:t>(12 Novembre</w:t>
      </w:r>
      <w:r>
        <w:rPr>
          <w:color w:val="101010"/>
          <w:spacing w:val="-17"/>
          <w:sz w:val="18"/>
          <w:szCs w:val="18"/>
        </w:rPr>
        <w:t xml:space="preserve"> </w:t>
      </w:r>
      <w:r>
        <w:rPr>
          <w:color w:val="101010"/>
          <w:sz w:val="18"/>
          <w:szCs w:val="18"/>
        </w:rPr>
        <w:t>2019)</w:t>
      </w:r>
    </w:p>
    <w:p w:rsidR="00000000" w:rsidRDefault="00E65764">
      <w:pPr>
        <w:pStyle w:val="ListParagraph"/>
        <w:numPr>
          <w:ilvl w:val="0"/>
          <w:numId w:val="3"/>
        </w:numPr>
        <w:tabs>
          <w:tab w:val="left" w:pos="549"/>
          <w:tab w:val="left" w:pos="550"/>
        </w:tabs>
        <w:ind w:right="177"/>
        <w:rPr>
          <w:sz w:val="18"/>
          <w:szCs w:val="18"/>
        </w:rPr>
      </w:pPr>
      <w:r>
        <w:rPr>
          <w:sz w:val="18"/>
          <w:szCs w:val="18"/>
        </w:rPr>
        <w:tab/>
      </w:r>
      <w:bookmarkStart w:id="65" w:name="_bookmark481"/>
      <w:bookmarkStart w:id="66" w:name="_bookmark48"/>
      <w:bookmarkEnd w:id="65"/>
      <w:bookmarkEnd w:id="66"/>
      <w:r>
        <w:rPr>
          <w:sz w:val="18"/>
          <w:szCs w:val="18"/>
        </w:rPr>
        <w:t xml:space="preserve">Cécile Gallez </w:t>
      </w:r>
      <w:r>
        <w:rPr>
          <w:i/>
          <w:sz w:val="18"/>
          <w:szCs w:val="18"/>
        </w:rPr>
        <w:t xml:space="preserve">Rapport sur l'hebergement des personnes agees et handicapees en Belgique </w:t>
      </w:r>
      <w:r>
        <w:rPr>
          <w:sz w:val="18"/>
          <w:szCs w:val="18"/>
        </w:rPr>
        <w:t>(February 2009) 7 (</w:t>
      </w:r>
      <w:r>
        <w:rPr>
          <w:i/>
          <w:sz w:val="18"/>
          <w:szCs w:val="18"/>
        </w:rPr>
        <w:t>&lt;</w:t>
      </w:r>
      <w:hyperlink r:id="rId19" w:history="1">
        <w:r>
          <w:rPr>
            <w:rStyle w:val="Hyperlink"/>
            <w:color w:val="00007F"/>
            <w:sz w:val="18"/>
            <w:szCs w:val="18"/>
            <w:u w:color="000000"/>
          </w:rPr>
          <w:t>http://www.cra-rhone-alpes.org/IMG/pdf_hebergement-des-personnes-agees-et-handicapees-en-Belgique.pdf</w:t>
        </w:r>
      </w:hyperlink>
      <w:r>
        <w:rPr>
          <w:sz w:val="18"/>
          <w:szCs w:val="18"/>
        </w:rPr>
        <w:t>&gt;</w:t>
      </w:r>
    </w:p>
    <w:p w:rsidR="00000000" w:rsidRDefault="00E65764">
      <w:pPr>
        <w:pStyle w:val="ListParagraph"/>
        <w:numPr>
          <w:ilvl w:val="0"/>
          <w:numId w:val="3"/>
        </w:numPr>
        <w:tabs>
          <w:tab w:val="left" w:pos="500"/>
        </w:tabs>
        <w:ind w:left="500" w:hanging="385"/>
        <w:rPr>
          <w:sz w:val="18"/>
          <w:szCs w:val="18"/>
        </w:rPr>
      </w:pPr>
      <w:bookmarkStart w:id="67" w:name="_bookmark49"/>
      <w:bookmarkEnd w:id="67"/>
      <w:r>
        <w:rPr>
          <w:sz w:val="18"/>
          <w:szCs w:val="18"/>
        </w:rPr>
        <w:t>4ème commission</w:t>
      </w:r>
      <w:r>
        <w:rPr>
          <w:sz w:val="18"/>
          <w:szCs w:val="18"/>
        </w:rPr>
        <w:t xml:space="preserve"> mixte de l’accord franco-wallon </w:t>
      </w:r>
      <w:r>
        <w:rPr>
          <w:i/>
          <w:sz w:val="18"/>
          <w:szCs w:val="18"/>
        </w:rPr>
        <w:t xml:space="preserve">Maitrise des departs vers la Belgique </w:t>
      </w:r>
      <w:r>
        <w:rPr>
          <w:sz w:val="18"/>
          <w:szCs w:val="18"/>
        </w:rPr>
        <w:t>(16 december</w:t>
      </w:r>
      <w:r>
        <w:rPr>
          <w:spacing w:val="-15"/>
          <w:sz w:val="18"/>
          <w:szCs w:val="18"/>
        </w:rPr>
        <w:t xml:space="preserve"> </w:t>
      </w:r>
      <w:r>
        <w:rPr>
          <w:sz w:val="18"/>
          <w:szCs w:val="18"/>
        </w:rPr>
        <w:t>2019)</w:t>
      </w:r>
    </w:p>
    <w:p w:rsidR="00000000" w:rsidRDefault="00E65764">
      <w:pPr>
        <w:spacing w:before="2"/>
        <w:ind w:left="400" w:right="967"/>
        <w:rPr>
          <w:i/>
          <w:sz w:val="18"/>
          <w:szCs w:val="18"/>
        </w:rPr>
      </w:pPr>
      <w:r>
        <w:rPr>
          <w:sz w:val="18"/>
          <w:szCs w:val="18"/>
        </w:rPr>
        <w:t>&lt;</w:t>
      </w:r>
      <w:hyperlink r:id="rId20" w:history="1">
        <w:r>
          <w:rPr>
            <w:rStyle w:val="Hyperlink"/>
            <w:color w:val="00007F"/>
            <w:sz w:val="18"/>
            <w:szCs w:val="18"/>
            <w:u w:color="000000"/>
          </w:rPr>
          <w:t>https://handica</w:t>
        </w:r>
        <w:r>
          <w:rPr>
            <w:rStyle w:val="Hyperlink"/>
            <w:color w:val="00007F"/>
            <w:sz w:val="18"/>
            <w:szCs w:val="18"/>
            <w:u w:color="000000"/>
          </w:rPr>
          <w:t>p.gouv.fr/presse/communiques-de-presse/article/maitrise-des-departs-vers-la-belgique-et-</w:t>
        </w:r>
      </w:hyperlink>
      <w:r>
        <w:rPr>
          <w:color w:val="00007F"/>
          <w:sz w:val="18"/>
          <w:szCs w:val="18"/>
        </w:rPr>
        <w:t xml:space="preserve"> </w:t>
      </w:r>
      <w:hyperlink r:id="rId21" w:history="1">
        <w:r>
          <w:rPr>
            <w:rStyle w:val="Hyperlink"/>
            <w:color w:val="00007F"/>
            <w:sz w:val="18"/>
            <w:szCs w:val="18"/>
            <w:u w:color="000000"/>
          </w:rPr>
          <w:t>renforcement-de-</w:t>
        </w:r>
        <w:r>
          <w:rPr>
            <w:rStyle w:val="Hyperlink"/>
            <w:color w:val="00007F"/>
            <w:sz w:val="18"/>
            <w:szCs w:val="18"/>
            <w:u w:color="000000"/>
          </w:rPr>
          <w:t>la-qualite-de-l</w:t>
        </w:r>
      </w:hyperlink>
      <w:r>
        <w:rPr>
          <w:sz w:val="18"/>
          <w:szCs w:val="18"/>
        </w:rPr>
        <w:t>&gt;</w:t>
      </w:r>
    </w:p>
    <w:p w:rsidR="00000000" w:rsidRDefault="00E65764">
      <w:pPr>
        <w:pStyle w:val="ListParagraph"/>
        <w:numPr>
          <w:ilvl w:val="0"/>
          <w:numId w:val="3"/>
        </w:numPr>
        <w:tabs>
          <w:tab w:val="left" w:pos="500"/>
        </w:tabs>
        <w:spacing w:before="2"/>
        <w:ind w:left="500" w:hanging="385"/>
        <w:rPr>
          <w:sz w:val="18"/>
          <w:szCs w:val="18"/>
        </w:rPr>
      </w:pPr>
      <w:bookmarkStart w:id="68" w:name="_bookmark501"/>
      <w:bookmarkStart w:id="69" w:name="_bookmark50"/>
      <w:bookmarkEnd w:id="68"/>
      <w:bookmarkEnd w:id="69"/>
      <w:r>
        <w:rPr>
          <w:i/>
          <w:sz w:val="18"/>
          <w:szCs w:val="18"/>
        </w:rPr>
        <w:t>'</w:t>
      </w:r>
      <w:r>
        <w:rPr>
          <w:sz w:val="18"/>
          <w:szCs w:val="18"/>
        </w:rPr>
        <w:t xml:space="preserve">Caisse Nationale de Solidarité pour l'Autonomie (CNSA) </w:t>
      </w:r>
      <w:r>
        <w:rPr>
          <w:i/>
          <w:sz w:val="18"/>
          <w:szCs w:val="18"/>
        </w:rPr>
        <w:t xml:space="preserve">Le bilan des plans </w:t>
      </w:r>
      <w:r>
        <w:rPr>
          <w:sz w:val="18"/>
          <w:szCs w:val="18"/>
        </w:rPr>
        <w:t>(17</w:t>
      </w:r>
      <w:r>
        <w:rPr>
          <w:sz w:val="18"/>
          <w:szCs w:val="18"/>
          <w:vertAlign w:val="superscript"/>
        </w:rPr>
        <w:t>th</w:t>
      </w:r>
      <w:r>
        <w:rPr>
          <w:sz w:val="18"/>
          <w:szCs w:val="18"/>
        </w:rPr>
        <w:t xml:space="preserve"> January</w:t>
      </w:r>
      <w:r>
        <w:rPr>
          <w:spacing w:val="2"/>
          <w:sz w:val="18"/>
          <w:szCs w:val="18"/>
        </w:rPr>
        <w:t xml:space="preserve"> </w:t>
      </w:r>
      <w:r>
        <w:rPr>
          <w:sz w:val="18"/>
          <w:szCs w:val="18"/>
        </w:rPr>
        <w:t>2019)</w:t>
      </w:r>
    </w:p>
    <w:p w:rsidR="00000000" w:rsidRDefault="00E65764">
      <w:pPr>
        <w:ind w:left="400" w:right="169"/>
        <w:rPr>
          <w:sz w:val="18"/>
          <w:szCs w:val="18"/>
        </w:rPr>
      </w:pPr>
      <w:r>
        <w:rPr>
          <w:sz w:val="18"/>
          <w:szCs w:val="18"/>
        </w:rPr>
        <w:t>&lt;</w:t>
      </w:r>
      <w:hyperlink r:id="rId22" w:history="1">
        <w:r>
          <w:rPr>
            <w:rStyle w:val="Hyperlink"/>
            <w:color w:val="00007F"/>
            <w:sz w:val="18"/>
            <w:szCs w:val="18"/>
            <w:u w:color="000000"/>
          </w:rPr>
          <w:t>https://www.cnsa.fr/outils-methodes-et-territoires-organisation-de-loffre/programmation-et-creation-de-places-en-</w:t>
        </w:r>
      </w:hyperlink>
      <w:r>
        <w:rPr>
          <w:color w:val="00007F"/>
          <w:sz w:val="18"/>
          <w:szCs w:val="18"/>
        </w:rPr>
        <w:t xml:space="preserve"> </w:t>
      </w:r>
      <w:hyperlink r:id="rId23" w:history="1">
        <w:r>
          <w:rPr>
            <w:rStyle w:val="Hyperlink"/>
            <w:color w:val="00007F"/>
            <w:sz w:val="18"/>
            <w:szCs w:val="18"/>
            <w:u w:color="000000"/>
          </w:rPr>
          <w:t>etablissement-ou-service/le-bilan-des-plans</w:t>
        </w:r>
      </w:hyperlink>
      <w:r>
        <w:rPr>
          <w:sz w:val="18"/>
          <w:szCs w:val="18"/>
        </w:rPr>
        <w:t>&gt;</w:t>
      </w:r>
    </w:p>
    <w:p w:rsidR="00000000" w:rsidRDefault="00E65764">
      <w:pPr>
        <w:pStyle w:val="ListParagraph"/>
        <w:numPr>
          <w:ilvl w:val="0"/>
          <w:numId w:val="3"/>
        </w:numPr>
        <w:tabs>
          <w:tab w:val="left" w:pos="450"/>
        </w:tabs>
        <w:spacing w:line="227" w:lineRule="exact"/>
        <w:ind w:left="450" w:hanging="335"/>
        <w:rPr>
          <w:sz w:val="18"/>
          <w:szCs w:val="18"/>
        </w:rPr>
      </w:pPr>
      <w:bookmarkStart w:id="70" w:name="_bookmark511"/>
      <w:bookmarkEnd w:id="70"/>
      <w:r>
        <w:rPr>
          <w:sz w:val="18"/>
          <w:szCs w:val="18"/>
        </w:rPr>
        <w:t>ibid</w:t>
      </w:r>
    </w:p>
    <w:p w:rsidR="00000000" w:rsidRDefault="00E65764">
      <w:pPr>
        <w:pStyle w:val="ListParagraph"/>
        <w:numPr>
          <w:ilvl w:val="0"/>
          <w:numId w:val="3"/>
        </w:numPr>
        <w:tabs>
          <w:tab w:val="left" w:pos="450"/>
        </w:tabs>
        <w:spacing w:before="2"/>
        <w:ind w:left="450" w:hanging="335"/>
        <w:rPr>
          <w:sz w:val="18"/>
          <w:szCs w:val="18"/>
        </w:rPr>
      </w:pPr>
      <w:bookmarkStart w:id="71" w:name="_bookmark52"/>
      <w:bookmarkEnd w:id="71"/>
      <w:r>
        <w:rPr>
          <w:sz w:val="18"/>
          <w:szCs w:val="18"/>
        </w:rPr>
        <w:t xml:space="preserve">UNAPEI </w:t>
      </w:r>
      <w:r>
        <w:rPr>
          <w:i/>
          <w:sz w:val="18"/>
          <w:szCs w:val="18"/>
        </w:rPr>
        <w:t>Charte pour les associations mandataires judiciaires à la protection des</w:t>
      </w:r>
      <w:r>
        <w:rPr>
          <w:i/>
          <w:spacing w:val="-10"/>
          <w:sz w:val="18"/>
          <w:szCs w:val="18"/>
        </w:rPr>
        <w:t xml:space="preserve"> </w:t>
      </w:r>
      <w:r>
        <w:rPr>
          <w:i/>
          <w:sz w:val="18"/>
          <w:szCs w:val="18"/>
        </w:rPr>
        <w:t>majeurs</w:t>
      </w:r>
    </w:p>
    <w:p w:rsidR="00000000" w:rsidRDefault="00E65764">
      <w:pPr>
        <w:ind w:left="400" w:right="2301"/>
        <w:rPr>
          <w:sz w:val="18"/>
          <w:szCs w:val="18"/>
        </w:rPr>
      </w:pPr>
      <w:r>
        <w:rPr>
          <w:sz w:val="18"/>
          <w:szCs w:val="18"/>
        </w:rPr>
        <w:t>&lt;</w:t>
      </w:r>
      <w:hyperlink r:id="rId24" w:history="1">
        <w:r>
          <w:rPr>
            <w:rStyle w:val="Hyperlink"/>
            <w:color w:val="00007F"/>
            <w:sz w:val="18"/>
            <w:szCs w:val="18"/>
            <w:u w:color="000000"/>
          </w:rPr>
          <w:t>https://www.unapei.org/wp-</w:t>
        </w:r>
      </w:hyperlink>
      <w:r>
        <w:rPr>
          <w:color w:val="00007F"/>
          <w:sz w:val="18"/>
          <w:szCs w:val="18"/>
        </w:rPr>
        <w:t xml:space="preserve"> </w:t>
      </w:r>
      <w:hyperlink r:id="rId25" w:history="1">
        <w:r>
          <w:rPr>
            <w:rStyle w:val="Hyperlink"/>
            <w:color w:val="00007F"/>
            <w:sz w:val="18"/>
            <w:szCs w:val="18"/>
            <w:u w:color="000000"/>
          </w:rPr>
          <w:t>content/uploads/2018/09/CharteAssoc</w:t>
        </w:r>
        <w:r>
          <w:rPr>
            <w:rStyle w:val="Hyperlink"/>
            <w:color w:val="00007F"/>
            <w:sz w:val="18"/>
            <w:szCs w:val="18"/>
            <w:u w:color="000000"/>
          </w:rPr>
          <w:t>iationsMadatairesJudiciairesUnapei_couleur_.pdf</w:t>
        </w:r>
      </w:hyperlink>
      <w:r>
        <w:rPr>
          <w:sz w:val="18"/>
          <w:szCs w:val="18"/>
        </w:rPr>
        <w:t>&gt;</w:t>
      </w:r>
    </w:p>
    <w:p w:rsidR="00000000" w:rsidRDefault="00E65764">
      <w:pPr>
        <w:pStyle w:val="ListParagraph"/>
        <w:numPr>
          <w:ilvl w:val="0"/>
          <w:numId w:val="3"/>
        </w:numPr>
        <w:tabs>
          <w:tab w:val="left" w:pos="450"/>
        </w:tabs>
        <w:spacing w:line="227" w:lineRule="exact"/>
        <w:ind w:left="450" w:hanging="335"/>
        <w:rPr>
          <w:sz w:val="18"/>
          <w:szCs w:val="18"/>
        </w:rPr>
      </w:pPr>
      <w:bookmarkStart w:id="72" w:name="_bookmark53"/>
      <w:bookmarkEnd w:id="72"/>
      <w:r>
        <w:rPr>
          <w:sz w:val="18"/>
          <w:szCs w:val="18"/>
        </w:rPr>
        <w:t>More than 3000 residential homes are run only by UNAPEI</w:t>
      </w:r>
      <w:r>
        <w:rPr>
          <w:spacing w:val="-16"/>
          <w:sz w:val="18"/>
          <w:szCs w:val="18"/>
        </w:rPr>
        <w:t xml:space="preserve"> </w:t>
      </w:r>
      <w:r>
        <w:rPr>
          <w:sz w:val="18"/>
          <w:szCs w:val="18"/>
        </w:rPr>
        <w:t>&lt;</w:t>
      </w:r>
      <w:hyperlink r:id="rId26" w:history="1">
        <w:r>
          <w:rPr>
            <w:rStyle w:val="Hyperlink"/>
            <w:color w:val="00007F"/>
            <w:sz w:val="18"/>
            <w:szCs w:val="18"/>
            <w:u w:color="000000"/>
          </w:rPr>
          <w:t>https://www.unapei.org/actions/qui-sommes-nous/</w:t>
        </w:r>
      </w:hyperlink>
      <w:r>
        <w:rPr>
          <w:sz w:val="18"/>
          <w:szCs w:val="18"/>
        </w:rPr>
        <w:t>&gt;</w:t>
      </w:r>
    </w:p>
    <w:p w:rsidR="00000000" w:rsidRDefault="00E65764">
      <w:pPr>
        <w:pStyle w:val="ListParagraph"/>
        <w:numPr>
          <w:ilvl w:val="0"/>
          <w:numId w:val="3"/>
        </w:numPr>
        <w:tabs>
          <w:tab w:val="left" w:pos="450"/>
        </w:tabs>
        <w:spacing w:before="3"/>
        <w:ind w:left="450" w:hanging="335"/>
        <w:rPr>
          <w:sz w:val="18"/>
          <w:szCs w:val="18"/>
        </w:rPr>
      </w:pPr>
      <w:bookmarkStart w:id="73" w:name="_bookmark54"/>
      <w:bookmarkEnd w:id="73"/>
      <w:r>
        <w:rPr>
          <w:sz w:val="18"/>
          <w:szCs w:val="18"/>
        </w:rPr>
        <w:t>ibid (86 000 measures entrusted only</w:t>
      </w:r>
      <w:r>
        <w:rPr>
          <w:sz w:val="18"/>
          <w:szCs w:val="18"/>
        </w:rPr>
        <w:t xml:space="preserve"> to UNAPEI according to the same</w:t>
      </w:r>
      <w:r>
        <w:rPr>
          <w:spacing w:val="-6"/>
          <w:sz w:val="18"/>
          <w:szCs w:val="18"/>
        </w:rPr>
        <w:t xml:space="preserve"> </w:t>
      </w:r>
      <w:r>
        <w:rPr>
          <w:sz w:val="18"/>
          <w:szCs w:val="18"/>
        </w:rPr>
        <w:t>source)</w:t>
      </w:r>
    </w:p>
    <w:p w:rsidR="00000000" w:rsidRDefault="00E65764">
      <w:pPr>
        <w:pStyle w:val="ListParagraph"/>
        <w:numPr>
          <w:ilvl w:val="0"/>
          <w:numId w:val="3"/>
        </w:numPr>
        <w:tabs>
          <w:tab w:val="left" w:pos="450"/>
        </w:tabs>
        <w:ind w:right="691"/>
        <w:rPr>
          <w:sz w:val="18"/>
          <w:szCs w:val="18"/>
        </w:rPr>
      </w:pPr>
      <w:r>
        <w:rPr>
          <w:sz w:val="18"/>
          <w:szCs w:val="18"/>
        </w:rPr>
        <w:tab/>
      </w:r>
      <w:bookmarkStart w:id="74" w:name="_bookmark55"/>
      <w:bookmarkEnd w:id="74"/>
      <w:r>
        <w:rPr>
          <w:sz w:val="18"/>
          <w:szCs w:val="18"/>
        </w:rPr>
        <w:t xml:space="preserve">UNAPEI </w:t>
      </w:r>
      <w:r>
        <w:rPr>
          <w:i/>
          <w:sz w:val="18"/>
          <w:szCs w:val="18"/>
        </w:rPr>
        <w:t>Offre de la Formation 2020</w:t>
      </w:r>
      <w:r>
        <w:rPr>
          <w:i/>
          <w:spacing w:val="-31"/>
          <w:sz w:val="18"/>
          <w:szCs w:val="18"/>
        </w:rPr>
        <w:t xml:space="preserve"> </w:t>
      </w:r>
      <w:r>
        <w:rPr>
          <w:sz w:val="18"/>
          <w:szCs w:val="18"/>
        </w:rPr>
        <w:t>&lt;</w:t>
      </w:r>
      <w:hyperlink r:id="rId27" w:history="1">
        <w:r>
          <w:rPr>
            <w:rStyle w:val="Hyperlink"/>
            <w:color w:val="00007F"/>
            <w:sz w:val="18"/>
            <w:szCs w:val="18"/>
            <w:u w:color="000000"/>
          </w:rPr>
          <w:t>http://formation.unapei.org/associations-mandataires-judiciaires-a-la-</w:t>
        </w:r>
      </w:hyperlink>
      <w:hyperlink r:id="rId28" w:history="1">
        <w:r>
          <w:rPr>
            <w:rStyle w:val="Hyperlink"/>
            <w:color w:val="00007F"/>
            <w:sz w:val="18"/>
            <w:szCs w:val="18"/>
            <w:u w:color="000000"/>
          </w:rPr>
          <w:t xml:space="preserve"> protection-des-majeurs</w:t>
        </w:r>
      </w:hyperlink>
      <w:r>
        <w:rPr>
          <w:sz w:val="18"/>
          <w:szCs w:val="18"/>
        </w:rPr>
        <w:t>&gt;</w:t>
      </w:r>
    </w:p>
    <w:p w:rsidR="00000000" w:rsidRDefault="00E65764">
      <w:pPr>
        <w:pStyle w:val="ListParagraph"/>
        <w:numPr>
          <w:ilvl w:val="0"/>
          <w:numId w:val="3"/>
        </w:numPr>
        <w:tabs>
          <w:tab w:val="left" w:pos="450"/>
        </w:tabs>
        <w:ind w:right="166"/>
        <w:sectPr w:rsidR="00000000">
          <w:pgSz w:w="11906" w:h="16838"/>
          <w:pgMar w:top="1060" w:right="1020" w:bottom="280" w:left="1020" w:header="720" w:footer="720" w:gutter="0"/>
          <w:cols w:space="720"/>
          <w:docGrid w:linePitch="240" w:charSpace="-2049"/>
        </w:sectPr>
      </w:pPr>
      <w:r>
        <w:rPr>
          <w:sz w:val="18"/>
          <w:szCs w:val="18"/>
        </w:rPr>
        <w:tab/>
      </w:r>
      <w:bookmarkStart w:id="75" w:name="_bookmark56"/>
      <w:bookmarkEnd w:id="75"/>
      <w:r>
        <w:rPr>
          <w:sz w:val="18"/>
          <w:szCs w:val="18"/>
        </w:rPr>
        <w:t xml:space="preserve">UNAPEI, </w:t>
      </w:r>
      <w:r>
        <w:rPr>
          <w:i/>
          <w:sz w:val="18"/>
          <w:szCs w:val="18"/>
        </w:rPr>
        <w:t xml:space="preserve">Pour une société inclusive, un levier :la désinstitutionnalisation, </w:t>
      </w:r>
      <w:r>
        <w:rPr>
          <w:sz w:val="18"/>
          <w:szCs w:val="18"/>
        </w:rPr>
        <w:t>preface</w:t>
      </w:r>
      <w:r>
        <w:rPr>
          <w:spacing w:val="-30"/>
          <w:sz w:val="18"/>
          <w:szCs w:val="18"/>
        </w:rPr>
        <w:t xml:space="preserve"> </w:t>
      </w:r>
      <w:r>
        <w:rPr>
          <w:i/>
          <w:sz w:val="18"/>
          <w:szCs w:val="18"/>
        </w:rPr>
        <w:t>&lt;</w:t>
      </w:r>
      <w:hyperlink r:id="rId29" w:history="1">
        <w:r>
          <w:rPr>
            <w:rStyle w:val="Hyperlink"/>
            <w:color w:val="00007F"/>
            <w:sz w:val="18"/>
            <w:szCs w:val="18"/>
            <w:u w:color="000000"/>
          </w:rPr>
          <w:t>http://inclusion-europe.eu/wp-</w:t>
        </w:r>
      </w:hyperlink>
      <w:hyperlink r:id="rId30" w:history="1">
        <w:r>
          <w:rPr>
            <w:rStyle w:val="Hyperlink"/>
            <w:color w:val="00007F"/>
            <w:sz w:val="18"/>
            <w:szCs w:val="18"/>
            <w:u w:color="000000"/>
          </w:rPr>
          <w:t xml:space="preserve"> content/uplo</w:t>
        </w:r>
        <w:r>
          <w:rPr>
            <w:rStyle w:val="Hyperlink"/>
            <w:color w:val="00007F"/>
            <w:sz w:val="18"/>
            <w:szCs w:val="18"/>
            <w:u w:color="000000"/>
          </w:rPr>
          <w:t>ads/2015/03/Unapei.Desinstitutionnalisation.Document.politique.pdf</w:t>
        </w:r>
      </w:hyperlink>
      <w:r>
        <w:rPr>
          <w:i/>
          <w:sz w:val="18"/>
          <w:szCs w:val="18"/>
        </w:rPr>
        <w:t>&gt;</w:t>
      </w:r>
    </w:p>
    <w:p w:rsidR="00000000" w:rsidRDefault="00E65764">
      <w:pPr>
        <w:pStyle w:val="BodyText"/>
        <w:spacing w:before="64" w:line="360" w:lineRule="auto"/>
        <w:ind w:left="115" w:right="63" w:firstLine="710"/>
        <w:rPr>
          <w:sz w:val="32"/>
        </w:rPr>
      </w:pPr>
      <w:r>
        <w:lastRenderedPageBreak/>
        <w:t>UNAPEI and similar associations pretend to know what the families expectations are. In reality, the families who act as guardians are often left without any alternative: the parents who d</w:t>
      </w:r>
      <w:r>
        <w:t xml:space="preserve">ecide to support their child with disability do it to expense of huge sacrifices and social exclusion. But when it becomes physically impossible with age, those parents are eventually forced to send their child to institution, as no other option exist. So </w:t>
      </w:r>
      <w:r>
        <w:t>far, no public service of the support of independent living for the persons with complex needs and cognitive disability was developed in France.</w:t>
      </w:r>
    </w:p>
    <w:p w:rsidR="00000000" w:rsidRDefault="00E65764">
      <w:pPr>
        <w:pStyle w:val="BodyText"/>
        <w:spacing w:before="9"/>
        <w:rPr>
          <w:sz w:val="32"/>
        </w:rPr>
      </w:pPr>
    </w:p>
    <w:p w:rsidR="00000000" w:rsidRDefault="00E65764">
      <w:pPr>
        <w:pStyle w:val="BodyText"/>
        <w:spacing w:before="1" w:line="360" w:lineRule="auto"/>
        <w:ind w:left="115" w:right="63" w:firstLine="710"/>
        <w:rPr>
          <w:sz w:val="32"/>
        </w:rPr>
      </w:pPr>
      <w:r>
        <w:t>The current tendency in France is, as elsewhere, that of the 'small structures' : in reality, the spaces of la</w:t>
      </w:r>
      <w:r>
        <w:t xml:space="preserve">rger institutions are simply divided in smaller units. The MAS Michel Chapuis in Lyon's region is a bright example : run by O.V.E. foundation and opened in 2018, it contains 3 'units' of 10 persons each, behind the barred doors and windows. That is called </w:t>
      </w:r>
      <w:r>
        <w:t>'inclusion' : the institution, as well as many others, has its own 'declaration' about inclusion, available to visitors. The twist of terms is a general trend and few are those in France who question what is behind the words.</w:t>
      </w:r>
    </w:p>
    <w:p w:rsidR="00000000" w:rsidRDefault="00E65764">
      <w:pPr>
        <w:pStyle w:val="BodyText"/>
        <w:spacing w:before="7"/>
        <w:rPr>
          <w:sz w:val="32"/>
        </w:rPr>
      </w:pPr>
    </w:p>
    <w:p w:rsidR="00000000" w:rsidRDefault="00E65764">
      <w:pPr>
        <w:pStyle w:val="Heading1"/>
        <w:spacing w:line="360" w:lineRule="auto"/>
        <w:rPr>
          <w:sz w:val="32"/>
        </w:rPr>
      </w:pPr>
      <w:r>
        <w:t xml:space="preserve">We strongly believe that all </w:t>
      </w:r>
      <w:r>
        <w:t>discussions about segregated settings 'improvement' are irrelevant. That model is based on the paradigm of substituted decision-making merging with a persistent ableist mentality in France. No change is possible without the radical move toward the supporte</w:t>
      </w:r>
      <w:r>
        <w:t>d decision- making model which, in current circumstances, could only be enacted 'from the top', with State's initiative and financial support.</w:t>
      </w:r>
    </w:p>
    <w:p w:rsidR="00000000" w:rsidRDefault="00E65764">
      <w:pPr>
        <w:pStyle w:val="BodyText"/>
        <w:spacing w:before="8"/>
        <w:rPr>
          <w:b/>
          <w:sz w:val="32"/>
        </w:rPr>
      </w:pPr>
    </w:p>
    <w:p w:rsidR="00000000" w:rsidRDefault="00E65764">
      <w:pPr>
        <w:pStyle w:val="BodyText"/>
        <w:ind w:left="826"/>
        <w:rPr>
          <w:sz w:val="20"/>
        </w:rPr>
      </w:pPr>
      <w:r>
        <w:rPr>
          <w:u w:val="single"/>
        </w:rPr>
        <w:t>Conclusion</w:t>
      </w:r>
    </w:p>
    <w:p w:rsidR="00000000" w:rsidRDefault="00E65764">
      <w:pPr>
        <w:pStyle w:val="BodyText"/>
        <w:rPr>
          <w:sz w:val="20"/>
        </w:rPr>
      </w:pPr>
    </w:p>
    <w:p w:rsidR="00000000" w:rsidRDefault="00E65764">
      <w:pPr>
        <w:pStyle w:val="BodyText"/>
        <w:spacing w:before="1"/>
        <w:rPr>
          <w:sz w:val="16"/>
        </w:rPr>
      </w:pPr>
    </w:p>
    <w:p w:rsidR="00000000" w:rsidRDefault="00E65764">
      <w:pPr>
        <w:pStyle w:val="BodyText"/>
        <w:spacing w:before="91" w:line="360" w:lineRule="auto"/>
        <w:ind w:left="115" w:right="63" w:firstLine="763"/>
        <w:rPr>
          <w:sz w:val="32"/>
        </w:rPr>
      </w:pPr>
      <w:r>
        <w:t>France did not undertake any step to revise its legal framework and to adopt the supported decision</w:t>
      </w:r>
      <w:r>
        <w:t>- making model. While explicitly refusing to accept the interpretation of article 12 given in the GC n1, France tries to ignore the fact that the substituted decision-making model, it sticks with, leads unavoidably to the violation of rights stated in arti</w:t>
      </w:r>
      <w:r>
        <w:t xml:space="preserve">cles 13, 14, 15, 18 and 19. No legal provision neither policy exists in France aimed at the facilitation of the persons's wishes and preferences expression. Not one judicial decision demonstrates a concern about what a person under guardianship would wish </w:t>
      </w:r>
      <w:r>
        <w:t>or prefer. France continues to violate the fundamental non-discrimination provision (from article 2) by refusing the reasonable accommodation and reducing to mere physical existence the majority of the persons who are deprived or risk to be deprived of leg</w:t>
      </w:r>
      <w:r>
        <w:t>al capacity. The substituted decision-making causes the deprivation of liberty based on disability of hundred thousands of PWD.</w:t>
      </w:r>
    </w:p>
    <w:p w:rsidR="00000000" w:rsidRDefault="00E65764">
      <w:pPr>
        <w:pStyle w:val="BodyText"/>
        <w:spacing w:before="7"/>
        <w:rPr>
          <w:sz w:val="32"/>
        </w:rPr>
      </w:pPr>
    </w:p>
    <w:p w:rsidR="00000000" w:rsidRDefault="00E65764">
      <w:pPr>
        <w:pStyle w:val="BodyText"/>
        <w:spacing w:line="360" w:lineRule="auto"/>
        <w:ind w:left="115" w:right="129" w:firstLine="710"/>
        <w:sectPr w:rsidR="00000000">
          <w:pgSz w:w="11906" w:h="16838"/>
          <w:pgMar w:top="1060" w:right="1020" w:bottom="280" w:left="1020" w:header="720" w:footer="720" w:gutter="0"/>
          <w:cols w:space="720"/>
          <w:docGrid w:linePitch="240" w:charSpace="-2049"/>
        </w:sectPr>
      </w:pPr>
      <w:r>
        <w:rPr>
          <w:i/>
        </w:rPr>
        <w:t xml:space="preserve">France disability </w:t>
      </w:r>
      <w:r>
        <w:t xml:space="preserve">highlights that the situation of the persons' with cognitive and mental impairments is extremely alarming in </w:t>
      </w:r>
      <w:r>
        <w:t>France where they are almost always subject to the 'protective' measures which expose them to the violation of rights, deprivation of liberty and torture. Their situation amounts to the mere 'exception' from the common rights frameworks : those persons are</w:t>
      </w:r>
      <w:r>
        <w:t xml:space="preserve"> not considered as right agents and, given the subjective right like liberty and security can not be exercised by the surrogate agent, they are simply</w:t>
      </w:r>
    </w:p>
    <w:p w:rsidR="00000000" w:rsidRDefault="00E65764">
      <w:pPr>
        <w:pStyle w:val="BodyText"/>
        <w:spacing w:before="64" w:line="360" w:lineRule="auto"/>
        <w:ind w:left="115" w:right="63"/>
        <w:rPr>
          <w:sz w:val="32"/>
        </w:rPr>
      </w:pPr>
      <w:r>
        <w:lastRenderedPageBreak/>
        <w:t>deprived of those rights. The situation of this particular group must be considered with special scrutiny</w:t>
      </w:r>
      <w:r>
        <w:t xml:space="preserve"> and must not be forgotten in the general fog the State tries to create about the situation of the PWD refusing to discuss the situation of that particular group. The real risk exists that France will continue to adopt the amendments playing a role of Pote</w:t>
      </w:r>
      <w:r>
        <w:t>mkin village which will not bring any real change but contribute to the invisibility of the issue.</w:t>
      </w:r>
    </w:p>
    <w:p w:rsidR="00000000" w:rsidRDefault="00E65764">
      <w:pPr>
        <w:pStyle w:val="BodyText"/>
        <w:spacing w:before="9"/>
        <w:rPr>
          <w:sz w:val="32"/>
        </w:rPr>
      </w:pPr>
    </w:p>
    <w:p w:rsidR="00000000" w:rsidRDefault="00E65764">
      <w:pPr>
        <w:pStyle w:val="Heading1"/>
        <w:spacing w:line="360" w:lineRule="auto"/>
        <w:ind w:right="174"/>
        <w:rPr>
          <w:sz w:val="32"/>
        </w:rPr>
      </w:pPr>
      <w:r>
        <w:rPr>
          <w:i/>
        </w:rPr>
        <w:t xml:space="preserve">France disability </w:t>
      </w:r>
      <w:r>
        <w:t>calls on particular attention of the Committee toward the issue, insisting on the fact that there is no NGO in France that would defend th</w:t>
      </w:r>
      <w:r>
        <w:t>e rights of persons with cognitive impairments, who remain in the blind spot of French society.</w:t>
      </w:r>
    </w:p>
    <w:p w:rsidR="00000000" w:rsidRDefault="00E65764">
      <w:pPr>
        <w:pStyle w:val="BodyText"/>
        <w:spacing w:before="9"/>
        <w:rPr>
          <w:b/>
          <w:sz w:val="32"/>
        </w:rPr>
      </w:pPr>
    </w:p>
    <w:p w:rsidR="00000000" w:rsidRDefault="00E65764">
      <w:pPr>
        <w:spacing w:before="1" w:line="360" w:lineRule="auto"/>
        <w:ind w:left="115" w:right="63" w:firstLine="710"/>
        <w:rPr>
          <w:b/>
          <w:sz w:val="32"/>
        </w:rPr>
      </w:pPr>
      <w:r>
        <w:rPr>
          <w:b/>
        </w:rPr>
        <w:t>The deprivation of legal capacity and substituted decision-making is at the core of the PWD's rights violation in France and must be addressed in the first pla</w:t>
      </w:r>
      <w:r>
        <w:rPr>
          <w:b/>
        </w:rPr>
        <w:t>ce and urgently. French guardianship framework must be abolished and replaced by one, based on the supported decision-making model, making the person the subject – not the object – of law. That change can only happen if the right to reasonable accommodatio</w:t>
      </w:r>
      <w:r>
        <w:rPr>
          <w:b/>
        </w:rPr>
        <w:t>n is stated clearly as a fundamental civil right.</w:t>
      </w:r>
    </w:p>
    <w:p w:rsidR="00000000" w:rsidRDefault="00E65764">
      <w:pPr>
        <w:pStyle w:val="BodyText"/>
        <w:spacing w:before="8"/>
        <w:rPr>
          <w:b/>
          <w:sz w:val="32"/>
        </w:rPr>
      </w:pPr>
    </w:p>
    <w:p w:rsidR="00000000" w:rsidRDefault="00E65764">
      <w:pPr>
        <w:spacing w:line="360" w:lineRule="auto"/>
        <w:ind w:left="115" w:right="174" w:firstLine="710"/>
        <w:rPr>
          <w:b/>
          <w:sz w:val="32"/>
        </w:rPr>
      </w:pPr>
      <w:r>
        <w:rPr>
          <w:b/>
        </w:rPr>
        <w:t xml:space="preserve">The person's inclusion in the society must be the principle, freed from 'as far as possible' limbo. A person excluded from society is very likely to be abused and forgotten. Every support must be provided </w:t>
      </w:r>
      <w:r>
        <w:rPr>
          <w:b/>
        </w:rPr>
        <w:t>so as to ensure the person with cognitive impairments lives in the community.</w:t>
      </w:r>
    </w:p>
    <w:p w:rsidR="00000000" w:rsidRDefault="00E65764">
      <w:pPr>
        <w:pStyle w:val="BodyText"/>
        <w:spacing w:before="10"/>
        <w:rPr>
          <w:b/>
          <w:sz w:val="32"/>
        </w:rPr>
      </w:pPr>
    </w:p>
    <w:p w:rsidR="00000000" w:rsidRDefault="00E65764">
      <w:pPr>
        <w:spacing w:line="360" w:lineRule="auto"/>
        <w:ind w:left="115" w:right="63" w:firstLine="710"/>
        <w:rPr>
          <w:b/>
          <w:sz w:val="32"/>
        </w:rPr>
      </w:pPr>
      <w:r>
        <w:rPr>
          <w:b/>
        </w:rPr>
        <w:lastRenderedPageBreak/>
        <w:t xml:space="preserve">Every effort must be applied to understand what the person's wills and preferences are. In the impossibility to have person's genuine opinion, the best interpretation approach, </w:t>
      </w:r>
      <w:r>
        <w:rPr>
          <w:b/>
        </w:rPr>
        <w:t>based on the community involvement, must be retained.</w:t>
      </w:r>
    </w:p>
    <w:p w:rsidR="00000000" w:rsidRDefault="00E65764">
      <w:pPr>
        <w:pStyle w:val="BodyText"/>
        <w:spacing w:before="9"/>
        <w:rPr>
          <w:b/>
          <w:sz w:val="32"/>
        </w:rPr>
      </w:pPr>
    </w:p>
    <w:p w:rsidR="00000000" w:rsidRDefault="00E65764">
      <w:pPr>
        <w:spacing w:before="1"/>
        <w:ind w:left="105"/>
      </w:pPr>
      <w:r>
        <w:t xml:space="preserve">for </w:t>
      </w:r>
      <w:r>
        <w:rPr>
          <w:i/>
        </w:rPr>
        <w:t>France disability</w:t>
      </w:r>
      <w:r>
        <w:t>,</w:t>
      </w:r>
    </w:p>
    <w:p w:rsidR="00000000" w:rsidRDefault="00E65764">
      <w:pPr>
        <w:pStyle w:val="BodyText"/>
        <w:spacing w:before="127"/>
        <w:ind w:left="105"/>
      </w:pPr>
      <w:r>
        <w:t>Maryna Zholud-Py, MA, LLM International Disability Law &amp; Policies</w:t>
      </w:r>
    </w:p>
    <w:p w:rsidR="00000000" w:rsidRDefault="00E65764">
      <w:pPr>
        <w:spacing w:before="125"/>
        <w:ind w:left="105"/>
      </w:pPr>
      <w:hyperlink r:id="rId31" w:history="1">
        <w:r>
          <w:rPr>
            <w:rStyle w:val="Hyperlink"/>
            <w:i/>
          </w:rPr>
          <w:t>contact@francedisability.com</w:t>
        </w:r>
      </w:hyperlink>
    </w:p>
    <w:sectPr w:rsidR="00000000">
      <w:pgSz w:w="11906" w:h="16838"/>
      <w:pgMar w:top="1060" w:right="1020" w:bottom="280" w:left="1020" w:header="720" w:footer="720" w:gutter="0"/>
      <w:cols w:space="720"/>
      <w:docGrid w:linePitch="24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decimal"/>
      <w:lvlText w:val="%1."/>
      <w:lvlJc w:val="left"/>
      <w:pPr>
        <w:tabs>
          <w:tab w:val="num" w:pos="0"/>
        </w:tabs>
        <w:ind w:left="1045" w:hanging="220"/>
      </w:pPr>
      <w:rPr>
        <w:w w:val="100"/>
        <w:u w:val="single" w:color="000000"/>
        <w:lang w:val="en-US" w:eastAsia="ar-SA" w:bidi="ar-SA"/>
      </w:rPr>
    </w:lvl>
    <w:lvl w:ilvl="1">
      <w:numFmt w:val="bullet"/>
      <w:lvlText w:val=""/>
      <w:lvlJc w:val="left"/>
      <w:pPr>
        <w:tabs>
          <w:tab w:val="num" w:pos="0"/>
        </w:tabs>
        <w:ind w:left="1922" w:hanging="220"/>
      </w:pPr>
      <w:rPr>
        <w:rFonts w:ascii="Symbol" w:hAnsi="Symbol"/>
        <w:lang w:val="en-US" w:eastAsia="ar-SA" w:bidi="ar-SA"/>
      </w:rPr>
    </w:lvl>
    <w:lvl w:ilvl="2">
      <w:numFmt w:val="bullet"/>
      <w:lvlText w:val=""/>
      <w:lvlJc w:val="left"/>
      <w:pPr>
        <w:tabs>
          <w:tab w:val="num" w:pos="0"/>
        </w:tabs>
        <w:ind w:left="2804" w:hanging="220"/>
      </w:pPr>
      <w:rPr>
        <w:rFonts w:ascii="Symbol" w:hAnsi="Symbol"/>
        <w:lang w:val="en-US" w:eastAsia="ar-SA" w:bidi="ar-SA"/>
      </w:rPr>
    </w:lvl>
    <w:lvl w:ilvl="3">
      <w:numFmt w:val="bullet"/>
      <w:lvlText w:val=""/>
      <w:lvlJc w:val="left"/>
      <w:pPr>
        <w:tabs>
          <w:tab w:val="num" w:pos="0"/>
        </w:tabs>
        <w:ind w:left="3686" w:hanging="220"/>
      </w:pPr>
      <w:rPr>
        <w:rFonts w:ascii="Symbol" w:hAnsi="Symbol"/>
        <w:lang w:val="en-US" w:eastAsia="ar-SA" w:bidi="ar-SA"/>
      </w:rPr>
    </w:lvl>
    <w:lvl w:ilvl="4">
      <w:numFmt w:val="bullet"/>
      <w:lvlText w:val=""/>
      <w:lvlJc w:val="left"/>
      <w:pPr>
        <w:tabs>
          <w:tab w:val="num" w:pos="0"/>
        </w:tabs>
        <w:ind w:left="4568" w:hanging="220"/>
      </w:pPr>
      <w:rPr>
        <w:rFonts w:ascii="Symbol" w:hAnsi="Symbol"/>
        <w:lang w:val="en-US" w:eastAsia="ar-SA" w:bidi="ar-SA"/>
      </w:rPr>
    </w:lvl>
    <w:lvl w:ilvl="5">
      <w:numFmt w:val="bullet"/>
      <w:lvlText w:val=""/>
      <w:lvlJc w:val="left"/>
      <w:pPr>
        <w:tabs>
          <w:tab w:val="num" w:pos="0"/>
        </w:tabs>
        <w:ind w:left="5450" w:hanging="220"/>
      </w:pPr>
      <w:rPr>
        <w:rFonts w:ascii="Symbol" w:hAnsi="Symbol"/>
        <w:lang w:val="en-US" w:eastAsia="ar-SA" w:bidi="ar-SA"/>
      </w:rPr>
    </w:lvl>
    <w:lvl w:ilvl="6">
      <w:numFmt w:val="bullet"/>
      <w:lvlText w:val=""/>
      <w:lvlJc w:val="left"/>
      <w:pPr>
        <w:tabs>
          <w:tab w:val="num" w:pos="0"/>
        </w:tabs>
        <w:ind w:left="6332" w:hanging="220"/>
      </w:pPr>
      <w:rPr>
        <w:rFonts w:ascii="Symbol" w:hAnsi="Symbol"/>
        <w:lang w:val="en-US" w:eastAsia="ar-SA" w:bidi="ar-SA"/>
      </w:rPr>
    </w:lvl>
    <w:lvl w:ilvl="7">
      <w:numFmt w:val="bullet"/>
      <w:lvlText w:val=""/>
      <w:lvlJc w:val="left"/>
      <w:pPr>
        <w:tabs>
          <w:tab w:val="num" w:pos="0"/>
        </w:tabs>
        <w:ind w:left="7214" w:hanging="220"/>
      </w:pPr>
      <w:rPr>
        <w:rFonts w:ascii="Symbol" w:hAnsi="Symbol"/>
        <w:lang w:val="en-US" w:eastAsia="ar-SA" w:bidi="ar-SA"/>
      </w:rPr>
    </w:lvl>
    <w:lvl w:ilvl="8">
      <w:numFmt w:val="bullet"/>
      <w:lvlText w:val=""/>
      <w:lvlJc w:val="left"/>
      <w:pPr>
        <w:tabs>
          <w:tab w:val="num" w:pos="0"/>
        </w:tabs>
        <w:ind w:left="8096" w:hanging="220"/>
      </w:pPr>
      <w:rPr>
        <w:rFonts w:ascii="Symbol" w:hAnsi="Symbol"/>
        <w:lang w:val="en-US" w:eastAsia="ar-SA" w:bidi="ar-SA"/>
      </w:rPr>
    </w:lvl>
  </w:abstractNum>
  <w:abstractNum w:abstractNumId="2" w15:restartNumberingAfterBreak="0">
    <w:nsid w:val="00000003"/>
    <w:multiLevelType w:val="multilevel"/>
    <w:tmpl w:val="00000003"/>
    <w:name w:val="WWNum12"/>
    <w:lvl w:ilvl="0">
      <w:start w:val="41"/>
      <w:numFmt w:val="decimal"/>
      <w:lvlText w:val="%1"/>
      <w:lvlJc w:val="left"/>
      <w:pPr>
        <w:tabs>
          <w:tab w:val="num" w:pos="0"/>
        </w:tabs>
        <w:ind w:left="400" w:hanging="284"/>
      </w:pPr>
      <w:rPr>
        <w:rFonts w:eastAsia="Times New Roman" w:cs="Times New Roman"/>
        <w:spacing w:val="-16"/>
        <w:w w:val="100"/>
        <w:sz w:val="20"/>
        <w:szCs w:val="20"/>
        <w:lang w:val="en-US" w:eastAsia="ar-SA" w:bidi="ar-SA"/>
      </w:rPr>
    </w:lvl>
    <w:lvl w:ilvl="1">
      <w:numFmt w:val="bullet"/>
      <w:lvlText w:val=""/>
      <w:lvlJc w:val="left"/>
      <w:pPr>
        <w:tabs>
          <w:tab w:val="num" w:pos="0"/>
        </w:tabs>
        <w:ind w:left="1346" w:hanging="284"/>
      </w:pPr>
      <w:rPr>
        <w:rFonts w:ascii="Symbol" w:hAnsi="Symbol"/>
        <w:lang w:val="en-US" w:eastAsia="ar-SA" w:bidi="ar-SA"/>
      </w:rPr>
    </w:lvl>
    <w:lvl w:ilvl="2">
      <w:numFmt w:val="bullet"/>
      <w:lvlText w:val=""/>
      <w:lvlJc w:val="left"/>
      <w:pPr>
        <w:tabs>
          <w:tab w:val="num" w:pos="0"/>
        </w:tabs>
        <w:ind w:left="2292" w:hanging="284"/>
      </w:pPr>
      <w:rPr>
        <w:rFonts w:ascii="Symbol" w:hAnsi="Symbol"/>
        <w:lang w:val="en-US" w:eastAsia="ar-SA" w:bidi="ar-SA"/>
      </w:rPr>
    </w:lvl>
    <w:lvl w:ilvl="3">
      <w:numFmt w:val="bullet"/>
      <w:lvlText w:val=""/>
      <w:lvlJc w:val="left"/>
      <w:pPr>
        <w:tabs>
          <w:tab w:val="num" w:pos="0"/>
        </w:tabs>
        <w:ind w:left="3238" w:hanging="284"/>
      </w:pPr>
      <w:rPr>
        <w:rFonts w:ascii="Symbol" w:hAnsi="Symbol"/>
        <w:lang w:val="en-US" w:eastAsia="ar-SA" w:bidi="ar-SA"/>
      </w:rPr>
    </w:lvl>
    <w:lvl w:ilvl="4">
      <w:numFmt w:val="bullet"/>
      <w:lvlText w:val=""/>
      <w:lvlJc w:val="left"/>
      <w:pPr>
        <w:tabs>
          <w:tab w:val="num" w:pos="0"/>
        </w:tabs>
        <w:ind w:left="4184" w:hanging="284"/>
      </w:pPr>
      <w:rPr>
        <w:rFonts w:ascii="Symbol" w:hAnsi="Symbol"/>
        <w:lang w:val="en-US" w:eastAsia="ar-SA" w:bidi="ar-SA"/>
      </w:rPr>
    </w:lvl>
    <w:lvl w:ilvl="5">
      <w:numFmt w:val="bullet"/>
      <w:lvlText w:val=""/>
      <w:lvlJc w:val="left"/>
      <w:pPr>
        <w:tabs>
          <w:tab w:val="num" w:pos="0"/>
        </w:tabs>
        <w:ind w:left="5130" w:hanging="284"/>
      </w:pPr>
      <w:rPr>
        <w:rFonts w:ascii="Symbol" w:hAnsi="Symbol"/>
        <w:lang w:val="en-US" w:eastAsia="ar-SA" w:bidi="ar-SA"/>
      </w:rPr>
    </w:lvl>
    <w:lvl w:ilvl="6">
      <w:numFmt w:val="bullet"/>
      <w:lvlText w:val=""/>
      <w:lvlJc w:val="left"/>
      <w:pPr>
        <w:tabs>
          <w:tab w:val="num" w:pos="0"/>
        </w:tabs>
        <w:ind w:left="6076" w:hanging="284"/>
      </w:pPr>
      <w:rPr>
        <w:rFonts w:ascii="Symbol" w:hAnsi="Symbol"/>
        <w:lang w:val="en-US" w:eastAsia="ar-SA" w:bidi="ar-SA"/>
      </w:rPr>
    </w:lvl>
    <w:lvl w:ilvl="7">
      <w:numFmt w:val="bullet"/>
      <w:lvlText w:val=""/>
      <w:lvlJc w:val="left"/>
      <w:pPr>
        <w:tabs>
          <w:tab w:val="num" w:pos="0"/>
        </w:tabs>
        <w:ind w:left="7022" w:hanging="284"/>
      </w:pPr>
      <w:rPr>
        <w:rFonts w:ascii="Symbol" w:hAnsi="Symbol"/>
        <w:lang w:val="en-US" w:eastAsia="ar-SA" w:bidi="ar-SA"/>
      </w:rPr>
    </w:lvl>
    <w:lvl w:ilvl="8">
      <w:numFmt w:val="bullet"/>
      <w:lvlText w:val=""/>
      <w:lvlJc w:val="left"/>
      <w:pPr>
        <w:tabs>
          <w:tab w:val="num" w:pos="0"/>
        </w:tabs>
        <w:ind w:left="7968" w:hanging="284"/>
      </w:pPr>
      <w:rPr>
        <w:rFonts w:ascii="Symbol" w:hAnsi="Symbol"/>
        <w:lang w:val="en-US" w:eastAsia="ar-SA" w:bidi="ar-SA"/>
      </w:rPr>
    </w:lvl>
  </w:abstractNum>
  <w:abstractNum w:abstractNumId="3" w15:restartNumberingAfterBreak="0">
    <w:nsid w:val="00000004"/>
    <w:multiLevelType w:val="multilevel"/>
    <w:tmpl w:val="00000004"/>
    <w:name w:val="WWNum11"/>
    <w:lvl w:ilvl="0">
      <w:start w:val="27"/>
      <w:numFmt w:val="decimal"/>
      <w:lvlText w:val="%1"/>
      <w:lvlJc w:val="left"/>
      <w:pPr>
        <w:tabs>
          <w:tab w:val="num" w:pos="0"/>
        </w:tabs>
        <w:ind w:left="400" w:hanging="284"/>
      </w:pPr>
      <w:rPr>
        <w:rFonts w:eastAsia="Times New Roman" w:cs="Times New Roman"/>
        <w:spacing w:val="-16"/>
        <w:w w:val="100"/>
        <w:sz w:val="20"/>
        <w:szCs w:val="20"/>
        <w:lang w:val="en-US" w:eastAsia="ar-SA" w:bidi="ar-SA"/>
      </w:rPr>
    </w:lvl>
    <w:lvl w:ilvl="1">
      <w:numFmt w:val="bullet"/>
      <w:lvlText w:val=""/>
      <w:lvlJc w:val="left"/>
      <w:pPr>
        <w:tabs>
          <w:tab w:val="num" w:pos="0"/>
        </w:tabs>
        <w:ind w:left="1346" w:hanging="284"/>
      </w:pPr>
      <w:rPr>
        <w:rFonts w:ascii="Symbol" w:hAnsi="Symbol"/>
        <w:lang w:val="en-US" w:eastAsia="ar-SA" w:bidi="ar-SA"/>
      </w:rPr>
    </w:lvl>
    <w:lvl w:ilvl="2">
      <w:numFmt w:val="bullet"/>
      <w:lvlText w:val=""/>
      <w:lvlJc w:val="left"/>
      <w:pPr>
        <w:tabs>
          <w:tab w:val="num" w:pos="0"/>
        </w:tabs>
        <w:ind w:left="2292" w:hanging="284"/>
      </w:pPr>
      <w:rPr>
        <w:rFonts w:ascii="Symbol" w:hAnsi="Symbol"/>
        <w:lang w:val="en-US" w:eastAsia="ar-SA" w:bidi="ar-SA"/>
      </w:rPr>
    </w:lvl>
    <w:lvl w:ilvl="3">
      <w:numFmt w:val="bullet"/>
      <w:lvlText w:val=""/>
      <w:lvlJc w:val="left"/>
      <w:pPr>
        <w:tabs>
          <w:tab w:val="num" w:pos="0"/>
        </w:tabs>
        <w:ind w:left="3238" w:hanging="284"/>
      </w:pPr>
      <w:rPr>
        <w:rFonts w:ascii="Symbol" w:hAnsi="Symbol"/>
        <w:lang w:val="en-US" w:eastAsia="ar-SA" w:bidi="ar-SA"/>
      </w:rPr>
    </w:lvl>
    <w:lvl w:ilvl="4">
      <w:numFmt w:val="bullet"/>
      <w:lvlText w:val=""/>
      <w:lvlJc w:val="left"/>
      <w:pPr>
        <w:tabs>
          <w:tab w:val="num" w:pos="0"/>
        </w:tabs>
        <w:ind w:left="4184" w:hanging="284"/>
      </w:pPr>
      <w:rPr>
        <w:rFonts w:ascii="Symbol" w:hAnsi="Symbol"/>
        <w:lang w:val="en-US" w:eastAsia="ar-SA" w:bidi="ar-SA"/>
      </w:rPr>
    </w:lvl>
    <w:lvl w:ilvl="5">
      <w:numFmt w:val="bullet"/>
      <w:lvlText w:val=""/>
      <w:lvlJc w:val="left"/>
      <w:pPr>
        <w:tabs>
          <w:tab w:val="num" w:pos="0"/>
        </w:tabs>
        <w:ind w:left="5130" w:hanging="284"/>
      </w:pPr>
      <w:rPr>
        <w:rFonts w:ascii="Symbol" w:hAnsi="Symbol"/>
        <w:lang w:val="en-US" w:eastAsia="ar-SA" w:bidi="ar-SA"/>
      </w:rPr>
    </w:lvl>
    <w:lvl w:ilvl="6">
      <w:numFmt w:val="bullet"/>
      <w:lvlText w:val=""/>
      <w:lvlJc w:val="left"/>
      <w:pPr>
        <w:tabs>
          <w:tab w:val="num" w:pos="0"/>
        </w:tabs>
        <w:ind w:left="6076" w:hanging="284"/>
      </w:pPr>
      <w:rPr>
        <w:rFonts w:ascii="Symbol" w:hAnsi="Symbol"/>
        <w:lang w:val="en-US" w:eastAsia="ar-SA" w:bidi="ar-SA"/>
      </w:rPr>
    </w:lvl>
    <w:lvl w:ilvl="7">
      <w:numFmt w:val="bullet"/>
      <w:lvlText w:val=""/>
      <w:lvlJc w:val="left"/>
      <w:pPr>
        <w:tabs>
          <w:tab w:val="num" w:pos="0"/>
        </w:tabs>
        <w:ind w:left="7022" w:hanging="284"/>
      </w:pPr>
      <w:rPr>
        <w:rFonts w:ascii="Symbol" w:hAnsi="Symbol"/>
        <w:lang w:val="en-US" w:eastAsia="ar-SA" w:bidi="ar-SA"/>
      </w:rPr>
    </w:lvl>
    <w:lvl w:ilvl="8">
      <w:numFmt w:val="bullet"/>
      <w:lvlText w:val=""/>
      <w:lvlJc w:val="left"/>
      <w:pPr>
        <w:tabs>
          <w:tab w:val="num" w:pos="0"/>
        </w:tabs>
        <w:ind w:left="7968" w:hanging="284"/>
      </w:pPr>
      <w:rPr>
        <w:rFonts w:ascii="Symbol" w:hAnsi="Symbol"/>
        <w:lang w:val="en-US" w:eastAsia="ar-SA" w:bidi="ar-SA"/>
      </w:rPr>
    </w:lvl>
  </w:abstractNum>
  <w:abstractNum w:abstractNumId="4" w15:restartNumberingAfterBreak="0">
    <w:nsid w:val="00000005"/>
    <w:multiLevelType w:val="multilevel"/>
    <w:tmpl w:val="00000005"/>
    <w:name w:val="WWNum10"/>
    <w:lvl w:ilvl="0">
      <w:start w:val="2"/>
      <w:numFmt w:val="decimal"/>
      <w:lvlText w:val="%1"/>
      <w:lvlJc w:val="left"/>
      <w:pPr>
        <w:tabs>
          <w:tab w:val="num" w:pos="0"/>
        </w:tabs>
        <w:ind w:left="1209" w:hanging="384"/>
      </w:pPr>
      <w:rPr>
        <w:lang w:val="en-US" w:eastAsia="ar-SA" w:bidi="ar-SA"/>
      </w:rPr>
    </w:lvl>
    <w:lvl w:ilvl="1">
      <w:start w:val="4"/>
      <w:numFmt w:val="decimal"/>
      <w:lvlText w:val="%1.%2."/>
      <w:lvlJc w:val="left"/>
      <w:pPr>
        <w:tabs>
          <w:tab w:val="num" w:pos="0"/>
        </w:tabs>
        <w:ind w:left="1209" w:hanging="384"/>
      </w:pPr>
      <w:rPr>
        <w:rFonts w:eastAsia="Times New Roman" w:cs="Times New Roman"/>
        <w:spacing w:val="-2"/>
        <w:w w:val="100"/>
        <w:sz w:val="22"/>
        <w:szCs w:val="22"/>
        <w:u w:val="single" w:color="000000"/>
        <w:lang w:val="en-US" w:eastAsia="ar-SA" w:bidi="ar-SA"/>
      </w:rPr>
    </w:lvl>
    <w:lvl w:ilvl="2">
      <w:numFmt w:val="bullet"/>
      <w:lvlText w:val=""/>
      <w:lvlJc w:val="left"/>
      <w:pPr>
        <w:tabs>
          <w:tab w:val="num" w:pos="0"/>
        </w:tabs>
        <w:ind w:left="2932" w:hanging="384"/>
      </w:pPr>
      <w:rPr>
        <w:rFonts w:ascii="Symbol" w:hAnsi="Symbol"/>
        <w:lang w:val="en-US" w:eastAsia="ar-SA" w:bidi="ar-SA"/>
      </w:rPr>
    </w:lvl>
    <w:lvl w:ilvl="3">
      <w:numFmt w:val="bullet"/>
      <w:lvlText w:val=""/>
      <w:lvlJc w:val="left"/>
      <w:pPr>
        <w:tabs>
          <w:tab w:val="num" w:pos="0"/>
        </w:tabs>
        <w:ind w:left="3798" w:hanging="384"/>
      </w:pPr>
      <w:rPr>
        <w:rFonts w:ascii="Symbol" w:hAnsi="Symbol"/>
        <w:lang w:val="en-US" w:eastAsia="ar-SA" w:bidi="ar-SA"/>
      </w:rPr>
    </w:lvl>
    <w:lvl w:ilvl="4">
      <w:numFmt w:val="bullet"/>
      <w:lvlText w:val=""/>
      <w:lvlJc w:val="left"/>
      <w:pPr>
        <w:tabs>
          <w:tab w:val="num" w:pos="0"/>
        </w:tabs>
        <w:ind w:left="4664" w:hanging="384"/>
      </w:pPr>
      <w:rPr>
        <w:rFonts w:ascii="Symbol" w:hAnsi="Symbol"/>
        <w:lang w:val="en-US" w:eastAsia="ar-SA" w:bidi="ar-SA"/>
      </w:rPr>
    </w:lvl>
    <w:lvl w:ilvl="5">
      <w:numFmt w:val="bullet"/>
      <w:lvlText w:val=""/>
      <w:lvlJc w:val="left"/>
      <w:pPr>
        <w:tabs>
          <w:tab w:val="num" w:pos="0"/>
        </w:tabs>
        <w:ind w:left="5530" w:hanging="384"/>
      </w:pPr>
      <w:rPr>
        <w:rFonts w:ascii="Symbol" w:hAnsi="Symbol"/>
        <w:lang w:val="en-US" w:eastAsia="ar-SA" w:bidi="ar-SA"/>
      </w:rPr>
    </w:lvl>
    <w:lvl w:ilvl="6">
      <w:numFmt w:val="bullet"/>
      <w:lvlText w:val=""/>
      <w:lvlJc w:val="left"/>
      <w:pPr>
        <w:tabs>
          <w:tab w:val="num" w:pos="0"/>
        </w:tabs>
        <w:ind w:left="6396" w:hanging="384"/>
      </w:pPr>
      <w:rPr>
        <w:rFonts w:ascii="Symbol" w:hAnsi="Symbol"/>
        <w:lang w:val="en-US" w:eastAsia="ar-SA" w:bidi="ar-SA"/>
      </w:rPr>
    </w:lvl>
    <w:lvl w:ilvl="7">
      <w:numFmt w:val="bullet"/>
      <w:lvlText w:val=""/>
      <w:lvlJc w:val="left"/>
      <w:pPr>
        <w:tabs>
          <w:tab w:val="num" w:pos="0"/>
        </w:tabs>
        <w:ind w:left="7262" w:hanging="384"/>
      </w:pPr>
      <w:rPr>
        <w:rFonts w:ascii="Symbol" w:hAnsi="Symbol"/>
        <w:lang w:val="en-US" w:eastAsia="ar-SA" w:bidi="ar-SA"/>
      </w:rPr>
    </w:lvl>
    <w:lvl w:ilvl="8">
      <w:numFmt w:val="bullet"/>
      <w:lvlText w:val=""/>
      <w:lvlJc w:val="left"/>
      <w:pPr>
        <w:tabs>
          <w:tab w:val="num" w:pos="0"/>
        </w:tabs>
        <w:ind w:left="8128" w:hanging="384"/>
      </w:pPr>
      <w:rPr>
        <w:rFonts w:ascii="Symbol" w:hAnsi="Symbol"/>
        <w:lang w:val="en-US" w:eastAsia="ar-SA" w:bidi="ar-SA"/>
      </w:rPr>
    </w:lvl>
  </w:abstractNum>
  <w:abstractNum w:abstractNumId="5" w15:restartNumberingAfterBreak="0">
    <w:nsid w:val="00000006"/>
    <w:multiLevelType w:val="multilevel"/>
    <w:tmpl w:val="00000006"/>
    <w:name w:val="WWNum9"/>
    <w:lvl w:ilvl="0">
      <w:start w:val="23"/>
      <w:numFmt w:val="decimal"/>
      <w:lvlText w:val="%1"/>
      <w:lvlJc w:val="left"/>
      <w:pPr>
        <w:tabs>
          <w:tab w:val="num" w:pos="0"/>
        </w:tabs>
        <w:ind w:left="400" w:hanging="284"/>
      </w:pPr>
      <w:rPr>
        <w:rFonts w:eastAsia="Times New Roman" w:cs="Times New Roman"/>
        <w:spacing w:val="-16"/>
        <w:w w:val="100"/>
        <w:sz w:val="20"/>
        <w:szCs w:val="20"/>
        <w:lang w:val="en-US" w:eastAsia="ar-SA" w:bidi="ar-SA"/>
      </w:rPr>
    </w:lvl>
    <w:lvl w:ilvl="1">
      <w:numFmt w:val="bullet"/>
      <w:lvlText w:val=""/>
      <w:lvlJc w:val="left"/>
      <w:pPr>
        <w:tabs>
          <w:tab w:val="num" w:pos="0"/>
        </w:tabs>
        <w:ind w:left="1346" w:hanging="284"/>
      </w:pPr>
      <w:rPr>
        <w:rFonts w:ascii="Symbol" w:hAnsi="Symbol"/>
        <w:lang w:val="en-US" w:eastAsia="ar-SA" w:bidi="ar-SA"/>
      </w:rPr>
    </w:lvl>
    <w:lvl w:ilvl="2">
      <w:numFmt w:val="bullet"/>
      <w:lvlText w:val=""/>
      <w:lvlJc w:val="left"/>
      <w:pPr>
        <w:tabs>
          <w:tab w:val="num" w:pos="0"/>
        </w:tabs>
        <w:ind w:left="2292" w:hanging="284"/>
      </w:pPr>
      <w:rPr>
        <w:rFonts w:ascii="Symbol" w:hAnsi="Symbol"/>
        <w:lang w:val="en-US" w:eastAsia="ar-SA" w:bidi="ar-SA"/>
      </w:rPr>
    </w:lvl>
    <w:lvl w:ilvl="3">
      <w:numFmt w:val="bullet"/>
      <w:lvlText w:val=""/>
      <w:lvlJc w:val="left"/>
      <w:pPr>
        <w:tabs>
          <w:tab w:val="num" w:pos="0"/>
        </w:tabs>
        <w:ind w:left="3238" w:hanging="284"/>
      </w:pPr>
      <w:rPr>
        <w:rFonts w:ascii="Symbol" w:hAnsi="Symbol"/>
        <w:lang w:val="en-US" w:eastAsia="ar-SA" w:bidi="ar-SA"/>
      </w:rPr>
    </w:lvl>
    <w:lvl w:ilvl="4">
      <w:numFmt w:val="bullet"/>
      <w:lvlText w:val=""/>
      <w:lvlJc w:val="left"/>
      <w:pPr>
        <w:tabs>
          <w:tab w:val="num" w:pos="0"/>
        </w:tabs>
        <w:ind w:left="4184" w:hanging="284"/>
      </w:pPr>
      <w:rPr>
        <w:rFonts w:ascii="Symbol" w:hAnsi="Symbol"/>
        <w:lang w:val="en-US" w:eastAsia="ar-SA" w:bidi="ar-SA"/>
      </w:rPr>
    </w:lvl>
    <w:lvl w:ilvl="5">
      <w:numFmt w:val="bullet"/>
      <w:lvlText w:val=""/>
      <w:lvlJc w:val="left"/>
      <w:pPr>
        <w:tabs>
          <w:tab w:val="num" w:pos="0"/>
        </w:tabs>
        <w:ind w:left="5130" w:hanging="284"/>
      </w:pPr>
      <w:rPr>
        <w:rFonts w:ascii="Symbol" w:hAnsi="Symbol"/>
        <w:lang w:val="en-US" w:eastAsia="ar-SA" w:bidi="ar-SA"/>
      </w:rPr>
    </w:lvl>
    <w:lvl w:ilvl="6">
      <w:numFmt w:val="bullet"/>
      <w:lvlText w:val=""/>
      <w:lvlJc w:val="left"/>
      <w:pPr>
        <w:tabs>
          <w:tab w:val="num" w:pos="0"/>
        </w:tabs>
        <w:ind w:left="6076" w:hanging="284"/>
      </w:pPr>
      <w:rPr>
        <w:rFonts w:ascii="Symbol" w:hAnsi="Symbol"/>
        <w:lang w:val="en-US" w:eastAsia="ar-SA" w:bidi="ar-SA"/>
      </w:rPr>
    </w:lvl>
    <w:lvl w:ilvl="7">
      <w:numFmt w:val="bullet"/>
      <w:lvlText w:val=""/>
      <w:lvlJc w:val="left"/>
      <w:pPr>
        <w:tabs>
          <w:tab w:val="num" w:pos="0"/>
        </w:tabs>
        <w:ind w:left="7022" w:hanging="284"/>
      </w:pPr>
      <w:rPr>
        <w:rFonts w:ascii="Symbol" w:hAnsi="Symbol"/>
        <w:lang w:val="en-US" w:eastAsia="ar-SA" w:bidi="ar-SA"/>
      </w:rPr>
    </w:lvl>
    <w:lvl w:ilvl="8">
      <w:numFmt w:val="bullet"/>
      <w:lvlText w:val=""/>
      <w:lvlJc w:val="left"/>
      <w:pPr>
        <w:tabs>
          <w:tab w:val="num" w:pos="0"/>
        </w:tabs>
        <w:ind w:left="7968" w:hanging="284"/>
      </w:pPr>
      <w:rPr>
        <w:rFonts w:ascii="Symbol" w:hAnsi="Symbol"/>
        <w:lang w:val="en-US" w:eastAsia="ar-SA" w:bidi="ar-SA"/>
      </w:rPr>
    </w:lvl>
  </w:abstractNum>
  <w:abstractNum w:abstractNumId="6" w15:restartNumberingAfterBreak="0">
    <w:nsid w:val="00000007"/>
    <w:multiLevelType w:val="multilevel"/>
    <w:tmpl w:val="00000007"/>
    <w:name w:val="WWNum8"/>
    <w:lvl w:ilvl="0">
      <w:start w:val="17"/>
      <w:numFmt w:val="decimal"/>
      <w:lvlText w:val="%1"/>
      <w:lvlJc w:val="left"/>
      <w:pPr>
        <w:tabs>
          <w:tab w:val="num" w:pos="0"/>
        </w:tabs>
        <w:ind w:left="400" w:hanging="284"/>
      </w:pPr>
      <w:rPr>
        <w:rFonts w:eastAsia="Times New Roman" w:cs="Times New Roman"/>
        <w:spacing w:val="-16"/>
        <w:w w:val="100"/>
        <w:sz w:val="20"/>
        <w:szCs w:val="20"/>
        <w:lang w:val="en-US" w:eastAsia="ar-SA" w:bidi="ar-SA"/>
      </w:rPr>
    </w:lvl>
    <w:lvl w:ilvl="1">
      <w:numFmt w:val="bullet"/>
      <w:lvlText w:val=""/>
      <w:lvlJc w:val="left"/>
      <w:pPr>
        <w:tabs>
          <w:tab w:val="num" w:pos="0"/>
        </w:tabs>
        <w:ind w:left="1346" w:hanging="284"/>
      </w:pPr>
      <w:rPr>
        <w:rFonts w:ascii="Symbol" w:hAnsi="Symbol"/>
        <w:lang w:val="en-US" w:eastAsia="ar-SA" w:bidi="ar-SA"/>
      </w:rPr>
    </w:lvl>
    <w:lvl w:ilvl="2">
      <w:numFmt w:val="bullet"/>
      <w:lvlText w:val=""/>
      <w:lvlJc w:val="left"/>
      <w:pPr>
        <w:tabs>
          <w:tab w:val="num" w:pos="0"/>
        </w:tabs>
        <w:ind w:left="2292" w:hanging="284"/>
      </w:pPr>
      <w:rPr>
        <w:rFonts w:ascii="Symbol" w:hAnsi="Symbol"/>
        <w:lang w:val="en-US" w:eastAsia="ar-SA" w:bidi="ar-SA"/>
      </w:rPr>
    </w:lvl>
    <w:lvl w:ilvl="3">
      <w:numFmt w:val="bullet"/>
      <w:lvlText w:val=""/>
      <w:lvlJc w:val="left"/>
      <w:pPr>
        <w:tabs>
          <w:tab w:val="num" w:pos="0"/>
        </w:tabs>
        <w:ind w:left="3238" w:hanging="284"/>
      </w:pPr>
      <w:rPr>
        <w:rFonts w:ascii="Symbol" w:hAnsi="Symbol"/>
        <w:lang w:val="en-US" w:eastAsia="ar-SA" w:bidi="ar-SA"/>
      </w:rPr>
    </w:lvl>
    <w:lvl w:ilvl="4">
      <w:numFmt w:val="bullet"/>
      <w:lvlText w:val=""/>
      <w:lvlJc w:val="left"/>
      <w:pPr>
        <w:tabs>
          <w:tab w:val="num" w:pos="0"/>
        </w:tabs>
        <w:ind w:left="4184" w:hanging="284"/>
      </w:pPr>
      <w:rPr>
        <w:rFonts w:ascii="Symbol" w:hAnsi="Symbol"/>
        <w:lang w:val="en-US" w:eastAsia="ar-SA" w:bidi="ar-SA"/>
      </w:rPr>
    </w:lvl>
    <w:lvl w:ilvl="5">
      <w:numFmt w:val="bullet"/>
      <w:lvlText w:val=""/>
      <w:lvlJc w:val="left"/>
      <w:pPr>
        <w:tabs>
          <w:tab w:val="num" w:pos="0"/>
        </w:tabs>
        <w:ind w:left="5130" w:hanging="284"/>
      </w:pPr>
      <w:rPr>
        <w:rFonts w:ascii="Symbol" w:hAnsi="Symbol"/>
        <w:lang w:val="en-US" w:eastAsia="ar-SA" w:bidi="ar-SA"/>
      </w:rPr>
    </w:lvl>
    <w:lvl w:ilvl="6">
      <w:numFmt w:val="bullet"/>
      <w:lvlText w:val=""/>
      <w:lvlJc w:val="left"/>
      <w:pPr>
        <w:tabs>
          <w:tab w:val="num" w:pos="0"/>
        </w:tabs>
        <w:ind w:left="6076" w:hanging="284"/>
      </w:pPr>
      <w:rPr>
        <w:rFonts w:ascii="Symbol" w:hAnsi="Symbol"/>
        <w:lang w:val="en-US" w:eastAsia="ar-SA" w:bidi="ar-SA"/>
      </w:rPr>
    </w:lvl>
    <w:lvl w:ilvl="7">
      <w:numFmt w:val="bullet"/>
      <w:lvlText w:val=""/>
      <w:lvlJc w:val="left"/>
      <w:pPr>
        <w:tabs>
          <w:tab w:val="num" w:pos="0"/>
        </w:tabs>
        <w:ind w:left="7022" w:hanging="284"/>
      </w:pPr>
      <w:rPr>
        <w:rFonts w:ascii="Symbol" w:hAnsi="Symbol"/>
        <w:lang w:val="en-US" w:eastAsia="ar-SA" w:bidi="ar-SA"/>
      </w:rPr>
    </w:lvl>
    <w:lvl w:ilvl="8">
      <w:numFmt w:val="bullet"/>
      <w:lvlText w:val=""/>
      <w:lvlJc w:val="left"/>
      <w:pPr>
        <w:tabs>
          <w:tab w:val="num" w:pos="0"/>
        </w:tabs>
        <w:ind w:left="7968" w:hanging="284"/>
      </w:pPr>
      <w:rPr>
        <w:rFonts w:ascii="Symbol" w:hAnsi="Symbol"/>
        <w:lang w:val="en-US" w:eastAsia="ar-SA" w:bidi="ar-SA"/>
      </w:rPr>
    </w:lvl>
  </w:abstractNum>
  <w:abstractNum w:abstractNumId="7" w15:restartNumberingAfterBreak="0">
    <w:nsid w:val="00000008"/>
    <w:multiLevelType w:val="multilevel"/>
    <w:tmpl w:val="00000008"/>
    <w:name w:val="WWNum7"/>
    <w:lvl w:ilvl="0">
      <w:numFmt w:val="bullet"/>
      <w:lvlText w:val=""/>
      <w:lvlJc w:val="left"/>
      <w:pPr>
        <w:tabs>
          <w:tab w:val="num" w:pos="0"/>
        </w:tabs>
        <w:ind w:left="116" w:hanging="720"/>
      </w:pPr>
      <w:rPr>
        <w:rFonts w:ascii="Symbol" w:hAnsi="Symbol" w:cs="OpenSymbol"/>
        <w:w w:val="89"/>
        <w:sz w:val="22"/>
        <w:szCs w:val="22"/>
        <w:lang w:val="en-US" w:eastAsia="ar-SA" w:bidi="ar-SA"/>
      </w:rPr>
    </w:lvl>
    <w:lvl w:ilvl="1">
      <w:numFmt w:val="bullet"/>
      <w:lvlText w:val=""/>
      <w:lvlJc w:val="left"/>
      <w:pPr>
        <w:tabs>
          <w:tab w:val="num" w:pos="0"/>
        </w:tabs>
        <w:ind w:left="1094" w:hanging="720"/>
      </w:pPr>
      <w:rPr>
        <w:rFonts w:ascii="Symbol" w:hAnsi="Symbol"/>
        <w:lang w:val="en-US" w:eastAsia="ar-SA" w:bidi="ar-SA"/>
      </w:rPr>
    </w:lvl>
    <w:lvl w:ilvl="2">
      <w:numFmt w:val="bullet"/>
      <w:lvlText w:val=""/>
      <w:lvlJc w:val="left"/>
      <w:pPr>
        <w:tabs>
          <w:tab w:val="num" w:pos="0"/>
        </w:tabs>
        <w:ind w:left="2068" w:hanging="720"/>
      </w:pPr>
      <w:rPr>
        <w:rFonts w:ascii="Symbol" w:hAnsi="Symbol"/>
        <w:lang w:val="en-US" w:eastAsia="ar-SA" w:bidi="ar-SA"/>
      </w:rPr>
    </w:lvl>
    <w:lvl w:ilvl="3">
      <w:numFmt w:val="bullet"/>
      <w:lvlText w:val=""/>
      <w:lvlJc w:val="left"/>
      <w:pPr>
        <w:tabs>
          <w:tab w:val="num" w:pos="0"/>
        </w:tabs>
        <w:ind w:left="3042" w:hanging="720"/>
      </w:pPr>
      <w:rPr>
        <w:rFonts w:ascii="Symbol" w:hAnsi="Symbol"/>
        <w:lang w:val="en-US" w:eastAsia="ar-SA" w:bidi="ar-SA"/>
      </w:rPr>
    </w:lvl>
    <w:lvl w:ilvl="4">
      <w:numFmt w:val="bullet"/>
      <w:lvlText w:val=""/>
      <w:lvlJc w:val="left"/>
      <w:pPr>
        <w:tabs>
          <w:tab w:val="num" w:pos="0"/>
        </w:tabs>
        <w:ind w:left="4016" w:hanging="720"/>
      </w:pPr>
      <w:rPr>
        <w:rFonts w:ascii="Symbol" w:hAnsi="Symbol"/>
        <w:lang w:val="en-US" w:eastAsia="ar-SA" w:bidi="ar-SA"/>
      </w:rPr>
    </w:lvl>
    <w:lvl w:ilvl="5">
      <w:numFmt w:val="bullet"/>
      <w:lvlText w:val=""/>
      <w:lvlJc w:val="left"/>
      <w:pPr>
        <w:tabs>
          <w:tab w:val="num" w:pos="0"/>
        </w:tabs>
        <w:ind w:left="4990" w:hanging="720"/>
      </w:pPr>
      <w:rPr>
        <w:rFonts w:ascii="Symbol" w:hAnsi="Symbol"/>
        <w:lang w:val="en-US" w:eastAsia="ar-SA" w:bidi="ar-SA"/>
      </w:rPr>
    </w:lvl>
    <w:lvl w:ilvl="6">
      <w:numFmt w:val="bullet"/>
      <w:lvlText w:val=""/>
      <w:lvlJc w:val="left"/>
      <w:pPr>
        <w:tabs>
          <w:tab w:val="num" w:pos="0"/>
        </w:tabs>
        <w:ind w:left="5964" w:hanging="720"/>
      </w:pPr>
      <w:rPr>
        <w:rFonts w:ascii="Symbol" w:hAnsi="Symbol"/>
        <w:lang w:val="en-US" w:eastAsia="ar-SA" w:bidi="ar-SA"/>
      </w:rPr>
    </w:lvl>
    <w:lvl w:ilvl="7">
      <w:numFmt w:val="bullet"/>
      <w:lvlText w:val=""/>
      <w:lvlJc w:val="left"/>
      <w:pPr>
        <w:tabs>
          <w:tab w:val="num" w:pos="0"/>
        </w:tabs>
        <w:ind w:left="6938" w:hanging="720"/>
      </w:pPr>
      <w:rPr>
        <w:rFonts w:ascii="Symbol" w:hAnsi="Symbol"/>
        <w:lang w:val="en-US" w:eastAsia="ar-SA" w:bidi="ar-SA"/>
      </w:rPr>
    </w:lvl>
    <w:lvl w:ilvl="8">
      <w:numFmt w:val="bullet"/>
      <w:lvlText w:val=""/>
      <w:lvlJc w:val="left"/>
      <w:pPr>
        <w:tabs>
          <w:tab w:val="num" w:pos="0"/>
        </w:tabs>
        <w:ind w:left="7912" w:hanging="720"/>
      </w:pPr>
      <w:rPr>
        <w:rFonts w:ascii="Symbol" w:hAnsi="Symbol"/>
        <w:lang w:val="en-US" w:eastAsia="ar-SA" w:bidi="ar-SA"/>
      </w:rPr>
    </w:lvl>
  </w:abstractNum>
  <w:abstractNum w:abstractNumId="8" w15:restartNumberingAfterBreak="0">
    <w:nsid w:val="00000009"/>
    <w:multiLevelType w:val="multilevel"/>
    <w:tmpl w:val="00000009"/>
    <w:name w:val="WWNum6"/>
    <w:lvl w:ilvl="0">
      <w:start w:val="14"/>
      <w:numFmt w:val="decimal"/>
      <w:lvlText w:val="%1"/>
      <w:lvlJc w:val="left"/>
      <w:pPr>
        <w:tabs>
          <w:tab w:val="num" w:pos="0"/>
        </w:tabs>
        <w:ind w:left="400" w:hanging="284"/>
      </w:pPr>
      <w:rPr>
        <w:rFonts w:eastAsia="Times New Roman" w:cs="Times New Roman"/>
        <w:spacing w:val="-16"/>
        <w:w w:val="100"/>
        <w:sz w:val="20"/>
        <w:szCs w:val="20"/>
        <w:lang w:val="en-US" w:eastAsia="ar-SA" w:bidi="ar-SA"/>
      </w:rPr>
    </w:lvl>
    <w:lvl w:ilvl="1">
      <w:numFmt w:val="bullet"/>
      <w:lvlText w:val=""/>
      <w:lvlJc w:val="left"/>
      <w:pPr>
        <w:tabs>
          <w:tab w:val="num" w:pos="0"/>
        </w:tabs>
        <w:ind w:left="1346" w:hanging="284"/>
      </w:pPr>
      <w:rPr>
        <w:rFonts w:ascii="Symbol" w:hAnsi="Symbol"/>
        <w:lang w:val="en-US" w:eastAsia="ar-SA" w:bidi="ar-SA"/>
      </w:rPr>
    </w:lvl>
    <w:lvl w:ilvl="2">
      <w:numFmt w:val="bullet"/>
      <w:lvlText w:val=""/>
      <w:lvlJc w:val="left"/>
      <w:pPr>
        <w:tabs>
          <w:tab w:val="num" w:pos="0"/>
        </w:tabs>
        <w:ind w:left="2292" w:hanging="284"/>
      </w:pPr>
      <w:rPr>
        <w:rFonts w:ascii="Symbol" w:hAnsi="Symbol"/>
        <w:lang w:val="en-US" w:eastAsia="ar-SA" w:bidi="ar-SA"/>
      </w:rPr>
    </w:lvl>
    <w:lvl w:ilvl="3">
      <w:numFmt w:val="bullet"/>
      <w:lvlText w:val=""/>
      <w:lvlJc w:val="left"/>
      <w:pPr>
        <w:tabs>
          <w:tab w:val="num" w:pos="0"/>
        </w:tabs>
        <w:ind w:left="3238" w:hanging="284"/>
      </w:pPr>
      <w:rPr>
        <w:rFonts w:ascii="Symbol" w:hAnsi="Symbol"/>
        <w:lang w:val="en-US" w:eastAsia="ar-SA" w:bidi="ar-SA"/>
      </w:rPr>
    </w:lvl>
    <w:lvl w:ilvl="4">
      <w:numFmt w:val="bullet"/>
      <w:lvlText w:val=""/>
      <w:lvlJc w:val="left"/>
      <w:pPr>
        <w:tabs>
          <w:tab w:val="num" w:pos="0"/>
        </w:tabs>
        <w:ind w:left="4184" w:hanging="284"/>
      </w:pPr>
      <w:rPr>
        <w:rFonts w:ascii="Symbol" w:hAnsi="Symbol"/>
        <w:lang w:val="en-US" w:eastAsia="ar-SA" w:bidi="ar-SA"/>
      </w:rPr>
    </w:lvl>
    <w:lvl w:ilvl="5">
      <w:numFmt w:val="bullet"/>
      <w:lvlText w:val=""/>
      <w:lvlJc w:val="left"/>
      <w:pPr>
        <w:tabs>
          <w:tab w:val="num" w:pos="0"/>
        </w:tabs>
        <w:ind w:left="5130" w:hanging="284"/>
      </w:pPr>
      <w:rPr>
        <w:rFonts w:ascii="Symbol" w:hAnsi="Symbol"/>
        <w:lang w:val="en-US" w:eastAsia="ar-SA" w:bidi="ar-SA"/>
      </w:rPr>
    </w:lvl>
    <w:lvl w:ilvl="6">
      <w:numFmt w:val="bullet"/>
      <w:lvlText w:val=""/>
      <w:lvlJc w:val="left"/>
      <w:pPr>
        <w:tabs>
          <w:tab w:val="num" w:pos="0"/>
        </w:tabs>
        <w:ind w:left="6076" w:hanging="284"/>
      </w:pPr>
      <w:rPr>
        <w:rFonts w:ascii="Symbol" w:hAnsi="Symbol"/>
        <w:lang w:val="en-US" w:eastAsia="ar-SA" w:bidi="ar-SA"/>
      </w:rPr>
    </w:lvl>
    <w:lvl w:ilvl="7">
      <w:numFmt w:val="bullet"/>
      <w:lvlText w:val=""/>
      <w:lvlJc w:val="left"/>
      <w:pPr>
        <w:tabs>
          <w:tab w:val="num" w:pos="0"/>
        </w:tabs>
        <w:ind w:left="7022" w:hanging="284"/>
      </w:pPr>
      <w:rPr>
        <w:rFonts w:ascii="Symbol" w:hAnsi="Symbol"/>
        <w:lang w:val="en-US" w:eastAsia="ar-SA" w:bidi="ar-SA"/>
      </w:rPr>
    </w:lvl>
    <w:lvl w:ilvl="8">
      <w:numFmt w:val="bullet"/>
      <w:lvlText w:val=""/>
      <w:lvlJc w:val="left"/>
      <w:pPr>
        <w:tabs>
          <w:tab w:val="num" w:pos="0"/>
        </w:tabs>
        <w:ind w:left="7968" w:hanging="284"/>
      </w:pPr>
      <w:rPr>
        <w:rFonts w:ascii="Symbol" w:hAnsi="Symbol"/>
        <w:lang w:val="en-US" w:eastAsia="ar-SA" w:bidi="ar-SA"/>
      </w:rPr>
    </w:lvl>
  </w:abstractNum>
  <w:abstractNum w:abstractNumId="9" w15:restartNumberingAfterBreak="0">
    <w:nsid w:val="0000000A"/>
    <w:multiLevelType w:val="multilevel"/>
    <w:tmpl w:val="0000000A"/>
    <w:name w:val="WWNum5"/>
    <w:lvl w:ilvl="0">
      <w:start w:val="11"/>
      <w:numFmt w:val="decimal"/>
      <w:lvlText w:val="%1"/>
      <w:lvlJc w:val="left"/>
      <w:pPr>
        <w:tabs>
          <w:tab w:val="num" w:pos="0"/>
        </w:tabs>
        <w:ind w:left="400" w:hanging="284"/>
      </w:pPr>
      <w:rPr>
        <w:rFonts w:eastAsia="Times New Roman" w:cs="Times New Roman"/>
        <w:spacing w:val="-16"/>
        <w:w w:val="100"/>
        <w:sz w:val="20"/>
        <w:szCs w:val="20"/>
        <w:lang w:val="en-US" w:eastAsia="ar-SA" w:bidi="ar-SA"/>
      </w:rPr>
    </w:lvl>
    <w:lvl w:ilvl="1">
      <w:numFmt w:val="bullet"/>
      <w:lvlText w:val=""/>
      <w:lvlJc w:val="left"/>
      <w:pPr>
        <w:tabs>
          <w:tab w:val="num" w:pos="0"/>
        </w:tabs>
        <w:ind w:left="1346" w:hanging="284"/>
      </w:pPr>
      <w:rPr>
        <w:rFonts w:ascii="Symbol" w:hAnsi="Symbol"/>
        <w:lang w:val="en-US" w:eastAsia="ar-SA" w:bidi="ar-SA"/>
      </w:rPr>
    </w:lvl>
    <w:lvl w:ilvl="2">
      <w:numFmt w:val="bullet"/>
      <w:lvlText w:val=""/>
      <w:lvlJc w:val="left"/>
      <w:pPr>
        <w:tabs>
          <w:tab w:val="num" w:pos="0"/>
        </w:tabs>
        <w:ind w:left="2292" w:hanging="284"/>
      </w:pPr>
      <w:rPr>
        <w:rFonts w:ascii="Symbol" w:hAnsi="Symbol"/>
        <w:lang w:val="en-US" w:eastAsia="ar-SA" w:bidi="ar-SA"/>
      </w:rPr>
    </w:lvl>
    <w:lvl w:ilvl="3">
      <w:numFmt w:val="bullet"/>
      <w:lvlText w:val=""/>
      <w:lvlJc w:val="left"/>
      <w:pPr>
        <w:tabs>
          <w:tab w:val="num" w:pos="0"/>
        </w:tabs>
        <w:ind w:left="3238" w:hanging="284"/>
      </w:pPr>
      <w:rPr>
        <w:rFonts w:ascii="Symbol" w:hAnsi="Symbol"/>
        <w:lang w:val="en-US" w:eastAsia="ar-SA" w:bidi="ar-SA"/>
      </w:rPr>
    </w:lvl>
    <w:lvl w:ilvl="4">
      <w:numFmt w:val="bullet"/>
      <w:lvlText w:val=""/>
      <w:lvlJc w:val="left"/>
      <w:pPr>
        <w:tabs>
          <w:tab w:val="num" w:pos="0"/>
        </w:tabs>
        <w:ind w:left="4184" w:hanging="284"/>
      </w:pPr>
      <w:rPr>
        <w:rFonts w:ascii="Symbol" w:hAnsi="Symbol"/>
        <w:lang w:val="en-US" w:eastAsia="ar-SA" w:bidi="ar-SA"/>
      </w:rPr>
    </w:lvl>
    <w:lvl w:ilvl="5">
      <w:numFmt w:val="bullet"/>
      <w:lvlText w:val=""/>
      <w:lvlJc w:val="left"/>
      <w:pPr>
        <w:tabs>
          <w:tab w:val="num" w:pos="0"/>
        </w:tabs>
        <w:ind w:left="5130" w:hanging="284"/>
      </w:pPr>
      <w:rPr>
        <w:rFonts w:ascii="Symbol" w:hAnsi="Symbol"/>
        <w:lang w:val="en-US" w:eastAsia="ar-SA" w:bidi="ar-SA"/>
      </w:rPr>
    </w:lvl>
    <w:lvl w:ilvl="6">
      <w:numFmt w:val="bullet"/>
      <w:lvlText w:val=""/>
      <w:lvlJc w:val="left"/>
      <w:pPr>
        <w:tabs>
          <w:tab w:val="num" w:pos="0"/>
        </w:tabs>
        <w:ind w:left="6076" w:hanging="284"/>
      </w:pPr>
      <w:rPr>
        <w:rFonts w:ascii="Symbol" w:hAnsi="Symbol"/>
        <w:lang w:val="en-US" w:eastAsia="ar-SA" w:bidi="ar-SA"/>
      </w:rPr>
    </w:lvl>
    <w:lvl w:ilvl="7">
      <w:numFmt w:val="bullet"/>
      <w:lvlText w:val=""/>
      <w:lvlJc w:val="left"/>
      <w:pPr>
        <w:tabs>
          <w:tab w:val="num" w:pos="0"/>
        </w:tabs>
        <w:ind w:left="7022" w:hanging="284"/>
      </w:pPr>
      <w:rPr>
        <w:rFonts w:ascii="Symbol" w:hAnsi="Symbol"/>
        <w:lang w:val="en-US" w:eastAsia="ar-SA" w:bidi="ar-SA"/>
      </w:rPr>
    </w:lvl>
    <w:lvl w:ilvl="8">
      <w:numFmt w:val="bullet"/>
      <w:lvlText w:val=""/>
      <w:lvlJc w:val="left"/>
      <w:pPr>
        <w:tabs>
          <w:tab w:val="num" w:pos="0"/>
        </w:tabs>
        <w:ind w:left="7968" w:hanging="284"/>
      </w:pPr>
      <w:rPr>
        <w:rFonts w:ascii="Symbol" w:hAnsi="Symbol"/>
        <w:lang w:val="en-US" w:eastAsia="ar-SA" w:bidi="ar-SA"/>
      </w:rPr>
    </w:lvl>
  </w:abstractNum>
  <w:abstractNum w:abstractNumId="10" w15:restartNumberingAfterBreak="0">
    <w:nsid w:val="0000000B"/>
    <w:multiLevelType w:val="multilevel"/>
    <w:tmpl w:val="0000000B"/>
    <w:name w:val="WWNum4"/>
    <w:lvl w:ilvl="0">
      <w:start w:val="6"/>
      <w:numFmt w:val="decimal"/>
      <w:lvlText w:val="%1"/>
      <w:lvlJc w:val="left"/>
      <w:pPr>
        <w:tabs>
          <w:tab w:val="num" w:pos="0"/>
        </w:tabs>
        <w:ind w:left="266" w:hanging="150"/>
      </w:pPr>
      <w:rPr>
        <w:rFonts w:eastAsia="Times New Roman" w:cs="Times New Roman"/>
        <w:spacing w:val="-2"/>
        <w:w w:val="100"/>
        <w:sz w:val="20"/>
        <w:szCs w:val="20"/>
        <w:lang w:val="en-US" w:eastAsia="ar-SA" w:bidi="ar-SA"/>
      </w:rPr>
    </w:lvl>
    <w:lvl w:ilvl="1">
      <w:numFmt w:val="bullet"/>
      <w:lvlText w:val=""/>
      <w:lvlJc w:val="left"/>
      <w:pPr>
        <w:tabs>
          <w:tab w:val="num" w:pos="0"/>
        </w:tabs>
        <w:ind w:left="1220" w:hanging="150"/>
      </w:pPr>
      <w:rPr>
        <w:rFonts w:ascii="Symbol" w:hAnsi="Symbol"/>
        <w:lang w:val="en-US" w:eastAsia="ar-SA" w:bidi="ar-SA"/>
      </w:rPr>
    </w:lvl>
    <w:lvl w:ilvl="2">
      <w:numFmt w:val="bullet"/>
      <w:lvlText w:val=""/>
      <w:lvlJc w:val="left"/>
      <w:pPr>
        <w:tabs>
          <w:tab w:val="num" w:pos="0"/>
        </w:tabs>
        <w:ind w:left="2180" w:hanging="150"/>
      </w:pPr>
      <w:rPr>
        <w:rFonts w:ascii="Symbol" w:hAnsi="Symbol"/>
        <w:lang w:val="en-US" w:eastAsia="ar-SA" w:bidi="ar-SA"/>
      </w:rPr>
    </w:lvl>
    <w:lvl w:ilvl="3">
      <w:numFmt w:val="bullet"/>
      <w:lvlText w:val=""/>
      <w:lvlJc w:val="left"/>
      <w:pPr>
        <w:tabs>
          <w:tab w:val="num" w:pos="0"/>
        </w:tabs>
        <w:ind w:left="3140" w:hanging="150"/>
      </w:pPr>
      <w:rPr>
        <w:rFonts w:ascii="Symbol" w:hAnsi="Symbol"/>
        <w:lang w:val="en-US" w:eastAsia="ar-SA" w:bidi="ar-SA"/>
      </w:rPr>
    </w:lvl>
    <w:lvl w:ilvl="4">
      <w:numFmt w:val="bullet"/>
      <w:lvlText w:val=""/>
      <w:lvlJc w:val="left"/>
      <w:pPr>
        <w:tabs>
          <w:tab w:val="num" w:pos="0"/>
        </w:tabs>
        <w:ind w:left="4100" w:hanging="150"/>
      </w:pPr>
      <w:rPr>
        <w:rFonts w:ascii="Symbol" w:hAnsi="Symbol"/>
        <w:lang w:val="en-US" w:eastAsia="ar-SA" w:bidi="ar-SA"/>
      </w:rPr>
    </w:lvl>
    <w:lvl w:ilvl="5">
      <w:numFmt w:val="bullet"/>
      <w:lvlText w:val=""/>
      <w:lvlJc w:val="left"/>
      <w:pPr>
        <w:tabs>
          <w:tab w:val="num" w:pos="0"/>
        </w:tabs>
        <w:ind w:left="5060" w:hanging="150"/>
      </w:pPr>
      <w:rPr>
        <w:rFonts w:ascii="Symbol" w:hAnsi="Symbol"/>
        <w:lang w:val="en-US" w:eastAsia="ar-SA" w:bidi="ar-SA"/>
      </w:rPr>
    </w:lvl>
    <w:lvl w:ilvl="6">
      <w:numFmt w:val="bullet"/>
      <w:lvlText w:val=""/>
      <w:lvlJc w:val="left"/>
      <w:pPr>
        <w:tabs>
          <w:tab w:val="num" w:pos="0"/>
        </w:tabs>
        <w:ind w:left="6020" w:hanging="150"/>
      </w:pPr>
      <w:rPr>
        <w:rFonts w:ascii="Symbol" w:hAnsi="Symbol"/>
        <w:lang w:val="en-US" w:eastAsia="ar-SA" w:bidi="ar-SA"/>
      </w:rPr>
    </w:lvl>
    <w:lvl w:ilvl="7">
      <w:numFmt w:val="bullet"/>
      <w:lvlText w:val=""/>
      <w:lvlJc w:val="left"/>
      <w:pPr>
        <w:tabs>
          <w:tab w:val="num" w:pos="0"/>
        </w:tabs>
        <w:ind w:left="6980" w:hanging="150"/>
      </w:pPr>
      <w:rPr>
        <w:rFonts w:ascii="Symbol" w:hAnsi="Symbol"/>
        <w:lang w:val="en-US" w:eastAsia="ar-SA" w:bidi="ar-SA"/>
      </w:rPr>
    </w:lvl>
    <w:lvl w:ilvl="8">
      <w:numFmt w:val="bullet"/>
      <w:lvlText w:val=""/>
      <w:lvlJc w:val="left"/>
      <w:pPr>
        <w:tabs>
          <w:tab w:val="num" w:pos="0"/>
        </w:tabs>
        <w:ind w:left="7940" w:hanging="150"/>
      </w:pPr>
      <w:rPr>
        <w:rFonts w:ascii="Symbol" w:hAnsi="Symbol"/>
        <w:lang w:val="en-US" w:eastAsia="ar-SA" w:bidi="ar-SA"/>
      </w:rPr>
    </w:lvl>
  </w:abstractNum>
  <w:abstractNum w:abstractNumId="11" w15:restartNumberingAfterBreak="0">
    <w:nsid w:val="0000000C"/>
    <w:multiLevelType w:val="multilevel"/>
    <w:tmpl w:val="0000000C"/>
    <w:name w:val="WWNum3"/>
    <w:lvl w:ilvl="0">
      <w:numFmt w:val="bullet"/>
      <w:lvlText w:val="-"/>
      <w:lvlJc w:val="left"/>
      <w:pPr>
        <w:tabs>
          <w:tab w:val="num" w:pos="0"/>
        </w:tabs>
        <w:ind w:left="106" w:hanging="128"/>
      </w:pPr>
      <w:rPr>
        <w:rFonts w:ascii="Times New Roman" w:hAnsi="Times New Roman" w:cs="Times New Roman"/>
        <w:w w:val="100"/>
        <w:sz w:val="22"/>
        <w:szCs w:val="22"/>
        <w:lang w:val="en-US" w:eastAsia="ar-SA" w:bidi="ar-SA"/>
      </w:rPr>
    </w:lvl>
    <w:lvl w:ilvl="1">
      <w:numFmt w:val="bullet"/>
      <w:lvlText w:val=""/>
      <w:lvlJc w:val="left"/>
      <w:pPr>
        <w:tabs>
          <w:tab w:val="num" w:pos="0"/>
        </w:tabs>
        <w:ind w:left="1076" w:hanging="128"/>
      </w:pPr>
      <w:rPr>
        <w:rFonts w:ascii="Symbol" w:hAnsi="Symbol"/>
        <w:lang w:val="en-US" w:eastAsia="ar-SA" w:bidi="ar-SA"/>
      </w:rPr>
    </w:lvl>
    <w:lvl w:ilvl="2">
      <w:numFmt w:val="bullet"/>
      <w:lvlText w:val=""/>
      <w:lvlJc w:val="left"/>
      <w:pPr>
        <w:tabs>
          <w:tab w:val="num" w:pos="0"/>
        </w:tabs>
        <w:ind w:left="2052" w:hanging="128"/>
      </w:pPr>
      <w:rPr>
        <w:rFonts w:ascii="Symbol" w:hAnsi="Symbol"/>
        <w:lang w:val="en-US" w:eastAsia="ar-SA" w:bidi="ar-SA"/>
      </w:rPr>
    </w:lvl>
    <w:lvl w:ilvl="3">
      <w:numFmt w:val="bullet"/>
      <w:lvlText w:val=""/>
      <w:lvlJc w:val="left"/>
      <w:pPr>
        <w:tabs>
          <w:tab w:val="num" w:pos="0"/>
        </w:tabs>
        <w:ind w:left="3028" w:hanging="128"/>
      </w:pPr>
      <w:rPr>
        <w:rFonts w:ascii="Symbol" w:hAnsi="Symbol"/>
        <w:lang w:val="en-US" w:eastAsia="ar-SA" w:bidi="ar-SA"/>
      </w:rPr>
    </w:lvl>
    <w:lvl w:ilvl="4">
      <w:numFmt w:val="bullet"/>
      <w:lvlText w:val=""/>
      <w:lvlJc w:val="left"/>
      <w:pPr>
        <w:tabs>
          <w:tab w:val="num" w:pos="0"/>
        </w:tabs>
        <w:ind w:left="4004" w:hanging="128"/>
      </w:pPr>
      <w:rPr>
        <w:rFonts w:ascii="Symbol" w:hAnsi="Symbol"/>
        <w:lang w:val="en-US" w:eastAsia="ar-SA" w:bidi="ar-SA"/>
      </w:rPr>
    </w:lvl>
    <w:lvl w:ilvl="5">
      <w:numFmt w:val="bullet"/>
      <w:lvlText w:val=""/>
      <w:lvlJc w:val="left"/>
      <w:pPr>
        <w:tabs>
          <w:tab w:val="num" w:pos="0"/>
        </w:tabs>
        <w:ind w:left="4980" w:hanging="128"/>
      </w:pPr>
      <w:rPr>
        <w:rFonts w:ascii="Symbol" w:hAnsi="Symbol"/>
        <w:lang w:val="en-US" w:eastAsia="ar-SA" w:bidi="ar-SA"/>
      </w:rPr>
    </w:lvl>
    <w:lvl w:ilvl="6">
      <w:numFmt w:val="bullet"/>
      <w:lvlText w:val=""/>
      <w:lvlJc w:val="left"/>
      <w:pPr>
        <w:tabs>
          <w:tab w:val="num" w:pos="0"/>
        </w:tabs>
        <w:ind w:left="5956" w:hanging="128"/>
      </w:pPr>
      <w:rPr>
        <w:rFonts w:ascii="Symbol" w:hAnsi="Symbol"/>
        <w:lang w:val="en-US" w:eastAsia="ar-SA" w:bidi="ar-SA"/>
      </w:rPr>
    </w:lvl>
    <w:lvl w:ilvl="7">
      <w:numFmt w:val="bullet"/>
      <w:lvlText w:val=""/>
      <w:lvlJc w:val="left"/>
      <w:pPr>
        <w:tabs>
          <w:tab w:val="num" w:pos="0"/>
        </w:tabs>
        <w:ind w:left="6932" w:hanging="128"/>
      </w:pPr>
      <w:rPr>
        <w:rFonts w:ascii="Symbol" w:hAnsi="Symbol"/>
        <w:lang w:val="en-US" w:eastAsia="ar-SA" w:bidi="ar-SA"/>
      </w:rPr>
    </w:lvl>
    <w:lvl w:ilvl="8">
      <w:numFmt w:val="bullet"/>
      <w:lvlText w:val=""/>
      <w:lvlJc w:val="left"/>
      <w:pPr>
        <w:tabs>
          <w:tab w:val="num" w:pos="0"/>
        </w:tabs>
        <w:ind w:left="7908" w:hanging="128"/>
      </w:pPr>
      <w:rPr>
        <w:rFonts w:ascii="Symbol" w:hAnsi="Symbol"/>
        <w:lang w:val="en-US" w:eastAsia="ar-SA" w:bidi="ar-SA"/>
      </w:rPr>
    </w:lvl>
  </w:abstractNum>
  <w:abstractNum w:abstractNumId="12" w15:restartNumberingAfterBreak="0">
    <w:nsid w:val="0000000D"/>
    <w:multiLevelType w:val="multilevel"/>
    <w:tmpl w:val="0000000D"/>
    <w:name w:val="WWNum2"/>
    <w:lvl w:ilvl="0">
      <w:start w:val="2"/>
      <w:numFmt w:val="decimal"/>
      <w:lvlText w:val="%1"/>
      <w:lvlJc w:val="left"/>
      <w:pPr>
        <w:tabs>
          <w:tab w:val="num" w:pos="0"/>
        </w:tabs>
        <w:ind w:left="266" w:hanging="150"/>
      </w:pPr>
      <w:rPr>
        <w:spacing w:val="-2"/>
        <w:w w:val="100"/>
        <w:lang w:val="en-US" w:eastAsia="ar-SA" w:bidi="ar-SA"/>
      </w:rPr>
    </w:lvl>
    <w:lvl w:ilvl="1">
      <w:numFmt w:val="bullet"/>
      <w:lvlText w:val=""/>
      <w:lvlJc w:val="left"/>
      <w:pPr>
        <w:tabs>
          <w:tab w:val="num" w:pos="0"/>
        </w:tabs>
        <w:ind w:left="1220" w:hanging="150"/>
      </w:pPr>
      <w:rPr>
        <w:rFonts w:ascii="Symbol" w:hAnsi="Symbol"/>
        <w:lang w:val="en-US" w:eastAsia="ar-SA" w:bidi="ar-SA"/>
      </w:rPr>
    </w:lvl>
    <w:lvl w:ilvl="2">
      <w:numFmt w:val="bullet"/>
      <w:lvlText w:val=""/>
      <w:lvlJc w:val="left"/>
      <w:pPr>
        <w:tabs>
          <w:tab w:val="num" w:pos="0"/>
        </w:tabs>
        <w:ind w:left="2180" w:hanging="150"/>
      </w:pPr>
      <w:rPr>
        <w:rFonts w:ascii="Symbol" w:hAnsi="Symbol"/>
        <w:lang w:val="en-US" w:eastAsia="ar-SA" w:bidi="ar-SA"/>
      </w:rPr>
    </w:lvl>
    <w:lvl w:ilvl="3">
      <w:numFmt w:val="bullet"/>
      <w:lvlText w:val=""/>
      <w:lvlJc w:val="left"/>
      <w:pPr>
        <w:tabs>
          <w:tab w:val="num" w:pos="0"/>
        </w:tabs>
        <w:ind w:left="3140" w:hanging="150"/>
      </w:pPr>
      <w:rPr>
        <w:rFonts w:ascii="Symbol" w:hAnsi="Symbol"/>
        <w:lang w:val="en-US" w:eastAsia="ar-SA" w:bidi="ar-SA"/>
      </w:rPr>
    </w:lvl>
    <w:lvl w:ilvl="4">
      <w:numFmt w:val="bullet"/>
      <w:lvlText w:val=""/>
      <w:lvlJc w:val="left"/>
      <w:pPr>
        <w:tabs>
          <w:tab w:val="num" w:pos="0"/>
        </w:tabs>
        <w:ind w:left="4100" w:hanging="150"/>
      </w:pPr>
      <w:rPr>
        <w:rFonts w:ascii="Symbol" w:hAnsi="Symbol"/>
        <w:lang w:val="en-US" w:eastAsia="ar-SA" w:bidi="ar-SA"/>
      </w:rPr>
    </w:lvl>
    <w:lvl w:ilvl="5">
      <w:numFmt w:val="bullet"/>
      <w:lvlText w:val=""/>
      <w:lvlJc w:val="left"/>
      <w:pPr>
        <w:tabs>
          <w:tab w:val="num" w:pos="0"/>
        </w:tabs>
        <w:ind w:left="5060" w:hanging="150"/>
      </w:pPr>
      <w:rPr>
        <w:rFonts w:ascii="Symbol" w:hAnsi="Symbol"/>
        <w:lang w:val="en-US" w:eastAsia="ar-SA" w:bidi="ar-SA"/>
      </w:rPr>
    </w:lvl>
    <w:lvl w:ilvl="6">
      <w:numFmt w:val="bullet"/>
      <w:lvlText w:val=""/>
      <w:lvlJc w:val="left"/>
      <w:pPr>
        <w:tabs>
          <w:tab w:val="num" w:pos="0"/>
        </w:tabs>
        <w:ind w:left="6020" w:hanging="150"/>
      </w:pPr>
      <w:rPr>
        <w:rFonts w:ascii="Symbol" w:hAnsi="Symbol"/>
        <w:lang w:val="en-US" w:eastAsia="ar-SA" w:bidi="ar-SA"/>
      </w:rPr>
    </w:lvl>
    <w:lvl w:ilvl="7">
      <w:numFmt w:val="bullet"/>
      <w:lvlText w:val=""/>
      <w:lvlJc w:val="left"/>
      <w:pPr>
        <w:tabs>
          <w:tab w:val="num" w:pos="0"/>
        </w:tabs>
        <w:ind w:left="6980" w:hanging="150"/>
      </w:pPr>
      <w:rPr>
        <w:rFonts w:ascii="Symbol" w:hAnsi="Symbol"/>
        <w:lang w:val="en-US" w:eastAsia="ar-SA" w:bidi="ar-SA"/>
      </w:rPr>
    </w:lvl>
    <w:lvl w:ilvl="8">
      <w:numFmt w:val="bullet"/>
      <w:lvlText w:val=""/>
      <w:lvlJc w:val="left"/>
      <w:pPr>
        <w:tabs>
          <w:tab w:val="num" w:pos="0"/>
        </w:tabs>
        <w:ind w:left="7940" w:hanging="150"/>
      </w:pPr>
      <w:rPr>
        <w:rFonts w:ascii="Symbol" w:hAnsi="Symbol"/>
        <w:lang w:val="en-US" w:eastAsia="ar-SA" w:bidi="ar-S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764"/>
    <w:rsid w:val="00E65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9CCFFEAA-C8F5-48D5-9409-6648E0BF0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00" w:lineRule="atLeast"/>
    </w:pPr>
    <w:rPr>
      <w:sz w:val="22"/>
      <w:szCs w:val="22"/>
      <w:lang w:val="en-US" w:eastAsia="ar-SA"/>
    </w:rPr>
  </w:style>
  <w:style w:type="paragraph" w:styleId="Heading1">
    <w:name w:val="heading 1"/>
    <w:basedOn w:val="Normal"/>
    <w:next w:val="BodyText"/>
    <w:qFormat/>
    <w:pPr>
      <w:numPr>
        <w:numId w:val="1"/>
      </w:numPr>
      <w:ind w:left="115" w:right="63" w:firstLine="71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character" w:customStyle="1" w:styleId="ListLabel1">
    <w:name w:val="ListLabel 1"/>
    <w:rPr>
      <w:w w:val="100"/>
      <w:u w:val="single" w:color="000000"/>
      <w:lang w:val="en-US" w:eastAsia="ar-SA" w:bidi="ar-SA"/>
    </w:rPr>
  </w:style>
  <w:style w:type="character" w:customStyle="1" w:styleId="ListLabel2">
    <w:name w:val="ListLabel 2"/>
    <w:rPr>
      <w:lang w:val="en-US" w:eastAsia="ar-SA" w:bidi="ar-SA"/>
    </w:rPr>
  </w:style>
  <w:style w:type="character" w:customStyle="1" w:styleId="ListLabel3">
    <w:name w:val="ListLabel 3"/>
    <w:rPr>
      <w:rFonts w:eastAsia="Times New Roman" w:cs="Times New Roman"/>
      <w:spacing w:val="-16"/>
      <w:w w:val="100"/>
      <w:sz w:val="20"/>
      <w:szCs w:val="20"/>
      <w:lang w:val="en-US" w:eastAsia="ar-SA" w:bidi="ar-SA"/>
    </w:rPr>
  </w:style>
  <w:style w:type="character" w:customStyle="1" w:styleId="ListLabel4">
    <w:name w:val="ListLabel 4"/>
    <w:rPr>
      <w:lang w:val="en-US" w:eastAsia="ar-SA" w:bidi="ar-SA"/>
    </w:rPr>
  </w:style>
  <w:style w:type="character" w:customStyle="1" w:styleId="ListLabel5">
    <w:name w:val="ListLabel 5"/>
    <w:rPr>
      <w:rFonts w:eastAsia="Times New Roman" w:cs="Times New Roman"/>
      <w:spacing w:val="-2"/>
      <w:w w:val="100"/>
      <w:sz w:val="22"/>
      <w:szCs w:val="22"/>
      <w:u w:val="single" w:color="000000"/>
      <w:lang w:val="en-US" w:eastAsia="ar-SA" w:bidi="ar-SA"/>
    </w:rPr>
  </w:style>
  <w:style w:type="character" w:customStyle="1" w:styleId="ListLabel6">
    <w:name w:val="ListLabel 6"/>
    <w:rPr>
      <w:rFonts w:eastAsia="OpenSymbol" w:cs="OpenSymbol"/>
      <w:w w:val="89"/>
      <w:sz w:val="22"/>
      <w:szCs w:val="22"/>
      <w:lang w:val="en-US" w:eastAsia="ar-SA" w:bidi="ar-SA"/>
    </w:rPr>
  </w:style>
  <w:style w:type="character" w:customStyle="1" w:styleId="ListLabel7">
    <w:name w:val="ListLabel 7"/>
    <w:rPr>
      <w:rFonts w:eastAsia="Times New Roman" w:cs="Times New Roman"/>
      <w:spacing w:val="-2"/>
      <w:w w:val="100"/>
      <w:sz w:val="20"/>
      <w:szCs w:val="20"/>
      <w:lang w:val="en-US" w:eastAsia="ar-SA" w:bidi="ar-SA"/>
    </w:rPr>
  </w:style>
  <w:style w:type="character" w:customStyle="1" w:styleId="ListLabel8">
    <w:name w:val="ListLabel 8"/>
    <w:rPr>
      <w:rFonts w:eastAsia="Times New Roman" w:cs="Times New Roman"/>
      <w:w w:val="100"/>
      <w:sz w:val="22"/>
      <w:szCs w:val="22"/>
      <w:lang w:val="en-US" w:eastAsia="ar-SA" w:bidi="ar-SA"/>
    </w:rPr>
  </w:style>
  <w:style w:type="character" w:customStyle="1" w:styleId="ListLabel9">
    <w:name w:val="ListLabel 9"/>
    <w:rPr>
      <w:spacing w:val="-2"/>
      <w:w w:val="100"/>
      <w:lang w:val="en-US" w:eastAsia="ar-SA" w:bidi="ar-SA"/>
    </w:rPr>
  </w:style>
  <w:style w:type="character" w:styleId="Hyperlink">
    <w:name w:val="Hyperlink"/>
    <w:rPr>
      <w:color w:val="000080"/>
      <w:u w:val="single"/>
      <w:lang/>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ListParagraph">
    <w:name w:val="List Paragraph"/>
    <w:basedOn w:val="Normal"/>
    <w:qFormat/>
    <w:pPr>
      <w:ind w:left="400" w:hanging="285"/>
    </w:pPr>
  </w:style>
  <w:style w:type="paragraph" w:customStyle="1" w:styleId="TableParagraph">
    <w:name w:val="Table Paragraph"/>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ees.solidarites-sante.gouv.fr/IMG/pdf/20-17.pdf" TargetMode="External"/><Relationship Id="rId18" Type="http://schemas.openxmlformats.org/officeDocument/2006/relationships/hyperlink" Target="https://handicap.gouv.fr/le-secretariat-d-etat/acteurs/comite-interministeriel-du-handicap-cih/la-conference-nationale-du-handicap/article/les-propositions-de-la-cnh-le-11-fevrier-2020" TargetMode="External"/><Relationship Id="rId26" Type="http://schemas.openxmlformats.org/officeDocument/2006/relationships/hyperlink" Target="https://www.unapei.org/actions/qui-sommes-nous/" TargetMode="External"/><Relationship Id="rId3" Type="http://schemas.openxmlformats.org/officeDocument/2006/relationships/settings" Target="settings.xml"/><Relationship Id="rId21" Type="http://schemas.openxmlformats.org/officeDocument/2006/relationships/hyperlink" Target="https://handicap.gouv.fr/presse/communiques-de-presse/article/maitrise-des-departs-vers-la-belgique-et-renforcement-de-la-qualite-de-l" TargetMode="External"/><Relationship Id="rId34" Type="http://schemas.openxmlformats.org/officeDocument/2006/relationships/customXml" Target="../customXml/item1.xml"/><Relationship Id="rId7" Type="http://schemas.openxmlformats.org/officeDocument/2006/relationships/hyperlink" Target="https://www.ccomptes.fr/sites/default/files/EzPublish/20161004-rapport-protection-juridique-majeurs.pdf" TargetMode="External"/><Relationship Id="rId12" Type="http://schemas.openxmlformats.org/officeDocument/2006/relationships/hyperlink" Target="https://www.legifrance.gouv.fr/affichJuriAdmin.do?oldAction=rechJuriAdmin&amp;idTexte=CETATEXT000041808375&amp;fastReqId=1888570292&amp;fastPos=1" TargetMode="External"/><Relationship Id="rId17" Type="http://schemas.openxmlformats.org/officeDocument/2006/relationships/hyperlink" Target="https://handicap.gouv.fr/le-secretariat-d-etat/acteurs/comite-interministeriel-du-handicap-cih/la-conference-nationale-du-handicap/article/les-propositions-de-la-cnh-le-11-fevrier-2020" TargetMode="External"/><Relationship Id="rId25" Type="http://schemas.openxmlformats.org/officeDocument/2006/relationships/hyperlink" Target="https://www.unapei.org/wp-content/uploads/2018/09/CharteAssociationsMadatairesJudiciairesUnapei_couleur_.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andicap.gouv.fr/le-secretariat-d-etat/acteurs/comite-interministeriel-du-handicap-cih/la-conference-nationale-du-handicap/article/les-propositions-de-la-cnh-le-11-fevrier-2020" TargetMode="External"/><Relationship Id="rId20" Type="http://schemas.openxmlformats.org/officeDocument/2006/relationships/hyperlink" Target="https://handicap.gouv.fr/presse/communiques-de-presse/article/maitrise-des-departs-vers-la-belgique-et-renforcement-de-la-qualite-de-l" TargetMode="External"/><Relationship Id="rId29" Type="http://schemas.openxmlformats.org/officeDocument/2006/relationships/hyperlink" Target="http://inclusion-europe.eu/wp-content/uploads/2015/03/Unapei.Desinstitutionnalisation.Document.politique.pdf"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legifrance.gouv.fr/affichJuriAdmin.do?oldAction=rechJuriAdmin&amp;idTexte=CETATEXT000041808375&amp;fastReqId=1888570292&amp;fastPos=1" TargetMode="External"/><Relationship Id="rId24" Type="http://schemas.openxmlformats.org/officeDocument/2006/relationships/hyperlink" Target="https://www.unapei.org/wp-content/uploads/2018/09/CharteAssociationsMadatairesJudiciairesUnapei_couleur_.pdf" TargetMode="External"/><Relationship Id="rId32" Type="http://schemas.openxmlformats.org/officeDocument/2006/relationships/fontTable" Target="fontTable.xml"/><Relationship Id="rId5" Type="http://schemas.openxmlformats.org/officeDocument/2006/relationships/hyperlink" Target="http://www.francedisability.com/" TargetMode="External"/><Relationship Id="rId15" Type="http://schemas.openxmlformats.org/officeDocument/2006/relationships/hyperlink" Target="https://handicap.gouv.fr/le-secretariat-d-etat/acteurs/comite-interministeriel-du-handicap-cih/la-conference-nationale-du-handicap/article/les-propositions-de-la-cnh-le-11-fevrier-2020" TargetMode="External"/><Relationship Id="rId23" Type="http://schemas.openxmlformats.org/officeDocument/2006/relationships/hyperlink" Target="https://www.cnsa.fr/outils-methodes-et-territoires-organisation-de-loffre/programmation-et-creation-de-places-en-etablissement-ou-service/le-bilan-des-plans" TargetMode="External"/><Relationship Id="rId28" Type="http://schemas.openxmlformats.org/officeDocument/2006/relationships/hyperlink" Target="http://formation.unapei.org/associations-mandataires-judiciaires-a-la-protection-des-majeurs" TargetMode="External"/><Relationship Id="rId36" Type="http://schemas.openxmlformats.org/officeDocument/2006/relationships/customXml" Target="../customXml/item3.xml"/><Relationship Id="rId10" Type="http://schemas.openxmlformats.org/officeDocument/2006/relationships/hyperlink" Target="http://www.defenseurdesdroits.fr/sites/default/files/atoms/files/rap-ehpad-num-29.04.21.pdf" TargetMode="External"/><Relationship Id="rId19" Type="http://schemas.openxmlformats.org/officeDocument/2006/relationships/hyperlink" Target="http://www.cra-rhone-alpes.org/IMG/pdf_hebergement-des-personnes-agees-et-handicapees-en-Belgique.pdf" TargetMode="External"/><Relationship Id="rId31" Type="http://schemas.openxmlformats.org/officeDocument/2006/relationships/hyperlink" Target="mailto:contact@francedisability.com" TargetMode="External"/><Relationship Id="rId4" Type="http://schemas.openxmlformats.org/officeDocument/2006/relationships/webSettings" Target="webSettings.xml"/><Relationship Id="rId9" Type="http://schemas.openxmlformats.org/officeDocument/2006/relationships/hyperlink" Target="https://www.interieur.gouv.fr/Elections/Comment-voter/Le-vote-des-personnes-handicapees" TargetMode="External"/><Relationship Id="rId14" Type="http://schemas.openxmlformats.org/officeDocument/2006/relationships/hyperlink" Target="https://www.vie-publique.fr/fiches/262485-qui-finance-la-prise-en-charge-du-handicap-et-de-la-dependance" TargetMode="External"/><Relationship Id="rId22" Type="http://schemas.openxmlformats.org/officeDocument/2006/relationships/hyperlink" Target="https://www.cnsa.fr/outils-methodes-et-territoires-organisation-de-loffre/programmation-et-creation-de-places-en-etablissement-ou-service/le-bilan-des-plans" TargetMode="External"/><Relationship Id="rId27" Type="http://schemas.openxmlformats.org/officeDocument/2006/relationships/hyperlink" Target="http://formation.unapei.org/associations-mandataires-judiciaires-a-la-protection-des-majeurs" TargetMode="External"/><Relationship Id="rId30" Type="http://schemas.openxmlformats.org/officeDocument/2006/relationships/hyperlink" Target="http://inclusion-europe.eu/wp-content/uploads/2015/03/Unapei.Desinstitutionnalisation.Document.politique.pdf" TargetMode="External"/><Relationship Id="rId35" Type="http://schemas.openxmlformats.org/officeDocument/2006/relationships/customXml" Target="../customXml/item2.xml"/><Relationship Id="rId8" Type="http://schemas.openxmlformats.org/officeDocument/2006/relationships/hyperlink" Target="https://www.interieur.gouv.fr/Elections/Comment-voter/Le-vote-des-personnes-handicap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AE405B-11B9-4A6D-9366-B0E51F371A2C}"/>
</file>

<file path=customXml/itemProps2.xml><?xml version="1.0" encoding="utf-8"?>
<ds:datastoreItem xmlns:ds="http://schemas.openxmlformats.org/officeDocument/2006/customXml" ds:itemID="{56158C24-1170-43A0-A103-D82D45AF3096}"/>
</file>

<file path=customXml/itemProps3.xml><?xml version="1.0" encoding="utf-8"?>
<ds:datastoreItem xmlns:ds="http://schemas.openxmlformats.org/officeDocument/2006/customXml" ds:itemID="{CF070F83-7066-4C22-BBC7-D79BA2440574}"/>
</file>

<file path=docProps/app.xml><?xml version="1.0" encoding="utf-8"?>
<Properties xmlns="http://schemas.openxmlformats.org/officeDocument/2006/extended-properties" xmlns:vt="http://schemas.openxmlformats.org/officeDocument/2006/docPropsVTypes">
  <Template>Normal.dotm</Template>
  <TotalTime>1</TotalTime>
  <Pages>13</Pages>
  <Words>6605</Words>
  <Characters>37652</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py</dc:creator>
  <cp:keywords/>
  <cp:lastModifiedBy>OUKO Robert</cp:lastModifiedBy>
  <cp:revision>2</cp:revision>
  <cp:lastPrinted>1601-01-01T00:00:00Z</cp:lastPrinted>
  <dcterms:created xsi:type="dcterms:W3CDTF">2021-08-12T12:15:00Z</dcterms:created>
  <dcterms:modified xsi:type="dcterms:W3CDTF">2021-08-12T12:15:00Z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0x010100A55E3C1D809DFD4CA245D0C6A65A453A</vt:lpwstr>
  </property>
</Properties>
</file>