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5D7114" w14:textId="19E0224D" w:rsidR="002A67FF" w:rsidRPr="00DA7827" w:rsidRDefault="002A67FF" w:rsidP="00943B36">
      <w:pPr>
        <w:jc w:val="both"/>
        <w:rPr>
          <w:rFonts w:ascii="Verdana" w:hAnsi="Verdana"/>
          <w:sz w:val="22"/>
          <w:szCs w:val="22"/>
        </w:rPr>
      </w:pPr>
      <w:r w:rsidRPr="00DA7827">
        <w:rPr>
          <w:rFonts w:ascii="Verdana" w:hAnsi="Verdana"/>
          <w:noProof/>
          <w:sz w:val="22"/>
          <w:szCs w:val="22"/>
        </w:rPr>
        <w:drawing>
          <wp:anchor distT="0" distB="0" distL="114300" distR="114300" simplePos="0" relativeHeight="251658240" behindDoc="0" locked="0" layoutInCell="1" allowOverlap="1" wp14:anchorId="68FE88E5" wp14:editId="5A1FE878">
            <wp:simplePos x="0" y="0"/>
            <wp:positionH relativeFrom="column">
              <wp:posOffset>3968750</wp:posOffset>
            </wp:positionH>
            <wp:positionV relativeFrom="paragraph">
              <wp:posOffset>0</wp:posOffset>
            </wp:positionV>
            <wp:extent cx="1953895" cy="862330"/>
            <wp:effectExtent l="0" t="0" r="1905" b="1270"/>
            <wp:wrapSquare wrapText="bothSides"/>
            <wp:docPr id="1" name="Picture 1" descr="Comisión Internacional de Juristas (CI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isión Internacional de Juristas (CIJ)"/>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7267" b="29495"/>
                    <a:stretch/>
                  </pic:blipFill>
                  <pic:spPr bwMode="auto">
                    <a:xfrm>
                      <a:off x="0" y="0"/>
                      <a:ext cx="1953895" cy="8623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A7827">
        <w:rPr>
          <w:rFonts w:ascii="Verdana" w:hAnsi="Verdana"/>
          <w:sz w:val="22"/>
          <w:szCs w:val="22"/>
        </w:rPr>
        <w:fldChar w:fldCharType="begin"/>
      </w:r>
      <w:r w:rsidR="00B80792">
        <w:rPr>
          <w:rFonts w:ascii="Verdana" w:hAnsi="Verdana"/>
          <w:sz w:val="22"/>
          <w:szCs w:val="22"/>
        </w:rPr>
        <w:instrText xml:space="preserve"> INCLUDEPICTURE "C:\\var\\folders\\n1\\4_phkwgx3nl67t3z9j19xxnr0000gn\\T\\com.microsoft.Word\\WebArchiveCopyPasteTempFiles\\icj_logo_rgb_english.jpg" \* MERGEFORMAT </w:instrText>
      </w:r>
      <w:r w:rsidRPr="00DA7827">
        <w:rPr>
          <w:rFonts w:ascii="Verdana" w:hAnsi="Verdana"/>
          <w:sz w:val="22"/>
          <w:szCs w:val="22"/>
        </w:rPr>
        <w:fldChar w:fldCharType="end"/>
      </w:r>
    </w:p>
    <w:p w14:paraId="27FF9D7D" w14:textId="77777777" w:rsidR="00CF2CDD" w:rsidRPr="00DA7827" w:rsidRDefault="00CF2CDD" w:rsidP="00943B36">
      <w:pPr>
        <w:jc w:val="both"/>
        <w:rPr>
          <w:rFonts w:ascii="Verdana" w:hAnsi="Verdana"/>
          <w:b/>
          <w:bCs/>
          <w:sz w:val="22"/>
          <w:szCs w:val="22"/>
          <w:lang w:val="en-US"/>
        </w:rPr>
      </w:pPr>
    </w:p>
    <w:p w14:paraId="64B68C89" w14:textId="77777777" w:rsidR="00CF2CDD" w:rsidRPr="00DA7827" w:rsidRDefault="00CF2CDD" w:rsidP="00943B36">
      <w:pPr>
        <w:jc w:val="both"/>
        <w:rPr>
          <w:rFonts w:ascii="Verdana" w:hAnsi="Verdana"/>
          <w:b/>
          <w:bCs/>
          <w:sz w:val="22"/>
          <w:szCs w:val="22"/>
          <w:lang w:val="en-US"/>
        </w:rPr>
      </w:pPr>
    </w:p>
    <w:p w14:paraId="3ABB946B" w14:textId="77777777" w:rsidR="00CF2CDD" w:rsidRPr="00DA7827" w:rsidRDefault="00CF2CDD" w:rsidP="00943B36">
      <w:pPr>
        <w:jc w:val="both"/>
        <w:rPr>
          <w:rFonts w:ascii="Verdana" w:hAnsi="Verdana"/>
          <w:b/>
          <w:bCs/>
          <w:sz w:val="22"/>
          <w:szCs w:val="22"/>
          <w:lang w:val="en-US"/>
        </w:rPr>
      </w:pPr>
    </w:p>
    <w:p w14:paraId="41C09CAE" w14:textId="77777777" w:rsidR="00CF2CDD" w:rsidRPr="00DA7827" w:rsidRDefault="00CF2CDD" w:rsidP="00943B36">
      <w:pPr>
        <w:jc w:val="both"/>
        <w:rPr>
          <w:rFonts w:ascii="Verdana" w:hAnsi="Verdana"/>
          <w:b/>
          <w:bCs/>
          <w:sz w:val="22"/>
          <w:szCs w:val="22"/>
          <w:lang w:val="en-US"/>
        </w:rPr>
      </w:pPr>
    </w:p>
    <w:p w14:paraId="76CA3943" w14:textId="77777777" w:rsidR="00CF2CDD" w:rsidRPr="00DA7827" w:rsidRDefault="00CF2CDD" w:rsidP="00943B36">
      <w:pPr>
        <w:jc w:val="both"/>
        <w:rPr>
          <w:rFonts w:ascii="Verdana" w:hAnsi="Verdana"/>
          <w:b/>
          <w:bCs/>
          <w:sz w:val="22"/>
          <w:szCs w:val="22"/>
          <w:lang w:val="en-US"/>
        </w:rPr>
      </w:pPr>
    </w:p>
    <w:p w14:paraId="7528B134" w14:textId="77777777" w:rsidR="00CF2CDD" w:rsidRPr="00DA7827" w:rsidRDefault="00CF2CDD" w:rsidP="00943B36">
      <w:pPr>
        <w:jc w:val="both"/>
        <w:rPr>
          <w:rFonts w:ascii="Verdana" w:hAnsi="Verdana"/>
          <w:b/>
          <w:bCs/>
          <w:sz w:val="22"/>
          <w:szCs w:val="22"/>
          <w:lang w:val="en-US"/>
        </w:rPr>
      </w:pPr>
    </w:p>
    <w:p w14:paraId="1DD348E1" w14:textId="77777777" w:rsidR="00CF2CDD" w:rsidRPr="00DA7827" w:rsidRDefault="00CF2CDD" w:rsidP="00943B36">
      <w:pPr>
        <w:jc w:val="both"/>
        <w:rPr>
          <w:rFonts w:ascii="Verdana" w:hAnsi="Verdana"/>
          <w:b/>
          <w:bCs/>
          <w:sz w:val="22"/>
          <w:szCs w:val="22"/>
          <w:lang w:val="en-US"/>
        </w:rPr>
      </w:pPr>
    </w:p>
    <w:p w14:paraId="0168EDEB" w14:textId="77777777" w:rsidR="00CF2CDD" w:rsidRPr="00DA7827" w:rsidRDefault="00CF2CDD" w:rsidP="00943B36">
      <w:pPr>
        <w:jc w:val="both"/>
        <w:rPr>
          <w:rFonts w:ascii="Verdana" w:hAnsi="Verdana"/>
          <w:b/>
          <w:bCs/>
          <w:sz w:val="22"/>
          <w:szCs w:val="22"/>
          <w:lang w:val="en-US"/>
        </w:rPr>
      </w:pPr>
    </w:p>
    <w:p w14:paraId="082332A4" w14:textId="77777777" w:rsidR="00CF2CDD" w:rsidRPr="00DA7827" w:rsidRDefault="00CF2CDD" w:rsidP="00943B36">
      <w:pPr>
        <w:jc w:val="both"/>
        <w:rPr>
          <w:rFonts w:ascii="Verdana" w:hAnsi="Verdana"/>
          <w:b/>
          <w:bCs/>
          <w:sz w:val="22"/>
          <w:szCs w:val="22"/>
          <w:lang w:val="en-US"/>
        </w:rPr>
      </w:pPr>
    </w:p>
    <w:p w14:paraId="2EA44CC4" w14:textId="77777777" w:rsidR="00CF2CDD" w:rsidRPr="00DA7827" w:rsidRDefault="00CF2CDD" w:rsidP="00943B36">
      <w:pPr>
        <w:jc w:val="both"/>
        <w:rPr>
          <w:rFonts w:ascii="Verdana" w:hAnsi="Verdana"/>
          <w:b/>
          <w:bCs/>
          <w:sz w:val="22"/>
          <w:szCs w:val="22"/>
          <w:lang w:val="en-US"/>
        </w:rPr>
      </w:pPr>
    </w:p>
    <w:p w14:paraId="5C25021B" w14:textId="77777777" w:rsidR="00CF2CDD" w:rsidRPr="00DA7827" w:rsidRDefault="00CF2CDD" w:rsidP="00675166">
      <w:pPr>
        <w:jc w:val="center"/>
        <w:rPr>
          <w:rFonts w:ascii="Verdana" w:hAnsi="Verdana"/>
          <w:b/>
          <w:bCs/>
          <w:sz w:val="22"/>
          <w:szCs w:val="22"/>
          <w:lang w:val="en-US"/>
        </w:rPr>
      </w:pPr>
    </w:p>
    <w:p w14:paraId="2097FDE3" w14:textId="77777777" w:rsidR="00CF2CDD" w:rsidRPr="00DA7827" w:rsidRDefault="00CF2CDD" w:rsidP="00675166">
      <w:pPr>
        <w:jc w:val="center"/>
        <w:rPr>
          <w:rFonts w:ascii="Verdana" w:hAnsi="Verdana"/>
          <w:b/>
          <w:bCs/>
          <w:sz w:val="22"/>
          <w:szCs w:val="22"/>
          <w:lang w:val="en-US"/>
        </w:rPr>
      </w:pPr>
    </w:p>
    <w:p w14:paraId="0E4ED219" w14:textId="06A70F94" w:rsidR="00491243" w:rsidRPr="00DA7827" w:rsidRDefault="002A67FF" w:rsidP="00675166">
      <w:pPr>
        <w:jc w:val="center"/>
        <w:rPr>
          <w:rFonts w:ascii="Verdana" w:hAnsi="Verdana"/>
          <w:b/>
          <w:bCs/>
          <w:color w:val="000000"/>
          <w:sz w:val="22"/>
          <w:szCs w:val="22"/>
          <w:shd w:val="clear" w:color="auto" w:fill="FFFFFF"/>
        </w:rPr>
      </w:pPr>
      <w:r w:rsidRPr="00DA7827">
        <w:rPr>
          <w:rFonts w:ascii="Verdana" w:hAnsi="Verdana"/>
          <w:b/>
          <w:bCs/>
          <w:color w:val="000000"/>
          <w:sz w:val="22"/>
          <w:szCs w:val="22"/>
          <w:shd w:val="clear" w:color="auto" w:fill="FFFFFF"/>
          <w:lang w:val="en-US"/>
        </w:rPr>
        <w:t xml:space="preserve">UNITED NATIONS </w:t>
      </w:r>
      <w:r w:rsidRPr="00DA7827">
        <w:rPr>
          <w:rFonts w:ascii="Verdana" w:hAnsi="Verdana"/>
          <w:b/>
          <w:bCs/>
          <w:color w:val="000000"/>
          <w:sz w:val="22"/>
          <w:szCs w:val="22"/>
          <w:shd w:val="clear" w:color="auto" w:fill="FFFFFF"/>
        </w:rPr>
        <w:t>COMMITTEE ON THE RIGHTS OF</w:t>
      </w:r>
    </w:p>
    <w:p w14:paraId="7F2A16A0" w14:textId="520D6493" w:rsidR="002A67FF" w:rsidRPr="00DA7827" w:rsidRDefault="002A67FF" w:rsidP="00675166">
      <w:pPr>
        <w:jc w:val="center"/>
        <w:rPr>
          <w:rFonts w:ascii="Verdana" w:hAnsi="Verdana"/>
          <w:b/>
          <w:bCs/>
          <w:color w:val="000000"/>
          <w:sz w:val="22"/>
          <w:szCs w:val="22"/>
          <w:shd w:val="clear" w:color="auto" w:fill="FFFFFF"/>
          <w:lang w:val="en-US"/>
        </w:rPr>
      </w:pPr>
      <w:r w:rsidRPr="00DA7827">
        <w:rPr>
          <w:rFonts w:ascii="Verdana" w:hAnsi="Verdana"/>
          <w:b/>
          <w:bCs/>
          <w:color w:val="000000"/>
          <w:sz w:val="22"/>
          <w:szCs w:val="22"/>
          <w:shd w:val="clear" w:color="auto" w:fill="FFFFFF"/>
        </w:rPr>
        <w:t>PERSONS WITH DISABILITIES</w:t>
      </w:r>
    </w:p>
    <w:p w14:paraId="5A691FEA" w14:textId="77777777" w:rsidR="002A67FF" w:rsidRPr="00DA7827" w:rsidRDefault="002A67FF" w:rsidP="00675166">
      <w:pPr>
        <w:jc w:val="center"/>
        <w:rPr>
          <w:rFonts w:ascii="Verdana" w:hAnsi="Verdana"/>
          <w:b/>
          <w:bCs/>
          <w:color w:val="000000"/>
          <w:sz w:val="22"/>
          <w:szCs w:val="22"/>
          <w:shd w:val="clear" w:color="auto" w:fill="FFFFFF"/>
        </w:rPr>
      </w:pPr>
    </w:p>
    <w:p w14:paraId="6BEF2D3B" w14:textId="1C6B0F3B" w:rsidR="002A67FF" w:rsidRPr="00DA7827" w:rsidRDefault="002A67FF" w:rsidP="00675166">
      <w:pPr>
        <w:jc w:val="center"/>
        <w:rPr>
          <w:rFonts w:ascii="Verdana" w:hAnsi="Verdana"/>
          <w:b/>
          <w:bCs/>
          <w:sz w:val="22"/>
          <w:szCs w:val="22"/>
        </w:rPr>
      </w:pPr>
      <w:r w:rsidRPr="00DA7827">
        <w:rPr>
          <w:rFonts w:ascii="Verdana" w:hAnsi="Verdana"/>
          <w:b/>
          <w:bCs/>
          <w:sz w:val="22"/>
          <w:szCs w:val="22"/>
        </w:rPr>
        <w:t>26th Session</w:t>
      </w:r>
    </w:p>
    <w:p w14:paraId="0981F01B" w14:textId="3276DA1E" w:rsidR="002A67FF" w:rsidRPr="00DA7827" w:rsidRDefault="002A67FF" w:rsidP="00675166">
      <w:pPr>
        <w:jc w:val="center"/>
        <w:rPr>
          <w:rFonts w:ascii="Verdana" w:hAnsi="Verdana"/>
          <w:b/>
          <w:bCs/>
          <w:sz w:val="22"/>
          <w:szCs w:val="22"/>
        </w:rPr>
      </w:pPr>
      <w:r w:rsidRPr="00DA7827">
        <w:rPr>
          <w:rFonts w:ascii="Verdana" w:hAnsi="Verdana"/>
          <w:b/>
          <w:bCs/>
          <w:sz w:val="22"/>
          <w:szCs w:val="22"/>
        </w:rPr>
        <w:t>7 Mar</w:t>
      </w:r>
      <w:r w:rsidRPr="00DA7827">
        <w:rPr>
          <w:rFonts w:ascii="Verdana" w:hAnsi="Verdana"/>
          <w:b/>
          <w:bCs/>
          <w:sz w:val="22"/>
          <w:szCs w:val="22"/>
          <w:lang w:val="en-US"/>
        </w:rPr>
        <w:t>ch</w:t>
      </w:r>
      <w:r w:rsidRPr="00DA7827">
        <w:rPr>
          <w:rFonts w:ascii="Verdana" w:hAnsi="Verdana"/>
          <w:b/>
          <w:bCs/>
          <w:sz w:val="22"/>
          <w:szCs w:val="22"/>
        </w:rPr>
        <w:t xml:space="preserve"> </w:t>
      </w:r>
      <w:r w:rsidRPr="00DA7827">
        <w:rPr>
          <w:rFonts w:ascii="Verdana" w:hAnsi="Verdana"/>
          <w:b/>
          <w:bCs/>
          <w:sz w:val="22"/>
          <w:szCs w:val="22"/>
          <w:lang w:val="en-US"/>
        </w:rPr>
        <w:t xml:space="preserve">to </w:t>
      </w:r>
      <w:r w:rsidRPr="00DA7827">
        <w:rPr>
          <w:rFonts w:ascii="Verdana" w:hAnsi="Verdana"/>
          <w:b/>
          <w:bCs/>
          <w:sz w:val="22"/>
          <w:szCs w:val="22"/>
        </w:rPr>
        <w:t>25 Mar</w:t>
      </w:r>
      <w:r w:rsidRPr="00DA7827">
        <w:rPr>
          <w:rFonts w:ascii="Verdana" w:hAnsi="Verdana"/>
          <w:b/>
          <w:bCs/>
          <w:sz w:val="22"/>
          <w:szCs w:val="22"/>
          <w:lang w:val="en-US"/>
        </w:rPr>
        <w:t>ch</w:t>
      </w:r>
      <w:r w:rsidRPr="00DA7827">
        <w:rPr>
          <w:rFonts w:ascii="Verdana" w:hAnsi="Verdana"/>
          <w:b/>
          <w:bCs/>
          <w:sz w:val="22"/>
          <w:szCs w:val="22"/>
        </w:rPr>
        <w:t xml:space="preserve"> 2022</w:t>
      </w:r>
    </w:p>
    <w:p w14:paraId="7BBF8038" w14:textId="0DFA3917" w:rsidR="00CF2CDD" w:rsidRPr="00DA7827" w:rsidRDefault="00CF2CDD" w:rsidP="00675166">
      <w:pPr>
        <w:jc w:val="center"/>
        <w:rPr>
          <w:rFonts w:ascii="Verdana" w:hAnsi="Verdana"/>
          <w:b/>
          <w:bCs/>
          <w:sz w:val="22"/>
          <w:szCs w:val="22"/>
        </w:rPr>
      </w:pPr>
    </w:p>
    <w:p w14:paraId="536CDC1B" w14:textId="1244CCDB" w:rsidR="002A67FF" w:rsidRPr="00DA7827" w:rsidRDefault="002A67FF" w:rsidP="00675166">
      <w:pPr>
        <w:jc w:val="center"/>
        <w:rPr>
          <w:rFonts w:ascii="Verdana" w:hAnsi="Verdana"/>
          <w:b/>
          <w:bCs/>
          <w:sz w:val="22"/>
          <w:szCs w:val="22"/>
        </w:rPr>
      </w:pPr>
    </w:p>
    <w:p w14:paraId="7473A740" w14:textId="77777777" w:rsidR="002A67FF" w:rsidRPr="00DA7827" w:rsidRDefault="002A67FF" w:rsidP="00675166">
      <w:pPr>
        <w:jc w:val="center"/>
        <w:rPr>
          <w:rFonts w:ascii="Verdana" w:hAnsi="Verdana"/>
          <w:b/>
          <w:bCs/>
          <w:sz w:val="22"/>
          <w:szCs w:val="22"/>
        </w:rPr>
      </w:pPr>
    </w:p>
    <w:p w14:paraId="26E316D5" w14:textId="77777777" w:rsidR="00CF2CDD" w:rsidRPr="00DA7827" w:rsidRDefault="00CF2CDD" w:rsidP="00675166">
      <w:pPr>
        <w:jc w:val="center"/>
        <w:rPr>
          <w:rFonts w:ascii="Verdana" w:hAnsi="Verdana"/>
          <w:b/>
          <w:bCs/>
          <w:sz w:val="22"/>
          <w:szCs w:val="22"/>
          <w:lang w:val="en-US"/>
        </w:rPr>
      </w:pPr>
    </w:p>
    <w:p w14:paraId="5F11972F" w14:textId="149A6CFE" w:rsidR="008C70B8" w:rsidRPr="00DA7827" w:rsidRDefault="008C70B8" w:rsidP="00675166">
      <w:pPr>
        <w:jc w:val="center"/>
        <w:rPr>
          <w:rFonts w:ascii="Verdana" w:hAnsi="Verdana"/>
          <w:b/>
          <w:bCs/>
          <w:color w:val="000000"/>
          <w:sz w:val="22"/>
          <w:szCs w:val="22"/>
          <w:shd w:val="clear" w:color="auto" w:fill="FFFFFF"/>
          <w:lang w:val="en-US"/>
        </w:rPr>
      </w:pPr>
      <w:r w:rsidRPr="00DA7827">
        <w:rPr>
          <w:rFonts w:ascii="Verdana" w:hAnsi="Verdana"/>
          <w:b/>
          <w:bCs/>
          <w:sz w:val="22"/>
          <w:szCs w:val="22"/>
          <w:lang w:val="en-US"/>
        </w:rPr>
        <w:t>SUBMISSION OF THE INTERNATIONAL COMMISSION OF JURISTS TO THE</w:t>
      </w:r>
      <w:r w:rsidRPr="00DA7827">
        <w:rPr>
          <w:rFonts w:ascii="Verdana" w:hAnsi="Verdana"/>
          <w:b/>
          <w:bCs/>
          <w:color w:val="000000"/>
          <w:sz w:val="22"/>
          <w:szCs w:val="22"/>
          <w:shd w:val="clear" w:color="auto" w:fill="FFFFFF"/>
          <w:lang w:val="en-US"/>
        </w:rPr>
        <w:t xml:space="preserve"> UNITED NATIONS </w:t>
      </w:r>
      <w:r w:rsidRPr="00DA7827">
        <w:rPr>
          <w:rFonts w:ascii="Verdana" w:hAnsi="Verdana"/>
          <w:b/>
          <w:bCs/>
          <w:color w:val="000000"/>
          <w:sz w:val="22"/>
          <w:szCs w:val="22"/>
          <w:shd w:val="clear" w:color="auto" w:fill="FFFFFF"/>
        </w:rPr>
        <w:t>COMMITTEE ON THE RIGHTS OF PERSONS WITH DISABILITIES</w:t>
      </w:r>
      <w:r w:rsidRPr="00DA7827">
        <w:rPr>
          <w:rFonts w:ascii="Verdana" w:hAnsi="Verdana"/>
          <w:b/>
          <w:bCs/>
          <w:color w:val="000000"/>
          <w:sz w:val="22"/>
          <w:szCs w:val="22"/>
          <w:shd w:val="clear" w:color="auto" w:fill="FFFFFF"/>
          <w:lang w:val="en-US"/>
        </w:rPr>
        <w:t xml:space="preserve"> IN VIEW OF THE COMMITTEE’S EXAMINATION OF MEXICO’S COMBINED SECOND AND THIRD PERIODIC REPORTS UNDER ARTICLE 35 OF THE CONVENTION </w:t>
      </w:r>
      <w:r w:rsidR="000432BE" w:rsidRPr="00DA7827">
        <w:rPr>
          <w:rFonts w:ascii="Verdana" w:hAnsi="Verdana"/>
          <w:b/>
          <w:bCs/>
          <w:color w:val="000000"/>
          <w:sz w:val="22"/>
          <w:szCs w:val="22"/>
          <w:shd w:val="clear" w:color="auto" w:fill="FFFFFF"/>
          <w:lang w:val="en-US"/>
        </w:rPr>
        <w:t>ON THE RIGHTS OF PERSONS WITH DISABILITIES</w:t>
      </w:r>
    </w:p>
    <w:p w14:paraId="37B11D92" w14:textId="40E1CE4D" w:rsidR="00CF2CDD" w:rsidRPr="00DA7827" w:rsidRDefault="00CF2CDD" w:rsidP="00943B36">
      <w:pPr>
        <w:jc w:val="both"/>
        <w:rPr>
          <w:rFonts w:ascii="Verdana" w:hAnsi="Verdana"/>
          <w:b/>
          <w:bCs/>
          <w:sz w:val="22"/>
          <w:szCs w:val="22"/>
          <w:lang w:val="en-US"/>
        </w:rPr>
      </w:pPr>
    </w:p>
    <w:p w14:paraId="76A71E58" w14:textId="04441799" w:rsidR="00491243" w:rsidRPr="00DA7827" w:rsidRDefault="00491243" w:rsidP="00943B36">
      <w:pPr>
        <w:jc w:val="both"/>
        <w:rPr>
          <w:rFonts w:ascii="Verdana" w:hAnsi="Verdana"/>
          <w:b/>
          <w:bCs/>
          <w:sz w:val="22"/>
          <w:szCs w:val="22"/>
          <w:lang w:val="en-US"/>
        </w:rPr>
      </w:pPr>
    </w:p>
    <w:p w14:paraId="0F697E35" w14:textId="77777777" w:rsidR="000432BE" w:rsidRPr="00DA7827" w:rsidRDefault="000432BE" w:rsidP="00943B36">
      <w:pPr>
        <w:jc w:val="both"/>
        <w:rPr>
          <w:rFonts w:ascii="Verdana" w:hAnsi="Verdana"/>
          <w:b/>
          <w:bCs/>
          <w:sz w:val="22"/>
          <w:szCs w:val="22"/>
          <w:lang w:val="en-US"/>
        </w:rPr>
      </w:pPr>
    </w:p>
    <w:p w14:paraId="6503DF03" w14:textId="288D298E" w:rsidR="000432BE" w:rsidRPr="00DA7827" w:rsidRDefault="000432BE" w:rsidP="00943B36">
      <w:pPr>
        <w:pStyle w:val="NormalWeb"/>
        <w:jc w:val="both"/>
        <w:rPr>
          <w:rFonts w:ascii="Verdana" w:hAnsi="Verdana"/>
          <w:i/>
          <w:iCs/>
          <w:sz w:val="18"/>
          <w:szCs w:val="18"/>
        </w:rPr>
      </w:pPr>
      <w:r w:rsidRPr="00DA7827">
        <w:rPr>
          <w:rFonts w:ascii="Verdana" w:hAnsi="Verdana"/>
          <w:i/>
          <w:iCs/>
          <w:sz w:val="18"/>
          <w:szCs w:val="18"/>
        </w:rPr>
        <w:lastRenderedPageBreak/>
        <w:t xml:space="preserve">Composed of 60 eminent judges and lawyers from all regions of the world, the </w:t>
      </w:r>
      <w:bookmarkStart w:id="0" w:name="_GoBack"/>
      <w:r w:rsidRPr="00DA7827">
        <w:rPr>
          <w:rFonts w:ascii="Verdana" w:hAnsi="Verdana"/>
          <w:i/>
          <w:iCs/>
          <w:sz w:val="18"/>
          <w:szCs w:val="18"/>
        </w:rPr>
        <w:t>International Commission of Jurists</w:t>
      </w:r>
      <w:bookmarkEnd w:id="0"/>
      <w:r w:rsidRPr="00DA7827">
        <w:rPr>
          <w:rFonts w:ascii="Verdana" w:hAnsi="Verdana"/>
          <w:i/>
          <w:iCs/>
          <w:sz w:val="18"/>
          <w:szCs w:val="18"/>
        </w:rPr>
        <w:t xml:space="preserve"> promotes and protects human rights through the Rule of Law, by using its unique legal expertise to develop and strengthen national and international justice systems. Established in 1952, in consultative status with the Economic and Social Council since 1957, and active on five continents, the ICJ aims to ensure the progressive development and effective implementation of international human rights and international humanitarian law; secure the realization of civil, cultural, economic, political and social rights; safeguard the separation of powers; and guarantee the independence of the judiciary and legal profession.</w:t>
      </w:r>
    </w:p>
    <w:p w14:paraId="13BB7D19" w14:textId="5B732B36" w:rsidR="000432BE" w:rsidRDefault="000432BE" w:rsidP="00943B36">
      <w:pPr>
        <w:pStyle w:val="NormalWeb"/>
        <w:jc w:val="both"/>
        <w:rPr>
          <w:rFonts w:ascii="Verdana" w:hAnsi="Verdana"/>
          <w:sz w:val="18"/>
          <w:szCs w:val="18"/>
        </w:rPr>
      </w:pPr>
    </w:p>
    <w:p w14:paraId="2058AC2C" w14:textId="77777777" w:rsidR="00DA7827" w:rsidRPr="00DA7827" w:rsidRDefault="00DA7827" w:rsidP="00943B36">
      <w:pPr>
        <w:pStyle w:val="NormalWeb"/>
        <w:jc w:val="both"/>
        <w:rPr>
          <w:rFonts w:ascii="Verdana" w:hAnsi="Verdana"/>
          <w:sz w:val="18"/>
          <w:szCs w:val="18"/>
        </w:rPr>
      </w:pPr>
    </w:p>
    <w:p w14:paraId="046867C6" w14:textId="3461D4D2" w:rsidR="00491243" w:rsidRPr="00DA7827" w:rsidRDefault="00491243" w:rsidP="00943B36">
      <w:pPr>
        <w:pStyle w:val="NormalWeb"/>
        <w:jc w:val="both"/>
        <w:rPr>
          <w:rFonts w:ascii="Verdana" w:hAnsi="Verdana"/>
          <w:sz w:val="18"/>
          <w:szCs w:val="18"/>
        </w:rPr>
      </w:pPr>
    </w:p>
    <w:p w14:paraId="76BF0B47" w14:textId="77777777" w:rsidR="00491243" w:rsidRPr="00DA7827" w:rsidRDefault="00491243" w:rsidP="00943B36">
      <w:pPr>
        <w:pStyle w:val="NormalWeb"/>
        <w:jc w:val="both"/>
        <w:rPr>
          <w:rFonts w:ascii="Verdana" w:hAnsi="Verdana"/>
          <w:sz w:val="18"/>
          <w:szCs w:val="18"/>
        </w:rPr>
      </w:pPr>
    </w:p>
    <w:p w14:paraId="7B9E138F" w14:textId="622D7E52" w:rsidR="002D71FC" w:rsidRPr="00DA7827" w:rsidRDefault="000432BE" w:rsidP="00675166">
      <w:pPr>
        <w:pStyle w:val="NormalWeb"/>
        <w:jc w:val="center"/>
        <w:rPr>
          <w:rFonts w:ascii="Verdana" w:hAnsi="Verdana"/>
          <w:color w:val="0000FF"/>
          <w:sz w:val="18"/>
          <w:szCs w:val="18"/>
        </w:rPr>
      </w:pPr>
      <w:r w:rsidRPr="00DA7827">
        <w:rPr>
          <w:rFonts w:ascii="Verdana" w:hAnsi="Verdana"/>
          <w:sz w:val="18"/>
          <w:szCs w:val="18"/>
        </w:rPr>
        <w:t>International Commission of Jurists</w:t>
      </w:r>
      <w:r w:rsidRPr="00DA7827">
        <w:rPr>
          <w:rFonts w:ascii="Verdana" w:hAnsi="Verdana"/>
          <w:sz w:val="18"/>
          <w:szCs w:val="18"/>
        </w:rPr>
        <w:br/>
        <w:t>P.O. Box 1740, Rue des Buis 3,</w:t>
      </w:r>
      <w:r w:rsidRPr="00DA7827">
        <w:rPr>
          <w:rFonts w:ascii="Verdana" w:hAnsi="Verdana"/>
          <w:sz w:val="18"/>
          <w:szCs w:val="18"/>
        </w:rPr>
        <w:br/>
        <w:t>1211 Geneva 1, Switzerland</w:t>
      </w:r>
      <w:r w:rsidRPr="00DA7827">
        <w:rPr>
          <w:rFonts w:ascii="Verdana" w:hAnsi="Verdana"/>
          <w:sz w:val="18"/>
          <w:szCs w:val="18"/>
        </w:rPr>
        <w:br/>
        <w:t>Tel: +41(0) 22 979 3800 – Fax: +41(0) 22 979 3801</w:t>
      </w:r>
      <w:r w:rsidRPr="00DA7827">
        <w:rPr>
          <w:rFonts w:ascii="Verdana" w:hAnsi="Verdana"/>
          <w:sz w:val="18"/>
          <w:szCs w:val="18"/>
        </w:rPr>
        <w:br/>
        <w:t xml:space="preserve"> Website: </w:t>
      </w:r>
      <w:r w:rsidRPr="00DA7827">
        <w:rPr>
          <w:rFonts w:ascii="Verdana" w:hAnsi="Verdana"/>
          <w:color w:val="0000FF"/>
          <w:sz w:val="18"/>
          <w:szCs w:val="18"/>
        </w:rPr>
        <w:t xml:space="preserve">http://www.icj.org </w:t>
      </w:r>
      <w:r w:rsidRPr="00DA7827">
        <w:rPr>
          <w:rFonts w:ascii="Verdana" w:hAnsi="Verdana"/>
          <w:sz w:val="18"/>
          <w:szCs w:val="18"/>
        </w:rPr>
        <w:t xml:space="preserve">- E-mail: </w:t>
      </w:r>
      <w:hyperlink r:id="rId9" w:history="1">
        <w:r w:rsidR="002D71FC" w:rsidRPr="00DA7827">
          <w:rPr>
            <w:rStyle w:val="Hyperlink"/>
            <w:rFonts w:ascii="Verdana" w:hAnsi="Verdana"/>
            <w:sz w:val="18"/>
            <w:szCs w:val="18"/>
          </w:rPr>
          <w:t>info@icj.org</w:t>
        </w:r>
      </w:hyperlink>
    </w:p>
    <w:p w14:paraId="2100604D" w14:textId="5D22B3DA" w:rsidR="00491243" w:rsidRPr="006A0E46" w:rsidRDefault="002D71FC" w:rsidP="00943B36">
      <w:pPr>
        <w:jc w:val="both"/>
        <w:rPr>
          <w:rFonts w:ascii="Verdana" w:hAnsi="Verdana"/>
          <w:b/>
          <w:bCs/>
          <w:color w:val="2F5496" w:themeColor="accent1" w:themeShade="BF"/>
          <w:sz w:val="22"/>
          <w:szCs w:val="22"/>
          <w:lang w:val="en-US"/>
        </w:rPr>
      </w:pPr>
      <w:r w:rsidRPr="006A0E46">
        <w:rPr>
          <w:rFonts w:ascii="Verdana" w:hAnsi="Verdana"/>
          <w:b/>
          <w:bCs/>
          <w:color w:val="2F5496" w:themeColor="accent1" w:themeShade="BF"/>
          <w:sz w:val="22"/>
          <w:szCs w:val="22"/>
          <w:lang w:val="en-US"/>
        </w:rPr>
        <w:t>Introduction</w:t>
      </w:r>
    </w:p>
    <w:p w14:paraId="54ABBDC9" w14:textId="77777777" w:rsidR="002D71FC" w:rsidRPr="00DA7827" w:rsidRDefault="002D71FC" w:rsidP="00943B36">
      <w:pPr>
        <w:jc w:val="both"/>
        <w:rPr>
          <w:rFonts w:ascii="Verdana" w:hAnsi="Verdana"/>
          <w:sz w:val="22"/>
          <w:szCs w:val="22"/>
          <w:lang w:val="en-US"/>
        </w:rPr>
      </w:pPr>
    </w:p>
    <w:p w14:paraId="66ECFAE0" w14:textId="4F1823D1" w:rsidR="00B51BEE" w:rsidRPr="00DA7827" w:rsidRDefault="000432BE" w:rsidP="00943B36">
      <w:pPr>
        <w:pStyle w:val="ListParagraph"/>
        <w:numPr>
          <w:ilvl w:val="0"/>
          <w:numId w:val="3"/>
        </w:numPr>
        <w:ind w:left="567" w:hanging="425"/>
        <w:jc w:val="both"/>
        <w:rPr>
          <w:rFonts w:ascii="Verdana" w:hAnsi="Verdana"/>
          <w:sz w:val="22"/>
          <w:szCs w:val="22"/>
          <w:lang w:val="en-US"/>
        </w:rPr>
      </w:pPr>
      <w:r w:rsidRPr="00DA7827">
        <w:rPr>
          <w:rFonts w:ascii="Verdana" w:hAnsi="Verdana"/>
          <w:sz w:val="22"/>
          <w:szCs w:val="22"/>
          <w:lang w:val="en-US"/>
        </w:rPr>
        <w:t xml:space="preserve">During its 26th session from </w:t>
      </w:r>
      <w:r w:rsidR="00491243" w:rsidRPr="00DA7827">
        <w:rPr>
          <w:rFonts w:ascii="Verdana" w:hAnsi="Verdana"/>
          <w:sz w:val="22"/>
          <w:szCs w:val="22"/>
          <w:lang w:val="en-US"/>
        </w:rPr>
        <w:t>7 March to 25 March 2022,</w:t>
      </w:r>
      <w:r w:rsidR="00B51BEE" w:rsidRPr="00DA7827">
        <w:rPr>
          <w:rFonts w:ascii="Verdana" w:hAnsi="Verdana"/>
          <w:sz w:val="22"/>
          <w:szCs w:val="22"/>
          <w:lang w:val="en-US"/>
        </w:rPr>
        <w:t xml:space="preserve"> the</w:t>
      </w:r>
      <w:r w:rsidR="00491243" w:rsidRPr="00DA7827">
        <w:rPr>
          <w:rFonts w:ascii="Verdana" w:hAnsi="Verdana"/>
          <w:sz w:val="22"/>
          <w:szCs w:val="22"/>
          <w:lang w:val="en-US"/>
        </w:rPr>
        <w:t xml:space="preserve"> </w:t>
      </w:r>
      <w:r w:rsidR="00B51BEE" w:rsidRPr="00DA7827">
        <w:rPr>
          <w:rFonts w:ascii="Verdana" w:hAnsi="Verdana"/>
          <w:sz w:val="22"/>
          <w:szCs w:val="22"/>
          <w:lang w:val="en-US"/>
        </w:rPr>
        <w:t>Committee on the Rights of Persons with Disabilities</w:t>
      </w:r>
      <w:r w:rsidRPr="00DA7827">
        <w:rPr>
          <w:rFonts w:ascii="Verdana" w:hAnsi="Verdana"/>
          <w:sz w:val="22"/>
          <w:szCs w:val="22"/>
          <w:lang w:val="en-US"/>
        </w:rPr>
        <w:t xml:space="preserve"> (the Committee) will examine</w:t>
      </w:r>
      <w:r w:rsidR="00B51BEE" w:rsidRPr="00DA7827">
        <w:rPr>
          <w:rFonts w:ascii="Verdana" w:hAnsi="Verdana"/>
          <w:sz w:val="22"/>
          <w:szCs w:val="22"/>
          <w:lang w:val="en-US"/>
        </w:rPr>
        <w:t xml:space="preserve"> Mexico’s combined second and third periodic reports under article 35 of the Convention on the Rights of Persons with Disabilities (the Convention).</w:t>
      </w:r>
    </w:p>
    <w:p w14:paraId="2A9E4B55" w14:textId="77777777" w:rsidR="00B51BEE" w:rsidRPr="00DA7827" w:rsidRDefault="00B51BEE" w:rsidP="00943B36">
      <w:pPr>
        <w:pStyle w:val="ListParagraph"/>
        <w:ind w:left="567" w:hanging="425"/>
        <w:jc w:val="both"/>
        <w:rPr>
          <w:rFonts w:ascii="Verdana" w:hAnsi="Verdana"/>
          <w:sz w:val="22"/>
          <w:szCs w:val="22"/>
          <w:lang w:val="en-US"/>
        </w:rPr>
      </w:pPr>
    </w:p>
    <w:p w14:paraId="7FFD54FE" w14:textId="688C4BEF" w:rsidR="00904A59" w:rsidRPr="00DA7827" w:rsidRDefault="00D418AD" w:rsidP="00943B36">
      <w:pPr>
        <w:pStyle w:val="ListParagraph"/>
        <w:numPr>
          <w:ilvl w:val="0"/>
          <w:numId w:val="3"/>
        </w:numPr>
        <w:ind w:left="567" w:hanging="425"/>
        <w:jc w:val="both"/>
        <w:rPr>
          <w:rFonts w:ascii="Verdana" w:hAnsi="Verdana"/>
          <w:sz w:val="22"/>
          <w:szCs w:val="22"/>
          <w:lang w:val="en-US"/>
        </w:rPr>
      </w:pPr>
      <w:r w:rsidRPr="00DA7827">
        <w:rPr>
          <w:rFonts w:ascii="Verdana" w:hAnsi="Verdana"/>
          <w:sz w:val="22"/>
          <w:szCs w:val="22"/>
          <w:lang w:val="en-US"/>
        </w:rPr>
        <w:t xml:space="preserve">The International Commission of Jurists (ICJ) has worked to assist </w:t>
      </w:r>
      <w:r w:rsidR="006A0E46">
        <w:rPr>
          <w:rFonts w:ascii="Verdana" w:hAnsi="Verdana"/>
          <w:sz w:val="22"/>
          <w:szCs w:val="22"/>
          <w:lang w:val="en-US"/>
        </w:rPr>
        <w:t>S</w:t>
      </w:r>
      <w:r w:rsidRPr="00DA7827">
        <w:rPr>
          <w:rFonts w:ascii="Verdana" w:hAnsi="Verdana"/>
          <w:sz w:val="22"/>
          <w:szCs w:val="22"/>
          <w:lang w:val="en-US"/>
        </w:rPr>
        <w:t xml:space="preserve">tates in the </w:t>
      </w:r>
      <w:r w:rsidR="006A0E46">
        <w:rPr>
          <w:rFonts w:ascii="Verdana" w:hAnsi="Verdana"/>
          <w:sz w:val="22"/>
          <w:szCs w:val="22"/>
          <w:lang w:val="en-US"/>
        </w:rPr>
        <w:t>implementation</w:t>
      </w:r>
      <w:r w:rsidRPr="00DA7827">
        <w:rPr>
          <w:rFonts w:ascii="Verdana" w:hAnsi="Verdana"/>
          <w:sz w:val="22"/>
          <w:szCs w:val="22"/>
          <w:lang w:val="en-US"/>
        </w:rPr>
        <w:t xml:space="preserve"> of their obligation</w:t>
      </w:r>
      <w:r w:rsidR="005C1C92" w:rsidRPr="00DA7827">
        <w:rPr>
          <w:rFonts w:ascii="Verdana" w:hAnsi="Verdana"/>
          <w:sz w:val="22"/>
          <w:szCs w:val="22"/>
          <w:lang w:val="en-US"/>
        </w:rPr>
        <w:t>s</w:t>
      </w:r>
      <w:r w:rsidRPr="00DA7827">
        <w:rPr>
          <w:rFonts w:ascii="Verdana" w:hAnsi="Verdana"/>
          <w:sz w:val="22"/>
          <w:szCs w:val="22"/>
          <w:lang w:val="en-US"/>
        </w:rPr>
        <w:t xml:space="preserve"> </w:t>
      </w:r>
      <w:r w:rsidR="006A0E46">
        <w:rPr>
          <w:rFonts w:ascii="Verdana" w:hAnsi="Verdana"/>
          <w:sz w:val="22"/>
          <w:szCs w:val="22"/>
          <w:lang w:val="en-US"/>
        </w:rPr>
        <w:t>under</w:t>
      </w:r>
      <w:r w:rsidRPr="00DA7827">
        <w:rPr>
          <w:rFonts w:ascii="Verdana" w:hAnsi="Verdana"/>
          <w:sz w:val="22"/>
          <w:szCs w:val="22"/>
          <w:lang w:val="en-US"/>
        </w:rPr>
        <w:t xml:space="preserve"> the Convention. </w:t>
      </w:r>
      <w:r w:rsidR="00FC460F" w:rsidRPr="00DA7827">
        <w:rPr>
          <w:rFonts w:ascii="Verdana" w:hAnsi="Verdana"/>
          <w:sz w:val="22"/>
          <w:szCs w:val="22"/>
          <w:lang w:val="en-US"/>
        </w:rPr>
        <w:t>To this effect</w:t>
      </w:r>
      <w:r w:rsidR="002E2FE4">
        <w:rPr>
          <w:rFonts w:ascii="Verdana" w:hAnsi="Verdana"/>
          <w:sz w:val="22"/>
          <w:szCs w:val="22"/>
          <w:lang w:val="en-US"/>
        </w:rPr>
        <w:t>,</w:t>
      </w:r>
      <w:r w:rsidR="00FC460F" w:rsidRPr="00DA7827">
        <w:rPr>
          <w:rFonts w:ascii="Verdana" w:hAnsi="Verdana"/>
          <w:sz w:val="22"/>
          <w:szCs w:val="22"/>
          <w:lang w:val="en-US"/>
        </w:rPr>
        <w:t xml:space="preserve"> t</w:t>
      </w:r>
      <w:r w:rsidRPr="00DA7827">
        <w:rPr>
          <w:rFonts w:ascii="Verdana" w:hAnsi="Verdana"/>
          <w:sz w:val="22"/>
          <w:szCs w:val="22"/>
          <w:lang w:val="en-US"/>
        </w:rPr>
        <w:t xml:space="preserve">he ICJ participated in the drafting of and formally </w:t>
      </w:r>
      <w:r w:rsidRPr="00DA7827">
        <w:rPr>
          <w:rFonts w:ascii="Verdana" w:hAnsi="Verdana"/>
          <w:sz w:val="22"/>
          <w:szCs w:val="22"/>
          <w:lang w:val="en-US"/>
        </w:rPr>
        <w:lastRenderedPageBreak/>
        <w:t>endorsed the International Principles and G</w:t>
      </w:r>
      <w:r w:rsidRPr="002E2FE4">
        <w:rPr>
          <w:rFonts w:ascii="Verdana" w:hAnsi="Verdana"/>
          <w:sz w:val="22"/>
          <w:szCs w:val="22"/>
          <w:lang w:val="en-US"/>
        </w:rPr>
        <w:t>uidelines on Access to Justice for Persons with Disabilities</w:t>
      </w:r>
      <w:r w:rsidR="00FC460F" w:rsidRPr="002E2FE4">
        <w:rPr>
          <w:rFonts w:ascii="Verdana" w:hAnsi="Verdana"/>
          <w:sz w:val="22"/>
          <w:szCs w:val="22"/>
          <w:lang w:val="en-US"/>
        </w:rPr>
        <w:t xml:space="preserve"> (Principles)</w:t>
      </w:r>
      <w:r w:rsidRPr="002E2FE4">
        <w:rPr>
          <w:rFonts w:ascii="Verdana" w:hAnsi="Verdana"/>
          <w:sz w:val="22"/>
          <w:szCs w:val="22"/>
          <w:lang w:val="en-US"/>
        </w:rPr>
        <w:t xml:space="preserve"> published by the UN Special Rapporteur on the Rights of Persons with disabilities in August 2020</w:t>
      </w:r>
      <w:r w:rsidR="00FC460F" w:rsidRPr="002E2FE4">
        <w:rPr>
          <w:rFonts w:ascii="Verdana" w:hAnsi="Verdana"/>
          <w:sz w:val="22"/>
          <w:szCs w:val="22"/>
          <w:lang w:val="en-US"/>
        </w:rPr>
        <w:t>,</w:t>
      </w:r>
      <w:r w:rsidR="005C1C92" w:rsidRPr="002E2FE4">
        <w:rPr>
          <w:rStyle w:val="FootnoteReference"/>
          <w:rFonts w:ascii="Verdana" w:hAnsi="Verdana"/>
          <w:sz w:val="22"/>
          <w:szCs w:val="22"/>
          <w:lang w:val="en-US"/>
        </w:rPr>
        <w:footnoteReference w:id="1"/>
      </w:r>
      <w:r w:rsidR="00FC460F" w:rsidRPr="002E2FE4">
        <w:rPr>
          <w:rFonts w:ascii="Verdana" w:hAnsi="Verdana"/>
          <w:sz w:val="22"/>
          <w:szCs w:val="22"/>
          <w:lang w:val="en-US"/>
        </w:rPr>
        <w:t xml:space="preserve"> and continues to promot</w:t>
      </w:r>
      <w:r w:rsidR="006A0E46">
        <w:rPr>
          <w:rFonts w:ascii="Verdana" w:hAnsi="Verdana"/>
          <w:sz w:val="22"/>
          <w:szCs w:val="22"/>
          <w:lang w:val="en-US"/>
        </w:rPr>
        <w:t>e</w:t>
      </w:r>
      <w:r w:rsidR="00FC460F" w:rsidRPr="002E2FE4">
        <w:rPr>
          <w:rFonts w:ascii="Verdana" w:hAnsi="Verdana"/>
          <w:sz w:val="22"/>
          <w:szCs w:val="22"/>
          <w:lang w:val="en-US"/>
        </w:rPr>
        <w:t xml:space="preserve"> the Principles globally. The ICJ also participates as active member of a global network of organizations facilitated by the Open Society Foundation, advocat</w:t>
      </w:r>
      <w:r w:rsidR="006A0E46">
        <w:rPr>
          <w:rFonts w:ascii="Verdana" w:hAnsi="Verdana"/>
          <w:sz w:val="22"/>
          <w:szCs w:val="22"/>
          <w:lang w:val="en-US"/>
        </w:rPr>
        <w:t>ing</w:t>
      </w:r>
      <w:r w:rsidR="00FC460F" w:rsidRPr="002E2FE4">
        <w:rPr>
          <w:rFonts w:ascii="Verdana" w:hAnsi="Verdana"/>
          <w:sz w:val="22"/>
          <w:szCs w:val="22"/>
          <w:lang w:val="en-US"/>
        </w:rPr>
        <w:t xml:space="preserve"> for legal reform to improve equal recognition of legal capacity and access to justice of persons with disabilities worldwide.</w:t>
      </w:r>
      <w:r w:rsidR="007F1B56">
        <w:rPr>
          <w:rFonts w:ascii="Verdana" w:hAnsi="Verdana"/>
          <w:sz w:val="22"/>
          <w:szCs w:val="22"/>
          <w:lang w:val="en-US"/>
        </w:rPr>
        <w:t xml:space="preserve"> </w:t>
      </w:r>
    </w:p>
    <w:p w14:paraId="34B2A1F7" w14:textId="77777777" w:rsidR="00904A59" w:rsidRPr="00DA7827" w:rsidRDefault="00904A59" w:rsidP="00943B36">
      <w:pPr>
        <w:pStyle w:val="ListParagraph"/>
        <w:jc w:val="both"/>
        <w:rPr>
          <w:rFonts w:ascii="Verdana" w:hAnsi="Verdana"/>
          <w:sz w:val="22"/>
          <w:szCs w:val="22"/>
          <w:lang w:val="en-US"/>
        </w:rPr>
      </w:pPr>
    </w:p>
    <w:p w14:paraId="319AE8B1" w14:textId="79597FAB" w:rsidR="000F649E" w:rsidRPr="002E2FE4" w:rsidRDefault="00904A59" w:rsidP="00943B36">
      <w:pPr>
        <w:pStyle w:val="ListParagraph"/>
        <w:numPr>
          <w:ilvl w:val="0"/>
          <w:numId w:val="3"/>
        </w:numPr>
        <w:ind w:left="567" w:hanging="425"/>
        <w:jc w:val="both"/>
        <w:rPr>
          <w:rFonts w:ascii="Verdana" w:hAnsi="Verdana"/>
          <w:sz w:val="22"/>
          <w:szCs w:val="22"/>
          <w:lang w:val="en-ZA"/>
        </w:rPr>
      </w:pPr>
      <w:r w:rsidRPr="00DA7827">
        <w:rPr>
          <w:rFonts w:ascii="Verdana" w:hAnsi="Verdana"/>
          <w:sz w:val="22"/>
          <w:szCs w:val="22"/>
          <w:lang w:val="en-US"/>
        </w:rPr>
        <w:t>In this context,</w:t>
      </w:r>
      <w:r w:rsidR="00D418AD" w:rsidRPr="00DA7827">
        <w:rPr>
          <w:rFonts w:ascii="Verdana" w:hAnsi="Verdana"/>
          <w:sz w:val="22"/>
          <w:szCs w:val="22"/>
          <w:lang w:val="en-US"/>
        </w:rPr>
        <w:t xml:space="preserve"> the ICJ has been monitoring </w:t>
      </w:r>
      <w:r w:rsidR="006005EA" w:rsidRPr="00DA7827">
        <w:rPr>
          <w:rFonts w:ascii="Verdana" w:hAnsi="Verdana"/>
          <w:sz w:val="22"/>
          <w:szCs w:val="22"/>
          <w:lang w:val="en-US"/>
        </w:rPr>
        <w:t xml:space="preserve">the implementation </w:t>
      </w:r>
      <w:r w:rsidRPr="00DA7827">
        <w:rPr>
          <w:rFonts w:ascii="Verdana" w:hAnsi="Verdana"/>
          <w:sz w:val="22"/>
          <w:szCs w:val="22"/>
          <w:lang w:val="en-US"/>
        </w:rPr>
        <w:t xml:space="preserve">by Mexico </w:t>
      </w:r>
      <w:r w:rsidR="006005EA" w:rsidRPr="00DA7827">
        <w:rPr>
          <w:rFonts w:ascii="Verdana" w:hAnsi="Verdana"/>
          <w:sz w:val="22"/>
          <w:szCs w:val="22"/>
          <w:lang w:val="en-US"/>
        </w:rPr>
        <w:t xml:space="preserve">of </w:t>
      </w:r>
      <w:r w:rsidRPr="00DA7827">
        <w:rPr>
          <w:rFonts w:ascii="Verdana" w:hAnsi="Verdana"/>
          <w:sz w:val="22"/>
          <w:szCs w:val="22"/>
          <w:lang w:val="en-US"/>
        </w:rPr>
        <w:t>its Convention obligations</w:t>
      </w:r>
      <w:r w:rsidR="006005EA" w:rsidRPr="00DA7827">
        <w:rPr>
          <w:rFonts w:ascii="Verdana" w:hAnsi="Verdana"/>
          <w:sz w:val="22"/>
          <w:szCs w:val="22"/>
          <w:lang w:val="en-US"/>
        </w:rPr>
        <w:t xml:space="preserve"> </w:t>
      </w:r>
      <w:r w:rsidRPr="00DA7827">
        <w:rPr>
          <w:rFonts w:ascii="Verdana" w:hAnsi="Verdana"/>
          <w:sz w:val="22"/>
          <w:szCs w:val="22"/>
          <w:lang w:val="en-US"/>
        </w:rPr>
        <w:t xml:space="preserve">in respect of </w:t>
      </w:r>
      <w:r w:rsidR="006005EA" w:rsidRPr="00DA7827">
        <w:rPr>
          <w:rFonts w:ascii="Verdana" w:hAnsi="Verdana"/>
          <w:sz w:val="22"/>
          <w:szCs w:val="22"/>
          <w:lang w:val="en-US"/>
        </w:rPr>
        <w:t>Article</w:t>
      </w:r>
      <w:r w:rsidRPr="00DA7827">
        <w:rPr>
          <w:rFonts w:ascii="Verdana" w:hAnsi="Verdana"/>
          <w:sz w:val="22"/>
          <w:szCs w:val="22"/>
          <w:lang w:val="en-US"/>
        </w:rPr>
        <w:t>s</w:t>
      </w:r>
      <w:r w:rsidR="006005EA" w:rsidRPr="00DA7827">
        <w:rPr>
          <w:rFonts w:ascii="Verdana" w:hAnsi="Verdana"/>
          <w:sz w:val="22"/>
          <w:szCs w:val="22"/>
          <w:lang w:val="en-US"/>
        </w:rPr>
        <w:t xml:space="preserve"> 12 (Equal recognition before the law)</w:t>
      </w:r>
      <w:r w:rsidR="009F5B40" w:rsidRPr="00DA7827">
        <w:rPr>
          <w:rFonts w:ascii="Verdana" w:hAnsi="Verdana"/>
          <w:sz w:val="22"/>
          <w:szCs w:val="22"/>
          <w:lang w:val="en-US"/>
        </w:rPr>
        <w:t xml:space="preserve"> and 13 (Access to Justice)</w:t>
      </w:r>
      <w:r w:rsidR="006005EA" w:rsidRPr="00DA7827">
        <w:rPr>
          <w:rFonts w:ascii="Verdana" w:hAnsi="Verdana"/>
          <w:sz w:val="22"/>
          <w:szCs w:val="22"/>
          <w:lang w:val="en-US"/>
        </w:rPr>
        <w:t xml:space="preserve">. In this regard, </w:t>
      </w:r>
      <w:r w:rsidR="009F5B40" w:rsidRPr="00DA7827">
        <w:rPr>
          <w:rFonts w:ascii="Verdana" w:hAnsi="Verdana"/>
          <w:sz w:val="22"/>
          <w:szCs w:val="22"/>
          <w:lang w:val="en-US"/>
        </w:rPr>
        <w:t>in</w:t>
      </w:r>
      <w:r w:rsidR="006005EA" w:rsidRPr="00DA7827">
        <w:rPr>
          <w:rFonts w:ascii="Verdana" w:hAnsi="Verdana"/>
          <w:sz w:val="22"/>
          <w:szCs w:val="22"/>
          <w:lang w:val="en-US"/>
        </w:rPr>
        <w:t xml:space="preserve"> August 2021, the ICJ sent letters to the legislative, executive, and judicial branch</w:t>
      </w:r>
      <w:r w:rsidR="00175DB6" w:rsidRPr="00DA7827">
        <w:rPr>
          <w:rFonts w:ascii="Verdana" w:hAnsi="Verdana"/>
          <w:sz w:val="22"/>
          <w:szCs w:val="22"/>
          <w:lang w:val="en-US"/>
        </w:rPr>
        <w:t>es</w:t>
      </w:r>
      <w:r w:rsidRPr="00DA7827">
        <w:rPr>
          <w:rFonts w:ascii="Verdana" w:hAnsi="Verdana"/>
          <w:sz w:val="22"/>
          <w:szCs w:val="22"/>
          <w:lang w:val="en-US"/>
        </w:rPr>
        <w:t xml:space="preserve"> in Mexico</w:t>
      </w:r>
      <w:r w:rsidR="006005EA" w:rsidRPr="00DA7827">
        <w:rPr>
          <w:rFonts w:ascii="Verdana" w:hAnsi="Verdana"/>
          <w:sz w:val="22"/>
          <w:szCs w:val="22"/>
          <w:lang w:val="en-US"/>
        </w:rPr>
        <w:t xml:space="preserve"> </w:t>
      </w:r>
      <w:r w:rsidR="009F5B40" w:rsidRPr="00DA7827">
        <w:rPr>
          <w:rFonts w:ascii="Verdana" w:hAnsi="Verdana"/>
          <w:sz w:val="22"/>
          <w:szCs w:val="22"/>
          <w:lang w:val="en-US"/>
        </w:rPr>
        <w:t>seeking information on</w:t>
      </w:r>
      <w:r w:rsidR="00EE04D4" w:rsidRPr="00DA7827">
        <w:rPr>
          <w:rFonts w:ascii="Verdana" w:hAnsi="Verdana"/>
          <w:sz w:val="22"/>
          <w:szCs w:val="22"/>
          <w:lang w:val="en-US"/>
        </w:rPr>
        <w:t xml:space="preserve"> the implementation of the Convention</w:t>
      </w:r>
      <w:r w:rsidR="00BC028A" w:rsidRPr="00DA7827">
        <w:rPr>
          <w:rFonts w:ascii="Verdana" w:hAnsi="Verdana"/>
          <w:sz w:val="22"/>
          <w:szCs w:val="22"/>
          <w:lang w:val="en-US"/>
        </w:rPr>
        <w:t xml:space="preserve"> and the Committee’s</w:t>
      </w:r>
      <w:r w:rsidRPr="00DA7827">
        <w:rPr>
          <w:rFonts w:ascii="Verdana" w:hAnsi="Verdana"/>
          <w:sz w:val="22"/>
          <w:szCs w:val="22"/>
          <w:lang w:val="en-US"/>
        </w:rPr>
        <w:t xml:space="preserve"> vario</w:t>
      </w:r>
      <w:r w:rsidR="00643339" w:rsidRPr="00DA7827">
        <w:rPr>
          <w:rFonts w:ascii="Verdana" w:hAnsi="Verdana"/>
          <w:sz w:val="22"/>
          <w:szCs w:val="22"/>
          <w:lang w:val="en-US"/>
        </w:rPr>
        <w:t>u</w:t>
      </w:r>
      <w:r w:rsidRPr="00DA7827">
        <w:rPr>
          <w:rFonts w:ascii="Verdana" w:hAnsi="Verdana"/>
          <w:sz w:val="22"/>
          <w:szCs w:val="22"/>
          <w:lang w:val="en-US"/>
        </w:rPr>
        <w:t>s</w:t>
      </w:r>
      <w:r w:rsidR="00BC028A" w:rsidRPr="00DA7827">
        <w:rPr>
          <w:rFonts w:ascii="Verdana" w:hAnsi="Verdana"/>
          <w:sz w:val="22"/>
          <w:szCs w:val="22"/>
          <w:lang w:val="en-US"/>
        </w:rPr>
        <w:t xml:space="preserve"> recommendations to </w:t>
      </w:r>
      <w:r w:rsidR="006A0E46">
        <w:rPr>
          <w:rFonts w:ascii="Verdana" w:hAnsi="Verdana"/>
          <w:sz w:val="22"/>
          <w:szCs w:val="22"/>
          <w:lang w:val="en-US"/>
        </w:rPr>
        <w:t xml:space="preserve">the </w:t>
      </w:r>
      <w:r w:rsidR="00BC028A" w:rsidRPr="00DA7827">
        <w:rPr>
          <w:rFonts w:ascii="Verdana" w:hAnsi="Verdana"/>
          <w:sz w:val="22"/>
          <w:szCs w:val="22"/>
          <w:lang w:val="en-US"/>
        </w:rPr>
        <w:t xml:space="preserve">Mexican </w:t>
      </w:r>
      <w:r w:rsidR="006A0E46">
        <w:rPr>
          <w:rFonts w:ascii="Verdana" w:hAnsi="Verdana"/>
          <w:sz w:val="22"/>
          <w:szCs w:val="22"/>
          <w:lang w:val="en-US"/>
        </w:rPr>
        <w:t>a</w:t>
      </w:r>
      <w:r w:rsidR="00BC028A" w:rsidRPr="00DA7827">
        <w:rPr>
          <w:rFonts w:ascii="Verdana" w:hAnsi="Verdana"/>
          <w:sz w:val="22"/>
          <w:szCs w:val="22"/>
          <w:lang w:val="en-US"/>
        </w:rPr>
        <w:t>uthorities</w:t>
      </w:r>
      <w:r w:rsidRPr="00DA7827">
        <w:rPr>
          <w:rFonts w:ascii="Verdana" w:hAnsi="Verdana"/>
          <w:sz w:val="22"/>
          <w:szCs w:val="22"/>
          <w:lang w:val="en-US"/>
        </w:rPr>
        <w:t xml:space="preserve"> in its concluding </w:t>
      </w:r>
      <w:r w:rsidR="002E2FE4" w:rsidRPr="002E2FE4">
        <w:rPr>
          <w:rFonts w:ascii="Verdana" w:hAnsi="Verdana"/>
          <w:sz w:val="22"/>
          <w:szCs w:val="22"/>
          <w:lang w:val="en-US"/>
        </w:rPr>
        <w:t>observations</w:t>
      </w:r>
      <w:r w:rsidRPr="002E2FE4">
        <w:rPr>
          <w:rFonts w:ascii="Verdana" w:hAnsi="Verdana"/>
          <w:sz w:val="22"/>
          <w:szCs w:val="22"/>
          <w:lang w:val="en-US"/>
        </w:rPr>
        <w:t xml:space="preserve"> (</w:t>
      </w:r>
      <w:hyperlink r:id="rId10" w:history="1">
        <w:r w:rsidRPr="002E2FE4">
          <w:rPr>
            <w:rStyle w:val="Hyperlink"/>
            <w:rFonts w:ascii="Verdana" w:hAnsi="Verdana"/>
            <w:sz w:val="22"/>
            <w:szCs w:val="22"/>
            <w:lang w:val="en-ZA"/>
          </w:rPr>
          <w:t>CRPD/C/MEX/CO/1</w:t>
        </w:r>
      </w:hyperlink>
      <w:r w:rsidRPr="002E2FE4">
        <w:rPr>
          <w:rFonts w:ascii="Verdana" w:hAnsi="Verdana"/>
          <w:sz w:val="22"/>
          <w:szCs w:val="22"/>
          <w:lang w:val="en-US"/>
        </w:rPr>
        <w:t>) and its decision in the case of Mr</w:t>
      </w:r>
      <w:r w:rsidR="007F1B56">
        <w:rPr>
          <w:rFonts w:ascii="Verdana" w:hAnsi="Verdana"/>
          <w:sz w:val="22"/>
          <w:szCs w:val="22"/>
          <w:lang w:val="en-US"/>
        </w:rPr>
        <w:t>.</w:t>
      </w:r>
      <w:r w:rsidRPr="002E2FE4">
        <w:rPr>
          <w:rFonts w:ascii="Verdana" w:hAnsi="Verdana"/>
          <w:sz w:val="22"/>
          <w:szCs w:val="22"/>
          <w:lang w:val="en-US"/>
        </w:rPr>
        <w:t xml:space="preserve"> Arturo Medina Vela (</w:t>
      </w:r>
      <w:hyperlink r:id="rId11" w:history="1">
        <w:r w:rsidRPr="002E2FE4">
          <w:rPr>
            <w:rStyle w:val="Hyperlink"/>
            <w:rFonts w:ascii="Verdana" w:hAnsi="Verdana"/>
            <w:sz w:val="22"/>
            <w:szCs w:val="22"/>
            <w:lang w:val="en-ZA"/>
          </w:rPr>
          <w:t>CRPD/C/22/D/32/2015</w:t>
        </w:r>
      </w:hyperlink>
      <w:r w:rsidRPr="002E2FE4">
        <w:rPr>
          <w:rFonts w:ascii="Verdana" w:hAnsi="Verdana"/>
          <w:sz w:val="22"/>
          <w:szCs w:val="22"/>
          <w:lang w:val="en-US"/>
        </w:rPr>
        <w:t>)</w:t>
      </w:r>
      <w:r w:rsidR="00EE04D4" w:rsidRPr="002E2FE4">
        <w:rPr>
          <w:rFonts w:ascii="Verdana" w:hAnsi="Verdana"/>
          <w:sz w:val="22"/>
          <w:szCs w:val="22"/>
          <w:lang w:val="en-US"/>
        </w:rPr>
        <w:t>.</w:t>
      </w:r>
      <w:r w:rsidR="005C1C92" w:rsidRPr="002E2FE4">
        <w:rPr>
          <w:rStyle w:val="FootnoteReference"/>
          <w:rFonts w:ascii="Verdana" w:hAnsi="Verdana"/>
          <w:sz w:val="22"/>
          <w:szCs w:val="22"/>
          <w:lang w:val="en-US"/>
        </w:rPr>
        <w:footnoteReference w:id="2"/>
      </w:r>
      <w:r w:rsidR="00EE04D4" w:rsidRPr="002E2FE4">
        <w:rPr>
          <w:rFonts w:ascii="Verdana" w:hAnsi="Verdana"/>
          <w:sz w:val="22"/>
          <w:szCs w:val="22"/>
          <w:lang w:val="en-US"/>
        </w:rPr>
        <w:t xml:space="preserve"> </w:t>
      </w:r>
    </w:p>
    <w:p w14:paraId="1EDDAB5D" w14:textId="77777777" w:rsidR="000F649E" w:rsidRPr="002E2FE4" w:rsidRDefault="000F649E" w:rsidP="00943B36">
      <w:pPr>
        <w:pStyle w:val="ListParagraph"/>
        <w:jc w:val="both"/>
        <w:rPr>
          <w:rFonts w:ascii="Verdana" w:hAnsi="Verdana"/>
          <w:sz w:val="22"/>
          <w:szCs w:val="22"/>
          <w:lang w:val="en-US"/>
        </w:rPr>
      </w:pPr>
    </w:p>
    <w:p w14:paraId="18E936D2" w14:textId="78750229" w:rsidR="000F649E" w:rsidRPr="002E2FE4" w:rsidRDefault="000F649E" w:rsidP="00943B36">
      <w:pPr>
        <w:pStyle w:val="ListParagraph"/>
        <w:numPr>
          <w:ilvl w:val="0"/>
          <w:numId w:val="3"/>
        </w:numPr>
        <w:ind w:left="567" w:hanging="425"/>
        <w:jc w:val="both"/>
        <w:rPr>
          <w:rFonts w:ascii="Verdana" w:hAnsi="Verdana"/>
          <w:sz w:val="22"/>
          <w:szCs w:val="22"/>
          <w:lang w:val="en-ZA"/>
        </w:rPr>
      </w:pPr>
      <w:r w:rsidRPr="002E2FE4">
        <w:rPr>
          <w:rFonts w:ascii="Verdana" w:hAnsi="Verdana"/>
          <w:sz w:val="22"/>
          <w:szCs w:val="22"/>
          <w:lang w:val="en-US"/>
        </w:rPr>
        <w:t>In its letter</w:t>
      </w:r>
      <w:r w:rsidR="00254576">
        <w:rPr>
          <w:rFonts w:ascii="Verdana" w:hAnsi="Verdana"/>
          <w:sz w:val="22"/>
          <w:szCs w:val="22"/>
          <w:lang w:val="en-US"/>
        </w:rPr>
        <w:t>s</w:t>
      </w:r>
      <w:r w:rsidRPr="002E2FE4">
        <w:rPr>
          <w:rFonts w:ascii="Verdana" w:hAnsi="Verdana"/>
          <w:sz w:val="22"/>
          <w:szCs w:val="22"/>
          <w:lang w:val="en-US"/>
        </w:rPr>
        <w:t xml:space="preserve"> to the Mexican authorities, a</w:t>
      </w:r>
      <w:r w:rsidR="00C35FD8" w:rsidRPr="002E2FE4">
        <w:rPr>
          <w:rFonts w:ascii="Verdana" w:hAnsi="Verdana"/>
          <w:sz w:val="22"/>
          <w:szCs w:val="22"/>
          <w:lang w:val="en-US"/>
        </w:rPr>
        <w:t>mong other things,</w:t>
      </w:r>
      <w:r w:rsidR="00EE04D4" w:rsidRPr="002E2FE4">
        <w:rPr>
          <w:rFonts w:ascii="Verdana" w:hAnsi="Verdana"/>
          <w:sz w:val="22"/>
          <w:szCs w:val="22"/>
          <w:lang w:val="en-US"/>
        </w:rPr>
        <w:t xml:space="preserve"> the ICJ </w:t>
      </w:r>
      <w:r w:rsidRPr="002E2FE4">
        <w:rPr>
          <w:rFonts w:ascii="Verdana" w:hAnsi="Verdana"/>
          <w:sz w:val="22"/>
          <w:szCs w:val="22"/>
          <w:lang w:val="en-US"/>
        </w:rPr>
        <w:t>offered support to the authorities in the implementation of their Convention obligations</w:t>
      </w:r>
      <w:r w:rsidR="004A1260" w:rsidRPr="002E2FE4">
        <w:rPr>
          <w:rFonts w:ascii="Verdana" w:hAnsi="Verdana"/>
          <w:sz w:val="22"/>
          <w:szCs w:val="22"/>
          <w:lang w:val="en-US"/>
        </w:rPr>
        <w:t>,</w:t>
      </w:r>
      <w:r w:rsidRPr="002E2FE4">
        <w:rPr>
          <w:rFonts w:ascii="Verdana" w:hAnsi="Verdana"/>
          <w:sz w:val="22"/>
          <w:szCs w:val="22"/>
          <w:lang w:val="en-US"/>
        </w:rPr>
        <w:t xml:space="preserve"> and requested information </w:t>
      </w:r>
      <w:r w:rsidR="00EE04D4" w:rsidRPr="002E2FE4">
        <w:rPr>
          <w:rFonts w:ascii="Verdana" w:hAnsi="Verdana"/>
          <w:sz w:val="22"/>
          <w:szCs w:val="22"/>
          <w:lang w:val="en-US"/>
        </w:rPr>
        <w:t xml:space="preserve">about </w:t>
      </w:r>
      <w:r w:rsidR="009F5B40" w:rsidRPr="002E2FE4">
        <w:rPr>
          <w:rFonts w:ascii="Verdana" w:hAnsi="Verdana"/>
          <w:sz w:val="22"/>
          <w:szCs w:val="22"/>
          <w:lang w:val="en-US"/>
        </w:rPr>
        <w:t>the</w:t>
      </w:r>
      <w:r w:rsidR="00EE04D4" w:rsidRPr="002E2FE4">
        <w:rPr>
          <w:rFonts w:ascii="Verdana" w:hAnsi="Verdana"/>
          <w:sz w:val="22"/>
          <w:szCs w:val="22"/>
          <w:lang w:val="en-US"/>
        </w:rPr>
        <w:t xml:space="preserve"> actions taken </w:t>
      </w:r>
      <w:r w:rsidR="004A1260" w:rsidRPr="002E2FE4">
        <w:rPr>
          <w:rFonts w:ascii="Verdana" w:hAnsi="Verdana"/>
          <w:sz w:val="22"/>
          <w:szCs w:val="22"/>
          <w:lang w:val="en-US"/>
        </w:rPr>
        <w:t xml:space="preserve">by Mexico, </w:t>
      </w:r>
      <w:r w:rsidR="004A1260" w:rsidRPr="002E2FE4">
        <w:rPr>
          <w:rFonts w:ascii="Verdana" w:hAnsi="Verdana"/>
          <w:i/>
          <w:iCs/>
          <w:sz w:val="22"/>
          <w:szCs w:val="22"/>
          <w:lang w:val="en-US"/>
        </w:rPr>
        <w:t>inter alia</w:t>
      </w:r>
      <w:r w:rsidR="004A1260" w:rsidRPr="002E2FE4">
        <w:rPr>
          <w:rFonts w:ascii="Verdana" w:hAnsi="Verdana"/>
          <w:sz w:val="22"/>
          <w:szCs w:val="22"/>
          <w:lang w:val="en-US"/>
        </w:rPr>
        <w:t xml:space="preserve"> in relation to</w:t>
      </w:r>
      <w:r w:rsidRPr="002E2FE4">
        <w:rPr>
          <w:rFonts w:ascii="Verdana" w:hAnsi="Verdana"/>
          <w:sz w:val="22"/>
          <w:szCs w:val="22"/>
          <w:lang w:val="en-US"/>
        </w:rPr>
        <w:t>:</w:t>
      </w:r>
    </w:p>
    <w:p w14:paraId="45E8CFC2" w14:textId="77777777" w:rsidR="000F649E" w:rsidRPr="002E2FE4" w:rsidRDefault="000F649E" w:rsidP="00943B36">
      <w:pPr>
        <w:pStyle w:val="ListParagraph"/>
        <w:jc w:val="both"/>
        <w:rPr>
          <w:rFonts w:ascii="Verdana" w:hAnsi="Verdana"/>
          <w:sz w:val="22"/>
          <w:szCs w:val="22"/>
          <w:lang w:val="en-US"/>
        </w:rPr>
      </w:pPr>
    </w:p>
    <w:p w14:paraId="4744E530" w14:textId="3463B603" w:rsidR="004A1260" w:rsidRPr="002E2FE4" w:rsidRDefault="004A1260" w:rsidP="00943B36">
      <w:pPr>
        <w:pStyle w:val="ListParagraph"/>
        <w:numPr>
          <w:ilvl w:val="0"/>
          <w:numId w:val="14"/>
        </w:numPr>
        <w:jc w:val="both"/>
        <w:rPr>
          <w:rFonts w:ascii="Verdana" w:hAnsi="Verdana"/>
          <w:sz w:val="22"/>
          <w:szCs w:val="22"/>
          <w:lang w:val="en-ZA"/>
        </w:rPr>
      </w:pPr>
      <w:r w:rsidRPr="002E2FE4">
        <w:rPr>
          <w:rFonts w:ascii="Verdana" w:hAnsi="Verdana"/>
          <w:sz w:val="22"/>
          <w:szCs w:val="22"/>
          <w:lang w:val="en-US"/>
        </w:rPr>
        <w:t xml:space="preserve">initiating or encouraging legal reform towards the repeal of the non-liability regulations for persons with disabilities in criminal </w:t>
      </w:r>
      <w:r w:rsidRPr="002E2FE4">
        <w:rPr>
          <w:rFonts w:ascii="Verdana" w:hAnsi="Verdana"/>
          <w:sz w:val="22"/>
          <w:szCs w:val="22"/>
          <w:lang w:val="en-US"/>
        </w:rPr>
        <w:lastRenderedPageBreak/>
        <w:t>proceedings, which result in the declaration of legal incompetence and the limitations on the legal capacity persons with disabilities;</w:t>
      </w:r>
    </w:p>
    <w:p w14:paraId="21A6B2A1" w14:textId="37033F00" w:rsidR="004A1260" w:rsidRPr="002E2FE4" w:rsidRDefault="004A1260" w:rsidP="00943B36">
      <w:pPr>
        <w:pStyle w:val="ListParagraph"/>
        <w:numPr>
          <w:ilvl w:val="0"/>
          <w:numId w:val="14"/>
        </w:numPr>
        <w:jc w:val="both"/>
        <w:rPr>
          <w:rFonts w:ascii="Verdana" w:hAnsi="Verdana"/>
          <w:sz w:val="22"/>
          <w:szCs w:val="22"/>
          <w:lang w:val="en-ZA"/>
        </w:rPr>
      </w:pPr>
      <w:r w:rsidRPr="002E2FE4">
        <w:rPr>
          <w:rFonts w:ascii="Verdana" w:hAnsi="Verdana"/>
          <w:sz w:val="22"/>
          <w:szCs w:val="22"/>
          <w:lang w:val="en-US"/>
        </w:rPr>
        <w:t xml:space="preserve">initiating or encouraging legal reform towards </w:t>
      </w:r>
      <w:r w:rsidR="00EE04D4" w:rsidRPr="002E2FE4">
        <w:rPr>
          <w:rFonts w:ascii="Verdana" w:hAnsi="Verdana"/>
          <w:sz w:val="22"/>
          <w:szCs w:val="22"/>
          <w:lang w:val="en-US"/>
        </w:rPr>
        <w:t>the replacement of the substituted decision-making</w:t>
      </w:r>
      <w:r w:rsidR="000F649E" w:rsidRPr="002E2FE4">
        <w:rPr>
          <w:rFonts w:ascii="Verdana" w:hAnsi="Verdana"/>
          <w:sz w:val="22"/>
          <w:szCs w:val="22"/>
          <w:lang w:val="en-US"/>
        </w:rPr>
        <w:t xml:space="preserve"> system</w:t>
      </w:r>
      <w:r w:rsidR="00EE04D4" w:rsidRPr="002E2FE4">
        <w:rPr>
          <w:rFonts w:ascii="Verdana" w:hAnsi="Verdana"/>
          <w:sz w:val="22"/>
          <w:szCs w:val="22"/>
          <w:lang w:val="en-US"/>
        </w:rPr>
        <w:t xml:space="preserve"> with a supported decision-m</w:t>
      </w:r>
      <w:r w:rsidR="000F649E" w:rsidRPr="002E2FE4">
        <w:rPr>
          <w:rFonts w:ascii="Verdana" w:hAnsi="Verdana"/>
          <w:sz w:val="22"/>
          <w:szCs w:val="22"/>
          <w:lang w:val="en-US"/>
        </w:rPr>
        <w:t>odel;</w:t>
      </w:r>
    </w:p>
    <w:p w14:paraId="145E3A56" w14:textId="0CA6CF06" w:rsidR="004A1260" w:rsidRPr="002E2FE4" w:rsidRDefault="004A1260" w:rsidP="00943B36">
      <w:pPr>
        <w:pStyle w:val="ListParagraph"/>
        <w:numPr>
          <w:ilvl w:val="0"/>
          <w:numId w:val="14"/>
        </w:numPr>
        <w:jc w:val="both"/>
        <w:rPr>
          <w:rFonts w:ascii="Verdana" w:hAnsi="Verdana"/>
          <w:sz w:val="22"/>
          <w:szCs w:val="22"/>
          <w:lang w:val="en-ZA"/>
        </w:rPr>
      </w:pPr>
      <w:r w:rsidRPr="002E2FE4">
        <w:rPr>
          <w:rFonts w:ascii="Verdana" w:hAnsi="Verdana"/>
          <w:sz w:val="22"/>
          <w:szCs w:val="22"/>
          <w:lang w:val="en-US"/>
        </w:rPr>
        <w:t>initiating or encouraging legal reform towards the promotion of alternatives to involuntary committal for the purposes of medical and psychiatric treatment; and</w:t>
      </w:r>
    </w:p>
    <w:p w14:paraId="39B96616" w14:textId="6CAD19DE" w:rsidR="00C54794" w:rsidRPr="002E2FE4" w:rsidRDefault="004A1260" w:rsidP="00943B36">
      <w:pPr>
        <w:pStyle w:val="ListParagraph"/>
        <w:numPr>
          <w:ilvl w:val="0"/>
          <w:numId w:val="14"/>
        </w:numPr>
        <w:jc w:val="both"/>
        <w:rPr>
          <w:rFonts w:ascii="Verdana" w:hAnsi="Verdana"/>
          <w:sz w:val="22"/>
          <w:szCs w:val="22"/>
          <w:lang w:val="en-ZA"/>
        </w:rPr>
      </w:pPr>
      <w:r w:rsidRPr="002E2FE4">
        <w:rPr>
          <w:rFonts w:ascii="Verdana" w:hAnsi="Verdana"/>
          <w:sz w:val="22"/>
          <w:szCs w:val="22"/>
          <w:lang w:val="en-US"/>
        </w:rPr>
        <w:t>ensuring training of all relevant personnel</w:t>
      </w:r>
      <w:r w:rsidR="00C54794" w:rsidRPr="002E2FE4">
        <w:rPr>
          <w:rFonts w:ascii="Verdana" w:hAnsi="Verdana" w:cs="Arial"/>
          <w:color w:val="000000" w:themeColor="text1"/>
          <w:sz w:val="22"/>
          <w:szCs w:val="22"/>
          <w:bdr w:val="none" w:sz="0" w:space="0" w:color="auto" w:frame="1"/>
          <w:shd w:val="clear" w:color="auto" w:fill="FFFFFF"/>
        </w:rPr>
        <w:t xml:space="preserve"> (whether prosecutors, public defenders, public servants or judicial officers) on the provisions of the </w:t>
      </w:r>
      <w:r w:rsidR="002E2FE4" w:rsidRPr="002E2FE4">
        <w:rPr>
          <w:rFonts w:ascii="Verdana" w:hAnsi="Verdana" w:cs="Arial"/>
          <w:color w:val="000000" w:themeColor="text1"/>
          <w:sz w:val="22"/>
          <w:szCs w:val="22"/>
          <w:bdr w:val="none" w:sz="0" w:space="0" w:color="auto" w:frame="1"/>
          <w:shd w:val="clear" w:color="auto" w:fill="FFFFFF"/>
          <w:lang w:val="en-US"/>
        </w:rPr>
        <w:t>Convention</w:t>
      </w:r>
      <w:r w:rsidR="00C54794" w:rsidRPr="002E2FE4">
        <w:rPr>
          <w:rFonts w:ascii="Verdana" w:hAnsi="Verdana" w:cs="Arial"/>
          <w:color w:val="000000" w:themeColor="text1"/>
          <w:sz w:val="22"/>
          <w:szCs w:val="22"/>
          <w:bdr w:val="none" w:sz="0" w:space="0" w:color="auto" w:frame="1"/>
          <w:shd w:val="clear" w:color="auto" w:fill="FFFFFF"/>
        </w:rPr>
        <w:t>, specifically regarding the human rights of persons with disabilities to access justice and to enjoy equal recognition before the law</w:t>
      </w:r>
      <w:r w:rsidR="005D7927" w:rsidRPr="002E2FE4">
        <w:rPr>
          <w:rFonts w:ascii="Verdana" w:hAnsi="Verdana" w:cs="Arial"/>
          <w:color w:val="000000" w:themeColor="text1"/>
          <w:sz w:val="22"/>
          <w:szCs w:val="22"/>
          <w:bdr w:val="none" w:sz="0" w:space="0" w:color="auto" w:frame="1"/>
          <w:shd w:val="clear" w:color="auto" w:fill="FFFFFF"/>
          <w:lang w:val="en-US"/>
        </w:rPr>
        <w:t>.</w:t>
      </w:r>
    </w:p>
    <w:p w14:paraId="67A5B863" w14:textId="77777777" w:rsidR="00DC1E15" w:rsidRPr="00DC1E15" w:rsidRDefault="006A0E46" w:rsidP="00943B36">
      <w:pPr>
        <w:pStyle w:val="ListParagraph"/>
        <w:numPr>
          <w:ilvl w:val="0"/>
          <w:numId w:val="3"/>
        </w:numPr>
        <w:ind w:left="567" w:hanging="425"/>
        <w:jc w:val="both"/>
        <w:rPr>
          <w:rFonts w:ascii="Verdana" w:hAnsi="Verdana"/>
          <w:sz w:val="22"/>
          <w:szCs w:val="22"/>
          <w:lang w:val="en-ZA"/>
        </w:rPr>
      </w:pPr>
      <w:r>
        <w:rPr>
          <w:rStyle w:val="normaltextrun"/>
          <w:rFonts w:ascii="Verdana" w:hAnsi="Verdana"/>
          <w:sz w:val="22"/>
          <w:szCs w:val="22"/>
        </w:rPr>
        <w:t xml:space="preserve">Furthermore, the ICJ underscored that in </w:t>
      </w:r>
      <w:r w:rsidRPr="00BB3DE3">
        <w:rPr>
          <w:rFonts w:ascii="Verdana" w:hAnsi="Verdana"/>
          <w:sz w:val="22"/>
          <w:szCs w:val="22"/>
        </w:rPr>
        <w:t>its Concluding Observations to Mexico in 2014 and in its decision in the case of Mr. Arturo Medina Vela in 2019</w:t>
      </w:r>
      <w:r>
        <w:rPr>
          <w:rFonts w:ascii="Verdana" w:hAnsi="Verdana"/>
          <w:sz w:val="22"/>
          <w:szCs w:val="22"/>
        </w:rPr>
        <w:t xml:space="preserve">, </w:t>
      </w:r>
      <w:r>
        <w:rPr>
          <w:rStyle w:val="normaltextrun"/>
          <w:rFonts w:ascii="Verdana" w:hAnsi="Verdana"/>
          <w:sz w:val="22"/>
          <w:szCs w:val="22"/>
        </w:rPr>
        <w:t>the Committee had already recommended the revision of Mexico’s legal framework in the above-mentioned areas. Moreover, while these recommendations were based on Mexico’s obligations under the Convention, the country has in fact been obligated to pursue such reforms at least since it acceded to the Convention on 17 December 2007</w:t>
      </w:r>
      <w:r w:rsidR="005D7927" w:rsidRPr="002E2FE4">
        <w:rPr>
          <w:rFonts w:ascii="Verdana" w:hAnsi="Verdana"/>
          <w:sz w:val="22"/>
          <w:szCs w:val="22"/>
          <w:lang w:val="en-US"/>
        </w:rPr>
        <w:t>.</w:t>
      </w:r>
      <w:r w:rsidR="005D7927" w:rsidRPr="002E2FE4">
        <w:rPr>
          <w:rStyle w:val="FootnoteReference"/>
          <w:rFonts w:ascii="Verdana" w:hAnsi="Verdana"/>
          <w:sz w:val="22"/>
          <w:szCs w:val="22"/>
          <w:lang w:val="en-US"/>
        </w:rPr>
        <w:footnoteReference w:id="3"/>
      </w:r>
    </w:p>
    <w:p w14:paraId="1781FDF4" w14:textId="77777777" w:rsidR="00DC1E15" w:rsidRDefault="00DC1E15" w:rsidP="00943B36">
      <w:pPr>
        <w:pStyle w:val="ListParagraph"/>
        <w:ind w:left="567"/>
        <w:jc w:val="both"/>
        <w:rPr>
          <w:rFonts w:ascii="Verdana" w:hAnsi="Verdana"/>
          <w:sz w:val="22"/>
          <w:szCs w:val="22"/>
          <w:lang w:val="en-ZA"/>
        </w:rPr>
      </w:pPr>
    </w:p>
    <w:p w14:paraId="6664B306" w14:textId="77777777" w:rsidR="00584897" w:rsidRDefault="00892BB5" w:rsidP="00584897">
      <w:pPr>
        <w:pStyle w:val="ListParagraph"/>
        <w:numPr>
          <w:ilvl w:val="0"/>
          <w:numId w:val="3"/>
        </w:numPr>
        <w:ind w:left="567" w:hanging="425"/>
        <w:jc w:val="both"/>
        <w:rPr>
          <w:rFonts w:ascii="Verdana" w:hAnsi="Verdana"/>
          <w:sz w:val="22"/>
          <w:szCs w:val="22"/>
          <w:lang w:val="en-ZA"/>
        </w:rPr>
      </w:pPr>
      <w:r w:rsidRPr="00DC1E15">
        <w:rPr>
          <w:rFonts w:ascii="Verdana" w:hAnsi="Verdana"/>
          <w:sz w:val="22"/>
          <w:szCs w:val="22"/>
          <w:lang w:val="en-ZA"/>
        </w:rPr>
        <w:t>As elaborated below, in October 2021, the ICJ received two different responses from the judicial authorities</w:t>
      </w:r>
      <w:r w:rsidR="00DC1E15" w:rsidRPr="00DC1E15">
        <w:rPr>
          <w:rFonts w:ascii="Verdana" w:hAnsi="Verdana"/>
          <w:sz w:val="22"/>
          <w:szCs w:val="22"/>
          <w:lang w:val="en-ZA"/>
        </w:rPr>
        <w:t>.</w:t>
      </w:r>
      <w:r w:rsidR="00DC1E15" w:rsidRPr="00DA7827">
        <w:rPr>
          <w:rStyle w:val="FootnoteReference"/>
          <w:rFonts w:ascii="Verdana" w:hAnsi="Verdana"/>
          <w:sz w:val="22"/>
          <w:szCs w:val="22"/>
          <w:lang w:val="en-US"/>
        </w:rPr>
        <w:footnoteReference w:id="4"/>
      </w:r>
      <w:r w:rsidRPr="00DC1E15">
        <w:rPr>
          <w:rFonts w:ascii="Verdana" w:hAnsi="Verdana"/>
          <w:sz w:val="22"/>
          <w:szCs w:val="22"/>
          <w:lang w:val="en-ZA"/>
        </w:rPr>
        <w:t xml:space="preserve"> On 19 October 2021, the ICJ reiterated its request for information to the executive and legislative authorities. However, as of this writing, those authorities have not answered yet.</w:t>
      </w:r>
    </w:p>
    <w:p w14:paraId="4034EA4F" w14:textId="77777777" w:rsidR="00584897" w:rsidRPr="00584897" w:rsidRDefault="00584897" w:rsidP="00584897">
      <w:pPr>
        <w:pStyle w:val="ListParagraph"/>
        <w:rPr>
          <w:rFonts w:ascii="Verdana" w:hAnsi="Verdana"/>
          <w:sz w:val="22"/>
          <w:szCs w:val="22"/>
          <w:lang w:val="en-ZA"/>
        </w:rPr>
      </w:pPr>
    </w:p>
    <w:p w14:paraId="1A3C4DE3" w14:textId="5CB26422" w:rsidR="00584897" w:rsidRPr="00584897" w:rsidRDefault="00584897" w:rsidP="00584897">
      <w:pPr>
        <w:pStyle w:val="ListParagraph"/>
        <w:numPr>
          <w:ilvl w:val="0"/>
          <w:numId w:val="3"/>
        </w:numPr>
        <w:ind w:left="567" w:hanging="425"/>
        <w:jc w:val="both"/>
        <w:rPr>
          <w:rFonts w:ascii="Verdana" w:hAnsi="Verdana"/>
          <w:sz w:val="22"/>
          <w:szCs w:val="22"/>
          <w:lang w:val="en-ZA"/>
        </w:rPr>
      </w:pPr>
      <w:r w:rsidRPr="00584897">
        <w:rPr>
          <w:rFonts w:ascii="Verdana" w:hAnsi="Verdana"/>
          <w:sz w:val="22"/>
          <w:szCs w:val="22"/>
          <w:lang w:val="en-ZA"/>
        </w:rPr>
        <w:lastRenderedPageBreak/>
        <w:t>In this submission, the ICJ wishes to draw the Committee’s attention</w:t>
      </w:r>
      <w:r w:rsidR="00453797">
        <w:rPr>
          <w:rFonts w:ascii="Verdana" w:hAnsi="Verdana"/>
          <w:sz w:val="22"/>
          <w:szCs w:val="22"/>
          <w:lang w:val="en-ZA"/>
        </w:rPr>
        <w:t xml:space="preserve"> to the fact</w:t>
      </w:r>
      <w:r w:rsidRPr="00584897">
        <w:rPr>
          <w:rFonts w:ascii="Verdana" w:hAnsi="Verdana"/>
          <w:sz w:val="22"/>
          <w:szCs w:val="22"/>
          <w:lang w:val="en-ZA"/>
        </w:rPr>
        <w:t xml:space="preserve"> that Mexican Authorities have not taken</w:t>
      </w:r>
      <w:r w:rsidR="00453797">
        <w:rPr>
          <w:rFonts w:ascii="Verdana" w:hAnsi="Verdana"/>
          <w:sz w:val="22"/>
          <w:szCs w:val="22"/>
          <w:lang w:val="en-ZA"/>
        </w:rPr>
        <w:t xml:space="preserve"> the necessary</w:t>
      </w:r>
      <w:r w:rsidRPr="00584897">
        <w:rPr>
          <w:rFonts w:ascii="Verdana" w:hAnsi="Verdana"/>
          <w:sz w:val="22"/>
          <w:szCs w:val="22"/>
          <w:lang w:val="en-ZA"/>
        </w:rPr>
        <w:t xml:space="preserve"> </w:t>
      </w:r>
      <w:r w:rsidR="00453797">
        <w:rPr>
          <w:rFonts w:ascii="Verdana" w:hAnsi="Verdana"/>
          <w:sz w:val="22"/>
          <w:szCs w:val="22"/>
          <w:lang w:val="en-ZA"/>
        </w:rPr>
        <w:t>measures</w:t>
      </w:r>
      <w:r w:rsidRPr="00584897">
        <w:rPr>
          <w:rFonts w:ascii="Verdana" w:hAnsi="Verdana"/>
          <w:sz w:val="22"/>
          <w:szCs w:val="22"/>
          <w:lang w:val="en-ZA"/>
        </w:rPr>
        <w:t xml:space="preserve"> to reform the domestic legislation to guarantee that persons with disabilities enjoy legal capacity in the terms required by Article 12 of the Convention. In particular, </w:t>
      </w:r>
      <w:r w:rsidR="00453797">
        <w:rPr>
          <w:rFonts w:ascii="Verdana" w:hAnsi="Verdana"/>
          <w:sz w:val="22"/>
          <w:szCs w:val="22"/>
          <w:lang w:val="en-ZA"/>
        </w:rPr>
        <w:t xml:space="preserve">in respect of </w:t>
      </w:r>
      <w:r w:rsidRPr="00584897">
        <w:rPr>
          <w:rFonts w:ascii="Verdana" w:hAnsi="Verdana"/>
          <w:sz w:val="22"/>
          <w:szCs w:val="22"/>
          <w:lang w:val="en-ZA"/>
        </w:rPr>
        <w:t xml:space="preserve">criminal proceedings, persons with disabilities </w:t>
      </w:r>
      <w:r w:rsidR="00453797">
        <w:rPr>
          <w:rFonts w:ascii="Verdana" w:hAnsi="Verdana"/>
          <w:sz w:val="22"/>
          <w:szCs w:val="22"/>
          <w:lang w:val="en-ZA"/>
        </w:rPr>
        <w:t xml:space="preserve">remain regularly </w:t>
      </w:r>
      <w:r w:rsidRPr="00584897">
        <w:rPr>
          <w:rFonts w:ascii="Verdana" w:hAnsi="Verdana"/>
          <w:sz w:val="22"/>
          <w:szCs w:val="22"/>
          <w:lang w:val="en-ZA"/>
        </w:rPr>
        <w:t>subjected to non-liability declarations. As a result of these declarations, among</w:t>
      </w:r>
      <w:r w:rsidR="00453797">
        <w:rPr>
          <w:rFonts w:ascii="Verdana" w:hAnsi="Verdana"/>
          <w:sz w:val="22"/>
          <w:szCs w:val="22"/>
          <w:lang w:val="en-ZA"/>
        </w:rPr>
        <w:t>st</w:t>
      </w:r>
      <w:r w:rsidRPr="00584897">
        <w:rPr>
          <w:rFonts w:ascii="Verdana" w:hAnsi="Verdana"/>
          <w:sz w:val="22"/>
          <w:szCs w:val="22"/>
          <w:lang w:val="en-ZA"/>
        </w:rPr>
        <w:t xml:space="preserve"> other</w:t>
      </w:r>
      <w:r w:rsidR="00453797">
        <w:rPr>
          <w:rFonts w:ascii="Verdana" w:hAnsi="Verdana"/>
          <w:sz w:val="22"/>
          <w:szCs w:val="22"/>
          <w:lang w:val="en-ZA"/>
        </w:rPr>
        <w:t xml:space="preserve"> things</w:t>
      </w:r>
      <w:r w:rsidRPr="00584897">
        <w:rPr>
          <w:rFonts w:ascii="Verdana" w:hAnsi="Verdana"/>
          <w:sz w:val="22"/>
          <w:szCs w:val="22"/>
          <w:lang w:val="en-ZA"/>
        </w:rPr>
        <w:t>,</w:t>
      </w:r>
      <w:r w:rsidR="00453797">
        <w:rPr>
          <w:rFonts w:ascii="Verdana" w:hAnsi="Verdana"/>
          <w:sz w:val="22"/>
          <w:szCs w:val="22"/>
          <w:lang w:val="en-ZA"/>
        </w:rPr>
        <w:t xml:space="preserve"> persons with disabilites</w:t>
      </w:r>
      <w:r w:rsidRPr="00584897">
        <w:rPr>
          <w:rFonts w:ascii="Verdana" w:hAnsi="Verdana"/>
          <w:sz w:val="22"/>
          <w:szCs w:val="22"/>
          <w:lang w:val="en-ZA"/>
        </w:rPr>
        <w:t xml:space="preserve"> might be subject to security measures, including an indeterminate period of confinement. In addition, they are denied the possibility of standing trial or accessing pre-trial negotiations. The former also constitute violations of the right to effective access to justice (Article 13 of the Convention) and the right not to be deprived of their liberty unlawfully or arbitrarily (Article 14 of the Convention) within criminal proceedings.</w:t>
      </w:r>
      <w:r>
        <w:rPr>
          <w:rFonts w:ascii="Verdana" w:hAnsi="Verdana"/>
          <w:sz w:val="22"/>
          <w:szCs w:val="22"/>
          <w:lang w:val="en-ZA"/>
        </w:rPr>
        <w:t xml:space="preserve"> </w:t>
      </w:r>
      <w:r w:rsidR="00450EDE">
        <w:rPr>
          <w:rFonts w:ascii="Verdana" w:hAnsi="Verdana"/>
          <w:sz w:val="22"/>
          <w:szCs w:val="22"/>
          <w:lang w:val="en-ZA"/>
        </w:rPr>
        <w:t>Finally, the submission proposes some recommendations to be considered by the Committee</w:t>
      </w:r>
      <w:r w:rsidR="00453797">
        <w:rPr>
          <w:rFonts w:ascii="Verdana" w:hAnsi="Verdana"/>
          <w:sz w:val="22"/>
          <w:szCs w:val="22"/>
          <w:lang w:val="en-ZA"/>
        </w:rPr>
        <w:t xml:space="preserve"> in its upcoming evaluation of Mexico’s report</w:t>
      </w:r>
      <w:r w:rsidR="00450EDE">
        <w:rPr>
          <w:rFonts w:ascii="Verdana" w:hAnsi="Verdana"/>
          <w:sz w:val="22"/>
          <w:szCs w:val="22"/>
          <w:lang w:val="en-ZA"/>
        </w:rPr>
        <w:t xml:space="preserve">. </w:t>
      </w:r>
    </w:p>
    <w:p w14:paraId="6D2AE0DF" w14:textId="41E7E1D2" w:rsidR="00824483" w:rsidRPr="00DA7827" w:rsidRDefault="00824483" w:rsidP="00943B36">
      <w:pPr>
        <w:jc w:val="both"/>
        <w:rPr>
          <w:rFonts w:ascii="Verdana" w:hAnsi="Verdana"/>
          <w:sz w:val="22"/>
          <w:szCs w:val="22"/>
          <w:lang w:val="en-ZA"/>
        </w:rPr>
      </w:pPr>
    </w:p>
    <w:p w14:paraId="77CF1A37" w14:textId="1CBEB687" w:rsidR="00824483" w:rsidRPr="006A0E46" w:rsidRDefault="0034259D" w:rsidP="00943B36">
      <w:pPr>
        <w:jc w:val="both"/>
        <w:rPr>
          <w:rFonts w:ascii="Verdana" w:hAnsi="Verdana"/>
          <w:b/>
          <w:bCs/>
          <w:color w:val="2F5496" w:themeColor="accent1" w:themeShade="BF"/>
          <w:sz w:val="22"/>
          <w:szCs w:val="22"/>
          <w:lang w:val="en-US"/>
        </w:rPr>
      </w:pPr>
      <w:r w:rsidRPr="006A0E46">
        <w:rPr>
          <w:rFonts w:ascii="Verdana" w:hAnsi="Verdana"/>
          <w:b/>
          <w:bCs/>
          <w:color w:val="2F5496" w:themeColor="accent1" w:themeShade="BF"/>
          <w:sz w:val="22"/>
          <w:szCs w:val="22"/>
          <w:lang w:val="en-US"/>
        </w:rPr>
        <w:t>Mexican</w:t>
      </w:r>
      <w:r w:rsidR="00824483" w:rsidRPr="006A0E46">
        <w:rPr>
          <w:rFonts w:ascii="Verdana" w:hAnsi="Verdana"/>
          <w:b/>
          <w:bCs/>
          <w:color w:val="2F5496" w:themeColor="accent1" w:themeShade="BF"/>
          <w:sz w:val="22"/>
          <w:szCs w:val="22"/>
          <w:lang w:val="en-US"/>
        </w:rPr>
        <w:t xml:space="preserve"> Authorities</w:t>
      </w:r>
      <w:r w:rsidRPr="006A0E46">
        <w:rPr>
          <w:rFonts w:ascii="Verdana" w:hAnsi="Verdana"/>
          <w:b/>
          <w:bCs/>
          <w:color w:val="2F5496" w:themeColor="accent1" w:themeShade="BF"/>
          <w:sz w:val="22"/>
          <w:szCs w:val="22"/>
          <w:lang w:val="en-US"/>
        </w:rPr>
        <w:t xml:space="preserve">’ actions concerning the rights of persons with disabilities </w:t>
      </w:r>
      <w:r w:rsidR="00D659ED" w:rsidRPr="006A0E46">
        <w:rPr>
          <w:rFonts w:ascii="Verdana" w:hAnsi="Verdana"/>
          <w:b/>
          <w:bCs/>
          <w:color w:val="2F5496" w:themeColor="accent1" w:themeShade="BF"/>
          <w:sz w:val="22"/>
          <w:szCs w:val="22"/>
          <w:lang w:val="en-US"/>
        </w:rPr>
        <w:t>within</w:t>
      </w:r>
      <w:r w:rsidRPr="006A0E46">
        <w:rPr>
          <w:rFonts w:ascii="Verdana" w:hAnsi="Verdana"/>
          <w:b/>
          <w:bCs/>
          <w:color w:val="2F5496" w:themeColor="accent1" w:themeShade="BF"/>
          <w:sz w:val="22"/>
          <w:szCs w:val="22"/>
          <w:lang w:val="en-US"/>
        </w:rPr>
        <w:t xml:space="preserve"> criminal proceedings</w:t>
      </w:r>
    </w:p>
    <w:p w14:paraId="70996035" w14:textId="77777777" w:rsidR="00772A6F" w:rsidRDefault="00772A6F" w:rsidP="00943B36">
      <w:pPr>
        <w:jc w:val="both"/>
        <w:rPr>
          <w:rFonts w:ascii="Verdana" w:hAnsi="Verdana"/>
          <w:sz w:val="22"/>
          <w:szCs w:val="22"/>
          <w:lang w:val="en-US"/>
        </w:rPr>
      </w:pPr>
    </w:p>
    <w:p w14:paraId="2F17B0B4" w14:textId="29AE4CB4" w:rsidR="002B401D" w:rsidRDefault="002E2FE4" w:rsidP="00943B36">
      <w:pPr>
        <w:pStyle w:val="ListParagraph"/>
        <w:numPr>
          <w:ilvl w:val="0"/>
          <w:numId w:val="3"/>
        </w:numPr>
        <w:ind w:left="567" w:hanging="425"/>
        <w:jc w:val="both"/>
        <w:rPr>
          <w:rFonts w:ascii="Verdana" w:hAnsi="Verdana"/>
          <w:color w:val="000000" w:themeColor="text1"/>
          <w:sz w:val="22"/>
          <w:szCs w:val="22"/>
          <w:lang w:val="en-US"/>
        </w:rPr>
      </w:pPr>
      <w:r w:rsidRPr="00772A6F">
        <w:rPr>
          <w:rFonts w:ascii="Verdana" w:hAnsi="Verdana"/>
          <w:sz w:val="22"/>
          <w:szCs w:val="22"/>
          <w:lang w:val="en-US"/>
        </w:rPr>
        <w:t xml:space="preserve">On </w:t>
      </w:r>
      <w:r w:rsidR="00824483" w:rsidRPr="00772A6F">
        <w:rPr>
          <w:rFonts w:ascii="Verdana" w:hAnsi="Verdana"/>
          <w:sz w:val="22"/>
          <w:szCs w:val="22"/>
          <w:lang w:val="en-US"/>
        </w:rPr>
        <w:t xml:space="preserve">4 October 2021, </w:t>
      </w:r>
      <w:r w:rsidR="00FF6C73" w:rsidRPr="00772A6F">
        <w:rPr>
          <w:rFonts w:ascii="Verdana" w:hAnsi="Verdana"/>
          <w:sz w:val="22"/>
          <w:szCs w:val="22"/>
          <w:lang w:val="en-US"/>
        </w:rPr>
        <w:t xml:space="preserve">in direct response to the Committee’s communications decision in Mr Vela’s case, </w:t>
      </w:r>
      <w:r w:rsidR="00824483" w:rsidRPr="00772A6F">
        <w:rPr>
          <w:rFonts w:ascii="Verdana" w:hAnsi="Verdana"/>
          <w:sz w:val="22"/>
          <w:szCs w:val="22"/>
          <w:lang w:val="en-US"/>
        </w:rPr>
        <w:t>in a public ceremony, the Mexican authorities issued a public apology to Mr. Medina Vela and his family.</w:t>
      </w:r>
      <w:r w:rsidR="00824483" w:rsidRPr="00772A6F">
        <w:rPr>
          <w:rStyle w:val="FootnoteReference"/>
          <w:rFonts w:ascii="Verdana" w:hAnsi="Verdana"/>
          <w:sz w:val="22"/>
          <w:szCs w:val="22"/>
          <w:lang w:val="en-US"/>
        </w:rPr>
        <w:footnoteReference w:id="5"/>
      </w:r>
      <w:r w:rsidR="00675166" w:rsidRPr="00675166">
        <w:t xml:space="preserve"> </w:t>
      </w:r>
      <w:r w:rsidR="002B401D" w:rsidRPr="00D56B7B">
        <w:rPr>
          <w:rStyle w:val="normaltextrun"/>
          <w:rFonts w:ascii="Verdana" w:hAnsi="Verdana"/>
          <w:sz w:val="22"/>
          <w:szCs w:val="22"/>
        </w:rPr>
        <w:t>The authorities’ apology went beyond the obligation to provide redress to Mr Vela for the human rights violations he had endured</w:t>
      </w:r>
      <w:r w:rsidR="00FF6C73" w:rsidRPr="00772A6F">
        <w:rPr>
          <w:rFonts w:ascii="Verdana" w:hAnsi="Verdana"/>
          <w:sz w:val="22"/>
          <w:szCs w:val="22"/>
          <w:lang w:val="en-US"/>
        </w:rPr>
        <w:t xml:space="preserve">. It included an acknowledgment from representatives of both </w:t>
      </w:r>
      <w:r w:rsidR="00824483" w:rsidRPr="00772A6F">
        <w:rPr>
          <w:rFonts w:ascii="Verdana" w:hAnsi="Verdana"/>
          <w:sz w:val="22"/>
          <w:szCs w:val="22"/>
          <w:lang w:val="en-US"/>
        </w:rPr>
        <w:t>the executive and judicia</w:t>
      </w:r>
      <w:r w:rsidR="00FF6C73" w:rsidRPr="00772A6F">
        <w:rPr>
          <w:rFonts w:ascii="Verdana" w:hAnsi="Verdana"/>
          <w:sz w:val="22"/>
          <w:szCs w:val="22"/>
          <w:lang w:val="en-US"/>
        </w:rPr>
        <w:t>ry</w:t>
      </w:r>
      <w:r w:rsidR="00824483" w:rsidRPr="00772A6F">
        <w:rPr>
          <w:rFonts w:ascii="Verdana" w:hAnsi="Verdana"/>
          <w:sz w:val="22"/>
          <w:szCs w:val="22"/>
          <w:lang w:val="en-US"/>
        </w:rPr>
        <w:t xml:space="preserve"> </w:t>
      </w:r>
      <w:r w:rsidR="00FF6C73" w:rsidRPr="00772A6F">
        <w:rPr>
          <w:rFonts w:ascii="Verdana" w:hAnsi="Verdana"/>
          <w:sz w:val="22"/>
          <w:szCs w:val="22"/>
          <w:lang w:val="en-US"/>
        </w:rPr>
        <w:t xml:space="preserve">of </w:t>
      </w:r>
      <w:r w:rsidR="00824483" w:rsidRPr="00772A6F">
        <w:rPr>
          <w:rFonts w:ascii="Verdana" w:hAnsi="Verdana"/>
          <w:sz w:val="22"/>
          <w:szCs w:val="22"/>
          <w:lang w:val="en-US"/>
        </w:rPr>
        <w:t>the need</w:t>
      </w:r>
      <w:r w:rsidR="00FF6C73" w:rsidRPr="00772A6F">
        <w:rPr>
          <w:rFonts w:ascii="Verdana" w:hAnsi="Verdana"/>
          <w:sz w:val="22"/>
          <w:szCs w:val="22"/>
          <w:lang w:val="en-US"/>
        </w:rPr>
        <w:t xml:space="preserve"> for legal reform, and publicly committed them to complying with the broader recommendations made by the C</w:t>
      </w:r>
      <w:r w:rsidR="00516F8F" w:rsidRPr="00772A6F">
        <w:rPr>
          <w:rFonts w:ascii="Verdana" w:hAnsi="Verdana"/>
          <w:sz w:val="22"/>
          <w:szCs w:val="22"/>
          <w:lang w:val="en-US"/>
        </w:rPr>
        <w:t>ommittee</w:t>
      </w:r>
      <w:r w:rsidR="00824483" w:rsidRPr="00772A6F">
        <w:rPr>
          <w:rFonts w:ascii="Verdana" w:hAnsi="Verdana"/>
          <w:sz w:val="22"/>
          <w:szCs w:val="22"/>
          <w:lang w:val="en-US"/>
        </w:rPr>
        <w:t xml:space="preserve">. However, </w:t>
      </w:r>
      <w:r w:rsidR="00FF6C73" w:rsidRPr="00772A6F">
        <w:rPr>
          <w:rFonts w:ascii="Verdana" w:hAnsi="Verdana"/>
          <w:sz w:val="22"/>
          <w:szCs w:val="22"/>
          <w:lang w:val="en-US"/>
        </w:rPr>
        <w:t>very little if</w:t>
      </w:r>
      <w:r w:rsidR="00824483" w:rsidRPr="00772A6F">
        <w:rPr>
          <w:rFonts w:ascii="Verdana" w:hAnsi="Verdana"/>
          <w:sz w:val="22"/>
          <w:szCs w:val="22"/>
          <w:lang w:val="en-US"/>
        </w:rPr>
        <w:t xml:space="preserve"> any specific detail </w:t>
      </w:r>
      <w:r w:rsidR="00AD2D19" w:rsidRPr="00772A6F">
        <w:rPr>
          <w:rFonts w:ascii="Verdana" w:hAnsi="Verdana"/>
          <w:sz w:val="22"/>
          <w:szCs w:val="22"/>
          <w:lang w:val="en-US"/>
        </w:rPr>
        <w:t xml:space="preserve">was provided </w:t>
      </w:r>
      <w:r w:rsidR="00824483" w:rsidRPr="00772A6F">
        <w:rPr>
          <w:rFonts w:ascii="Verdana" w:hAnsi="Verdana"/>
          <w:sz w:val="22"/>
          <w:szCs w:val="22"/>
          <w:lang w:val="en-US"/>
        </w:rPr>
        <w:t>about</w:t>
      </w:r>
      <w:r w:rsidR="00AD2D19" w:rsidRPr="00772A6F">
        <w:rPr>
          <w:rFonts w:ascii="Verdana" w:hAnsi="Verdana"/>
          <w:sz w:val="22"/>
          <w:szCs w:val="22"/>
          <w:lang w:val="en-US"/>
        </w:rPr>
        <w:t xml:space="preserve"> nature and extent of legal reform that will take place, the process it will </w:t>
      </w:r>
      <w:r w:rsidR="00AD2D19" w:rsidRPr="00772A6F">
        <w:rPr>
          <w:rFonts w:ascii="Verdana" w:hAnsi="Verdana"/>
          <w:sz w:val="22"/>
          <w:szCs w:val="22"/>
          <w:lang w:val="en-US"/>
        </w:rPr>
        <w:lastRenderedPageBreak/>
        <w:t>be executed through, or the timelines for its initiation and/or comple</w:t>
      </w:r>
      <w:r w:rsidR="00AD2D19" w:rsidRPr="00772A6F">
        <w:rPr>
          <w:rFonts w:ascii="Verdana" w:hAnsi="Verdana"/>
          <w:color w:val="000000" w:themeColor="text1"/>
          <w:sz w:val="22"/>
          <w:szCs w:val="22"/>
          <w:lang w:val="en-US"/>
        </w:rPr>
        <w:t>tion.</w:t>
      </w:r>
    </w:p>
    <w:p w14:paraId="26B393C4" w14:textId="77777777" w:rsidR="002B401D" w:rsidRDefault="002B401D" w:rsidP="00943B36">
      <w:pPr>
        <w:pStyle w:val="ListParagraph"/>
        <w:ind w:left="567"/>
        <w:jc w:val="both"/>
        <w:rPr>
          <w:rFonts w:ascii="Verdana" w:hAnsi="Verdana"/>
          <w:color w:val="000000" w:themeColor="text1"/>
          <w:sz w:val="22"/>
          <w:szCs w:val="22"/>
          <w:lang w:val="en-US"/>
        </w:rPr>
      </w:pPr>
    </w:p>
    <w:p w14:paraId="3E681061" w14:textId="3C42D80B" w:rsidR="002B401D" w:rsidRDefault="002B401D" w:rsidP="00943B36">
      <w:pPr>
        <w:pStyle w:val="ListParagraph"/>
        <w:numPr>
          <w:ilvl w:val="0"/>
          <w:numId w:val="3"/>
        </w:numPr>
        <w:ind w:left="567" w:hanging="425"/>
        <w:jc w:val="both"/>
        <w:rPr>
          <w:rFonts w:ascii="Verdana" w:hAnsi="Verdana"/>
          <w:color w:val="000000" w:themeColor="text1"/>
          <w:sz w:val="22"/>
          <w:szCs w:val="22"/>
          <w:lang w:val="en-US"/>
        </w:rPr>
      </w:pPr>
      <w:r w:rsidRPr="002B401D">
        <w:rPr>
          <w:rFonts w:ascii="Verdana" w:hAnsi="Verdana"/>
          <w:color w:val="000000" w:themeColor="text1"/>
          <w:sz w:val="22"/>
          <w:szCs w:val="22"/>
          <w:lang w:val="en-US"/>
        </w:rPr>
        <w:t>While Mexico’s public apology and commitment are to be praised, effectively, they boil down to no more than the authorities’ acceptance of Mexico’s obligations under the Convention, obligations to which the country has been legally bound to give effect since at least 2007</w:t>
      </w:r>
      <w:r w:rsidR="00610991">
        <w:rPr>
          <w:rFonts w:ascii="Verdana" w:hAnsi="Verdana"/>
          <w:color w:val="000000" w:themeColor="text1"/>
          <w:sz w:val="22"/>
          <w:szCs w:val="22"/>
          <w:lang w:val="en-US"/>
        </w:rPr>
        <w:t>,</w:t>
      </w:r>
      <w:r w:rsidRPr="002B401D">
        <w:rPr>
          <w:rFonts w:ascii="Verdana" w:hAnsi="Verdana"/>
          <w:color w:val="000000" w:themeColor="text1"/>
          <w:sz w:val="22"/>
          <w:szCs w:val="22"/>
          <w:lang w:val="en-US"/>
        </w:rPr>
        <w:t xml:space="preserve"> when it acceded to the Convention. These obligations were repeatedly brought to Mexico’s attention by this Committee in 2014</w:t>
      </w:r>
      <w:r w:rsidRPr="00DA7827">
        <w:rPr>
          <w:rStyle w:val="FootnoteReference"/>
          <w:rFonts w:ascii="Verdana" w:hAnsi="Verdana"/>
          <w:color w:val="000000" w:themeColor="text1"/>
          <w:sz w:val="22"/>
          <w:szCs w:val="22"/>
          <w:lang w:val="en-US"/>
        </w:rPr>
        <w:footnoteReference w:id="6"/>
      </w:r>
      <w:r w:rsidRPr="002B401D">
        <w:rPr>
          <w:rFonts w:ascii="Verdana" w:hAnsi="Verdana"/>
          <w:color w:val="000000" w:themeColor="text1"/>
          <w:sz w:val="22"/>
          <w:szCs w:val="22"/>
          <w:lang w:val="en-US"/>
        </w:rPr>
        <w:t xml:space="preserve"> and 2019,</w:t>
      </w:r>
      <w:r w:rsidRPr="00DA7827">
        <w:rPr>
          <w:rStyle w:val="FootnoteReference"/>
          <w:rFonts w:ascii="Verdana" w:hAnsi="Verdana"/>
          <w:color w:val="000000" w:themeColor="text1"/>
          <w:sz w:val="22"/>
          <w:szCs w:val="22"/>
          <w:lang w:val="en-US"/>
        </w:rPr>
        <w:footnoteReference w:id="7"/>
      </w:r>
      <w:r w:rsidRPr="002B401D">
        <w:rPr>
          <w:rFonts w:ascii="Verdana" w:hAnsi="Verdana"/>
          <w:color w:val="000000" w:themeColor="text1"/>
          <w:sz w:val="22"/>
          <w:szCs w:val="22"/>
          <w:lang w:val="en-US"/>
        </w:rPr>
        <w:t xml:space="preserve"> and by several decisions of the Supreme Court.</w:t>
      </w:r>
      <w:r w:rsidRPr="002B401D">
        <w:rPr>
          <w:rStyle w:val="FootnoteReference"/>
          <w:rFonts w:ascii="Verdana" w:hAnsi="Verdana"/>
          <w:color w:val="000000" w:themeColor="text1"/>
          <w:sz w:val="22"/>
          <w:szCs w:val="22"/>
          <w:lang w:val="en-US"/>
        </w:rPr>
        <w:t xml:space="preserve"> </w:t>
      </w:r>
      <w:r w:rsidRPr="00DA7827">
        <w:rPr>
          <w:rStyle w:val="FootnoteReference"/>
          <w:rFonts w:ascii="Verdana" w:hAnsi="Verdana"/>
          <w:color w:val="000000" w:themeColor="text1"/>
          <w:sz w:val="22"/>
          <w:szCs w:val="22"/>
          <w:lang w:val="en-US"/>
        </w:rPr>
        <w:footnoteReference w:id="8"/>
      </w:r>
    </w:p>
    <w:p w14:paraId="63B5C46B" w14:textId="77777777" w:rsidR="002B401D" w:rsidRPr="002B401D" w:rsidRDefault="002B401D" w:rsidP="00943B36">
      <w:pPr>
        <w:pStyle w:val="ListParagraph"/>
        <w:jc w:val="both"/>
        <w:rPr>
          <w:rFonts w:ascii="Verdana" w:hAnsi="Verdana"/>
          <w:color w:val="000000" w:themeColor="text1"/>
          <w:sz w:val="22"/>
          <w:szCs w:val="22"/>
          <w:lang w:val="en-US"/>
        </w:rPr>
      </w:pPr>
    </w:p>
    <w:p w14:paraId="050D20F3" w14:textId="6A37B090" w:rsidR="002B401D" w:rsidRDefault="002B401D" w:rsidP="00943B36">
      <w:pPr>
        <w:pStyle w:val="ListParagraph"/>
        <w:numPr>
          <w:ilvl w:val="0"/>
          <w:numId w:val="3"/>
        </w:numPr>
        <w:ind w:left="567" w:hanging="425"/>
        <w:jc w:val="both"/>
        <w:rPr>
          <w:rFonts w:ascii="Verdana" w:hAnsi="Verdana"/>
          <w:color w:val="000000" w:themeColor="text1"/>
          <w:sz w:val="22"/>
          <w:szCs w:val="22"/>
          <w:lang w:val="en-US"/>
        </w:rPr>
      </w:pPr>
      <w:r w:rsidRPr="002B401D">
        <w:rPr>
          <w:rFonts w:ascii="Verdana" w:hAnsi="Verdana"/>
          <w:color w:val="000000" w:themeColor="text1"/>
          <w:sz w:val="22"/>
          <w:szCs w:val="22"/>
          <w:lang w:val="en-US"/>
        </w:rPr>
        <w:t xml:space="preserve">In addition, very little </w:t>
      </w:r>
      <w:r w:rsidR="00453797">
        <w:rPr>
          <w:rFonts w:ascii="Verdana" w:hAnsi="Verdana"/>
          <w:color w:val="000000" w:themeColor="text1"/>
          <w:sz w:val="22"/>
          <w:szCs w:val="22"/>
          <w:lang w:val="en-US"/>
        </w:rPr>
        <w:t xml:space="preserve">if any </w:t>
      </w:r>
      <w:r w:rsidRPr="002B401D">
        <w:rPr>
          <w:rFonts w:ascii="Verdana" w:hAnsi="Verdana"/>
          <w:color w:val="000000" w:themeColor="text1"/>
          <w:sz w:val="22"/>
          <w:szCs w:val="22"/>
          <w:lang w:val="en-US"/>
        </w:rPr>
        <w:t>detail was provided about the nature and extent of the legal reform the authorities envisaged carrying out, or about the process through which such reform would be implemented, or the timelines for its initiation and/or completion. In light of the above, in the absence of any information from Mexican authorities, it would appear that the progress made towards legal reform over the course of nearly 15 years is limited to a simple acknowledgment of an obligation to undertake legal reform in terms of the Convention.</w:t>
      </w:r>
    </w:p>
    <w:p w14:paraId="2C5B726D" w14:textId="77777777" w:rsidR="00675166" w:rsidRPr="00675166" w:rsidRDefault="00675166" w:rsidP="00675166">
      <w:pPr>
        <w:pStyle w:val="ListParagraph"/>
        <w:rPr>
          <w:rFonts w:ascii="Verdana" w:hAnsi="Verdana"/>
          <w:color w:val="000000" w:themeColor="text1"/>
          <w:sz w:val="22"/>
          <w:szCs w:val="22"/>
          <w:lang w:val="en-US"/>
        </w:rPr>
      </w:pPr>
    </w:p>
    <w:p w14:paraId="71E29CC2" w14:textId="60ECE093" w:rsidR="00AD2D19" w:rsidRPr="00516F8F" w:rsidRDefault="00AD2D19" w:rsidP="00943B36">
      <w:pPr>
        <w:pStyle w:val="ListParagraph"/>
        <w:numPr>
          <w:ilvl w:val="0"/>
          <w:numId w:val="3"/>
        </w:numPr>
        <w:ind w:left="567" w:hanging="425"/>
        <w:jc w:val="both"/>
        <w:rPr>
          <w:rFonts w:ascii="Verdana" w:hAnsi="Verdana"/>
          <w:color w:val="000000" w:themeColor="text1"/>
          <w:sz w:val="22"/>
          <w:szCs w:val="22"/>
          <w:lang w:val="en-US"/>
        </w:rPr>
      </w:pPr>
      <w:r w:rsidRPr="00516F8F">
        <w:rPr>
          <w:rFonts w:ascii="Verdana" w:hAnsi="Verdana"/>
          <w:color w:val="000000" w:themeColor="text1"/>
          <w:sz w:val="22"/>
          <w:szCs w:val="22"/>
          <w:lang w:val="en-US"/>
        </w:rPr>
        <w:lastRenderedPageBreak/>
        <w:t xml:space="preserve">Moreover, despite a public commitment during the ceremony that Mexico would work with </w:t>
      </w:r>
      <w:r w:rsidRPr="00516F8F">
        <w:rPr>
          <w:rFonts w:ascii="Verdana" w:hAnsi="Verdana" w:cs="Open Sans"/>
          <w:color w:val="000000" w:themeColor="text1"/>
          <w:sz w:val="22"/>
          <w:szCs w:val="22"/>
          <w:lang w:val="en-ZA"/>
        </w:rPr>
        <w:t xml:space="preserve">international organizations, civil society organizations and persons with disabilities to revise its laws, practices and procedures, to </w:t>
      </w:r>
      <w:r w:rsidRPr="00516F8F">
        <w:rPr>
          <w:rFonts w:ascii="Verdana" w:hAnsi="Verdana"/>
          <w:color w:val="000000" w:themeColor="text1"/>
          <w:sz w:val="22"/>
          <w:szCs w:val="22"/>
          <w:lang w:val="en-US"/>
        </w:rPr>
        <w:t>date the ICJ has received no responses to its</w:t>
      </w:r>
      <w:r w:rsidR="0059051F">
        <w:rPr>
          <w:rFonts w:ascii="Verdana" w:hAnsi="Verdana"/>
          <w:color w:val="000000" w:themeColor="text1"/>
          <w:sz w:val="22"/>
          <w:szCs w:val="22"/>
          <w:lang w:val="en-US"/>
        </w:rPr>
        <w:t xml:space="preserve"> </w:t>
      </w:r>
      <w:r w:rsidR="0059051F" w:rsidRPr="0059051F">
        <w:rPr>
          <w:rFonts w:ascii="Verdana" w:hAnsi="Verdana"/>
          <w:color w:val="000000" w:themeColor="text1"/>
          <w:sz w:val="22"/>
          <w:szCs w:val="22"/>
          <w:lang w:val="en-US"/>
        </w:rPr>
        <w:t>above-mentioned</w:t>
      </w:r>
      <w:r w:rsidRPr="00516F8F">
        <w:rPr>
          <w:rFonts w:ascii="Verdana" w:hAnsi="Verdana"/>
          <w:color w:val="000000" w:themeColor="text1"/>
          <w:sz w:val="22"/>
          <w:szCs w:val="22"/>
          <w:lang w:val="en-US"/>
        </w:rPr>
        <w:t xml:space="preserve"> letters from either the executive or legislative authorities.</w:t>
      </w:r>
    </w:p>
    <w:p w14:paraId="483D55F6" w14:textId="5F2C07DF" w:rsidR="00824483" w:rsidRPr="00DA7827" w:rsidRDefault="00AD2D19" w:rsidP="00943B36">
      <w:pPr>
        <w:jc w:val="both"/>
        <w:rPr>
          <w:rFonts w:ascii="Verdana" w:hAnsi="Verdana"/>
          <w:sz w:val="22"/>
          <w:szCs w:val="22"/>
          <w:lang w:val="en-US"/>
        </w:rPr>
      </w:pPr>
      <w:r w:rsidRPr="00DA7827">
        <w:rPr>
          <w:rFonts w:ascii="Verdana" w:hAnsi="Verdana"/>
          <w:sz w:val="22"/>
          <w:szCs w:val="22"/>
          <w:lang w:val="en-US"/>
        </w:rPr>
        <w:t xml:space="preserve"> </w:t>
      </w:r>
    </w:p>
    <w:p w14:paraId="33638506" w14:textId="4C6B8884" w:rsidR="004E5FCF" w:rsidRPr="00DA7827" w:rsidRDefault="00AD2D19" w:rsidP="00943B36">
      <w:pPr>
        <w:pStyle w:val="ListParagraph"/>
        <w:numPr>
          <w:ilvl w:val="0"/>
          <w:numId w:val="3"/>
        </w:numPr>
        <w:ind w:left="567" w:hanging="425"/>
        <w:jc w:val="both"/>
        <w:rPr>
          <w:rFonts w:ascii="Verdana" w:hAnsi="Verdana"/>
          <w:color w:val="000000" w:themeColor="text1"/>
          <w:sz w:val="22"/>
          <w:szCs w:val="22"/>
          <w:lang w:val="en-US"/>
        </w:rPr>
      </w:pPr>
      <w:r w:rsidRPr="00DA7827">
        <w:rPr>
          <w:rFonts w:ascii="Verdana" w:hAnsi="Verdana"/>
          <w:sz w:val="22"/>
          <w:szCs w:val="22"/>
          <w:lang w:val="en-US"/>
        </w:rPr>
        <w:t xml:space="preserve">The </w:t>
      </w:r>
      <w:r w:rsidRPr="00DA7827">
        <w:rPr>
          <w:rFonts w:ascii="Verdana" w:hAnsi="Verdana"/>
          <w:color w:val="000000" w:themeColor="text1"/>
          <w:sz w:val="22"/>
          <w:szCs w:val="22"/>
          <w:lang w:val="en-US"/>
        </w:rPr>
        <w:t>absence of timelines for rapid progress towards the initiation of legal reform</w:t>
      </w:r>
      <w:r w:rsidR="00C72D3A">
        <w:rPr>
          <w:rFonts w:ascii="Verdana" w:hAnsi="Verdana"/>
          <w:color w:val="000000" w:themeColor="text1"/>
          <w:sz w:val="22"/>
          <w:szCs w:val="22"/>
          <w:lang w:val="en-US"/>
        </w:rPr>
        <w:t xml:space="preserve"> on criminal matters</w:t>
      </w:r>
      <w:r w:rsidRPr="00DA7827">
        <w:rPr>
          <w:rFonts w:ascii="Verdana" w:hAnsi="Verdana"/>
          <w:color w:val="000000" w:themeColor="text1"/>
          <w:sz w:val="22"/>
          <w:szCs w:val="22"/>
          <w:lang w:val="en-US"/>
        </w:rPr>
        <w:t xml:space="preserve"> is of significant concern. As Documenta has </w:t>
      </w:r>
      <w:r w:rsidR="004E5FCF" w:rsidRPr="00DA7827">
        <w:rPr>
          <w:rFonts w:ascii="Verdana" w:hAnsi="Verdana"/>
          <w:color w:val="000000" w:themeColor="text1"/>
          <w:sz w:val="22"/>
          <w:szCs w:val="22"/>
          <w:lang w:val="en-US"/>
        </w:rPr>
        <w:t xml:space="preserve">noted, the </w:t>
      </w:r>
      <w:r w:rsidR="00CD2969">
        <w:rPr>
          <w:rFonts w:ascii="Verdana" w:hAnsi="Verdana"/>
          <w:color w:val="000000" w:themeColor="text1"/>
          <w:sz w:val="22"/>
          <w:szCs w:val="22"/>
          <w:lang w:val="en-US"/>
        </w:rPr>
        <w:t>gravity</w:t>
      </w:r>
      <w:r w:rsidR="004E5FCF" w:rsidRPr="00DA7827">
        <w:rPr>
          <w:rFonts w:ascii="Verdana" w:hAnsi="Verdana"/>
          <w:color w:val="000000" w:themeColor="text1"/>
          <w:sz w:val="22"/>
          <w:szCs w:val="22"/>
          <w:lang w:val="en-US"/>
        </w:rPr>
        <w:t xml:space="preserve"> of the problem should not be underestimated because “</w:t>
      </w:r>
      <w:r w:rsidR="004E5FCF" w:rsidRPr="00DA7827">
        <w:rPr>
          <w:rFonts w:ascii="Verdana" w:hAnsi="Verdana"/>
          <w:color w:val="000000" w:themeColor="text1"/>
          <w:sz w:val="22"/>
          <w:szCs w:val="22"/>
          <w:lang w:val="en-ZA"/>
        </w:rPr>
        <w:t>prejudice against persons with disabilities is ingrained” in Mexico and persons with disabilities continue to be “treated as objects of treatment rather than rights holders”. What is required therefore are “profound modifications in Mexican law and practices in the justice system. All legislation must be reviewed to ensure compliance with the standards established by the CRPD”.</w:t>
      </w:r>
      <w:r w:rsidR="004E5FCF" w:rsidRPr="00DA7827">
        <w:rPr>
          <w:rStyle w:val="FootnoteReference"/>
          <w:rFonts w:ascii="Verdana" w:hAnsi="Verdana"/>
          <w:color w:val="000000" w:themeColor="text1"/>
          <w:sz w:val="22"/>
          <w:szCs w:val="22"/>
          <w:lang w:val="en-ZA"/>
        </w:rPr>
        <w:footnoteReference w:id="9"/>
      </w:r>
      <w:r w:rsidR="004E5FCF" w:rsidRPr="00DA7827">
        <w:rPr>
          <w:rFonts w:ascii="Verdana" w:hAnsi="Verdana"/>
          <w:b/>
          <w:bCs/>
          <w:color w:val="000000" w:themeColor="text1"/>
          <w:sz w:val="22"/>
          <w:szCs w:val="22"/>
          <w:lang w:val="en-ZA"/>
        </w:rPr>
        <w:t xml:space="preserve"> </w:t>
      </w:r>
    </w:p>
    <w:p w14:paraId="1FD8046D" w14:textId="77777777" w:rsidR="004E5FCF" w:rsidRPr="00DA7827" w:rsidRDefault="004E5FCF" w:rsidP="00943B36">
      <w:pPr>
        <w:pStyle w:val="ListParagraph"/>
        <w:jc w:val="both"/>
        <w:rPr>
          <w:rFonts w:ascii="Verdana" w:hAnsi="Verdana"/>
          <w:color w:val="000000" w:themeColor="text1"/>
          <w:sz w:val="22"/>
          <w:szCs w:val="22"/>
          <w:lang w:val="en-US"/>
        </w:rPr>
      </w:pPr>
    </w:p>
    <w:p w14:paraId="53E65E91" w14:textId="4024F971" w:rsidR="00824483" w:rsidRDefault="00CD2969" w:rsidP="00943B36">
      <w:pPr>
        <w:pStyle w:val="ListParagraph"/>
        <w:numPr>
          <w:ilvl w:val="0"/>
          <w:numId w:val="3"/>
        </w:numPr>
        <w:ind w:left="567" w:hanging="425"/>
        <w:jc w:val="both"/>
        <w:rPr>
          <w:rFonts w:ascii="Verdana" w:hAnsi="Verdana"/>
          <w:sz w:val="22"/>
          <w:szCs w:val="22"/>
          <w:lang w:val="en-US"/>
        </w:rPr>
      </w:pPr>
      <w:r w:rsidRPr="00CD2969">
        <w:rPr>
          <w:rFonts w:ascii="Verdana" w:hAnsi="Verdana"/>
          <w:sz w:val="22"/>
          <w:szCs w:val="22"/>
          <w:lang w:val="en-US"/>
        </w:rPr>
        <w:t>Furthermore, as effectively acknowledged in Mexico’s own report to the Committee, when it comes to criminal proceedings, the country’s efforts have focused on guaranteeing that persons with disabilities have access to communication aids</w:t>
      </w:r>
      <w:r w:rsidR="00824483" w:rsidRPr="00DA7827">
        <w:rPr>
          <w:rFonts w:ascii="Verdana" w:hAnsi="Verdana"/>
          <w:sz w:val="22"/>
          <w:szCs w:val="22"/>
          <w:lang w:val="en-US"/>
        </w:rPr>
        <w:t>,</w:t>
      </w:r>
      <w:r w:rsidR="00824483" w:rsidRPr="00DA7827">
        <w:rPr>
          <w:rStyle w:val="FootnoteReference"/>
          <w:rFonts w:ascii="Verdana" w:hAnsi="Verdana"/>
          <w:sz w:val="22"/>
          <w:szCs w:val="22"/>
          <w:lang w:val="en-US"/>
        </w:rPr>
        <w:footnoteReference w:id="10"/>
      </w:r>
      <w:r w:rsidR="00824483" w:rsidRPr="00DA7827">
        <w:rPr>
          <w:rFonts w:ascii="Verdana" w:hAnsi="Verdana"/>
          <w:sz w:val="22"/>
          <w:szCs w:val="22"/>
          <w:lang w:val="en-US"/>
        </w:rPr>
        <w:t xml:space="preserve"> and</w:t>
      </w:r>
      <w:r>
        <w:rPr>
          <w:rFonts w:ascii="Verdana" w:hAnsi="Verdana"/>
          <w:sz w:val="22"/>
          <w:szCs w:val="22"/>
          <w:lang w:val="en-US"/>
        </w:rPr>
        <w:t xml:space="preserve"> on ensuring</w:t>
      </w:r>
      <w:r w:rsidR="00824483" w:rsidRPr="00DA7827">
        <w:rPr>
          <w:rFonts w:ascii="Verdana" w:hAnsi="Verdana"/>
          <w:sz w:val="22"/>
          <w:szCs w:val="22"/>
          <w:lang w:val="en-US"/>
        </w:rPr>
        <w:t xml:space="preserve"> legal counsel and representation free of charge</w:t>
      </w:r>
      <w:r w:rsidR="00CC2112" w:rsidRPr="00DA7827">
        <w:rPr>
          <w:rFonts w:ascii="Verdana" w:hAnsi="Verdana"/>
          <w:sz w:val="22"/>
          <w:szCs w:val="22"/>
          <w:lang w:val="en-US"/>
        </w:rPr>
        <w:t>,</w:t>
      </w:r>
      <w:r w:rsidR="00824483" w:rsidRPr="00DA7827">
        <w:rPr>
          <w:rStyle w:val="FootnoteReference"/>
          <w:rFonts w:ascii="Verdana" w:hAnsi="Verdana"/>
          <w:sz w:val="22"/>
          <w:szCs w:val="22"/>
          <w:lang w:val="en-US"/>
        </w:rPr>
        <w:footnoteReference w:id="11"/>
      </w:r>
      <w:r w:rsidR="00824483" w:rsidRPr="00DA7827">
        <w:rPr>
          <w:rFonts w:ascii="Verdana" w:hAnsi="Verdana"/>
          <w:sz w:val="22"/>
          <w:szCs w:val="22"/>
          <w:lang w:val="en-US"/>
        </w:rPr>
        <w:t xml:space="preserve"> </w:t>
      </w:r>
      <w:r w:rsidR="00CC2112" w:rsidRPr="00DA7827">
        <w:rPr>
          <w:rFonts w:ascii="Verdana" w:hAnsi="Verdana"/>
          <w:sz w:val="22"/>
          <w:szCs w:val="22"/>
          <w:lang w:val="en-US"/>
        </w:rPr>
        <w:t>and</w:t>
      </w:r>
      <w:r w:rsidR="00824483" w:rsidRPr="00DA7827">
        <w:rPr>
          <w:rFonts w:ascii="Verdana" w:hAnsi="Verdana"/>
          <w:sz w:val="22"/>
          <w:szCs w:val="22"/>
          <w:lang w:val="en-US"/>
        </w:rPr>
        <w:t xml:space="preserve"> </w:t>
      </w:r>
      <w:r>
        <w:rPr>
          <w:rFonts w:ascii="Verdana" w:hAnsi="Verdana"/>
          <w:sz w:val="22"/>
          <w:szCs w:val="22"/>
          <w:lang w:val="en-US"/>
        </w:rPr>
        <w:t xml:space="preserve">on </w:t>
      </w:r>
      <w:r w:rsidR="00824483" w:rsidRPr="00DA7827">
        <w:rPr>
          <w:rFonts w:ascii="Verdana" w:hAnsi="Verdana"/>
          <w:sz w:val="22"/>
          <w:szCs w:val="22"/>
          <w:lang w:val="en-US"/>
        </w:rPr>
        <w:t>conduct</w:t>
      </w:r>
      <w:r w:rsidR="00CC2112" w:rsidRPr="00DA7827">
        <w:rPr>
          <w:rFonts w:ascii="Verdana" w:hAnsi="Verdana"/>
          <w:sz w:val="22"/>
          <w:szCs w:val="22"/>
          <w:lang w:val="en-US"/>
        </w:rPr>
        <w:t>ing some</w:t>
      </w:r>
      <w:r w:rsidR="00824483" w:rsidRPr="00DA7827">
        <w:rPr>
          <w:rFonts w:ascii="Verdana" w:hAnsi="Verdana"/>
          <w:sz w:val="22"/>
          <w:szCs w:val="22"/>
          <w:lang w:val="en-US"/>
        </w:rPr>
        <w:t xml:space="preserve"> legal training for public servants on the rights of </w:t>
      </w:r>
      <w:r w:rsidR="00824483" w:rsidRPr="00C60AC3">
        <w:rPr>
          <w:rFonts w:ascii="Verdana" w:hAnsi="Verdana"/>
          <w:sz w:val="22"/>
          <w:szCs w:val="22"/>
          <w:lang w:val="en-US"/>
        </w:rPr>
        <w:t>the persons with disabilities.</w:t>
      </w:r>
      <w:r w:rsidR="00824483" w:rsidRPr="00C60AC3">
        <w:rPr>
          <w:rStyle w:val="FootnoteReference"/>
          <w:rFonts w:ascii="Verdana" w:hAnsi="Verdana"/>
          <w:sz w:val="22"/>
          <w:szCs w:val="22"/>
          <w:lang w:val="en-US"/>
        </w:rPr>
        <w:footnoteReference w:id="12"/>
      </w:r>
      <w:r w:rsidR="00A95255" w:rsidRPr="00C60AC3">
        <w:rPr>
          <w:rFonts w:ascii="Verdana" w:hAnsi="Verdana"/>
          <w:sz w:val="22"/>
          <w:szCs w:val="22"/>
          <w:lang w:val="en-US"/>
        </w:rPr>
        <w:t xml:space="preserve"> It has therefore not as yet been able to report</w:t>
      </w:r>
      <w:r>
        <w:rPr>
          <w:rFonts w:ascii="Verdana" w:hAnsi="Verdana"/>
          <w:sz w:val="22"/>
          <w:szCs w:val="22"/>
          <w:lang w:val="en-US"/>
        </w:rPr>
        <w:t xml:space="preserve"> any</w:t>
      </w:r>
      <w:r w:rsidR="00A95255" w:rsidRPr="00C60AC3">
        <w:rPr>
          <w:rFonts w:ascii="Verdana" w:hAnsi="Verdana"/>
          <w:sz w:val="22"/>
          <w:szCs w:val="22"/>
          <w:lang w:val="en-US"/>
        </w:rPr>
        <w:t xml:space="preserve"> meaningful </w:t>
      </w:r>
      <w:r w:rsidR="00A95255" w:rsidRPr="00C60AC3">
        <w:rPr>
          <w:rFonts w:ascii="Verdana" w:hAnsi="Verdana"/>
          <w:sz w:val="22"/>
          <w:szCs w:val="22"/>
          <w:lang w:val="en-US"/>
        </w:rPr>
        <w:lastRenderedPageBreak/>
        <w:t>progress, or steps towards, legal reform to ensure the full realization of the rights of persons with disabilities</w:t>
      </w:r>
      <w:r w:rsidR="00C72D3A">
        <w:rPr>
          <w:rFonts w:ascii="Verdana" w:hAnsi="Verdana"/>
          <w:sz w:val="22"/>
          <w:szCs w:val="22"/>
          <w:lang w:val="en-US"/>
        </w:rPr>
        <w:t xml:space="preserve"> within criminal proceedings</w:t>
      </w:r>
      <w:r w:rsidR="00A95255" w:rsidRPr="00C60AC3">
        <w:rPr>
          <w:rFonts w:ascii="Verdana" w:hAnsi="Verdana"/>
          <w:sz w:val="22"/>
          <w:szCs w:val="22"/>
          <w:lang w:val="en-US"/>
        </w:rPr>
        <w:t>.</w:t>
      </w:r>
    </w:p>
    <w:p w14:paraId="78421825" w14:textId="77777777" w:rsidR="0034259D" w:rsidRPr="0034259D" w:rsidRDefault="0034259D" w:rsidP="00943B36">
      <w:pPr>
        <w:pStyle w:val="ListParagraph"/>
        <w:jc w:val="both"/>
        <w:rPr>
          <w:rFonts w:ascii="Verdana" w:hAnsi="Verdana"/>
          <w:sz w:val="22"/>
          <w:szCs w:val="22"/>
          <w:lang w:val="en-US"/>
        </w:rPr>
      </w:pPr>
    </w:p>
    <w:p w14:paraId="73A69B85" w14:textId="052A5728" w:rsidR="00981BD5" w:rsidRPr="00C60AC3" w:rsidRDefault="00981BD5" w:rsidP="00943B36">
      <w:pPr>
        <w:pStyle w:val="ListParagraph"/>
        <w:numPr>
          <w:ilvl w:val="0"/>
          <w:numId w:val="3"/>
        </w:numPr>
        <w:ind w:left="567" w:hanging="425"/>
        <w:jc w:val="both"/>
        <w:rPr>
          <w:rFonts w:ascii="Verdana" w:hAnsi="Verdana"/>
          <w:b/>
          <w:bCs/>
          <w:sz w:val="22"/>
          <w:szCs w:val="22"/>
          <w:lang w:val="en-US"/>
        </w:rPr>
      </w:pPr>
      <w:r w:rsidRPr="00C60AC3">
        <w:rPr>
          <w:rFonts w:ascii="Verdana" w:hAnsi="Verdana"/>
          <w:b/>
          <w:bCs/>
          <w:sz w:val="22"/>
          <w:szCs w:val="22"/>
          <w:lang w:val="en-US"/>
        </w:rPr>
        <w:t>In light of the above, the ICJ invites th</w:t>
      </w:r>
      <w:r w:rsidR="00CD2969">
        <w:rPr>
          <w:rFonts w:ascii="Verdana" w:hAnsi="Verdana"/>
          <w:b/>
          <w:bCs/>
          <w:sz w:val="22"/>
          <w:szCs w:val="22"/>
          <w:lang w:val="en-US"/>
        </w:rPr>
        <w:t>e</w:t>
      </w:r>
      <w:r w:rsidRPr="00C60AC3">
        <w:rPr>
          <w:rFonts w:ascii="Verdana" w:hAnsi="Verdana"/>
          <w:b/>
          <w:bCs/>
          <w:sz w:val="22"/>
          <w:szCs w:val="22"/>
          <w:lang w:val="en-US"/>
        </w:rPr>
        <w:t xml:space="preserve"> Committee to address the following recommendations to the Mexican authorities:</w:t>
      </w:r>
    </w:p>
    <w:p w14:paraId="0F4CEE63" w14:textId="77777777" w:rsidR="00981BD5" w:rsidRPr="00C60AC3" w:rsidRDefault="00981BD5" w:rsidP="00943B36">
      <w:pPr>
        <w:pStyle w:val="ListParagraph"/>
        <w:jc w:val="both"/>
        <w:rPr>
          <w:rFonts w:ascii="Verdana" w:hAnsi="Verdana"/>
          <w:b/>
          <w:bCs/>
          <w:sz w:val="22"/>
          <w:szCs w:val="22"/>
          <w:lang w:val="en-US"/>
        </w:rPr>
      </w:pPr>
    </w:p>
    <w:p w14:paraId="00875BB1" w14:textId="553ED087" w:rsidR="00981BD5" w:rsidRPr="00C60AC3" w:rsidRDefault="00981BD5" w:rsidP="00943B36">
      <w:pPr>
        <w:pStyle w:val="ListParagraph"/>
        <w:numPr>
          <w:ilvl w:val="1"/>
          <w:numId w:val="3"/>
        </w:numPr>
        <w:jc w:val="both"/>
        <w:rPr>
          <w:rFonts w:ascii="Verdana" w:hAnsi="Verdana"/>
          <w:b/>
          <w:bCs/>
          <w:sz w:val="22"/>
          <w:szCs w:val="22"/>
          <w:lang w:val="en-US"/>
        </w:rPr>
      </w:pPr>
      <w:r w:rsidRPr="00C60AC3">
        <w:rPr>
          <w:rFonts w:ascii="Verdana" w:hAnsi="Verdana"/>
          <w:b/>
          <w:bCs/>
          <w:sz w:val="22"/>
          <w:szCs w:val="22"/>
          <w:lang w:val="en-US"/>
        </w:rPr>
        <w:t>immediately undertake a full review of</w:t>
      </w:r>
      <w:r w:rsidR="00C72D3A">
        <w:rPr>
          <w:rFonts w:ascii="Verdana" w:hAnsi="Verdana"/>
          <w:b/>
          <w:bCs/>
          <w:sz w:val="22"/>
          <w:szCs w:val="22"/>
          <w:lang w:val="en-US"/>
        </w:rPr>
        <w:t xml:space="preserve"> the criminal law </w:t>
      </w:r>
      <w:r w:rsidRPr="00C60AC3">
        <w:rPr>
          <w:rFonts w:ascii="Verdana" w:hAnsi="Verdana"/>
          <w:b/>
          <w:bCs/>
          <w:sz w:val="22"/>
          <w:szCs w:val="22"/>
          <w:lang w:val="en-US"/>
        </w:rPr>
        <w:t>legislation and policies pertaining to legal capacity, access to courts and involuntary confinement, to ascertain the extent of their consistency with the C</w:t>
      </w:r>
      <w:r w:rsidR="00CC52B5" w:rsidRPr="00C60AC3">
        <w:rPr>
          <w:rFonts w:ascii="Verdana" w:hAnsi="Verdana"/>
          <w:b/>
          <w:bCs/>
          <w:sz w:val="22"/>
          <w:szCs w:val="22"/>
          <w:lang w:val="en-US"/>
        </w:rPr>
        <w:t>onvention</w:t>
      </w:r>
      <w:r w:rsidRPr="00C60AC3">
        <w:rPr>
          <w:rFonts w:ascii="Verdana" w:hAnsi="Verdana"/>
          <w:b/>
          <w:bCs/>
          <w:sz w:val="22"/>
          <w:szCs w:val="22"/>
          <w:lang w:val="en-US"/>
        </w:rPr>
        <w:t>; and</w:t>
      </w:r>
    </w:p>
    <w:p w14:paraId="4C13EF2B" w14:textId="7D898073" w:rsidR="00981BD5" w:rsidRPr="00C60AC3" w:rsidRDefault="00981BD5" w:rsidP="00943B36">
      <w:pPr>
        <w:pStyle w:val="ListParagraph"/>
        <w:numPr>
          <w:ilvl w:val="1"/>
          <w:numId w:val="3"/>
        </w:numPr>
        <w:jc w:val="both"/>
        <w:rPr>
          <w:rFonts w:ascii="Verdana" w:hAnsi="Verdana"/>
          <w:b/>
          <w:bCs/>
          <w:sz w:val="22"/>
          <w:szCs w:val="22"/>
          <w:lang w:val="en-US"/>
        </w:rPr>
      </w:pPr>
      <w:r w:rsidRPr="00C60AC3">
        <w:rPr>
          <w:rFonts w:ascii="Verdana" w:hAnsi="Verdana"/>
          <w:b/>
          <w:bCs/>
          <w:sz w:val="22"/>
          <w:szCs w:val="22"/>
          <w:lang w:val="en-US"/>
        </w:rPr>
        <w:t>urgently prioritize and publicly commit to a timeline for</w:t>
      </w:r>
      <w:r w:rsidR="008A3CBE" w:rsidRPr="00C60AC3">
        <w:rPr>
          <w:rFonts w:ascii="Verdana" w:hAnsi="Verdana"/>
          <w:b/>
          <w:bCs/>
          <w:sz w:val="22"/>
          <w:szCs w:val="22"/>
          <w:lang w:val="en-US"/>
        </w:rPr>
        <w:t xml:space="preserve"> undertaking the review mentioned in (a) and the necessary legal reform required to give full effect to the rights of persons with disabilities in terms of the </w:t>
      </w:r>
      <w:r w:rsidR="0094554F" w:rsidRPr="00C60AC3">
        <w:rPr>
          <w:rFonts w:ascii="Verdana" w:hAnsi="Verdana"/>
          <w:b/>
          <w:bCs/>
          <w:sz w:val="22"/>
          <w:szCs w:val="22"/>
          <w:lang w:val="en-US"/>
        </w:rPr>
        <w:t>Convention</w:t>
      </w:r>
      <w:r w:rsidR="008A3CBE" w:rsidRPr="00C60AC3">
        <w:rPr>
          <w:rFonts w:ascii="Verdana" w:hAnsi="Verdana"/>
          <w:b/>
          <w:bCs/>
          <w:sz w:val="22"/>
          <w:szCs w:val="22"/>
          <w:lang w:val="en-US"/>
        </w:rPr>
        <w:t xml:space="preserve">. </w:t>
      </w:r>
    </w:p>
    <w:p w14:paraId="4BF8A05D" w14:textId="3AB582D1" w:rsidR="005E357E" w:rsidRDefault="00CD2969" w:rsidP="00943B36">
      <w:pPr>
        <w:pStyle w:val="ListParagraph"/>
        <w:numPr>
          <w:ilvl w:val="1"/>
          <w:numId w:val="3"/>
        </w:numPr>
        <w:jc w:val="both"/>
        <w:rPr>
          <w:rFonts w:ascii="Verdana" w:hAnsi="Verdana"/>
          <w:b/>
          <w:bCs/>
          <w:sz w:val="22"/>
          <w:szCs w:val="22"/>
          <w:lang w:val="en-US"/>
        </w:rPr>
      </w:pPr>
      <w:r>
        <w:rPr>
          <w:rFonts w:ascii="Verdana" w:hAnsi="Verdana"/>
          <w:b/>
          <w:bCs/>
          <w:sz w:val="22"/>
          <w:szCs w:val="22"/>
          <w:lang w:val="en-US"/>
        </w:rPr>
        <w:t xml:space="preserve">ensure </w:t>
      </w:r>
      <w:r w:rsidR="00760955" w:rsidRPr="00C60AC3">
        <w:rPr>
          <w:rFonts w:ascii="Verdana" w:hAnsi="Verdana"/>
          <w:b/>
          <w:bCs/>
          <w:sz w:val="22"/>
          <w:szCs w:val="22"/>
          <w:lang w:val="en-US"/>
        </w:rPr>
        <w:t xml:space="preserve">that the processes described in (a) and (b) involve the full and meaningful participation of </w:t>
      </w:r>
      <w:r w:rsidR="005E357E" w:rsidRPr="00C60AC3">
        <w:rPr>
          <w:rFonts w:ascii="Verdana" w:hAnsi="Verdana"/>
          <w:b/>
          <w:bCs/>
          <w:sz w:val="22"/>
          <w:szCs w:val="22"/>
          <w:lang w:val="en-US"/>
        </w:rPr>
        <w:t>persons with disabilities and</w:t>
      </w:r>
      <w:r>
        <w:rPr>
          <w:rFonts w:ascii="Verdana" w:hAnsi="Verdana"/>
          <w:b/>
          <w:bCs/>
          <w:sz w:val="22"/>
          <w:szCs w:val="22"/>
          <w:lang w:val="en-US"/>
        </w:rPr>
        <w:t xml:space="preserve"> of</w:t>
      </w:r>
      <w:r w:rsidR="005E357E" w:rsidRPr="00C60AC3">
        <w:rPr>
          <w:rFonts w:ascii="Verdana" w:hAnsi="Verdana"/>
          <w:b/>
          <w:bCs/>
          <w:sz w:val="22"/>
          <w:szCs w:val="22"/>
          <w:lang w:val="en-US"/>
        </w:rPr>
        <w:t xml:space="preserve"> the organizations that represent them</w:t>
      </w:r>
      <w:r w:rsidR="00760955" w:rsidRPr="00C60AC3">
        <w:rPr>
          <w:rFonts w:ascii="Verdana" w:hAnsi="Verdana"/>
          <w:b/>
          <w:bCs/>
          <w:sz w:val="22"/>
          <w:szCs w:val="22"/>
          <w:lang w:val="en-US"/>
        </w:rPr>
        <w:t>, both domestically and internationally</w:t>
      </w:r>
      <w:r>
        <w:rPr>
          <w:rFonts w:ascii="Verdana" w:hAnsi="Verdana"/>
          <w:b/>
          <w:bCs/>
          <w:sz w:val="22"/>
          <w:szCs w:val="22"/>
          <w:lang w:val="en-US"/>
        </w:rPr>
        <w:t>,</w:t>
      </w:r>
      <w:r w:rsidRPr="00CD2969">
        <w:rPr>
          <w:rFonts w:ascii="Verdana" w:hAnsi="Verdana"/>
          <w:b/>
          <w:bCs/>
          <w:sz w:val="22"/>
          <w:szCs w:val="22"/>
          <w:lang w:val="en-US"/>
        </w:rPr>
        <w:t xml:space="preserve"> as well as the participation of representatives of the executive, legislative and judicial branches</w:t>
      </w:r>
      <w:r w:rsidR="00760955" w:rsidRPr="00C60AC3">
        <w:rPr>
          <w:rFonts w:ascii="Verdana" w:hAnsi="Verdana"/>
          <w:b/>
          <w:bCs/>
          <w:sz w:val="22"/>
          <w:szCs w:val="22"/>
          <w:lang w:val="en-US"/>
        </w:rPr>
        <w:t>.</w:t>
      </w:r>
    </w:p>
    <w:p w14:paraId="5C689B84" w14:textId="7CE2087E" w:rsidR="00707399" w:rsidRDefault="00707399" w:rsidP="00943B36">
      <w:pPr>
        <w:pStyle w:val="ListParagraph"/>
        <w:ind w:left="1440"/>
        <w:jc w:val="both"/>
        <w:rPr>
          <w:rFonts w:ascii="Verdana" w:hAnsi="Verdana"/>
          <w:b/>
          <w:bCs/>
          <w:sz w:val="22"/>
          <w:szCs w:val="22"/>
          <w:lang w:val="en-US"/>
        </w:rPr>
      </w:pPr>
    </w:p>
    <w:p w14:paraId="0D3265CF" w14:textId="5B6D2B63" w:rsidR="002D71FC" w:rsidRPr="00CD2969" w:rsidRDefault="00A95255" w:rsidP="00943B36">
      <w:pPr>
        <w:jc w:val="both"/>
        <w:rPr>
          <w:rFonts w:ascii="Verdana" w:hAnsi="Verdana"/>
          <w:b/>
          <w:bCs/>
          <w:color w:val="2F5496" w:themeColor="accent1" w:themeShade="BF"/>
          <w:sz w:val="22"/>
          <w:szCs w:val="22"/>
          <w:lang w:val="en-US"/>
        </w:rPr>
      </w:pPr>
      <w:r w:rsidRPr="00CD2969">
        <w:rPr>
          <w:rFonts w:ascii="Verdana" w:hAnsi="Verdana"/>
          <w:b/>
          <w:bCs/>
          <w:color w:val="2F5496" w:themeColor="accent1" w:themeShade="BF"/>
          <w:sz w:val="22"/>
          <w:szCs w:val="22"/>
          <w:lang w:val="en-US"/>
        </w:rPr>
        <w:t>Consequences</w:t>
      </w:r>
      <w:r w:rsidR="002D71FC" w:rsidRPr="00CD2969">
        <w:rPr>
          <w:rFonts w:ascii="Verdana" w:hAnsi="Verdana"/>
          <w:b/>
          <w:bCs/>
          <w:color w:val="2F5496" w:themeColor="accent1" w:themeShade="BF"/>
          <w:sz w:val="22"/>
          <w:szCs w:val="22"/>
          <w:lang w:val="en-US"/>
        </w:rPr>
        <w:t xml:space="preserve"> of Mexico’s failure to introduce comprehensive legal reform</w:t>
      </w:r>
      <w:r w:rsidR="0094554F" w:rsidRPr="00CD2969">
        <w:rPr>
          <w:rFonts w:ascii="Verdana" w:hAnsi="Verdana"/>
          <w:b/>
          <w:bCs/>
          <w:color w:val="2F5496" w:themeColor="accent1" w:themeShade="BF"/>
          <w:sz w:val="22"/>
          <w:szCs w:val="22"/>
          <w:lang w:val="en-US"/>
        </w:rPr>
        <w:t xml:space="preserve"> in criminal matters</w:t>
      </w:r>
    </w:p>
    <w:p w14:paraId="062666B6" w14:textId="77777777" w:rsidR="00D659ED" w:rsidRPr="00DA7827" w:rsidRDefault="00D659ED" w:rsidP="00943B36">
      <w:pPr>
        <w:jc w:val="both"/>
        <w:rPr>
          <w:rFonts w:ascii="Verdana" w:hAnsi="Verdana"/>
          <w:sz w:val="22"/>
          <w:szCs w:val="22"/>
          <w:u w:val="single"/>
          <w:lang w:val="en-US"/>
        </w:rPr>
      </w:pPr>
    </w:p>
    <w:p w14:paraId="2FB17752" w14:textId="0A45AB2C" w:rsidR="00824483" w:rsidRPr="00DA7827" w:rsidRDefault="00C64C5D" w:rsidP="00943B36">
      <w:pPr>
        <w:pStyle w:val="ListParagraph"/>
        <w:numPr>
          <w:ilvl w:val="0"/>
          <w:numId w:val="3"/>
        </w:numPr>
        <w:ind w:left="567" w:hanging="425"/>
        <w:jc w:val="both"/>
        <w:rPr>
          <w:rFonts w:ascii="Verdana" w:hAnsi="Verdana"/>
          <w:sz w:val="22"/>
          <w:szCs w:val="22"/>
          <w:lang w:val="en-US"/>
        </w:rPr>
      </w:pPr>
      <w:r>
        <w:rPr>
          <w:rFonts w:ascii="Verdana" w:hAnsi="Verdana"/>
          <w:sz w:val="22"/>
          <w:szCs w:val="22"/>
          <w:lang w:val="en-US"/>
        </w:rPr>
        <w:t>T</w:t>
      </w:r>
      <w:r w:rsidR="00824483" w:rsidRPr="00DA7827">
        <w:rPr>
          <w:rFonts w:ascii="Verdana" w:hAnsi="Verdana"/>
          <w:sz w:val="22"/>
          <w:szCs w:val="22"/>
          <w:lang w:val="en-US"/>
        </w:rPr>
        <w:t xml:space="preserve">he current federal and state legislation still prevent persons with psychosocial and intellectual disabilities </w:t>
      </w:r>
      <w:r w:rsidR="004E4982" w:rsidRPr="00DA7827">
        <w:rPr>
          <w:rFonts w:ascii="Verdana" w:hAnsi="Verdana"/>
          <w:sz w:val="22"/>
          <w:szCs w:val="22"/>
          <w:lang w:val="en-US"/>
        </w:rPr>
        <w:t>from enjoying</w:t>
      </w:r>
      <w:r w:rsidR="00824483" w:rsidRPr="00DA7827">
        <w:rPr>
          <w:rFonts w:ascii="Verdana" w:hAnsi="Verdana"/>
          <w:sz w:val="22"/>
          <w:szCs w:val="22"/>
          <w:lang w:val="en-US"/>
        </w:rPr>
        <w:t xml:space="preserve"> full legal capacity, exercis</w:t>
      </w:r>
      <w:r w:rsidR="00CD2969">
        <w:rPr>
          <w:rFonts w:ascii="Verdana" w:hAnsi="Verdana"/>
          <w:sz w:val="22"/>
          <w:szCs w:val="22"/>
          <w:lang w:val="en-US"/>
        </w:rPr>
        <w:t>ing</w:t>
      </w:r>
      <w:r w:rsidR="00824483" w:rsidRPr="00DA7827">
        <w:rPr>
          <w:rFonts w:ascii="Verdana" w:hAnsi="Verdana"/>
          <w:sz w:val="22"/>
          <w:szCs w:val="22"/>
          <w:lang w:val="en-US"/>
        </w:rPr>
        <w:t xml:space="preserve"> their rights and mak</w:t>
      </w:r>
      <w:r w:rsidR="00CD2969">
        <w:rPr>
          <w:rFonts w:ascii="Verdana" w:hAnsi="Verdana"/>
          <w:sz w:val="22"/>
          <w:szCs w:val="22"/>
          <w:lang w:val="en-US"/>
        </w:rPr>
        <w:t>ing</w:t>
      </w:r>
      <w:r w:rsidR="00824483" w:rsidRPr="00DA7827">
        <w:rPr>
          <w:rFonts w:ascii="Verdana" w:hAnsi="Verdana"/>
          <w:sz w:val="22"/>
          <w:szCs w:val="22"/>
          <w:lang w:val="en-US"/>
        </w:rPr>
        <w:t xml:space="preserve"> their own decisions within legal proceedings, including criminal ones. In relation to criminal matters,</w:t>
      </w:r>
      <w:r>
        <w:rPr>
          <w:rFonts w:ascii="Verdana" w:hAnsi="Verdana"/>
          <w:sz w:val="22"/>
          <w:szCs w:val="22"/>
          <w:lang w:val="en-US"/>
        </w:rPr>
        <w:t xml:space="preserve"> as elaborated bellow,</w:t>
      </w:r>
      <w:r w:rsidR="00824483" w:rsidRPr="00DA7827">
        <w:rPr>
          <w:rFonts w:ascii="Verdana" w:hAnsi="Verdana"/>
          <w:sz w:val="22"/>
          <w:szCs w:val="22"/>
          <w:lang w:val="en-US"/>
        </w:rPr>
        <w:t xml:space="preserve"> due to the current legislation, persons with disabilities </w:t>
      </w:r>
      <w:r w:rsidR="004E4982" w:rsidRPr="00DA7827">
        <w:rPr>
          <w:rFonts w:ascii="Verdana" w:hAnsi="Verdana"/>
          <w:sz w:val="22"/>
          <w:szCs w:val="22"/>
          <w:lang w:val="en-US"/>
        </w:rPr>
        <w:t xml:space="preserve">also </w:t>
      </w:r>
      <w:r w:rsidR="00824483" w:rsidRPr="00DA7827">
        <w:rPr>
          <w:rFonts w:ascii="Verdana" w:hAnsi="Verdana"/>
          <w:sz w:val="22"/>
          <w:szCs w:val="22"/>
          <w:lang w:val="en-US"/>
        </w:rPr>
        <w:t xml:space="preserve">face problems </w:t>
      </w:r>
      <w:r w:rsidR="004E4982" w:rsidRPr="00DA7827">
        <w:rPr>
          <w:rFonts w:ascii="Verdana" w:hAnsi="Verdana"/>
          <w:sz w:val="22"/>
          <w:szCs w:val="22"/>
          <w:lang w:val="en-US"/>
        </w:rPr>
        <w:t>in</w:t>
      </w:r>
      <w:r w:rsidR="00824483" w:rsidRPr="00DA7827">
        <w:rPr>
          <w:rFonts w:ascii="Verdana" w:hAnsi="Verdana"/>
          <w:sz w:val="22"/>
          <w:szCs w:val="22"/>
          <w:lang w:val="en-US"/>
        </w:rPr>
        <w:t xml:space="preserve"> report</w:t>
      </w:r>
      <w:r w:rsidR="004E4982" w:rsidRPr="00DA7827">
        <w:rPr>
          <w:rFonts w:ascii="Verdana" w:hAnsi="Verdana"/>
          <w:sz w:val="22"/>
          <w:szCs w:val="22"/>
          <w:lang w:val="en-US"/>
        </w:rPr>
        <w:t>ing</w:t>
      </w:r>
      <w:r w:rsidR="00824483" w:rsidRPr="00DA7827">
        <w:rPr>
          <w:rFonts w:ascii="Verdana" w:hAnsi="Verdana"/>
          <w:sz w:val="22"/>
          <w:szCs w:val="22"/>
          <w:lang w:val="en-US"/>
        </w:rPr>
        <w:t xml:space="preserve"> crime</w:t>
      </w:r>
      <w:r w:rsidR="004E4982" w:rsidRPr="00DA7827">
        <w:rPr>
          <w:rFonts w:ascii="Verdana" w:hAnsi="Verdana"/>
          <w:sz w:val="22"/>
          <w:szCs w:val="22"/>
          <w:lang w:val="en-US"/>
        </w:rPr>
        <w:t>s</w:t>
      </w:r>
      <w:r w:rsidR="00824483" w:rsidRPr="00DA7827">
        <w:rPr>
          <w:rFonts w:ascii="Verdana" w:hAnsi="Verdana"/>
          <w:sz w:val="22"/>
          <w:szCs w:val="22"/>
          <w:lang w:val="en-US"/>
        </w:rPr>
        <w:t>, appoint</w:t>
      </w:r>
      <w:r w:rsidR="004E4982" w:rsidRPr="00DA7827">
        <w:rPr>
          <w:rFonts w:ascii="Verdana" w:hAnsi="Verdana"/>
          <w:sz w:val="22"/>
          <w:szCs w:val="22"/>
          <w:lang w:val="en-US"/>
        </w:rPr>
        <w:t>ing</w:t>
      </w:r>
      <w:r w:rsidR="00824483" w:rsidRPr="00DA7827">
        <w:rPr>
          <w:rFonts w:ascii="Verdana" w:hAnsi="Verdana"/>
          <w:sz w:val="22"/>
          <w:szCs w:val="22"/>
          <w:lang w:val="en-US"/>
        </w:rPr>
        <w:t xml:space="preserve"> </w:t>
      </w:r>
      <w:r w:rsidR="004E4982" w:rsidRPr="00DA7827">
        <w:rPr>
          <w:rFonts w:ascii="Verdana" w:hAnsi="Verdana"/>
          <w:sz w:val="22"/>
          <w:szCs w:val="22"/>
          <w:lang w:val="en-US"/>
        </w:rPr>
        <w:t xml:space="preserve">a </w:t>
      </w:r>
      <w:r w:rsidR="00824483" w:rsidRPr="00DA7827">
        <w:rPr>
          <w:rFonts w:ascii="Verdana" w:hAnsi="Verdana"/>
          <w:sz w:val="22"/>
          <w:szCs w:val="22"/>
          <w:lang w:val="en-US"/>
        </w:rPr>
        <w:t>lawyer</w:t>
      </w:r>
      <w:r w:rsidR="004E4982" w:rsidRPr="00DA7827">
        <w:rPr>
          <w:rFonts w:ascii="Verdana" w:hAnsi="Verdana"/>
          <w:sz w:val="22"/>
          <w:szCs w:val="22"/>
          <w:lang w:val="en-US"/>
        </w:rPr>
        <w:t xml:space="preserve"> of </w:t>
      </w:r>
      <w:r w:rsidR="004E4982" w:rsidRPr="00DA7827">
        <w:rPr>
          <w:rFonts w:ascii="Verdana" w:hAnsi="Verdana"/>
          <w:sz w:val="22"/>
          <w:szCs w:val="22"/>
          <w:lang w:val="en-US"/>
        </w:rPr>
        <w:lastRenderedPageBreak/>
        <w:t>their choosing</w:t>
      </w:r>
      <w:r w:rsidR="00824483" w:rsidRPr="00DA7827">
        <w:rPr>
          <w:rFonts w:ascii="Verdana" w:hAnsi="Verdana"/>
          <w:sz w:val="22"/>
          <w:szCs w:val="22"/>
          <w:lang w:val="en-US"/>
        </w:rPr>
        <w:t>, be</w:t>
      </w:r>
      <w:r w:rsidR="004E4982" w:rsidRPr="00DA7827">
        <w:rPr>
          <w:rFonts w:ascii="Verdana" w:hAnsi="Verdana"/>
          <w:sz w:val="22"/>
          <w:szCs w:val="22"/>
          <w:lang w:val="en-US"/>
        </w:rPr>
        <w:t>ing</w:t>
      </w:r>
      <w:r w:rsidR="00824483" w:rsidRPr="00DA7827">
        <w:rPr>
          <w:rFonts w:ascii="Verdana" w:hAnsi="Verdana"/>
          <w:sz w:val="22"/>
          <w:szCs w:val="22"/>
          <w:lang w:val="en-US"/>
        </w:rPr>
        <w:t xml:space="preserve"> heard during hearings, stand</w:t>
      </w:r>
      <w:r w:rsidR="004E4982" w:rsidRPr="00DA7827">
        <w:rPr>
          <w:rFonts w:ascii="Verdana" w:hAnsi="Verdana"/>
          <w:sz w:val="22"/>
          <w:szCs w:val="22"/>
          <w:lang w:val="en-US"/>
        </w:rPr>
        <w:t>ing</w:t>
      </w:r>
      <w:r w:rsidR="00824483" w:rsidRPr="00DA7827">
        <w:rPr>
          <w:rFonts w:ascii="Verdana" w:hAnsi="Verdana"/>
          <w:sz w:val="22"/>
          <w:szCs w:val="22"/>
          <w:lang w:val="en-US"/>
        </w:rPr>
        <w:t xml:space="preserve"> trial, appeal</w:t>
      </w:r>
      <w:r w:rsidR="004E4982" w:rsidRPr="00DA7827">
        <w:rPr>
          <w:rFonts w:ascii="Verdana" w:hAnsi="Verdana"/>
          <w:sz w:val="22"/>
          <w:szCs w:val="22"/>
          <w:lang w:val="en-US"/>
        </w:rPr>
        <w:t>ing</w:t>
      </w:r>
      <w:r w:rsidR="00824483" w:rsidRPr="00DA7827">
        <w:rPr>
          <w:rFonts w:ascii="Verdana" w:hAnsi="Verdana"/>
          <w:sz w:val="22"/>
          <w:szCs w:val="22"/>
          <w:lang w:val="en-US"/>
        </w:rPr>
        <w:t xml:space="preserve"> a decision, and ask</w:t>
      </w:r>
      <w:r w:rsidR="004E4982" w:rsidRPr="00DA7827">
        <w:rPr>
          <w:rFonts w:ascii="Verdana" w:hAnsi="Verdana"/>
          <w:sz w:val="22"/>
          <w:szCs w:val="22"/>
          <w:lang w:val="en-US"/>
        </w:rPr>
        <w:t>ing</w:t>
      </w:r>
      <w:r w:rsidR="00824483" w:rsidRPr="00DA7827">
        <w:rPr>
          <w:rFonts w:ascii="Verdana" w:hAnsi="Verdana"/>
          <w:sz w:val="22"/>
          <w:szCs w:val="22"/>
          <w:lang w:val="en-US"/>
        </w:rPr>
        <w:t xml:space="preserve"> or offer</w:t>
      </w:r>
      <w:r w:rsidR="004E4982" w:rsidRPr="00DA7827">
        <w:rPr>
          <w:rFonts w:ascii="Verdana" w:hAnsi="Verdana"/>
          <w:sz w:val="22"/>
          <w:szCs w:val="22"/>
          <w:lang w:val="en-US"/>
        </w:rPr>
        <w:t>ing</w:t>
      </w:r>
      <w:r w:rsidR="00824483" w:rsidRPr="00DA7827">
        <w:rPr>
          <w:rFonts w:ascii="Verdana" w:hAnsi="Verdana"/>
          <w:sz w:val="22"/>
          <w:szCs w:val="22"/>
          <w:lang w:val="en-US"/>
        </w:rPr>
        <w:t xml:space="preserve"> reparation for a crime.</w:t>
      </w:r>
      <w:r w:rsidR="001A3114">
        <w:rPr>
          <w:rStyle w:val="FootnoteReference"/>
          <w:rFonts w:ascii="Verdana" w:hAnsi="Verdana"/>
          <w:sz w:val="22"/>
          <w:szCs w:val="22"/>
          <w:lang w:val="en-US"/>
        </w:rPr>
        <w:footnoteReference w:id="13"/>
      </w:r>
    </w:p>
    <w:p w14:paraId="463B6359" w14:textId="77777777" w:rsidR="00824483" w:rsidRPr="00DA7827" w:rsidRDefault="00824483" w:rsidP="00943B36">
      <w:pPr>
        <w:pStyle w:val="ListParagraph"/>
        <w:jc w:val="both"/>
        <w:rPr>
          <w:rFonts w:ascii="Verdana" w:hAnsi="Verdana"/>
          <w:sz w:val="22"/>
          <w:szCs w:val="22"/>
          <w:lang w:val="en-US"/>
        </w:rPr>
      </w:pPr>
    </w:p>
    <w:p w14:paraId="3C22A361" w14:textId="22F2A3C3" w:rsidR="002D71FC" w:rsidRPr="00DA7827" w:rsidRDefault="00824483" w:rsidP="00943B36">
      <w:pPr>
        <w:pStyle w:val="ListParagraph"/>
        <w:numPr>
          <w:ilvl w:val="0"/>
          <w:numId w:val="3"/>
        </w:numPr>
        <w:ind w:left="567" w:hanging="425"/>
        <w:jc w:val="both"/>
        <w:rPr>
          <w:rFonts w:ascii="Verdana" w:hAnsi="Verdana"/>
          <w:sz w:val="22"/>
          <w:szCs w:val="22"/>
          <w:lang w:val="en-US"/>
        </w:rPr>
      </w:pPr>
      <w:r w:rsidRPr="00DA7827">
        <w:rPr>
          <w:rFonts w:ascii="Verdana" w:hAnsi="Verdana"/>
          <w:sz w:val="22"/>
          <w:szCs w:val="22"/>
          <w:lang w:val="en-US"/>
        </w:rPr>
        <w:t xml:space="preserve">On some occasions, when </w:t>
      </w:r>
      <w:r w:rsidR="004E4982" w:rsidRPr="00DA7827">
        <w:rPr>
          <w:rFonts w:ascii="Verdana" w:hAnsi="Verdana"/>
          <w:sz w:val="22"/>
          <w:szCs w:val="22"/>
          <w:lang w:val="en-US"/>
        </w:rPr>
        <w:t>persons with disabilities are</w:t>
      </w:r>
      <w:r w:rsidRPr="00DA7827">
        <w:rPr>
          <w:rFonts w:ascii="Verdana" w:hAnsi="Verdana"/>
          <w:sz w:val="22"/>
          <w:szCs w:val="22"/>
          <w:lang w:val="en-US"/>
        </w:rPr>
        <w:t xml:space="preserve"> charge</w:t>
      </w:r>
      <w:r w:rsidR="004E4982" w:rsidRPr="00DA7827">
        <w:rPr>
          <w:rFonts w:ascii="Verdana" w:hAnsi="Verdana"/>
          <w:sz w:val="22"/>
          <w:szCs w:val="22"/>
          <w:lang w:val="en-US"/>
        </w:rPr>
        <w:t>d</w:t>
      </w:r>
      <w:r w:rsidRPr="00DA7827">
        <w:rPr>
          <w:rFonts w:ascii="Verdana" w:hAnsi="Verdana"/>
          <w:sz w:val="22"/>
          <w:szCs w:val="22"/>
          <w:lang w:val="en-US"/>
        </w:rPr>
        <w:t xml:space="preserve"> </w:t>
      </w:r>
      <w:r w:rsidR="004E4982" w:rsidRPr="00DA7827">
        <w:rPr>
          <w:rFonts w:ascii="Verdana" w:hAnsi="Verdana"/>
          <w:sz w:val="22"/>
          <w:szCs w:val="22"/>
          <w:lang w:val="en-US"/>
        </w:rPr>
        <w:t>with a</w:t>
      </w:r>
      <w:r w:rsidRPr="00DA7827">
        <w:rPr>
          <w:rFonts w:ascii="Verdana" w:hAnsi="Verdana"/>
          <w:sz w:val="22"/>
          <w:szCs w:val="22"/>
          <w:lang w:val="en-US"/>
        </w:rPr>
        <w:t xml:space="preserve"> crim</w:t>
      </w:r>
      <w:r w:rsidR="004E4982" w:rsidRPr="00DA7827">
        <w:rPr>
          <w:rFonts w:ascii="Verdana" w:hAnsi="Verdana"/>
          <w:sz w:val="22"/>
          <w:szCs w:val="22"/>
          <w:lang w:val="en-US"/>
        </w:rPr>
        <w:t>inal offence</w:t>
      </w:r>
      <w:r w:rsidRPr="00DA7827">
        <w:rPr>
          <w:rFonts w:ascii="Verdana" w:hAnsi="Verdana"/>
          <w:sz w:val="22"/>
          <w:szCs w:val="22"/>
          <w:lang w:val="en-US"/>
        </w:rPr>
        <w:t xml:space="preserve">, this lack of agency can imply they are deprived of their liberty without being able to use a judicial remedy, as happened in the case of Mr. Arturo Medina Vela. </w:t>
      </w:r>
      <w:r w:rsidR="002D71FC" w:rsidRPr="00DA7827">
        <w:rPr>
          <w:rFonts w:ascii="Verdana" w:hAnsi="Verdana"/>
          <w:sz w:val="22"/>
          <w:szCs w:val="22"/>
          <w:lang w:val="en-US"/>
        </w:rPr>
        <w:t>One of the biggest barriers to access to justice that persons with psychosocial and intellectual disabilities face in criminal proceeding is that they are subject to non-liability declarations (</w:t>
      </w:r>
      <w:r w:rsidR="002D71FC" w:rsidRPr="00DA7827">
        <w:rPr>
          <w:rFonts w:ascii="Verdana" w:hAnsi="Verdana"/>
          <w:i/>
          <w:iCs/>
          <w:sz w:val="22"/>
          <w:szCs w:val="22"/>
          <w:lang w:val="en-US"/>
        </w:rPr>
        <w:t xml:space="preserve">declaración de inimputabilidad). </w:t>
      </w:r>
      <w:r w:rsidR="002D71FC" w:rsidRPr="00DA7827">
        <w:rPr>
          <w:rFonts w:ascii="Verdana" w:hAnsi="Verdana"/>
          <w:sz w:val="22"/>
          <w:szCs w:val="22"/>
          <w:lang w:val="en-US"/>
        </w:rPr>
        <w:t xml:space="preserve">In this regard, for instance, the Criminal Code for the Federal District sets out that a non-liability declaration can be </w:t>
      </w:r>
      <w:r w:rsidR="00D659ED">
        <w:rPr>
          <w:rFonts w:ascii="Verdana" w:hAnsi="Verdana"/>
          <w:sz w:val="22"/>
          <w:szCs w:val="22"/>
          <w:lang w:val="en-US"/>
        </w:rPr>
        <w:t xml:space="preserve">issued </w:t>
      </w:r>
      <w:r w:rsidR="002D71FC" w:rsidRPr="00DA7827">
        <w:rPr>
          <w:rFonts w:ascii="Verdana" w:hAnsi="Verdana"/>
          <w:sz w:val="22"/>
          <w:szCs w:val="22"/>
          <w:lang w:val="en-US"/>
        </w:rPr>
        <w:t xml:space="preserve">when the person who committed the crime has “a mental disorder or retarded intellectual development” </w:t>
      </w:r>
      <w:r w:rsidR="002D71FC" w:rsidRPr="00DA7827">
        <w:rPr>
          <w:rFonts w:ascii="Verdana" w:hAnsi="Verdana"/>
          <w:i/>
          <w:iCs/>
          <w:sz w:val="22"/>
          <w:szCs w:val="22"/>
          <w:lang w:val="en-US"/>
        </w:rPr>
        <w:t>(trastorno mental o desarrollo intelectual retardado</w:t>
      </w:r>
      <w:r w:rsidR="002D71FC" w:rsidRPr="00DA7827">
        <w:rPr>
          <w:rFonts w:ascii="Verdana" w:hAnsi="Verdana"/>
          <w:sz w:val="22"/>
          <w:szCs w:val="22"/>
          <w:lang w:val="en-US"/>
        </w:rPr>
        <w:t>).</w:t>
      </w:r>
      <w:r w:rsidR="002D71FC" w:rsidRPr="00DA7827">
        <w:rPr>
          <w:rFonts w:ascii="Verdana" w:hAnsi="Verdana"/>
          <w:sz w:val="22"/>
          <w:szCs w:val="22"/>
          <w:vertAlign w:val="superscript"/>
          <w:lang w:val="en-US"/>
        </w:rPr>
        <w:footnoteReference w:id="14"/>
      </w:r>
      <w:r w:rsidR="002D71FC" w:rsidRPr="00DA7827">
        <w:rPr>
          <w:rFonts w:ascii="Verdana" w:hAnsi="Verdana"/>
          <w:sz w:val="22"/>
          <w:szCs w:val="22"/>
          <w:lang w:val="en-US"/>
        </w:rPr>
        <w:t xml:space="preserve"> Similar </w:t>
      </w:r>
      <w:r w:rsidR="000E376D">
        <w:rPr>
          <w:rFonts w:ascii="Verdana" w:hAnsi="Verdana"/>
          <w:sz w:val="22"/>
          <w:szCs w:val="22"/>
          <w:lang w:val="en-US"/>
        </w:rPr>
        <w:t>provisions</w:t>
      </w:r>
      <w:r w:rsidR="002D71FC" w:rsidRPr="00DA7827">
        <w:rPr>
          <w:rFonts w:ascii="Verdana" w:hAnsi="Verdana"/>
          <w:sz w:val="22"/>
          <w:szCs w:val="22"/>
          <w:lang w:val="en-US"/>
        </w:rPr>
        <w:t xml:space="preserve"> can be found in the criminal codes of the other States.</w:t>
      </w:r>
      <w:r w:rsidR="002D71FC" w:rsidRPr="00DA7827">
        <w:rPr>
          <w:rFonts w:ascii="Verdana" w:hAnsi="Verdana"/>
          <w:sz w:val="22"/>
          <w:szCs w:val="22"/>
          <w:vertAlign w:val="superscript"/>
          <w:lang w:val="en-US"/>
        </w:rPr>
        <w:footnoteReference w:id="15"/>
      </w:r>
    </w:p>
    <w:p w14:paraId="17E28806" w14:textId="77777777" w:rsidR="002D71FC" w:rsidRPr="00DA7827" w:rsidRDefault="002D71FC" w:rsidP="00943B36">
      <w:pPr>
        <w:pStyle w:val="ListParagraph"/>
        <w:jc w:val="both"/>
        <w:rPr>
          <w:rFonts w:ascii="Verdana" w:hAnsi="Verdana"/>
          <w:sz w:val="22"/>
          <w:szCs w:val="22"/>
          <w:lang w:val="en-US"/>
        </w:rPr>
      </w:pPr>
    </w:p>
    <w:p w14:paraId="6889021A" w14:textId="2A89DCE4" w:rsidR="002D71FC" w:rsidRPr="00DA7827" w:rsidRDefault="002D71FC" w:rsidP="00943B36">
      <w:pPr>
        <w:pStyle w:val="ListParagraph"/>
        <w:numPr>
          <w:ilvl w:val="0"/>
          <w:numId w:val="3"/>
        </w:numPr>
        <w:ind w:left="567" w:hanging="425"/>
        <w:jc w:val="both"/>
        <w:rPr>
          <w:rFonts w:ascii="Verdana" w:hAnsi="Verdana"/>
          <w:sz w:val="22"/>
          <w:szCs w:val="22"/>
          <w:lang w:val="en-US"/>
        </w:rPr>
      </w:pPr>
      <w:r w:rsidRPr="00DA7827">
        <w:rPr>
          <w:rFonts w:ascii="Verdana" w:hAnsi="Verdana"/>
          <w:sz w:val="22"/>
          <w:szCs w:val="22"/>
          <w:lang w:val="en-US"/>
        </w:rPr>
        <w:t>Making matters worse, the National Criminal Procedural Code (</w:t>
      </w:r>
      <w:r w:rsidRPr="00DA7827">
        <w:rPr>
          <w:rFonts w:ascii="Verdana" w:hAnsi="Verdana"/>
          <w:i/>
          <w:iCs/>
          <w:sz w:val="22"/>
          <w:szCs w:val="22"/>
          <w:lang w:val="en-US"/>
        </w:rPr>
        <w:t>Código Nacional de Procedimientos Penales</w:t>
      </w:r>
      <w:r w:rsidRPr="00DA7827">
        <w:rPr>
          <w:rFonts w:ascii="Verdana" w:hAnsi="Verdana"/>
          <w:sz w:val="22"/>
          <w:szCs w:val="22"/>
          <w:lang w:val="en-US"/>
        </w:rPr>
        <w:t>) establishes the imposition of custodial and non-custodial measures called “security measures” (</w:t>
      </w:r>
      <w:r w:rsidRPr="00DA7827">
        <w:rPr>
          <w:rFonts w:ascii="Verdana" w:hAnsi="Verdana"/>
          <w:i/>
          <w:iCs/>
          <w:sz w:val="22"/>
          <w:szCs w:val="22"/>
          <w:lang w:val="en-US"/>
        </w:rPr>
        <w:t>medidas de seguridad</w:t>
      </w:r>
      <w:r w:rsidRPr="00DA7827">
        <w:rPr>
          <w:rFonts w:ascii="Verdana" w:hAnsi="Verdana"/>
          <w:sz w:val="22"/>
          <w:szCs w:val="22"/>
          <w:lang w:val="en-US"/>
        </w:rPr>
        <w:t>) when a person is subject to a non-liability declaration.</w:t>
      </w:r>
      <w:r w:rsidRPr="00DA7827">
        <w:rPr>
          <w:rStyle w:val="FootnoteReference"/>
          <w:rFonts w:ascii="Verdana" w:hAnsi="Verdana"/>
          <w:sz w:val="22"/>
          <w:szCs w:val="22"/>
          <w:lang w:val="en-US"/>
        </w:rPr>
        <w:footnoteReference w:id="16"/>
      </w:r>
      <w:r w:rsidRPr="00DA7827">
        <w:rPr>
          <w:rFonts w:ascii="Verdana" w:hAnsi="Verdana"/>
          <w:sz w:val="22"/>
          <w:szCs w:val="22"/>
          <w:lang w:val="en-US"/>
        </w:rPr>
        <w:t xml:space="preserve"> This means that although a person is excluded from criminal responsibility, </w:t>
      </w:r>
      <w:r w:rsidR="000E376D" w:rsidRPr="000E376D">
        <w:rPr>
          <w:rFonts w:ascii="Verdana" w:hAnsi="Verdana"/>
          <w:sz w:val="22"/>
          <w:szCs w:val="22"/>
          <w:lang w:val="en-US"/>
        </w:rPr>
        <w:t xml:space="preserve">they can still be subjected to restrictions of their liberty </w:t>
      </w:r>
      <w:r w:rsidR="000E376D" w:rsidRPr="000E376D">
        <w:rPr>
          <w:rFonts w:ascii="Verdana" w:hAnsi="Verdana"/>
          <w:sz w:val="22"/>
          <w:szCs w:val="22"/>
          <w:lang w:val="en-US"/>
        </w:rPr>
        <w:lastRenderedPageBreak/>
        <w:t>despite their purported inability to participate in a criminal trial supposedly tasked with ascertaining their guilt or innocence</w:t>
      </w:r>
      <w:r w:rsidR="000E376D">
        <w:rPr>
          <w:rFonts w:ascii="Verdana" w:hAnsi="Verdana"/>
          <w:sz w:val="22"/>
          <w:szCs w:val="22"/>
          <w:lang w:val="en-US"/>
        </w:rPr>
        <w:t xml:space="preserve">. </w:t>
      </w:r>
      <w:r w:rsidRPr="00DA7827">
        <w:rPr>
          <w:rFonts w:ascii="Verdana" w:hAnsi="Verdana"/>
          <w:sz w:val="22"/>
          <w:szCs w:val="22"/>
          <w:lang w:val="en-US"/>
        </w:rPr>
        <w:t xml:space="preserve">One of the common custodial measures levied against persons in this situation is confinement in health or psychiatric facilities. </w:t>
      </w:r>
    </w:p>
    <w:p w14:paraId="6B229AED" w14:textId="77777777" w:rsidR="002D71FC" w:rsidRPr="00DA7827" w:rsidRDefault="002D71FC" w:rsidP="00943B36">
      <w:pPr>
        <w:pStyle w:val="ListParagraph"/>
        <w:jc w:val="both"/>
        <w:rPr>
          <w:rFonts w:ascii="Verdana" w:hAnsi="Verdana"/>
          <w:sz w:val="22"/>
          <w:szCs w:val="22"/>
          <w:lang w:val="en-US"/>
        </w:rPr>
      </w:pPr>
    </w:p>
    <w:p w14:paraId="5449BFA8" w14:textId="725BFF47" w:rsidR="002D71FC" w:rsidRPr="00DA7827" w:rsidRDefault="000E376D" w:rsidP="00943B36">
      <w:pPr>
        <w:pStyle w:val="ListParagraph"/>
        <w:numPr>
          <w:ilvl w:val="0"/>
          <w:numId w:val="3"/>
        </w:numPr>
        <w:ind w:left="567" w:hanging="425"/>
        <w:jc w:val="both"/>
        <w:rPr>
          <w:rFonts w:ascii="Verdana" w:hAnsi="Verdana"/>
          <w:sz w:val="22"/>
          <w:szCs w:val="22"/>
          <w:lang w:val="en-US"/>
        </w:rPr>
      </w:pPr>
      <w:r w:rsidRPr="000E376D">
        <w:rPr>
          <w:rFonts w:ascii="Verdana" w:hAnsi="Verdana"/>
          <w:sz w:val="22"/>
          <w:szCs w:val="22"/>
          <w:lang w:val="en-US"/>
        </w:rPr>
        <w:t xml:space="preserve">Furthermore, they can be subjected to an indeterminate period of confinement. </w:t>
      </w:r>
      <w:r w:rsidR="002D71FC" w:rsidRPr="00DA7827">
        <w:rPr>
          <w:rFonts w:ascii="Verdana" w:hAnsi="Verdana"/>
          <w:sz w:val="22"/>
          <w:szCs w:val="22"/>
          <w:lang w:val="en-US"/>
        </w:rPr>
        <w:t>For instance,</w:t>
      </w:r>
      <w:r>
        <w:rPr>
          <w:rFonts w:ascii="Verdana" w:hAnsi="Verdana"/>
          <w:sz w:val="22"/>
          <w:szCs w:val="22"/>
          <w:lang w:val="en-US"/>
        </w:rPr>
        <w:t xml:space="preserve"> the </w:t>
      </w:r>
      <w:r w:rsidRPr="001B6324">
        <w:rPr>
          <w:rFonts w:ascii="Verdana" w:hAnsi="Verdana"/>
          <w:sz w:val="22"/>
          <w:szCs w:val="22"/>
          <w:lang w:val="en-US"/>
        </w:rPr>
        <w:t>Federal District</w:t>
      </w:r>
      <w:r w:rsidR="002D71FC" w:rsidRPr="00DA7827">
        <w:rPr>
          <w:rFonts w:ascii="Verdana" w:hAnsi="Verdana"/>
          <w:sz w:val="22"/>
          <w:szCs w:val="22"/>
          <w:lang w:val="en-US"/>
        </w:rPr>
        <w:t xml:space="preserve"> Criminal Code </w:t>
      </w:r>
      <w:r>
        <w:rPr>
          <w:rFonts w:ascii="Verdana" w:hAnsi="Verdana"/>
          <w:sz w:val="22"/>
          <w:szCs w:val="22"/>
          <w:lang w:val="en-US"/>
        </w:rPr>
        <w:t>provides</w:t>
      </w:r>
      <w:r w:rsidR="002D71FC" w:rsidRPr="001B6324">
        <w:rPr>
          <w:rFonts w:ascii="Verdana" w:hAnsi="Verdana"/>
          <w:sz w:val="22"/>
          <w:szCs w:val="22"/>
          <w:lang w:val="en-US"/>
        </w:rPr>
        <w:t xml:space="preserve"> that the confinement might last until “the person is cured”.</w:t>
      </w:r>
      <w:r w:rsidR="002D71FC" w:rsidRPr="001B6324">
        <w:rPr>
          <w:rStyle w:val="FootnoteReference"/>
          <w:rFonts w:ascii="Verdana" w:hAnsi="Verdana"/>
          <w:sz w:val="22"/>
          <w:szCs w:val="22"/>
          <w:lang w:val="en-US"/>
        </w:rPr>
        <w:footnoteReference w:id="17"/>
      </w:r>
      <w:r w:rsidR="002D71FC" w:rsidRPr="001B6324">
        <w:rPr>
          <w:rFonts w:ascii="Verdana" w:hAnsi="Verdana"/>
          <w:sz w:val="22"/>
          <w:szCs w:val="22"/>
          <w:lang w:val="en-US"/>
        </w:rPr>
        <w:t xml:space="preserve"> </w:t>
      </w:r>
      <w:r w:rsidR="00DC38DA" w:rsidRPr="00DC38DA">
        <w:rPr>
          <w:rFonts w:ascii="Verdana" w:hAnsi="Verdana"/>
          <w:sz w:val="22"/>
          <w:szCs w:val="22"/>
          <w:lang w:val="en-US"/>
        </w:rPr>
        <w:t>The only limitation is that the maximum duration of their confinement is the same as the maximum prison time for the crime the person has allegedly committed</w:t>
      </w:r>
      <w:r w:rsidR="002D71FC" w:rsidRPr="001B6324">
        <w:rPr>
          <w:rFonts w:ascii="Verdana" w:hAnsi="Verdana"/>
          <w:sz w:val="22"/>
          <w:szCs w:val="22"/>
          <w:lang w:val="en-US"/>
        </w:rPr>
        <w:t>.</w:t>
      </w:r>
      <w:r w:rsidR="002D71FC" w:rsidRPr="001B6324">
        <w:rPr>
          <w:rStyle w:val="FootnoteReference"/>
          <w:rFonts w:ascii="Verdana" w:hAnsi="Verdana"/>
          <w:sz w:val="22"/>
          <w:szCs w:val="22"/>
          <w:lang w:val="en-US"/>
        </w:rPr>
        <w:footnoteReference w:id="18"/>
      </w:r>
      <w:r w:rsidR="002D71FC" w:rsidRPr="001B6324">
        <w:rPr>
          <w:rFonts w:ascii="Verdana" w:hAnsi="Verdana"/>
          <w:sz w:val="22"/>
          <w:szCs w:val="22"/>
          <w:lang w:val="en-US"/>
        </w:rPr>
        <w:t xml:space="preserve"> If the person with a disability in question is alleged to have committed serious crimes, this means that she can be placed in a facility for up to 70 years</w:t>
      </w:r>
      <w:r w:rsidR="002D71FC" w:rsidRPr="00DA7827">
        <w:rPr>
          <w:rFonts w:ascii="Verdana" w:hAnsi="Verdana"/>
          <w:sz w:val="22"/>
          <w:szCs w:val="22"/>
          <w:lang w:val="en-US"/>
        </w:rPr>
        <w:t xml:space="preserve">, </w:t>
      </w:r>
      <w:r w:rsidR="00DC38DA" w:rsidRPr="00DC38DA">
        <w:rPr>
          <w:rFonts w:ascii="Verdana" w:hAnsi="Verdana"/>
          <w:sz w:val="22"/>
          <w:szCs w:val="22"/>
          <w:lang w:val="en-US"/>
        </w:rPr>
        <w:t>without ever having an opportunity to defend themselves against the charge/s in a fair trial – something to which any other accused person would be entitled</w:t>
      </w:r>
      <w:r w:rsidR="002D71FC" w:rsidRPr="00DA7827">
        <w:rPr>
          <w:rFonts w:ascii="Verdana" w:hAnsi="Verdana"/>
          <w:sz w:val="22"/>
          <w:szCs w:val="22"/>
          <w:lang w:val="en-US"/>
        </w:rPr>
        <w:t>.</w:t>
      </w:r>
      <w:r w:rsidR="002D71FC" w:rsidRPr="00DA7827">
        <w:rPr>
          <w:rStyle w:val="FootnoteReference"/>
          <w:rFonts w:ascii="Verdana" w:hAnsi="Verdana"/>
          <w:sz w:val="22"/>
          <w:szCs w:val="22"/>
          <w:lang w:val="en-US"/>
        </w:rPr>
        <w:footnoteReference w:id="19"/>
      </w:r>
      <w:r w:rsidR="002D71FC" w:rsidRPr="00DA7827">
        <w:rPr>
          <w:rFonts w:ascii="Verdana" w:hAnsi="Verdana"/>
          <w:sz w:val="22"/>
          <w:szCs w:val="22"/>
          <w:lang w:val="en-US"/>
        </w:rPr>
        <w:t xml:space="preserve"> Similar </w:t>
      </w:r>
      <w:r w:rsidR="00DC38DA">
        <w:rPr>
          <w:rFonts w:ascii="Verdana" w:hAnsi="Verdana"/>
          <w:sz w:val="22"/>
          <w:szCs w:val="22"/>
          <w:lang w:val="en-US"/>
        </w:rPr>
        <w:t>provisions</w:t>
      </w:r>
      <w:r w:rsidR="002D71FC" w:rsidRPr="00DA7827">
        <w:rPr>
          <w:rFonts w:ascii="Verdana" w:hAnsi="Verdana"/>
          <w:sz w:val="22"/>
          <w:szCs w:val="22"/>
          <w:lang w:val="en-US"/>
        </w:rPr>
        <w:t xml:space="preserve"> can be found in the criminal codes of the other States.</w:t>
      </w:r>
      <w:r w:rsidR="002D71FC" w:rsidRPr="00DA7827">
        <w:rPr>
          <w:rStyle w:val="FootnoteReference"/>
          <w:rFonts w:ascii="Verdana" w:hAnsi="Verdana"/>
          <w:sz w:val="22"/>
          <w:szCs w:val="22"/>
          <w:lang w:val="en-US"/>
        </w:rPr>
        <w:footnoteReference w:id="20"/>
      </w:r>
    </w:p>
    <w:p w14:paraId="2C4A84B2" w14:textId="77777777" w:rsidR="002D71FC" w:rsidRPr="00DA7827" w:rsidRDefault="002D71FC" w:rsidP="00943B36">
      <w:pPr>
        <w:pStyle w:val="ListParagraph"/>
        <w:jc w:val="both"/>
        <w:rPr>
          <w:rFonts w:ascii="Verdana" w:hAnsi="Verdana"/>
          <w:sz w:val="22"/>
          <w:szCs w:val="22"/>
          <w:lang w:val="en-US"/>
        </w:rPr>
      </w:pPr>
    </w:p>
    <w:p w14:paraId="5051E458" w14:textId="2CB3D4F8" w:rsidR="002D71FC" w:rsidRPr="00DA7827" w:rsidRDefault="002D71FC" w:rsidP="00943B36">
      <w:pPr>
        <w:pStyle w:val="ListParagraph"/>
        <w:numPr>
          <w:ilvl w:val="0"/>
          <w:numId w:val="3"/>
        </w:numPr>
        <w:ind w:left="567" w:hanging="425"/>
        <w:jc w:val="both"/>
        <w:rPr>
          <w:rFonts w:ascii="Verdana" w:hAnsi="Verdana"/>
          <w:sz w:val="22"/>
          <w:szCs w:val="22"/>
          <w:lang w:val="en-US"/>
        </w:rPr>
      </w:pPr>
      <w:r w:rsidRPr="00DA7827">
        <w:rPr>
          <w:rFonts w:ascii="Verdana" w:hAnsi="Verdana"/>
          <w:sz w:val="22"/>
          <w:szCs w:val="22"/>
          <w:lang w:val="en-US"/>
        </w:rPr>
        <w:t>In addition, the National Criminal Procedural Code sets out that persons subject to non-liability declarations cannot have access to an abbreviated procedure (</w:t>
      </w:r>
      <w:r w:rsidRPr="00DA7827">
        <w:rPr>
          <w:rFonts w:ascii="Verdana" w:hAnsi="Verdana"/>
          <w:i/>
          <w:iCs/>
          <w:sz w:val="22"/>
          <w:szCs w:val="22"/>
          <w:lang w:val="en-US"/>
        </w:rPr>
        <w:t>procedimiento abreviado</w:t>
      </w:r>
      <w:r w:rsidRPr="00DA7827">
        <w:rPr>
          <w:rFonts w:ascii="Verdana" w:hAnsi="Verdana"/>
          <w:sz w:val="22"/>
          <w:szCs w:val="22"/>
          <w:lang w:val="en-US"/>
        </w:rPr>
        <w:t>)</w:t>
      </w:r>
      <w:r w:rsidR="00F73605" w:rsidRPr="00DA7827">
        <w:rPr>
          <w:rFonts w:ascii="Verdana" w:hAnsi="Verdana"/>
          <w:sz w:val="22"/>
          <w:szCs w:val="22"/>
          <w:lang w:val="en-US"/>
        </w:rPr>
        <w:t xml:space="preserve"> available to all others</w:t>
      </w:r>
      <w:r w:rsidRPr="00DA7827">
        <w:rPr>
          <w:rFonts w:ascii="Verdana" w:hAnsi="Verdana"/>
          <w:sz w:val="22"/>
          <w:szCs w:val="22"/>
          <w:lang w:val="en-US"/>
        </w:rPr>
        <w:t>.</w:t>
      </w:r>
      <w:r w:rsidRPr="00DA7827">
        <w:rPr>
          <w:rStyle w:val="FootnoteReference"/>
          <w:rFonts w:ascii="Verdana" w:hAnsi="Verdana"/>
          <w:sz w:val="22"/>
          <w:szCs w:val="22"/>
          <w:lang w:val="en-US"/>
        </w:rPr>
        <w:footnoteReference w:id="21"/>
      </w:r>
      <w:r w:rsidRPr="00DA7827">
        <w:rPr>
          <w:rFonts w:ascii="Verdana" w:hAnsi="Verdana"/>
          <w:sz w:val="22"/>
          <w:szCs w:val="22"/>
          <w:lang w:val="en-US"/>
        </w:rPr>
        <w:t xml:space="preserve"> </w:t>
      </w:r>
      <w:r w:rsidR="00DC38DA" w:rsidRPr="00DC38DA">
        <w:rPr>
          <w:rFonts w:ascii="Verdana" w:hAnsi="Verdana"/>
          <w:sz w:val="22"/>
          <w:szCs w:val="22"/>
          <w:lang w:val="en-US"/>
        </w:rPr>
        <w:t>In this abbreviated procedure, defendants can access pre-trial negotiations, including those that may result in guilty plea discounts on the eventual sentence</w:t>
      </w:r>
      <w:r w:rsidR="00DC38DA">
        <w:rPr>
          <w:rFonts w:ascii="Verdana" w:hAnsi="Verdana"/>
          <w:sz w:val="22"/>
          <w:szCs w:val="22"/>
          <w:lang w:val="en-US"/>
        </w:rPr>
        <w:t>.</w:t>
      </w:r>
      <w:r w:rsidR="00DC38DA" w:rsidRPr="00DC38DA">
        <w:rPr>
          <w:rFonts w:ascii="Verdana" w:hAnsi="Verdana"/>
          <w:sz w:val="22"/>
          <w:szCs w:val="22"/>
          <w:lang w:val="en-US"/>
        </w:rPr>
        <w:t xml:space="preserve"> </w:t>
      </w:r>
      <w:r w:rsidR="00F73605" w:rsidRPr="00DA7827">
        <w:rPr>
          <w:rFonts w:ascii="Verdana" w:hAnsi="Verdana"/>
          <w:sz w:val="22"/>
          <w:szCs w:val="22"/>
          <w:lang w:val="en-US"/>
        </w:rPr>
        <w:t>P</w:t>
      </w:r>
      <w:r w:rsidRPr="00DA7827">
        <w:rPr>
          <w:rFonts w:ascii="Verdana" w:hAnsi="Verdana"/>
          <w:sz w:val="22"/>
          <w:szCs w:val="22"/>
          <w:lang w:val="en-US"/>
        </w:rPr>
        <w:t>ersons with disabilities subject to non-liability declarations</w:t>
      </w:r>
      <w:r w:rsidR="00F73605" w:rsidRPr="00DA7827">
        <w:rPr>
          <w:rFonts w:ascii="Verdana" w:hAnsi="Verdana"/>
          <w:sz w:val="22"/>
          <w:szCs w:val="22"/>
          <w:lang w:val="en-US"/>
        </w:rPr>
        <w:t>, therefore</w:t>
      </w:r>
      <w:r w:rsidR="00DC38DA">
        <w:rPr>
          <w:rFonts w:ascii="Verdana" w:hAnsi="Verdana"/>
          <w:sz w:val="22"/>
          <w:szCs w:val="22"/>
          <w:lang w:val="en-US"/>
        </w:rPr>
        <w:t>,</w:t>
      </w:r>
      <w:r w:rsidRPr="00DA7827">
        <w:rPr>
          <w:rFonts w:ascii="Verdana" w:hAnsi="Verdana"/>
          <w:sz w:val="22"/>
          <w:szCs w:val="22"/>
          <w:lang w:val="en-US"/>
        </w:rPr>
        <w:t xml:space="preserve"> lose the opportunity to negotiate the charges against them</w:t>
      </w:r>
      <w:r w:rsidR="00F73605" w:rsidRPr="00DA7827">
        <w:rPr>
          <w:rFonts w:ascii="Verdana" w:hAnsi="Verdana"/>
          <w:sz w:val="22"/>
          <w:szCs w:val="22"/>
          <w:lang w:val="en-US"/>
        </w:rPr>
        <w:t xml:space="preserve"> on an equal basis with other defendants</w:t>
      </w:r>
      <w:r w:rsidRPr="00DA7827">
        <w:rPr>
          <w:rFonts w:ascii="Verdana" w:hAnsi="Verdana"/>
          <w:sz w:val="22"/>
          <w:szCs w:val="22"/>
          <w:lang w:val="en-US"/>
        </w:rPr>
        <w:t>.</w:t>
      </w:r>
    </w:p>
    <w:p w14:paraId="739BDD4A" w14:textId="77777777" w:rsidR="002D71FC" w:rsidRPr="00DA7827" w:rsidRDefault="002D71FC" w:rsidP="00943B36">
      <w:pPr>
        <w:pStyle w:val="ListParagraph"/>
        <w:jc w:val="both"/>
        <w:rPr>
          <w:rFonts w:ascii="Verdana" w:hAnsi="Verdana"/>
          <w:sz w:val="22"/>
          <w:szCs w:val="22"/>
          <w:lang w:val="en-US"/>
        </w:rPr>
      </w:pPr>
    </w:p>
    <w:p w14:paraId="5A6AB6EA" w14:textId="167B4CF8" w:rsidR="002D71FC" w:rsidRPr="00610991" w:rsidRDefault="005D3897" w:rsidP="00943B36">
      <w:pPr>
        <w:pStyle w:val="ListParagraph"/>
        <w:numPr>
          <w:ilvl w:val="0"/>
          <w:numId w:val="3"/>
        </w:numPr>
        <w:ind w:left="567" w:hanging="425"/>
        <w:jc w:val="both"/>
        <w:rPr>
          <w:rFonts w:ascii="Verdana" w:hAnsi="Verdana"/>
          <w:sz w:val="22"/>
          <w:szCs w:val="22"/>
          <w:lang w:val="en-US"/>
        </w:rPr>
      </w:pPr>
      <w:r>
        <w:rPr>
          <w:rStyle w:val="normaltextrun"/>
          <w:rFonts w:ascii="Verdana" w:hAnsi="Verdana"/>
          <w:sz w:val="22"/>
          <w:szCs w:val="22"/>
        </w:rPr>
        <w:lastRenderedPageBreak/>
        <w:t xml:space="preserve">Moreover, the widely reported poor conditions in some detention centres to which </w:t>
      </w:r>
      <w:r w:rsidRPr="00610991">
        <w:rPr>
          <w:rStyle w:val="normaltextrun"/>
          <w:rFonts w:ascii="Verdana" w:hAnsi="Verdana"/>
          <w:sz w:val="22"/>
          <w:szCs w:val="22"/>
        </w:rPr>
        <w:t>persons with disabilities are then admitted, such as overcrowding, unhygienic and unhealthy conditions, and lack of access to healthcare services,</w:t>
      </w:r>
      <w:r w:rsidRPr="00610991" w:rsidDel="0041077B">
        <w:rPr>
          <w:rStyle w:val="normaltextrun"/>
          <w:rFonts w:ascii="Verdana" w:hAnsi="Verdana"/>
          <w:sz w:val="22"/>
          <w:szCs w:val="22"/>
        </w:rPr>
        <w:t xml:space="preserve"> </w:t>
      </w:r>
      <w:r w:rsidRPr="00610991">
        <w:rPr>
          <w:rStyle w:val="normaltextrun"/>
          <w:rFonts w:ascii="Verdana" w:hAnsi="Verdana"/>
          <w:sz w:val="22"/>
          <w:szCs w:val="22"/>
        </w:rPr>
        <w:t>might amount to cruel, inhuman or degrading treatment or punishment in violation of article 15 of the Convention</w:t>
      </w:r>
      <w:r w:rsidRPr="00610991">
        <w:rPr>
          <w:rStyle w:val="normaltextrun"/>
          <w:rFonts w:ascii="Verdana" w:hAnsi="Verdana"/>
          <w:sz w:val="22"/>
          <w:szCs w:val="22"/>
          <w:lang w:val="en-US"/>
        </w:rPr>
        <w:t>.</w:t>
      </w:r>
      <w:r w:rsidR="002D71FC" w:rsidRPr="00610991">
        <w:rPr>
          <w:rStyle w:val="FootnoteReference"/>
          <w:rFonts w:ascii="Verdana" w:hAnsi="Verdana"/>
          <w:sz w:val="22"/>
          <w:szCs w:val="22"/>
          <w:lang w:val="en-US"/>
        </w:rPr>
        <w:footnoteReference w:id="22"/>
      </w:r>
    </w:p>
    <w:p w14:paraId="0C0B1C86" w14:textId="77777777" w:rsidR="007B5438" w:rsidRPr="00610991" w:rsidRDefault="007B5438" w:rsidP="00943B36">
      <w:pPr>
        <w:pStyle w:val="ListParagraph"/>
        <w:jc w:val="both"/>
        <w:rPr>
          <w:rFonts w:ascii="Verdana" w:hAnsi="Verdana"/>
          <w:sz w:val="22"/>
          <w:szCs w:val="22"/>
          <w:lang w:val="en-US"/>
        </w:rPr>
      </w:pPr>
    </w:p>
    <w:p w14:paraId="43B72199" w14:textId="51063299" w:rsidR="002D6909" w:rsidRPr="00610991" w:rsidRDefault="002D6909" w:rsidP="00943B36">
      <w:pPr>
        <w:pStyle w:val="ListParagraph"/>
        <w:numPr>
          <w:ilvl w:val="0"/>
          <w:numId w:val="3"/>
        </w:numPr>
        <w:ind w:left="567" w:hanging="425"/>
        <w:jc w:val="both"/>
        <w:rPr>
          <w:rFonts w:ascii="Verdana" w:hAnsi="Verdana"/>
          <w:b/>
          <w:bCs/>
          <w:sz w:val="22"/>
          <w:szCs w:val="22"/>
          <w:lang w:val="en-US"/>
        </w:rPr>
      </w:pPr>
      <w:r w:rsidRPr="00610991">
        <w:rPr>
          <w:rFonts w:ascii="Verdana" w:hAnsi="Verdana"/>
          <w:b/>
          <w:bCs/>
          <w:sz w:val="22"/>
          <w:szCs w:val="22"/>
          <w:lang w:val="en-US"/>
        </w:rPr>
        <w:t>In light of the above, the ICJ invites th</w:t>
      </w:r>
      <w:r w:rsidR="005D3897" w:rsidRPr="00610991">
        <w:rPr>
          <w:rFonts w:ascii="Verdana" w:hAnsi="Verdana"/>
          <w:b/>
          <w:bCs/>
          <w:sz w:val="22"/>
          <w:szCs w:val="22"/>
          <w:lang w:val="en-US"/>
        </w:rPr>
        <w:t>e</w:t>
      </w:r>
      <w:r w:rsidRPr="00610991">
        <w:rPr>
          <w:rFonts w:ascii="Verdana" w:hAnsi="Verdana"/>
          <w:b/>
          <w:bCs/>
          <w:sz w:val="22"/>
          <w:szCs w:val="22"/>
          <w:lang w:val="en-US"/>
        </w:rPr>
        <w:t xml:space="preserve"> Committee to address the following recommendations to the Mexican authorities to ensure that the review and reform processes mentioned in paragraph 1</w:t>
      </w:r>
      <w:r w:rsidR="00584897">
        <w:rPr>
          <w:rFonts w:ascii="Verdana" w:hAnsi="Verdana"/>
          <w:b/>
          <w:bCs/>
          <w:sz w:val="22"/>
          <w:szCs w:val="22"/>
          <w:lang w:val="en-US"/>
        </w:rPr>
        <w:t>4</w:t>
      </w:r>
      <w:r w:rsidRPr="00610991">
        <w:rPr>
          <w:rFonts w:ascii="Verdana" w:hAnsi="Verdana"/>
          <w:b/>
          <w:bCs/>
          <w:sz w:val="22"/>
          <w:szCs w:val="22"/>
          <w:lang w:val="en-US"/>
        </w:rPr>
        <w:t xml:space="preserve"> above </w:t>
      </w:r>
      <w:r w:rsidR="005D3897" w:rsidRPr="00610991">
        <w:rPr>
          <w:rFonts w:ascii="Verdana" w:hAnsi="Verdana"/>
          <w:b/>
          <w:bCs/>
          <w:sz w:val="22"/>
          <w:szCs w:val="22"/>
          <w:lang w:val="en-US"/>
        </w:rPr>
        <w:t>explicitly remedy violations of the Conventions arising from the following:</w:t>
      </w:r>
    </w:p>
    <w:p w14:paraId="7F61E3E8" w14:textId="77777777" w:rsidR="002D6909" w:rsidRPr="00610991" w:rsidRDefault="002D6909" w:rsidP="00943B36">
      <w:pPr>
        <w:pStyle w:val="ListParagraph"/>
        <w:jc w:val="both"/>
        <w:rPr>
          <w:rFonts w:ascii="Verdana" w:hAnsi="Verdana"/>
          <w:b/>
          <w:bCs/>
          <w:sz w:val="22"/>
          <w:szCs w:val="22"/>
          <w:lang w:val="en-US"/>
        </w:rPr>
      </w:pPr>
    </w:p>
    <w:p w14:paraId="6390B3C9" w14:textId="00869074" w:rsidR="002D6909" w:rsidRPr="00610991" w:rsidRDefault="002D6909" w:rsidP="00943B36">
      <w:pPr>
        <w:pStyle w:val="ListParagraph"/>
        <w:numPr>
          <w:ilvl w:val="1"/>
          <w:numId w:val="3"/>
        </w:numPr>
        <w:jc w:val="both"/>
        <w:rPr>
          <w:rFonts w:ascii="Verdana" w:hAnsi="Verdana"/>
          <w:b/>
          <w:bCs/>
          <w:sz w:val="22"/>
          <w:szCs w:val="22"/>
          <w:lang w:val="en-US"/>
        </w:rPr>
      </w:pPr>
      <w:r w:rsidRPr="00610991">
        <w:rPr>
          <w:rFonts w:ascii="Verdana" w:hAnsi="Verdana"/>
          <w:b/>
          <w:bCs/>
          <w:sz w:val="22"/>
          <w:szCs w:val="22"/>
          <w:lang w:val="en-US"/>
        </w:rPr>
        <w:t>non-liability declarations</w:t>
      </w:r>
      <w:r w:rsidR="005D3897" w:rsidRPr="00610991">
        <w:rPr>
          <w:rFonts w:ascii="Verdana" w:hAnsi="Verdana"/>
          <w:b/>
          <w:bCs/>
          <w:sz w:val="22"/>
          <w:szCs w:val="22"/>
          <w:lang w:val="en-US"/>
        </w:rPr>
        <w:t xml:space="preserve"> (</w:t>
      </w:r>
      <w:r w:rsidR="005D3897" w:rsidRPr="00610991">
        <w:rPr>
          <w:rFonts w:ascii="Verdana" w:hAnsi="Verdana"/>
          <w:b/>
          <w:bCs/>
          <w:i/>
          <w:iCs/>
          <w:sz w:val="22"/>
          <w:szCs w:val="22"/>
          <w:lang w:val="en-US"/>
        </w:rPr>
        <w:t xml:space="preserve">declaración de </w:t>
      </w:r>
      <w:r w:rsidR="00610991" w:rsidRPr="00610991">
        <w:rPr>
          <w:rFonts w:ascii="Verdana" w:hAnsi="Verdana"/>
          <w:b/>
          <w:bCs/>
          <w:i/>
          <w:iCs/>
          <w:sz w:val="22"/>
          <w:szCs w:val="22"/>
          <w:lang w:val="en-US"/>
        </w:rPr>
        <w:t xml:space="preserve">inimputabilidad) </w:t>
      </w:r>
      <w:r w:rsidR="00610991" w:rsidRPr="00610991">
        <w:rPr>
          <w:rFonts w:ascii="Verdana" w:hAnsi="Verdana"/>
          <w:b/>
          <w:bCs/>
          <w:sz w:val="22"/>
          <w:szCs w:val="22"/>
          <w:lang w:val="en-US"/>
        </w:rPr>
        <w:t>amounting</w:t>
      </w:r>
      <w:r w:rsidRPr="00610991">
        <w:rPr>
          <w:rFonts w:ascii="Verdana" w:hAnsi="Verdana"/>
          <w:b/>
          <w:bCs/>
          <w:sz w:val="22"/>
          <w:szCs w:val="22"/>
          <w:lang w:val="en-US"/>
        </w:rPr>
        <w:t xml:space="preserve"> to violations of legal capacity;</w:t>
      </w:r>
    </w:p>
    <w:p w14:paraId="6B06ADF1" w14:textId="6B66F669" w:rsidR="002D6909" w:rsidRPr="00610991" w:rsidRDefault="00A74CB3" w:rsidP="00943B36">
      <w:pPr>
        <w:pStyle w:val="ListParagraph"/>
        <w:numPr>
          <w:ilvl w:val="1"/>
          <w:numId w:val="3"/>
        </w:numPr>
        <w:jc w:val="both"/>
        <w:rPr>
          <w:rFonts w:ascii="Verdana" w:hAnsi="Verdana"/>
          <w:b/>
          <w:bCs/>
          <w:sz w:val="22"/>
          <w:szCs w:val="22"/>
          <w:lang w:val="en-US"/>
        </w:rPr>
      </w:pPr>
      <w:r w:rsidRPr="00610991">
        <w:rPr>
          <w:rFonts w:ascii="Verdana" w:hAnsi="Verdana"/>
          <w:b/>
          <w:bCs/>
          <w:sz w:val="22"/>
          <w:szCs w:val="22"/>
          <w:lang w:val="en-US"/>
        </w:rPr>
        <w:t>un</w:t>
      </w:r>
      <w:r w:rsidR="002D6909" w:rsidRPr="00610991">
        <w:rPr>
          <w:rFonts w:ascii="Verdana" w:hAnsi="Verdana"/>
          <w:b/>
          <w:bCs/>
          <w:sz w:val="22"/>
          <w:szCs w:val="22"/>
          <w:lang w:val="en-US"/>
        </w:rPr>
        <w:t>equal access to abbreviated procedure</w:t>
      </w:r>
      <w:r w:rsidRPr="00610991">
        <w:rPr>
          <w:rFonts w:ascii="Verdana" w:hAnsi="Verdana"/>
          <w:b/>
          <w:bCs/>
          <w:sz w:val="22"/>
          <w:szCs w:val="22"/>
          <w:lang w:val="en-US"/>
        </w:rPr>
        <w:t xml:space="preserve"> (</w:t>
      </w:r>
      <w:r w:rsidRPr="00610991">
        <w:rPr>
          <w:rFonts w:ascii="Verdana" w:hAnsi="Verdana"/>
          <w:b/>
          <w:bCs/>
          <w:i/>
          <w:iCs/>
          <w:sz w:val="22"/>
          <w:szCs w:val="22"/>
          <w:lang w:val="en-US"/>
        </w:rPr>
        <w:t>procedimiento abreviado</w:t>
      </w:r>
      <w:r w:rsidRPr="00610991">
        <w:rPr>
          <w:rFonts w:ascii="Verdana" w:hAnsi="Verdana"/>
          <w:b/>
          <w:bCs/>
          <w:sz w:val="22"/>
          <w:szCs w:val="22"/>
          <w:lang w:val="en-US"/>
        </w:rPr>
        <w:t>)</w:t>
      </w:r>
      <w:r w:rsidR="002D6909" w:rsidRPr="00610991">
        <w:rPr>
          <w:rFonts w:ascii="Verdana" w:hAnsi="Verdana"/>
          <w:b/>
          <w:bCs/>
          <w:sz w:val="22"/>
          <w:szCs w:val="22"/>
          <w:lang w:val="en-US"/>
        </w:rPr>
        <w:t xml:space="preserve"> which amount</w:t>
      </w:r>
      <w:r w:rsidRPr="00610991">
        <w:rPr>
          <w:rFonts w:ascii="Verdana" w:hAnsi="Verdana"/>
          <w:b/>
          <w:bCs/>
          <w:sz w:val="22"/>
          <w:szCs w:val="22"/>
          <w:lang w:val="en-US"/>
        </w:rPr>
        <w:t>s</w:t>
      </w:r>
      <w:r w:rsidR="002D6909" w:rsidRPr="00610991">
        <w:rPr>
          <w:rFonts w:ascii="Verdana" w:hAnsi="Verdana"/>
          <w:b/>
          <w:bCs/>
          <w:sz w:val="22"/>
          <w:szCs w:val="22"/>
          <w:lang w:val="en-US"/>
        </w:rPr>
        <w:t xml:space="preserve"> to</w:t>
      </w:r>
      <w:r w:rsidRPr="00610991">
        <w:rPr>
          <w:rFonts w:ascii="Verdana" w:hAnsi="Verdana"/>
          <w:b/>
          <w:bCs/>
          <w:sz w:val="22"/>
          <w:szCs w:val="22"/>
          <w:lang w:val="en-US"/>
        </w:rPr>
        <w:t xml:space="preserve"> a</w:t>
      </w:r>
      <w:r w:rsidR="002D6909" w:rsidRPr="00610991">
        <w:rPr>
          <w:rFonts w:ascii="Verdana" w:hAnsi="Verdana"/>
          <w:b/>
          <w:bCs/>
          <w:sz w:val="22"/>
          <w:szCs w:val="22"/>
          <w:lang w:val="en-US"/>
        </w:rPr>
        <w:t xml:space="preserve"> violation of</w:t>
      </w:r>
      <w:r w:rsidRPr="00610991">
        <w:rPr>
          <w:rFonts w:ascii="Verdana" w:hAnsi="Verdana"/>
          <w:b/>
          <w:bCs/>
          <w:sz w:val="22"/>
          <w:szCs w:val="22"/>
          <w:lang w:val="en-US"/>
        </w:rPr>
        <w:t xml:space="preserve"> the right to</w:t>
      </w:r>
      <w:r w:rsidR="002D6909" w:rsidRPr="00610991">
        <w:rPr>
          <w:rFonts w:ascii="Verdana" w:hAnsi="Verdana"/>
          <w:b/>
          <w:bCs/>
          <w:sz w:val="22"/>
          <w:szCs w:val="22"/>
          <w:lang w:val="en-US"/>
        </w:rPr>
        <w:t xml:space="preserve"> equal protection of the law </w:t>
      </w:r>
      <w:r w:rsidRPr="00610991">
        <w:rPr>
          <w:rFonts w:ascii="Verdana" w:hAnsi="Verdana"/>
          <w:b/>
          <w:bCs/>
          <w:sz w:val="22"/>
          <w:szCs w:val="22"/>
          <w:lang w:val="en-US"/>
        </w:rPr>
        <w:t>without discrimination;</w:t>
      </w:r>
    </w:p>
    <w:p w14:paraId="7A4BE4B1" w14:textId="4A09C8A2" w:rsidR="002D6909" w:rsidRPr="00610991" w:rsidRDefault="00A74CB3" w:rsidP="00943B36">
      <w:pPr>
        <w:pStyle w:val="ListParagraph"/>
        <w:numPr>
          <w:ilvl w:val="1"/>
          <w:numId w:val="3"/>
        </w:numPr>
        <w:jc w:val="both"/>
        <w:rPr>
          <w:rFonts w:ascii="Verdana" w:hAnsi="Verdana"/>
          <w:b/>
          <w:bCs/>
          <w:sz w:val="22"/>
          <w:szCs w:val="22"/>
          <w:lang w:val="en-US"/>
        </w:rPr>
      </w:pPr>
      <w:r w:rsidRPr="00610991">
        <w:rPr>
          <w:rFonts w:ascii="Verdana" w:hAnsi="Verdana"/>
          <w:b/>
          <w:bCs/>
          <w:sz w:val="22"/>
          <w:szCs w:val="22"/>
          <w:lang w:val="en-US"/>
        </w:rPr>
        <w:t>c</w:t>
      </w:r>
      <w:r w:rsidR="002D6909" w:rsidRPr="00610991">
        <w:rPr>
          <w:rFonts w:ascii="Verdana" w:hAnsi="Verdana"/>
          <w:b/>
          <w:bCs/>
          <w:sz w:val="22"/>
          <w:szCs w:val="22"/>
          <w:lang w:val="en-US"/>
        </w:rPr>
        <w:t xml:space="preserve">ustodial security measures </w:t>
      </w:r>
      <w:r w:rsidRPr="00610991">
        <w:rPr>
          <w:rFonts w:ascii="Verdana" w:hAnsi="Verdana"/>
          <w:b/>
          <w:bCs/>
          <w:sz w:val="22"/>
          <w:szCs w:val="22"/>
          <w:lang w:val="en-US"/>
        </w:rPr>
        <w:t>(</w:t>
      </w:r>
      <w:r w:rsidRPr="00610991">
        <w:rPr>
          <w:rFonts w:ascii="Verdana" w:hAnsi="Verdana"/>
          <w:b/>
          <w:bCs/>
          <w:i/>
          <w:iCs/>
          <w:sz w:val="22"/>
          <w:szCs w:val="22"/>
          <w:lang w:val="en-US"/>
        </w:rPr>
        <w:t>medidas de seguridad</w:t>
      </w:r>
      <w:r w:rsidRPr="00610991">
        <w:rPr>
          <w:rFonts w:ascii="Verdana" w:hAnsi="Verdana"/>
          <w:b/>
          <w:bCs/>
          <w:sz w:val="22"/>
          <w:szCs w:val="22"/>
          <w:lang w:val="en-US"/>
        </w:rPr>
        <w:t xml:space="preserve">), </w:t>
      </w:r>
      <w:r w:rsidR="002D6909" w:rsidRPr="00610991">
        <w:rPr>
          <w:rFonts w:ascii="Verdana" w:hAnsi="Verdana"/>
          <w:b/>
          <w:bCs/>
          <w:sz w:val="22"/>
          <w:szCs w:val="22"/>
          <w:lang w:val="en-US"/>
        </w:rPr>
        <w:t>which amount to forced confinement</w:t>
      </w:r>
      <w:r w:rsidRPr="00610991">
        <w:rPr>
          <w:rFonts w:ascii="Verdana" w:hAnsi="Verdana"/>
          <w:b/>
          <w:bCs/>
          <w:sz w:val="22"/>
          <w:szCs w:val="22"/>
          <w:lang w:val="en-US"/>
        </w:rPr>
        <w:t>;</w:t>
      </w:r>
      <w:r w:rsidR="002D6909" w:rsidRPr="00610991">
        <w:rPr>
          <w:rFonts w:ascii="Verdana" w:hAnsi="Verdana"/>
          <w:b/>
          <w:bCs/>
          <w:sz w:val="22"/>
          <w:szCs w:val="22"/>
          <w:lang w:val="en-US"/>
        </w:rPr>
        <w:t xml:space="preserve"> and</w:t>
      </w:r>
    </w:p>
    <w:p w14:paraId="4C915B1A" w14:textId="77777777" w:rsidR="002D6909" w:rsidRPr="00610991" w:rsidRDefault="002D6909" w:rsidP="00943B36">
      <w:pPr>
        <w:pStyle w:val="ListParagraph"/>
        <w:numPr>
          <w:ilvl w:val="1"/>
          <w:numId w:val="3"/>
        </w:numPr>
        <w:jc w:val="both"/>
        <w:rPr>
          <w:rFonts w:ascii="Verdana" w:hAnsi="Verdana"/>
          <w:b/>
          <w:bCs/>
          <w:sz w:val="22"/>
          <w:szCs w:val="22"/>
          <w:lang w:val="en-US"/>
        </w:rPr>
      </w:pPr>
      <w:r w:rsidRPr="00610991">
        <w:rPr>
          <w:rFonts w:ascii="Verdana" w:hAnsi="Verdana"/>
          <w:b/>
          <w:bCs/>
          <w:sz w:val="22"/>
          <w:szCs w:val="22"/>
          <w:lang w:val="en-US"/>
        </w:rPr>
        <w:t>the poor conditions in detention centers which amount to cruel, inhuman or degrading treatment.</w:t>
      </w:r>
    </w:p>
    <w:p w14:paraId="66BD6CFD" w14:textId="7D952092" w:rsidR="007B5438" w:rsidRPr="007B5438" w:rsidRDefault="007B5438" w:rsidP="00943B36">
      <w:pPr>
        <w:pStyle w:val="ListParagraph"/>
        <w:ind w:left="567"/>
        <w:jc w:val="both"/>
        <w:rPr>
          <w:rFonts w:ascii="Verdana" w:hAnsi="Verdana"/>
          <w:sz w:val="22"/>
          <w:szCs w:val="22"/>
          <w:lang w:val="en-US"/>
        </w:rPr>
      </w:pPr>
    </w:p>
    <w:p w14:paraId="2D984959" w14:textId="698491C6" w:rsidR="007B5438" w:rsidRPr="000C7906" w:rsidRDefault="00574D9E" w:rsidP="00943B36">
      <w:pPr>
        <w:jc w:val="both"/>
        <w:rPr>
          <w:rFonts w:ascii="Verdana" w:hAnsi="Verdana"/>
          <w:b/>
          <w:bCs/>
          <w:color w:val="2F5496" w:themeColor="accent1" w:themeShade="BF"/>
          <w:sz w:val="22"/>
          <w:szCs w:val="22"/>
          <w:lang w:val="en-US"/>
        </w:rPr>
      </w:pPr>
      <w:r w:rsidRPr="000C7906">
        <w:rPr>
          <w:rFonts w:ascii="Verdana" w:hAnsi="Verdana"/>
          <w:b/>
          <w:bCs/>
          <w:color w:val="2F5496" w:themeColor="accent1" w:themeShade="BF"/>
          <w:sz w:val="22"/>
          <w:szCs w:val="22"/>
          <w:lang w:val="en-US"/>
        </w:rPr>
        <w:t>Problems with the guardianship system</w:t>
      </w:r>
    </w:p>
    <w:p w14:paraId="3B26FEEA" w14:textId="77777777" w:rsidR="00981BD5" w:rsidRPr="00DA7827" w:rsidRDefault="00981BD5" w:rsidP="00943B36">
      <w:pPr>
        <w:jc w:val="both"/>
        <w:rPr>
          <w:rFonts w:ascii="Verdana" w:hAnsi="Verdana"/>
          <w:sz w:val="22"/>
          <w:szCs w:val="22"/>
          <w:lang w:val="en-US"/>
        </w:rPr>
      </w:pPr>
    </w:p>
    <w:p w14:paraId="07728F9E" w14:textId="42B31E47" w:rsidR="002F266E" w:rsidRPr="008C5677" w:rsidRDefault="00574D9E" w:rsidP="00943B36">
      <w:pPr>
        <w:pStyle w:val="ListParagraph"/>
        <w:numPr>
          <w:ilvl w:val="0"/>
          <w:numId w:val="3"/>
        </w:numPr>
        <w:ind w:left="567" w:hanging="425"/>
        <w:jc w:val="both"/>
        <w:rPr>
          <w:rFonts w:ascii="Verdana" w:hAnsi="Verdana"/>
          <w:sz w:val="22"/>
          <w:szCs w:val="22"/>
          <w:lang w:val="en-US"/>
        </w:rPr>
      </w:pPr>
      <w:r w:rsidRPr="006B7ECD">
        <w:rPr>
          <w:rFonts w:ascii="Verdana" w:hAnsi="Verdana"/>
          <w:sz w:val="22"/>
          <w:szCs w:val="22"/>
          <w:lang w:val="en-US"/>
        </w:rPr>
        <w:lastRenderedPageBreak/>
        <w:t xml:space="preserve">At both federal and </w:t>
      </w:r>
      <w:r w:rsidRPr="008C5677">
        <w:rPr>
          <w:rFonts w:ascii="Verdana" w:hAnsi="Verdana"/>
          <w:sz w:val="22"/>
          <w:szCs w:val="22"/>
          <w:lang w:val="en-US"/>
        </w:rPr>
        <w:t>state levels,</w:t>
      </w:r>
      <w:r w:rsidRPr="008C5677">
        <w:rPr>
          <w:rStyle w:val="FootnoteReference"/>
          <w:rFonts w:ascii="Verdana" w:hAnsi="Verdana"/>
          <w:sz w:val="22"/>
          <w:szCs w:val="22"/>
          <w:lang w:val="en-US"/>
        </w:rPr>
        <w:footnoteReference w:id="23"/>
      </w:r>
      <w:r w:rsidRPr="008C5677">
        <w:rPr>
          <w:rFonts w:ascii="Verdana" w:hAnsi="Verdana"/>
          <w:sz w:val="22"/>
          <w:szCs w:val="22"/>
          <w:lang w:val="en-US"/>
        </w:rPr>
        <w:t xml:space="preserve"> the rules pertaining to guardianship</w:t>
      </w:r>
      <w:r w:rsidRPr="008C5677">
        <w:t xml:space="preserve"> </w:t>
      </w:r>
      <w:r w:rsidRPr="008C5677">
        <w:rPr>
          <w:lang w:val="en-US"/>
        </w:rPr>
        <w:t>(</w:t>
      </w:r>
      <w:r w:rsidRPr="008C5677">
        <w:rPr>
          <w:rFonts w:ascii="Verdana" w:hAnsi="Verdana"/>
          <w:i/>
          <w:iCs/>
          <w:sz w:val="22"/>
          <w:szCs w:val="22"/>
          <w:lang w:val="en-US"/>
        </w:rPr>
        <w:t>régimen de interdicción)</w:t>
      </w:r>
      <w:r w:rsidR="006B7ECD" w:rsidRPr="008C5677">
        <w:rPr>
          <w:rFonts w:ascii="Verdana" w:hAnsi="Verdana"/>
          <w:i/>
          <w:iCs/>
          <w:sz w:val="22"/>
          <w:szCs w:val="22"/>
          <w:lang w:val="en-US"/>
        </w:rPr>
        <w:t xml:space="preserve"> </w:t>
      </w:r>
      <w:r w:rsidRPr="008C5677">
        <w:rPr>
          <w:rFonts w:ascii="Verdana" w:hAnsi="Verdana"/>
          <w:sz w:val="22"/>
          <w:szCs w:val="22"/>
          <w:lang w:val="en-US"/>
        </w:rPr>
        <w:t xml:space="preserve">continue to have a direct impact on the legal capacity of some persons with psychosocial and intellectual disabilities to exercise their rights in legal proceedings. </w:t>
      </w:r>
      <w:r w:rsidR="006B7ECD" w:rsidRPr="008C5677">
        <w:rPr>
          <w:rFonts w:ascii="Verdana" w:hAnsi="Verdana"/>
          <w:sz w:val="22"/>
          <w:szCs w:val="22"/>
          <w:lang w:val="en-US"/>
        </w:rPr>
        <w:t>Although th</w:t>
      </w:r>
      <w:r w:rsidR="00FB6AAF" w:rsidRPr="008C5677">
        <w:rPr>
          <w:rFonts w:ascii="Verdana" w:hAnsi="Verdana"/>
          <w:sz w:val="22"/>
          <w:szCs w:val="22"/>
          <w:lang w:val="en-US"/>
        </w:rPr>
        <w:t>ese</w:t>
      </w:r>
      <w:r w:rsidR="006B7ECD" w:rsidRPr="008C5677">
        <w:rPr>
          <w:rFonts w:ascii="Verdana" w:hAnsi="Verdana"/>
          <w:sz w:val="22"/>
          <w:szCs w:val="22"/>
          <w:lang w:val="en-US"/>
        </w:rPr>
        <w:t xml:space="preserve"> regulation</w:t>
      </w:r>
      <w:r w:rsidR="000C7906">
        <w:rPr>
          <w:rFonts w:ascii="Verdana" w:hAnsi="Verdana"/>
          <w:sz w:val="22"/>
          <w:szCs w:val="22"/>
          <w:lang w:val="en-US"/>
        </w:rPr>
        <w:t>s</w:t>
      </w:r>
      <w:r w:rsidR="006B7ECD" w:rsidRPr="008C5677">
        <w:rPr>
          <w:rFonts w:ascii="Verdana" w:hAnsi="Verdana"/>
          <w:sz w:val="22"/>
          <w:szCs w:val="22"/>
          <w:lang w:val="en-US"/>
        </w:rPr>
        <w:t xml:space="preserve"> focus on civil and family matters,</w:t>
      </w:r>
      <w:r w:rsidR="000C7906">
        <w:rPr>
          <w:rFonts w:ascii="Verdana" w:hAnsi="Verdana"/>
          <w:sz w:val="22"/>
          <w:szCs w:val="22"/>
          <w:lang w:val="en-US"/>
        </w:rPr>
        <w:t xml:space="preserve"> they</w:t>
      </w:r>
      <w:r w:rsidR="006B7ECD" w:rsidRPr="008C5677">
        <w:rPr>
          <w:rFonts w:ascii="Verdana" w:hAnsi="Verdana"/>
          <w:sz w:val="22"/>
          <w:szCs w:val="22"/>
          <w:lang w:val="en-US"/>
        </w:rPr>
        <w:t xml:space="preserve"> </w:t>
      </w:r>
      <w:r w:rsidR="000C7906">
        <w:rPr>
          <w:rFonts w:ascii="Verdana" w:hAnsi="Verdana"/>
          <w:sz w:val="22"/>
          <w:szCs w:val="22"/>
          <w:lang w:val="en-US"/>
        </w:rPr>
        <w:t xml:space="preserve">can still </w:t>
      </w:r>
      <w:r w:rsidR="006B7ECD" w:rsidRPr="008C5677">
        <w:rPr>
          <w:rFonts w:ascii="Verdana" w:hAnsi="Verdana"/>
          <w:sz w:val="22"/>
          <w:szCs w:val="22"/>
          <w:lang w:val="en-US"/>
        </w:rPr>
        <w:t>have a</w:t>
      </w:r>
      <w:r w:rsidR="00FB6AAF" w:rsidRPr="008C5677">
        <w:rPr>
          <w:rFonts w:ascii="Verdana" w:hAnsi="Verdana"/>
          <w:sz w:val="22"/>
          <w:szCs w:val="22"/>
          <w:lang w:val="en-US"/>
        </w:rPr>
        <w:t xml:space="preserve"> negative impact</w:t>
      </w:r>
      <w:r w:rsidR="006B7ECD" w:rsidRPr="008C5677">
        <w:rPr>
          <w:rFonts w:ascii="Verdana" w:hAnsi="Verdana"/>
          <w:sz w:val="22"/>
          <w:szCs w:val="22"/>
          <w:lang w:val="en-US"/>
        </w:rPr>
        <w:t xml:space="preserve"> on the exercise of rights of person with disabilities within a criminal proceeding. </w:t>
      </w:r>
      <w:r w:rsidR="002F266E" w:rsidRPr="008C5677">
        <w:rPr>
          <w:rFonts w:ascii="Verdana" w:hAnsi="Verdana"/>
          <w:sz w:val="22"/>
          <w:szCs w:val="22"/>
          <w:lang w:val="en-US"/>
        </w:rPr>
        <w:t xml:space="preserve">For instance, </w:t>
      </w:r>
      <w:r w:rsidR="000C7906" w:rsidRPr="000C7906">
        <w:rPr>
          <w:rFonts w:ascii="Verdana" w:hAnsi="Verdana"/>
          <w:sz w:val="22"/>
          <w:szCs w:val="22"/>
          <w:lang w:val="en-US"/>
        </w:rPr>
        <w:t xml:space="preserve">pursuant to </w:t>
      </w:r>
      <w:r w:rsidR="002F266E" w:rsidRPr="008C5677">
        <w:rPr>
          <w:rFonts w:ascii="Verdana" w:hAnsi="Verdana"/>
          <w:sz w:val="22"/>
          <w:szCs w:val="22"/>
          <w:lang w:val="en-US"/>
        </w:rPr>
        <w:t>the Federal Civil Code, guardians (</w:t>
      </w:r>
      <w:r w:rsidR="002F266E" w:rsidRPr="008C5677">
        <w:rPr>
          <w:rFonts w:ascii="Verdana" w:hAnsi="Verdana"/>
          <w:i/>
          <w:iCs/>
          <w:sz w:val="22"/>
          <w:szCs w:val="22"/>
          <w:lang w:val="en-US"/>
        </w:rPr>
        <w:t>tutores</w:t>
      </w:r>
      <w:r w:rsidR="002F266E" w:rsidRPr="008C5677">
        <w:rPr>
          <w:rFonts w:ascii="Verdana" w:hAnsi="Verdana"/>
          <w:sz w:val="22"/>
          <w:szCs w:val="22"/>
          <w:lang w:val="en-US"/>
        </w:rPr>
        <w:t>) are in charge of representing the person under the guardianship in trials.</w:t>
      </w:r>
      <w:r w:rsidR="002F266E" w:rsidRPr="008C5677">
        <w:rPr>
          <w:rStyle w:val="FootnoteReference"/>
          <w:rFonts w:ascii="Verdana" w:hAnsi="Verdana"/>
          <w:sz w:val="22"/>
          <w:szCs w:val="22"/>
          <w:lang w:val="en-US"/>
        </w:rPr>
        <w:footnoteReference w:id="24"/>
      </w:r>
      <w:r w:rsidR="002F266E" w:rsidRPr="008C5677">
        <w:rPr>
          <w:rFonts w:ascii="Verdana" w:hAnsi="Verdana"/>
          <w:sz w:val="22"/>
          <w:szCs w:val="22"/>
          <w:lang w:val="en-US"/>
        </w:rPr>
        <w:t xml:space="preserve"> </w:t>
      </w:r>
    </w:p>
    <w:p w14:paraId="569CD92F" w14:textId="77777777" w:rsidR="00981BD5" w:rsidRPr="00DA7827" w:rsidRDefault="00981BD5" w:rsidP="00943B36">
      <w:pPr>
        <w:pStyle w:val="ListParagraph"/>
        <w:ind w:left="709"/>
        <w:jc w:val="both"/>
        <w:rPr>
          <w:rFonts w:ascii="Verdana" w:hAnsi="Verdana"/>
          <w:sz w:val="22"/>
          <w:szCs w:val="22"/>
          <w:lang w:val="en-US"/>
        </w:rPr>
      </w:pPr>
    </w:p>
    <w:p w14:paraId="6F707735" w14:textId="79BB3664" w:rsidR="002F266E" w:rsidRPr="00740336" w:rsidRDefault="00981BD5" w:rsidP="00943B36">
      <w:pPr>
        <w:pStyle w:val="ListParagraph"/>
        <w:numPr>
          <w:ilvl w:val="0"/>
          <w:numId w:val="3"/>
        </w:numPr>
        <w:ind w:left="567" w:hanging="425"/>
        <w:jc w:val="both"/>
        <w:rPr>
          <w:rFonts w:ascii="Verdana" w:hAnsi="Verdana"/>
          <w:sz w:val="22"/>
          <w:szCs w:val="22"/>
          <w:lang w:val="en-US"/>
        </w:rPr>
      </w:pPr>
      <w:r w:rsidRPr="00740336">
        <w:rPr>
          <w:rFonts w:ascii="Verdana" w:hAnsi="Verdana"/>
          <w:sz w:val="22"/>
          <w:szCs w:val="22"/>
          <w:lang w:val="en-US"/>
        </w:rPr>
        <w:t>Simply put, currently operational civil guardianship legislation allows guardians</w:t>
      </w:r>
      <w:r w:rsidR="000C7906" w:rsidRPr="00740336">
        <w:rPr>
          <w:rFonts w:ascii="Verdana" w:hAnsi="Verdana"/>
          <w:sz w:val="22"/>
          <w:szCs w:val="22"/>
          <w:lang w:val="en-US"/>
        </w:rPr>
        <w:t xml:space="preserve"> to</w:t>
      </w:r>
      <w:r w:rsidRPr="00740336">
        <w:rPr>
          <w:rFonts w:ascii="Verdana" w:hAnsi="Verdana"/>
          <w:sz w:val="22"/>
          <w:szCs w:val="22"/>
          <w:lang w:val="en-US"/>
        </w:rPr>
        <w:t xml:space="preserve"> make decisions on behalf of persons with disability, including how and when</w:t>
      </w:r>
      <w:r w:rsidR="00740336" w:rsidRPr="00740336">
        <w:rPr>
          <w:rFonts w:ascii="Verdana" w:hAnsi="Verdana"/>
          <w:sz w:val="22"/>
          <w:szCs w:val="22"/>
          <w:lang w:val="en-US"/>
        </w:rPr>
        <w:t xml:space="preserve"> to report a crime committed against them </w:t>
      </w:r>
      <w:r w:rsidRPr="00740336">
        <w:rPr>
          <w:rFonts w:ascii="Verdana" w:hAnsi="Verdana"/>
          <w:sz w:val="22"/>
          <w:szCs w:val="22"/>
          <w:lang w:val="en-US"/>
        </w:rPr>
        <w:t>and the nature of legal defen</w:t>
      </w:r>
      <w:r w:rsidR="000C7906" w:rsidRPr="00740336">
        <w:rPr>
          <w:rFonts w:ascii="Verdana" w:hAnsi="Verdana"/>
          <w:sz w:val="22"/>
          <w:szCs w:val="22"/>
          <w:lang w:val="en-US"/>
        </w:rPr>
        <w:t>c</w:t>
      </w:r>
      <w:r w:rsidRPr="00740336">
        <w:rPr>
          <w:rFonts w:ascii="Verdana" w:hAnsi="Verdana"/>
          <w:sz w:val="22"/>
          <w:szCs w:val="22"/>
          <w:lang w:val="en-US"/>
        </w:rPr>
        <w:t xml:space="preserve">e strategy when </w:t>
      </w:r>
      <w:r w:rsidR="000C7906" w:rsidRPr="00740336">
        <w:rPr>
          <w:rFonts w:ascii="Verdana" w:hAnsi="Verdana"/>
          <w:sz w:val="22"/>
          <w:szCs w:val="22"/>
          <w:lang w:val="en-US"/>
        </w:rPr>
        <w:t>such persons</w:t>
      </w:r>
      <w:r w:rsidRPr="00740336">
        <w:rPr>
          <w:rFonts w:ascii="Verdana" w:hAnsi="Verdana"/>
          <w:sz w:val="22"/>
          <w:szCs w:val="22"/>
          <w:lang w:val="en-US"/>
        </w:rPr>
        <w:t xml:space="preserve"> are accused of committing a crime. </w:t>
      </w:r>
    </w:p>
    <w:p w14:paraId="5E888C29" w14:textId="77777777" w:rsidR="002F266E" w:rsidRDefault="002F266E" w:rsidP="00943B36">
      <w:pPr>
        <w:pStyle w:val="ListParagraph"/>
        <w:ind w:left="567"/>
        <w:jc w:val="both"/>
        <w:rPr>
          <w:rFonts w:ascii="Verdana" w:hAnsi="Verdana"/>
          <w:sz w:val="22"/>
          <w:szCs w:val="22"/>
          <w:lang w:val="en-US"/>
        </w:rPr>
      </w:pPr>
    </w:p>
    <w:p w14:paraId="305B5AE5" w14:textId="679AAAC2" w:rsidR="00A278DE" w:rsidRDefault="000C7906" w:rsidP="00943B36">
      <w:pPr>
        <w:pStyle w:val="ListParagraph"/>
        <w:numPr>
          <w:ilvl w:val="0"/>
          <w:numId w:val="3"/>
        </w:numPr>
        <w:ind w:left="567" w:hanging="425"/>
        <w:jc w:val="both"/>
        <w:rPr>
          <w:rFonts w:ascii="Verdana" w:hAnsi="Verdana"/>
          <w:sz w:val="22"/>
          <w:szCs w:val="22"/>
          <w:lang w:val="en-US"/>
        </w:rPr>
      </w:pPr>
      <w:r w:rsidRPr="000C7906">
        <w:rPr>
          <w:rFonts w:ascii="Verdana" w:hAnsi="Verdana"/>
          <w:sz w:val="22"/>
          <w:szCs w:val="22"/>
          <w:lang w:val="en-US"/>
        </w:rPr>
        <w:t>A</w:t>
      </w:r>
      <w:r w:rsidR="007219EF" w:rsidRPr="000C7906">
        <w:rPr>
          <w:rFonts w:ascii="Verdana" w:hAnsi="Verdana"/>
          <w:sz w:val="22"/>
          <w:szCs w:val="22"/>
          <w:lang w:val="en-US"/>
        </w:rPr>
        <w:t xml:space="preserve"> bill to create a new national civil procedure code (</w:t>
      </w:r>
      <w:r w:rsidR="007219EF" w:rsidRPr="000C7906">
        <w:rPr>
          <w:rFonts w:ascii="Verdana" w:hAnsi="Verdana"/>
          <w:i/>
          <w:iCs/>
          <w:sz w:val="22"/>
          <w:szCs w:val="22"/>
          <w:lang w:val="en-US"/>
        </w:rPr>
        <w:t>Código Nacional de Procedimientos Civiles y Familiares</w:t>
      </w:r>
      <w:r w:rsidR="007219EF" w:rsidRPr="000C7906">
        <w:rPr>
          <w:rFonts w:ascii="Verdana" w:hAnsi="Verdana"/>
          <w:sz w:val="22"/>
          <w:szCs w:val="22"/>
          <w:lang w:val="en-US"/>
        </w:rPr>
        <w:t>)</w:t>
      </w:r>
      <w:r w:rsidRPr="000C7906">
        <w:rPr>
          <w:rFonts w:ascii="Verdana" w:hAnsi="Verdana"/>
          <w:sz w:val="22"/>
          <w:szCs w:val="22"/>
          <w:lang w:val="en-US"/>
        </w:rPr>
        <w:t xml:space="preserve"> is </w:t>
      </w:r>
      <w:r>
        <w:rPr>
          <w:rFonts w:ascii="Verdana" w:hAnsi="Verdana"/>
          <w:sz w:val="22"/>
          <w:szCs w:val="22"/>
          <w:lang w:val="en-US"/>
        </w:rPr>
        <w:t>currently under consideration</w:t>
      </w:r>
      <w:r w:rsidR="007219EF" w:rsidRPr="000C7906">
        <w:rPr>
          <w:rFonts w:ascii="Verdana" w:hAnsi="Verdana"/>
          <w:sz w:val="22"/>
          <w:szCs w:val="22"/>
          <w:lang w:val="en-US"/>
        </w:rPr>
        <w:t xml:space="preserve">. </w:t>
      </w:r>
      <w:r w:rsidR="007219EF" w:rsidRPr="007219EF">
        <w:rPr>
          <w:rFonts w:ascii="Verdana" w:hAnsi="Verdana"/>
          <w:sz w:val="22"/>
          <w:szCs w:val="22"/>
          <w:lang w:val="en-US"/>
        </w:rPr>
        <w:t xml:space="preserve">The current version of the bill has a chapter on “accessibility, adjustments, support and safeguards </w:t>
      </w:r>
      <w:r>
        <w:rPr>
          <w:rFonts w:ascii="Verdana" w:hAnsi="Verdana"/>
          <w:sz w:val="22"/>
          <w:szCs w:val="22"/>
          <w:lang w:val="en-US"/>
        </w:rPr>
        <w:t>for</w:t>
      </w:r>
      <w:r w:rsidR="007219EF" w:rsidRPr="007219EF">
        <w:rPr>
          <w:rFonts w:ascii="Verdana" w:hAnsi="Verdana"/>
          <w:sz w:val="22"/>
          <w:szCs w:val="22"/>
          <w:lang w:val="en-US"/>
        </w:rPr>
        <w:t xml:space="preserve"> people with disabilities for their assistance or representation in the exercise of their legal capacity” (</w:t>
      </w:r>
      <w:r w:rsidR="007219EF" w:rsidRPr="007219EF">
        <w:rPr>
          <w:rFonts w:ascii="Verdana" w:hAnsi="Verdana"/>
          <w:i/>
          <w:iCs/>
          <w:sz w:val="22"/>
          <w:szCs w:val="22"/>
          <w:lang w:val="en-US"/>
        </w:rPr>
        <w:t>Accesibilidad, ajustes, apoyos y salvaguardias a personas en situación de discapacidad para su asistencia o representación en el ejercicio de su capacidad jurídica</w:t>
      </w:r>
      <w:r w:rsidR="007219EF" w:rsidRPr="007219EF">
        <w:rPr>
          <w:rFonts w:ascii="Verdana" w:hAnsi="Verdana"/>
          <w:sz w:val="22"/>
          <w:szCs w:val="22"/>
          <w:lang w:val="en-US"/>
        </w:rPr>
        <w:t>).</w:t>
      </w:r>
      <w:r w:rsidR="007219EF" w:rsidRPr="007219EF">
        <w:rPr>
          <w:rFonts w:ascii="Verdana" w:hAnsi="Verdana"/>
          <w:sz w:val="22"/>
          <w:szCs w:val="22"/>
          <w:vertAlign w:val="superscript"/>
          <w:lang w:val="en-US"/>
        </w:rPr>
        <w:footnoteReference w:id="25"/>
      </w:r>
      <w:r w:rsidR="007219EF" w:rsidRPr="007219EF">
        <w:rPr>
          <w:rFonts w:ascii="Verdana" w:hAnsi="Verdana"/>
          <w:sz w:val="22"/>
          <w:szCs w:val="22"/>
          <w:lang w:val="en-US"/>
        </w:rPr>
        <w:t xml:space="preserve"> However, the </w:t>
      </w:r>
      <w:r>
        <w:rPr>
          <w:rFonts w:ascii="Verdana" w:hAnsi="Verdana"/>
          <w:sz w:val="22"/>
          <w:szCs w:val="22"/>
          <w:lang w:val="en-US"/>
        </w:rPr>
        <w:t>provisions</w:t>
      </w:r>
      <w:r w:rsidR="007219EF" w:rsidRPr="007219EF">
        <w:rPr>
          <w:rFonts w:ascii="Verdana" w:hAnsi="Verdana"/>
          <w:sz w:val="22"/>
          <w:szCs w:val="22"/>
          <w:lang w:val="en-US"/>
        </w:rPr>
        <w:t xml:space="preserve"> of </w:t>
      </w:r>
      <w:r w:rsidR="00C028D1">
        <w:rPr>
          <w:rFonts w:ascii="Verdana" w:hAnsi="Verdana"/>
          <w:sz w:val="22"/>
          <w:szCs w:val="22"/>
          <w:lang w:val="en-US"/>
        </w:rPr>
        <w:t>this</w:t>
      </w:r>
      <w:r w:rsidR="007219EF" w:rsidRPr="007219EF">
        <w:rPr>
          <w:rFonts w:ascii="Verdana" w:hAnsi="Verdana"/>
          <w:sz w:val="22"/>
          <w:szCs w:val="22"/>
          <w:lang w:val="en-US"/>
        </w:rPr>
        <w:t xml:space="preserve"> chapter do not recognize full legal capacity for people with disabilities on an equal </w:t>
      </w:r>
      <w:r w:rsidR="000D4C80">
        <w:rPr>
          <w:rFonts w:ascii="Verdana" w:hAnsi="Verdana"/>
          <w:sz w:val="22"/>
          <w:szCs w:val="22"/>
          <w:lang w:val="en-US"/>
        </w:rPr>
        <w:t>basis</w:t>
      </w:r>
      <w:r w:rsidR="007219EF" w:rsidRPr="007219EF">
        <w:rPr>
          <w:rFonts w:ascii="Verdana" w:hAnsi="Verdana"/>
          <w:sz w:val="22"/>
          <w:szCs w:val="22"/>
          <w:lang w:val="en-US"/>
        </w:rPr>
        <w:t xml:space="preserve"> with others, as required by article 12 of the Convention. </w:t>
      </w:r>
    </w:p>
    <w:p w14:paraId="3BBAD0D1" w14:textId="77777777" w:rsidR="00A278DE" w:rsidRPr="00A278DE" w:rsidRDefault="00A278DE" w:rsidP="00943B36">
      <w:pPr>
        <w:pStyle w:val="ListParagraph"/>
        <w:jc w:val="both"/>
        <w:rPr>
          <w:rFonts w:ascii="Verdana" w:hAnsi="Verdana"/>
          <w:sz w:val="22"/>
          <w:szCs w:val="22"/>
          <w:lang w:val="en-US"/>
        </w:rPr>
      </w:pPr>
    </w:p>
    <w:p w14:paraId="792F65DA" w14:textId="7EA08512" w:rsidR="007219EF" w:rsidRPr="007219EF" w:rsidRDefault="007219EF" w:rsidP="00943B36">
      <w:pPr>
        <w:pStyle w:val="ListParagraph"/>
        <w:numPr>
          <w:ilvl w:val="0"/>
          <w:numId w:val="3"/>
        </w:numPr>
        <w:ind w:left="567" w:hanging="425"/>
        <w:jc w:val="both"/>
        <w:rPr>
          <w:rFonts w:ascii="Verdana" w:hAnsi="Verdana"/>
          <w:sz w:val="22"/>
          <w:szCs w:val="22"/>
          <w:lang w:val="en-US"/>
        </w:rPr>
      </w:pPr>
      <w:r w:rsidRPr="00C55BC4">
        <w:rPr>
          <w:rFonts w:ascii="Verdana" w:hAnsi="Verdana"/>
          <w:sz w:val="22"/>
          <w:szCs w:val="22"/>
          <w:lang w:val="en-US"/>
        </w:rPr>
        <w:lastRenderedPageBreak/>
        <w:t xml:space="preserve">As recently stated by numerous human rights organizations, disability rights activists and experts, including ex-members and members of the </w:t>
      </w:r>
      <w:r w:rsidR="00C028D1">
        <w:rPr>
          <w:rFonts w:ascii="Verdana" w:hAnsi="Verdana"/>
          <w:sz w:val="22"/>
          <w:szCs w:val="22"/>
          <w:lang w:val="en-US"/>
        </w:rPr>
        <w:t xml:space="preserve">CRPD </w:t>
      </w:r>
      <w:r w:rsidRPr="00C55BC4">
        <w:rPr>
          <w:rFonts w:ascii="Verdana" w:hAnsi="Verdana"/>
          <w:sz w:val="22"/>
          <w:szCs w:val="22"/>
          <w:lang w:val="en-US"/>
        </w:rPr>
        <w:t>Committee, the system established in the bill</w:t>
      </w:r>
      <w:r w:rsidR="00C55BC4" w:rsidRPr="00C55BC4">
        <w:rPr>
          <w:rFonts w:ascii="Verdana" w:hAnsi="Verdana"/>
          <w:sz w:val="22"/>
          <w:szCs w:val="22"/>
          <w:lang w:val="en-US"/>
        </w:rPr>
        <w:t xml:space="preserve"> “is not a genuine supported decision-making system, whereby a person retains autonomy to make decisions themselves, with support as necessary. Instead, it replicates a substitute-decision making system, or guardianship, in violation of Mexico’s international human rights obligations and in contradiction of Mexico’s constitutional court rulings</w:t>
      </w:r>
      <w:r w:rsidRPr="00C55BC4">
        <w:rPr>
          <w:rFonts w:ascii="Verdana" w:hAnsi="Verdana"/>
          <w:sz w:val="22"/>
          <w:szCs w:val="22"/>
          <w:lang w:val="en-US"/>
        </w:rPr>
        <w:t>”.</w:t>
      </w:r>
      <w:r w:rsidRPr="007219EF">
        <w:rPr>
          <w:rFonts w:ascii="Verdana" w:hAnsi="Verdana"/>
          <w:sz w:val="22"/>
          <w:szCs w:val="22"/>
          <w:vertAlign w:val="superscript"/>
          <w:lang w:val="en-US"/>
        </w:rPr>
        <w:footnoteReference w:id="26"/>
      </w:r>
      <w:r w:rsidRPr="00C55BC4">
        <w:rPr>
          <w:rFonts w:ascii="Verdana" w:hAnsi="Verdana"/>
          <w:sz w:val="22"/>
          <w:szCs w:val="22"/>
          <w:lang w:val="en-US"/>
        </w:rPr>
        <w:t xml:space="preserve"> In addition, </w:t>
      </w:r>
      <w:r w:rsidR="00740336">
        <w:rPr>
          <w:rFonts w:ascii="Verdana" w:hAnsi="Verdana"/>
          <w:sz w:val="22"/>
          <w:szCs w:val="22"/>
          <w:lang w:val="en-US"/>
        </w:rPr>
        <w:t xml:space="preserve">no </w:t>
      </w:r>
      <w:r w:rsidRPr="00C55BC4">
        <w:rPr>
          <w:rFonts w:ascii="Verdana" w:hAnsi="Verdana"/>
          <w:sz w:val="22"/>
          <w:szCs w:val="22"/>
          <w:lang w:val="en-US"/>
        </w:rPr>
        <w:t xml:space="preserve">consultation process with persons with disabilities and organizations representing </w:t>
      </w:r>
      <w:r w:rsidR="00C55BC4">
        <w:rPr>
          <w:rFonts w:ascii="Verdana" w:hAnsi="Verdana"/>
          <w:sz w:val="22"/>
          <w:szCs w:val="22"/>
          <w:lang w:val="en-US"/>
        </w:rPr>
        <w:t>them</w:t>
      </w:r>
      <w:r w:rsidR="00740336">
        <w:rPr>
          <w:rFonts w:ascii="Verdana" w:hAnsi="Verdana"/>
          <w:sz w:val="22"/>
          <w:szCs w:val="22"/>
          <w:lang w:val="en-US"/>
        </w:rPr>
        <w:t xml:space="preserve"> </w:t>
      </w:r>
      <w:r w:rsidR="00740336" w:rsidRPr="00740336">
        <w:rPr>
          <w:rFonts w:ascii="Verdana" w:hAnsi="Verdana"/>
          <w:sz w:val="22"/>
          <w:szCs w:val="22"/>
          <w:lang w:val="en-US"/>
        </w:rPr>
        <w:t>about it has taken place thus far</w:t>
      </w:r>
      <w:r w:rsidRPr="00C55BC4">
        <w:rPr>
          <w:rFonts w:ascii="Verdana" w:hAnsi="Verdana"/>
          <w:sz w:val="22"/>
          <w:szCs w:val="22"/>
          <w:lang w:val="en-US"/>
        </w:rPr>
        <w:t>.</w:t>
      </w:r>
    </w:p>
    <w:p w14:paraId="1122802C" w14:textId="77777777" w:rsidR="002D71FC" w:rsidRPr="00DA7827" w:rsidRDefault="002D71FC" w:rsidP="00943B36">
      <w:pPr>
        <w:jc w:val="both"/>
        <w:rPr>
          <w:rFonts w:ascii="Verdana" w:hAnsi="Verdana"/>
          <w:sz w:val="22"/>
          <w:szCs w:val="22"/>
          <w:lang w:val="en-US"/>
        </w:rPr>
      </w:pPr>
    </w:p>
    <w:p w14:paraId="64D32926" w14:textId="1AA25D5B" w:rsidR="007219EF" w:rsidRDefault="007219EF" w:rsidP="00943B36">
      <w:pPr>
        <w:pStyle w:val="ListParagraph"/>
        <w:numPr>
          <w:ilvl w:val="0"/>
          <w:numId w:val="3"/>
        </w:numPr>
        <w:ind w:left="567" w:hanging="425"/>
        <w:jc w:val="both"/>
        <w:rPr>
          <w:rFonts w:ascii="Verdana" w:hAnsi="Verdana"/>
          <w:b/>
          <w:bCs/>
          <w:sz w:val="22"/>
          <w:szCs w:val="22"/>
          <w:lang w:val="en-US"/>
        </w:rPr>
      </w:pPr>
      <w:r w:rsidRPr="00C60AC3">
        <w:rPr>
          <w:rFonts w:ascii="Verdana" w:hAnsi="Verdana"/>
          <w:b/>
          <w:bCs/>
          <w:sz w:val="22"/>
          <w:szCs w:val="22"/>
          <w:lang w:val="en-US"/>
        </w:rPr>
        <w:t>In light of the above, the ICJ invites th</w:t>
      </w:r>
      <w:r w:rsidR="00740336">
        <w:rPr>
          <w:rFonts w:ascii="Verdana" w:hAnsi="Verdana"/>
          <w:b/>
          <w:bCs/>
          <w:sz w:val="22"/>
          <w:szCs w:val="22"/>
          <w:lang w:val="en-US"/>
        </w:rPr>
        <w:t>e</w:t>
      </w:r>
      <w:r w:rsidRPr="00C60AC3">
        <w:rPr>
          <w:rFonts w:ascii="Verdana" w:hAnsi="Verdana"/>
          <w:b/>
          <w:bCs/>
          <w:sz w:val="22"/>
          <w:szCs w:val="22"/>
          <w:lang w:val="en-US"/>
        </w:rPr>
        <w:t xml:space="preserve"> Committee to address the following recommendations to the Mexican authorities</w:t>
      </w:r>
      <w:r>
        <w:rPr>
          <w:rFonts w:ascii="Verdana" w:hAnsi="Verdana"/>
          <w:b/>
          <w:bCs/>
          <w:sz w:val="22"/>
          <w:szCs w:val="22"/>
          <w:lang w:val="en-US"/>
        </w:rPr>
        <w:t>:</w:t>
      </w:r>
    </w:p>
    <w:p w14:paraId="72B91797" w14:textId="77777777" w:rsidR="007219EF" w:rsidRPr="007219EF" w:rsidRDefault="007219EF" w:rsidP="00943B36">
      <w:pPr>
        <w:pStyle w:val="ListParagraph"/>
        <w:jc w:val="both"/>
        <w:rPr>
          <w:rFonts w:ascii="Verdana" w:hAnsi="Verdana"/>
          <w:b/>
          <w:bCs/>
          <w:sz w:val="22"/>
          <w:szCs w:val="22"/>
          <w:lang w:val="en-US"/>
        </w:rPr>
      </w:pPr>
    </w:p>
    <w:p w14:paraId="61B187F1" w14:textId="0F0A120D" w:rsidR="007219EF" w:rsidRPr="00417BD0" w:rsidRDefault="007219EF" w:rsidP="00943B36">
      <w:pPr>
        <w:pStyle w:val="ListParagraph"/>
        <w:numPr>
          <w:ilvl w:val="1"/>
          <w:numId w:val="3"/>
        </w:numPr>
        <w:jc w:val="both"/>
        <w:rPr>
          <w:rFonts w:ascii="Verdana" w:hAnsi="Verdana"/>
          <w:b/>
          <w:bCs/>
          <w:sz w:val="22"/>
          <w:szCs w:val="22"/>
          <w:lang w:val="en-US"/>
        </w:rPr>
      </w:pPr>
      <w:r w:rsidRPr="00417BD0">
        <w:rPr>
          <w:rFonts w:ascii="Verdana" w:hAnsi="Verdana"/>
          <w:b/>
          <w:bCs/>
          <w:sz w:val="22"/>
          <w:szCs w:val="22"/>
          <w:lang w:val="en-US"/>
        </w:rPr>
        <w:t xml:space="preserve">modify </w:t>
      </w:r>
      <w:r w:rsidR="00417BD0" w:rsidRPr="00417BD0">
        <w:rPr>
          <w:rFonts w:ascii="Verdana" w:hAnsi="Verdana"/>
          <w:b/>
          <w:bCs/>
          <w:sz w:val="22"/>
          <w:szCs w:val="22"/>
          <w:lang w:val="en-US"/>
        </w:rPr>
        <w:t xml:space="preserve">the current </w:t>
      </w:r>
      <w:r w:rsidR="00BD4501">
        <w:rPr>
          <w:rFonts w:ascii="Verdana" w:hAnsi="Verdana"/>
          <w:b/>
          <w:bCs/>
          <w:sz w:val="22"/>
          <w:szCs w:val="22"/>
          <w:lang w:val="en-US"/>
        </w:rPr>
        <w:t>provisions</w:t>
      </w:r>
      <w:r w:rsidR="00417BD0" w:rsidRPr="00417BD0">
        <w:rPr>
          <w:rFonts w:ascii="Verdana" w:hAnsi="Verdana"/>
          <w:b/>
          <w:bCs/>
          <w:sz w:val="22"/>
          <w:szCs w:val="22"/>
          <w:lang w:val="en-US"/>
        </w:rPr>
        <w:t xml:space="preserve"> on legal capacity of persons with disabilities in </w:t>
      </w:r>
      <w:r w:rsidRPr="00417BD0">
        <w:rPr>
          <w:rFonts w:ascii="Verdana" w:hAnsi="Verdana"/>
          <w:b/>
          <w:bCs/>
          <w:sz w:val="22"/>
          <w:szCs w:val="22"/>
          <w:lang w:val="en-US"/>
        </w:rPr>
        <w:t>the bill to create a new national civil procedure</w:t>
      </w:r>
      <w:r w:rsidR="00063DEC" w:rsidRPr="00417BD0">
        <w:rPr>
          <w:rFonts w:ascii="Verdana" w:hAnsi="Verdana"/>
          <w:b/>
          <w:bCs/>
          <w:sz w:val="22"/>
          <w:szCs w:val="22"/>
          <w:lang w:val="en-US"/>
        </w:rPr>
        <w:t xml:space="preserve">. </w:t>
      </w:r>
      <w:r w:rsidR="00417BD0" w:rsidRPr="00417BD0">
        <w:rPr>
          <w:rFonts w:ascii="Verdana" w:hAnsi="Verdana"/>
          <w:b/>
          <w:bCs/>
          <w:sz w:val="22"/>
          <w:szCs w:val="22"/>
          <w:lang w:val="en-US"/>
        </w:rPr>
        <w:t xml:space="preserve">New </w:t>
      </w:r>
      <w:r w:rsidR="00BD4501">
        <w:rPr>
          <w:rFonts w:ascii="Verdana" w:hAnsi="Verdana"/>
          <w:b/>
          <w:bCs/>
          <w:sz w:val="22"/>
          <w:szCs w:val="22"/>
          <w:lang w:val="en-US"/>
        </w:rPr>
        <w:t>provisions</w:t>
      </w:r>
      <w:r w:rsidR="00417BD0" w:rsidRPr="00417BD0">
        <w:rPr>
          <w:rFonts w:ascii="Verdana" w:hAnsi="Verdana"/>
          <w:b/>
          <w:bCs/>
          <w:sz w:val="22"/>
          <w:szCs w:val="22"/>
          <w:lang w:val="en-US"/>
        </w:rPr>
        <w:t xml:space="preserve"> on the </w:t>
      </w:r>
      <w:r w:rsidR="00063DEC" w:rsidRPr="00417BD0">
        <w:rPr>
          <w:rFonts w:ascii="Verdana" w:hAnsi="Verdana"/>
          <w:b/>
          <w:bCs/>
          <w:sz w:val="22"/>
          <w:szCs w:val="22"/>
          <w:lang w:val="en-US"/>
        </w:rPr>
        <w:t>bill should establish a genuine support</w:t>
      </w:r>
      <w:r w:rsidR="00BD4501">
        <w:rPr>
          <w:rFonts w:ascii="Verdana" w:hAnsi="Verdana"/>
          <w:b/>
          <w:bCs/>
          <w:sz w:val="22"/>
          <w:szCs w:val="22"/>
          <w:lang w:val="en-US"/>
        </w:rPr>
        <w:t>ed</w:t>
      </w:r>
      <w:r w:rsidR="00063DEC" w:rsidRPr="00417BD0">
        <w:rPr>
          <w:rFonts w:ascii="Verdana" w:hAnsi="Verdana"/>
          <w:b/>
          <w:bCs/>
          <w:sz w:val="22"/>
          <w:szCs w:val="22"/>
          <w:lang w:val="en-US"/>
        </w:rPr>
        <w:t xml:space="preserve"> </w:t>
      </w:r>
      <w:r w:rsidR="00BD4501" w:rsidRPr="00417BD0">
        <w:rPr>
          <w:rFonts w:ascii="Verdana" w:hAnsi="Verdana"/>
          <w:b/>
          <w:bCs/>
          <w:sz w:val="22"/>
          <w:szCs w:val="22"/>
          <w:lang w:val="en-US"/>
        </w:rPr>
        <w:t>decision-making</w:t>
      </w:r>
      <w:r w:rsidR="00BD4501">
        <w:rPr>
          <w:rFonts w:ascii="Verdana" w:hAnsi="Verdana"/>
          <w:b/>
          <w:bCs/>
          <w:sz w:val="22"/>
          <w:szCs w:val="22"/>
          <w:lang w:val="en-US"/>
        </w:rPr>
        <w:t xml:space="preserve"> system</w:t>
      </w:r>
      <w:r w:rsidR="00063DEC" w:rsidRPr="00417BD0">
        <w:rPr>
          <w:rFonts w:ascii="Verdana" w:hAnsi="Verdana"/>
          <w:b/>
          <w:bCs/>
          <w:sz w:val="22"/>
          <w:szCs w:val="22"/>
          <w:lang w:val="en-US"/>
        </w:rPr>
        <w:t>. That is</w:t>
      </w:r>
      <w:r w:rsidR="00417BD0">
        <w:rPr>
          <w:rFonts w:ascii="Verdana" w:hAnsi="Verdana"/>
          <w:b/>
          <w:bCs/>
          <w:sz w:val="22"/>
          <w:szCs w:val="22"/>
          <w:lang w:val="en-US"/>
        </w:rPr>
        <w:t>,</w:t>
      </w:r>
      <w:r w:rsidR="00063DEC" w:rsidRPr="00417BD0">
        <w:rPr>
          <w:rFonts w:ascii="Verdana" w:hAnsi="Verdana"/>
          <w:b/>
          <w:bCs/>
          <w:sz w:val="22"/>
          <w:szCs w:val="22"/>
          <w:lang w:val="en-US"/>
        </w:rPr>
        <w:t xml:space="preserve"> a system that upholds the will and preferences of persons with disabilities.</w:t>
      </w:r>
    </w:p>
    <w:p w14:paraId="0FB04D03" w14:textId="5529A46E" w:rsidR="00063DEC" w:rsidRPr="00C60AC3" w:rsidRDefault="00063DEC" w:rsidP="00943B36">
      <w:pPr>
        <w:pStyle w:val="ListParagraph"/>
        <w:numPr>
          <w:ilvl w:val="1"/>
          <w:numId w:val="3"/>
        </w:numPr>
        <w:jc w:val="both"/>
        <w:rPr>
          <w:rFonts w:ascii="Verdana" w:hAnsi="Verdana"/>
          <w:b/>
          <w:bCs/>
          <w:sz w:val="22"/>
          <w:szCs w:val="22"/>
          <w:lang w:val="en-US"/>
        </w:rPr>
      </w:pPr>
      <w:r w:rsidRPr="00C60AC3">
        <w:rPr>
          <w:rFonts w:ascii="Verdana" w:hAnsi="Verdana"/>
          <w:b/>
          <w:bCs/>
          <w:sz w:val="22"/>
          <w:szCs w:val="22"/>
          <w:lang w:val="en-US"/>
        </w:rPr>
        <w:t>immediately undertake a full review of</w:t>
      </w:r>
      <w:r>
        <w:rPr>
          <w:rFonts w:ascii="Verdana" w:hAnsi="Verdana"/>
          <w:b/>
          <w:bCs/>
          <w:sz w:val="22"/>
          <w:szCs w:val="22"/>
          <w:lang w:val="en-US"/>
        </w:rPr>
        <w:t xml:space="preserve"> the c</w:t>
      </w:r>
      <w:r w:rsidR="00417BD0">
        <w:rPr>
          <w:rFonts w:ascii="Verdana" w:hAnsi="Verdana"/>
          <w:b/>
          <w:bCs/>
          <w:sz w:val="22"/>
          <w:szCs w:val="22"/>
          <w:lang w:val="en-US"/>
        </w:rPr>
        <w:t>ivil</w:t>
      </w:r>
      <w:r>
        <w:rPr>
          <w:rFonts w:ascii="Verdana" w:hAnsi="Verdana"/>
          <w:b/>
          <w:bCs/>
          <w:sz w:val="22"/>
          <w:szCs w:val="22"/>
          <w:lang w:val="en-US"/>
        </w:rPr>
        <w:t xml:space="preserve"> law </w:t>
      </w:r>
      <w:r w:rsidRPr="00C60AC3">
        <w:rPr>
          <w:rFonts w:ascii="Verdana" w:hAnsi="Verdana"/>
          <w:b/>
          <w:bCs/>
          <w:sz w:val="22"/>
          <w:szCs w:val="22"/>
          <w:lang w:val="en-US"/>
        </w:rPr>
        <w:t>legislation and policies pertaining to legal capacity</w:t>
      </w:r>
      <w:r w:rsidR="00417BD0">
        <w:rPr>
          <w:rFonts w:ascii="Verdana" w:hAnsi="Verdana"/>
          <w:b/>
          <w:bCs/>
          <w:sz w:val="22"/>
          <w:szCs w:val="22"/>
          <w:lang w:val="en-US"/>
        </w:rPr>
        <w:t>.</w:t>
      </w:r>
    </w:p>
    <w:p w14:paraId="42D565D4" w14:textId="11304D2B" w:rsidR="00063DEC" w:rsidRPr="001C38B1" w:rsidRDefault="00063DEC" w:rsidP="00943B36">
      <w:pPr>
        <w:pStyle w:val="ListParagraph"/>
        <w:numPr>
          <w:ilvl w:val="1"/>
          <w:numId w:val="3"/>
        </w:numPr>
        <w:jc w:val="both"/>
        <w:rPr>
          <w:rFonts w:ascii="Verdana" w:hAnsi="Verdana"/>
          <w:b/>
          <w:bCs/>
          <w:sz w:val="22"/>
          <w:szCs w:val="22"/>
          <w:lang w:val="en-US"/>
        </w:rPr>
      </w:pPr>
      <w:r w:rsidRPr="001C38B1">
        <w:rPr>
          <w:rFonts w:ascii="Verdana" w:hAnsi="Verdana"/>
          <w:b/>
          <w:bCs/>
          <w:sz w:val="22"/>
          <w:szCs w:val="22"/>
          <w:lang w:val="en-US"/>
        </w:rPr>
        <w:t xml:space="preserve">urgently prioritize and publicly commit to a timeline for undertaking the review mentioned in </w:t>
      </w:r>
      <w:r w:rsidR="00417BD0" w:rsidRPr="001C38B1">
        <w:rPr>
          <w:rFonts w:ascii="Verdana" w:hAnsi="Verdana"/>
          <w:b/>
          <w:bCs/>
          <w:sz w:val="22"/>
          <w:szCs w:val="22"/>
          <w:lang w:val="en-US"/>
        </w:rPr>
        <w:t>(b)</w:t>
      </w:r>
      <w:r w:rsidR="001C38B1" w:rsidRPr="001C38B1">
        <w:rPr>
          <w:rFonts w:ascii="Verdana" w:hAnsi="Verdana"/>
          <w:b/>
          <w:bCs/>
          <w:sz w:val="22"/>
          <w:szCs w:val="22"/>
          <w:lang w:val="en-US"/>
        </w:rPr>
        <w:t>.</w:t>
      </w:r>
    </w:p>
    <w:p w14:paraId="147C4583" w14:textId="0B6598A6" w:rsidR="00063DEC" w:rsidRDefault="00BD4501" w:rsidP="00943B36">
      <w:pPr>
        <w:pStyle w:val="ListParagraph"/>
        <w:numPr>
          <w:ilvl w:val="1"/>
          <w:numId w:val="3"/>
        </w:numPr>
        <w:jc w:val="both"/>
        <w:rPr>
          <w:rFonts w:ascii="Verdana" w:hAnsi="Verdana"/>
          <w:b/>
          <w:bCs/>
          <w:sz w:val="22"/>
          <w:szCs w:val="22"/>
          <w:lang w:val="en-US"/>
        </w:rPr>
      </w:pPr>
      <w:r>
        <w:rPr>
          <w:rFonts w:ascii="Verdana" w:hAnsi="Verdana"/>
          <w:b/>
          <w:bCs/>
          <w:sz w:val="22"/>
          <w:szCs w:val="22"/>
          <w:lang w:val="en-US"/>
        </w:rPr>
        <w:t xml:space="preserve">ensure </w:t>
      </w:r>
      <w:r w:rsidR="001C38B1">
        <w:rPr>
          <w:rFonts w:ascii="Verdana" w:hAnsi="Verdana"/>
          <w:b/>
          <w:bCs/>
          <w:sz w:val="22"/>
          <w:szCs w:val="22"/>
          <w:lang w:val="en-US"/>
        </w:rPr>
        <w:t>tha</w:t>
      </w:r>
      <w:r w:rsidR="00C55BC4">
        <w:rPr>
          <w:rFonts w:ascii="Verdana" w:hAnsi="Verdana"/>
          <w:b/>
          <w:bCs/>
          <w:sz w:val="22"/>
          <w:szCs w:val="22"/>
          <w:lang w:val="en-US"/>
        </w:rPr>
        <w:t>t</w:t>
      </w:r>
      <w:r w:rsidR="001C38B1">
        <w:rPr>
          <w:rFonts w:ascii="Verdana" w:hAnsi="Verdana"/>
          <w:b/>
          <w:bCs/>
          <w:sz w:val="22"/>
          <w:szCs w:val="22"/>
          <w:lang w:val="en-US"/>
        </w:rPr>
        <w:t xml:space="preserve"> </w:t>
      </w:r>
      <w:r w:rsidR="00063DEC" w:rsidRPr="00C60AC3">
        <w:rPr>
          <w:rFonts w:ascii="Verdana" w:hAnsi="Verdana"/>
          <w:b/>
          <w:bCs/>
          <w:sz w:val="22"/>
          <w:szCs w:val="22"/>
          <w:lang w:val="en-US"/>
        </w:rPr>
        <w:t>the processes described in (a)</w:t>
      </w:r>
      <w:r w:rsidR="001C38B1">
        <w:rPr>
          <w:rFonts w:ascii="Verdana" w:hAnsi="Verdana"/>
          <w:b/>
          <w:bCs/>
          <w:sz w:val="22"/>
          <w:szCs w:val="22"/>
          <w:lang w:val="en-US"/>
        </w:rPr>
        <w:t xml:space="preserve"> and (b)</w:t>
      </w:r>
      <w:r w:rsidR="00063DEC" w:rsidRPr="00C60AC3">
        <w:rPr>
          <w:rFonts w:ascii="Verdana" w:hAnsi="Verdana"/>
          <w:b/>
          <w:bCs/>
          <w:sz w:val="22"/>
          <w:szCs w:val="22"/>
          <w:lang w:val="en-US"/>
        </w:rPr>
        <w:t xml:space="preserve"> involve the full and meaningful participation of persons with disabilities and the organizations that represent them, both domestically and internationally and provide </w:t>
      </w:r>
      <w:r w:rsidR="00063DEC" w:rsidRPr="00C60AC3">
        <w:rPr>
          <w:rFonts w:ascii="Verdana" w:hAnsi="Verdana"/>
          <w:b/>
          <w:bCs/>
          <w:sz w:val="22"/>
          <w:szCs w:val="22"/>
          <w:lang w:val="en-US"/>
        </w:rPr>
        <w:lastRenderedPageBreak/>
        <w:t xml:space="preserve">for </w:t>
      </w:r>
      <w:r>
        <w:rPr>
          <w:rFonts w:ascii="Verdana" w:hAnsi="Verdana"/>
          <w:b/>
          <w:bCs/>
          <w:sz w:val="22"/>
          <w:szCs w:val="22"/>
          <w:lang w:val="en-US"/>
        </w:rPr>
        <w:t xml:space="preserve">the </w:t>
      </w:r>
      <w:r w:rsidR="00063DEC" w:rsidRPr="00C60AC3">
        <w:rPr>
          <w:rFonts w:ascii="Verdana" w:hAnsi="Verdana"/>
          <w:b/>
          <w:bCs/>
          <w:sz w:val="22"/>
          <w:szCs w:val="22"/>
          <w:lang w:val="en-US"/>
        </w:rPr>
        <w:t xml:space="preserve">participation </w:t>
      </w:r>
      <w:r>
        <w:rPr>
          <w:rFonts w:ascii="Verdana" w:hAnsi="Verdana"/>
          <w:b/>
          <w:bCs/>
          <w:sz w:val="22"/>
          <w:szCs w:val="22"/>
          <w:lang w:val="en-US"/>
        </w:rPr>
        <w:t>of</w:t>
      </w:r>
      <w:r w:rsidR="00063DEC" w:rsidRPr="00C60AC3">
        <w:rPr>
          <w:rFonts w:ascii="Verdana" w:hAnsi="Verdana"/>
          <w:b/>
          <w:bCs/>
          <w:sz w:val="22"/>
          <w:szCs w:val="22"/>
          <w:lang w:val="en-US"/>
        </w:rPr>
        <w:t xml:space="preserve"> representatives of the executive, legislative and judicial branches.</w:t>
      </w:r>
    </w:p>
    <w:p w14:paraId="07FE5C53" w14:textId="0B222B4D" w:rsidR="00FB6AAF" w:rsidRDefault="00FB6AAF" w:rsidP="00943B36">
      <w:pPr>
        <w:pStyle w:val="ListParagraph"/>
        <w:ind w:left="1440"/>
        <w:jc w:val="both"/>
        <w:rPr>
          <w:rFonts w:ascii="Verdana" w:hAnsi="Verdana"/>
          <w:b/>
          <w:bCs/>
          <w:sz w:val="22"/>
          <w:szCs w:val="22"/>
          <w:lang w:val="en-US"/>
        </w:rPr>
      </w:pPr>
    </w:p>
    <w:p w14:paraId="24F09AEF" w14:textId="52EA914D" w:rsidR="008D56CF" w:rsidRPr="00BD4501" w:rsidRDefault="008D56CF" w:rsidP="00943B36">
      <w:pPr>
        <w:jc w:val="both"/>
        <w:rPr>
          <w:rFonts w:ascii="Verdana" w:hAnsi="Verdana"/>
          <w:b/>
          <w:bCs/>
          <w:color w:val="2F5496" w:themeColor="accent1" w:themeShade="BF"/>
          <w:sz w:val="22"/>
          <w:szCs w:val="22"/>
          <w:lang w:val="en-ZA"/>
        </w:rPr>
      </w:pPr>
      <w:r w:rsidRPr="00BD4501">
        <w:rPr>
          <w:rFonts w:ascii="Verdana" w:hAnsi="Verdana"/>
          <w:b/>
          <w:bCs/>
          <w:color w:val="2F5496" w:themeColor="accent1" w:themeShade="BF"/>
          <w:sz w:val="22"/>
          <w:szCs w:val="22"/>
          <w:lang w:val="en-ZA"/>
        </w:rPr>
        <w:t xml:space="preserve">Role of </w:t>
      </w:r>
      <w:r w:rsidR="006E3C78" w:rsidRPr="00BD4501">
        <w:rPr>
          <w:rFonts w:ascii="Verdana" w:hAnsi="Verdana"/>
          <w:b/>
          <w:bCs/>
          <w:color w:val="2F5496" w:themeColor="accent1" w:themeShade="BF"/>
          <w:sz w:val="22"/>
          <w:szCs w:val="22"/>
          <w:lang w:val="en-ZA"/>
        </w:rPr>
        <w:t>j</w:t>
      </w:r>
      <w:r w:rsidRPr="00BD4501">
        <w:rPr>
          <w:rFonts w:ascii="Verdana" w:hAnsi="Verdana"/>
          <w:b/>
          <w:bCs/>
          <w:color w:val="2F5496" w:themeColor="accent1" w:themeShade="BF"/>
          <w:sz w:val="22"/>
          <w:szCs w:val="22"/>
          <w:lang w:val="en-ZA"/>
        </w:rPr>
        <w:t xml:space="preserve">udicial </w:t>
      </w:r>
      <w:r w:rsidR="006E3C78" w:rsidRPr="00BD4501">
        <w:rPr>
          <w:rFonts w:ascii="Verdana" w:hAnsi="Verdana"/>
          <w:b/>
          <w:bCs/>
          <w:color w:val="2F5496" w:themeColor="accent1" w:themeShade="BF"/>
          <w:sz w:val="22"/>
          <w:szCs w:val="22"/>
          <w:lang w:val="en-ZA"/>
        </w:rPr>
        <w:t>a</w:t>
      </w:r>
      <w:r w:rsidRPr="00BD4501">
        <w:rPr>
          <w:rFonts w:ascii="Verdana" w:hAnsi="Verdana"/>
          <w:b/>
          <w:bCs/>
          <w:color w:val="2F5496" w:themeColor="accent1" w:themeShade="BF"/>
          <w:sz w:val="22"/>
          <w:szCs w:val="22"/>
          <w:lang w:val="en-ZA"/>
        </w:rPr>
        <w:t>uthorities in fulfilling the rights of the persons with disabilities</w:t>
      </w:r>
    </w:p>
    <w:p w14:paraId="73D03A65" w14:textId="77777777" w:rsidR="008C5677" w:rsidRPr="008D56CF" w:rsidRDefault="008C5677" w:rsidP="00943B36">
      <w:pPr>
        <w:pStyle w:val="ListParagraph"/>
        <w:ind w:left="426"/>
        <w:jc w:val="both"/>
        <w:rPr>
          <w:rFonts w:ascii="Verdana" w:hAnsi="Verdana"/>
          <w:b/>
          <w:bCs/>
          <w:color w:val="2F5496" w:themeColor="accent1" w:themeShade="BF"/>
          <w:sz w:val="22"/>
          <w:szCs w:val="22"/>
          <w:lang w:val="en-ZA"/>
        </w:rPr>
      </w:pPr>
    </w:p>
    <w:p w14:paraId="184EFAFE" w14:textId="525E4B7E" w:rsidR="00E0149D" w:rsidRPr="002E2FE4" w:rsidRDefault="00CE139C" w:rsidP="00943B36">
      <w:pPr>
        <w:pStyle w:val="ListParagraph"/>
        <w:numPr>
          <w:ilvl w:val="0"/>
          <w:numId w:val="3"/>
        </w:numPr>
        <w:ind w:left="567" w:hanging="425"/>
        <w:jc w:val="both"/>
        <w:rPr>
          <w:rFonts w:ascii="Verdana" w:hAnsi="Verdana"/>
          <w:sz w:val="22"/>
          <w:szCs w:val="22"/>
          <w:lang w:val="es-ES"/>
        </w:rPr>
      </w:pPr>
      <w:r w:rsidRPr="00A95255">
        <w:rPr>
          <w:rFonts w:ascii="Verdana" w:hAnsi="Verdana"/>
          <w:sz w:val="22"/>
          <w:szCs w:val="22"/>
          <w:lang w:val="en-US"/>
        </w:rPr>
        <w:t xml:space="preserve">In October 2021, </w:t>
      </w:r>
      <w:r w:rsidR="003B1239" w:rsidRPr="00A95255">
        <w:rPr>
          <w:rFonts w:ascii="Verdana" w:hAnsi="Verdana"/>
          <w:sz w:val="22"/>
          <w:szCs w:val="22"/>
          <w:lang w:val="en-US"/>
        </w:rPr>
        <w:t xml:space="preserve">the </w:t>
      </w:r>
      <w:r w:rsidRPr="00A95255">
        <w:rPr>
          <w:rFonts w:ascii="Verdana" w:hAnsi="Verdana"/>
          <w:sz w:val="22"/>
          <w:szCs w:val="22"/>
          <w:lang w:val="en-US"/>
        </w:rPr>
        <w:t>ICJ received two responses from the</w:t>
      </w:r>
      <w:r w:rsidR="00635053">
        <w:rPr>
          <w:rFonts w:ascii="Verdana" w:hAnsi="Verdana"/>
          <w:sz w:val="22"/>
          <w:szCs w:val="22"/>
          <w:lang w:val="en-US"/>
        </w:rPr>
        <w:t xml:space="preserve"> Mexican</w:t>
      </w:r>
      <w:r w:rsidRPr="00A95255">
        <w:rPr>
          <w:rFonts w:ascii="Verdana" w:hAnsi="Verdana"/>
          <w:sz w:val="22"/>
          <w:szCs w:val="22"/>
          <w:lang w:val="en-US"/>
        </w:rPr>
        <w:t xml:space="preserve"> judicial authorities</w:t>
      </w:r>
      <w:r w:rsidR="00643339" w:rsidRPr="00A95255">
        <w:rPr>
          <w:rFonts w:ascii="Verdana" w:hAnsi="Verdana"/>
          <w:sz w:val="22"/>
          <w:szCs w:val="22"/>
          <w:lang w:val="en-US"/>
        </w:rPr>
        <w:t xml:space="preserve"> to its letters</w:t>
      </w:r>
      <w:r w:rsidR="00BC028A" w:rsidRPr="00A95255">
        <w:rPr>
          <w:rFonts w:ascii="Verdana" w:hAnsi="Verdana"/>
          <w:sz w:val="22"/>
          <w:szCs w:val="22"/>
          <w:lang w:val="en-US"/>
        </w:rPr>
        <w:t>.</w:t>
      </w:r>
      <w:r w:rsidR="000F4D01" w:rsidRPr="00DA7827">
        <w:rPr>
          <w:rStyle w:val="FootnoteReference"/>
          <w:rFonts w:ascii="Verdana" w:hAnsi="Verdana"/>
          <w:sz w:val="22"/>
          <w:szCs w:val="22"/>
          <w:lang w:val="en-US"/>
        </w:rPr>
        <w:footnoteReference w:id="27"/>
      </w:r>
      <w:r w:rsidR="00BC028A" w:rsidRPr="00A95255">
        <w:rPr>
          <w:rFonts w:ascii="Verdana" w:hAnsi="Verdana"/>
          <w:sz w:val="22"/>
          <w:szCs w:val="22"/>
          <w:lang w:val="en-US"/>
        </w:rPr>
        <w:t xml:space="preserve"> </w:t>
      </w:r>
      <w:r w:rsidR="003B1239" w:rsidRPr="00A95255">
        <w:rPr>
          <w:rFonts w:ascii="Verdana" w:hAnsi="Verdana"/>
          <w:sz w:val="22"/>
          <w:szCs w:val="22"/>
          <w:lang w:val="es-ES"/>
        </w:rPr>
        <w:t>T</w:t>
      </w:r>
      <w:r w:rsidR="00BC028A" w:rsidRPr="00A95255">
        <w:rPr>
          <w:rFonts w:ascii="Verdana" w:hAnsi="Verdana"/>
          <w:sz w:val="22"/>
          <w:szCs w:val="22"/>
          <w:lang w:val="es-ES"/>
        </w:rPr>
        <w:t>he responses came from the General Direction of Human Rights Affairs of the Supreme Court of Justice (</w:t>
      </w:r>
      <w:r w:rsidR="00BC028A" w:rsidRPr="00A95255">
        <w:rPr>
          <w:rFonts w:ascii="Verdana" w:hAnsi="Verdana"/>
          <w:i/>
          <w:iCs/>
          <w:sz w:val="22"/>
          <w:szCs w:val="22"/>
          <w:lang w:val="es-ES"/>
        </w:rPr>
        <w:t>Dirección General de Derechos Humanos, Suprema Corte de Justicia de la Nación</w:t>
      </w:r>
      <w:r w:rsidR="00BC028A" w:rsidRPr="00A95255">
        <w:rPr>
          <w:rFonts w:ascii="Verdana" w:hAnsi="Verdana"/>
          <w:sz w:val="22"/>
          <w:szCs w:val="22"/>
          <w:lang w:val="es-ES"/>
        </w:rPr>
        <w:t xml:space="preserve">) </w:t>
      </w:r>
      <w:r w:rsidR="003B1239" w:rsidRPr="00A95255">
        <w:rPr>
          <w:rFonts w:ascii="Verdana" w:hAnsi="Verdana"/>
          <w:sz w:val="22"/>
          <w:szCs w:val="22"/>
          <w:lang w:val="es-ES"/>
        </w:rPr>
        <w:t>and the National Commission of Mexican Superior Tribunals</w:t>
      </w:r>
      <w:r w:rsidR="0098117C" w:rsidRPr="00A95255">
        <w:rPr>
          <w:rFonts w:ascii="Verdana" w:hAnsi="Verdana"/>
          <w:sz w:val="22"/>
          <w:szCs w:val="22"/>
          <w:lang w:val="es-ES"/>
        </w:rPr>
        <w:t xml:space="preserve"> (</w:t>
      </w:r>
      <w:r w:rsidR="0098117C" w:rsidRPr="00A95255">
        <w:rPr>
          <w:rFonts w:ascii="Verdana" w:hAnsi="Verdana"/>
          <w:i/>
          <w:iCs/>
          <w:sz w:val="22"/>
          <w:szCs w:val="22"/>
          <w:lang w:val="es-ES"/>
        </w:rPr>
        <w:t>Comisión Nacional de Tribunales Superiores de Justicia de los Estados Unidos Mexicanos</w:t>
      </w:r>
      <w:r w:rsidR="0098117C" w:rsidRPr="00A95255">
        <w:rPr>
          <w:rFonts w:ascii="Verdana" w:hAnsi="Verdana"/>
          <w:sz w:val="22"/>
          <w:szCs w:val="22"/>
          <w:lang w:val="es-ES"/>
        </w:rPr>
        <w:t>)</w:t>
      </w:r>
      <w:r w:rsidR="00643339" w:rsidRPr="00A95255">
        <w:rPr>
          <w:rFonts w:ascii="Verdana" w:hAnsi="Verdana"/>
          <w:sz w:val="22"/>
          <w:szCs w:val="22"/>
          <w:lang w:val="es-ES"/>
        </w:rPr>
        <w:t xml:space="preserve"> respectively</w:t>
      </w:r>
      <w:r w:rsidR="0098117C" w:rsidRPr="00A95255">
        <w:rPr>
          <w:rFonts w:ascii="Verdana" w:hAnsi="Verdana"/>
          <w:sz w:val="22"/>
          <w:szCs w:val="22"/>
          <w:lang w:val="es-ES"/>
        </w:rPr>
        <w:t>.</w:t>
      </w:r>
      <w:r w:rsidR="0052548B" w:rsidRPr="00A95255">
        <w:rPr>
          <w:rFonts w:ascii="Verdana" w:hAnsi="Verdana"/>
          <w:sz w:val="22"/>
          <w:szCs w:val="22"/>
          <w:lang w:val="es-ES"/>
        </w:rPr>
        <w:t xml:space="preserve"> </w:t>
      </w:r>
    </w:p>
    <w:p w14:paraId="553AF982" w14:textId="77777777" w:rsidR="00E0149D" w:rsidRPr="002E2FE4" w:rsidRDefault="00E0149D" w:rsidP="00943B36">
      <w:pPr>
        <w:pStyle w:val="ListParagraph"/>
        <w:jc w:val="both"/>
        <w:rPr>
          <w:rFonts w:ascii="Verdana" w:hAnsi="Verdana"/>
          <w:sz w:val="22"/>
          <w:szCs w:val="22"/>
          <w:lang w:val="es-ES"/>
        </w:rPr>
      </w:pPr>
    </w:p>
    <w:p w14:paraId="4890000D" w14:textId="73A43427" w:rsidR="0098117C" w:rsidRPr="00635053" w:rsidRDefault="00610991" w:rsidP="00943B36">
      <w:pPr>
        <w:pStyle w:val="ListParagraph"/>
        <w:numPr>
          <w:ilvl w:val="0"/>
          <w:numId w:val="3"/>
        </w:numPr>
        <w:ind w:left="567" w:hanging="425"/>
        <w:jc w:val="both"/>
        <w:rPr>
          <w:rFonts w:ascii="Verdana" w:hAnsi="Verdana"/>
          <w:sz w:val="22"/>
          <w:szCs w:val="22"/>
          <w:lang w:val="en-US"/>
        </w:rPr>
      </w:pPr>
      <w:r w:rsidRPr="00C32C48">
        <w:rPr>
          <w:rFonts w:ascii="Verdana" w:hAnsi="Verdana"/>
          <w:sz w:val="22"/>
          <w:szCs w:val="22"/>
          <w:lang w:val="en-US"/>
        </w:rPr>
        <w:t>N</w:t>
      </w:r>
      <w:r w:rsidR="00E0149D" w:rsidRPr="00635053">
        <w:rPr>
          <w:rFonts w:ascii="Verdana" w:hAnsi="Verdana"/>
          <w:sz w:val="22"/>
          <w:szCs w:val="22"/>
          <w:lang w:val="en-US"/>
        </w:rPr>
        <w:t xml:space="preserve">either of the responses received provided </w:t>
      </w:r>
      <w:r w:rsidR="00635053">
        <w:rPr>
          <w:rFonts w:ascii="Verdana" w:hAnsi="Verdana"/>
          <w:sz w:val="22"/>
          <w:szCs w:val="22"/>
          <w:lang w:val="en-US"/>
        </w:rPr>
        <w:t xml:space="preserve">any </w:t>
      </w:r>
      <w:r w:rsidR="00E0149D" w:rsidRPr="00635053">
        <w:rPr>
          <w:rFonts w:ascii="Verdana" w:hAnsi="Verdana"/>
          <w:sz w:val="22"/>
          <w:szCs w:val="22"/>
          <w:lang w:val="en-US"/>
        </w:rPr>
        <w:t xml:space="preserve">information on </w:t>
      </w:r>
      <w:r w:rsidR="00635053">
        <w:rPr>
          <w:rFonts w:ascii="Verdana" w:hAnsi="Verdana"/>
          <w:sz w:val="22"/>
          <w:szCs w:val="22"/>
          <w:lang w:val="en-US"/>
        </w:rPr>
        <w:t xml:space="preserve">any </w:t>
      </w:r>
      <w:r w:rsidR="00E0149D" w:rsidRPr="00635053">
        <w:rPr>
          <w:rFonts w:ascii="Verdana" w:hAnsi="Verdana"/>
          <w:sz w:val="22"/>
          <w:szCs w:val="22"/>
          <w:lang w:val="en-US"/>
        </w:rPr>
        <w:t xml:space="preserve">specific actions taken by the judiciary to implement the Committee’s recommendations. </w:t>
      </w:r>
      <w:r w:rsidR="00B43DB8" w:rsidRPr="00635053">
        <w:rPr>
          <w:rFonts w:ascii="Verdana" w:hAnsi="Verdana"/>
          <w:sz w:val="22"/>
          <w:szCs w:val="22"/>
          <w:lang w:val="en-US"/>
        </w:rPr>
        <w:t xml:space="preserve">Moreover, the National Commission of Mexican Superior Tribunals of Justice stated that the design of public policies and </w:t>
      </w:r>
      <w:r w:rsidR="00624818" w:rsidRPr="00635053">
        <w:rPr>
          <w:rFonts w:ascii="Verdana" w:hAnsi="Verdana"/>
          <w:sz w:val="22"/>
          <w:szCs w:val="22"/>
          <w:lang w:val="en-US"/>
        </w:rPr>
        <w:t xml:space="preserve">the drafting of bills were the responsibility of the executive branch. </w:t>
      </w:r>
    </w:p>
    <w:p w14:paraId="187BF76E" w14:textId="77777777" w:rsidR="006B2F13" w:rsidRPr="00DA7827" w:rsidRDefault="006B2F13" w:rsidP="00943B36">
      <w:pPr>
        <w:pStyle w:val="ListParagraph"/>
        <w:jc w:val="both"/>
        <w:rPr>
          <w:rFonts w:ascii="Verdana" w:hAnsi="Verdana"/>
          <w:sz w:val="22"/>
          <w:szCs w:val="22"/>
          <w:lang w:val="en-US"/>
        </w:rPr>
      </w:pPr>
    </w:p>
    <w:p w14:paraId="055E730A" w14:textId="67701252" w:rsidR="00C90458" w:rsidRPr="00DA7827" w:rsidRDefault="00E0149D" w:rsidP="00943B36">
      <w:pPr>
        <w:pStyle w:val="ListParagraph"/>
        <w:numPr>
          <w:ilvl w:val="0"/>
          <w:numId w:val="3"/>
        </w:numPr>
        <w:ind w:left="567" w:hanging="425"/>
        <w:jc w:val="both"/>
        <w:rPr>
          <w:rFonts w:ascii="Verdana" w:hAnsi="Verdana"/>
          <w:sz w:val="22"/>
          <w:szCs w:val="22"/>
          <w:lang w:val="en-US"/>
        </w:rPr>
      </w:pPr>
      <w:r w:rsidRPr="00DA7827">
        <w:rPr>
          <w:rFonts w:ascii="Verdana" w:hAnsi="Verdana"/>
          <w:sz w:val="22"/>
          <w:szCs w:val="22"/>
          <w:lang w:val="en-US"/>
        </w:rPr>
        <w:t>Nevertheless</w:t>
      </w:r>
      <w:r w:rsidR="00635053">
        <w:rPr>
          <w:rFonts w:ascii="Verdana" w:hAnsi="Verdana"/>
          <w:sz w:val="22"/>
          <w:szCs w:val="22"/>
          <w:lang w:val="en-US"/>
        </w:rPr>
        <w:t>,</w:t>
      </w:r>
      <w:r w:rsidR="006B2F13" w:rsidRPr="00DA7827">
        <w:rPr>
          <w:rFonts w:ascii="Verdana" w:hAnsi="Verdana"/>
          <w:sz w:val="22"/>
          <w:szCs w:val="22"/>
          <w:lang w:val="en-US"/>
        </w:rPr>
        <w:t xml:space="preserve"> the General Direction of Human Rights Affairs of the Supreme Court of Justice provided substantial information about the actions undertaken by the judiciary concerning the rights of persons with disabilities.</w:t>
      </w:r>
      <w:r w:rsidR="00912C05" w:rsidRPr="00DA7827">
        <w:rPr>
          <w:rFonts w:ascii="Verdana" w:hAnsi="Verdana"/>
          <w:sz w:val="22"/>
          <w:szCs w:val="22"/>
          <w:lang w:val="en-US"/>
        </w:rPr>
        <w:t xml:space="preserve"> </w:t>
      </w:r>
      <w:r w:rsidR="00574A5D" w:rsidRPr="00DA7827">
        <w:rPr>
          <w:rFonts w:ascii="Verdana" w:hAnsi="Verdana"/>
          <w:sz w:val="22"/>
          <w:szCs w:val="22"/>
          <w:lang w:val="en-US"/>
        </w:rPr>
        <w:t>It</w:t>
      </w:r>
      <w:r w:rsidR="006B2F13" w:rsidRPr="00DA7827">
        <w:rPr>
          <w:rFonts w:ascii="Verdana" w:hAnsi="Verdana"/>
          <w:sz w:val="22"/>
          <w:szCs w:val="22"/>
          <w:lang w:val="en-US"/>
        </w:rPr>
        <w:t xml:space="preserve"> mentioned that</w:t>
      </w:r>
      <w:r w:rsidR="00F05025" w:rsidRPr="00DA7827">
        <w:rPr>
          <w:rFonts w:ascii="Verdana" w:hAnsi="Verdana"/>
          <w:sz w:val="22"/>
          <w:szCs w:val="22"/>
          <w:lang w:val="en-US"/>
        </w:rPr>
        <w:t xml:space="preserve"> at least since 2012</w:t>
      </w:r>
      <w:r w:rsidR="006B2F13" w:rsidRPr="00DA7827">
        <w:rPr>
          <w:rFonts w:ascii="Verdana" w:hAnsi="Verdana"/>
          <w:sz w:val="22"/>
          <w:szCs w:val="22"/>
          <w:lang w:val="en-US"/>
        </w:rPr>
        <w:t xml:space="preserve"> the Supreme Court has handed down</w:t>
      </w:r>
      <w:r w:rsidR="00574A5D" w:rsidRPr="00DA7827">
        <w:rPr>
          <w:rFonts w:ascii="Verdana" w:hAnsi="Verdana"/>
          <w:sz w:val="22"/>
          <w:szCs w:val="22"/>
          <w:lang w:val="en-US"/>
        </w:rPr>
        <w:t xml:space="preserve"> a range of</w:t>
      </w:r>
      <w:r w:rsidR="006B2F13" w:rsidRPr="00DA7827">
        <w:rPr>
          <w:rFonts w:ascii="Verdana" w:hAnsi="Verdana"/>
          <w:sz w:val="22"/>
          <w:szCs w:val="22"/>
          <w:lang w:val="en-US"/>
        </w:rPr>
        <w:t xml:space="preserve"> milestone decisions to protect the rights of persons with disability in accordance with the Convention. For instance, it mentioned that in a 2019 Amparo Action (</w:t>
      </w:r>
      <w:r w:rsidR="006B2F13" w:rsidRPr="00DA7827">
        <w:rPr>
          <w:rFonts w:ascii="Verdana" w:hAnsi="Verdana"/>
          <w:i/>
          <w:iCs/>
          <w:sz w:val="22"/>
          <w:szCs w:val="22"/>
          <w:lang w:val="en-US"/>
        </w:rPr>
        <w:t>Amparo en Revisión</w:t>
      </w:r>
      <w:r w:rsidR="006B2F13" w:rsidRPr="00DA7827">
        <w:rPr>
          <w:rFonts w:ascii="Verdana" w:hAnsi="Verdana"/>
          <w:sz w:val="22"/>
          <w:szCs w:val="22"/>
          <w:lang w:val="en-US"/>
        </w:rPr>
        <w:t xml:space="preserve">), the Mexican Supreme Court </w:t>
      </w:r>
      <w:r w:rsidR="00574A5D" w:rsidRPr="00DA7827">
        <w:rPr>
          <w:rFonts w:ascii="Verdana" w:hAnsi="Verdana"/>
          <w:sz w:val="22"/>
          <w:szCs w:val="22"/>
          <w:lang w:val="en-US"/>
        </w:rPr>
        <w:t>found</w:t>
      </w:r>
      <w:r w:rsidR="006B2F13" w:rsidRPr="00DA7827">
        <w:rPr>
          <w:rFonts w:ascii="Verdana" w:hAnsi="Verdana"/>
          <w:sz w:val="22"/>
          <w:szCs w:val="22"/>
          <w:lang w:val="en-US"/>
        </w:rPr>
        <w:t xml:space="preserve"> that the guardianship regime of the Civil Code for the Federal District was unconstitutional </w:t>
      </w:r>
      <w:r w:rsidR="006B2F13" w:rsidRPr="00DA7827">
        <w:rPr>
          <w:rFonts w:ascii="Verdana" w:hAnsi="Verdana"/>
          <w:sz w:val="22"/>
          <w:szCs w:val="22"/>
          <w:lang w:val="en-US"/>
        </w:rPr>
        <w:lastRenderedPageBreak/>
        <w:t>and violated Article 12 of the Convention.</w:t>
      </w:r>
      <w:r w:rsidR="005B49A5" w:rsidRPr="00DA7827">
        <w:rPr>
          <w:rStyle w:val="FootnoteReference"/>
          <w:rFonts w:ascii="Verdana" w:hAnsi="Verdana"/>
          <w:sz w:val="22"/>
          <w:szCs w:val="22"/>
          <w:lang w:val="en-US"/>
        </w:rPr>
        <w:footnoteReference w:id="28"/>
      </w:r>
      <w:r w:rsidR="00F05025" w:rsidRPr="00DA7827">
        <w:rPr>
          <w:rFonts w:ascii="Verdana" w:hAnsi="Verdana"/>
          <w:sz w:val="22"/>
          <w:szCs w:val="22"/>
          <w:lang w:val="en-US"/>
        </w:rPr>
        <w:t xml:space="preserve"> </w:t>
      </w:r>
      <w:r w:rsidR="00122839">
        <w:rPr>
          <w:rFonts w:ascii="Verdana" w:hAnsi="Verdana"/>
          <w:sz w:val="22"/>
          <w:szCs w:val="22"/>
          <w:lang w:val="en-US"/>
        </w:rPr>
        <w:t>T</w:t>
      </w:r>
      <w:r w:rsidR="00050C2F" w:rsidRPr="00DA7827">
        <w:rPr>
          <w:rFonts w:ascii="Verdana" w:hAnsi="Verdana"/>
          <w:sz w:val="22"/>
          <w:szCs w:val="22"/>
          <w:lang w:val="en-US"/>
        </w:rPr>
        <w:t xml:space="preserve">he General Direction </w:t>
      </w:r>
      <w:r w:rsidR="00574A5D" w:rsidRPr="00DA7827">
        <w:rPr>
          <w:rFonts w:ascii="Verdana" w:hAnsi="Verdana"/>
          <w:sz w:val="22"/>
          <w:szCs w:val="22"/>
          <w:lang w:val="en-US"/>
        </w:rPr>
        <w:t xml:space="preserve">also </w:t>
      </w:r>
      <w:r w:rsidR="00050C2F" w:rsidRPr="00DA7827">
        <w:rPr>
          <w:rFonts w:ascii="Verdana" w:hAnsi="Verdana"/>
          <w:sz w:val="22"/>
          <w:szCs w:val="22"/>
          <w:lang w:val="en-US"/>
        </w:rPr>
        <w:t>acknowledged that the Supreme Court had not pronounced</w:t>
      </w:r>
      <w:r w:rsidR="00122839">
        <w:rPr>
          <w:rFonts w:ascii="Verdana" w:hAnsi="Verdana"/>
          <w:sz w:val="22"/>
          <w:szCs w:val="22"/>
          <w:lang w:val="en-US"/>
        </w:rPr>
        <w:t xml:space="preserve"> itself</w:t>
      </w:r>
      <w:r w:rsidR="00050C2F" w:rsidRPr="00DA7827">
        <w:rPr>
          <w:rFonts w:ascii="Verdana" w:hAnsi="Verdana"/>
          <w:sz w:val="22"/>
          <w:szCs w:val="22"/>
          <w:lang w:val="en-US"/>
        </w:rPr>
        <w:t xml:space="preserve"> in relation to the non-liability regulations in criminal proceedings (</w:t>
      </w:r>
      <w:r w:rsidR="00050C2F" w:rsidRPr="00DA7827">
        <w:rPr>
          <w:rFonts w:ascii="Verdana" w:hAnsi="Verdana"/>
          <w:i/>
          <w:iCs/>
          <w:sz w:val="22"/>
          <w:szCs w:val="22"/>
          <w:lang w:val="en-US"/>
        </w:rPr>
        <w:t>procedimiento penal para inimputables</w:t>
      </w:r>
      <w:r w:rsidR="00050C2F" w:rsidRPr="00DA7827">
        <w:rPr>
          <w:rFonts w:ascii="Verdana" w:hAnsi="Verdana"/>
          <w:sz w:val="22"/>
          <w:szCs w:val="22"/>
          <w:lang w:val="en-US"/>
        </w:rPr>
        <w:t>).</w:t>
      </w:r>
      <w:r w:rsidR="007F1B56">
        <w:rPr>
          <w:rFonts w:ascii="Verdana" w:hAnsi="Verdana"/>
          <w:sz w:val="22"/>
          <w:szCs w:val="22"/>
          <w:lang w:val="en-US"/>
        </w:rPr>
        <w:t xml:space="preserve"> </w:t>
      </w:r>
    </w:p>
    <w:p w14:paraId="13700CFE" w14:textId="77777777" w:rsidR="00C90458" w:rsidRPr="00DA7827" w:rsidRDefault="00C90458" w:rsidP="00943B36">
      <w:pPr>
        <w:pStyle w:val="ListParagraph"/>
        <w:jc w:val="both"/>
        <w:rPr>
          <w:rFonts w:ascii="Verdana" w:hAnsi="Verdana"/>
          <w:sz w:val="22"/>
          <w:szCs w:val="22"/>
          <w:lang w:val="en-US"/>
        </w:rPr>
      </w:pPr>
    </w:p>
    <w:p w14:paraId="77200DA6" w14:textId="64DFDCFA" w:rsidR="00574A5D" w:rsidRPr="00DA7827" w:rsidRDefault="009B6753" w:rsidP="00943B36">
      <w:pPr>
        <w:pStyle w:val="ListParagraph"/>
        <w:numPr>
          <w:ilvl w:val="0"/>
          <w:numId w:val="3"/>
        </w:numPr>
        <w:ind w:left="567" w:hanging="425"/>
        <w:jc w:val="both"/>
        <w:rPr>
          <w:rFonts w:ascii="Verdana" w:hAnsi="Verdana"/>
          <w:sz w:val="22"/>
          <w:szCs w:val="22"/>
          <w:lang w:val="en-US"/>
        </w:rPr>
      </w:pPr>
      <w:r w:rsidRPr="00DA7827">
        <w:rPr>
          <w:rFonts w:ascii="Verdana" w:hAnsi="Verdana"/>
          <w:sz w:val="22"/>
          <w:szCs w:val="22"/>
          <w:lang w:val="en-US"/>
        </w:rPr>
        <w:t>T</w:t>
      </w:r>
      <w:r w:rsidR="006B2F13" w:rsidRPr="00DA7827">
        <w:rPr>
          <w:rFonts w:ascii="Verdana" w:hAnsi="Verdana"/>
          <w:sz w:val="22"/>
          <w:szCs w:val="22"/>
          <w:lang w:val="en-US"/>
        </w:rPr>
        <w:t>he General Direction</w:t>
      </w:r>
      <w:r w:rsidRPr="00DA7827">
        <w:rPr>
          <w:rFonts w:ascii="Verdana" w:hAnsi="Verdana"/>
          <w:sz w:val="22"/>
          <w:szCs w:val="22"/>
          <w:lang w:val="en-US"/>
        </w:rPr>
        <w:t xml:space="preserve"> also</w:t>
      </w:r>
      <w:r w:rsidR="006B2F13" w:rsidRPr="00DA7827">
        <w:rPr>
          <w:rFonts w:ascii="Verdana" w:hAnsi="Verdana"/>
          <w:sz w:val="22"/>
          <w:szCs w:val="22"/>
          <w:lang w:val="en-US"/>
        </w:rPr>
        <w:t xml:space="preserve"> mentioned that three training sessions (two in 2020 and one in </w:t>
      </w:r>
      <w:r w:rsidR="006B2F13" w:rsidRPr="00166CCE">
        <w:rPr>
          <w:rFonts w:ascii="Verdana" w:hAnsi="Verdana"/>
          <w:sz w:val="22"/>
          <w:szCs w:val="22"/>
          <w:lang w:val="en-US"/>
        </w:rPr>
        <w:t>2021) for judicial actors on the rights of persons with disabilities had been conducted.</w:t>
      </w:r>
      <w:r w:rsidR="00166CCE">
        <w:rPr>
          <w:rStyle w:val="FootnoteReference"/>
          <w:rFonts w:ascii="Verdana" w:hAnsi="Verdana"/>
          <w:sz w:val="22"/>
          <w:szCs w:val="22"/>
          <w:lang w:val="en-US"/>
        </w:rPr>
        <w:footnoteReference w:id="29"/>
      </w:r>
      <w:r w:rsidR="00166CCE">
        <w:rPr>
          <w:rFonts w:ascii="Verdana" w:hAnsi="Verdana"/>
          <w:sz w:val="22"/>
          <w:szCs w:val="22"/>
          <w:lang w:val="en-US"/>
        </w:rPr>
        <w:t xml:space="preserve"> </w:t>
      </w:r>
      <w:r w:rsidRPr="00DA7827">
        <w:rPr>
          <w:rFonts w:ascii="Verdana" w:hAnsi="Verdana"/>
          <w:sz w:val="22"/>
          <w:szCs w:val="22"/>
          <w:lang w:val="en-US"/>
        </w:rPr>
        <w:t xml:space="preserve">In addition, the General Direction highlighted that </w:t>
      </w:r>
      <w:r w:rsidR="00E63B7D" w:rsidRPr="00DA7827">
        <w:rPr>
          <w:rFonts w:ascii="Verdana" w:hAnsi="Verdana"/>
          <w:sz w:val="22"/>
          <w:szCs w:val="22"/>
          <w:lang w:val="en-US"/>
        </w:rPr>
        <w:t xml:space="preserve">the Supreme Court issued a </w:t>
      </w:r>
      <w:r w:rsidR="008B42B2" w:rsidRPr="00DA7827">
        <w:rPr>
          <w:rFonts w:ascii="Verdana" w:hAnsi="Verdana"/>
          <w:sz w:val="22"/>
          <w:szCs w:val="22"/>
          <w:lang w:val="en-US"/>
        </w:rPr>
        <w:t>“</w:t>
      </w:r>
      <w:r w:rsidR="00E63B7D" w:rsidRPr="00DA7827">
        <w:rPr>
          <w:rFonts w:ascii="Verdana" w:hAnsi="Verdana"/>
          <w:sz w:val="22"/>
          <w:szCs w:val="22"/>
          <w:lang w:val="en-US"/>
        </w:rPr>
        <w:t>Protocol for actions of persons who administer justice in cases that involve the rights of persons with disabilities</w:t>
      </w:r>
      <w:r w:rsidR="008B42B2" w:rsidRPr="00DA7827">
        <w:rPr>
          <w:rFonts w:ascii="Verdana" w:hAnsi="Verdana"/>
          <w:sz w:val="22"/>
          <w:szCs w:val="22"/>
          <w:lang w:val="en-US"/>
        </w:rPr>
        <w:t>” (</w:t>
      </w:r>
      <w:r w:rsidR="008B42B2" w:rsidRPr="00DA7827">
        <w:rPr>
          <w:rFonts w:ascii="Verdana" w:hAnsi="Verdana"/>
          <w:i/>
          <w:iCs/>
          <w:sz w:val="22"/>
          <w:szCs w:val="22"/>
          <w:lang w:val="en-US"/>
        </w:rPr>
        <w:t>Protocolo de actuación para quienes imparten justicia en casos que involucren derechos de Personas con discapacidad</w:t>
      </w:r>
      <w:r w:rsidR="008B42B2" w:rsidRPr="00DA7827">
        <w:rPr>
          <w:rFonts w:ascii="Verdana" w:hAnsi="Verdana"/>
          <w:sz w:val="22"/>
          <w:szCs w:val="22"/>
          <w:lang w:val="en-US"/>
        </w:rPr>
        <w:t>)</w:t>
      </w:r>
      <w:r w:rsidR="008B42B2" w:rsidRPr="00DA7827">
        <w:rPr>
          <w:rFonts w:ascii="Verdana" w:hAnsi="Verdana"/>
          <w:i/>
          <w:iCs/>
          <w:sz w:val="22"/>
          <w:szCs w:val="22"/>
          <w:lang w:val="en-US"/>
        </w:rPr>
        <w:t>.</w:t>
      </w:r>
      <w:r w:rsidR="008B42B2" w:rsidRPr="00DA7827">
        <w:rPr>
          <w:rStyle w:val="FootnoteReference"/>
          <w:rFonts w:ascii="Verdana" w:hAnsi="Verdana"/>
          <w:sz w:val="22"/>
          <w:szCs w:val="22"/>
          <w:lang w:val="en-US"/>
        </w:rPr>
        <w:footnoteReference w:id="30"/>
      </w:r>
      <w:r w:rsidR="008B42B2" w:rsidRPr="00DA7827">
        <w:rPr>
          <w:rFonts w:ascii="Verdana" w:hAnsi="Verdana"/>
          <w:sz w:val="22"/>
          <w:szCs w:val="22"/>
          <w:lang w:val="en-US"/>
        </w:rPr>
        <w:t xml:space="preserve"> According to the General Direction</w:t>
      </w:r>
      <w:r w:rsidR="00122839">
        <w:rPr>
          <w:rFonts w:ascii="Verdana" w:hAnsi="Verdana"/>
          <w:sz w:val="22"/>
          <w:szCs w:val="22"/>
          <w:lang w:val="en-US"/>
        </w:rPr>
        <w:t>,</w:t>
      </w:r>
      <w:r w:rsidR="008B42B2" w:rsidRPr="00DA7827">
        <w:rPr>
          <w:rFonts w:ascii="Verdana" w:hAnsi="Verdana"/>
          <w:sz w:val="22"/>
          <w:szCs w:val="22"/>
          <w:lang w:val="en-US"/>
        </w:rPr>
        <w:t xml:space="preserve"> the </w:t>
      </w:r>
      <w:r w:rsidR="00C90458" w:rsidRPr="00DA7827">
        <w:rPr>
          <w:rFonts w:ascii="Verdana" w:hAnsi="Verdana"/>
          <w:sz w:val="22"/>
          <w:szCs w:val="22"/>
          <w:lang w:val="en-US"/>
        </w:rPr>
        <w:t>latest</w:t>
      </w:r>
      <w:r w:rsidR="008B42B2" w:rsidRPr="00DA7827">
        <w:rPr>
          <w:rFonts w:ascii="Verdana" w:hAnsi="Verdana"/>
          <w:sz w:val="22"/>
          <w:szCs w:val="22"/>
          <w:lang w:val="en-US"/>
        </w:rPr>
        <w:t xml:space="preserve"> version of the Protocol is from 2014</w:t>
      </w:r>
      <w:r w:rsidR="00C90458" w:rsidRPr="00DA7827">
        <w:rPr>
          <w:rFonts w:ascii="Verdana" w:hAnsi="Verdana"/>
          <w:sz w:val="22"/>
          <w:szCs w:val="22"/>
          <w:lang w:val="en-US"/>
        </w:rPr>
        <w:t>,</w:t>
      </w:r>
      <w:r w:rsidR="008B42B2" w:rsidRPr="00DA7827">
        <w:rPr>
          <w:rFonts w:ascii="Verdana" w:hAnsi="Verdana"/>
          <w:sz w:val="22"/>
          <w:szCs w:val="22"/>
          <w:lang w:val="en-US"/>
        </w:rPr>
        <w:t xml:space="preserve"> and a new version is </w:t>
      </w:r>
      <w:r w:rsidR="00574A5D" w:rsidRPr="00DA7827">
        <w:rPr>
          <w:rFonts w:ascii="Verdana" w:hAnsi="Verdana"/>
          <w:sz w:val="22"/>
          <w:szCs w:val="22"/>
          <w:lang w:val="en-US"/>
        </w:rPr>
        <w:t xml:space="preserve">currently being produced. </w:t>
      </w:r>
    </w:p>
    <w:p w14:paraId="171DE36C" w14:textId="77777777" w:rsidR="00574A5D" w:rsidRPr="00DA7827" w:rsidRDefault="00574A5D" w:rsidP="00943B36">
      <w:pPr>
        <w:pStyle w:val="ListParagraph"/>
        <w:jc w:val="both"/>
        <w:rPr>
          <w:rFonts w:ascii="Verdana" w:hAnsi="Verdana"/>
          <w:sz w:val="22"/>
          <w:szCs w:val="22"/>
          <w:lang w:val="en-US"/>
        </w:rPr>
      </w:pPr>
    </w:p>
    <w:p w14:paraId="1CAA1CCC" w14:textId="14ABFE07" w:rsidR="00122839" w:rsidRPr="00122839" w:rsidRDefault="00122839" w:rsidP="00943B36">
      <w:pPr>
        <w:pStyle w:val="ListParagraph"/>
        <w:numPr>
          <w:ilvl w:val="0"/>
          <w:numId w:val="3"/>
        </w:numPr>
        <w:ind w:left="567" w:hanging="425"/>
        <w:jc w:val="both"/>
        <w:rPr>
          <w:rFonts w:ascii="Verdana" w:hAnsi="Verdana"/>
          <w:sz w:val="22"/>
          <w:szCs w:val="22"/>
          <w:lang w:val="en-US"/>
        </w:rPr>
      </w:pPr>
      <w:r w:rsidRPr="00122839">
        <w:rPr>
          <w:rFonts w:ascii="Verdana" w:hAnsi="Verdana"/>
          <w:sz w:val="22"/>
          <w:szCs w:val="22"/>
          <w:lang w:val="en-US"/>
        </w:rPr>
        <w:t>While the open engagement of the judiciary is welcomed, the ICJ draws the Committee’s attention to the limited impact that the actions of the Supreme Court described above might have. While decisions of the Supreme Court are undoubtedly important and constitute a prerequisite for advancing the human rights of persons with disabilities in Mexico, their broader impact and influence should not be overestimated for a variety of reasons.</w:t>
      </w:r>
      <w:r w:rsidR="007F1B56">
        <w:rPr>
          <w:rFonts w:ascii="Verdana" w:hAnsi="Verdana"/>
          <w:sz w:val="22"/>
          <w:szCs w:val="22"/>
          <w:lang w:val="en-US"/>
        </w:rPr>
        <w:t xml:space="preserve"> </w:t>
      </w:r>
    </w:p>
    <w:p w14:paraId="647A0E7E" w14:textId="77777777" w:rsidR="00E02FB9" w:rsidRPr="00DA7827" w:rsidRDefault="00E02FB9" w:rsidP="00943B36">
      <w:pPr>
        <w:pStyle w:val="ListParagraph"/>
        <w:jc w:val="both"/>
        <w:rPr>
          <w:rFonts w:ascii="Verdana" w:hAnsi="Verdana"/>
          <w:sz w:val="22"/>
          <w:szCs w:val="22"/>
          <w:lang w:val="en-US"/>
        </w:rPr>
      </w:pPr>
    </w:p>
    <w:p w14:paraId="4416E5FA" w14:textId="4CB8920B" w:rsidR="00E02FB9" w:rsidRPr="00122839" w:rsidRDefault="00E02FB9" w:rsidP="00943B36">
      <w:pPr>
        <w:pStyle w:val="ListParagraph"/>
        <w:numPr>
          <w:ilvl w:val="0"/>
          <w:numId w:val="3"/>
        </w:numPr>
        <w:ind w:left="567" w:hanging="425"/>
        <w:jc w:val="both"/>
        <w:rPr>
          <w:rFonts w:ascii="Verdana" w:hAnsi="Verdana"/>
          <w:sz w:val="22"/>
          <w:szCs w:val="22"/>
          <w:lang w:val="en-US"/>
        </w:rPr>
      </w:pPr>
      <w:r w:rsidRPr="00DA7827">
        <w:rPr>
          <w:rFonts w:ascii="Verdana" w:hAnsi="Verdana"/>
          <w:sz w:val="22"/>
          <w:szCs w:val="22"/>
          <w:lang w:val="en-US"/>
        </w:rPr>
        <w:t xml:space="preserve">First, </w:t>
      </w:r>
      <w:r w:rsidR="00574A5D" w:rsidRPr="00DA7827">
        <w:rPr>
          <w:rFonts w:ascii="Verdana" w:hAnsi="Verdana"/>
          <w:sz w:val="22"/>
          <w:szCs w:val="22"/>
          <w:lang w:val="en-US"/>
        </w:rPr>
        <w:t>the majority of th</w:t>
      </w:r>
      <w:r w:rsidRPr="00DA7827">
        <w:rPr>
          <w:rFonts w:ascii="Verdana" w:hAnsi="Verdana"/>
          <w:sz w:val="22"/>
          <w:szCs w:val="22"/>
          <w:lang w:val="en-US"/>
        </w:rPr>
        <w:t>e Supreme Court’s</w:t>
      </w:r>
      <w:r w:rsidR="00574A5D" w:rsidRPr="00DA7827">
        <w:rPr>
          <w:rFonts w:ascii="Verdana" w:hAnsi="Verdana"/>
          <w:sz w:val="22"/>
          <w:szCs w:val="22"/>
          <w:lang w:val="en-US"/>
        </w:rPr>
        <w:t xml:space="preserve"> ruling</w:t>
      </w:r>
      <w:r w:rsidRPr="00DA7827">
        <w:rPr>
          <w:rFonts w:ascii="Verdana" w:hAnsi="Verdana"/>
          <w:sz w:val="22"/>
          <w:szCs w:val="22"/>
          <w:lang w:val="en-US"/>
        </w:rPr>
        <w:t>s pertaining to disability rights</w:t>
      </w:r>
      <w:r w:rsidR="00574A5D" w:rsidRPr="00DA7827">
        <w:rPr>
          <w:rFonts w:ascii="Verdana" w:hAnsi="Verdana"/>
          <w:sz w:val="22"/>
          <w:szCs w:val="22"/>
          <w:lang w:val="en-US"/>
        </w:rPr>
        <w:t xml:space="preserve"> do not address criminal matters</w:t>
      </w:r>
      <w:r w:rsidRPr="00DA7827">
        <w:rPr>
          <w:rFonts w:ascii="Verdana" w:hAnsi="Verdana"/>
          <w:sz w:val="22"/>
          <w:szCs w:val="22"/>
          <w:lang w:val="en-US"/>
        </w:rPr>
        <w:t>,</w:t>
      </w:r>
      <w:r w:rsidR="007F1B56">
        <w:rPr>
          <w:rFonts w:ascii="Verdana" w:hAnsi="Verdana"/>
          <w:sz w:val="22"/>
          <w:szCs w:val="22"/>
          <w:lang w:val="en-US"/>
        </w:rPr>
        <w:t xml:space="preserve"> </w:t>
      </w:r>
      <w:r w:rsidR="00122839" w:rsidRPr="00122839">
        <w:rPr>
          <w:rFonts w:ascii="Verdana" w:hAnsi="Verdana"/>
          <w:sz w:val="22"/>
          <w:szCs w:val="22"/>
          <w:lang w:val="en-US"/>
        </w:rPr>
        <w:t xml:space="preserve">but have focused on civil </w:t>
      </w:r>
      <w:r w:rsidR="00122839" w:rsidRPr="00122839">
        <w:rPr>
          <w:rFonts w:ascii="Verdana" w:hAnsi="Verdana"/>
          <w:sz w:val="22"/>
          <w:szCs w:val="22"/>
          <w:lang w:val="en-US"/>
        </w:rPr>
        <w:lastRenderedPageBreak/>
        <w:t>law provisions regarding the guardianship system (</w:t>
      </w:r>
      <w:r w:rsidR="00122839" w:rsidRPr="00122839">
        <w:rPr>
          <w:rFonts w:ascii="Verdana" w:hAnsi="Verdana"/>
          <w:i/>
          <w:iCs/>
          <w:sz w:val="22"/>
          <w:szCs w:val="22"/>
          <w:lang w:val="en-US"/>
        </w:rPr>
        <w:t>régimen de interdicción</w:t>
      </w:r>
      <w:r w:rsidR="00122839" w:rsidRPr="00122839">
        <w:rPr>
          <w:rFonts w:ascii="Verdana" w:hAnsi="Verdana"/>
          <w:sz w:val="22"/>
          <w:szCs w:val="22"/>
          <w:lang w:val="en-US"/>
        </w:rPr>
        <w:t>)</w:t>
      </w:r>
      <w:r w:rsidR="00574A5D" w:rsidRPr="00122839">
        <w:rPr>
          <w:rFonts w:ascii="Verdana" w:hAnsi="Verdana"/>
          <w:sz w:val="22"/>
          <w:szCs w:val="22"/>
          <w:lang w:val="en-US"/>
        </w:rPr>
        <w:t>.</w:t>
      </w:r>
      <w:r w:rsidR="002019EC">
        <w:rPr>
          <w:rStyle w:val="FootnoteReference"/>
          <w:rFonts w:ascii="Verdana" w:hAnsi="Verdana"/>
          <w:sz w:val="22"/>
          <w:szCs w:val="22"/>
          <w:lang w:val="en-US"/>
        </w:rPr>
        <w:footnoteReference w:id="31"/>
      </w:r>
      <w:r w:rsidR="00574A5D" w:rsidRPr="00122839">
        <w:rPr>
          <w:rFonts w:ascii="Verdana" w:hAnsi="Verdana"/>
          <w:sz w:val="22"/>
          <w:szCs w:val="22"/>
          <w:lang w:val="en-US"/>
        </w:rPr>
        <w:t xml:space="preserve"> </w:t>
      </w:r>
    </w:p>
    <w:p w14:paraId="3D818974" w14:textId="77777777" w:rsidR="00E02FB9" w:rsidRPr="00DA7827" w:rsidRDefault="00E02FB9" w:rsidP="00943B36">
      <w:pPr>
        <w:pStyle w:val="ListParagraph"/>
        <w:jc w:val="both"/>
        <w:rPr>
          <w:rFonts w:ascii="Verdana" w:hAnsi="Verdana"/>
          <w:sz w:val="22"/>
          <w:szCs w:val="22"/>
          <w:lang w:val="en-US"/>
        </w:rPr>
      </w:pPr>
    </w:p>
    <w:p w14:paraId="707BF487" w14:textId="33F9BE83" w:rsidR="00E02FB9" w:rsidRPr="00DA7827" w:rsidRDefault="00E02FB9" w:rsidP="00943B36">
      <w:pPr>
        <w:pStyle w:val="ListParagraph"/>
        <w:numPr>
          <w:ilvl w:val="0"/>
          <w:numId w:val="3"/>
        </w:numPr>
        <w:ind w:left="567" w:hanging="425"/>
        <w:jc w:val="both"/>
        <w:rPr>
          <w:rFonts w:ascii="Verdana" w:hAnsi="Verdana"/>
          <w:sz w:val="22"/>
          <w:szCs w:val="22"/>
          <w:lang w:val="en-US"/>
        </w:rPr>
      </w:pPr>
      <w:r w:rsidRPr="00DA7827">
        <w:rPr>
          <w:rFonts w:ascii="Verdana" w:hAnsi="Verdana"/>
          <w:sz w:val="22"/>
          <w:szCs w:val="22"/>
          <w:lang w:val="en-US"/>
        </w:rPr>
        <w:t>Second</w:t>
      </w:r>
      <w:r w:rsidR="00574A5D" w:rsidRPr="00DA7827">
        <w:rPr>
          <w:rFonts w:ascii="Verdana" w:hAnsi="Verdana"/>
          <w:sz w:val="22"/>
          <w:szCs w:val="22"/>
          <w:lang w:val="en-US"/>
        </w:rPr>
        <w:t>, as mentioned in the General Direction of Human Rights Affairs of the Supreme Court of Justice’s letter to the ICJ, the Supreme Court has not pronounced</w:t>
      </w:r>
      <w:r w:rsidR="00122839" w:rsidRPr="00122839">
        <w:rPr>
          <w:rFonts w:ascii="Verdana" w:hAnsi="Verdana"/>
          <w:sz w:val="22"/>
          <w:szCs w:val="22"/>
          <w:lang w:val="en-US"/>
        </w:rPr>
        <w:t xml:space="preserve"> on</w:t>
      </w:r>
      <w:r w:rsidR="00574A5D" w:rsidRPr="00DA7827">
        <w:rPr>
          <w:rFonts w:ascii="Verdana" w:hAnsi="Verdana"/>
          <w:sz w:val="22"/>
          <w:szCs w:val="22"/>
          <w:lang w:val="en-US"/>
        </w:rPr>
        <w:t xml:space="preserve"> the non-liability declaration in cases of persons with disabilities.</w:t>
      </w:r>
      <w:r w:rsidR="007F1B56">
        <w:rPr>
          <w:rFonts w:ascii="Verdana" w:hAnsi="Verdana"/>
          <w:sz w:val="22"/>
          <w:szCs w:val="22"/>
          <w:lang w:val="en-US"/>
        </w:rPr>
        <w:t xml:space="preserve"> </w:t>
      </w:r>
    </w:p>
    <w:p w14:paraId="5E60D2E1" w14:textId="77777777" w:rsidR="00E02FB9" w:rsidRPr="00DA7827" w:rsidRDefault="00E02FB9" w:rsidP="00943B36">
      <w:pPr>
        <w:pStyle w:val="ListParagraph"/>
        <w:jc w:val="both"/>
        <w:rPr>
          <w:rFonts w:ascii="Verdana" w:hAnsi="Verdana"/>
          <w:sz w:val="22"/>
          <w:szCs w:val="22"/>
          <w:lang w:val="en-US"/>
        </w:rPr>
      </w:pPr>
    </w:p>
    <w:p w14:paraId="13A9634A" w14:textId="7617C86D" w:rsidR="00122839" w:rsidRPr="00122839" w:rsidRDefault="00122839" w:rsidP="00943B36">
      <w:pPr>
        <w:pStyle w:val="ListParagraph"/>
        <w:numPr>
          <w:ilvl w:val="0"/>
          <w:numId w:val="3"/>
        </w:numPr>
        <w:ind w:left="567" w:hanging="425"/>
        <w:jc w:val="both"/>
        <w:rPr>
          <w:rFonts w:ascii="Verdana" w:hAnsi="Verdana"/>
          <w:sz w:val="22"/>
          <w:szCs w:val="22"/>
          <w:lang w:val="en-US"/>
        </w:rPr>
      </w:pPr>
      <w:r w:rsidRPr="00122839">
        <w:rPr>
          <w:rFonts w:ascii="Verdana" w:hAnsi="Verdana"/>
          <w:sz w:val="22"/>
          <w:szCs w:val="22"/>
          <w:lang w:val="en-US"/>
        </w:rPr>
        <w:t>Third, Mexico does not employ the same system of judicial precedent that is applied in many common law jurisdictions and some civil law jurisdictions, thus limiting the legal precedent impact of Supreme Court’s pronouncements. Before a very recent reform to Mexico’s legal precedent system in March 2021, the reasoning or criterion adopted by the Supreme Court in its judgments in any particular case became a legal precedent (jurisprudencia) mandatory for all other courts to follow only if the Supreme Court applied it in five consecutive decisions. In addition, for these decisions to carry this legal precedent</w:t>
      </w:r>
      <w:r w:rsidR="00704CC1">
        <w:rPr>
          <w:rFonts w:ascii="Verdana" w:hAnsi="Verdana"/>
          <w:sz w:val="22"/>
          <w:szCs w:val="22"/>
          <w:lang w:val="en-US"/>
        </w:rPr>
        <w:t>ial</w:t>
      </w:r>
      <w:r w:rsidRPr="00122839">
        <w:rPr>
          <w:rFonts w:ascii="Verdana" w:hAnsi="Verdana"/>
          <w:sz w:val="22"/>
          <w:szCs w:val="22"/>
          <w:lang w:val="en-US"/>
        </w:rPr>
        <w:t xml:space="preserve"> value, the five decisions had to be adopted by a majority of eight justices when the decisions were issued by the Plenary of the Supreme Court. When the decisions were issued by one the chambers of the Supreme Court, the decisions had to be adopted by a majority of four justices.</w:t>
      </w:r>
      <w:r w:rsidRPr="00DA7827">
        <w:rPr>
          <w:rStyle w:val="FootnoteReference"/>
          <w:rFonts w:ascii="Verdana" w:hAnsi="Verdana"/>
          <w:sz w:val="22"/>
          <w:szCs w:val="22"/>
          <w:lang w:val="en-US"/>
        </w:rPr>
        <w:footnoteReference w:id="32"/>
      </w:r>
      <w:r w:rsidRPr="00122839">
        <w:rPr>
          <w:rFonts w:ascii="Verdana" w:hAnsi="Verdana"/>
          <w:sz w:val="22"/>
          <w:szCs w:val="22"/>
          <w:lang w:val="en-US"/>
        </w:rPr>
        <w:t xml:space="preserve"> Since many of the decisions of the Supreme Court on the human rights of persons with disabilities were adopted before the 2021 reform, and covered diverse topics and the legislation from different states, none created a judicial precedent binding on other courts.</w:t>
      </w:r>
      <w:r w:rsidR="007F1B56">
        <w:rPr>
          <w:rFonts w:ascii="Verdana" w:hAnsi="Verdana"/>
          <w:sz w:val="22"/>
          <w:szCs w:val="22"/>
          <w:lang w:val="en-US"/>
        </w:rPr>
        <w:t xml:space="preserve"> </w:t>
      </w:r>
    </w:p>
    <w:p w14:paraId="704F2A54" w14:textId="77777777" w:rsidR="00122839" w:rsidRDefault="00122839" w:rsidP="00943B36">
      <w:pPr>
        <w:pStyle w:val="ListParagraph"/>
        <w:ind w:left="567"/>
        <w:jc w:val="both"/>
        <w:rPr>
          <w:rFonts w:ascii="Verdana" w:hAnsi="Verdana"/>
          <w:sz w:val="22"/>
          <w:szCs w:val="22"/>
          <w:lang w:val="en-US"/>
        </w:rPr>
      </w:pPr>
    </w:p>
    <w:p w14:paraId="5E687CEB" w14:textId="77777777" w:rsidR="00704CC1" w:rsidRDefault="00574A5D" w:rsidP="00704CC1">
      <w:pPr>
        <w:pStyle w:val="ListParagraph"/>
        <w:numPr>
          <w:ilvl w:val="0"/>
          <w:numId w:val="3"/>
        </w:numPr>
        <w:ind w:left="567" w:hanging="425"/>
        <w:jc w:val="both"/>
        <w:rPr>
          <w:rFonts w:ascii="Verdana" w:hAnsi="Verdana"/>
          <w:sz w:val="22"/>
          <w:szCs w:val="22"/>
          <w:lang w:val="en-US"/>
        </w:rPr>
      </w:pPr>
      <w:r w:rsidRPr="00DA7827">
        <w:rPr>
          <w:rFonts w:ascii="Verdana" w:hAnsi="Verdana"/>
          <w:sz w:val="22"/>
          <w:szCs w:val="22"/>
          <w:lang w:val="en-US"/>
        </w:rPr>
        <w:lastRenderedPageBreak/>
        <w:t>The current</w:t>
      </w:r>
      <w:r w:rsidR="00943B36">
        <w:rPr>
          <w:rFonts w:ascii="Verdana" w:hAnsi="Verdana"/>
          <w:sz w:val="22"/>
          <w:szCs w:val="22"/>
          <w:lang w:val="en-US"/>
        </w:rPr>
        <w:t xml:space="preserve"> legal</w:t>
      </w:r>
      <w:r w:rsidRPr="00DA7827">
        <w:rPr>
          <w:rFonts w:ascii="Verdana" w:hAnsi="Verdana"/>
          <w:sz w:val="22"/>
          <w:szCs w:val="22"/>
          <w:lang w:val="en-US"/>
        </w:rPr>
        <w:t xml:space="preserve"> precedent system</w:t>
      </w:r>
      <w:r w:rsidR="00740E1A" w:rsidRPr="00DA7827">
        <w:rPr>
          <w:rFonts w:ascii="Verdana" w:hAnsi="Verdana"/>
          <w:sz w:val="22"/>
          <w:szCs w:val="22"/>
          <w:lang w:val="en-US"/>
        </w:rPr>
        <w:t>,</w:t>
      </w:r>
      <w:r w:rsidRPr="00DA7827">
        <w:rPr>
          <w:rStyle w:val="FootnoteReference"/>
          <w:rFonts w:ascii="Verdana" w:hAnsi="Verdana"/>
          <w:sz w:val="22"/>
          <w:szCs w:val="22"/>
          <w:lang w:val="en-US"/>
        </w:rPr>
        <w:footnoteReference w:id="33"/>
      </w:r>
      <w:r w:rsidR="00740E1A" w:rsidRPr="00DA7827">
        <w:rPr>
          <w:rFonts w:ascii="Verdana" w:hAnsi="Verdana"/>
          <w:sz w:val="22"/>
          <w:szCs w:val="22"/>
          <w:lang w:val="en-US"/>
        </w:rPr>
        <w:t xml:space="preserve"> as updated in March 2021,</w:t>
      </w:r>
      <w:r w:rsidRPr="00DA7827">
        <w:rPr>
          <w:rFonts w:ascii="Verdana" w:hAnsi="Verdana"/>
          <w:sz w:val="22"/>
          <w:szCs w:val="22"/>
          <w:lang w:val="en-US"/>
        </w:rPr>
        <w:t xml:space="preserve"> establishes that “the reasons that justify the decisions” (</w:t>
      </w:r>
      <w:r w:rsidRPr="00DA7827">
        <w:rPr>
          <w:rFonts w:ascii="Verdana" w:hAnsi="Verdana"/>
          <w:i/>
          <w:iCs/>
          <w:sz w:val="22"/>
          <w:szCs w:val="22"/>
          <w:lang w:val="en-US"/>
        </w:rPr>
        <w:t>las razones que justifiquen las decisiones</w:t>
      </w:r>
      <w:r w:rsidRPr="00DA7827">
        <w:rPr>
          <w:rFonts w:ascii="Verdana" w:hAnsi="Verdana"/>
          <w:sz w:val="22"/>
          <w:szCs w:val="22"/>
          <w:lang w:val="en-US"/>
        </w:rPr>
        <w:t>) handed down by the Supreme Court become a mandatory precedent (</w:t>
      </w:r>
      <w:r w:rsidRPr="00DA7827">
        <w:rPr>
          <w:rFonts w:ascii="Verdana" w:hAnsi="Verdana"/>
          <w:i/>
          <w:iCs/>
          <w:sz w:val="22"/>
          <w:szCs w:val="22"/>
          <w:lang w:val="en-US"/>
        </w:rPr>
        <w:t>jurisprudencia por precedentes obligatorios</w:t>
      </w:r>
      <w:r w:rsidRPr="00DA7827">
        <w:rPr>
          <w:rFonts w:ascii="Verdana" w:hAnsi="Verdana"/>
          <w:sz w:val="22"/>
          <w:szCs w:val="22"/>
          <w:lang w:val="en-US"/>
        </w:rPr>
        <w:t>) when they are issued by the Plenary of the Supreme Court by a majority of eight votes</w:t>
      </w:r>
      <w:r w:rsidR="00740E1A" w:rsidRPr="00DA7827">
        <w:rPr>
          <w:rFonts w:ascii="Verdana" w:hAnsi="Verdana"/>
          <w:sz w:val="22"/>
          <w:szCs w:val="22"/>
          <w:lang w:val="en-US"/>
        </w:rPr>
        <w:t>, or</w:t>
      </w:r>
      <w:r w:rsidR="007F1B56">
        <w:rPr>
          <w:rFonts w:ascii="Verdana" w:hAnsi="Verdana"/>
          <w:sz w:val="22"/>
          <w:szCs w:val="22"/>
          <w:lang w:val="en-US"/>
        </w:rPr>
        <w:t xml:space="preserve"> </w:t>
      </w:r>
      <w:r w:rsidR="00740E1A" w:rsidRPr="00DA7827">
        <w:rPr>
          <w:rFonts w:ascii="Verdana" w:hAnsi="Verdana"/>
          <w:sz w:val="22"/>
          <w:szCs w:val="22"/>
          <w:lang w:val="en-US"/>
        </w:rPr>
        <w:t>where</w:t>
      </w:r>
      <w:r w:rsidRPr="00DA7827">
        <w:rPr>
          <w:rFonts w:ascii="Verdana" w:hAnsi="Verdana"/>
          <w:sz w:val="22"/>
          <w:szCs w:val="22"/>
          <w:lang w:val="en-US"/>
        </w:rPr>
        <w:t xml:space="preserve"> they are handed down by one of the Chambers of the Supreme Court</w:t>
      </w:r>
      <w:r w:rsidR="00740E1A" w:rsidRPr="00DA7827">
        <w:rPr>
          <w:rFonts w:ascii="Verdana" w:hAnsi="Verdana"/>
          <w:sz w:val="22"/>
          <w:szCs w:val="22"/>
          <w:lang w:val="en-US"/>
        </w:rPr>
        <w:t xml:space="preserve">, </w:t>
      </w:r>
      <w:r w:rsidR="00943B36">
        <w:rPr>
          <w:rFonts w:ascii="Verdana" w:hAnsi="Verdana"/>
          <w:sz w:val="22"/>
          <w:szCs w:val="22"/>
          <w:lang w:val="en-US"/>
        </w:rPr>
        <w:t xml:space="preserve">by </w:t>
      </w:r>
      <w:r w:rsidR="00740E1A" w:rsidRPr="00DA7827">
        <w:rPr>
          <w:rFonts w:ascii="Verdana" w:hAnsi="Verdana"/>
          <w:sz w:val="22"/>
          <w:szCs w:val="22"/>
          <w:lang w:val="en-US"/>
        </w:rPr>
        <w:t>a</w:t>
      </w:r>
      <w:r w:rsidRPr="00DA7827">
        <w:rPr>
          <w:rFonts w:ascii="Verdana" w:hAnsi="Verdana"/>
          <w:sz w:val="22"/>
          <w:szCs w:val="22"/>
          <w:lang w:val="en-US"/>
        </w:rPr>
        <w:t xml:space="preserve"> majority of four votes.</w:t>
      </w:r>
      <w:r w:rsidRPr="00DA7827">
        <w:rPr>
          <w:rStyle w:val="FootnoteReference"/>
          <w:rFonts w:ascii="Verdana" w:hAnsi="Verdana"/>
          <w:sz w:val="22"/>
          <w:szCs w:val="22"/>
          <w:lang w:val="en-US"/>
        </w:rPr>
        <w:footnoteReference w:id="34"/>
      </w:r>
      <w:r w:rsidR="007E78B5">
        <w:rPr>
          <w:rFonts w:ascii="Verdana" w:hAnsi="Verdana"/>
          <w:sz w:val="22"/>
          <w:szCs w:val="22"/>
          <w:lang w:val="en-US"/>
        </w:rPr>
        <w:t xml:space="preserve"> </w:t>
      </w:r>
      <w:r w:rsidR="00943B36" w:rsidRPr="00943B36">
        <w:rPr>
          <w:rFonts w:ascii="Verdana" w:hAnsi="Verdana"/>
          <w:sz w:val="22"/>
          <w:szCs w:val="22"/>
          <w:lang w:val="en-US"/>
        </w:rPr>
        <w:t>The new rules concerning the legal precedent system do not apply retroactively</w:t>
      </w:r>
      <w:r w:rsidR="00943B36">
        <w:rPr>
          <w:rFonts w:ascii="Verdana" w:hAnsi="Verdana"/>
          <w:sz w:val="22"/>
          <w:szCs w:val="22"/>
          <w:lang w:val="en-US"/>
        </w:rPr>
        <w:t>.</w:t>
      </w:r>
    </w:p>
    <w:p w14:paraId="698D3782" w14:textId="77777777" w:rsidR="00704CC1" w:rsidRPr="00704CC1" w:rsidRDefault="00704CC1" w:rsidP="00704CC1">
      <w:pPr>
        <w:pStyle w:val="ListParagraph"/>
        <w:rPr>
          <w:rFonts w:ascii="Verdana" w:hAnsi="Verdana"/>
          <w:sz w:val="22"/>
          <w:szCs w:val="22"/>
          <w:lang w:val="en-US"/>
        </w:rPr>
      </w:pPr>
    </w:p>
    <w:p w14:paraId="2A5AF0BF" w14:textId="126C438F" w:rsidR="00981BD5" w:rsidRPr="00704CC1" w:rsidRDefault="00943B36" w:rsidP="00704CC1">
      <w:pPr>
        <w:pStyle w:val="ListParagraph"/>
        <w:numPr>
          <w:ilvl w:val="0"/>
          <w:numId w:val="3"/>
        </w:numPr>
        <w:ind w:left="567" w:hanging="425"/>
        <w:jc w:val="both"/>
        <w:rPr>
          <w:rFonts w:ascii="Verdana" w:hAnsi="Verdana"/>
          <w:sz w:val="22"/>
          <w:szCs w:val="22"/>
          <w:lang w:val="en-US"/>
        </w:rPr>
      </w:pPr>
      <w:r w:rsidRPr="00704CC1">
        <w:rPr>
          <w:rFonts w:ascii="Verdana" w:hAnsi="Verdana"/>
          <w:sz w:val="22"/>
          <w:szCs w:val="22"/>
          <w:lang w:val="en-US"/>
        </w:rPr>
        <w:t>It is hoped that the new system of judicial precedent will assist in facilitating the adoption of judgments relating to the human rights of persons with disabilities throughout the judicial system with binding precedent value. However, it should be noted that the new legal precedent system does not have any impact on the Court's past decisions. This means that only decisions adopted after March 2021 can become mandatory precedents. It will also take time for judges of lower courts to become familiar with both the legal precedent system, which alters well over 100 years of legal culture in Mexico, as well as the jurisprudence of the Supreme Court on a full range of areas, including the human rights of persons with disabilities.</w:t>
      </w:r>
      <w:r w:rsidR="007F1B56" w:rsidRPr="00704CC1">
        <w:rPr>
          <w:rFonts w:ascii="Verdana" w:hAnsi="Verdana"/>
          <w:sz w:val="22"/>
          <w:szCs w:val="22"/>
          <w:lang w:val="en-US"/>
        </w:rPr>
        <w:t xml:space="preserve"> </w:t>
      </w:r>
    </w:p>
    <w:p w14:paraId="32E80A91" w14:textId="77777777" w:rsidR="00943B36" w:rsidRPr="008C5677" w:rsidRDefault="00943B36" w:rsidP="00943B36">
      <w:pPr>
        <w:pStyle w:val="ListParagraph"/>
        <w:jc w:val="both"/>
        <w:rPr>
          <w:rFonts w:ascii="Verdana" w:hAnsi="Verdana"/>
          <w:sz w:val="22"/>
          <w:szCs w:val="22"/>
          <w:lang w:val="en-US"/>
        </w:rPr>
      </w:pPr>
    </w:p>
    <w:p w14:paraId="13CFEA44" w14:textId="15A17F4F" w:rsidR="00981BD5" w:rsidRPr="008C5677" w:rsidRDefault="005E357E" w:rsidP="00943B36">
      <w:pPr>
        <w:pStyle w:val="ListParagraph"/>
        <w:numPr>
          <w:ilvl w:val="0"/>
          <w:numId w:val="3"/>
        </w:numPr>
        <w:ind w:hanging="436"/>
        <w:jc w:val="both"/>
        <w:rPr>
          <w:rFonts w:ascii="Verdana" w:hAnsi="Verdana"/>
          <w:b/>
          <w:bCs/>
          <w:sz w:val="22"/>
          <w:szCs w:val="22"/>
          <w:lang w:val="en-US"/>
        </w:rPr>
      </w:pPr>
      <w:r w:rsidRPr="008C5677">
        <w:rPr>
          <w:rFonts w:ascii="Verdana" w:hAnsi="Verdana"/>
          <w:b/>
          <w:bCs/>
          <w:sz w:val="22"/>
          <w:szCs w:val="22"/>
          <w:lang w:val="en-US"/>
        </w:rPr>
        <w:t>In light of the above, the ICJ invites this Committee to address the following recommendations to the Mexican authorities</w:t>
      </w:r>
      <w:r w:rsidR="00760955" w:rsidRPr="008C5677">
        <w:rPr>
          <w:rFonts w:ascii="Verdana" w:hAnsi="Verdana"/>
          <w:b/>
          <w:bCs/>
          <w:sz w:val="22"/>
          <w:szCs w:val="22"/>
          <w:lang w:val="en-US"/>
        </w:rPr>
        <w:t>:</w:t>
      </w:r>
    </w:p>
    <w:p w14:paraId="134DB7E1" w14:textId="77777777" w:rsidR="00760955" w:rsidRPr="008C5677" w:rsidRDefault="00760955" w:rsidP="00943B36">
      <w:pPr>
        <w:pStyle w:val="ListParagraph"/>
        <w:ind w:hanging="436"/>
        <w:jc w:val="both"/>
        <w:rPr>
          <w:rFonts w:ascii="Verdana" w:hAnsi="Verdana"/>
          <w:b/>
          <w:bCs/>
          <w:sz w:val="22"/>
          <w:szCs w:val="22"/>
          <w:lang w:val="en-US"/>
        </w:rPr>
      </w:pPr>
    </w:p>
    <w:p w14:paraId="699146EB" w14:textId="77777777" w:rsidR="00477BCE" w:rsidRPr="008C5677" w:rsidRDefault="00760955" w:rsidP="00943B36">
      <w:pPr>
        <w:pStyle w:val="ListParagraph"/>
        <w:numPr>
          <w:ilvl w:val="1"/>
          <w:numId w:val="3"/>
        </w:numPr>
        <w:tabs>
          <w:tab w:val="left" w:pos="1560"/>
        </w:tabs>
        <w:ind w:hanging="436"/>
        <w:jc w:val="both"/>
        <w:rPr>
          <w:rFonts w:ascii="Verdana" w:hAnsi="Verdana"/>
          <w:b/>
          <w:bCs/>
          <w:sz w:val="22"/>
          <w:szCs w:val="22"/>
          <w:lang w:val="en-US"/>
        </w:rPr>
      </w:pPr>
      <w:r w:rsidRPr="008C5677">
        <w:rPr>
          <w:rFonts w:ascii="Verdana" w:hAnsi="Verdana"/>
          <w:b/>
          <w:bCs/>
          <w:sz w:val="22"/>
          <w:szCs w:val="22"/>
          <w:lang w:val="en-US"/>
        </w:rPr>
        <w:t xml:space="preserve">publish and widely disseminate a fully updated version of </w:t>
      </w:r>
      <w:r w:rsidR="00DA7827" w:rsidRPr="008C5677">
        <w:rPr>
          <w:rFonts w:ascii="Verdana" w:hAnsi="Verdana"/>
          <w:b/>
          <w:bCs/>
          <w:sz w:val="22"/>
          <w:szCs w:val="22"/>
          <w:lang w:val="en-US"/>
        </w:rPr>
        <w:t>the</w:t>
      </w:r>
      <w:r w:rsidRPr="008C5677">
        <w:rPr>
          <w:rFonts w:ascii="Verdana" w:hAnsi="Verdana"/>
          <w:b/>
          <w:bCs/>
          <w:sz w:val="22"/>
          <w:szCs w:val="22"/>
          <w:lang w:val="en-US"/>
        </w:rPr>
        <w:t xml:space="preserve"> “Protocol for actions of persons who administer </w:t>
      </w:r>
      <w:r w:rsidRPr="008C5677">
        <w:rPr>
          <w:rFonts w:ascii="Verdana" w:hAnsi="Verdana"/>
          <w:b/>
          <w:bCs/>
          <w:sz w:val="22"/>
          <w:szCs w:val="22"/>
          <w:lang w:val="en-US"/>
        </w:rPr>
        <w:lastRenderedPageBreak/>
        <w:t>justice in cases that involve the rights of persons with disabilities”, which include</w:t>
      </w:r>
      <w:r w:rsidR="00477BCE" w:rsidRPr="008C5677">
        <w:rPr>
          <w:rFonts w:ascii="Verdana" w:hAnsi="Verdana"/>
          <w:b/>
          <w:bCs/>
          <w:sz w:val="22"/>
          <w:szCs w:val="22"/>
          <w:lang w:val="en-US"/>
        </w:rPr>
        <w:t>:</w:t>
      </w:r>
    </w:p>
    <w:p w14:paraId="11EEA4B8" w14:textId="4DC8818A" w:rsidR="00760955" w:rsidRPr="008C5677" w:rsidRDefault="00760955" w:rsidP="00943B36">
      <w:pPr>
        <w:pStyle w:val="ListParagraph"/>
        <w:numPr>
          <w:ilvl w:val="2"/>
          <w:numId w:val="3"/>
        </w:numPr>
        <w:ind w:hanging="436"/>
        <w:jc w:val="both"/>
        <w:rPr>
          <w:rFonts w:ascii="Verdana" w:hAnsi="Verdana"/>
          <w:b/>
          <w:bCs/>
          <w:sz w:val="22"/>
          <w:szCs w:val="22"/>
          <w:lang w:val="en-US"/>
        </w:rPr>
      </w:pPr>
      <w:r w:rsidRPr="008C5677">
        <w:rPr>
          <w:rFonts w:ascii="Verdana" w:hAnsi="Verdana"/>
          <w:b/>
          <w:bCs/>
          <w:sz w:val="22"/>
          <w:szCs w:val="22"/>
          <w:lang w:val="en-US"/>
        </w:rPr>
        <w:t xml:space="preserve">direct reference to </w:t>
      </w:r>
      <w:r w:rsidR="00DA7827" w:rsidRPr="008C5677">
        <w:rPr>
          <w:rFonts w:ascii="Verdana" w:hAnsi="Verdana"/>
          <w:b/>
          <w:bCs/>
          <w:sz w:val="22"/>
          <w:szCs w:val="22"/>
          <w:lang w:val="en-US"/>
        </w:rPr>
        <w:t xml:space="preserve">Committee’s </w:t>
      </w:r>
      <w:r w:rsidR="00943B36">
        <w:rPr>
          <w:rFonts w:ascii="Verdana" w:hAnsi="Verdana"/>
          <w:b/>
          <w:bCs/>
          <w:sz w:val="22"/>
          <w:szCs w:val="22"/>
          <w:lang w:val="en-US"/>
        </w:rPr>
        <w:t>C</w:t>
      </w:r>
      <w:r w:rsidR="00DA7827" w:rsidRPr="008C5677">
        <w:rPr>
          <w:rFonts w:ascii="Verdana" w:hAnsi="Verdana"/>
          <w:b/>
          <w:bCs/>
          <w:sz w:val="22"/>
          <w:szCs w:val="22"/>
          <w:lang w:val="en-US"/>
        </w:rPr>
        <w:t xml:space="preserve">oncluding </w:t>
      </w:r>
      <w:r w:rsidR="00943B36">
        <w:rPr>
          <w:rFonts w:ascii="Verdana" w:hAnsi="Verdana"/>
          <w:b/>
          <w:bCs/>
          <w:sz w:val="22"/>
          <w:szCs w:val="22"/>
          <w:lang w:val="en-US"/>
        </w:rPr>
        <w:t>O</w:t>
      </w:r>
      <w:r w:rsidR="00DA7827" w:rsidRPr="008C5677">
        <w:rPr>
          <w:rFonts w:ascii="Verdana" w:hAnsi="Verdana"/>
          <w:b/>
          <w:bCs/>
          <w:sz w:val="22"/>
          <w:szCs w:val="22"/>
          <w:lang w:val="en-US"/>
        </w:rPr>
        <w:t>bservations to Mexico, its decision in Mr Vela’s case and the UN Special Rapporteur’s International Principles and Guidelines on Access to Justice for Persons with Disabilities</w:t>
      </w:r>
      <w:r w:rsidR="00477BCE" w:rsidRPr="008C5677">
        <w:rPr>
          <w:rFonts w:ascii="Verdana" w:hAnsi="Verdana"/>
          <w:b/>
          <w:bCs/>
          <w:sz w:val="22"/>
          <w:szCs w:val="22"/>
          <w:lang w:val="en-US"/>
        </w:rPr>
        <w:t>; and</w:t>
      </w:r>
    </w:p>
    <w:p w14:paraId="6FA9B4B9" w14:textId="3D5764CA" w:rsidR="00477BCE" w:rsidRDefault="00704CC1" w:rsidP="00943B36">
      <w:pPr>
        <w:pStyle w:val="ListParagraph"/>
        <w:numPr>
          <w:ilvl w:val="2"/>
          <w:numId w:val="3"/>
        </w:numPr>
        <w:ind w:hanging="436"/>
        <w:jc w:val="both"/>
        <w:rPr>
          <w:rFonts w:ascii="Verdana" w:hAnsi="Verdana"/>
          <w:b/>
          <w:bCs/>
          <w:sz w:val="22"/>
          <w:szCs w:val="22"/>
          <w:lang w:val="en-US"/>
        </w:rPr>
      </w:pPr>
      <w:r>
        <w:rPr>
          <w:rFonts w:ascii="Verdana" w:hAnsi="Verdana"/>
          <w:b/>
          <w:bCs/>
          <w:sz w:val="22"/>
          <w:szCs w:val="22"/>
          <w:lang w:val="en-US"/>
        </w:rPr>
        <w:t>a</w:t>
      </w:r>
      <w:r w:rsidR="00477BCE" w:rsidRPr="008C5677">
        <w:rPr>
          <w:rFonts w:ascii="Verdana" w:hAnsi="Verdana"/>
          <w:b/>
          <w:bCs/>
          <w:sz w:val="22"/>
          <w:szCs w:val="22"/>
          <w:lang w:val="en-US"/>
        </w:rPr>
        <w:t>n overview of judicial precedent</w:t>
      </w:r>
      <w:r w:rsidR="00943B36">
        <w:rPr>
          <w:rFonts w:ascii="Verdana" w:hAnsi="Verdana"/>
          <w:b/>
          <w:bCs/>
          <w:sz w:val="22"/>
          <w:szCs w:val="22"/>
          <w:lang w:val="en-US"/>
        </w:rPr>
        <w:t>s</w:t>
      </w:r>
      <w:r w:rsidR="00477BCE" w:rsidRPr="008C5677">
        <w:rPr>
          <w:rFonts w:ascii="Verdana" w:hAnsi="Verdana"/>
          <w:b/>
          <w:bCs/>
          <w:sz w:val="22"/>
          <w:szCs w:val="22"/>
          <w:lang w:val="en-US"/>
        </w:rPr>
        <w:t xml:space="preserve"> of the Supreme Court on the </w:t>
      </w:r>
      <w:r w:rsidR="00943B36">
        <w:rPr>
          <w:rFonts w:ascii="Verdana" w:hAnsi="Verdana"/>
          <w:b/>
          <w:bCs/>
          <w:sz w:val="22"/>
          <w:szCs w:val="22"/>
          <w:lang w:val="en-US"/>
        </w:rPr>
        <w:t xml:space="preserve">human </w:t>
      </w:r>
      <w:r w:rsidR="00477BCE" w:rsidRPr="008C5677">
        <w:rPr>
          <w:rFonts w:ascii="Verdana" w:hAnsi="Verdana"/>
          <w:b/>
          <w:bCs/>
          <w:sz w:val="22"/>
          <w:szCs w:val="22"/>
          <w:lang w:val="en-US"/>
        </w:rPr>
        <w:t>rights of persons with disabilities.</w:t>
      </w:r>
    </w:p>
    <w:p w14:paraId="530C6CB5" w14:textId="77777777" w:rsidR="00943B36" w:rsidRPr="008C5677" w:rsidRDefault="00943B36" w:rsidP="00943B36">
      <w:pPr>
        <w:pStyle w:val="ListParagraph"/>
        <w:ind w:left="2160"/>
        <w:jc w:val="both"/>
        <w:rPr>
          <w:rFonts w:ascii="Verdana" w:hAnsi="Verdana"/>
          <w:b/>
          <w:bCs/>
          <w:sz w:val="22"/>
          <w:szCs w:val="22"/>
          <w:lang w:val="en-US"/>
        </w:rPr>
      </w:pPr>
    </w:p>
    <w:p w14:paraId="4C5C25A4" w14:textId="3364EA59" w:rsidR="00943B36" w:rsidRPr="00943B36" w:rsidRDefault="00943B36" w:rsidP="00943B36">
      <w:pPr>
        <w:pStyle w:val="ListParagraph"/>
        <w:numPr>
          <w:ilvl w:val="1"/>
          <w:numId w:val="3"/>
        </w:numPr>
        <w:ind w:left="1418" w:hanging="425"/>
        <w:jc w:val="both"/>
        <w:rPr>
          <w:rFonts w:ascii="Verdana" w:hAnsi="Verdana"/>
          <w:b/>
          <w:bCs/>
          <w:sz w:val="22"/>
          <w:szCs w:val="22"/>
          <w:lang w:val="en-US"/>
        </w:rPr>
      </w:pPr>
      <w:r w:rsidRPr="00943B36">
        <w:rPr>
          <w:rFonts w:ascii="Verdana" w:hAnsi="Verdana"/>
          <w:b/>
          <w:bCs/>
          <w:sz w:val="22"/>
          <w:szCs w:val="22"/>
          <w:lang w:val="en-US"/>
        </w:rPr>
        <w:t>adopt measures, including the provision of training, to assist all judicial officers in all courts throughout Mexico to understand and apply the Convention, the UN Special Rapporteur’s International Principles and Guidelines on Access to Justice for Persons with Disabilities, the Committee’s Concluding observations to Mexico and its decision in Mr Vela’s case. Such training sessions should also include an explanation of the application of judicial precedent in Mexico, and its specific application with respect to the human rights of persons with disabilities. It should therefore cover existing jurisprudence of the Supreme Court decided prior to change in the precedential system in March 2021.</w:t>
      </w:r>
      <w:r w:rsidR="007F1B56">
        <w:rPr>
          <w:rFonts w:ascii="Verdana" w:hAnsi="Verdana"/>
          <w:b/>
          <w:bCs/>
          <w:sz w:val="22"/>
          <w:szCs w:val="22"/>
          <w:lang w:val="en-US"/>
        </w:rPr>
        <w:t xml:space="preserve"> </w:t>
      </w:r>
    </w:p>
    <w:p w14:paraId="71015C69" w14:textId="5C43220D" w:rsidR="00981BD5" w:rsidRPr="00DA7827" w:rsidRDefault="00981BD5" w:rsidP="00943B36">
      <w:pPr>
        <w:jc w:val="both"/>
        <w:rPr>
          <w:rFonts w:ascii="Verdana" w:hAnsi="Verdana"/>
          <w:b/>
          <w:bCs/>
          <w:sz w:val="22"/>
          <w:szCs w:val="22"/>
          <w:lang w:val="en-US"/>
        </w:rPr>
      </w:pPr>
    </w:p>
    <w:p w14:paraId="11F11D66" w14:textId="3622D67E" w:rsidR="00760955" w:rsidRPr="00943B36" w:rsidRDefault="00981BD5" w:rsidP="00943B36">
      <w:pPr>
        <w:jc w:val="both"/>
        <w:rPr>
          <w:rFonts w:ascii="Verdana" w:hAnsi="Verdana"/>
          <w:color w:val="2F5496" w:themeColor="accent1" w:themeShade="BF"/>
          <w:sz w:val="22"/>
          <w:szCs w:val="22"/>
          <w:lang w:val="en-US"/>
        </w:rPr>
      </w:pPr>
      <w:r w:rsidRPr="00943B36">
        <w:rPr>
          <w:rFonts w:ascii="Verdana" w:hAnsi="Verdana"/>
          <w:b/>
          <w:bCs/>
          <w:color w:val="2F5496" w:themeColor="accent1" w:themeShade="BF"/>
          <w:sz w:val="22"/>
          <w:szCs w:val="22"/>
          <w:lang w:val="en-US"/>
        </w:rPr>
        <w:t>Conclusion</w:t>
      </w:r>
    </w:p>
    <w:p w14:paraId="6C5FE6B6" w14:textId="77777777" w:rsidR="00A95255" w:rsidRPr="00A95255" w:rsidRDefault="00A95255" w:rsidP="00943B36">
      <w:pPr>
        <w:pStyle w:val="ListParagraph"/>
        <w:jc w:val="both"/>
        <w:rPr>
          <w:rFonts w:ascii="Verdana" w:hAnsi="Verdana"/>
          <w:sz w:val="22"/>
          <w:szCs w:val="22"/>
          <w:lang w:val="en-US"/>
        </w:rPr>
      </w:pPr>
    </w:p>
    <w:p w14:paraId="0D799070" w14:textId="540C0008" w:rsidR="00943B36" w:rsidRPr="00943B36" w:rsidRDefault="00943B36" w:rsidP="00943B36">
      <w:pPr>
        <w:pStyle w:val="ListParagraph"/>
        <w:numPr>
          <w:ilvl w:val="0"/>
          <w:numId w:val="3"/>
        </w:numPr>
        <w:ind w:left="709" w:hanging="425"/>
        <w:jc w:val="both"/>
        <w:rPr>
          <w:rFonts w:ascii="Verdana" w:hAnsi="Verdana"/>
          <w:sz w:val="22"/>
          <w:szCs w:val="22"/>
        </w:rPr>
      </w:pPr>
      <w:r w:rsidRPr="00943B36">
        <w:rPr>
          <w:rFonts w:ascii="Verdana" w:hAnsi="Verdana"/>
          <w:sz w:val="22"/>
          <w:szCs w:val="22"/>
        </w:rPr>
        <w:t>The ICJ thanks this Committee for the opportunity to make these submissions, which are made in a spirit of co-operation and with the sole intention of improving Mexico’s efforts to ensure that the human rights of persons with disabilities are respected, protected</w:t>
      </w:r>
      <w:r w:rsidR="00704CC1">
        <w:rPr>
          <w:rFonts w:ascii="Verdana" w:hAnsi="Verdana"/>
          <w:sz w:val="22"/>
          <w:szCs w:val="22"/>
          <w:lang w:val="en-US"/>
        </w:rPr>
        <w:t>,</w:t>
      </w:r>
      <w:r w:rsidRPr="00943B36">
        <w:rPr>
          <w:rFonts w:ascii="Verdana" w:hAnsi="Verdana"/>
          <w:sz w:val="22"/>
          <w:szCs w:val="22"/>
        </w:rPr>
        <w:t xml:space="preserve"> promoted </w:t>
      </w:r>
      <w:r w:rsidRPr="00943B36">
        <w:rPr>
          <w:rFonts w:ascii="Verdana" w:hAnsi="Verdana"/>
          <w:sz w:val="22"/>
          <w:szCs w:val="22"/>
        </w:rPr>
        <w:lastRenderedPageBreak/>
        <w:t xml:space="preserve">and fulfilled. The ICJ hopes that its submissions may assist the Government of Mexico in reporting to the Committee in the future. Further clarification and information is available upon request. </w:t>
      </w:r>
    </w:p>
    <w:p w14:paraId="3D33E1BD" w14:textId="3B497E28" w:rsidR="000D0139" w:rsidRPr="006E3C78" w:rsidRDefault="000D0139" w:rsidP="00943B36">
      <w:pPr>
        <w:pStyle w:val="ListParagraph"/>
        <w:ind w:left="1080"/>
        <w:jc w:val="both"/>
        <w:rPr>
          <w:rFonts w:ascii="Verdana" w:hAnsi="Verdana"/>
          <w:sz w:val="22"/>
          <w:szCs w:val="22"/>
          <w:lang w:val="en-US"/>
        </w:rPr>
      </w:pPr>
    </w:p>
    <w:sectPr w:rsidR="000D0139" w:rsidRPr="006E3C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3B2529" w14:textId="77777777" w:rsidR="00DF36AE" w:rsidRDefault="00DF36AE" w:rsidP="00E161B1">
      <w:r>
        <w:separator/>
      </w:r>
    </w:p>
  </w:endnote>
  <w:endnote w:type="continuationSeparator" w:id="0">
    <w:p w14:paraId="4DC3E525" w14:textId="77777777" w:rsidR="00DF36AE" w:rsidRDefault="00DF36AE" w:rsidP="00E16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6D9449" w14:textId="77777777" w:rsidR="00DF36AE" w:rsidRDefault="00DF36AE" w:rsidP="00E161B1">
      <w:r>
        <w:separator/>
      </w:r>
    </w:p>
  </w:footnote>
  <w:footnote w:type="continuationSeparator" w:id="0">
    <w:p w14:paraId="05E7B90C" w14:textId="77777777" w:rsidR="00DF36AE" w:rsidRDefault="00DF36AE" w:rsidP="00E161B1">
      <w:r>
        <w:continuationSeparator/>
      </w:r>
    </w:p>
  </w:footnote>
  <w:footnote w:id="1">
    <w:p w14:paraId="6C2C2300" w14:textId="739983C0" w:rsidR="005C1C92" w:rsidRPr="00D659ED" w:rsidRDefault="005C1C92" w:rsidP="00D659ED">
      <w:pPr>
        <w:pStyle w:val="FootnoteText"/>
        <w:jc w:val="both"/>
        <w:rPr>
          <w:rFonts w:ascii="Verdana" w:hAnsi="Verdana"/>
          <w:sz w:val="16"/>
          <w:szCs w:val="16"/>
          <w:lang w:val="en-US"/>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n-US"/>
        </w:rPr>
        <w:t xml:space="preserve">See: International Commission of Jurists, Groundbreaking new UN guidance on access to justice for persons with disabilities, 28 August 2020. Available at: </w:t>
      </w:r>
      <w:hyperlink r:id="rId1" w:history="1">
        <w:r w:rsidRPr="00D659ED">
          <w:rPr>
            <w:rStyle w:val="Hyperlink"/>
            <w:rFonts w:ascii="Verdana" w:hAnsi="Verdana"/>
            <w:sz w:val="16"/>
            <w:szCs w:val="16"/>
            <w:lang w:val="en-US"/>
          </w:rPr>
          <w:t>https://www.icj.org/a2jpwd/</w:t>
        </w:r>
      </w:hyperlink>
      <w:r w:rsidRPr="00D659ED">
        <w:rPr>
          <w:rFonts w:ascii="Verdana" w:hAnsi="Verdana"/>
          <w:sz w:val="16"/>
          <w:szCs w:val="16"/>
          <w:lang w:val="en-US"/>
        </w:rPr>
        <w:t xml:space="preserve"> </w:t>
      </w:r>
    </w:p>
  </w:footnote>
  <w:footnote w:id="2">
    <w:p w14:paraId="039E4599" w14:textId="3C614D5A" w:rsidR="005C1C92" w:rsidRPr="00D659ED" w:rsidRDefault="005C1C92" w:rsidP="00D659ED">
      <w:pPr>
        <w:pStyle w:val="FootnoteText"/>
        <w:jc w:val="both"/>
        <w:rPr>
          <w:rFonts w:ascii="Verdana" w:hAnsi="Verdana"/>
          <w:sz w:val="16"/>
          <w:szCs w:val="16"/>
          <w:lang w:val="en-US"/>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n-US"/>
        </w:rPr>
        <w:t xml:space="preserve">The letters </w:t>
      </w:r>
      <w:r w:rsidR="009B6753" w:rsidRPr="00D659ED">
        <w:rPr>
          <w:rFonts w:ascii="Verdana" w:hAnsi="Verdana"/>
          <w:sz w:val="16"/>
          <w:szCs w:val="16"/>
          <w:lang w:val="en-US"/>
        </w:rPr>
        <w:t xml:space="preserve">can be consulted at: </w:t>
      </w:r>
      <w:r w:rsidRPr="00D659ED">
        <w:rPr>
          <w:rFonts w:ascii="Verdana" w:hAnsi="Verdana"/>
          <w:sz w:val="16"/>
          <w:szCs w:val="16"/>
          <w:lang w:val="en-US"/>
        </w:rPr>
        <w:t xml:space="preserve">International Commission of Jurists, </w:t>
      </w:r>
      <w:r w:rsidR="000F4D01" w:rsidRPr="00D659ED">
        <w:rPr>
          <w:rFonts w:ascii="Verdana" w:hAnsi="Verdana"/>
          <w:sz w:val="16"/>
          <w:szCs w:val="16"/>
          <w:lang w:val="en-US"/>
        </w:rPr>
        <w:t xml:space="preserve">Mexico: persons with disabilities receive unprecedented public acknowledgement of need to provide them with access to justice, 4 November 2021. Available at: </w:t>
      </w:r>
      <w:hyperlink r:id="rId2" w:history="1">
        <w:r w:rsidR="000F4D01" w:rsidRPr="00D659ED">
          <w:rPr>
            <w:rStyle w:val="Hyperlink"/>
            <w:rFonts w:ascii="Verdana" w:hAnsi="Verdana"/>
            <w:sz w:val="16"/>
            <w:szCs w:val="16"/>
            <w:lang w:val="en-US"/>
          </w:rPr>
          <w:t>https://bit.ly/3JeUOCs</w:t>
        </w:r>
      </w:hyperlink>
      <w:r w:rsidR="000F4D01" w:rsidRPr="00D659ED">
        <w:rPr>
          <w:rFonts w:ascii="Verdana" w:hAnsi="Verdana"/>
          <w:sz w:val="16"/>
          <w:szCs w:val="16"/>
          <w:lang w:val="en-US"/>
        </w:rPr>
        <w:t xml:space="preserve"> </w:t>
      </w:r>
    </w:p>
  </w:footnote>
  <w:footnote w:id="3">
    <w:p w14:paraId="4F5694A0" w14:textId="44677F2A" w:rsidR="005D7927" w:rsidRPr="00D659ED" w:rsidRDefault="005D7927" w:rsidP="00D659ED">
      <w:pPr>
        <w:pStyle w:val="FootnoteText"/>
        <w:jc w:val="both"/>
        <w:rPr>
          <w:rFonts w:ascii="Verdana" w:hAnsi="Verdana"/>
          <w:sz w:val="16"/>
          <w:szCs w:val="16"/>
          <w:lang w:val="en-US"/>
        </w:rPr>
      </w:pPr>
      <w:r w:rsidRPr="00D659ED">
        <w:rPr>
          <w:rStyle w:val="FootnoteReference"/>
          <w:rFonts w:ascii="Verdana" w:hAnsi="Verdana"/>
          <w:sz w:val="16"/>
          <w:szCs w:val="16"/>
        </w:rPr>
        <w:footnoteRef/>
      </w:r>
      <w:r w:rsidRPr="00D659ED">
        <w:rPr>
          <w:rFonts w:ascii="Verdana" w:hAnsi="Verdana"/>
          <w:sz w:val="16"/>
          <w:szCs w:val="16"/>
        </w:rPr>
        <w:t xml:space="preserve"> </w:t>
      </w:r>
      <w:r w:rsidR="00CC52B5" w:rsidRPr="00D659ED">
        <w:rPr>
          <w:rFonts w:ascii="Verdana" w:hAnsi="Verdana"/>
          <w:sz w:val="16"/>
          <w:szCs w:val="16"/>
          <w:lang w:val="en-US"/>
        </w:rPr>
        <w:t xml:space="preserve">The ratification status of the Convention is available at: </w:t>
      </w:r>
      <w:hyperlink r:id="rId3" w:history="1">
        <w:r w:rsidR="00CC52B5" w:rsidRPr="00D659ED">
          <w:rPr>
            <w:rStyle w:val="Hyperlink"/>
            <w:rFonts w:ascii="Verdana" w:hAnsi="Verdana"/>
            <w:sz w:val="16"/>
            <w:szCs w:val="16"/>
            <w:lang w:val="en-US"/>
          </w:rPr>
          <w:t>https://bit.ly/3BgOHux</w:t>
        </w:r>
      </w:hyperlink>
      <w:r w:rsidR="00CC52B5" w:rsidRPr="00D659ED">
        <w:rPr>
          <w:rFonts w:ascii="Verdana" w:hAnsi="Verdana"/>
          <w:sz w:val="16"/>
          <w:szCs w:val="16"/>
          <w:lang w:val="en-US"/>
        </w:rPr>
        <w:t xml:space="preserve"> </w:t>
      </w:r>
    </w:p>
  </w:footnote>
  <w:footnote w:id="4">
    <w:p w14:paraId="382A99D6" w14:textId="77777777" w:rsidR="00DC1E15" w:rsidRPr="00D659ED" w:rsidRDefault="00DC1E15" w:rsidP="00DC1E15">
      <w:pPr>
        <w:pStyle w:val="FootnoteText"/>
        <w:jc w:val="both"/>
        <w:rPr>
          <w:rFonts w:ascii="Verdana" w:hAnsi="Verdana"/>
          <w:sz w:val="16"/>
          <w:szCs w:val="16"/>
          <w:lang w:val="en-US"/>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n-US"/>
        </w:rPr>
        <w:t xml:space="preserve">The responses in Spanish can be consulted at: </w:t>
      </w:r>
      <w:hyperlink r:id="rId4" w:history="1">
        <w:r w:rsidRPr="00D659ED">
          <w:rPr>
            <w:rStyle w:val="Hyperlink"/>
            <w:rFonts w:ascii="Verdana" w:hAnsi="Verdana"/>
            <w:sz w:val="16"/>
            <w:szCs w:val="16"/>
            <w:lang w:val="en-US"/>
          </w:rPr>
          <w:t>https://bit.ly/3gDKOq8</w:t>
        </w:r>
      </w:hyperlink>
      <w:r w:rsidRPr="00D659ED">
        <w:rPr>
          <w:rFonts w:ascii="Verdana" w:hAnsi="Verdana"/>
          <w:sz w:val="16"/>
          <w:szCs w:val="16"/>
          <w:lang w:val="en-US"/>
        </w:rPr>
        <w:t xml:space="preserve"> </w:t>
      </w:r>
    </w:p>
  </w:footnote>
  <w:footnote w:id="5">
    <w:p w14:paraId="7F69434F" w14:textId="77777777" w:rsidR="00824483" w:rsidRPr="00D659ED" w:rsidRDefault="00824483" w:rsidP="00D659ED">
      <w:pPr>
        <w:pStyle w:val="FootnoteText"/>
        <w:jc w:val="both"/>
        <w:rPr>
          <w:rFonts w:ascii="Verdana" w:hAnsi="Verdana"/>
          <w:sz w:val="16"/>
          <w:szCs w:val="16"/>
          <w:lang w:val="en-US"/>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n-US"/>
        </w:rPr>
        <w:t xml:space="preserve">The ceremony is available at: </w:t>
      </w:r>
      <w:hyperlink r:id="rId5" w:history="1">
        <w:r w:rsidRPr="00D659ED">
          <w:rPr>
            <w:rStyle w:val="Hyperlink"/>
            <w:rFonts w:ascii="Verdana" w:hAnsi="Verdana"/>
            <w:sz w:val="16"/>
            <w:szCs w:val="16"/>
            <w:lang w:val="en-US"/>
          </w:rPr>
          <w:t>https://www.youtube.com/watch?v=a39T8tjzsoY</w:t>
        </w:r>
      </w:hyperlink>
      <w:r w:rsidRPr="00D659ED">
        <w:rPr>
          <w:rFonts w:ascii="Verdana" w:hAnsi="Verdana"/>
          <w:sz w:val="16"/>
          <w:szCs w:val="16"/>
          <w:lang w:val="en-US"/>
        </w:rPr>
        <w:t xml:space="preserve"> </w:t>
      </w:r>
    </w:p>
  </w:footnote>
  <w:footnote w:id="6">
    <w:p w14:paraId="6F83043C" w14:textId="77777777" w:rsidR="002B401D" w:rsidRPr="00D659ED" w:rsidRDefault="002B401D" w:rsidP="002B401D">
      <w:pPr>
        <w:pStyle w:val="FootnoteText"/>
        <w:jc w:val="both"/>
        <w:rPr>
          <w:rFonts w:ascii="Verdana" w:hAnsi="Verdana"/>
          <w:sz w:val="16"/>
          <w:szCs w:val="16"/>
          <w:lang w:val="en-US"/>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n-US"/>
        </w:rPr>
        <w:t>The Committee recommended that Mexico: “</w:t>
      </w:r>
      <w:r w:rsidRPr="00D659ED">
        <w:rPr>
          <w:rFonts w:ascii="Verdana" w:hAnsi="Verdana"/>
          <w:i/>
          <w:iCs/>
          <w:sz w:val="16"/>
          <w:szCs w:val="16"/>
          <w:lang w:val="en-US"/>
        </w:rPr>
        <w:t xml:space="preserve">review all federal and state legislation in order to eliminate any restriction of rights stemming from a declaration of legal incompetence or on the grounds of a person’s disability”. </w:t>
      </w:r>
      <w:r w:rsidRPr="00D659ED">
        <w:rPr>
          <w:rFonts w:ascii="Verdana" w:hAnsi="Verdana"/>
          <w:sz w:val="16"/>
          <w:szCs w:val="16"/>
        </w:rPr>
        <w:t>Committee on the Rights of Persons with Disabilities</w:t>
      </w:r>
      <w:r w:rsidRPr="00D659ED">
        <w:rPr>
          <w:rFonts w:ascii="Verdana" w:hAnsi="Verdana"/>
          <w:sz w:val="16"/>
          <w:szCs w:val="16"/>
          <w:lang w:val="en-US"/>
        </w:rPr>
        <w:t>, Concluding observations on the initial report of Mexico, CRPD/C/MEX/CO/1, 27 October 2014, para 24.</w:t>
      </w:r>
    </w:p>
  </w:footnote>
  <w:footnote w:id="7">
    <w:p w14:paraId="718B84A3" w14:textId="77777777" w:rsidR="002B401D" w:rsidRPr="00D659ED" w:rsidRDefault="002B401D" w:rsidP="002B401D">
      <w:pPr>
        <w:pStyle w:val="FootnoteText"/>
        <w:jc w:val="both"/>
        <w:rPr>
          <w:rFonts w:ascii="Verdana" w:hAnsi="Verdana"/>
          <w:sz w:val="16"/>
          <w:szCs w:val="16"/>
          <w:lang w:val="en-US"/>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n-US"/>
        </w:rPr>
        <w:t>The Committee recommended that Mexico “</w:t>
      </w:r>
      <w:r w:rsidRPr="00D659ED">
        <w:rPr>
          <w:rFonts w:ascii="Verdana" w:hAnsi="Verdana"/>
          <w:i/>
          <w:iCs/>
          <w:sz w:val="16"/>
          <w:szCs w:val="16"/>
          <w:lang w:val="en-US"/>
        </w:rPr>
        <w:t>make all necessary amendments to the criminal law of the Federal District and all equivalent or related federal and state laws with regard to the “exempt from liability” concept and the special procedure for persons exempt from criminal liability</w:t>
      </w:r>
      <w:r w:rsidRPr="00D659ED">
        <w:rPr>
          <w:rFonts w:ascii="Verdana" w:hAnsi="Verdana"/>
          <w:sz w:val="16"/>
          <w:szCs w:val="16"/>
          <w:lang w:val="en-US"/>
        </w:rPr>
        <w:t xml:space="preserve">”. </w:t>
      </w:r>
      <w:r w:rsidRPr="00D659ED">
        <w:rPr>
          <w:rFonts w:ascii="Verdana" w:hAnsi="Verdana"/>
          <w:sz w:val="16"/>
          <w:szCs w:val="16"/>
        </w:rPr>
        <w:t>Committee on the Rights of Persons with Disabilities</w:t>
      </w:r>
      <w:r w:rsidRPr="00D659ED">
        <w:rPr>
          <w:rFonts w:ascii="Verdana" w:hAnsi="Verdana"/>
          <w:sz w:val="16"/>
          <w:szCs w:val="16"/>
          <w:lang w:val="en-US"/>
        </w:rPr>
        <w:t>, Views adopted by the Committee under article 5 of the Optional Protocol, concerning communication No. 32/2015, CRPD/C/22/D/32/2015, 15 October 2019, para 11 (b) (i).</w:t>
      </w:r>
    </w:p>
  </w:footnote>
  <w:footnote w:id="8">
    <w:p w14:paraId="752BF0E5" w14:textId="77777777" w:rsidR="002B401D" w:rsidRPr="00D659ED" w:rsidRDefault="002B401D" w:rsidP="002B401D">
      <w:pPr>
        <w:pStyle w:val="FootnoteText"/>
        <w:jc w:val="both"/>
        <w:rPr>
          <w:rFonts w:ascii="Verdana" w:hAnsi="Verdana"/>
          <w:sz w:val="16"/>
          <w:szCs w:val="16"/>
          <w:lang w:val="es-ES"/>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s-ES"/>
        </w:rPr>
        <w:t xml:space="preserve">See for instance: </w:t>
      </w:r>
      <w:r w:rsidRPr="00D659ED">
        <w:rPr>
          <w:rFonts w:ascii="Verdana" w:hAnsi="Verdana"/>
          <w:sz w:val="16"/>
          <w:szCs w:val="16"/>
        </w:rPr>
        <w:t>Primera Sala de la Suprema Corte de Justicia de la Nación</w:t>
      </w:r>
      <w:r w:rsidRPr="00D659ED">
        <w:rPr>
          <w:rFonts w:ascii="Verdana" w:hAnsi="Verdana"/>
          <w:sz w:val="16"/>
          <w:szCs w:val="16"/>
          <w:lang w:val="es-ES"/>
        </w:rPr>
        <w:t xml:space="preserve">, Amparo en Revisión 1368/2015, 13 de marzo de 2019; Primera Sala de la Suprema Corte de Justicia de la Nación, Amparo Directo 4/2021, 16 de junio de 2021. </w:t>
      </w:r>
    </w:p>
  </w:footnote>
  <w:footnote w:id="9">
    <w:p w14:paraId="60B04103" w14:textId="737324C4" w:rsidR="004E5FCF" w:rsidRPr="00D659ED" w:rsidRDefault="004E5FCF" w:rsidP="00D659ED">
      <w:pPr>
        <w:pStyle w:val="FootnoteText"/>
        <w:jc w:val="both"/>
        <w:rPr>
          <w:rFonts w:ascii="Verdana" w:hAnsi="Verdana"/>
          <w:sz w:val="16"/>
          <w:szCs w:val="16"/>
          <w:lang w:val="en-US"/>
        </w:rPr>
      </w:pPr>
      <w:r w:rsidRPr="00D659ED">
        <w:rPr>
          <w:rStyle w:val="FootnoteReference"/>
          <w:rFonts w:ascii="Verdana" w:hAnsi="Verdana"/>
          <w:sz w:val="16"/>
          <w:szCs w:val="16"/>
        </w:rPr>
        <w:footnoteRef/>
      </w:r>
      <w:r w:rsidRPr="00D659ED">
        <w:rPr>
          <w:rFonts w:ascii="Verdana" w:hAnsi="Verdana"/>
          <w:sz w:val="16"/>
          <w:szCs w:val="16"/>
        </w:rPr>
        <w:t xml:space="preserve"> </w:t>
      </w:r>
      <w:r w:rsidR="00CC52B5" w:rsidRPr="00D659ED">
        <w:rPr>
          <w:rFonts w:ascii="Verdana" w:hAnsi="Verdana"/>
          <w:sz w:val="16"/>
          <w:szCs w:val="16"/>
          <w:lang w:val="en-US"/>
        </w:rPr>
        <w:t xml:space="preserve">International Commission of Jurists, Mexico: persons with disabilities receive unprecedented public acknowledgement of need to provide them with access to justice, 4 November 2021. Available at: </w:t>
      </w:r>
      <w:hyperlink r:id="rId6" w:history="1">
        <w:r w:rsidR="00CC52B5" w:rsidRPr="00D659ED">
          <w:rPr>
            <w:rStyle w:val="Hyperlink"/>
            <w:rFonts w:ascii="Verdana" w:hAnsi="Verdana"/>
            <w:sz w:val="16"/>
            <w:szCs w:val="16"/>
            <w:lang w:val="en-US"/>
          </w:rPr>
          <w:t>https://bit.ly/3JeUOCs</w:t>
        </w:r>
      </w:hyperlink>
    </w:p>
  </w:footnote>
  <w:footnote w:id="10">
    <w:p w14:paraId="1BAD0D17" w14:textId="77777777" w:rsidR="00824483" w:rsidRPr="00D659ED" w:rsidRDefault="00824483" w:rsidP="00D659ED">
      <w:pPr>
        <w:pStyle w:val="FootnoteText"/>
        <w:jc w:val="both"/>
        <w:rPr>
          <w:rFonts w:ascii="Verdana" w:hAnsi="Verdana"/>
          <w:sz w:val="16"/>
          <w:szCs w:val="16"/>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n-US"/>
        </w:rPr>
        <w:t>These measures include, for instance, the provision of interpreters and issuing documents in Braille.</w:t>
      </w:r>
    </w:p>
  </w:footnote>
  <w:footnote w:id="11">
    <w:p w14:paraId="58DBF5C2" w14:textId="77777777" w:rsidR="00824483" w:rsidRPr="00D659ED" w:rsidRDefault="00824483" w:rsidP="00D659ED">
      <w:pPr>
        <w:pStyle w:val="FootnoteText"/>
        <w:jc w:val="both"/>
        <w:rPr>
          <w:rFonts w:ascii="Verdana" w:hAnsi="Verdana"/>
          <w:sz w:val="16"/>
          <w:szCs w:val="16"/>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n-US"/>
        </w:rPr>
        <w:t>See for instance: Combined second and third periodic reports submitted by Mexico under article 35 of the Convention, due in 2018, CRPD/C/MEX/2-3, 19 July 2018, para. 13, 18, 106, 107, 108, 111, and 112.</w:t>
      </w:r>
    </w:p>
  </w:footnote>
  <w:footnote w:id="12">
    <w:p w14:paraId="096FFB7B" w14:textId="77777777" w:rsidR="00824483" w:rsidRPr="00D659ED" w:rsidRDefault="00824483" w:rsidP="00D659ED">
      <w:pPr>
        <w:pStyle w:val="FootnoteText"/>
        <w:jc w:val="both"/>
        <w:rPr>
          <w:rFonts w:ascii="Verdana" w:hAnsi="Verdana"/>
          <w:sz w:val="16"/>
          <w:szCs w:val="16"/>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n-US"/>
        </w:rPr>
        <w:t xml:space="preserve">See for instance: Combined second and third periodic reports submitted by Mexico under article 35 of the Convention, due in 2018, CRPD/C/MEX/2-3, 19 July 2018, para. </w:t>
      </w:r>
      <w:r w:rsidRPr="006A0E46">
        <w:rPr>
          <w:rFonts w:ascii="Verdana" w:hAnsi="Verdana"/>
          <w:sz w:val="16"/>
          <w:szCs w:val="16"/>
          <w:lang w:val="es-ES"/>
        </w:rPr>
        <w:t xml:space="preserve">107, 111 and 112. </w:t>
      </w:r>
    </w:p>
  </w:footnote>
  <w:footnote w:id="13">
    <w:p w14:paraId="2A05CA8E" w14:textId="42AAAEB6" w:rsidR="001A3114" w:rsidRPr="00D659ED" w:rsidRDefault="001A3114" w:rsidP="00D659ED">
      <w:pPr>
        <w:pStyle w:val="FootnoteText"/>
        <w:jc w:val="both"/>
        <w:rPr>
          <w:rFonts w:ascii="Verdana" w:hAnsi="Verdana"/>
          <w:sz w:val="16"/>
          <w:szCs w:val="16"/>
          <w:lang w:val="es-ES"/>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s-ES"/>
        </w:rPr>
        <w:t xml:space="preserve">On this topic see for instance: Diana Sheinbaum and Sara Vera, Hacia un sistema de justicia incluyente, Proceso penal y discapacidad psicosocial, 2016, available at: </w:t>
      </w:r>
      <w:hyperlink r:id="rId7" w:history="1">
        <w:r w:rsidRPr="00D659ED">
          <w:rPr>
            <w:rStyle w:val="Hyperlink"/>
            <w:rFonts w:ascii="Verdana" w:hAnsi="Verdana"/>
            <w:sz w:val="16"/>
            <w:szCs w:val="16"/>
            <w:lang w:val="es-ES"/>
          </w:rPr>
          <w:t>https://bit.ly/3LuWPfw</w:t>
        </w:r>
      </w:hyperlink>
      <w:r w:rsidRPr="00D659ED">
        <w:rPr>
          <w:rFonts w:ascii="Verdana" w:hAnsi="Verdana"/>
          <w:sz w:val="16"/>
          <w:szCs w:val="16"/>
          <w:lang w:val="es-ES"/>
        </w:rPr>
        <w:t>; Documenta, Inimputabilidad y medidas de seguridad en México: legado de un pasado excluyente</w:t>
      </w:r>
      <w:r w:rsidR="00D659ED" w:rsidRPr="00D659ED">
        <w:rPr>
          <w:rFonts w:ascii="Verdana" w:hAnsi="Verdana"/>
          <w:sz w:val="16"/>
          <w:szCs w:val="16"/>
          <w:lang w:val="es-ES"/>
        </w:rPr>
        <w:t xml:space="preserve">, in: Documenta, inimputabilidad y Medidas de seguridad a Debate: reflexiones desde América Latina en torno a los derechos de las personas con discapacidad, 217, available at: </w:t>
      </w:r>
      <w:hyperlink r:id="rId8" w:history="1">
        <w:r w:rsidR="00D659ED" w:rsidRPr="00D659ED">
          <w:rPr>
            <w:rStyle w:val="Hyperlink"/>
            <w:rFonts w:ascii="Verdana" w:hAnsi="Verdana"/>
            <w:sz w:val="16"/>
            <w:szCs w:val="16"/>
            <w:lang w:val="es-ES"/>
          </w:rPr>
          <w:t>https://bit.ly/34y78it</w:t>
        </w:r>
      </w:hyperlink>
      <w:r w:rsidR="00D659ED" w:rsidRPr="00D659ED">
        <w:rPr>
          <w:rFonts w:ascii="Verdana" w:hAnsi="Verdana"/>
          <w:sz w:val="16"/>
          <w:szCs w:val="16"/>
          <w:lang w:val="es-ES"/>
        </w:rPr>
        <w:t xml:space="preserve"> </w:t>
      </w:r>
    </w:p>
  </w:footnote>
  <w:footnote w:id="14">
    <w:p w14:paraId="549D82C8" w14:textId="136B5194" w:rsidR="002D71FC" w:rsidRPr="00D659ED" w:rsidRDefault="002D71FC" w:rsidP="00D659ED">
      <w:pPr>
        <w:pStyle w:val="FootnoteText"/>
        <w:jc w:val="both"/>
        <w:rPr>
          <w:rFonts w:ascii="Verdana" w:hAnsi="Verdana"/>
          <w:sz w:val="16"/>
          <w:szCs w:val="16"/>
          <w:lang w:val="en-US"/>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n-US"/>
        </w:rPr>
        <w:t>Criminal Code for the Federal District, article 29, section C, subsection II.</w:t>
      </w:r>
      <w:r w:rsidR="007F1B56">
        <w:rPr>
          <w:rFonts w:ascii="Verdana" w:hAnsi="Verdana"/>
          <w:sz w:val="16"/>
          <w:szCs w:val="16"/>
          <w:lang w:val="en-US"/>
        </w:rPr>
        <w:t xml:space="preserve"> </w:t>
      </w:r>
    </w:p>
  </w:footnote>
  <w:footnote w:id="15">
    <w:p w14:paraId="39AF0D18" w14:textId="77777777" w:rsidR="002D71FC" w:rsidRPr="00D659ED" w:rsidRDefault="002D71FC" w:rsidP="00D659ED">
      <w:pPr>
        <w:pStyle w:val="FootnoteText"/>
        <w:jc w:val="both"/>
        <w:rPr>
          <w:rFonts w:ascii="Verdana" w:hAnsi="Verdana"/>
          <w:sz w:val="16"/>
          <w:szCs w:val="16"/>
          <w:lang w:val="en-US"/>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n-US"/>
        </w:rPr>
        <w:t xml:space="preserve">Just to mention a few, see: Criminal Code for the State of Baja California, article 23, section IX; Criminal Code for State of Quintana Roo, article 20, section C, subsection III, Criminal Code for the State of Hidalgo, article 25, section C, subsection III; and Criminal Code for the State of Aguascalientes, article 30; Criminal Code for the State of Baja California Sur, article 31, section IX; and Criminal Code for the State of Chiapas, article 25, section C, subsection III. </w:t>
      </w:r>
    </w:p>
  </w:footnote>
  <w:footnote w:id="16">
    <w:p w14:paraId="0B9634C7" w14:textId="77777777" w:rsidR="002D71FC" w:rsidRPr="00D659ED" w:rsidRDefault="002D71FC" w:rsidP="00D659ED">
      <w:pPr>
        <w:pStyle w:val="FootnoteText"/>
        <w:jc w:val="both"/>
        <w:rPr>
          <w:rFonts w:ascii="Verdana" w:hAnsi="Verdana"/>
          <w:sz w:val="16"/>
          <w:szCs w:val="16"/>
          <w:lang w:val="en-US"/>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n-US"/>
        </w:rPr>
        <w:t>National Criminal Procedural Code, article 416.</w:t>
      </w:r>
    </w:p>
  </w:footnote>
  <w:footnote w:id="17">
    <w:p w14:paraId="1C736EB7" w14:textId="77777777" w:rsidR="002D71FC" w:rsidRPr="00D659ED" w:rsidRDefault="002D71FC" w:rsidP="00D659ED">
      <w:pPr>
        <w:pStyle w:val="FootnoteText"/>
        <w:jc w:val="both"/>
        <w:rPr>
          <w:rFonts w:ascii="Verdana" w:hAnsi="Verdana"/>
          <w:sz w:val="16"/>
          <w:szCs w:val="16"/>
          <w:lang w:val="en-US"/>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n-US"/>
        </w:rPr>
        <w:t xml:space="preserve">Criminal Code for the Federal District, article 62. </w:t>
      </w:r>
    </w:p>
  </w:footnote>
  <w:footnote w:id="18">
    <w:p w14:paraId="136B33B5" w14:textId="77777777" w:rsidR="002D71FC" w:rsidRPr="00D659ED" w:rsidRDefault="002D71FC" w:rsidP="00D659ED">
      <w:pPr>
        <w:pStyle w:val="FootnoteText"/>
        <w:jc w:val="both"/>
        <w:rPr>
          <w:rFonts w:ascii="Verdana" w:hAnsi="Verdana"/>
          <w:sz w:val="16"/>
          <w:szCs w:val="16"/>
          <w:lang w:val="en-US"/>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n-US"/>
        </w:rPr>
        <w:t xml:space="preserve">Criminal Code for the Federal District, article 66. </w:t>
      </w:r>
    </w:p>
  </w:footnote>
  <w:footnote w:id="19">
    <w:p w14:paraId="12AB5656" w14:textId="77777777" w:rsidR="002D71FC" w:rsidRPr="00D659ED" w:rsidRDefault="002D71FC" w:rsidP="00D659ED">
      <w:pPr>
        <w:pStyle w:val="FootnoteText"/>
        <w:jc w:val="both"/>
        <w:rPr>
          <w:rFonts w:ascii="Verdana" w:hAnsi="Verdana"/>
          <w:sz w:val="16"/>
          <w:szCs w:val="16"/>
          <w:lang w:val="en-US"/>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n-US"/>
        </w:rPr>
        <w:t>Criminal Code for the Federal District, article 29 and 62.</w:t>
      </w:r>
    </w:p>
  </w:footnote>
  <w:footnote w:id="20">
    <w:p w14:paraId="521BE1D4" w14:textId="77777777" w:rsidR="002D71FC" w:rsidRPr="00D659ED" w:rsidRDefault="002D71FC" w:rsidP="00D659ED">
      <w:pPr>
        <w:pStyle w:val="FootnoteText"/>
        <w:jc w:val="both"/>
        <w:rPr>
          <w:rFonts w:ascii="Verdana" w:hAnsi="Verdana"/>
          <w:sz w:val="16"/>
          <w:szCs w:val="16"/>
          <w:lang w:val="en-US"/>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n-US"/>
        </w:rPr>
        <w:t xml:space="preserve">Just to mention a few, see: Criminal Code for the State of Chihuahua, articles 59 and 62; Criminal Code for the State of Chiapas, articles 66 and 69; Criminal Code for the State of Campeche, articles 8 and 74. </w:t>
      </w:r>
    </w:p>
  </w:footnote>
  <w:footnote w:id="21">
    <w:p w14:paraId="12B371E3" w14:textId="77777777" w:rsidR="002D71FC" w:rsidRPr="00D659ED" w:rsidRDefault="002D71FC" w:rsidP="00D659ED">
      <w:pPr>
        <w:pStyle w:val="FootnoteText"/>
        <w:jc w:val="both"/>
        <w:rPr>
          <w:rFonts w:ascii="Verdana" w:hAnsi="Verdana"/>
          <w:sz w:val="16"/>
          <w:szCs w:val="16"/>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n-US"/>
        </w:rPr>
        <w:t xml:space="preserve">National Criminal Procedural Code, article 418. </w:t>
      </w:r>
    </w:p>
  </w:footnote>
  <w:footnote w:id="22">
    <w:p w14:paraId="78C89F32" w14:textId="0DB8CC61" w:rsidR="001B6324" w:rsidRPr="00D659ED" w:rsidRDefault="002D71FC" w:rsidP="00D659ED">
      <w:pPr>
        <w:pStyle w:val="FootnoteText"/>
        <w:jc w:val="both"/>
        <w:rPr>
          <w:rFonts w:ascii="Verdana" w:hAnsi="Verdana"/>
          <w:sz w:val="16"/>
          <w:szCs w:val="16"/>
        </w:rPr>
      </w:pPr>
      <w:r w:rsidRPr="00D659ED">
        <w:rPr>
          <w:rStyle w:val="FootnoteReference"/>
          <w:rFonts w:ascii="Verdana" w:hAnsi="Verdana"/>
          <w:sz w:val="16"/>
          <w:szCs w:val="16"/>
        </w:rPr>
        <w:footnoteRef/>
      </w:r>
      <w:r w:rsidRPr="00D659ED">
        <w:rPr>
          <w:rFonts w:ascii="Verdana" w:hAnsi="Verdana"/>
          <w:sz w:val="16"/>
          <w:szCs w:val="16"/>
        </w:rPr>
        <w:t xml:space="preserve"> </w:t>
      </w:r>
      <w:r w:rsidR="001B6324" w:rsidRPr="00D659ED">
        <w:rPr>
          <w:rFonts w:ascii="Verdana" w:hAnsi="Verdana"/>
          <w:sz w:val="16"/>
          <w:szCs w:val="16"/>
        </w:rPr>
        <w:t>On this topic, see, for instance: Disability Rights International, Decades of Violence and Abuse in Mexican Institutions for Children and Adults with Disabilities</w:t>
      </w:r>
      <w:r w:rsidR="00D648E4" w:rsidRPr="00D659ED">
        <w:rPr>
          <w:rFonts w:ascii="Verdana" w:hAnsi="Verdana"/>
          <w:sz w:val="16"/>
          <w:szCs w:val="16"/>
        </w:rPr>
        <w:t>,</w:t>
      </w:r>
      <w:r w:rsidR="001B6324" w:rsidRPr="00D659ED">
        <w:rPr>
          <w:rFonts w:ascii="Verdana" w:hAnsi="Verdana"/>
          <w:sz w:val="16"/>
          <w:szCs w:val="16"/>
        </w:rPr>
        <w:t xml:space="preserve"> available at: </w:t>
      </w:r>
      <w:hyperlink r:id="rId9" w:history="1">
        <w:r w:rsidR="001B6324" w:rsidRPr="00D659ED">
          <w:rPr>
            <w:rStyle w:val="Hyperlink"/>
            <w:rFonts w:ascii="Verdana" w:hAnsi="Verdana"/>
            <w:sz w:val="16"/>
            <w:szCs w:val="16"/>
          </w:rPr>
          <w:t>https://bit.ly/3uOQ5Ud</w:t>
        </w:r>
      </w:hyperlink>
      <w:r w:rsidR="001B6324" w:rsidRPr="00D659ED">
        <w:rPr>
          <w:rFonts w:ascii="Verdana" w:hAnsi="Verdana"/>
          <w:sz w:val="16"/>
          <w:szCs w:val="16"/>
        </w:rPr>
        <w:t>;</w:t>
      </w:r>
      <w:r w:rsidR="00D648E4" w:rsidRPr="00D659ED">
        <w:rPr>
          <w:rFonts w:ascii="Verdana" w:hAnsi="Verdana"/>
          <w:sz w:val="16"/>
          <w:szCs w:val="16"/>
        </w:rPr>
        <w:t xml:space="preserve"> Disability Rights International, Torture, Trafficking and Segregation in Mexico, 2015, available at: </w:t>
      </w:r>
      <w:hyperlink r:id="rId10" w:history="1">
        <w:r w:rsidR="00D648E4" w:rsidRPr="00D659ED">
          <w:rPr>
            <w:rStyle w:val="Hyperlink"/>
            <w:rFonts w:ascii="Verdana" w:hAnsi="Verdana"/>
            <w:sz w:val="16"/>
            <w:szCs w:val="16"/>
          </w:rPr>
          <w:t>https://bit.ly/3gD9jDV</w:t>
        </w:r>
      </w:hyperlink>
      <w:r w:rsidR="00D648E4" w:rsidRPr="00D659ED">
        <w:rPr>
          <w:rFonts w:ascii="Verdana" w:hAnsi="Verdana"/>
          <w:sz w:val="16"/>
          <w:szCs w:val="16"/>
        </w:rPr>
        <w:t xml:space="preserve">; Comisión Nacional de los Derechos Humanos, </w:t>
      </w:r>
      <w:r w:rsidR="00B51222" w:rsidRPr="00D659ED">
        <w:rPr>
          <w:rFonts w:ascii="Verdana" w:hAnsi="Verdana"/>
          <w:sz w:val="16"/>
          <w:szCs w:val="16"/>
        </w:rPr>
        <w:t xml:space="preserve">Situación de las personas con discapacidad psicosocial e inimputables en centros penitenciarios de la República Mexicana, 2016, available at: </w:t>
      </w:r>
      <w:hyperlink r:id="rId11" w:history="1">
        <w:r w:rsidR="00B51222" w:rsidRPr="00D659ED">
          <w:rPr>
            <w:rStyle w:val="Hyperlink"/>
            <w:rFonts w:ascii="Verdana" w:hAnsi="Verdana"/>
            <w:sz w:val="16"/>
            <w:szCs w:val="16"/>
          </w:rPr>
          <w:t>https://bit.ly/3oIdDWO</w:t>
        </w:r>
      </w:hyperlink>
      <w:r w:rsidR="007F1B56">
        <w:rPr>
          <w:rFonts w:ascii="Verdana" w:hAnsi="Verdana"/>
          <w:sz w:val="16"/>
          <w:szCs w:val="16"/>
        </w:rPr>
        <w:t xml:space="preserve"> </w:t>
      </w:r>
    </w:p>
  </w:footnote>
  <w:footnote w:id="23">
    <w:p w14:paraId="1519D9B2" w14:textId="77777777" w:rsidR="00574D9E" w:rsidRPr="00D659ED" w:rsidRDefault="00574D9E" w:rsidP="00D659ED">
      <w:pPr>
        <w:pStyle w:val="FootnoteText"/>
        <w:jc w:val="both"/>
        <w:rPr>
          <w:rFonts w:ascii="Verdana" w:hAnsi="Verdana"/>
          <w:sz w:val="16"/>
          <w:szCs w:val="16"/>
          <w:lang w:val="en-US"/>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n-US"/>
        </w:rPr>
        <w:t xml:space="preserve">Guardianship is mainly regulated in the </w:t>
      </w:r>
      <w:r w:rsidRPr="00D659ED">
        <w:rPr>
          <w:rFonts w:ascii="Verdana" w:hAnsi="Verdana"/>
          <w:sz w:val="16"/>
          <w:szCs w:val="16"/>
        </w:rPr>
        <w:t>civil codes</w:t>
      </w:r>
      <w:r w:rsidRPr="00D659ED">
        <w:rPr>
          <w:rFonts w:ascii="Verdana" w:hAnsi="Verdana"/>
          <w:sz w:val="16"/>
          <w:szCs w:val="16"/>
          <w:lang w:val="en-US"/>
        </w:rPr>
        <w:t xml:space="preserve"> of the 32 Mexican States</w:t>
      </w:r>
      <w:r w:rsidRPr="00D659ED">
        <w:rPr>
          <w:rFonts w:ascii="Verdana" w:hAnsi="Verdana"/>
          <w:sz w:val="16"/>
          <w:szCs w:val="16"/>
        </w:rPr>
        <w:t xml:space="preserve"> and </w:t>
      </w:r>
      <w:r w:rsidRPr="00D659ED">
        <w:rPr>
          <w:rFonts w:ascii="Verdana" w:hAnsi="Verdana"/>
          <w:sz w:val="16"/>
          <w:szCs w:val="16"/>
          <w:lang w:val="en-US"/>
        </w:rPr>
        <w:t xml:space="preserve">in </w:t>
      </w:r>
      <w:r w:rsidRPr="00D659ED">
        <w:rPr>
          <w:rFonts w:ascii="Verdana" w:hAnsi="Verdana"/>
          <w:sz w:val="16"/>
          <w:szCs w:val="16"/>
        </w:rPr>
        <w:t>the Federal Civil Code</w:t>
      </w:r>
      <w:r w:rsidRPr="00D659ED">
        <w:rPr>
          <w:rFonts w:ascii="Verdana" w:hAnsi="Verdana"/>
          <w:sz w:val="16"/>
          <w:szCs w:val="16"/>
          <w:lang w:val="en-US"/>
        </w:rPr>
        <w:t>.</w:t>
      </w:r>
    </w:p>
  </w:footnote>
  <w:footnote w:id="24">
    <w:p w14:paraId="3010CB43" w14:textId="77777777" w:rsidR="002F266E" w:rsidRPr="00D659ED" w:rsidRDefault="002F266E" w:rsidP="00D659ED">
      <w:pPr>
        <w:pStyle w:val="FootnoteText"/>
        <w:jc w:val="both"/>
        <w:rPr>
          <w:rFonts w:ascii="Verdana" w:hAnsi="Verdana"/>
          <w:sz w:val="16"/>
          <w:szCs w:val="16"/>
          <w:lang w:val="en-US"/>
        </w:rPr>
      </w:pPr>
      <w:r w:rsidRPr="00D659ED">
        <w:rPr>
          <w:rStyle w:val="FootnoteReference"/>
          <w:rFonts w:ascii="Verdana" w:hAnsi="Verdana"/>
          <w:sz w:val="16"/>
          <w:szCs w:val="16"/>
        </w:rPr>
        <w:footnoteRef/>
      </w:r>
      <w:r w:rsidRPr="00D659ED">
        <w:rPr>
          <w:rFonts w:ascii="Verdana" w:hAnsi="Verdana"/>
          <w:sz w:val="16"/>
          <w:szCs w:val="16"/>
        </w:rPr>
        <w:t xml:space="preserve"> Federal Civil Code</w:t>
      </w:r>
      <w:r w:rsidRPr="00D659ED">
        <w:rPr>
          <w:rFonts w:ascii="Verdana" w:hAnsi="Verdana"/>
          <w:sz w:val="16"/>
          <w:szCs w:val="16"/>
          <w:lang w:val="en-US"/>
        </w:rPr>
        <w:t>, article 537 (V).</w:t>
      </w:r>
    </w:p>
  </w:footnote>
  <w:footnote w:id="25">
    <w:p w14:paraId="3F7AF6A2" w14:textId="77777777" w:rsidR="007219EF" w:rsidRPr="00D659ED" w:rsidRDefault="007219EF" w:rsidP="00D659ED">
      <w:pPr>
        <w:pStyle w:val="FootnoteText"/>
        <w:jc w:val="both"/>
        <w:rPr>
          <w:rFonts w:ascii="Verdana" w:hAnsi="Verdana"/>
          <w:sz w:val="16"/>
          <w:szCs w:val="16"/>
          <w:lang w:val="en-US"/>
        </w:rPr>
      </w:pPr>
      <w:r w:rsidRPr="00D659ED">
        <w:rPr>
          <w:rStyle w:val="FootnoteReference"/>
          <w:rFonts w:ascii="Verdana" w:hAnsi="Verdana"/>
          <w:sz w:val="16"/>
          <w:szCs w:val="16"/>
        </w:rPr>
        <w:footnoteRef/>
      </w:r>
      <w:r w:rsidRPr="00D659ED">
        <w:rPr>
          <w:rFonts w:ascii="Verdana" w:hAnsi="Verdana"/>
          <w:sz w:val="16"/>
          <w:szCs w:val="16"/>
        </w:rPr>
        <w:t xml:space="preserve"> The bill can be consulted here: </w:t>
      </w:r>
      <w:hyperlink r:id="rId12" w:history="1">
        <w:r w:rsidRPr="00D659ED">
          <w:rPr>
            <w:rStyle w:val="Hyperlink"/>
            <w:rFonts w:ascii="Verdana" w:hAnsi="Verdana"/>
            <w:sz w:val="16"/>
            <w:szCs w:val="16"/>
          </w:rPr>
          <w:t>https://www.senado.gob.mx/64/gaceta_del_senado/documento/122460</w:t>
        </w:r>
      </w:hyperlink>
      <w:r w:rsidRPr="00D659ED">
        <w:rPr>
          <w:rFonts w:ascii="Verdana" w:hAnsi="Verdana"/>
          <w:sz w:val="16"/>
          <w:szCs w:val="16"/>
          <w:lang w:val="en-US"/>
        </w:rPr>
        <w:t xml:space="preserve"> </w:t>
      </w:r>
    </w:p>
  </w:footnote>
  <w:footnote w:id="26">
    <w:p w14:paraId="6B548668" w14:textId="77777777" w:rsidR="007219EF" w:rsidRPr="00D659ED" w:rsidRDefault="007219EF" w:rsidP="00D659ED">
      <w:pPr>
        <w:pStyle w:val="FootnoteText"/>
        <w:jc w:val="both"/>
        <w:rPr>
          <w:rFonts w:ascii="Verdana" w:hAnsi="Verdana"/>
          <w:sz w:val="16"/>
          <w:szCs w:val="16"/>
          <w:lang w:val="en-US"/>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n-US"/>
        </w:rPr>
        <w:t xml:space="preserve">Human Rights Watch, Open letter to the Chair of the Justice Commission of the Mexican Senate, 9 February 2022, available at: </w:t>
      </w:r>
      <w:hyperlink r:id="rId13" w:history="1">
        <w:r w:rsidRPr="00D659ED">
          <w:rPr>
            <w:rStyle w:val="Hyperlink"/>
            <w:rFonts w:ascii="Verdana" w:hAnsi="Verdana"/>
            <w:sz w:val="16"/>
            <w:szCs w:val="16"/>
            <w:lang w:val="en-US"/>
          </w:rPr>
          <w:t>https://bit.ly/3Bj3BAr</w:t>
        </w:r>
      </w:hyperlink>
      <w:r w:rsidRPr="00D659ED">
        <w:rPr>
          <w:rFonts w:ascii="Verdana" w:hAnsi="Verdana"/>
          <w:sz w:val="16"/>
          <w:szCs w:val="16"/>
          <w:lang w:val="en-US"/>
        </w:rPr>
        <w:t xml:space="preserve"> </w:t>
      </w:r>
    </w:p>
  </w:footnote>
  <w:footnote w:id="27">
    <w:p w14:paraId="3BBF324B" w14:textId="2545D1B0" w:rsidR="000F4D01" w:rsidRPr="00D659ED" w:rsidRDefault="000F4D01" w:rsidP="00D659ED">
      <w:pPr>
        <w:pStyle w:val="FootnoteText"/>
        <w:jc w:val="both"/>
        <w:rPr>
          <w:rFonts w:ascii="Verdana" w:hAnsi="Verdana"/>
          <w:sz w:val="16"/>
          <w:szCs w:val="16"/>
          <w:lang w:val="en-US"/>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n-US"/>
        </w:rPr>
        <w:t>The responses in Spanish</w:t>
      </w:r>
      <w:r w:rsidR="00912C05" w:rsidRPr="00D659ED">
        <w:rPr>
          <w:rFonts w:ascii="Verdana" w:hAnsi="Verdana"/>
          <w:sz w:val="16"/>
          <w:szCs w:val="16"/>
          <w:lang w:val="en-US"/>
        </w:rPr>
        <w:t xml:space="preserve"> can be consulted </w:t>
      </w:r>
      <w:r w:rsidRPr="00D659ED">
        <w:rPr>
          <w:rFonts w:ascii="Verdana" w:hAnsi="Verdana"/>
          <w:sz w:val="16"/>
          <w:szCs w:val="16"/>
          <w:lang w:val="en-US"/>
        </w:rPr>
        <w:t xml:space="preserve">at: </w:t>
      </w:r>
      <w:hyperlink r:id="rId14" w:history="1">
        <w:r w:rsidR="00912C05" w:rsidRPr="00D659ED">
          <w:rPr>
            <w:rStyle w:val="Hyperlink"/>
            <w:rFonts w:ascii="Verdana" w:hAnsi="Verdana"/>
            <w:sz w:val="16"/>
            <w:szCs w:val="16"/>
            <w:lang w:val="en-US"/>
          </w:rPr>
          <w:t>https://bit.ly/3gDKOq8</w:t>
        </w:r>
      </w:hyperlink>
      <w:r w:rsidR="00912C05" w:rsidRPr="00D659ED">
        <w:rPr>
          <w:rFonts w:ascii="Verdana" w:hAnsi="Verdana"/>
          <w:sz w:val="16"/>
          <w:szCs w:val="16"/>
          <w:lang w:val="en-US"/>
        </w:rPr>
        <w:t xml:space="preserve"> </w:t>
      </w:r>
    </w:p>
  </w:footnote>
  <w:footnote w:id="28">
    <w:p w14:paraId="642218D5" w14:textId="27803BF4" w:rsidR="005B49A5" w:rsidRPr="00D659ED" w:rsidRDefault="005B49A5" w:rsidP="00D659ED">
      <w:pPr>
        <w:pStyle w:val="FootnoteText"/>
        <w:jc w:val="both"/>
        <w:rPr>
          <w:rFonts w:ascii="Verdana" w:hAnsi="Verdana"/>
          <w:sz w:val="16"/>
          <w:szCs w:val="16"/>
        </w:rPr>
      </w:pPr>
      <w:r w:rsidRPr="00D659ED">
        <w:rPr>
          <w:rStyle w:val="FootnoteReference"/>
          <w:rFonts w:ascii="Verdana" w:hAnsi="Verdana"/>
          <w:sz w:val="16"/>
          <w:szCs w:val="16"/>
        </w:rPr>
        <w:footnoteRef/>
      </w:r>
      <w:r w:rsidRPr="00D659ED">
        <w:rPr>
          <w:rFonts w:ascii="Verdana" w:hAnsi="Verdana"/>
          <w:sz w:val="16"/>
          <w:szCs w:val="16"/>
        </w:rPr>
        <w:t xml:space="preserve"> Primera Sala de la Suprema Corte de Justicia de la Nación</w:t>
      </w:r>
      <w:r w:rsidRPr="00D659ED">
        <w:rPr>
          <w:rFonts w:ascii="Verdana" w:hAnsi="Verdana"/>
          <w:sz w:val="16"/>
          <w:szCs w:val="16"/>
          <w:lang w:val="es-ES"/>
        </w:rPr>
        <w:t xml:space="preserve">, </w:t>
      </w:r>
      <w:r w:rsidR="00166CCE" w:rsidRPr="00D659ED">
        <w:rPr>
          <w:rFonts w:ascii="Verdana" w:hAnsi="Verdana"/>
          <w:sz w:val="16"/>
          <w:szCs w:val="16"/>
          <w:lang w:val="es-ES"/>
        </w:rPr>
        <w:t>Amparo en Revisión</w:t>
      </w:r>
      <w:r w:rsidRPr="00D659ED">
        <w:rPr>
          <w:rFonts w:ascii="Verdana" w:hAnsi="Verdana"/>
          <w:sz w:val="16"/>
          <w:szCs w:val="16"/>
          <w:lang w:val="es-ES"/>
        </w:rPr>
        <w:t xml:space="preserve"> 1368/2015, 13 de marzo de 2019,</w:t>
      </w:r>
      <w:r w:rsidRPr="00D659ED">
        <w:rPr>
          <w:rFonts w:ascii="Verdana" w:hAnsi="Verdana"/>
          <w:sz w:val="16"/>
          <w:szCs w:val="16"/>
        </w:rPr>
        <w:t xml:space="preserve"> </w:t>
      </w:r>
      <w:r w:rsidRPr="00D659ED">
        <w:rPr>
          <w:rFonts w:ascii="Verdana" w:hAnsi="Verdana"/>
          <w:sz w:val="16"/>
          <w:szCs w:val="16"/>
          <w:lang w:val="es-ES"/>
        </w:rPr>
        <w:t>p</w:t>
      </w:r>
      <w:r w:rsidRPr="00D659ED">
        <w:rPr>
          <w:rFonts w:ascii="Verdana" w:hAnsi="Verdana"/>
          <w:sz w:val="16"/>
          <w:szCs w:val="16"/>
        </w:rPr>
        <w:t>ara 84</w:t>
      </w:r>
      <w:r w:rsidRPr="00D659ED">
        <w:rPr>
          <w:rFonts w:ascii="Verdana" w:hAnsi="Verdana"/>
          <w:sz w:val="16"/>
          <w:szCs w:val="16"/>
          <w:lang w:val="es-ES"/>
        </w:rPr>
        <w:t xml:space="preserve"> and f.f</w:t>
      </w:r>
      <w:r w:rsidRPr="00D659ED">
        <w:rPr>
          <w:rFonts w:ascii="Verdana" w:hAnsi="Verdana"/>
          <w:sz w:val="16"/>
          <w:szCs w:val="16"/>
        </w:rPr>
        <w:t>.</w:t>
      </w:r>
    </w:p>
  </w:footnote>
  <w:footnote w:id="29">
    <w:p w14:paraId="032DF3A2" w14:textId="67D8B4C8" w:rsidR="00166CCE" w:rsidRPr="00D659ED" w:rsidRDefault="00166CCE" w:rsidP="00D659ED">
      <w:pPr>
        <w:pStyle w:val="FootnoteText"/>
        <w:jc w:val="both"/>
        <w:rPr>
          <w:rFonts w:ascii="Verdana" w:hAnsi="Verdana"/>
          <w:sz w:val="16"/>
          <w:szCs w:val="16"/>
          <w:lang w:val="en-US"/>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n-US"/>
        </w:rPr>
        <w:t xml:space="preserve">According to the General Direction, 715 public servants of the judiciary were part of the training sessions. It was not provided information about how many of those public servants were judges or prosecutors. </w:t>
      </w:r>
    </w:p>
  </w:footnote>
  <w:footnote w:id="30">
    <w:p w14:paraId="5235C1BC" w14:textId="18CBB0BE" w:rsidR="008B42B2" w:rsidRPr="00D659ED" w:rsidRDefault="008B42B2" w:rsidP="00D659ED">
      <w:pPr>
        <w:pStyle w:val="FootnoteText"/>
        <w:jc w:val="both"/>
        <w:rPr>
          <w:rFonts w:ascii="Verdana" w:hAnsi="Verdana"/>
          <w:sz w:val="16"/>
          <w:szCs w:val="16"/>
          <w:lang w:val="en-US"/>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n-US"/>
        </w:rPr>
        <w:t xml:space="preserve">The Protocol in Spanish is available </w:t>
      </w:r>
      <w:r w:rsidR="003E481C" w:rsidRPr="00D659ED">
        <w:rPr>
          <w:rFonts w:ascii="Verdana" w:hAnsi="Verdana"/>
          <w:sz w:val="16"/>
          <w:szCs w:val="16"/>
          <w:lang w:val="en-US"/>
        </w:rPr>
        <w:t>at</w:t>
      </w:r>
      <w:r w:rsidRPr="00D659ED">
        <w:rPr>
          <w:rFonts w:ascii="Verdana" w:hAnsi="Verdana"/>
          <w:sz w:val="16"/>
          <w:szCs w:val="16"/>
          <w:lang w:val="en-US"/>
        </w:rPr>
        <w:t xml:space="preserve">: </w:t>
      </w:r>
      <w:hyperlink r:id="rId15" w:history="1">
        <w:r w:rsidRPr="00D659ED">
          <w:rPr>
            <w:rStyle w:val="Hyperlink"/>
            <w:rFonts w:ascii="Verdana" w:hAnsi="Verdana"/>
            <w:sz w:val="16"/>
            <w:szCs w:val="16"/>
            <w:lang w:val="en-US"/>
          </w:rPr>
          <w:t>https://bit.ly/33f22qO</w:t>
        </w:r>
      </w:hyperlink>
      <w:r w:rsidRPr="00D659ED">
        <w:rPr>
          <w:rFonts w:ascii="Verdana" w:hAnsi="Verdana"/>
          <w:sz w:val="16"/>
          <w:szCs w:val="16"/>
          <w:lang w:val="en-US"/>
        </w:rPr>
        <w:t xml:space="preserve"> </w:t>
      </w:r>
    </w:p>
  </w:footnote>
  <w:footnote w:id="31">
    <w:p w14:paraId="00081299" w14:textId="1D406C1B" w:rsidR="002019EC" w:rsidRPr="006A0E46" w:rsidRDefault="002019EC" w:rsidP="00D659ED">
      <w:pPr>
        <w:pStyle w:val="FootnoteText"/>
        <w:jc w:val="both"/>
        <w:rPr>
          <w:rFonts w:ascii="Verdana" w:hAnsi="Verdana"/>
          <w:sz w:val="16"/>
          <w:szCs w:val="16"/>
          <w:lang w:val="es-ES"/>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n-US"/>
        </w:rPr>
        <w:t xml:space="preserve">The main decisions of the Tribunal regarding the right of persons with disabilities can consulted at: Cuadernos de Jurisprudencia No. 5, Derechos de las personas con discapacidad, 2020. </w:t>
      </w:r>
      <w:r w:rsidRPr="006A0E46">
        <w:rPr>
          <w:rFonts w:ascii="Verdana" w:hAnsi="Verdana"/>
          <w:sz w:val="16"/>
          <w:szCs w:val="16"/>
          <w:lang w:val="es-ES"/>
        </w:rPr>
        <w:t xml:space="preserve">Available at: </w:t>
      </w:r>
      <w:hyperlink r:id="rId16" w:history="1">
        <w:r w:rsidR="008C5677" w:rsidRPr="006A0E46">
          <w:rPr>
            <w:rStyle w:val="Hyperlink"/>
            <w:rFonts w:ascii="Verdana" w:hAnsi="Verdana"/>
            <w:sz w:val="16"/>
            <w:szCs w:val="16"/>
            <w:lang w:val="es-ES"/>
          </w:rPr>
          <w:t>https://bit.ly/3GNw6ay</w:t>
        </w:r>
      </w:hyperlink>
      <w:r w:rsidR="008C5677" w:rsidRPr="006A0E46">
        <w:rPr>
          <w:rFonts w:ascii="Verdana" w:hAnsi="Verdana"/>
          <w:sz w:val="16"/>
          <w:szCs w:val="16"/>
          <w:lang w:val="es-ES"/>
        </w:rPr>
        <w:t xml:space="preserve"> </w:t>
      </w:r>
    </w:p>
  </w:footnote>
  <w:footnote w:id="32">
    <w:p w14:paraId="3CC877A6" w14:textId="77777777" w:rsidR="00122839" w:rsidRPr="00D659ED" w:rsidRDefault="00122839" w:rsidP="00122839">
      <w:pPr>
        <w:pStyle w:val="FootnoteText"/>
        <w:jc w:val="both"/>
        <w:rPr>
          <w:rFonts w:ascii="Verdana" w:hAnsi="Verdana"/>
          <w:sz w:val="16"/>
          <w:szCs w:val="16"/>
          <w:lang w:val="es-ES"/>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s-ES"/>
        </w:rPr>
        <w:t>Amparo Law (</w:t>
      </w:r>
      <w:r w:rsidRPr="00D659ED">
        <w:rPr>
          <w:rFonts w:ascii="Verdana" w:hAnsi="Verdana"/>
          <w:i/>
          <w:iCs/>
          <w:sz w:val="16"/>
          <w:szCs w:val="16"/>
          <w:lang w:val="es-ES"/>
        </w:rPr>
        <w:t>Ley de Amparo, reglamentaria de los artículos 103 y 107 de la Constitución Política de los Estados Unidos Mexicanos</w:t>
      </w:r>
      <w:r w:rsidRPr="00D659ED">
        <w:rPr>
          <w:rFonts w:ascii="Verdana" w:hAnsi="Verdana"/>
          <w:sz w:val="16"/>
          <w:szCs w:val="16"/>
          <w:lang w:val="es-ES"/>
        </w:rPr>
        <w:t xml:space="preserve">), former article 192. </w:t>
      </w:r>
    </w:p>
  </w:footnote>
  <w:footnote w:id="33">
    <w:p w14:paraId="0AC90F12" w14:textId="77777777" w:rsidR="00574A5D" w:rsidRPr="00D659ED" w:rsidRDefault="00574A5D" w:rsidP="00D659ED">
      <w:pPr>
        <w:pStyle w:val="FootnoteText"/>
        <w:jc w:val="both"/>
        <w:rPr>
          <w:rFonts w:ascii="Verdana" w:hAnsi="Verdana"/>
          <w:sz w:val="16"/>
          <w:szCs w:val="16"/>
          <w:lang w:val="en-US"/>
        </w:rPr>
      </w:pPr>
      <w:r w:rsidRPr="00D659ED">
        <w:rPr>
          <w:rStyle w:val="FootnoteReference"/>
          <w:rFonts w:ascii="Verdana" w:hAnsi="Verdana"/>
          <w:sz w:val="16"/>
          <w:szCs w:val="16"/>
        </w:rPr>
        <w:footnoteRef/>
      </w:r>
      <w:r w:rsidRPr="00D659ED">
        <w:rPr>
          <w:rFonts w:ascii="Verdana" w:hAnsi="Verdana"/>
          <w:sz w:val="16"/>
          <w:szCs w:val="16"/>
        </w:rPr>
        <w:t xml:space="preserve"> </w:t>
      </w:r>
      <w:r w:rsidRPr="00D659ED">
        <w:rPr>
          <w:rFonts w:ascii="Verdana" w:hAnsi="Verdana"/>
          <w:sz w:val="16"/>
          <w:szCs w:val="16"/>
          <w:lang w:val="en-US"/>
        </w:rPr>
        <w:t xml:space="preserve">The current system was established through the following decrees: DOF: 11/03/2021 and DOF: 07/06/2021. </w:t>
      </w:r>
    </w:p>
    <w:p w14:paraId="5E53CCA6" w14:textId="77777777" w:rsidR="00574A5D" w:rsidRPr="00D659ED" w:rsidRDefault="00574A5D" w:rsidP="00D659ED">
      <w:pPr>
        <w:pStyle w:val="FootnoteText"/>
        <w:jc w:val="both"/>
        <w:rPr>
          <w:rFonts w:ascii="Verdana" w:hAnsi="Verdana"/>
          <w:sz w:val="16"/>
          <w:szCs w:val="16"/>
          <w:lang w:val="es-ES"/>
        </w:rPr>
      </w:pPr>
      <w:r w:rsidRPr="00D659ED">
        <w:rPr>
          <w:rFonts w:ascii="Verdana" w:hAnsi="Verdana"/>
          <w:sz w:val="16"/>
          <w:szCs w:val="16"/>
          <w:lang w:val="es-ES"/>
        </w:rPr>
        <w:t xml:space="preserve">See also: Pleno de la Suprema Corte de Justicia de la Nación, Acuerdo General número 1/2021. </w:t>
      </w:r>
    </w:p>
  </w:footnote>
  <w:footnote w:id="34">
    <w:p w14:paraId="4FDEF577" w14:textId="77777777" w:rsidR="00574A5D" w:rsidRPr="00D659ED" w:rsidRDefault="00574A5D" w:rsidP="00D659ED">
      <w:pPr>
        <w:pStyle w:val="FootnoteText"/>
        <w:jc w:val="both"/>
        <w:rPr>
          <w:rFonts w:ascii="Verdana" w:hAnsi="Verdana"/>
          <w:sz w:val="16"/>
          <w:szCs w:val="16"/>
          <w:lang w:val="en-US"/>
        </w:rPr>
      </w:pPr>
      <w:r w:rsidRPr="00D659ED">
        <w:rPr>
          <w:rStyle w:val="FootnoteReference"/>
          <w:rFonts w:ascii="Verdana" w:hAnsi="Verdana"/>
          <w:sz w:val="16"/>
          <w:szCs w:val="16"/>
        </w:rPr>
        <w:footnoteRef/>
      </w:r>
      <w:r w:rsidRPr="00D659ED">
        <w:rPr>
          <w:rFonts w:ascii="Verdana" w:hAnsi="Verdana"/>
          <w:sz w:val="16"/>
          <w:szCs w:val="16"/>
          <w:lang w:val="en-US"/>
        </w:rPr>
        <w:t xml:space="preserve"> Mexican Constitution, article 94. See also: Amparo Law, articles 222 y 223</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D4FF7"/>
    <w:multiLevelType w:val="hybridMultilevel"/>
    <w:tmpl w:val="CF50A7F8"/>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972FE7"/>
    <w:multiLevelType w:val="hybridMultilevel"/>
    <w:tmpl w:val="1BDE5864"/>
    <w:lvl w:ilvl="0" w:tplc="5A2E21EC">
      <w:start w:val="1"/>
      <w:numFmt w:val="upperRoman"/>
      <w:lvlText w:val="%1."/>
      <w:lvlJc w:val="left"/>
      <w:pPr>
        <w:ind w:left="1080" w:hanging="72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277574"/>
    <w:multiLevelType w:val="hybridMultilevel"/>
    <w:tmpl w:val="AC941F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FC26FE"/>
    <w:multiLevelType w:val="hybridMultilevel"/>
    <w:tmpl w:val="3F6C75DE"/>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9047691"/>
    <w:multiLevelType w:val="hybridMultilevel"/>
    <w:tmpl w:val="8C4233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771BEE"/>
    <w:multiLevelType w:val="hybridMultilevel"/>
    <w:tmpl w:val="3F6C75DE"/>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B650733"/>
    <w:multiLevelType w:val="hybridMultilevel"/>
    <w:tmpl w:val="C1489AB4"/>
    <w:lvl w:ilvl="0" w:tplc="9F86715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5A672C"/>
    <w:multiLevelType w:val="hybridMultilevel"/>
    <w:tmpl w:val="0FACAA24"/>
    <w:lvl w:ilvl="0" w:tplc="EFCA9E0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0C1210"/>
    <w:multiLevelType w:val="hybridMultilevel"/>
    <w:tmpl w:val="CA70B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BD777C"/>
    <w:multiLevelType w:val="multilevel"/>
    <w:tmpl w:val="5DB0C60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44E96A0B"/>
    <w:multiLevelType w:val="hybridMultilevel"/>
    <w:tmpl w:val="443AC202"/>
    <w:lvl w:ilvl="0" w:tplc="67AE1028">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489C4C90"/>
    <w:multiLevelType w:val="hybridMultilevel"/>
    <w:tmpl w:val="B386BB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95614B"/>
    <w:multiLevelType w:val="hybridMultilevel"/>
    <w:tmpl w:val="3F6C75DE"/>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6107C38"/>
    <w:multiLevelType w:val="hybridMultilevel"/>
    <w:tmpl w:val="CA0488E8"/>
    <w:lvl w:ilvl="0" w:tplc="E10C4D6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64E23EE"/>
    <w:multiLevelType w:val="hybridMultilevel"/>
    <w:tmpl w:val="CF50A7F8"/>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C15684C"/>
    <w:multiLevelType w:val="hybridMultilevel"/>
    <w:tmpl w:val="3F6C75DE"/>
    <w:lvl w:ilvl="0" w:tplc="80FE321C">
      <w:start w:val="1"/>
      <w:numFmt w:val="decimal"/>
      <w:lvlText w:val="%1."/>
      <w:lvlJc w:val="left"/>
      <w:pPr>
        <w:ind w:left="720" w:hanging="360"/>
      </w:pPr>
      <w:rPr>
        <w:rFonts w:hint="default"/>
        <w:b w:val="0"/>
        <w:b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D00F26"/>
    <w:multiLevelType w:val="hybridMultilevel"/>
    <w:tmpl w:val="274AB398"/>
    <w:lvl w:ilvl="0" w:tplc="56042E9A">
      <w:start w:val="1"/>
      <w:numFmt w:val="upperLetter"/>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274512"/>
    <w:multiLevelType w:val="hybridMultilevel"/>
    <w:tmpl w:val="3F6C75DE"/>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A50509A"/>
    <w:multiLevelType w:val="multilevel"/>
    <w:tmpl w:val="B4FEEA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6F544BDD"/>
    <w:multiLevelType w:val="hybridMultilevel"/>
    <w:tmpl w:val="3F6C75DE"/>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148231B"/>
    <w:multiLevelType w:val="hybridMultilevel"/>
    <w:tmpl w:val="CF50A7F8"/>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5297131"/>
    <w:multiLevelType w:val="hybridMultilevel"/>
    <w:tmpl w:val="CF50A7F8"/>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8"/>
  </w:num>
  <w:num w:numId="2">
    <w:abstractNumId w:val="1"/>
  </w:num>
  <w:num w:numId="3">
    <w:abstractNumId w:val="15"/>
  </w:num>
  <w:num w:numId="4">
    <w:abstractNumId w:val="2"/>
  </w:num>
  <w:num w:numId="5">
    <w:abstractNumId w:val="20"/>
  </w:num>
  <w:num w:numId="6">
    <w:abstractNumId w:val="21"/>
  </w:num>
  <w:num w:numId="7">
    <w:abstractNumId w:val="0"/>
  </w:num>
  <w:num w:numId="8">
    <w:abstractNumId w:val="14"/>
  </w:num>
  <w:num w:numId="9">
    <w:abstractNumId w:val="13"/>
  </w:num>
  <w:num w:numId="10">
    <w:abstractNumId w:val="6"/>
  </w:num>
  <w:num w:numId="11">
    <w:abstractNumId w:val="18"/>
  </w:num>
  <w:num w:numId="12">
    <w:abstractNumId w:val="7"/>
  </w:num>
  <w:num w:numId="13">
    <w:abstractNumId w:val="9"/>
  </w:num>
  <w:num w:numId="14">
    <w:abstractNumId w:val="10"/>
  </w:num>
  <w:num w:numId="15">
    <w:abstractNumId w:val="4"/>
  </w:num>
  <w:num w:numId="16">
    <w:abstractNumId w:val="19"/>
  </w:num>
  <w:num w:numId="17">
    <w:abstractNumId w:val="12"/>
  </w:num>
  <w:num w:numId="18">
    <w:abstractNumId w:val="5"/>
  </w:num>
  <w:num w:numId="19">
    <w:abstractNumId w:val="16"/>
  </w:num>
  <w:num w:numId="20">
    <w:abstractNumId w:val="11"/>
  </w:num>
  <w:num w:numId="21">
    <w:abstractNumId w:val="3"/>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326"/>
    <w:rsid w:val="0000195F"/>
    <w:rsid w:val="00017521"/>
    <w:rsid w:val="00021A91"/>
    <w:rsid w:val="000247AF"/>
    <w:rsid w:val="00032FC4"/>
    <w:rsid w:val="00042555"/>
    <w:rsid w:val="000432BE"/>
    <w:rsid w:val="00050C2F"/>
    <w:rsid w:val="0005317A"/>
    <w:rsid w:val="00063DEC"/>
    <w:rsid w:val="00064E4F"/>
    <w:rsid w:val="0007651E"/>
    <w:rsid w:val="000842C8"/>
    <w:rsid w:val="0009756C"/>
    <w:rsid w:val="00097BD9"/>
    <w:rsid w:val="00097ECC"/>
    <w:rsid w:val="000A49A2"/>
    <w:rsid w:val="000B08CD"/>
    <w:rsid w:val="000B231E"/>
    <w:rsid w:val="000C640B"/>
    <w:rsid w:val="000C7906"/>
    <w:rsid w:val="000D0139"/>
    <w:rsid w:val="000D4C80"/>
    <w:rsid w:val="000D6739"/>
    <w:rsid w:val="000D6856"/>
    <w:rsid w:val="000D7B11"/>
    <w:rsid w:val="000E376D"/>
    <w:rsid w:val="000F4D01"/>
    <w:rsid w:val="000F649E"/>
    <w:rsid w:val="00106864"/>
    <w:rsid w:val="00111311"/>
    <w:rsid w:val="00113326"/>
    <w:rsid w:val="00122839"/>
    <w:rsid w:val="00127EBD"/>
    <w:rsid w:val="001379E6"/>
    <w:rsid w:val="00137B0D"/>
    <w:rsid w:val="00163901"/>
    <w:rsid w:val="00163D9D"/>
    <w:rsid w:val="00166CCE"/>
    <w:rsid w:val="00175DB6"/>
    <w:rsid w:val="00193B4B"/>
    <w:rsid w:val="0019423A"/>
    <w:rsid w:val="001A3114"/>
    <w:rsid w:val="001B6324"/>
    <w:rsid w:val="001C38B1"/>
    <w:rsid w:val="001F1C95"/>
    <w:rsid w:val="001F2EF0"/>
    <w:rsid w:val="002016B4"/>
    <w:rsid w:val="002019EC"/>
    <w:rsid w:val="00207DBD"/>
    <w:rsid w:val="002100D4"/>
    <w:rsid w:val="00211B4C"/>
    <w:rsid w:val="00251790"/>
    <w:rsid w:val="00253386"/>
    <w:rsid w:val="00254576"/>
    <w:rsid w:val="00260778"/>
    <w:rsid w:val="00263560"/>
    <w:rsid w:val="00291901"/>
    <w:rsid w:val="002A67FF"/>
    <w:rsid w:val="002B401D"/>
    <w:rsid w:val="002D6909"/>
    <w:rsid w:val="002D71FC"/>
    <w:rsid w:val="002E1676"/>
    <w:rsid w:val="002E2FE4"/>
    <w:rsid w:val="002E7B1D"/>
    <w:rsid w:val="002F266E"/>
    <w:rsid w:val="0030088F"/>
    <w:rsid w:val="00310244"/>
    <w:rsid w:val="00313A0C"/>
    <w:rsid w:val="00317189"/>
    <w:rsid w:val="00331288"/>
    <w:rsid w:val="00333F01"/>
    <w:rsid w:val="00340686"/>
    <w:rsid w:val="003417A4"/>
    <w:rsid w:val="0034259D"/>
    <w:rsid w:val="00345EA5"/>
    <w:rsid w:val="00351410"/>
    <w:rsid w:val="00351591"/>
    <w:rsid w:val="00354892"/>
    <w:rsid w:val="003609FA"/>
    <w:rsid w:val="00362BC5"/>
    <w:rsid w:val="003750DE"/>
    <w:rsid w:val="00375661"/>
    <w:rsid w:val="00381653"/>
    <w:rsid w:val="003A5C9B"/>
    <w:rsid w:val="003B1239"/>
    <w:rsid w:val="003B1310"/>
    <w:rsid w:val="003B3BEB"/>
    <w:rsid w:val="003E0435"/>
    <w:rsid w:val="003E481C"/>
    <w:rsid w:val="003E7F4E"/>
    <w:rsid w:val="00417BD0"/>
    <w:rsid w:val="0044203D"/>
    <w:rsid w:val="00450EDE"/>
    <w:rsid w:val="00453797"/>
    <w:rsid w:val="004567C9"/>
    <w:rsid w:val="00457C77"/>
    <w:rsid w:val="00460B93"/>
    <w:rsid w:val="004642F8"/>
    <w:rsid w:val="00465A2C"/>
    <w:rsid w:val="00477BCE"/>
    <w:rsid w:val="0048292C"/>
    <w:rsid w:val="004910B9"/>
    <w:rsid w:val="00491243"/>
    <w:rsid w:val="00491B14"/>
    <w:rsid w:val="004962BF"/>
    <w:rsid w:val="004A1260"/>
    <w:rsid w:val="004C4303"/>
    <w:rsid w:val="004C565F"/>
    <w:rsid w:val="004D2DE6"/>
    <w:rsid w:val="004D441F"/>
    <w:rsid w:val="004E23F8"/>
    <w:rsid w:val="004E4748"/>
    <w:rsid w:val="004E4982"/>
    <w:rsid w:val="004E5FCF"/>
    <w:rsid w:val="004E65F9"/>
    <w:rsid w:val="0050791B"/>
    <w:rsid w:val="005111AB"/>
    <w:rsid w:val="00512DAD"/>
    <w:rsid w:val="00516F8F"/>
    <w:rsid w:val="0052548B"/>
    <w:rsid w:val="00537A31"/>
    <w:rsid w:val="00550AFB"/>
    <w:rsid w:val="005565BE"/>
    <w:rsid w:val="00563E60"/>
    <w:rsid w:val="00572E1C"/>
    <w:rsid w:val="00574A5D"/>
    <w:rsid w:val="00574D9E"/>
    <w:rsid w:val="00583330"/>
    <w:rsid w:val="00584897"/>
    <w:rsid w:val="00586FF7"/>
    <w:rsid w:val="0059051F"/>
    <w:rsid w:val="005B0DA7"/>
    <w:rsid w:val="005B49A5"/>
    <w:rsid w:val="005C1C92"/>
    <w:rsid w:val="005D1A0E"/>
    <w:rsid w:val="005D3897"/>
    <w:rsid w:val="005D4E5C"/>
    <w:rsid w:val="005D7927"/>
    <w:rsid w:val="005E2307"/>
    <w:rsid w:val="005E357E"/>
    <w:rsid w:val="005E7F9E"/>
    <w:rsid w:val="005F07EB"/>
    <w:rsid w:val="005F24A4"/>
    <w:rsid w:val="006005EA"/>
    <w:rsid w:val="0060374D"/>
    <w:rsid w:val="00603F29"/>
    <w:rsid w:val="00606B25"/>
    <w:rsid w:val="00610991"/>
    <w:rsid w:val="00617F0E"/>
    <w:rsid w:val="00624818"/>
    <w:rsid w:val="00635053"/>
    <w:rsid w:val="0063603B"/>
    <w:rsid w:val="00636876"/>
    <w:rsid w:val="00643339"/>
    <w:rsid w:val="0065002F"/>
    <w:rsid w:val="006538D2"/>
    <w:rsid w:val="006637CB"/>
    <w:rsid w:val="00675166"/>
    <w:rsid w:val="006A0E46"/>
    <w:rsid w:val="006B2F13"/>
    <w:rsid w:val="006B7ECD"/>
    <w:rsid w:val="006C28E4"/>
    <w:rsid w:val="006C7CB5"/>
    <w:rsid w:val="006D5765"/>
    <w:rsid w:val="006E3C78"/>
    <w:rsid w:val="006F75A1"/>
    <w:rsid w:val="006F7B49"/>
    <w:rsid w:val="00704397"/>
    <w:rsid w:val="00704CC1"/>
    <w:rsid w:val="00707399"/>
    <w:rsid w:val="007150F5"/>
    <w:rsid w:val="007219EF"/>
    <w:rsid w:val="00725D23"/>
    <w:rsid w:val="007334CD"/>
    <w:rsid w:val="00740336"/>
    <w:rsid w:val="00740E1A"/>
    <w:rsid w:val="00760955"/>
    <w:rsid w:val="007707A6"/>
    <w:rsid w:val="00772A6F"/>
    <w:rsid w:val="0077678E"/>
    <w:rsid w:val="00782B91"/>
    <w:rsid w:val="007848DE"/>
    <w:rsid w:val="007871AF"/>
    <w:rsid w:val="007A2FA8"/>
    <w:rsid w:val="007B5438"/>
    <w:rsid w:val="007B7AE4"/>
    <w:rsid w:val="007E760A"/>
    <w:rsid w:val="007E78B5"/>
    <w:rsid w:val="007F1B56"/>
    <w:rsid w:val="007F6C6D"/>
    <w:rsid w:val="008133BF"/>
    <w:rsid w:val="00824483"/>
    <w:rsid w:val="00830CBB"/>
    <w:rsid w:val="00833835"/>
    <w:rsid w:val="0086261D"/>
    <w:rsid w:val="008844D2"/>
    <w:rsid w:val="00892BB5"/>
    <w:rsid w:val="008A3CBE"/>
    <w:rsid w:val="008B1EF0"/>
    <w:rsid w:val="008B42B2"/>
    <w:rsid w:val="008B7AFF"/>
    <w:rsid w:val="008C5677"/>
    <w:rsid w:val="008C67EF"/>
    <w:rsid w:val="008C70B8"/>
    <w:rsid w:val="008D56CF"/>
    <w:rsid w:val="008E298D"/>
    <w:rsid w:val="008E337E"/>
    <w:rsid w:val="008E622D"/>
    <w:rsid w:val="00904A59"/>
    <w:rsid w:val="00912757"/>
    <w:rsid w:val="00912C05"/>
    <w:rsid w:val="0092479C"/>
    <w:rsid w:val="0093567E"/>
    <w:rsid w:val="00943B36"/>
    <w:rsid w:val="009450CB"/>
    <w:rsid w:val="0094554F"/>
    <w:rsid w:val="00947526"/>
    <w:rsid w:val="00951174"/>
    <w:rsid w:val="0098117C"/>
    <w:rsid w:val="00981BD5"/>
    <w:rsid w:val="009A2AEC"/>
    <w:rsid w:val="009A3852"/>
    <w:rsid w:val="009B6753"/>
    <w:rsid w:val="009D03E6"/>
    <w:rsid w:val="009D3415"/>
    <w:rsid w:val="009E4A51"/>
    <w:rsid w:val="009F5205"/>
    <w:rsid w:val="009F5B40"/>
    <w:rsid w:val="00A05B27"/>
    <w:rsid w:val="00A10D43"/>
    <w:rsid w:val="00A278DE"/>
    <w:rsid w:val="00A4268A"/>
    <w:rsid w:val="00A701BC"/>
    <w:rsid w:val="00A74CB3"/>
    <w:rsid w:val="00A775E0"/>
    <w:rsid w:val="00A8231B"/>
    <w:rsid w:val="00A95255"/>
    <w:rsid w:val="00AA5DE6"/>
    <w:rsid w:val="00AB728B"/>
    <w:rsid w:val="00AC6993"/>
    <w:rsid w:val="00AD2D19"/>
    <w:rsid w:val="00AE2D34"/>
    <w:rsid w:val="00AF7594"/>
    <w:rsid w:val="00B0318C"/>
    <w:rsid w:val="00B06057"/>
    <w:rsid w:val="00B27C78"/>
    <w:rsid w:val="00B27E0A"/>
    <w:rsid w:val="00B35B29"/>
    <w:rsid w:val="00B4111A"/>
    <w:rsid w:val="00B42CEA"/>
    <w:rsid w:val="00B4340D"/>
    <w:rsid w:val="00B43DB8"/>
    <w:rsid w:val="00B4419B"/>
    <w:rsid w:val="00B4661E"/>
    <w:rsid w:val="00B51222"/>
    <w:rsid w:val="00B51BEE"/>
    <w:rsid w:val="00B64B55"/>
    <w:rsid w:val="00B80792"/>
    <w:rsid w:val="00BA0958"/>
    <w:rsid w:val="00BA78B1"/>
    <w:rsid w:val="00BC028A"/>
    <w:rsid w:val="00BC3254"/>
    <w:rsid w:val="00BD0165"/>
    <w:rsid w:val="00BD185B"/>
    <w:rsid w:val="00BD4501"/>
    <w:rsid w:val="00BF0660"/>
    <w:rsid w:val="00C00852"/>
    <w:rsid w:val="00C028D1"/>
    <w:rsid w:val="00C07CF1"/>
    <w:rsid w:val="00C13889"/>
    <w:rsid w:val="00C14392"/>
    <w:rsid w:val="00C15B37"/>
    <w:rsid w:val="00C20B85"/>
    <w:rsid w:val="00C25F62"/>
    <w:rsid w:val="00C32C48"/>
    <w:rsid w:val="00C35FD8"/>
    <w:rsid w:val="00C368A0"/>
    <w:rsid w:val="00C54537"/>
    <w:rsid w:val="00C54794"/>
    <w:rsid w:val="00C55BC4"/>
    <w:rsid w:val="00C60AC3"/>
    <w:rsid w:val="00C64C5D"/>
    <w:rsid w:val="00C72D3A"/>
    <w:rsid w:val="00C90458"/>
    <w:rsid w:val="00CB0598"/>
    <w:rsid w:val="00CB4D21"/>
    <w:rsid w:val="00CB7579"/>
    <w:rsid w:val="00CC2112"/>
    <w:rsid w:val="00CC4D51"/>
    <w:rsid w:val="00CC52B5"/>
    <w:rsid w:val="00CC631D"/>
    <w:rsid w:val="00CC6CF1"/>
    <w:rsid w:val="00CD2969"/>
    <w:rsid w:val="00CE139C"/>
    <w:rsid w:val="00CF2CDD"/>
    <w:rsid w:val="00CF5C31"/>
    <w:rsid w:val="00D06280"/>
    <w:rsid w:val="00D21229"/>
    <w:rsid w:val="00D27BCF"/>
    <w:rsid w:val="00D418AD"/>
    <w:rsid w:val="00D648E4"/>
    <w:rsid w:val="00D659ED"/>
    <w:rsid w:val="00D83922"/>
    <w:rsid w:val="00D95774"/>
    <w:rsid w:val="00D96F1B"/>
    <w:rsid w:val="00DA7827"/>
    <w:rsid w:val="00DB4D71"/>
    <w:rsid w:val="00DB57B6"/>
    <w:rsid w:val="00DB63DF"/>
    <w:rsid w:val="00DC1E15"/>
    <w:rsid w:val="00DC38DA"/>
    <w:rsid w:val="00DE09AC"/>
    <w:rsid w:val="00DE74EB"/>
    <w:rsid w:val="00DF36AE"/>
    <w:rsid w:val="00E0149D"/>
    <w:rsid w:val="00E02FB9"/>
    <w:rsid w:val="00E079E7"/>
    <w:rsid w:val="00E161B1"/>
    <w:rsid w:val="00E22BC4"/>
    <w:rsid w:val="00E2527D"/>
    <w:rsid w:val="00E301C5"/>
    <w:rsid w:val="00E3336C"/>
    <w:rsid w:val="00E4089B"/>
    <w:rsid w:val="00E524A0"/>
    <w:rsid w:val="00E63B7D"/>
    <w:rsid w:val="00E725A5"/>
    <w:rsid w:val="00E743CE"/>
    <w:rsid w:val="00E74F11"/>
    <w:rsid w:val="00E8366D"/>
    <w:rsid w:val="00E85439"/>
    <w:rsid w:val="00E86CE2"/>
    <w:rsid w:val="00E87A4A"/>
    <w:rsid w:val="00EB26A7"/>
    <w:rsid w:val="00EC03B5"/>
    <w:rsid w:val="00ED1460"/>
    <w:rsid w:val="00EE04D4"/>
    <w:rsid w:val="00F03099"/>
    <w:rsid w:val="00F05025"/>
    <w:rsid w:val="00F159D6"/>
    <w:rsid w:val="00F34802"/>
    <w:rsid w:val="00F35C10"/>
    <w:rsid w:val="00F41D92"/>
    <w:rsid w:val="00F506EC"/>
    <w:rsid w:val="00F62388"/>
    <w:rsid w:val="00F73605"/>
    <w:rsid w:val="00F852F9"/>
    <w:rsid w:val="00F97782"/>
    <w:rsid w:val="00FA3356"/>
    <w:rsid w:val="00FA6319"/>
    <w:rsid w:val="00FB6AAF"/>
    <w:rsid w:val="00FC2B1A"/>
    <w:rsid w:val="00FC460F"/>
    <w:rsid w:val="00FF0224"/>
    <w:rsid w:val="00FF6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A9154"/>
  <w15:chartTrackingRefBased/>
  <w15:docId w15:val="{234FCA47-B9D2-CB47-AFEC-D0A980757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23A"/>
    <w:rPr>
      <w:rFonts w:ascii="Times New Roman" w:eastAsia="Times New Roman" w:hAnsi="Times New Roman" w:cs="Times New Roman"/>
      <w:lang w:eastAsia="en-GB"/>
    </w:rPr>
  </w:style>
  <w:style w:type="paragraph" w:styleId="Heading4">
    <w:name w:val="heading 4"/>
    <w:basedOn w:val="Normal"/>
    <w:link w:val="Heading4Char"/>
    <w:uiPriority w:val="9"/>
    <w:qFormat/>
    <w:rsid w:val="004E5FCF"/>
    <w:pPr>
      <w:spacing w:before="100" w:beforeAutospacing="1" w:after="100" w:afterAutospacing="1"/>
      <w:outlineLvl w:val="3"/>
    </w:pPr>
    <w:rPr>
      <w:b/>
      <w:bCs/>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1790"/>
    <w:rPr>
      <w:color w:val="0563C1" w:themeColor="hyperlink"/>
      <w:u w:val="single"/>
    </w:rPr>
  </w:style>
  <w:style w:type="character" w:customStyle="1" w:styleId="UnresolvedMention">
    <w:name w:val="Unresolved Mention"/>
    <w:basedOn w:val="DefaultParagraphFont"/>
    <w:uiPriority w:val="99"/>
    <w:semiHidden/>
    <w:unhideWhenUsed/>
    <w:rsid w:val="00251790"/>
    <w:rPr>
      <w:color w:val="605E5C"/>
      <w:shd w:val="clear" w:color="auto" w:fill="E1DFDD"/>
    </w:rPr>
  </w:style>
  <w:style w:type="paragraph" w:styleId="FootnoteText">
    <w:name w:val="footnote text"/>
    <w:basedOn w:val="Normal"/>
    <w:link w:val="FootnoteTextChar"/>
    <w:uiPriority w:val="99"/>
    <w:semiHidden/>
    <w:unhideWhenUsed/>
    <w:rsid w:val="00E161B1"/>
    <w:rPr>
      <w:sz w:val="20"/>
      <w:szCs w:val="20"/>
    </w:rPr>
  </w:style>
  <w:style w:type="character" w:customStyle="1" w:styleId="FootnoteTextChar">
    <w:name w:val="Footnote Text Char"/>
    <w:basedOn w:val="DefaultParagraphFont"/>
    <w:link w:val="FootnoteText"/>
    <w:uiPriority w:val="99"/>
    <w:semiHidden/>
    <w:rsid w:val="00E161B1"/>
    <w:rPr>
      <w:sz w:val="20"/>
      <w:szCs w:val="20"/>
    </w:rPr>
  </w:style>
  <w:style w:type="character" w:styleId="FootnoteReference">
    <w:name w:val="footnote reference"/>
    <w:basedOn w:val="DefaultParagraphFont"/>
    <w:uiPriority w:val="99"/>
    <w:semiHidden/>
    <w:unhideWhenUsed/>
    <w:rsid w:val="00E161B1"/>
    <w:rPr>
      <w:vertAlign w:val="superscript"/>
    </w:rPr>
  </w:style>
  <w:style w:type="character" w:customStyle="1" w:styleId="apple-converted-space">
    <w:name w:val="apple-converted-space"/>
    <w:basedOn w:val="DefaultParagraphFont"/>
    <w:rsid w:val="002A67FF"/>
  </w:style>
  <w:style w:type="paragraph" w:styleId="NormalWeb">
    <w:name w:val="Normal (Web)"/>
    <w:basedOn w:val="Normal"/>
    <w:uiPriority w:val="99"/>
    <w:unhideWhenUsed/>
    <w:rsid w:val="000432BE"/>
    <w:pPr>
      <w:spacing w:before="100" w:beforeAutospacing="1" w:after="100" w:afterAutospacing="1"/>
    </w:pPr>
  </w:style>
  <w:style w:type="paragraph" w:styleId="ListParagraph">
    <w:name w:val="List Paragraph"/>
    <w:basedOn w:val="Normal"/>
    <w:qFormat/>
    <w:rsid w:val="00491243"/>
    <w:pPr>
      <w:ind w:left="720"/>
      <w:contextualSpacing/>
    </w:pPr>
  </w:style>
  <w:style w:type="paragraph" w:styleId="Header">
    <w:name w:val="header"/>
    <w:basedOn w:val="Normal"/>
    <w:link w:val="HeaderChar"/>
    <w:uiPriority w:val="99"/>
    <w:unhideWhenUsed/>
    <w:rsid w:val="00FC460F"/>
    <w:pPr>
      <w:tabs>
        <w:tab w:val="center" w:pos="4513"/>
        <w:tab w:val="right" w:pos="9026"/>
      </w:tabs>
    </w:pPr>
  </w:style>
  <w:style w:type="character" w:customStyle="1" w:styleId="HeaderChar">
    <w:name w:val="Header Char"/>
    <w:basedOn w:val="DefaultParagraphFont"/>
    <w:link w:val="Header"/>
    <w:uiPriority w:val="99"/>
    <w:rsid w:val="00FC460F"/>
    <w:rPr>
      <w:rFonts w:ascii="Times New Roman" w:eastAsia="Times New Roman" w:hAnsi="Times New Roman" w:cs="Times New Roman"/>
      <w:lang w:eastAsia="en-GB"/>
    </w:rPr>
  </w:style>
  <w:style w:type="paragraph" w:styleId="Footer">
    <w:name w:val="footer"/>
    <w:basedOn w:val="Normal"/>
    <w:link w:val="FooterChar"/>
    <w:uiPriority w:val="99"/>
    <w:unhideWhenUsed/>
    <w:rsid w:val="00FC460F"/>
    <w:pPr>
      <w:tabs>
        <w:tab w:val="center" w:pos="4513"/>
        <w:tab w:val="right" w:pos="9026"/>
      </w:tabs>
    </w:pPr>
  </w:style>
  <w:style w:type="character" w:customStyle="1" w:styleId="FooterChar">
    <w:name w:val="Footer Char"/>
    <w:basedOn w:val="DefaultParagraphFont"/>
    <w:link w:val="Footer"/>
    <w:uiPriority w:val="99"/>
    <w:rsid w:val="00FC460F"/>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0F649E"/>
    <w:rPr>
      <w:color w:val="954F72" w:themeColor="followedHyperlink"/>
      <w:u w:val="single"/>
    </w:rPr>
  </w:style>
  <w:style w:type="character" w:customStyle="1" w:styleId="Heading4Char">
    <w:name w:val="Heading 4 Char"/>
    <w:basedOn w:val="DefaultParagraphFont"/>
    <w:link w:val="Heading4"/>
    <w:uiPriority w:val="9"/>
    <w:rsid w:val="004E5FCF"/>
    <w:rPr>
      <w:rFonts w:ascii="Times New Roman" w:eastAsia="Times New Roman" w:hAnsi="Times New Roman" w:cs="Times New Roman"/>
      <w:b/>
      <w:bCs/>
      <w:lang w:val="en-ZA" w:eastAsia="en-GB"/>
    </w:rPr>
  </w:style>
  <w:style w:type="character" w:styleId="CommentReference">
    <w:name w:val="annotation reference"/>
    <w:basedOn w:val="DefaultParagraphFont"/>
    <w:uiPriority w:val="99"/>
    <w:semiHidden/>
    <w:unhideWhenUsed/>
    <w:rsid w:val="004E4982"/>
    <w:rPr>
      <w:sz w:val="16"/>
      <w:szCs w:val="16"/>
    </w:rPr>
  </w:style>
  <w:style w:type="paragraph" w:styleId="CommentText">
    <w:name w:val="annotation text"/>
    <w:basedOn w:val="Normal"/>
    <w:link w:val="CommentTextChar"/>
    <w:uiPriority w:val="99"/>
    <w:semiHidden/>
    <w:unhideWhenUsed/>
    <w:rsid w:val="004E4982"/>
    <w:rPr>
      <w:sz w:val="20"/>
      <w:szCs w:val="20"/>
    </w:rPr>
  </w:style>
  <w:style w:type="character" w:customStyle="1" w:styleId="CommentTextChar">
    <w:name w:val="Comment Text Char"/>
    <w:basedOn w:val="DefaultParagraphFont"/>
    <w:link w:val="CommentText"/>
    <w:uiPriority w:val="99"/>
    <w:semiHidden/>
    <w:rsid w:val="004E4982"/>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E4982"/>
    <w:rPr>
      <w:b/>
      <w:bCs/>
    </w:rPr>
  </w:style>
  <w:style w:type="character" w:customStyle="1" w:styleId="CommentSubjectChar">
    <w:name w:val="Comment Subject Char"/>
    <w:basedOn w:val="CommentTextChar"/>
    <w:link w:val="CommentSubject"/>
    <w:uiPriority w:val="99"/>
    <w:semiHidden/>
    <w:rsid w:val="004E4982"/>
    <w:rPr>
      <w:rFonts w:ascii="Times New Roman" w:eastAsia="Times New Roman" w:hAnsi="Times New Roman" w:cs="Times New Roman"/>
      <w:b/>
      <w:bCs/>
      <w:sz w:val="20"/>
      <w:szCs w:val="20"/>
      <w:lang w:eastAsia="en-GB"/>
    </w:rPr>
  </w:style>
  <w:style w:type="paragraph" w:customStyle="1" w:styleId="SingleTxtG">
    <w:name w:val="_ Single Txt_G"/>
    <w:basedOn w:val="Normal"/>
    <w:link w:val="SingleTxtGChar"/>
    <w:rsid w:val="00643339"/>
    <w:pPr>
      <w:suppressAutoHyphens/>
      <w:spacing w:after="120" w:line="240" w:lineRule="atLeast"/>
      <w:ind w:left="1134" w:right="1134"/>
      <w:jc w:val="both"/>
    </w:pPr>
    <w:rPr>
      <w:rFonts w:eastAsia="SimSun"/>
      <w:sz w:val="20"/>
      <w:szCs w:val="20"/>
      <w:lang w:eastAsia="zh-CN"/>
    </w:rPr>
  </w:style>
  <w:style w:type="character" w:customStyle="1" w:styleId="SingleTxtGChar">
    <w:name w:val="_ Single Txt_G Char"/>
    <w:link w:val="SingleTxtG"/>
    <w:rsid w:val="00643339"/>
    <w:rPr>
      <w:rFonts w:ascii="Times New Roman" w:eastAsia="SimSun" w:hAnsi="Times New Roman" w:cs="Times New Roman"/>
      <w:sz w:val="20"/>
      <w:szCs w:val="20"/>
      <w:lang w:val="en-GB" w:eastAsia="zh-CN"/>
    </w:rPr>
  </w:style>
  <w:style w:type="character" w:customStyle="1" w:styleId="normaltextrun">
    <w:name w:val="normaltextrun"/>
    <w:basedOn w:val="DefaultParagraphFont"/>
    <w:rsid w:val="006A0E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5830">
      <w:bodyDiv w:val="1"/>
      <w:marLeft w:val="0"/>
      <w:marRight w:val="0"/>
      <w:marTop w:val="0"/>
      <w:marBottom w:val="0"/>
      <w:divBdr>
        <w:top w:val="none" w:sz="0" w:space="0" w:color="auto"/>
        <w:left w:val="none" w:sz="0" w:space="0" w:color="auto"/>
        <w:bottom w:val="none" w:sz="0" w:space="0" w:color="auto"/>
        <w:right w:val="none" w:sz="0" w:space="0" w:color="auto"/>
      </w:divBdr>
    </w:div>
    <w:div w:id="18242590">
      <w:bodyDiv w:val="1"/>
      <w:marLeft w:val="0"/>
      <w:marRight w:val="0"/>
      <w:marTop w:val="0"/>
      <w:marBottom w:val="0"/>
      <w:divBdr>
        <w:top w:val="none" w:sz="0" w:space="0" w:color="auto"/>
        <w:left w:val="none" w:sz="0" w:space="0" w:color="auto"/>
        <w:bottom w:val="none" w:sz="0" w:space="0" w:color="auto"/>
        <w:right w:val="none" w:sz="0" w:space="0" w:color="auto"/>
      </w:divBdr>
    </w:div>
    <w:div w:id="410204250">
      <w:bodyDiv w:val="1"/>
      <w:marLeft w:val="0"/>
      <w:marRight w:val="0"/>
      <w:marTop w:val="0"/>
      <w:marBottom w:val="0"/>
      <w:divBdr>
        <w:top w:val="none" w:sz="0" w:space="0" w:color="auto"/>
        <w:left w:val="none" w:sz="0" w:space="0" w:color="auto"/>
        <w:bottom w:val="none" w:sz="0" w:space="0" w:color="auto"/>
        <w:right w:val="none" w:sz="0" w:space="0" w:color="auto"/>
      </w:divBdr>
    </w:div>
    <w:div w:id="432479661">
      <w:bodyDiv w:val="1"/>
      <w:marLeft w:val="0"/>
      <w:marRight w:val="0"/>
      <w:marTop w:val="0"/>
      <w:marBottom w:val="0"/>
      <w:divBdr>
        <w:top w:val="none" w:sz="0" w:space="0" w:color="auto"/>
        <w:left w:val="none" w:sz="0" w:space="0" w:color="auto"/>
        <w:bottom w:val="none" w:sz="0" w:space="0" w:color="auto"/>
        <w:right w:val="none" w:sz="0" w:space="0" w:color="auto"/>
      </w:divBdr>
    </w:div>
    <w:div w:id="434709512">
      <w:bodyDiv w:val="1"/>
      <w:marLeft w:val="0"/>
      <w:marRight w:val="0"/>
      <w:marTop w:val="0"/>
      <w:marBottom w:val="0"/>
      <w:divBdr>
        <w:top w:val="none" w:sz="0" w:space="0" w:color="auto"/>
        <w:left w:val="none" w:sz="0" w:space="0" w:color="auto"/>
        <w:bottom w:val="none" w:sz="0" w:space="0" w:color="auto"/>
        <w:right w:val="none" w:sz="0" w:space="0" w:color="auto"/>
      </w:divBdr>
    </w:div>
    <w:div w:id="600261461">
      <w:bodyDiv w:val="1"/>
      <w:marLeft w:val="0"/>
      <w:marRight w:val="0"/>
      <w:marTop w:val="0"/>
      <w:marBottom w:val="0"/>
      <w:divBdr>
        <w:top w:val="none" w:sz="0" w:space="0" w:color="auto"/>
        <w:left w:val="none" w:sz="0" w:space="0" w:color="auto"/>
        <w:bottom w:val="none" w:sz="0" w:space="0" w:color="auto"/>
        <w:right w:val="none" w:sz="0" w:space="0" w:color="auto"/>
      </w:divBdr>
    </w:div>
    <w:div w:id="639725681">
      <w:bodyDiv w:val="1"/>
      <w:marLeft w:val="0"/>
      <w:marRight w:val="0"/>
      <w:marTop w:val="0"/>
      <w:marBottom w:val="0"/>
      <w:divBdr>
        <w:top w:val="none" w:sz="0" w:space="0" w:color="auto"/>
        <w:left w:val="none" w:sz="0" w:space="0" w:color="auto"/>
        <w:bottom w:val="none" w:sz="0" w:space="0" w:color="auto"/>
        <w:right w:val="none" w:sz="0" w:space="0" w:color="auto"/>
      </w:divBdr>
      <w:divsChild>
        <w:div w:id="88739395">
          <w:marLeft w:val="0"/>
          <w:marRight w:val="0"/>
          <w:marTop w:val="0"/>
          <w:marBottom w:val="0"/>
          <w:divBdr>
            <w:top w:val="none" w:sz="0" w:space="0" w:color="auto"/>
            <w:left w:val="none" w:sz="0" w:space="0" w:color="auto"/>
            <w:bottom w:val="none" w:sz="0" w:space="0" w:color="auto"/>
            <w:right w:val="none" w:sz="0" w:space="0" w:color="auto"/>
          </w:divBdr>
          <w:divsChild>
            <w:div w:id="1660108070">
              <w:marLeft w:val="0"/>
              <w:marRight w:val="0"/>
              <w:marTop w:val="0"/>
              <w:marBottom w:val="0"/>
              <w:divBdr>
                <w:top w:val="none" w:sz="0" w:space="0" w:color="auto"/>
                <w:left w:val="none" w:sz="0" w:space="0" w:color="auto"/>
                <w:bottom w:val="none" w:sz="0" w:space="0" w:color="auto"/>
                <w:right w:val="none" w:sz="0" w:space="0" w:color="auto"/>
              </w:divBdr>
              <w:divsChild>
                <w:div w:id="67522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394431">
      <w:bodyDiv w:val="1"/>
      <w:marLeft w:val="0"/>
      <w:marRight w:val="0"/>
      <w:marTop w:val="0"/>
      <w:marBottom w:val="0"/>
      <w:divBdr>
        <w:top w:val="none" w:sz="0" w:space="0" w:color="auto"/>
        <w:left w:val="none" w:sz="0" w:space="0" w:color="auto"/>
        <w:bottom w:val="none" w:sz="0" w:space="0" w:color="auto"/>
        <w:right w:val="none" w:sz="0" w:space="0" w:color="auto"/>
      </w:divBdr>
      <w:divsChild>
        <w:div w:id="1395007845">
          <w:marLeft w:val="0"/>
          <w:marRight w:val="0"/>
          <w:marTop w:val="0"/>
          <w:marBottom w:val="0"/>
          <w:divBdr>
            <w:top w:val="none" w:sz="0" w:space="0" w:color="auto"/>
            <w:left w:val="none" w:sz="0" w:space="0" w:color="auto"/>
            <w:bottom w:val="none" w:sz="0" w:space="0" w:color="auto"/>
            <w:right w:val="none" w:sz="0" w:space="0" w:color="auto"/>
          </w:divBdr>
          <w:divsChild>
            <w:div w:id="46492878">
              <w:marLeft w:val="0"/>
              <w:marRight w:val="0"/>
              <w:marTop w:val="0"/>
              <w:marBottom w:val="0"/>
              <w:divBdr>
                <w:top w:val="none" w:sz="0" w:space="0" w:color="auto"/>
                <w:left w:val="none" w:sz="0" w:space="0" w:color="auto"/>
                <w:bottom w:val="none" w:sz="0" w:space="0" w:color="auto"/>
                <w:right w:val="none" w:sz="0" w:space="0" w:color="auto"/>
              </w:divBdr>
              <w:divsChild>
                <w:div w:id="101935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102428">
      <w:bodyDiv w:val="1"/>
      <w:marLeft w:val="0"/>
      <w:marRight w:val="0"/>
      <w:marTop w:val="0"/>
      <w:marBottom w:val="0"/>
      <w:divBdr>
        <w:top w:val="none" w:sz="0" w:space="0" w:color="auto"/>
        <w:left w:val="none" w:sz="0" w:space="0" w:color="auto"/>
        <w:bottom w:val="none" w:sz="0" w:space="0" w:color="auto"/>
        <w:right w:val="none" w:sz="0" w:space="0" w:color="auto"/>
      </w:divBdr>
    </w:div>
    <w:div w:id="993067994">
      <w:bodyDiv w:val="1"/>
      <w:marLeft w:val="0"/>
      <w:marRight w:val="0"/>
      <w:marTop w:val="0"/>
      <w:marBottom w:val="0"/>
      <w:divBdr>
        <w:top w:val="none" w:sz="0" w:space="0" w:color="auto"/>
        <w:left w:val="none" w:sz="0" w:space="0" w:color="auto"/>
        <w:bottom w:val="none" w:sz="0" w:space="0" w:color="auto"/>
        <w:right w:val="none" w:sz="0" w:space="0" w:color="auto"/>
      </w:divBdr>
    </w:div>
    <w:div w:id="1045299244">
      <w:bodyDiv w:val="1"/>
      <w:marLeft w:val="0"/>
      <w:marRight w:val="0"/>
      <w:marTop w:val="0"/>
      <w:marBottom w:val="0"/>
      <w:divBdr>
        <w:top w:val="none" w:sz="0" w:space="0" w:color="auto"/>
        <w:left w:val="none" w:sz="0" w:space="0" w:color="auto"/>
        <w:bottom w:val="none" w:sz="0" w:space="0" w:color="auto"/>
        <w:right w:val="none" w:sz="0" w:space="0" w:color="auto"/>
      </w:divBdr>
    </w:div>
    <w:div w:id="1266425487">
      <w:bodyDiv w:val="1"/>
      <w:marLeft w:val="0"/>
      <w:marRight w:val="0"/>
      <w:marTop w:val="0"/>
      <w:marBottom w:val="0"/>
      <w:divBdr>
        <w:top w:val="none" w:sz="0" w:space="0" w:color="auto"/>
        <w:left w:val="none" w:sz="0" w:space="0" w:color="auto"/>
        <w:bottom w:val="none" w:sz="0" w:space="0" w:color="auto"/>
        <w:right w:val="none" w:sz="0" w:space="0" w:color="auto"/>
      </w:divBdr>
    </w:div>
    <w:div w:id="1292396588">
      <w:bodyDiv w:val="1"/>
      <w:marLeft w:val="0"/>
      <w:marRight w:val="0"/>
      <w:marTop w:val="0"/>
      <w:marBottom w:val="0"/>
      <w:divBdr>
        <w:top w:val="none" w:sz="0" w:space="0" w:color="auto"/>
        <w:left w:val="none" w:sz="0" w:space="0" w:color="auto"/>
        <w:bottom w:val="none" w:sz="0" w:space="0" w:color="auto"/>
        <w:right w:val="none" w:sz="0" w:space="0" w:color="auto"/>
      </w:divBdr>
    </w:div>
    <w:div w:id="1316226897">
      <w:bodyDiv w:val="1"/>
      <w:marLeft w:val="0"/>
      <w:marRight w:val="0"/>
      <w:marTop w:val="0"/>
      <w:marBottom w:val="0"/>
      <w:divBdr>
        <w:top w:val="none" w:sz="0" w:space="0" w:color="auto"/>
        <w:left w:val="none" w:sz="0" w:space="0" w:color="auto"/>
        <w:bottom w:val="none" w:sz="0" w:space="0" w:color="auto"/>
        <w:right w:val="none" w:sz="0" w:space="0" w:color="auto"/>
      </w:divBdr>
    </w:div>
    <w:div w:id="1583837059">
      <w:bodyDiv w:val="1"/>
      <w:marLeft w:val="0"/>
      <w:marRight w:val="0"/>
      <w:marTop w:val="0"/>
      <w:marBottom w:val="0"/>
      <w:divBdr>
        <w:top w:val="none" w:sz="0" w:space="0" w:color="auto"/>
        <w:left w:val="none" w:sz="0" w:space="0" w:color="auto"/>
        <w:bottom w:val="none" w:sz="0" w:space="0" w:color="auto"/>
        <w:right w:val="none" w:sz="0" w:space="0" w:color="auto"/>
      </w:divBdr>
    </w:div>
    <w:div w:id="1648978240">
      <w:bodyDiv w:val="1"/>
      <w:marLeft w:val="0"/>
      <w:marRight w:val="0"/>
      <w:marTop w:val="0"/>
      <w:marBottom w:val="0"/>
      <w:divBdr>
        <w:top w:val="none" w:sz="0" w:space="0" w:color="auto"/>
        <w:left w:val="none" w:sz="0" w:space="0" w:color="auto"/>
        <w:bottom w:val="none" w:sz="0" w:space="0" w:color="auto"/>
        <w:right w:val="none" w:sz="0" w:space="0" w:color="auto"/>
      </w:divBdr>
    </w:div>
    <w:div w:id="1683823320">
      <w:bodyDiv w:val="1"/>
      <w:marLeft w:val="0"/>
      <w:marRight w:val="0"/>
      <w:marTop w:val="0"/>
      <w:marBottom w:val="0"/>
      <w:divBdr>
        <w:top w:val="none" w:sz="0" w:space="0" w:color="auto"/>
        <w:left w:val="none" w:sz="0" w:space="0" w:color="auto"/>
        <w:bottom w:val="none" w:sz="0" w:space="0" w:color="auto"/>
        <w:right w:val="none" w:sz="0" w:space="0" w:color="auto"/>
      </w:divBdr>
    </w:div>
    <w:div w:id="1780756174">
      <w:bodyDiv w:val="1"/>
      <w:marLeft w:val="0"/>
      <w:marRight w:val="0"/>
      <w:marTop w:val="0"/>
      <w:marBottom w:val="0"/>
      <w:divBdr>
        <w:top w:val="none" w:sz="0" w:space="0" w:color="auto"/>
        <w:left w:val="none" w:sz="0" w:space="0" w:color="auto"/>
        <w:bottom w:val="none" w:sz="0" w:space="0" w:color="auto"/>
        <w:right w:val="none" w:sz="0" w:space="0" w:color="auto"/>
      </w:divBdr>
    </w:div>
    <w:div w:id="2023503881">
      <w:bodyDiv w:val="1"/>
      <w:marLeft w:val="0"/>
      <w:marRight w:val="0"/>
      <w:marTop w:val="0"/>
      <w:marBottom w:val="0"/>
      <w:divBdr>
        <w:top w:val="none" w:sz="0" w:space="0" w:color="auto"/>
        <w:left w:val="none" w:sz="0" w:space="0" w:color="auto"/>
        <w:bottom w:val="none" w:sz="0" w:space="0" w:color="auto"/>
        <w:right w:val="none" w:sz="0" w:space="0" w:color="auto"/>
      </w:divBdr>
      <w:divsChild>
        <w:div w:id="1513686036">
          <w:marLeft w:val="0"/>
          <w:marRight w:val="0"/>
          <w:marTop w:val="0"/>
          <w:marBottom w:val="0"/>
          <w:divBdr>
            <w:top w:val="none" w:sz="0" w:space="0" w:color="auto"/>
            <w:left w:val="none" w:sz="0" w:space="0" w:color="auto"/>
            <w:bottom w:val="none" w:sz="0" w:space="0" w:color="auto"/>
            <w:right w:val="none" w:sz="0" w:space="0" w:color="auto"/>
          </w:divBdr>
          <w:divsChild>
            <w:div w:id="1855336188">
              <w:marLeft w:val="0"/>
              <w:marRight w:val="0"/>
              <w:marTop w:val="0"/>
              <w:marBottom w:val="0"/>
              <w:divBdr>
                <w:top w:val="none" w:sz="0" w:space="0" w:color="auto"/>
                <w:left w:val="none" w:sz="0" w:space="0" w:color="auto"/>
                <w:bottom w:val="none" w:sz="0" w:space="0" w:color="auto"/>
                <w:right w:val="none" w:sz="0" w:space="0" w:color="auto"/>
              </w:divBdr>
              <w:divsChild>
                <w:div w:id="1759447190">
                  <w:marLeft w:val="0"/>
                  <w:marRight w:val="0"/>
                  <w:marTop w:val="0"/>
                  <w:marBottom w:val="0"/>
                  <w:divBdr>
                    <w:top w:val="none" w:sz="0" w:space="0" w:color="auto"/>
                    <w:left w:val="none" w:sz="0" w:space="0" w:color="auto"/>
                    <w:bottom w:val="none" w:sz="0" w:space="0" w:color="auto"/>
                    <w:right w:val="none" w:sz="0" w:space="0" w:color="auto"/>
                  </w:divBdr>
                </w:div>
              </w:divsChild>
            </w:div>
            <w:div w:id="585266605">
              <w:marLeft w:val="0"/>
              <w:marRight w:val="0"/>
              <w:marTop w:val="0"/>
              <w:marBottom w:val="0"/>
              <w:divBdr>
                <w:top w:val="none" w:sz="0" w:space="0" w:color="auto"/>
                <w:left w:val="none" w:sz="0" w:space="0" w:color="auto"/>
                <w:bottom w:val="none" w:sz="0" w:space="0" w:color="auto"/>
                <w:right w:val="none" w:sz="0" w:space="0" w:color="auto"/>
              </w:divBdr>
              <w:divsChild>
                <w:div w:id="33226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252613">
      <w:bodyDiv w:val="1"/>
      <w:marLeft w:val="0"/>
      <w:marRight w:val="0"/>
      <w:marTop w:val="0"/>
      <w:marBottom w:val="0"/>
      <w:divBdr>
        <w:top w:val="none" w:sz="0" w:space="0" w:color="auto"/>
        <w:left w:val="none" w:sz="0" w:space="0" w:color="auto"/>
        <w:bottom w:val="none" w:sz="0" w:space="0" w:color="auto"/>
        <w:right w:val="none" w:sz="0" w:space="0" w:color="auto"/>
      </w:divBdr>
      <w:divsChild>
        <w:div w:id="2042313658">
          <w:marLeft w:val="0"/>
          <w:marRight w:val="0"/>
          <w:marTop w:val="0"/>
          <w:marBottom w:val="0"/>
          <w:divBdr>
            <w:top w:val="none" w:sz="0" w:space="0" w:color="auto"/>
            <w:left w:val="none" w:sz="0" w:space="0" w:color="auto"/>
            <w:bottom w:val="none" w:sz="0" w:space="0" w:color="auto"/>
            <w:right w:val="none" w:sz="0" w:space="0" w:color="auto"/>
          </w:divBdr>
          <w:divsChild>
            <w:div w:id="1927222004">
              <w:marLeft w:val="0"/>
              <w:marRight w:val="0"/>
              <w:marTop w:val="0"/>
              <w:marBottom w:val="0"/>
              <w:divBdr>
                <w:top w:val="none" w:sz="0" w:space="0" w:color="auto"/>
                <w:left w:val="none" w:sz="0" w:space="0" w:color="auto"/>
                <w:bottom w:val="none" w:sz="0" w:space="0" w:color="auto"/>
                <w:right w:val="none" w:sz="0" w:space="0" w:color="auto"/>
              </w:divBdr>
              <w:divsChild>
                <w:div w:id="209538647">
                  <w:marLeft w:val="0"/>
                  <w:marRight w:val="0"/>
                  <w:marTop w:val="0"/>
                  <w:marBottom w:val="0"/>
                  <w:divBdr>
                    <w:top w:val="none" w:sz="0" w:space="0" w:color="auto"/>
                    <w:left w:val="none" w:sz="0" w:space="0" w:color="auto"/>
                    <w:bottom w:val="none" w:sz="0" w:space="0" w:color="auto"/>
                    <w:right w:val="none" w:sz="0" w:space="0" w:color="auto"/>
                  </w:divBdr>
                </w:div>
              </w:divsChild>
            </w:div>
            <w:div w:id="1529562913">
              <w:marLeft w:val="0"/>
              <w:marRight w:val="0"/>
              <w:marTop w:val="0"/>
              <w:marBottom w:val="0"/>
              <w:divBdr>
                <w:top w:val="none" w:sz="0" w:space="0" w:color="auto"/>
                <w:left w:val="none" w:sz="0" w:space="0" w:color="auto"/>
                <w:bottom w:val="none" w:sz="0" w:space="0" w:color="auto"/>
                <w:right w:val="none" w:sz="0" w:space="0" w:color="auto"/>
              </w:divBdr>
              <w:divsChild>
                <w:div w:id="54796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549630">
      <w:bodyDiv w:val="1"/>
      <w:marLeft w:val="0"/>
      <w:marRight w:val="0"/>
      <w:marTop w:val="0"/>
      <w:marBottom w:val="0"/>
      <w:divBdr>
        <w:top w:val="none" w:sz="0" w:space="0" w:color="auto"/>
        <w:left w:val="none" w:sz="0" w:space="0" w:color="auto"/>
        <w:bottom w:val="none" w:sz="0" w:space="0" w:color="auto"/>
        <w:right w:val="none" w:sz="0" w:space="0" w:color="auto"/>
      </w:divBdr>
      <w:divsChild>
        <w:div w:id="1838228836">
          <w:marLeft w:val="0"/>
          <w:marRight w:val="0"/>
          <w:marTop w:val="0"/>
          <w:marBottom w:val="0"/>
          <w:divBdr>
            <w:top w:val="none" w:sz="0" w:space="0" w:color="auto"/>
            <w:left w:val="none" w:sz="0" w:space="0" w:color="auto"/>
            <w:bottom w:val="none" w:sz="0" w:space="0" w:color="auto"/>
            <w:right w:val="none" w:sz="0" w:space="0" w:color="auto"/>
          </w:divBdr>
          <w:divsChild>
            <w:div w:id="288243222">
              <w:marLeft w:val="0"/>
              <w:marRight w:val="0"/>
              <w:marTop w:val="0"/>
              <w:marBottom w:val="0"/>
              <w:divBdr>
                <w:top w:val="none" w:sz="0" w:space="0" w:color="auto"/>
                <w:left w:val="none" w:sz="0" w:space="0" w:color="auto"/>
                <w:bottom w:val="none" w:sz="0" w:space="0" w:color="auto"/>
                <w:right w:val="none" w:sz="0" w:space="0" w:color="auto"/>
              </w:divBdr>
              <w:divsChild>
                <w:div w:id="245191913">
                  <w:marLeft w:val="0"/>
                  <w:marRight w:val="0"/>
                  <w:marTop w:val="0"/>
                  <w:marBottom w:val="0"/>
                  <w:divBdr>
                    <w:top w:val="none" w:sz="0" w:space="0" w:color="auto"/>
                    <w:left w:val="none" w:sz="0" w:space="0" w:color="auto"/>
                    <w:bottom w:val="none" w:sz="0" w:space="0" w:color="auto"/>
                    <w:right w:val="none" w:sz="0" w:space="0" w:color="auto"/>
                  </w:divBdr>
                  <w:divsChild>
                    <w:div w:id="9306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147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CRPD%2FC%2F22%2FD%2F32%2F2015&amp;Lang=en"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tbinternet.ohchr.org/_layouts/15/treatybodyexternal/Download.aspx?symbolno=CRPD%2fC%2fMEX%2fCO%2f1&amp;Lang=en" TargetMode="External"/><Relationship Id="rId4" Type="http://schemas.openxmlformats.org/officeDocument/2006/relationships/settings" Target="settings.xml"/><Relationship Id="rId9" Type="http://schemas.openxmlformats.org/officeDocument/2006/relationships/hyperlink" Target="mailto:info@icj.or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bit.ly/34y78it" TargetMode="External"/><Relationship Id="rId13" Type="http://schemas.openxmlformats.org/officeDocument/2006/relationships/hyperlink" Target="https://bit.ly/3Bj3BAr" TargetMode="External"/><Relationship Id="rId3" Type="http://schemas.openxmlformats.org/officeDocument/2006/relationships/hyperlink" Target="https://bit.ly/3BgOHux" TargetMode="External"/><Relationship Id="rId7" Type="http://schemas.openxmlformats.org/officeDocument/2006/relationships/hyperlink" Target="https://bit.ly/3LuWPfw" TargetMode="External"/><Relationship Id="rId12" Type="http://schemas.openxmlformats.org/officeDocument/2006/relationships/hyperlink" Target="https://www.senado.gob.mx/64/gaceta_del_senado/documento/122460" TargetMode="External"/><Relationship Id="rId2" Type="http://schemas.openxmlformats.org/officeDocument/2006/relationships/hyperlink" Target="https://bit.ly/3JeUOCs" TargetMode="External"/><Relationship Id="rId16" Type="http://schemas.openxmlformats.org/officeDocument/2006/relationships/hyperlink" Target="https://bit.ly/3GNw6ay" TargetMode="External"/><Relationship Id="rId1" Type="http://schemas.openxmlformats.org/officeDocument/2006/relationships/hyperlink" Target="https://www.icj.org/a2jpwd/" TargetMode="External"/><Relationship Id="rId6" Type="http://schemas.openxmlformats.org/officeDocument/2006/relationships/hyperlink" Target="https://bit.ly/3JeUOCs" TargetMode="External"/><Relationship Id="rId11" Type="http://schemas.openxmlformats.org/officeDocument/2006/relationships/hyperlink" Target="https://bit.ly/3oIdDWO" TargetMode="External"/><Relationship Id="rId5" Type="http://schemas.openxmlformats.org/officeDocument/2006/relationships/hyperlink" Target="https://www.youtube.com/watch?v=a39T8tjzsoY" TargetMode="External"/><Relationship Id="rId15" Type="http://schemas.openxmlformats.org/officeDocument/2006/relationships/hyperlink" Target="https://bit.ly/33f22qO" TargetMode="External"/><Relationship Id="rId10" Type="http://schemas.openxmlformats.org/officeDocument/2006/relationships/hyperlink" Target="https://bit.ly/3gD9jDV" TargetMode="External"/><Relationship Id="rId4" Type="http://schemas.openxmlformats.org/officeDocument/2006/relationships/hyperlink" Target="https://bit.ly/3gDKOq8" TargetMode="External"/><Relationship Id="rId9" Type="http://schemas.openxmlformats.org/officeDocument/2006/relationships/hyperlink" Target="https://bit.ly/3uOQ5Ud" TargetMode="External"/><Relationship Id="rId14" Type="http://schemas.openxmlformats.org/officeDocument/2006/relationships/hyperlink" Target="https://bit.ly/3gDKOq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3A5AC7-6EB1-4B86-B30C-418D64BB4C12}">
  <ds:schemaRefs>
    <ds:schemaRef ds:uri="http://schemas.openxmlformats.org/officeDocument/2006/bibliography"/>
  </ds:schemaRefs>
</ds:datastoreItem>
</file>

<file path=customXml/itemProps2.xml><?xml version="1.0" encoding="utf-8"?>
<ds:datastoreItem xmlns:ds="http://schemas.openxmlformats.org/officeDocument/2006/customXml" ds:itemID="{989F2C03-0193-45F1-BF59-9E11E941BA3C}"/>
</file>

<file path=customXml/itemProps3.xml><?xml version="1.0" encoding="utf-8"?>
<ds:datastoreItem xmlns:ds="http://schemas.openxmlformats.org/officeDocument/2006/customXml" ds:itemID="{6AACD73F-31D7-41E2-B91E-ADDFDB4A27BC}"/>
</file>

<file path=customXml/itemProps4.xml><?xml version="1.0" encoding="utf-8"?>
<ds:datastoreItem xmlns:ds="http://schemas.openxmlformats.org/officeDocument/2006/customXml" ds:itemID="{54CBE338-1673-44B4-8C2C-C2A53EC4FD82}"/>
</file>

<file path=docProps/app.xml><?xml version="1.0" encoding="utf-8"?>
<Properties xmlns="http://schemas.openxmlformats.org/officeDocument/2006/extended-properties" xmlns:vt="http://schemas.openxmlformats.org/officeDocument/2006/docPropsVTypes">
  <Template>Normal.dotm</Template>
  <TotalTime>1</TotalTime>
  <Pages>11</Pages>
  <Words>3903</Words>
  <Characters>22248</Characters>
  <Application>Microsoft Office Word</Application>
  <DocSecurity>4</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Rocio Quintero</dc:creator>
  <cp:keywords/>
  <dc:description/>
  <cp:lastModifiedBy>OUKO Robert</cp:lastModifiedBy>
  <cp:revision>2</cp:revision>
  <dcterms:created xsi:type="dcterms:W3CDTF">2022-02-23T16:08:00Z</dcterms:created>
  <dcterms:modified xsi:type="dcterms:W3CDTF">2022-02-23T16:08:00Z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